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招　标　文　件</w:t>
      </w:r>
      <w:r/>
    </w:p>
    <w:p>
      <w:pPr>
        <w:ind w:left="2111" w:hanging="1468"/>
        <w:jc w:val="left"/>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u w:val="single"/>
        </w:rPr>
        <w:t xml:space="preserve">如东县市场监督管理局202</w:t>
      </w:r>
      <w:r>
        <w:rPr>
          <w:rFonts w:hint="eastAsia" w:ascii="仿宋" w:hAnsi="仿宋" w:eastAsia="仿宋" w:cs="仿宋"/>
          <w:b/>
          <w:bCs/>
          <w:color w:val="auto"/>
          <w:sz w:val="32"/>
          <w:szCs w:val="24"/>
          <w:highlight w:val="none"/>
          <w:u w:val="single"/>
          <w:lang w:val="en-US" w:eastAsia="zh-CN"/>
        </w:rPr>
        <w:t xml:space="preserve">6</w:t>
      </w:r>
      <w:r>
        <w:rPr>
          <w:rFonts w:hint="eastAsia" w:ascii="仿宋" w:hAnsi="仿宋" w:eastAsia="仿宋" w:cs="仿宋"/>
          <w:b/>
          <w:bCs/>
          <w:color w:val="auto"/>
          <w:sz w:val="32"/>
          <w:szCs w:val="24"/>
          <w:highlight w:val="none"/>
          <w:u w:val="single"/>
        </w:rPr>
        <w:t xml:space="preserve">年食品安全监督抽检项目</w:t>
      </w:r>
      <w:r/>
    </w:p>
    <w:p>
      <w:pPr>
        <w:ind w:firstLine="643"/>
        <w:spacing w:before="120" w:after="120" w:line="360" w:lineRule="auto"/>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2"/>
          <w:szCs w:val="24"/>
          <w:highlight w:val="none"/>
        </w:rPr>
        <w:t xml:space="preserve">项目编号：JSZC-320623-DYZX-G202</w:t>
      </w:r>
      <w:r>
        <w:rPr>
          <w:rFonts w:hint="eastAsia" w:ascii="仿宋" w:hAnsi="仿宋" w:eastAsia="仿宋" w:cs="仿宋"/>
          <w:b/>
          <w:bCs/>
          <w:color w:val="auto"/>
          <w:sz w:val="32"/>
          <w:szCs w:val="24"/>
          <w:highlight w:val="none"/>
          <w:lang w:val="en-US" w:eastAsia="zh-CN"/>
        </w:rPr>
        <w:t xml:space="preserve">6</w:t>
      </w:r>
      <w:r>
        <w:rPr>
          <w:rFonts w:hint="eastAsia" w:ascii="仿宋" w:hAnsi="仿宋" w:eastAsia="仿宋" w:cs="仿宋"/>
          <w:b/>
          <w:bCs/>
          <w:color w:val="auto"/>
          <w:sz w:val="32"/>
          <w:szCs w:val="24"/>
          <w:highlight w:val="none"/>
        </w:rPr>
        <w:t xml:space="preserve">-0005</w:t>
      </w:r>
      <w:r>
        <w:rPr>
          <w:rFonts w:hint="eastAsia" w:ascii="仿宋" w:hAnsi="仿宋" w:eastAsia="仿宋" w:cs="仿宋"/>
          <w:b/>
          <w:bCs/>
          <w:color w:val="auto"/>
          <w:sz w:val="32"/>
          <w:szCs w:val="24"/>
          <w:highlight w:val="none"/>
          <w:lang w:val="en-US" w:eastAsia="zh-CN"/>
        </w:rPr>
      </w:r>
      <w:r/>
    </w:p>
    <w:p>
      <w:pPr>
        <w:ind w:left="2800" w:hanging="280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color w:val="auto"/>
          <w:sz w:val="28"/>
          <w:szCs w:val="28"/>
          <w:highlight w:val="none"/>
        </w:rPr>
        <w:t xml:space="preserve"> </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（全流程电子化-服务类项目，适用苏采云系统）</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61"/>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1"/>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如东县市场监督管理局</w:t>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202</w:t>
      </w:r>
      <w:r>
        <w:rPr>
          <w:rFonts w:hint="eastAsia" w:ascii="仿宋" w:hAnsi="仿宋" w:eastAsia="仿宋" w:cs="仿宋"/>
          <w:b/>
          <w:bCs/>
          <w:color w:val="auto"/>
          <w:sz w:val="32"/>
          <w:szCs w:val="24"/>
          <w:highlight w:val="none"/>
          <w:lang w:val="en-US" w:eastAsia="zh-CN"/>
        </w:rPr>
        <w:t xml:space="preserve">6</w:t>
      </w:r>
      <w:r>
        <w:rPr>
          <w:rFonts w:hint="eastAsia"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lang w:val="en-US" w:eastAsia="zh-CN"/>
        </w:rPr>
        <w:t xml:space="preserve">4</w:t>
      </w:r>
      <w:r>
        <w:rPr>
          <w:rFonts w:hint="eastAsia" w:ascii="仿宋" w:hAnsi="仿宋" w:eastAsia="仿宋" w:cs="仿宋"/>
          <w:b/>
          <w:bCs/>
          <w:color w:val="auto"/>
          <w:sz w:val="32"/>
          <w:szCs w:val="24"/>
          <w:highlight w:val="none"/>
        </w:rPr>
        <w:t xml:space="preserve">月</w:t>
      </w:r>
      <w:r/>
    </w:p>
    <w:p>
      <w:pPr>
        <w:jc w:val="left"/>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p>
    <w:p>
      <w:pPr>
        <w:jc w:val="center"/>
        <w:spacing w:line="480" w:lineRule="auto"/>
        <w:rPr>
          <w:rFonts w:hint="eastAsia" w:ascii="仿宋" w:hAnsi="仿宋" w:eastAsia="仿宋" w:cs="仿宋"/>
          <w:b/>
          <w:color w:val="auto"/>
          <w:sz w:val="44"/>
          <w:szCs w:val="21"/>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513029200"/>
      <w:r/>
      <w:bookmarkStart w:id="2" w:name="_Toc16938516"/>
      <w:r/>
      <w:bookmarkStart w:id="3" w:name="_Toc523127445"/>
      <w:r/>
      <w:bookmarkStart w:id="4" w:name="_Toc479757206"/>
      <w:r/>
      <w:bookmarkStart w:id="5" w:name="_Toc20823272"/>
      <w:r/>
      <w:r/>
    </w:p>
    <w:p>
      <w:pPr>
        <w:jc w:val="center"/>
        <w:spacing w:line="480" w:lineRule="auto"/>
        <w:rPr>
          <w:rFonts w:hint="eastAsia" w:ascii="仿宋" w:hAnsi="仿宋" w:eastAsia="仿宋" w:cs="仿宋"/>
          <w:b/>
          <w:color w:val="auto"/>
          <w:sz w:val="44"/>
          <w:szCs w:val="21"/>
          <w:highlight w:val="none"/>
        </w:rPr>
      </w:pPr>
      <w:r>
        <w:rPr>
          <w:rFonts w:hint="eastAsia" w:ascii="仿宋" w:hAnsi="仿宋" w:eastAsia="仿宋" w:cs="仿宋"/>
          <w:b/>
          <w:color w:val="auto"/>
          <w:sz w:val="44"/>
          <w:szCs w:val="21"/>
          <w:highlight w:val="none"/>
        </w:rPr>
        <w:t xml:space="preserve">总  目  录</w:t>
      </w:r>
      <w:r/>
    </w:p>
    <w:p>
      <w:pPr>
        <w:spacing w:line="480" w:lineRule="auto"/>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r>
      <w:r/>
    </w:p>
    <w:p>
      <w:pPr>
        <w:pStyle w:val="1035"/>
        <w:tabs>
          <w:tab w:val="right" w:pos="8953" w:leader="dot"/>
        </w:tabs>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TOC \o "1-1" \h \u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48"/>
          <w:highlight w:val="none"/>
        </w:rPr>
        <w:fldChar w:fldCharType="begin"/>
      </w:r>
      <w:r>
        <w:rPr>
          <w:rFonts w:hint="eastAsia" w:ascii="仿宋" w:hAnsi="仿宋" w:eastAsia="仿宋" w:cs="仿宋"/>
          <w:color w:val="auto"/>
          <w:sz w:val="36"/>
          <w:szCs w:val="48"/>
          <w:highlight w:val="none"/>
        </w:rPr>
        <w:instrText xml:space="preserve"> HYPERLINK \l _Toc28938 </w:instrText>
      </w:r>
      <w:r>
        <w:rPr>
          <w:rFonts w:hint="eastAsia" w:ascii="仿宋" w:hAnsi="仿宋" w:eastAsia="仿宋" w:cs="仿宋"/>
          <w:color w:val="auto"/>
          <w:sz w:val="36"/>
          <w:szCs w:val="48"/>
          <w:highlight w:val="none"/>
        </w:rPr>
        <w:fldChar w:fldCharType="separate"/>
      </w:r>
      <w:r>
        <w:rPr>
          <w:rFonts w:hint="eastAsia" w:ascii="仿宋" w:hAnsi="仿宋" w:eastAsia="仿宋" w:cs="仿宋"/>
          <w:color w:val="auto"/>
          <w:sz w:val="36"/>
          <w:szCs w:val="56"/>
          <w:highlight w:val="none"/>
        </w:rPr>
        <w:t xml:space="preserve">第一章  投标邀请</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_Toc28938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 xml:space="preserve">2</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48"/>
          <w:highlight w:val="none"/>
        </w:rPr>
        <w:fldChar w:fldCharType="end"/>
      </w:r>
      <w:r/>
    </w:p>
    <w:p>
      <w:pPr>
        <w:pStyle w:val="1035"/>
        <w:tabs>
          <w:tab w:val="right" w:pos="8953" w:leader="dot"/>
        </w:tabs>
        <w:rPr>
          <w:rFonts w:hint="eastAsia" w:ascii="仿宋" w:hAnsi="仿宋" w:eastAsia="仿宋" w:cs="仿宋"/>
          <w:color w:val="auto"/>
          <w:sz w:val="36"/>
          <w:szCs w:val="36"/>
          <w:highlight w:val="none"/>
        </w:rPr>
      </w:pPr>
      <w:r>
        <w:rPr>
          <w:rFonts w:hint="eastAsia" w:ascii="仿宋" w:hAnsi="仿宋" w:eastAsia="仿宋" w:cs="仿宋"/>
          <w:color w:val="auto"/>
          <w:sz w:val="36"/>
          <w:szCs w:val="48"/>
          <w:highlight w:val="none"/>
        </w:rPr>
        <w:fldChar w:fldCharType="begin"/>
      </w:r>
      <w:r>
        <w:rPr>
          <w:rFonts w:hint="eastAsia" w:ascii="仿宋" w:hAnsi="仿宋" w:eastAsia="仿宋" w:cs="仿宋"/>
          <w:color w:val="auto"/>
          <w:sz w:val="36"/>
          <w:szCs w:val="48"/>
          <w:highlight w:val="none"/>
        </w:rPr>
        <w:instrText xml:space="preserve"> HYPERLINK \l _Toc8900 </w:instrText>
      </w:r>
      <w:r>
        <w:rPr>
          <w:rFonts w:hint="eastAsia" w:ascii="仿宋" w:hAnsi="仿宋" w:eastAsia="仿宋" w:cs="仿宋"/>
          <w:color w:val="auto"/>
          <w:sz w:val="36"/>
          <w:szCs w:val="48"/>
          <w:highlight w:val="none"/>
        </w:rPr>
        <w:fldChar w:fldCharType="separate"/>
      </w:r>
      <w:r>
        <w:rPr>
          <w:rFonts w:hint="eastAsia" w:ascii="仿宋" w:hAnsi="仿宋" w:eastAsia="仿宋" w:cs="仿宋"/>
          <w:bCs/>
          <w:color w:val="auto"/>
          <w:sz w:val="36"/>
          <w:szCs w:val="56"/>
          <w:highlight w:val="none"/>
        </w:rPr>
        <w:t xml:space="preserve">第二章  投标人须知</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48"/>
          <w:highlight w:val="none"/>
        </w:rPr>
        <w:fldChar w:fldCharType="end"/>
        <w:t xml:space="preserve">6</w:t>
      </w:r>
      <w:r/>
    </w:p>
    <w:p>
      <w:pPr>
        <w:pStyle w:val="1035"/>
        <w:tabs>
          <w:tab w:val="right" w:pos="8953" w:leader="dot"/>
        </w:tabs>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48"/>
          <w:highlight w:val="none"/>
        </w:rPr>
        <w:fldChar w:fldCharType="begin"/>
      </w:r>
      <w:r>
        <w:rPr>
          <w:rFonts w:hint="eastAsia" w:ascii="仿宋" w:hAnsi="仿宋" w:eastAsia="仿宋" w:cs="仿宋"/>
          <w:color w:val="auto"/>
          <w:sz w:val="36"/>
          <w:szCs w:val="48"/>
          <w:highlight w:val="none"/>
        </w:rPr>
        <w:instrText xml:space="preserve"> HYPERLINK \l _Toc15715 </w:instrText>
      </w:r>
      <w:r>
        <w:rPr>
          <w:rFonts w:hint="eastAsia" w:ascii="仿宋" w:hAnsi="仿宋" w:eastAsia="仿宋" w:cs="仿宋"/>
          <w:color w:val="auto"/>
          <w:sz w:val="36"/>
          <w:szCs w:val="48"/>
          <w:highlight w:val="none"/>
        </w:rPr>
        <w:fldChar w:fldCharType="separate"/>
      </w:r>
      <w:r>
        <w:rPr>
          <w:rFonts w:hint="eastAsia" w:ascii="仿宋" w:hAnsi="仿宋" w:eastAsia="仿宋" w:cs="仿宋"/>
          <w:bCs/>
          <w:color w:val="auto"/>
          <w:sz w:val="36"/>
          <w:szCs w:val="40"/>
          <w:highlight w:val="none"/>
        </w:rPr>
        <w:t xml:space="preserve">第三章  合同文本</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lang w:val="en-US" w:eastAsia="zh-CN"/>
        </w:rPr>
        <w:t xml:space="preserve">1</w:t>
      </w:r>
      <w:r>
        <w:rPr>
          <w:rFonts w:hint="eastAsia" w:ascii="仿宋" w:hAnsi="仿宋" w:eastAsia="仿宋" w:cs="仿宋"/>
          <w:color w:val="auto"/>
          <w:sz w:val="36"/>
          <w:szCs w:val="48"/>
          <w:highlight w:val="none"/>
        </w:rPr>
        <w:fldChar w:fldCharType="end"/>
      </w:r>
      <w:r>
        <w:rPr>
          <w:rFonts w:hint="eastAsia" w:ascii="仿宋" w:hAnsi="仿宋" w:eastAsia="仿宋" w:cs="仿宋"/>
          <w:color w:val="auto"/>
          <w:sz w:val="36"/>
          <w:szCs w:val="48"/>
          <w:highlight w:val="none"/>
          <w:lang w:val="en-US" w:eastAsia="zh-CN"/>
        </w:rPr>
        <w:t xml:space="preserve">6</w:t>
      </w:r>
      <w:r/>
    </w:p>
    <w:p>
      <w:pPr>
        <w:pStyle w:val="1035"/>
        <w:tabs>
          <w:tab w:val="right" w:pos="8953" w:leader="dot"/>
        </w:tabs>
        <w:rPr>
          <w:rFonts w:hint="eastAsia" w:ascii="仿宋" w:hAnsi="仿宋" w:eastAsia="仿宋" w:cs="仿宋"/>
          <w:color w:val="auto"/>
          <w:sz w:val="36"/>
          <w:szCs w:val="36"/>
          <w:highlight w:val="none"/>
        </w:rPr>
      </w:pPr>
      <w:r>
        <w:rPr>
          <w:rFonts w:hint="eastAsia" w:ascii="仿宋" w:hAnsi="仿宋" w:eastAsia="仿宋" w:cs="仿宋"/>
          <w:color w:val="auto"/>
          <w:sz w:val="36"/>
          <w:szCs w:val="48"/>
          <w:highlight w:val="none"/>
        </w:rPr>
        <w:fldChar w:fldCharType="begin"/>
      </w:r>
      <w:r>
        <w:rPr>
          <w:rFonts w:hint="eastAsia" w:ascii="仿宋" w:hAnsi="仿宋" w:eastAsia="仿宋" w:cs="仿宋"/>
          <w:color w:val="auto"/>
          <w:sz w:val="36"/>
          <w:szCs w:val="48"/>
          <w:highlight w:val="none"/>
        </w:rPr>
        <w:instrText xml:space="preserve"> HYPERLINK \l _Toc26382 </w:instrText>
      </w:r>
      <w:r>
        <w:rPr>
          <w:rFonts w:hint="eastAsia" w:ascii="仿宋" w:hAnsi="仿宋" w:eastAsia="仿宋" w:cs="仿宋"/>
          <w:color w:val="auto"/>
          <w:sz w:val="36"/>
          <w:szCs w:val="48"/>
          <w:highlight w:val="none"/>
        </w:rPr>
        <w:fldChar w:fldCharType="separate"/>
      </w:r>
      <w:r>
        <w:rPr>
          <w:rFonts w:hint="eastAsia" w:ascii="仿宋" w:hAnsi="仿宋" w:eastAsia="仿宋" w:cs="仿宋"/>
          <w:bCs/>
          <w:color w:val="auto"/>
          <w:sz w:val="36"/>
          <w:szCs w:val="28"/>
          <w:highlight w:val="none"/>
        </w:rPr>
        <w:t xml:space="preserve">第四章 </w:t>
      </w:r>
      <w:r>
        <w:rPr>
          <w:rFonts w:hint="eastAsia" w:ascii="仿宋" w:hAnsi="仿宋" w:eastAsia="仿宋" w:cs="仿宋"/>
          <w:bCs/>
          <w:color w:val="auto"/>
          <w:sz w:val="36"/>
          <w:szCs w:val="28"/>
          <w:highlight w:val="none"/>
          <w:lang w:val="en-US" w:eastAsia="zh-CN"/>
        </w:rPr>
        <w:t xml:space="preserve"> </w:t>
      </w:r>
      <w:r>
        <w:rPr>
          <w:rFonts w:hint="eastAsia" w:ascii="仿宋" w:hAnsi="仿宋" w:eastAsia="仿宋" w:cs="仿宋"/>
          <w:bCs/>
          <w:color w:val="auto"/>
          <w:sz w:val="36"/>
          <w:szCs w:val="28"/>
          <w:highlight w:val="none"/>
        </w:rPr>
        <w:t xml:space="preserve">采购需求</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lang w:val="en-US" w:eastAsia="zh-CN"/>
        </w:rPr>
        <w:t xml:space="preserve">2</w:t>
      </w:r>
      <w:r>
        <w:rPr>
          <w:rFonts w:hint="eastAsia" w:ascii="仿宋" w:hAnsi="仿宋" w:eastAsia="仿宋" w:cs="仿宋"/>
          <w:color w:val="auto"/>
          <w:sz w:val="36"/>
          <w:szCs w:val="48"/>
          <w:highlight w:val="none"/>
        </w:rPr>
        <w:fldChar w:fldCharType="end"/>
        <w:t xml:space="preserve">3</w:t>
      </w:r>
      <w:r/>
    </w:p>
    <w:p>
      <w:pPr>
        <w:pStyle w:val="1035"/>
        <w:tabs>
          <w:tab w:val="right" w:pos="8953" w:leader="dot"/>
        </w:tabs>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48"/>
          <w:highlight w:val="none"/>
        </w:rPr>
        <w:fldChar w:fldCharType="begin"/>
      </w:r>
      <w:r>
        <w:rPr>
          <w:rFonts w:hint="eastAsia" w:ascii="仿宋" w:hAnsi="仿宋" w:eastAsia="仿宋" w:cs="仿宋"/>
          <w:color w:val="auto"/>
          <w:sz w:val="36"/>
          <w:szCs w:val="48"/>
          <w:highlight w:val="none"/>
        </w:rPr>
        <w:instrText xml:space="preserve"> HYPERLINK \l _Toc8870 </w:instrText>
      </w:r>
      <w:r>
        <w:rPr>
          <w:rFonts w:hint="eastAsia" w:ascii="仿宋" w:hAnsi="仿宋" w:eastAsia="仿宋" w:cs="仿宋"/>
          <w:color w:val="auto"/>
          <w:sz w:val="36"/>
          <w:szCs w:val="48"/>
          <w:highlight w:val="none"/>
        </w:rPr>
        <w:fldChar w:fldCharType="separate"/>
      </w:r>
      <w:r>
        <w:rPr>
          <w:rFonts w:hint="eastAsia" w:ascii="仿宋" w:hAnsi="仿宋" w:eastAsia="仿宋" w:cs="仿宋"/>
          <w:bCs/>
          <w:color w:val="auto"/>
          <w:sz w:val="36"/>
          <w:szCs w:val="40"/>
          <w:highlight w:val="none"/>
        </w:rPr>
        <w:t xml:space="preserve">第五章  评标方法与评标标准</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lang w:val="en-US" w:eastAsia="zh-CN"/>
        </w:rPr>
        <w:t xml:space="preserve">2</w:t>
      </w:r>
      <w:r>
        <w:rPr>
          <w:rFonts w:hint="eastAsia" w:ascii="仿宋" w:hAnsi="仿宋" w:eastAsia="仿宋" w:cs="仿宋"/>
          <w:color w:val="auto"/>
          <w:sz w:val="36"/>
          <w:szCs w:val="48"/>
          <w:highlight w:val="none"/>
        </w:rPr>
        <w:fldChar w:fldCharType="end"/>
      </w:r>
      <w:r>
        <w:rPr>
          <w:rFonts w:hint="eastAsia" w:ascii="仿宋" w:hAnsi="仿宋" w:eastAsia="仿宋" w:cs="仿宋"/>
          <w:color w:val="auto"/>
          <w:sz w:val="36"/>
          <w:szCs w:val="48"/>
          <w:highlight w:val="none"/>
          <w:lang w:val="en-US" w:eastAsia="zh-CN"/>
        </w:rPr>
        <w:t xml:space="preserve">6</w:t>
      </w:r>
      <w:r/>
    </w:p>
    <w:p>
      <w:pPr>
        <w:pStyle w:val="1035"/>
        <w:tabs>
          <w:tab w:val="right" w:pos="8953" w:leader="dot"/>
        </w:tabs>
        <w:rPr>
          <w:rFonts w:hint="eastAsia" w:ascii="仿宋" w:hAnsi="仿宋" w:eastAsia="仿宋" w:cs="仿宋"/>
          <w:color w:val="auto"/>
          <w:highlight w:val="none"/>
        </w:rPr>
      </w:pPr>
      <w:r>
        <w:rPr>
          <w:rFonts w:hint="eastAsia" w:ascii="仿宋" w:hAnsi="仿宋" w:eastAsia="仿宋" w:cs="仿宋"/>
          <w:color w:val="auto"/>
          <w:sz w:val="36"/>
          <w:szCs w:val="48"/>
          <w:highlight w:val="none"/>
        </w:rPr>
        <w:fldChar w:fldCharType="begin"/>
      </w:r>
      <w:r>
        <w:rPr>
          <w:rFonts w:hint="eastAsia" w:ascii="仿宋" w:hAnsi="仿宋" w:eastAsia="仿宋" w:cs="仿宋"/>
          <w:color w:val="auto"/>
          <w:sz w:val="36"/>
          <w:szCs w:val="48"/>
          <w:highlight w:val="none"/>
        </w:rPr>
        <w:instrText xml:space="preserve"> HYPERLINK \l _Toc5763 </w:instrText>
      </w:r>
      <w:r>
        <w:rPr>
          <w:rFonts w:hint="eastAsia" w:ascii="仿宋" w:hAnsi="仿宋" w:eastAsia="仿宋" w:cs="仿宋"/>
          <w:color w:val="auto"/>
          <w:sz w:val="36"/>
          <w:szCs w:val="48"/>
          <w:highlight w:val="none"/>
        </w:rPr>
        <w:fldChar w:fldCharType="separate"/>
      </w:r>
      <w:r>
        <w:rPr>
          <w:rFonts w:hint="eastAsia" w:ascii="仿宋" w:hAnsi="仿宋" w:eastAsia="仿宋" w:cs="仿宋"/>
          <w:bCs/>
          <w:color w:val="auto"/>
          <w:sz w:val="36"/>
          <w:szCs w:val="40"/>
          <w:highlight w:val="none"/>
        </w:rPr>
        <w:t xml:space="preserve">第六章  投标文件格式</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48"/>
          <w:highlight w:val="none"/>
        </w:rPr>
        <w:fldChar w:fldCharType="end"/>
        <w:t xml:space="preserve">32</w:t>
      </w:r>
      <w:r/>
    </w:p>
    <w:p>
      <w:pPr>
        <w:rPr>
          <w:rFonts w:hint="eastAsia" w:ascii="仿宋" w:hAnsi="仿宋" w:eastAsia="仿宋" w:cs="仿宋"/>
          <w:color w:val="auto"/>
          <w:sz w:val="36"/>
          <w:szCs w:val="36"/>
          <w:highlight w:val="none"/>
        </w:rPr>
      </w:pPr>
      <w:r>
        <w:rPr>
          <w:rFonts w:hint="eastAsia" w:ascii="仿宋" w:hAnsi="仿宋" w:eastAsia="仿宋" w:cs="仿宋"/>
          <w:color w:val="auto"/>
          <w:szCs w:val="36"/>
          <w:highlight w:val="none"/>
        </w:rPr>
        <w:fldChar w:fldCharType="end"/>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keepNext/>
        <w:rPr>
          <w:rFonts w:hint="eastAsia" w:ascii="仿宋" w:hAnsi="仿宋" w:eastAsia="仿宋" w:cs="仿宋"/>
          <w:b/>
          <w:bCs/>
          <w:color w:val="auto"/>
          <w:sz w:val="44"/>
          <w:szCs w:val="44"/>
          <w:highlight w:val="none"/>
        </w:rPr>
        <w:outlineLvl w:val="0"/>
      </w:pPr>
      <w:r/>
      <w:bookmarkStart w:id="6" w:name="_Toc28938"/>
      <w:r>
        <w:rPr>
          <w:rFonts w:hint="eastAsia" w:ascii="仿宋" w:hAnsi="仿宋" w:eastAsia="仿宋" w:cs="仿宋"/>
          <w:b/>
          <w:bCs/>
          <w:color w:val="auto"/>
          <w:sz w:val="44"/>
          <w:szCs w:val="44"/>
          <w:highlight w:val="none"/>
        </w:rPr>
        <w:br w:type="page" w:clear="all"/>
      </w:r>
      <w:r>
        <w:rPr>
          <w:rFonts w:hint="eastAsia" w:ascii="仿宋" w:hAnsi="仿宋" w:eastAsia="仿宋" w:cs="仿宋"/>
          <w:b/>
          <w:bCs/>
          <w:color w:val="auto"/>
          <w:sz w:val="44"/>
          <w:szCs w:val="44"/>
          <w:highlight w:val="none"/>
        </w:rPr>
        <w:t xml:space="preserve">第一章  </w:t>
      </w:r>
      <w:bookmarkEnd w:id="0"/>
      <w:r>
        <w:rPr>
          <w:rFonts w:hint="eastAsia" w:ascii="仿宋" w:hAnsi="仿宋" w:eastAsia="仿宋" w:cs="仿宋"/>
          <w:b/>
          <w:bCs/>
          <w:color w:val="auto"/>
          <w:sz w:val="44"/>
          <w:szCs w:val="44"/>
          <w:highlight w:val="none"/>
        </w:rPr>
        <w:t xml:space="preserve">投标邀请</w:t>
      </w:r>
      <w:bookmarkEnd w:id="6"/>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受如东县市场监督管理局的委托，南京东宇工程咨询有限公司就如东县市场监督管理局202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年食品安全监督抽检项目</w:t>
      </w:r>
      <w:r>
        <w:rPr>
          <w:rFonts w:hint="eastAsia" w:ascii="仿宋" w:hAnsi="仿宋" w:eastAsia="仿宋" w:cs="仿宋"/>
          <w:color w:val="auto"/>
          <w:sz w:val="24"/>
          <w:szCs w:val="24"/>
          <w:highlight w:val="none"/>
          <w:lang w:eastAsia="zh-CN"/>
        </w:rPr>
        <w:t xml:space="preserve">（</w:t>
      </w:r>
      <w:r>
        <w:rPr>
          <w:rFonts w:ascii="Segoe UI" w:hAnsi="Segoe UI" w:eastAsia="Segoe UI" w:cs="Segoe UI"/>
          <w:i w:val="0"/>
          <w:iCs w:val="0"/>
          <w:caps w:val="0"/>
          <w:color w:val="auto"/>
          <w:spacing w:val="0"/>
          <w:sz w:val="21"/>
          <w:szCs w:val="21"/>
          <w:shd w:val="clear" w:color="auto" w:fill="ffffff"/>
        </w:rPr>
        <w:t xml:space="preserve">JSZC-320623-DYZX-G202</w:t>
      </w:r>
      <w:r>
        <w:rPr>
          <w:rFonts w:hint="eastAsia" w:ascii="Segoe UI" w:hAnsi="Segoe UI" w:eastAsia="宋体" w:cs="Segoe UI"/>
          <w:i w:val="0"/>
          <w:iCs w:val="0"/>
          <w:caps w:val="0"/>
          <w:color w:val="auto"/>
          <w:spacing w:val="0"/>
          <w:sz w:val="21"/>
          <w:szCs w:val="21"/>
          <w:shd w:val="clear" w:color="auto" w:fill="ffffff"/>
          <w:lang w:val="en-US" w:eastAsia="zh-CN"/>
        </w:rPr>
        <w:t xml:space="preserve">6</w:t>
      </w:r>
      <w:r>
        <w:rPr>
          <w:rFonts w:ascii="Segoe UI" w:hAnsi="Segoe UI" w:eastAsia="Segoe UI" w:cs="Segoe UI"/>
          <w:i w:val="0"/>
          <w:iCs w:val="0"/>
          <w:caps w:val="0"/>
          <w:color w:val="auto"/>
          <w:spacing w:val="0"/>
          <w:sz w:val="21"/>
          <w:szCs w:val="21"/>
          <w:shd w:val="clear" w:color="auto" w:fill="ffffff"/>
        </w:rPr>
        <w:t xml:space="preserve">-0005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进行公开招标采购，欢迎符合条件的供应商投标。</w:t>
      </w:r>
      <w:r/>
    </w:p>
    <w:p>
      <w:pPr>
        <w:ind w:firstLine="480"/>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年食品安全监督抽检项目的潜在投标人可在</w:t>
      </w:r>
      <w:r>
        <w:rPr>
          <w:rFonts w:hint="eastAsia" w:ascii="仿宋" w:hAnsi="仿宋" w:eastAsia="仿宋" w:cs="仿宋"/>
          <w:color w:val="auto"/>
          <w:sz w:val="24"/>
          <w:szCs w:val="24"/>
          <w:highlight w:val="none"/>
          <w:u w:val="single"/>
        </w:rPr>
        <w:t xml:space="preserve">“江苏政府采购网”自行免费下载</w:t>
      </w:r>
      <w:r>
        <w:rPr>
          <w:rFonts w:hint="eastAsia" w:ascii="仿宋" w:hAnsi="仿宋" w:eastAsia="仿宋" w:cs="仿宋"/>
          <w:color w:val="auto"/>
          <w:sz w:val="24"/>
          <w:szCs w:val="24"/>
          <w:highlight w:val="none"/>
        </w:rPr>
        <w:t xml:space="preserve">招标文件，并于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5</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11</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9</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北京时间）前递交投标文件</w:t>
      </w:r>
      <w:r>
        <w:rPr>
          <w:rFonts w:hint="eastAsia" w:ascii="仿宋" w:hAnsi="仿宋" w:eastAsia="仿宋" w:cs="仿宋"/>
          <w:color w:val="auto"/>
          <w:sz w:val="24"/>
          <w:szCs w:val="24"/>
          <w:highlight w:val="none"/>
        </w:rPr>
        <w:t xml:space="preserve">。</w:t>
      </w:r>
      <w:r/>
    </w:p>
    <w:p>
      <w:pPr>
        <w:ind w:firstLine="498"/>
        <w:keepLines/>
        <w:keepNext/>
        <w:spacing w:before="145" w:after="145" w:line="400" w:lineRule="exact"/>
        <w:rPr>
          <w:rFonts w:hint="eastAsia" w:ascii="仿宋" w:hAnsi="仿宋" w:eastAsia="仿宋" w:cs="仿宋"/>
          <w:b/>
          <w:bCs/>
          <w:color w:val="auto"/>
          <w:sz w:val="32"/>
          <w:szCs w:val="32"/>
          <w:highlight w:val="none"/>
        </w:rPr>
      </w:pPr>
      <w:r/>
      <w:bookmarkStart w:id="7" w:name="_Toc38985263"/>
      <w:r/>
      <w:bookmarkStart w:id="8" w:name="_Toc28359079"/>
      <w:r/>
      <w:bookmarkStart w:id="9" w:name="_Toc35393790"/>
      <w:r/>
      <w:bookmarkStart w:id="10" w:name="_Toc28359002"/>
      <w:r/>
      <w:bookmarkStart w:id="11" w:name="_Toc35393621"/>
      <w:r/>
      <w:bookmarkStart w:id="12" w:name="_Hlk24379207"/>
      <w:r>
        <w:rPr>
          <w:rFonts w:hint="eastAsia" w:ascii="仿宋" w:hAnsi="仿宋" w:eastAsia="仿宋" w:cs="仿宋"/>
          <w:b/>
          <w:bCs/>
          <w:color w:val="auto"/>
          <w:sz w:val="32"/>
          <w:szCs w:val="32"/>
          <w:highlight w:val="none"/>
        </w:rPr>
        <w:t xml:space="preserve">一、项目基本情况</w:t>
      </w:r>
      <w:bookmarkEnd w:id="7"/>
      <w:r/>
      <w:bookmarkEnd w:id="8"/>
      <w:r/>
      <w:bookmarkEnd w:id="9"/>
      <w:r/>
      <w:bookmarkEnd w:id="10"/>
      <w:r/>
      <w:bookmarkEnd w:id="11"/>
      <w:r/>
      <w:r/>
    </w:p>
    <w:p>
      <w:pPr>
        <w:ind w:firstLine="480"/>
        <w:rPr>
          <w:rFonts w:hint="default" w:ascii="仿宋" w:hAnsi="仿宋" w:eastAsia="宋体"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1.项目编号：</w:t>
      </w:r>
      <w:r>
        <w:rPr>
          <w:rFonts w:ascii="Segoe UI" w:hAnsi="Segoe UI" w:eastAsia="Segoe UI" w:cs="Segoe UI"/>
          <w:i w:val="0"/>
          <w:iCs w:val="0"/>
          <w:caps w:val="0"/>
          <w:color w:val="auto"/>
          <w:spacing w:val="0"/>
          <w:sz w:val="21"/>
          <w:szCs w:val="21"/>
          <w:shd w:val="clear" w:color="auto" w:fill="ffffff"/>
        </w:rPr>
        <w:t xml:space="preserve">JSZC-320623-DYZX-G202</w:t>
      </w:r>
      <w:r>
        <w:rPr>
          <w:rFonts w:hint="eastAsia" w:ascii="Segoe UI" w:hAnsi="Segoe UI" w:eastAsia="宋体" w:cs="Segoe UI"/>
          <w:i w:val="0"/>
          <w:iCs w:val="0"/>
          <w:caps w:val="0"/>
          <w:color w:val="auto"/>
          <w:spacing w:val="0"/>
          <w:sz w:val="21"/>
          <w:szCs w:val="21"/>
          <w:shd w:val="clear" w:color="auto" w:fill="ffffff"/>
          <w:lang w:val="en-US" w:eastAsia="zh-CN"/>
        </w:rPr>
        <w:t xml:space="preserve">6</w:t>
      </w:r>
      <w:r>
        <w:rPr>
          <w:rFonts w:ascii="Segoe UI" w:hAnsi="Segoe UI" w:eastAsia="Segoe UI" w:cs="Segoe UI"/>
          <w:i w:val="0"/>
          <w:iCs w:val="0"/>
          <w:caps w:val="0"/>
          <w:color w:val="auto"/>
          <w:spacing w:val="0"/>
          <w:sz w:val="21"/>
          <w:szCs w:val="21"/>
          <w:shd w:val="clear" w:color="auto" w:fill="ffffff"/>
        </w:rPr>
        <w:t xml:space="preserve">-</w:t>
      </w:r>
      <w:r>
        <w:rPr>
          <w:rFonts w:hint="eastAsia" w:ascii="Segoe UI" w:hAnsi="Segoe UI" w:eastAsia="宋体" w:cs="Segoe UI"/>
          <w:i w:val="0"/>
          <w:iCs w:val="0"/>
          <w:caps w:val="0"/>
          <w:color w:val="auto"/>
          <w:spacing w:val="0"/>
          <w:sz w:val="21"/>
          <w:szCs w:val="21"/>
          <w:shd w:val="clear" w:color="auto" w:fill="ffffff"/>
          <w:lang w:val="en-US" w:eastAsia="zh-CN"/>
        </w:rPr>
        <w:t xml:space="preserve">0005</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bookmarkStart w:id="13" w:name="OLE_LINK2"/>
      <w:r/>
      <w:bookmarkStart w:id="14" w:name="OLE_LINK1"/>
      <w:r>
        <w:rPr>
          <w:rFonts w:hint="eastAsia" w:ascii="仿宋" w:hAnsi="仿宋" w:eastAsia="仿宋" w:cs="仿宋"/>
          <w:color w:val="auto"/>
          <w:sz w:val="24"/>
          <w:szCs w:val="24"/>
          <w:highlight w:val="none"/>
        </w:rPr>
        <w:t xml:space="preserve">如东县市场监督管理局</w:t>
      </w:r>
      <w:r>
        <w:rPr>
          <w:rFonts w:hint="eastAsia" w:ascii="仿宋" w:hAnsi="仿宋" w:eastAsia="仿宋" w:cs="仿宋"/>
          <w:color w:val="auto"/>
          <w:sz w:val="24"/>
          <w:szCs w:val="24"/>
          <w:highlight w:val="none"/>
          <w:lang w:eastAsia="zh-CN"/>
        </w:rPr>
        <w:t xml:space="preserve">2026年</w:t>
      </w:r>
      <w:r>
        <w:rPr>
          <w:rFonts w:hint="eastAsia" w:ascii="仿宋" w:hAnsi="仿宋" w:eastAsia="仿宋" w:cs="仿宋"/>
          <w:color w:val="auto"/>
          <w:sz w:val="24"/>
          <w:szCs w:val="24"/>
          <w:highlight w:val="none"/>
        </w:rPr>
        <w:t xml:space="preserve">食品安全监督抽检项目</w:t>
      </w:r>
      <w:bookmarkEnd w:id="13"/>
      <w:r/>
      <w:bookmarkEnd w:id="14"/>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3.采购方式：公开招标</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4.项目类型：服务</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5.所属行业：其他未列明行业</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bookmarkEnd w:id="12"/>
      <w:r>
        <w:rPr>
          <w:rFonts w:hint="eastAsia" w:ascii="仿宋" w:hAnsi="仿宋" w:eastAsia="仿宋" w:cs="仿宋"/>
          <w:color w:val="auto"/>
          <w:sz w:val="24"/>
          <w:szCs w:val="24"/>
          <w:highlight w:val="none"/>
        </w:rPr>
        <w:t xml:space="preserve">预算金额：16</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投标报价超过预算单价的视为无效报价。</w:t>
      </w:r>
      <w:r/>
    </w:p>
    <w:p>
      <w:pPr>
        <w:ind w:firstLine="480"/>
        <w:rPr>
          <w:rFonts w:ascii="仿宋" w:hAnsi="仿宋" w:eastAsia="仿宋" w:cs="仿宋"/>
          <w:color w:val="auto"/>
          <w:sz w:val="24"/>
          <w:szCs w:val="24"/>
          <w:highlight w:val="none"/>
        </w:rPr>
      </w:pPr>
      <w:r/>
      <w:bookmarkStart w:id="15" w:name="_Toc35393791"/>
      <w:r/>
      <w:bookmarkStart w:id="16" w:name="_Toc38985264"/>
      <w:r/>
      <w:bookmarkStart w:id="17" w:name="_Toc28359080"/>
      <w:r/>
      <w:bookmarkStart w:id="18" w:name="_Toc35393622"/>
      <w:r/>
      <w:bookmarkStart w:id="19" w:name="_Toc28359003"/>
      <w:r>
        <w:rPr>
          <w:rFonts w:hint="eastAsia" w:ascii="仿宋" w:hAnsi="仿宋" w:eastAsia="仿宋" w:cs="仿宋"/>
          <w:color w:val="auto"/>
          <w:sz w:val="24"/>
          <w:szCs w:val="24"/>
          <w:highlight w:val="none"/>
        </w:rPr>
        <w:t xml:space="preserve">7.采购需求（简介）：</w:t>
      </w:r>
      <w:r>
        <w:rPr>
          <w:rFonts w:ascii="仿宋" w:hAnsi="仿宋" w:eastAsia="仿宋" w:cs="仿宋"/>
          <w:color w:val="auto"/>
          <w:sz w:val="24"/>
          <w:szCs w:val="24"/>
          <w:highlight w:val="none"/>
        </w:rPr>
        <w:t xml:space="preserve">本次项目共包含检测服务</w:t>
      </w:r>
      <w:r>
        <w:rPr>
          <w:rFonts w:hint="eastAsia" w:ascii="仿宋" w:hAnsi="仿宋" w:eastAsia="仿宋" w:cs="仿宋"/>
          <w:color w:val="auto"/>
          <w:sz w:val="24"/>
          <w:szCs w:val="24"/>
          <w:highlight w:val="none"/>
          <w:lang w:val="en-US" w:eastAsia="zh-CN"/>
        </w:rPr>
        <w:t xml:space="preserve">3200</w:t>
      </w:r>
      <w:r>
        <w:rPr>
          <w:rFonts w:ascii="仿宋" w:hAnsi="仿宋" w:eastAsia="仿宋" w:cs="仿宋"/>
          <w:color w:val="auto"/>
          <w:sz w:val="24"/>
          <w:szCs w:val="24"/>
          <w:highlight w:val="none"/>
        </w:rPr>
        <w:t xml:space="preserve">批次。</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本项目分成</w:t>
      </w:r>
      <w:r>
        <w:rPr>
          <w:rFonts w:hint="eastAsia" w:ascii="仿宋" w:hAnsi="仿宋" w:eastAsia="仿宋" w:cs="仿宋"/>
          <w:color w:val="auto"/>
          <w:sz w:val="24"/>
          <w:szCs w:val="24"/>
          <w:highlight w:val="none"/>
        </w:rPr>
        <w:t xml:space="preserve">六</w:t>
      </w:r>
      <w:r>
        <w:rPr>
          <w:rFonts w:ascii="仿宋" w:hAnsi="仿宋" w:eastAsia="仿宋" w:cs="仿宋"/>
          <w:color w:val="auto"/>
          <w:sz w:val="24"/>
          <w:szCs w:val="24"/>
          <w:highlight w:val="none"/>
        </w:rPr>
        <w:t xml:space="preserve">个独立标段，分别是:</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标段1：</w:t>
      </w:r>
      <w:r>
        <w:rPr>
          <w:rFonts w:hint="eastAsia" w:ascii="仿宋" w:hAnsi="仿宋" w:eastAsia="仿宋" w:cs="仿宋"/>
          <w:color w:val="auto"/>
          <w:sz w:val="24"/>
          <w:szCs w:val="24"/>
          <w:highlight w:val="none"/>
          <w:lang w:val="en-US" w:eastAsia="zh-CN"/>
        </w:rPr>
        <w:t xml:space="preserve">539</w:t>
      </w:r>
      <w:r>
        <w:rPr>
          <w:rFonts w:ascii="仿宋" w:hAnsi="仿宋" w:eastAsia="仿宋" w:cs="仿宋"/>
          <w:color w:val="auto"/>
          <w:sz w:val="24"/>
          <w:szCs w:val="24"/>
          <w:highlight w:val="none"/>
        </w:rPr>
        <w:t xml:space="preserve">批次，抽检范围：掘港，最高预算金额</w:t>
      </w:r>
      <w:r>
        <w:rPr>
          <w:rFonts w:hint="eastAsia" w:ascii="仿宋" w:hAnsi="仿宋" w:eastAsia="仿宋" w:cs="仿宋"/>
          <w:color w:val="auto"/>
          <w:sz w:val="24"/>
          <w:szCs w:val="24"/>
          <w:highlight w:val="none"/>
          <w:lang w:val="en-US" w:eastAsia="zh-CN"/>
        </w:rPr>
        <w:t xml:space="preserve">269500</w:t>
      </w:r>
      <w:r>
        <w:rPr>
          <w:rFonts w:ascii="仿宋" w:hAnsi="仿宋" w:eastAsia="仿宋" w:cs="仿宋"/>
          <w:color w:val="auto"/>
          <w:sz w:val="24"/>
          <w:szCs w:val="24"/>
          <w:highlight w:val="none"/>
        </w:rPr>
        <w:t xml:space="preserve">元。</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标段2：</w:t>
      </w:r>
      <w:r>
        <w:rPr>
          <w:rFonts w:hint="eastAsia" w:ascii="仿宋" w:hAnsi="仿宋" w:eastAsia="仿宋" w:cs="仿宋"/>
          <w:color w:val="auto"/>
          <w:sz w:val="24"/>
          <w:szCs w:val="24"/>
          <w:highlight w:val="none"/>
          <w:lang w:val="en-US" w:eastAsia="zh-CN"/>
        </w:rPr>
        <w:t xml:space="preserve">539</w:t>
      </w:r>
      <w:r>
        <w:rPr>
          <w:rFonts w:ascii="仿宋" w:hAnsi="仿宋" w:eastAsia="仿宋" w:cs="仿宋"/>
          <w:color w:val="auto"/>
          <w:sz w:val="24"/>
          <w:szCs w:val="24"/>
          <w:highlight w:val="none"/>
        </w:rPr>
        <w:t xml:space="preserve">批次，抽检范围：</w:t>
      </w:r>
      <w:r>
        <w:rPr>
          <w:rFonts w:hint="eastAsia" w:ascii="仿宋" w:hAnsi="仿宋" w:eastAsia="仿宋" w:cs="仿宋"/>
          <w:color w:val="auto"/>
          <w:sz w:val="24"/>
          <w:szCs w:val="24"/>
          <w:highlight w:val="none"/>
        </w:rPr>
        <w:t xml:space="preserve">掘港、马塘</w:t>
      </w:r>
      <w:r>
        <w:rPr>
          <w:rFonts w:ascii="仿宋" w:hAnsi="仿宋" w:eastAsia="仿宋" w:cs="仿宋"/>
          <w:color w:val="auto"/>
          <w:sz w:val="24"/>
          <w:szCs w:val="24"/>
          <w:highlight w:val="none"/>
        </w:rPr>
        <w:t xml:space="preserve">，最高预算金额</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69500</w:t>
      </w:r>
      <w:r>
        <w:rPr>
          <w:rFonts w:ascii="仿宋" w:hAnsi="仿宋" w:eastAsia="仿宋" w:cs="仿宋"/>
          <w:color w:val="auto"/>
          <w:sz w:val="24"/>
          <w:szCs w:val="24"/>
          <w:highlight w:val="none"/>
        </w:rPr>
        <w:t xml:space="preserve">元；</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标段3：</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22</w:t>
      </w:r>
      <w:r>
        <w:rPr>
          <w:rFonts w:ascii="仿宋" w:hAnsi="仿宋" w:eastAsia="仿宋" w:cs="仿宋"/>
          <w:color w:val="auto"/>
          <w:sz w:val="24"/>
          <w:szCs w:val="24"/>
          <w:highlight w:val="none"/>
        </w:rPr>
        <w:t xml:space="preserve">批次，抽检范围：</w:t>
      </w:r>
      <w:r>
        <w:rPr>
          <w:rFonts w:hint="eastAsia" w:ascii="仿宋" w:hAnsi="仿宋" w:eastAsia="仿宋" w:cs="仿宋"/>
          <w:color w:val="auto"/>
          <w:sz w:val="24"/>
          <w:szCs w:val="24"/>
          <w:highlight w:val="none"/>
        </w:rPr>
        <w:t xml:space="preserve">开发区</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大豫</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长沙</w:t>
      </w:r>
      <w:r>
        <w:rPr>
          <w:rFonts w:ascii="仿宋" w:hAnsi="仿宋" w:eastAsia="仿宋" w:cs="仿宋"/>
          <w:color w:val="auto"/>
          <w:sz w:val="24"/>
          <w:szCs w:val="24"/>
          <w:highlight w:val="none"/>
        </w:rPr>
        <w:t xml:space="preserve">，最高预算金额</w:t>
      </w:r>
      <w:r>
        <w:rPr>
          <w:rFonts w:hint="eastAsia" w:ascii="仿宋" w:hAnsi="仿宋" w:eastAsia="仿宋" w:cs="仿宋"/>
          <w:color w:val="auto"/>
          <w:sz w:val="24"/>
          <w:szCs w:val="24"/>
          <w:highlight w:val="none"/>
          <w:lang w:val="en-US" w:eastAsia="zh-CN"/>
        </w:rPr>
        <w:t xml:space="preserve">261000</w:t>
      </w:r>
      <w:r>
        <w:rPr>
          <w:rFonts w:ascii="仿宋" w:hAnsi="仿宋" w:eastAsia="仿宋" w:cs="仿宋"/>
          <w:color w:val="auto"/>
          <w:sz w:val="24"/>
          <w:szCs w:val="24"/>
          <w:highlight w:val="none"/>
        </w:rPr>
        <w:t xml:space="preserve">元；</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标段4：</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42</w:t>
      </w:r>
      <w:r>
        <w:rPr>
          <w:rFonts w:ascii="仿宋" w:hAnsi="仿宋" w:eastAsia="仿宋" w:cs="仿宋"/>
          <w:color w:val="auto"/>
          <w:sz w:val="24"/>
          <w:szCs w:val="24"/>
          <w:highlight w:val="none"/>
        </w:rPr>
        <w:t xml:space="preserve">批次，抽检范围：</w:t>
      </w:r>
      <w:r>
        <w:rPr>
          <w:rFonts w:hint="eastAsia" w:ascii="仿宋" w:hAnsi="仿宋" w:eastAsia="仿宋" w:cs="仿宋"/>
          <w:color w:val="auto"/>
          <w:sz w:val="24"/>
          <w:szCs w:val="24"/>
          <w:highlight w:val="none"/>
        </w:rPr>
        <w:t xml:space="preserve">岔河、曹埠、新店</w:t>
      </w:r>
      <w:r>
        <w:rPr>
          <w:rFonts w:ascii="仿宋" w:hAnsi="仿宋" w:eastAsia="仿宋" w:cs="仿宋"/>
          <w:color w:val="auto"/>
          <w:sz w:val="24"/>
          <w:szCs w:val="24"/>
          <w:highlight w:val="none"/>
        </w:rPr>
        <w:t xml:space="preserve">，最高预算金额</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710</w:t>
      </w:r>
      <w:r>
        <w:rPr>
          <w:rFonts w:hint="eastAsia" w:ascii="仿宋" w:hAnsi="仿宋" w:eastAsia="仿宋" w:cs="仿宋"/>
          <w:color w:val="auto"/>
          <w:sz w:val="24"/>
          <w:szCs w:val="24"/>
          <w:highlight w:val="none"/>
        </w:rPr>
        <w:t xml:space="preserve">00</w:t>
      </w:r>
      <w:r>
        <w:rPr>
          <w:rFonts w:ascii="仿宋" w:hAnsi="仿宋" w:eastAsia="仿宋" w:cs="仿宋"/>
          <w:color w:val="auto"/>
          <w:sz w:val="24"/>
          <w:szCs w:val="24"/>
          <w:highlight w:val="none"/>
        </w:rPr>
        <w:t xml:space="preserve">元。</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标段</w:t>
      </w:r>
      <w:r>
        <w:rPr>
          <w:rFonts w:hint="eastAsia" w:ascii="仿宋" w:hAnsi="仿宋" w:eastAsia="仿宋" w:cs="仿宋"/>
          <w:color w:val="auto"/>
          <w:sz w:val="24"/>
          <w:szCs w:val="24"/>
          <w:highlight w:val="none"/>
        </w:rPr>
        <w:t xml:space="preserve">5</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30</w:t>
      </w:r>
      <w:r>
        <w:rPr>
          <w:rFonts w:ascii="仿宋" w:hAnsi="仿宋" w:eastAsia="仿宋" w:cs="仿宋"/>
          <w:color w:val="auto"/>
          <w:sz w:val="24"/>
          <w:szCs w:val="24"/>
          <w:highlight w:val="none"/>
        </w:rPr>
        <w:t xml:space="preserve">批次，抽检范围：</w:t>
      </w:r>
      <w:r>
        <w:rPr>
          <w:rFonts w:hint="eastAsia" w:ascii="仿宋" w:hAnsi="仿宋" w:eastAsia="仿宋" w:cs="仿宋"/>
          <w:color w:val="auto"/>
          <w:sz w:val="24"/>
          <w:szCs w:val="24"/>
          <w:highlight w:val="none"/>
        </w:rPr>
        <w:t xml:space="preserve">丰利、双甸、河口</w:t>
      </w:r>
      <w:r>
        <w:rPr>
          <w:rFonts w:ascii="仿宋" w:hAnsi="仿宋" w:eastAsia="仿宋" w:cs="仿宋"/>
          <w:color w:val="auto"/>
          <w:sz w:val="24"/>
          <w:szCs w:val="24"/>
          <w:highlight w:val="none"/>
        </w:rPr>
        <w:t xml:space="preserve">，最高预算金额</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00</w:t>
      </w:r>
      <w:r>
        <w:rPr>
          <w:rFonts w:ascii="仿宋" w:hAnsi="仿宋" w:eastAsia="仿宋" w:cs="仿宋"/>
          <w:color w:val="auto"/>
          <w:sz w:val="24"/>
          <w:szCs w:val="24"/>
          <w:highlight w:val="none"/>
        </w:rPr>
        <w:t xml:space="preserve">元。</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标段</w:t>
      </w:r>
      <w:r>
        <w:rPr>
          <w:rFonts w:hint="eastAsia" w:ascii="仿宋" w:hAnsi="仿宋" w:eastAsia="仿宋" w:cs="仿宋"/>
          <w:color w:val="auto"/>
          <w:sz w:val="24"/>
          <w:szCs w:val="24"/>
          <w:highlight w:val="none"/>
        </w:rPr>
        <w:t xml:space="preserve">6</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28</w:t>
      </w:r>
      <w:r>
        <w:rPr>
          <w:rFonts w:ascii="仿宋" w:hAnsi="仿宋" w:eastAsia="仿宋" w:cs="仿宋"/>
          <w:color w:val="auto"/>
          <w:sz w:val="24"/>
          <w:szCs w:val="24"/>
          <w:highlight w:val="none"/>
        </w:rPr>
        <w:t xml:space="preserve">批次，抽检范围：</w:t>
      </w:r>
      <w:r>
        <w:rPr>
          <w:rFonts w:hint="eastAsia" w:ascii="仿宋" w:hAnsi="仿宋" w:eastAsia="仿宋" w:cs="仿宋"/>
          <w:color w:val="auto"/>
          <w:sz w:val="24"/>
          <w:szCs w:val="24"/>
          <w:highlight w:val="none"/>
        </w:rPr>
        <w:t xml:space="preserve">洋口、栟茶、袁庄</w:t>
      </w:r>
      <w:r>
        <w:rPr>
          <w:rFonts w:ascii="仿宋" w:hAnsi="仿宋" w:eastAsia="仿宋" w:cs="仿宋"/>
          <w:color w:val="auto"/>
          <w:sz w:val="24"/>
          <w:szCs w:val="24"/>
          <w:highlight w:val="none"/>
        </w:rPr>
        <w:t xml:space="preserve">，最高预算金额</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640</w:t>
      </w:r>
      <w:r>
        <w:rPr>
          <w:rFonts w:hint="eastAsia" w:ascii="仿宋" w:hAnsi="仿宋" w:eastAsia="仿宋" w:cs="仿宋"/>
          <w:color w:val="auto"/>
          <w:sz w:val="24"/>
          <w:szCs w:val="24"/>
          <w:highlight w:val="none"/>
        </w:rPr>
        <w:t xml:space="preserve">00</w:t>
      </w:r>
      <w:r>
        <w:rPr>
          <w:rFonts w:ascii="仿宋" w:hAnsi="仿宋" w:eastAsia="仿宋" w:cs="仿宋"/>
          <w:color w:val="auto"/>
          <w:sz w:val="24"/>
          <w:szCs w:val="24"/>
          <w:highlight w:val="none"/>
        </w:rPr>
        <w:t xml:space="preserve">元。</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rPr>
        <w:t xml:space="preserve">六</w:t>
      </w:r>
      <w:r>
        <w:rPr>
          <w:rFonts w:ascii="仿宋" w:hAnsi="仿宋" w:eastAsia="仿宋" w:cs="仿宋"/>
          <w:color w:val="auto"/>
          <w:sz w:val="24"/>
          <w:szCs w:val="24"/>
          <w:highlight w:val="none"/>
        </w:rPr>
        <w:t xml:space="preserve">个标段按照公开招标的要求，投标单位必须报名参与全部</w:t>
      </w:r>
      <w:r>
        <w:rPr>
          <w:rFonts w:hint="eastAsia" w:ascii="仿宋" w:hAnsi="仿宋" w:eastAsia="仿宋" w:cs="仿宋"/>
          <w:color w:val="auto"/>
          <w:sz w:val="24"/>
          <w:szCs w:val="24"/>
          <w:highlight w:val="none"/>
        </w:rPr>
        <w:t xml:space="preserve">六</w:t>
      </w:r>
      <w:r>
        <w:rPr>
          <w:rFonts w:ascii="仿宋" w:hAnsi="仿宋" w:eastAsia="仿宋" w:cs="仿宋"/>
          <w:color w:val="auto"/>
          <w:sz w:val="24"/>
          <w:szCs w:val="24"/>
          <w:highlight w:val="none"/>
        </w:rPr>
        <w:t xml:space="preserve">个标段的投标，对</w:t>
      </w:r>
      <w:r>
        <w:rPr>
          <w:rFonts w:hint="eastAsia" w:ascii="仿宋" w:hAnsi="仿宋" w:eastAsia="仿宋" w:cs="仿宋"/>
          <w:color w:val="auto"/>
          <w:sz w:val="24"/>
          <w:szCs w:val="24"/>
          <w:highlight w:val="none"/>
        </w:rPr>
        <w:t xml:space="preserve">六</w:t>
      </w:r>
      <w:r>
        <w:rPr>
          <w:rFonts w:ascii="仿宋" w:hAnsi="仿宋" w:eastAsia="仿宋" w:cs="仿宋"/>
          <w:color w:val="auto"/>
          <w:sz w:val="24"/>
          <w:szCs w:val="24"/>
          <w:highlight w:val="none"/>
        </w:rPr>
        <w:t xml:space="preserve">个标段分别报价，但只能中一个标段。资审及商务技术评审结束后，按照标段1、2、3、4</w:t>
      </w:r>
      <w:r>
        <w:rPr>
          <w:rFonts w:hint="eastAsia" w:ascii="仿宋" w:hAnsi="仿宋" w:eastAsia="仿宋" w:cs="仿宋"/>
          <w:color w:val="auto"/>
          <w:sz w:val="24"/>
          <w:szCs w:val="24"/>
          <w:highlight w:val="none"/>
        </w:rPr>
        <w:t xml:space="preserve">、5、6</w:t>
      </w:r>
      <w:r>
        <w:rPr>
          <w:rFonts w:ascii="仿宋" w:hAnsi="仿宋" w:eastAsia="仿宋" w:cs="仿宋"/>
          <w:color w:val="auto"/>
          <w:sz w:val="24"/>
          <w:szCs w:val="24"/>
          <w:highlight w:val="none"/>
        </w:rPr>
        <w:t xml:space="preserve">的顺序依次评标，每个标段根据评分结果分别取第一名作为中标供应商，如后开标的标段中第一名在前面的标段中已中标的，确定第二名作为中标供应商，如第二名也已中标的，确定第三名作为中标供应商，依此类推。每标段中标金额按照投标人的投标价确定。</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（详细内容见本招标文件第四章）</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8.合同履行期限：202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年6月1日至202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年5月31日。</w:t>
      </w:r>
      <w:r/>
    </w:p>
    <w:p>
      <w:pPr>
        <w:ind w:firstLine="482"/>
        <w:keepLines/>
        <w:keepNext/>
        <w:spacing w:before="145" w:after="145"/>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9.本项目是否接受联合体投标：否。</w:t>
      </w:r>
      <w:r/>
    </w:p>
    <w:p>
      <w:pPr>
        <w:ind w:firstLine="482"/>
        <w:keepLines/>
        <w:keepNext/>
        <w:spacing w:before="145" w:after="145"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10.本项目是否接受分包：否</w:t>
      </w:r>
      <w:r>
        <w:rPr>
          <w:rFonts w:hint="eastAsia" w:ascii="仿宋" w:hAnsi="仿宋" w:eastAsia="仿宋" w:cs="仿宋"/>
          <w:color w:val="auto"/>
          <w:sz w:val="24"/>
          <w:szCs w:val="24"/>
          <w:highlight w:val="none"/>
        </w:rPr>
        <w:t xml:space="preserve">。</w:t>
      </w:r>
      <w:r/>
    </w:p>
    <w:p>
      <w:pPr>
        <w:ind w:firstLine="498"/>
        <w:keepLines/>
        <w:keepNext/>
        <w:spacing w:before="145" w:after="145"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32"/>
          <w:szCs w:val="32"/>
          <w:highlight w:val="none"/>
        </w:rPr>
        <w:t xml:space="preserve">二、申请人的资格要求</w:t>
      </w:r>
      <w:bookmarkEnd w:id="15"/>
      <w:r/>
      <w:bookmarkEnd w:id="16"/>
      <w:r/>
      <w:bookmarkEnd w:id="17"/>
      <w:r/>
      <w:bookmarkEnd w:id="18"/>
      <w:r/>
      <w:bookmarkEnd w:id="19"/>
      <w:r/>
      <w:bookmarkStart w:id="20" w:name="_Toc38985265"/>
      <w:r/>
      <w:bookmarkStart w:id="21" w:name="_Toc28359081"/>
      <w:r/>
      <w:bookmarkStart w:id="22" w:name="_Toc28359004"/>
      <w:r/>
      <w:bookmarkStart w:id="23" w:name="_Toc35393792"/>
      <w:r/>
      <w:bookmarkStart w:id="24" w:name="_Toc35393623"/>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1.满足《中华人民共和国政府采购法》第二十二条规定；（按附件3格式进行声明，投标文件中无需提供其他证明材料）；</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本项目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4.特定资格要求：</w:t>
      </w:r>
      <w:r/>
    </w:p>
    <w:p>
      <w:pPr>
        <w:ind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（1）供应商具有有效期内的计量认证（CMA）资质证书。</w:t>
      </w:r>
      <w:r/>
    </w:p>
    <w:p>
      <w:pPr>
        <w:ind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（2）供应商须具有《国家食品安全监督抽检实施细则</w:t>
      </w:r>
      <w:r>
        <w:rPr>
          <w:rFonts w:ascii="仿宋" w:hAnsi="仿宋" w:eastAsia="仿宋" w:cs="仿宋"/>
          <w:color w:val="auto"/>
          <w:sz w:val="24"/>
          <w:szCs w:val="24"/>
          <w:highlight w:val="yellow"/>
        </w:rPr>
        <w:t xml:space="preserve">（202</w:t>
      </w:r>
      <w:r>
        <w:rPr>
          <w:rFonts w:hint="eastAsia" w:ascii="仿宋" w:hAnsi="仿宋" w:eastAsia="仿宋" w:cs="仿宋"/>
          <w:color w:val="auto"/>
          <w:sz w:val="24"/>
          <w:szCs w:val="24"/>
          <w:highlight w:val="yellow"/>
          <w:lang w:val="en-US" w:eastAsia="zh-CN"/>
        </w:rPr>
        <w:t xml:space="preserve">6</w:t>
      </w:r>
      <w:r>
        <w:rPr>
          <w:rFonts w:ascii="仿宋" w:hAnsi="仿宋" w:eastAsia="仿宋" w:cs="仿宋"/>
          <w:color w:val="auto"/>
          <w:sz w:val="24"/>
          <w:szCs w:val="24"/>
          <w:highlight w:val="yellow"/>
        </w:rPr>
        <w:t xml:space="preserve">年版）》</w:t>
      </w:r>
      <w:r>
        <w:rPr>
          <w:rFonts w:ascii="仿宋" w:hAnsi="仿宋" w:eastAsia="仿宋" w:cs="仿宋"/>
          <w:color w:val="auto"/>
          <w:sz w:val="24"/>
          <w:szCs w:val="24"/>
          <w:highlight w:val="none"/>
        </w:rPr>
        <w:t xml:space="preserve">列出的各产品检验项目的检验检测资质，</w:t>
      </w:r>
      <w:r>
        <w:rPr>
          <w:rFonts w:ascii="仿宋" w:hAnsi="仿宋" w:eastAsia="仿宋" w:cs="仿宋"/>
          <w:b/>
          <w:bCs/>
          <w:color w:val="auto"/>
          <w:sz w:val="24"/>
          <w:szCs w:val="24"/>
          <w:highlight w:val="none"/>
        </w:rPr>
        <w:t xml:space="preserve">投标单位须在</w:t>
      </w:r>
      <w:r>
        <w:rPr>
          <w:rFonts w:hint="eastAsia" w:ascii="仿宋" w:hAnsi="仿宋" w:eastAsia="仿宋" w:cs="仿宋"/>
          <w:b/>
          <w:bCs/>
          <w:color w:val="auto"/>
          <w:sz w:val="24"/>
          <w:szCs w:val="24"/>
          <w:highlight w:val="none"/>
          <w:lang w:eastAsia="zh-CN"/>
        </w:rPr>
        <w:t xml:space="preserve">投标</w:t>
      </w:r>
      <w:r>
        <w:rPr>
          <w:rFonts w:ascii="仿宋" w:hAnsi="仿宋" w:eastAsia="仿宋" w:cs="仿宋"/>
          <w:b/>
          <w:bCs/>
          <w:color w:val="auto"/>
          <w:sz w:val="24"/>
          <w:szCs w:val="24"/>
          <w:highlight w:val="none"/>
        </w:rPr>
        <w:t xml:space="preserve">前取得相应资质</w:t>
      </w:r>
      <w:r>
        <w:rPr>
          <w:rFonts w:ascii="仿宋" w:hAnsi="仿宋" w:eastAsia="仿宋" w:cs="仿宋"/>
          <w:color w:val="auto"/>
          <w:sz w:val="24"/>
          <w:szCs w:val="24"/>
          <w:highlight w:val="none"/>
        </w:rPr>
        <w:t xml:space="preserve">，同时满足餐饮具抽检现场采样条件要求，提供相应证明材料。</w:t>
      </w:r>
      <w:r/>
    </w:p>
    <w:p>
      <w:pPr>
        <w:ind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（3）根据县财政局《关于进一步加大政府采购支持中小企业力度通知》（东财购【2022】8号）和《江苏省中小企业促进条例》的规定，本项目面向中小企业采购。</w:t>
      </w:r>
      <w:r/>
    </w:p>
    <w:p>
      <w:pPr>
        <w:pStyle w:val="1019"/>
        <w:ind w:left="405" w:firstLine="14"/>
        <w:jc w:val="lef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三、获取招标文件</w:t>
      </w:r>
      <w:bookmarkEnd w:id="20"/>
      <w:r/>
      <w:bookmarkEnd w:id="21"/>
      <w:r/>
      <w:bookmarkEnd w:id="22"/>
      <w:r/>
      <w:bookmarkEnd w:id="23"/>
      <w:r/>
      <w:bookmarkEnd w:id="24"/>
      <w:r/>
      <w:r/>
    </w:p>
    <w:p>
      <w:pPr>
        <w:ind w:firstLine="480"/>
        <w:spacing w:line="500" w:lineRule="exact"/>
        <w:rPr>
          <w:rFonts w:hint="eastAsia" w:ascii="仿宋" w:hAnsi="仿宋" w:eastAsia="仿宋" w:cs="仿宋"/>
          <w:color w:val="auto"/>
          <w:sz w:val="24"/>
          <w:szCs w:val="24"/>
          <w:highlight w:val="none"/>
        </w:rPr>
      </w:pPr>
      <w:r/>
      <w:bookmarkStart w:id="25" w:name="_Toc28359082"/>
      <w:r/>
      <w:bookmarkStart w:id="26" w:name="_Toc28359005"/>
      <w:r/>
      <w:bookmarkStart w:id="27" w:name="_Toc35393793"/>
      <w:r/>
      <w:bookmarkStart w:id="28" w:name="_Toc38985266"/>
      <w:r/>
      <w:bookmarkStart w:id="29" w:name="_Toc35393624"/>
      <w:r>
        <w:rPr>
          <w:rFonts w:hint="eastAsia" w:ascii="仿宋" w:hAnsi="仿宋" w:eastAsia="仿宋" w:cs="仿宋"/>
          <w:color w:val="auto"/>
          <w:sz w:val="24"/>
          <w:szCs w:val="24"/>
          <w:highlight w:val="none"/>
        </w:rPr>
        <w:t xml:space="preserve">1.时间：自本公告发布之日起5个工作日。</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2.地点：“江苏政府采购网”</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3.方式：凡有意参与投标的供应商须登录江苏政府采购网首页点击“苏采云”→通过CA锁进行响应确认，并自行在招标文件有效获取期内及时下载获取。</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4.售价：免费</w:t>
      </w:r>
      <w:r/>
    </w:p>
    <w:p>
      <w:pPr>
        <w:ind w:firstLine="498"/>
        <w:keepLines/>
        <w:keepNext/>
        <w:spacing w:before="145" w:after="145"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四、提交投标文件</w:t>
      </w:r>
      <w:bookmarkEnd w:id="25"/>
      <w:r/>
      <w:bookmarkEnd w:id="26"/>
      <w:r>
        <w:rPr>
          <w:rFonts w:hint="eastAsia" w:ascii="仿宋" w:hAnsi="仿宋" w:eastAsia="仿宋" w:cs="仿宋"/>
          <w:b/>
          <w:bCs/>
          <w:color w:val="auto"/>
          <w:sz w:val="32"/>
          <w:szCs w:val="32"/>
          <w:highlight w:val="none"/>
        </w:rPr>
        <w:t xml:space="preserve">截止时间、开标时间和地点</w:t>
      </w:r>
      <w:bookmarkEnd w:id="27"/>
      <w:r/>
      <w:bookmarkEnd w:id="28"/>
      <w:r/>
      <w:bookmarkEnd w:id="29"/>
      <w:r/>
      <w:r/>
    </w:p>
    <w:p>
      <w:pPr>
        <w:ind w:firstLine="480"/>
        <w:spacing w:line="44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1.202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eastAsia="zh-CN"/>
        </w:rPr>
        <w:t xml:space="preserve">11</w:t>
      </w:r>
      <w:r>
        <w:rPr>
          <w:rFonts w:hint="eastAsia" w:ascii="仿宋" w:hAnsi="仿宋" w:eastAsia="仿宋" w:cs="仿宋"/>
          <w:bCs/>
          <w:color w:val="auto"/>
          <w:sz w:val="24"/>
          <w:szCs w:val="24"/>
          <w:highlight w:val="none"/>
        </w:rPr>
        <w:t xml:space="preserve">日</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点</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0分（北京时间）。</w:t>
      </w:r>
      <w:r>
        <w:rPr>
          <w:rFonts w:hint="eastAsia" w:ascii="仿宋" w:hAnsi="仿宋" w:eastAsia="仿宋" w:cs="仿宋"/>
          <w:color w:val="auto"/>
          <w:sz w:val="24"/>
          <w:szCs w:val="24"/>
          <w:highlight w:val="none"/>
        </w:rPr>
        <w:t xml:space="preserve">逾时，系统将拒绝接受上传投标文件电子文档。</w:t>
      </w:r>
      <w:r/>
    </w:p>
    <w:p>
      <w:pPr>
        <w:ind w:firstLine="480"/>
        <w:rPr>
          <w:rFonts w:hint="eastAsia" w:ascii="仿宋" w:hAnsi="仿宋" w:eastAsia="仿宋" w:cs="仿宋"/>
          <w:bCs/>
          <w:color w:val="auto"/>
          <w:sz w:val="24"/>
          <w:szCs w:val="24"/>
          <w:highlight w:val="none"/>
          <w:u w:val="single"/>
        </w:rPr>
      </w:pPr>
      <w:r/>
      <w:bookmarkStart w:id="30" w:name="_Toc35393794"/>
      <w:r/>
      <w:bookmarkStart w:id="31" w:name="_Toc38985267"/>
      <w:r/>
      <w:bookmarkStart w:id="32" w:name="_Toc28359084"/>
      <w:r/>
      <w:bookmarkStart w:id="33" w:name="_Toc28359007"/>
      <w:r/>
      <w:bookmarkStart w:id="34" w:name="_Toc35393625"/>
      <w:r>
        <w:rPr>
          <w:rFonts w:hint="eastAsia" w:ascii="仿宋" w:hAnsi="仿宋" w:eastAsia="仿宋" w:cs="仿宋"/>
          <w:color w:val="auto"/>
          <w:sz w:val="24"/>
          <w:szCs w:val="24"/>
          <w:highlight w:val="none"/>
        </w:rPr>
        <w:t xml:space="preserve">2.地点：“苏采云”政府采购一体化平台</w:t>
      </w:r>
      <w:r>
        <w:rPr>
          <w:rFonts w:hint="eastAsia" w:ascii="仿宋" w:hAnsi="仿宋" w:eastAsia="仿宋"/>
          <w:color w:val="auto"/>
          <w:sz w:val="28"/>
          <w:szCs w:val="28"/>
          <w:highlight w:val="none"/>
        </w:rPr>
        <w:t xml:space="preserve">。</w:t>
      </w:r>
      <w:r/>
    </w:p>
    <w:p>
      <w:pPr>
        <w:ind w:firstLine="498"/>
        <w:keepLines/>
        <w:keepNext/>
        <w:spacing w:before="145" w:after="145"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五、公告期限</w:t>
      </w:r>
      <w:bookmarkEnd w:id="30"/>
      <w:r/>
      <w:bookmarkEnd w:id="31"/>
      <w:r/>
      <w:bookmarkEnd w:id="32"/>
      <w:r/>
      <w:bookmarkEnd w:id="33"/>
      <w:r/>
      <w:bookmarkEnd w:id="34"/>
      <w:r/>
      <w:r/>
    </w:p>
    <w:p>
      <w:pPr>
        <w:ind w:firstLine="480"/>
        <w:spacing w:line="400" w:lineRule="exact"/>
        <w:rPr>
          <w:rFonts w:hint="eastAsia" w:ascii="仿宋" w:hAnsi="仿宋" w:eastAsia="仿宋" w:cs="仿宋"/>
          <w:color w:val="auto"/>
          <w:sz w:val="24"/>
          <w:szCs w:val="24"/>
          <w:highlight w:val="none"/>
        </w:rPr>
      </w:pPr>
      <w:r/>
      <w:bookmarkStart w:id="35" w:name="_Toc35393795"/>
      <w:r/>
      <w:bookmarkStart w:id="36" w:name="_Toc38985268"/>
      <w:r/>
      <w:bookmarkStart w:id="37" w:name="_Toc35393626"/>
      <w:r>
        <w:rPr>
          <w:rFonts w:hint="eastAsia" w:ascii="仿宋" w:hAnsi="仿宋" w:eastAsia="仿宋" w:cs="仿宋"/>
          <w:color w:val="auto"/>
          <w:sz w:val="24"/>
          <w:szCs w:val="24"/>
          <w:highlight w:val="none"/>
        </w:rPr>
        <w:t xml:space="preserve">自本公告发布之日起5个工作日。</w:t>
      </w:r>
      <w:r/>
    </w:p>
    <w:p>
      <w:pPr>
        <w:numPr>
          <w:ilvl w:val="0"/>
          <w:numId w:val="4"/>
        </w:numPr>
        <w:ind w:firstLine="498"/>
        <w:keepLines/>
        <w:keepNext/>
        <w:spacing w:before="145" w:after="145"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其他补充事宜</w:t>
      </w:r>
      <w:bookmarkEnd w:id="35"/>
      <w:r/>
      <w:bookmarkEnd w:id="36"/>
      <w:r/>
      <w:bookmarkEnd w:id="37"/>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1.项目开标活动模式：不见面远程开标模式。</w:t>
      </w:r>
      <w:r/>
    </w:p>
    <w:p>
      <w:pPr>
        <w:ind w:firstLine="480"/>
        <w:spacing w:line="500" w:lineRule="exact"/>
        <w:rPr>
          <w:rFonts w:hint="eastAsia" w:ascii="仿宋" w:hAnsi="仿宋" w:eastAsia="仿宋" w:cs="仿宋"/>
          <w:color w:val="auto"/>
          <w:sz w:val="24"/>
          <w:szCs w:val="24"/>
          <w:highlight w:val="none"/>
        </w:rPr>
      </w:pPr>
      <w:r/>
      <w:bookmarkStart w:id="38" w:name="_Toc38985269"/>
      <w:r/>
      <w:bookmarkStart w:id="39" w:name="_Toc28359008"/>
      <w:r/>
      <w:bookmarkStart w:id="40" w:name="_Toc35393627"/>
      <w:r/>
      <w:bookmarkStart w:id="41" w:name="_Toc35393796"/>
      <w:r/>
      <w:bookmarkStart w:id="42" w:name="_Toc28359085"/>
      <w:r>
        <w:rPr>
          <w:rFonts w:hint="eastAsia" w:ascii="仿宋" w:hAnsi="仿宋" w:eastAsia="仿宋" w:cs="仿宋"/>
          <w:color w:val="auto"/>
          <w:sz w:val="24"/>
          <w:szCs w:val="24"/>
          <w:highlight w:val="none"/>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采购人提出，由向采购人负责答复。对在“苏采云”系统操作阶段的询问请向交易系统软件维护人员提出。</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4.开标当天投标人应及时登录“苏采云</w:t>
      </w:r>
      <w:r>
        <w:rPr>
          <w:rFonts w:hint="eastAsia" w:ascii="仿宋" w:hAnsi="仿宋" w:eastAsia="仿宋" w:cs="仿宋"/>
          <w:color w:val="auto"/>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firstLine="498"/>
        <w:keepLines/>
        <w:keepNext/>
        <w:spacing w:before="145" w:after="145"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七、对本次招标</w:t>
      </w:r>
      <w:bookmarkEnd w:id="38"/>
      <w:r/>
      <w:bookmarkEnd w:id="39"/>
      <w:r/>
      <w:bookmarkEnd w:id="40"/>
      <w:r/>
      <w:bookmarkEnd w:id="41"/>
      <w:r/>
      <w:bookmarkEnd w:id="42"/>
      <w:r>
        <w:rPr>
          <w:rFonts w:hint="eastAsia" w:ascii="仿宋" w:hAnsi="仿宋" w:eastAsia="仿宋" w:cs="仿宋"/>
          <w:b/>
          <w:bCs/>
          <w:color w:val="auto"/>
          <w:sz w:val="32"/>
          <w:szCs w:val="32"/>
          <w:highlight w:val="none"/>
        </w:rPr>
        <w:t xml:space="preserve">提出询问，请按以下方式联系</w:t>
      </w:r>
      <w:r/>
    </w:p>
    <w:p>
      <w:pPr>
        <w:jc w:val="left"/>
        <w:keepLines w:val="0"/>
        <w:keepNext w:val="0"/>
        <w:pageBreakBefore w:val="0"/>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4"/>
          <w:szCs w:val="24"/>
          <w:highlight w:val="none"/>
        </w:rPr>
        <w:t xml:space="preserve">1.采购人信息</w:t>
      </w:r>
      <w:r/>
    </w:p>
    <w:p>
      <w:pPr>
        <w:ind w:left="1079" w:hanging="300"/>
        <w:jc w:val="left"/>
        <w:keepLines w:val="0"/>
        <w:keepNext w:val="0"/>
        <w:pageBreakBefore w:val="0"/>
        <w:spacing w:line="500" w:lineRule="exact"/>
        <w:rPr>
          <w:rFonts w:hint="eastAsia" w:ascii="仿宋" w:hAnsi="仿宋" w:eastAsia="仿宋" w:cs="仿宋"/>
          <w:color w:val="auto"/>
          <w:sz w:val="24"/>
          <w:szCs w:val="24"/>
          <w:highlight w:val="none"/>
        </w:rPr>
      </w:pPr>
      <w:r/>
      <w:bookmarkStart w:id="43" w:name="_Toc28359086"/>
      <w:r/>
      <w:bookmarkStart w:id="44" w:name="_Toc28359009"/>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rPr>
        <w:t xml:space="preserve">　 如东县市场监督管理局　　</w:t>
      </w:r>
      <w:r/>
    </w:p>
    <w:p>
      <w:pPr>
        <w:ind w:left="1079" w:hanging="300"/>
        <w:jc w:val="left"/>
        <w:keepLines w:val="0"/>
        <w:keepNext w:val="0"/>
        <w:pageBreakBefore w:val="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址：</w:t>
      </w:r>
      <w:r>
        <w:rPr>
          <w:rFonts w:hint="eastAsia" w:ascii="仿宋" w:hAnsi="仿宋" w:eastAsia="仿宋" w:cs="仿宋"/>
          <w:color w:val="auto"/>
          <w:sz w:val="24"/>
          <w:szCs w:val="24"/>
          <w:highlight w:val="none"/>
          <w:u w:val="single"/>
        </w:rPr>
        <w:t xml:space="preserve">　 如东县城中街道 　</w:t>
      </w:r>
      <w:r/>
    </w:p>
    <w:p>
      <w:pPr>
        <w:ind w:left="1079" w:hanging="300"/>
        <w:jc w:val="left"/>
        <w:keepLines w:val="0"/>
        <w:keepNext w:val="0"/>
        <w:pageBreakBefore w:val="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系</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rPr>
        <w:t xml:space="preserve">何映秋</w:t>
      </w:r>
      <w:r>
        <w:rPr>
          <w:rFonts w:hint="eastAsia" w:ascii="仿宋" w:hAnsi="仿宋" w:eastAsia="仿宋" w:cs="仿宋"/>
          <w:color w:val="auto"/>
          <w:sz w:val="24"/>
          <w:szCs w:val="24"/>
          <w:highlight w:val="none"/>
          <w:u w:val="single"/>
        </w:rPr>
        <w:t xml:space="preserve">      </w:t>
      </w:r>
      <w:r/>
    </w:p>
    <w:p>
      <w:pPr>
        <w:ind w:left="1079" w:hanging="300"/>
        <w:jc w:val="left"/>
        <w:keepLines w:val="0"/>
        <w:keepNext w:val="0"/>
        <w:pageBreakBefore w:val="0"/>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rPr>
        <w:t xml:space="preserve">13962716161</w:t>
      </w:r>
      <w:r>
        <w:rPr>
          <w:rFonts w:hint="eastAsia" w:ascii="仿宋" w:hAnsi="仿宋" w:eastAsia="仿宋" w:cs="仿宋"/>
          <w:color w:val="auto"/>
          <w:sz w:val="24"/>
          <w:szCs w:val="24"/>
          <w:highlight w:val="none"/>
          <w:u w:val="single"/>
        </w:rPr>
        <w:t xml:space="preserve">  </w:t>
      </w:r>
      <w:r/>
    </w:p>
    <w:p>
      <w:pPr>
        <w:ind w:firstLine="480"/>
        <w:jc w:val="left"/>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2.招标代理信息</w:t>
      </w:r>
      <w:r/>
    </w:p>
    <w:p>
      <w:pPr>
        <w:ind w:firstLine="787"/>
        <w:jc w:val="left"/>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w:t>
      </w:r>
      <w:bookmarkEnd w:id="43"/>
      <w:r/>
      <w:bookmarkEnd w:id="44"/>
      <w:r>
        <w:rPr>
          <w:rFonts w:hint="eastAsia" w:ascii="仿宋" w:hAnsi="仿宋" w:eastAsia="仿宋" w:cs="仿宋"/>
          <w:color w:val="auto"/>
          <w:sz w:val="24"/>
          <w:szCs w:val="24"/>
          <w:highlight w:val="none"/>
          <w:u w:val="single"/>
        </w:rPr>
        <w:t xml:space="preserve">南京东宇工程咨询有限公司</w:t>
      </w:r>
      <w:r/>
    </w:p>
    <w:p>
      <w:pPr>
        <w:ind w:firstLine="787"/>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址：</w:t>
      </w:r>
      <w:r>
        <w:rPr>
          <w:rFonts w:hint="eastAsia" w:ascii="仿宋" w:hAnsi="仿宋" w:eastAsia="仿宋" w:cs="仿宋"/>
          <w:color w:val="auto"/>
          <w:sz w:val="24"/>
          <w:szCs w:val="24"/>
          <w:highlight w:val="none"/>
          <w:u w:val="single"/>
        </w:rPr>
        <w:t xml:space="preserve">　 如东县掘港镇泰山路东侧建设大厦一楼　</w:t>
      </w:r>
      <w:r/>
    </w:p>
    <w:p>
      <w:pPr>
        <w:ind w:firstLine="787"/>
        <w:jc w:val="left"/>
        <w:keepLines w:val="0"/>
        <w:keepNext w:val="0"/>
        <w:pageBreakBefore w:val="0"/>
        <w:spacing w:line="500" w:lineRule="exact"/>
        <w:rPr>
          <w:rFonts w:hint="eastAsia" w:ascii="仿宋" w:hAnsi="仿宋" w:eastAsia="仿宋" w:cs="仿宋"/>
          <w:color w:val="auto"/>
          <w:sz w:val="24"/>
          <w:szCs w:val="24"/>
          <w:highlight w:val="none"/>
        </w:rPr>
      </w:pPr>
      <w:r/>
      <w:bookmarkStart w:id="45" w:name="_Toc28359010"/>
      <w:r/>
      <w:bookmarkStart w:id="46" w:name="_Toc28359087"/>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     见项目联系方式  </w:t>
      </w:r>
      <w:r/>
    </w:p>
    <w:p>
      <w:pPr>
        <w:ind w:firstLine="480"/>
        <w:jc w:val="left"/>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787"/>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系</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u w:val="single"/>
        </w:rPr>
        <w:t xml:space="preserve"> 王小东</w:t>
      </w:r>
      <w:r/>
    </w:p>
    <w:p>
      <w:pPr>
        <w:ind w:firstLine="787"/>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话：</w:t>
      </w:r>
      <w:r>
        <w:rPr>
          <w:rFonts w:hint="eastAsia" w:ascii="仿宋" w:hAnsi="仿宋" w:eastAsia="仿宋" w:cs="仿宋"/>
          <w:color w:val="auto"/>
          <w:sz w:val="24"/>
          <w:szCs w:val="24"/>
          <w:highlight w:val="none"/>
          <w:u w:val="single"/>
        </w:rPr>
        <w:t xml:space="preserve"> 15851399568 </w:t>
      </w:r>
      <w:r/>
    </w:p>
    <w:p>
      <w:pPr>
        <w:numPr>
          <w:ilvl w:val="0"/>
          <w:numId w:val="5"/>
        </w:numPr>
        <w:ind w:firstLine="480"/>
        <w:jc w:val="left"/>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软件维护人员</w:t>
      </w:r>
      <w:r/>
    </w:p>
    <w:p>
      <w:pPr>
        <w:ind w:firstLine="787"/>
        <w:jc w:val="left"/>
        <w:keepLines w:val="0"/>
        <w:keepNext w:val="0"/>
        <w:pageBreakBefore w:val="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0519-86722801、0519-86722806  </w:t>
      </w:r>
      <w:bookmarkEnd w:id="45"/>
      <w:r/>
      <w:bookmarkEnd w:id="46"/>
      <w:r/>
      <w:r/>
    </w:p>
    <w:p>
      <w:pPr>
        <w:numPr>
          <w:ilvl w:val="0"/>
          <w:numId w:val="6"/>
        </w:numPr>
        <w:ind w:firstLine="498"/>
        <w:jc w:val="left"/>
        <w:keepLines/>
        <w:keepNext/>
        <w:spacing w:before="145" w:after="145"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其他</w:t>
      </w:r>
      <w:r/>
    </w:p>
    <w:p>
      <w:pPr>
        <w:ind w:firstLine="482"/>
        <w:jc w:val="left"/>
        <w:keepLines w:val="0"/>
        <w:keepNext w:val="0"/>
        <w:pageBreakBefore w:val="0"/>
        <w:spacing w:line="500" w:lineRule="exact"/>
        <w:widowControl w:val="off"/>
        <w:tabs>
          <w:tab w:val="left" w:pos="900"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 根据省财政厅《关于更换全省政府采购交易系统CA数字证书和电子签章的通知》（苏财购〔2023〕</w:t>
      </w:r>
      <w:r>
        <w:rPr>
          <w:rFonts w:hint="eastAsia" w:ascii="仿宋" w:hAnsi="仿宋" w:eastAsia="仿宋" w:cs="仿宋"/>
          <w:b/>
          <w:color w:val="auto"/>
          <w:sz w:val="24"/>
          <w:szCs w:val="24"/>
          <w:highlight w:val="none"/>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2"/>
        <w:keepLines w:val="0"/>
        <w:keepNext w:val="0"/>
        <w:pageBreakBefore w:val="0"/>
        <w:spacing w:line="500" w:lineRule="exact"/>
        <w:widowControl w:val="off"/>
        <w:tabs>
          <w:tab w:val="left" w:pos="900"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keepLines w:val="0"/>
        <w:keepNext w:val="0"/>
        <w:pageBreakBefore w:val="0"/>
        <w:spacing w:line="500" w:lineRule="exact"/>
        <w:widowControl w:val="off"/>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有关本次招标的事项若存在变动或修改，敬请及时关注采购人在“江苏政府采购网”发布的更正公告。</w:t>
      </w:r>
      <w:r/>
    </w:p>
    <w:p>
      <w:pPr>
        <w:ind w:firstLine="480"/>
        <w:keepLines w:val="0"/>
        <w:keepNext w:val="0"/>
        <w:pageBreakBefore w:val="0"/>
        <w:spacing w:line="500" w:lineRule="exact"/>
        <w:widowControl w:val="off"/>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3.本次招标不收取投标保证金。</w:t>
      </w:r>
      <w:r/>
    </w:p>
    <w:p>
      <w:pPr>
        <w:ind w:right="840"/>
        <w:jc w:val="center"/>
        <w:keepLines w:val="0"/>
        <w:keepNext w:val="0"/>
        <w:pageBreakBefore w:val="0"/>
        <w:spacing w:line="500" w:lineRule="exact"/>
        <w:widowControl w:val="off"/>
        <w:rPr>
          <w:rFonts w:hint="eastAsia" w:ascii="仿宋" w:hAnsi="仿宋" w:eastAsia="仿宋" w:cs="仿宋"/>
          <w:color w:val="auto"/>
          <w:sz w:val="44"/>
          <w:szCs w:val="44"/>
          <w:highlight w:val="none"/>
        </w:rPr>
        <w:outlineLvl w:val="0"/>
      </w:pPr>
      <w:r>
        <w:rPr>
          <w:rFonts w:hint="eastAsia" w:ascii="仿宋" w:hAnsi="仿宋" w:eastAsia="仿宋" w:cs="仿宋"/>
          <w:color w:val="auto"/>
          <w:sz w:val="24"/>
          <w:szCs w:val="24"/>
          <w:highlight w:val="none"/>
        </w:rPr>
        <w:br w:type="page" w:clear="all"/>
      </w:r>
      <w:bookmarkStart w:id="47" w:name="_Toc120614211"/>
      <w:r/>
      <w:bookmarkStart w:id="48" w:name="_Toc8900"/>
      <w:r>
        <w:rPr>
          <w:rFonts w:hint="eastAsia" w:ascii="仿宋" w:hAnsi="仿宋" w:eastAsia="仿宋" w:cs="仿宋"/>
          <w:b/>
          <w:bCs/>
          <w:color w:val="auto"/>
          <w:sz w:val="44"/>
          <w:szCs w:val="44"/>
          <w:highlight w:val="none"/>
        </w:rPr>
        <w:t xml:space="preserve">第二章  </w:t>
      </w:r>
      <w:bookmarkEnd w:id="1"/>
      <w:r/>
      <w:bookmarkEnd w:id="2"/>
      <w:r/>
      <w:bookmarkEnd w:id="3"/>
      <w:r/>
      <w:bookmarkEnd w:id="4"/>
      <w:r/>
      <w:bookmarkEnd w:id="5"/>
      <w:r/>
      <w:bookmarkEnd w:id="47"/>
      <w:r/>
      <w:bookmarkStart w:id="49" w:name="_Toc20823274"/>
      <w:r/>
      <w:bookmarkStart w:id="50" w:name="_Toc513029202"/>
      <w:r/>
      <w:bookmarkStart w:id="51" w:name="_Toc120614213"/>
      <w:r/>
      <w:bookmarkStart w:id="52" w:name="_Toc16938518"/>
      <w:r>
        <w:rPr>
          <w:rFonts w:hint="eastAsia" w:ascii="仿宋" w:hAnsi="仿宋" w:eastAsia="仿宋" w:cs="仿宋"/>
          <w:b/>
          <w:bCs/>
          <w:color w:val="auto"/>
          <w:sz w:val="44"/>
          <w:szCs w:val="44"/>
          <w:highlight w:val="none"/>
        </w:rPr>
        <w:t xml:space="preserve">投标人须知</w:t>
      </w:r>
      <w:bookmarkEnd w:id="48"/>
      <w:r/>
      <w:bookmarkEnd w:id="49"/>
      <w:r/>
      <w:bookmarkEnd w:id="50"/>
      <w:r/>
      <w:bookmarkEnd w:id="51"/>
      <w:r/>
      <w:bookmarkEnd w:id="52"/>
      <w:r/>
      <w:r/>
    </w:p>
    <w:p>
      <w:pPr>
        <w:ind w:firstLine="498"/>
        <w:keepLines/>
        <w:keepNext/>
        <w:spacing w:before="145" w:after="145" w:line="400" w:lineRule="exact"/>
        <w:rPr>
          <w:rFonts w:hint="eastAsia" w:ascii="仿宋" w:hAnsi="仿宋" w:eastAsia="仿宋" w:cs="仿宋"/>
          <w:b/>
          <w:bCs/>
          <w:color w:val="auto"/>
          <w:sz w:val="32"/>
          <w:szCs w:val="32"/>
          <w:highlight w:val="none"/>
        </w:rPr>
      </w:pPr>
      <w:r/>
      <w:bookmarkStart w:id="53" w:name="_Toc16938519"/>
      <w:r/>
      <w:bookmarkStart w:id="54" w:name="_Toc120614214"/>
      <w:r/>
      <w:bookmarkStart w:id="55" w:name="_Toc513029203"/>
      <w:r/>
      <w:bookmarkStart w:id="56" w:name="_Toc20823275"/>
      <w:r>
        <w:rPr>
          <w:rFonts w:hint="eastAsia" w:ascii="仿宋" w:hAnsi="仿宋" w:eastAsia="仿宋" w:cs="仿宋"/>
          <w:b/>
          <w:bCs/>
          <w:color w:val="auto"/>
          <w:sz w:val="32"/>
          <w:szCs w:val="32"/>
          <w:highlight w:val="none"/>
        </w:rPr>
        <w:t xml:space="preserve">一、总则</w:t>
      </w:r>
      <w:bookmarkEnd w:id="53"/>
      <w:r/>
      <w:bookmarkEnd w:id="54"/>
      <w:r/>
      <w:bookmarkEnd w:id="55"/>
      <w:r/>
      <w:bookmarkEnd w:id="56"/>
      <w:r/>
      <w:r/>
    </w:p>
    <w:p>
      <w:pPr>
        <w:ind w:firstLine="422"/>
        <w:keepLines/>
        <w:keepNext/>
        <w:spacing w:line="400" w:lineRule="exact"/>
        <w:rPr>
          <w:rFonts w:hint="eastAsia" w:ascii="仿宋" w:hAnsi="仿宋" w:eastAsia="仿宋" w:cs="仿宋"/>
          <w:b/>
          <w:bCs/>
          <w:color w:val="auto"/>
          <w:sz w:val="28"/>
          <w:szCs w:val="28"/>
          <w:highlight w:val="none"/>
        </w:rPr>
      </w:pPr>
      <w:r/>
      <w:bookmarkStart w:id="57" w:name="_Hlt16619475"/>
      <w:r/>
      <w:bookmarkEnd w:id="57"/>
      <w:r/>
      <w:bookmarkStart w:id="58" w:name="_Toc458694821"/>
      <w:r/>
      <w:bookmarkStart w:id="59" w:name="_Toc20823276"/>
      <w:r/>
      <w:bookmarkStart w:id="60" w:name="_Toc513029204"/>
      <w:r/>
      <w:bookmarkStart w:id="61" w:name="_Toc16938520"/>
      <w:r>
        <w:rPr>
          <w:rFonts w:hint="eastAsia" w:ascii="仿宋" w:hAnsi="仿宋" w:eastAsia="仿宋" w:cs="仿宋"/>
          <w:b/>
          <w:bCs/>
          <w:color w:val="auto"/>
          <w:sz w:val="28"/>
          <w:szCs w:val="28"/>
          <w:highlight w:val="none"/>
        </w:rPr>
        <w:t xml:space="preserve">1</w:t>
      </w:r>
      <w:bookmarkEnd w:id="58"/>
      <w:r>
        <w:rPr>
          <w:rFonts w:hint="eastAsia" w:ascii="仿宋" w:hAnsi="仿宋" w:eastAsia="仿宋" w:cs="仿宋"/>
          <w:b/>
          <w:bCs/>
          <w:color w:val="auto"/>
          <w:sz w:val="28"/>
          <w:szCs w:val="28"/>
          <w:highlight w:val="none"/>
        </w:rPr>
        <w:t xml:space="preserve">、招标方式</w:t>
      </w:r>
      <w:bookmarkEnd w:id="59"/>
      <w:r/>
      <w:bookmarkEnd w:id="60"/>
      <w:r/>
      <w:bookmarkEnd w:id="61"/>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1.1 本次招标采取公开招标方式，本招标文件仅适用于招标公告中所述项目。</w:t>
      </w:r>
      <w:r/>
    </w:p>
    <w:p>
      <w:pPr>
        <w:ind w:firstLine="422"/>
        <w:keepLines/>
        <w:keepNext/>
        <w:spacing w:line="400" w:lineRule="exact"/>
        <w:rPr>
          <w:rFonts w:hint="eastAsia" w:ascii="仿宋" w:hAnsi="仿宋" w:eastAsia="仿宋" w:cs="仿宋"/>
          <w:b/>
          <w:bCs/>
          <w:color w:val="auto"/>
          <w:sz w:val="28"/>
          <w:szCs w:val="28"/>
          <w:highlight w:val="none"/>
        </w:rPr>
      </w:pPr>
      <w:r/>
      <w:bookmarkStart w:id="62" w:name="_Toc16938521"/>
      <w:r/>
      <w:bookmarkStart w:id="63" w:name="_Toc20823277"/>
      <w:r/>
      <w:bookmarkStart w:id="64" w:name="_Toc513029205"/>
      <w:r>
        <w:rPr>
          <w:rFonts w:hint="eastAsia" w:ascii="仿宋" w:hAnsi="仿宋" w:eastAsia="仿宋" w:cs="仿宋"/>
          <w:b/>
          <w:bCs/>
          <w:color w:val="auto"/>
          <w:sz w:val="28"/>
          <w:szCs w:val="28"/>
          <w:highlight w:val="none"/>
        </w:rPr>
        <w:t xml:space="preserve">2、合格的投标人</w:t>
      </w:r>
      <w:bookmarkEnd w:id="62"/>
      <w:r/>
      <w:bookmarkEnd w:id="63"/>
      <w:r/>
      <w:bookmarkEnd w:id="64"/>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2.1满足招标公告中供应商的资格要求的规定。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满足本文件实质性要求的规定。</w:t>
      </w:r>
      <w:r/>
    </w:p>
    <w:p>
      <w:pPr>
        <w:ind w:firstLine="422"/>
        <w:keepLines/>
        <w:keepNext/>
        <w:spacing w:line="400" w:lineRule="exact"/>
        <w:rPr>
          <w:rFonts w:hint="eastAsia" w:ascii="仿宋" w:hAnsi="仿宋" w:eastAsia="仿宋" w:cs="仿宋"/>
          <w:b/>
          <w:bCs/>
          <w:color w:val="auto"/>
          <w:sz w:val="28"/>
          <w:szCs w:val="28"/>
          <w:highlight w:val="none"/>
        </w:rPr>
      </w:pPr>
      <w:r/>
      <w:bookmarkStart w:id="65" w:name="_Toc20823278"/>
      <w:r/>
      <w:bookmarkStart w:id="66" w:name="_Toc513029206"/>
      <w:r/>
      <w:bookmarkStart w:id="67" w:name="_Toc16938522"/>
      <w:r>
        <w:rPr>
          <w:rFonts w:hint="eastAsia" w:ascii="仿宋" w:hAnsi="仿宋" w:eastAsia="仿宋" w:cs="仿宋"/>
          <w:b/>
          <w:bCs/>
          <w:color w:val="auto"/>
          <w:sz w:val="28"/>
          <w:szCs w:val="28"/>
          <w:highlight w:val="none"/>
        </w:rPr>
        <w:t xml:space="preserve">3、适用法律</w:t>
      </w:r>
      <w:bookmarkEnd w:id="65"/>
      <w:r/>
      <w:bookmarkEnd w:id="66"/>
      <w:r/>
      <w:bookmarkEnd w:id="67"/>
      <w:r/>
      <w:r/>
    </w:p>
    <w:p>
      <w:pPr>
        <w:ind w:firstLine="42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3.1 本次招标及由此产生的合同受中华人民共和国有关的法律法规制约和保护。</w:t>
      </w:r>
      <w:r/>
    </w:p>
    <w:p>
      <w:pPr>
        <w:ind w:firstLine="422"/>
        <w:keepLines/>
        <w:keepNext/>
        <w:spacing w:line="400" w:lineRule="exact"/>
        <w:rPr>
          <w:rFonts w:hint="eastAsia" w:ascii="仿宋" w:hAnsi="仿宋" w:eastAsia="仿宋" w:cs="仿宋"/>
          <w:b/>
          <w:bCs/>
          <w:color w:val="auto"/>
          <w:sz w:val="28"/>
          <w:szCs w:val="28"/>
          <w:highlight w:val="none"/>
        </w:rPr>
      </w:pPr>
      <w:r/>
      <w:bookmarkStart w:id="68" w:name="_Toc20823279"/>
      <w:r/>
      <w:bookmarkStart w:id="69" w:name="_Toc462564067"/>
      <w:r/>
      <w:bookmarkStart w:id="70" w:name="_Toc16938523"/>
      <w:r/>
      <w:bookmarkStart w:id="71" w:name="_Toc513029207"/>
      <w:r>
        <w:rPr>
          <w:rFonts w:hint="eastAsia" w:ascii="仿宋" w:hAnsi="仿宋" w:eastAsia="仿宋" w:cs="仿宋"/>
          <w:b/>
          <w:bCs/>
          <w:color w:val="auto"/>
          <w:sz w:val="28"/>
          <w:szCs w:val="28"/>
          <w:highlight w:val="none"/>
        </w:rPr>
        <w:t xml:space="preserve">4、投标费用</w:t>
      </w:r>
      <w:bookmarkEnd w:id="68"/>
      <w:r/>
      <w:bookmarkEnd w:id="69"/>
      <w:r/>
      <w:bookmarkEnd w:id="70"/>
      <w:r/>
      <w:bookmarkEnd w:id="71"/>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4.1 投标人应自行承担所有与参加投标有关的费用，无论投标过程中的做法和结果如何，采购人在任何情况下均无义务和责任承担这些费用。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4.2本次招标采购人不收取标书工本费。</w:t>
      </w:r>
      <w:r/>
    </w:p>
    <w:p>
      <w:pPr>
        <w:ind w:firstLine="480"/>
        <w:spacing w:line="4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4.3本次招标代理费金额：中标价*1.5%*0.85，由中标供应商平均分摊支付。</w:t>
      </w:r>
      <w:r/>
    </w:p>
    <w:p>
      <w:pPr>
        <w:ind w:firstLine="45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30"/>
          <w:szCs w:val="28"/>
          <w:highlight w:val="none"/>
        </w:rPr>
        <w:t xml:space="preserve">5、</w:t>
      </w:r>
      <w:r>
        <w:rPr>
          <w:rFonts w:hint="eastAsia" w:ascii="仿宋" w:hAnsi="仿宋" w:eastAsia="仿宋" w:cs="仿宋"/>
          <w:b/>
          <w:bCs/>
          <w:color w:val="auto"/>
          <w:sz w:val="28"/>
          <w:szCs w:val="28"/>
          <w:highlight w:val="none"/>
        </w:rPr>
        <w:t xml:space="preserve">招标文件的约束力</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 投标人一旦参加本项目采购活动，即被认为接受了本招标文件的规定和约束。</w:t>
      </w:r>
      <w:r/>
    </w:p>
    <w:p>
      <w:pPr>
        <w:ind w:firstLine="321"/>
        <w:keepLines/>
        <w:keepNext/>
        <w:spacing w:before="145" w:after="145" w:line="400" w:lineRule="exact"/>
        <w:rPr>
          <w:rFonts w:hint="eastAsia" w:ascii="仿宋" w:hAnsi="仿宋" w:eastAsia="仿宋" w:cs="仿宋"/>
          <w:b/>
          <w:bCs/>
          <w:color w:val="auto"/>
          <w:sz w:val="32"/>
          <w:szCs w:val="32"/>
          <w:highlight w:val="none"/>
        </w:rPr>
      </w:pPr>
      <w:r/>
      <w:bookmarkStart w:id="72" w:name="_Toc16938525"/>
      <w:r/>
      <w:bookmarkStart w:id="73" w:name="_Toc20823281"/>
      <w:r/>
      <w:bookmarkStart w:id="74" w:name="_Toc513029209"/>
      <w:r/>
      <w:bookmarkStart w:id="75" w:name="_Toc120614215"/>
      <w:r>
        <w:rPr>
          <w:rFonts w:hint="eastAsia" w:ascii="仿宋" w:hAnsi="仿宋" w:eastAsia="仿宋" w:cs="仿宋"/>
          <w:b/>
          <w:bCs/>
          <w:color w:val="auto"/>
          <w:sz w:val="32"/>
          <w:szCs w:val="32"/>
          <w:highlight w:val="none"/>
        </w:rPr>
        <w:t xml:space="preserve">二、招标文件</w:t>
      </w:r>
      <w:bookmarkEnd w:id="72"/>
      <w:r/>
      <w:bookmarkEnd w:id="73"/>
      <w:r/>
      <w:bookmarkEnd w:id="74"/>
      <w:r/>
      <w:bookmarkEnd w:id="75"/>
      <w:r/>
      <w:r/>
    </w:p>
    <w:p>
      <w:pPr>
        <w:ind w:firstLine="422"/>
        <w:keepLines/>
        <w:keepNext/>
        <w:spacing w:line="400" w:lineRule="exact"/>
        <w:rPr>
          <w:rFonts w:hint="eastAsia" w:ascii="仿宋" w:hAnsi="仿宋" w:eastAsia="仿宋" w:cs="仿宋"/>
          <w:b/>
          <w:bCs/>
          <w:color w:val="auto"/>
          <w:sz w:val="28"/>
          <w:szCs w:val="28"/>
          <w:highlight w:val="none"/>
        </w:rPr>
      </w:pPr>
      <w:r/>
      <w:bookmarkStart w:id="76" w:name="_Toc16938526"/>
      <w:r/>
      <w:bookmarkStart w:id="77" w:name="_Toc20823282"/>
      <w:r/>
      <w:bookmarkStart w:id="78" w:name="_Toc513029210"/>
      <w:r>
        <w:rPr>
          <w:rFonts w:hint="eastAsia" w:ascii="仿宋" w:hAnsi="仿宋" w:eastAsia="仿宋" w:cs="仿宋"/>
          <w:b/>
          <w:bCs/>
          <w:color w:val="auto"/>
          <w:sz w:val="28"/>
          <w:szCs w:val="28"/>
          <w:highlight w:val="none"/>
        </w:rPr>
        <w:t xml:space="preserve">6、招标文件构成</w:t>
      </w:r>
      <w:bookmarkEnd w:id="76"/>
      <w:r/>
      <w:bookmarkEnd w:id="77"/>
      <w:r/>
      <w:bookmarkEnd w:id="78"/>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6.1</w:t>
      </w:r>
      <w:r>
        <w:rPr>
          <w:rFonts w:hint="eastAsia" w:ascii="仿宋" w:hAnsi="仿宋" w:eastAsia="仿宋" w:cs="仿宋"/>
          <w:color w:val="auto"/>
          <w:sz w:val="24"/>
          <w:szCs w:val="21"/>
          <w:highlight w:val="none"/>
        </w:rPr>
        <w:t xml:space="preserve"> 招标文件由以下部分组成：</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（1）投标邀请</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（2）投标人须知</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请仔细检查招标文件是否齐全，如有缺漏请立即与招标代理机构联系解决。</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6.2</w:t>
      </w:r>
      <w:r>
        <w:rPr>
          <w:rFonts w:hint="eastAsia" w:ascii="仿宋" w:hAnsi="仿宋" w:eastAsia="仿宋" w:cs="仿宋"/>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400" w:lineRule="exact"/>
        <w:rPr>
          <w:rFonts w:hint="eastAsia" w:ascii="仿宋" w:hAnsi="仿宋" w:eastAsia="仿宋" w:cs="仿宋"/>
          <w:b/>
          <w:bCs/>
          <w:color w:val="auto"/>
          <w:sz w:val="28"/>
          <w:szCs w:val="28"/>
          <w:highlight w:val="none"/>
        </w:rPr>
      </w:pPr>
      <w:r/>
      <w:bookmarkStart w:id="79" w:name="_Toc20823283"/>
      <w:r/>
      <w:bookmarkStart w:id="80" w:name="_Toc513029211"/>
      <w:r/>
      <w:bookmarkStart w:id="81" w:name="_Toc462564070"/>
      <w:r/>
      <w:bookmarkStart w:id="82" w:name="_Toc16938527"/>
      <w:r>
        <w:rPr>
          <w:rFonts w:hint="eastAsia" w:ascii="仿宋" w:hAnsi="仿宋" w:eastAsia="仿宋" w:cs="仿宋"/>
          <w:b/>
          <w:bCs/>
          <w:color w:val="auto"/>
          <w:sz w:val="28"/>
          <w:szCs w:val="28"/>
          <w:highlight w:val="none"/>
        </w:rPr>
        <w:t xml:space="preserve">7、招标文件的澄清</w:t>
      </w:r>
      <w:bookmarkEnd w:id="79"/>
      <w:r/>
      <w:bookmarkEnd w:id="80"/>
      <w:r/>
      <w:bookmarkEnd w:id="81"/>
      <w:r/>
      <w:bookmarkEnd w:id="82"/>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7.1</w:t>
      </w:r>
      <w:r>
        <w:rPr>
          <w:rFonts w:hint="eastAsia" w:ascii="仿宋" w:hAnsi="仿宋" w:eastAsia="仿宋" w:cs="仿宋"/>
          <w:color w:val="auto"/>
          <w:sz w:val="24"/>
          <w:szCs w:val="21"/>
          <w:highlight w:val="none"/>
        </w:rPr>
        <w:t xml:space="preserve"> 任何要求对招标文件进行澄清的投标人，应在投标截止期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w:t>
      </w:r>
      <w:r>
        <w:rPr>
          <w:rFonts w:hint="eastAsia" w:ascii="仿宋" w:hAnsi="仿宋" w:eastAsia="仿宋" w:cs="仿宋"/>
          <w:color w:val="auto"/>
          <w:sz w:val="24"/>
          <w:szCs w:val="21"/>
          <w:highlight w:val="none"/>
        </w:rPr>
        <w:t xml:space="preserve">按招标公告中的通讯地址，以书面形式通知采购人。采购人有权对发出的招标文件进行必要的澄清或修改。</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7.2采购人视情组织答疑会</w:t>
      </w:r>
      <w:r/>
    </w:p>
    <w:p>
      <w:pPr>
        <w:ind w:firstLine="562"/>
        <w:keepLines/>
        <w:keepNext/>
        <w:spacing w:line="400" w:lineRule="exact"/>
        <w:rPr>
          <w:rFonts w:hint="eastAsia" w:ascii="仿宋" w:hAnsi="仿宋" w:eastAsia="仿宋" w:cs="仿宋"/>
          <w:b/>
          <w:bCs/>
          <w:color w:val="auto"/>
          <w:sz w:val="28"/>
          <w:szCs w:val="28"/>
          <w:highlight w:val="none"/>
        </w:rPr>
      </w:pPr>
      <w:r/>
      <w:bookmarkStart w:id="83" w:name="_Toc20823284"/>
      <w:r/>
      <w:bookmarkStart w:id="84" w:name="_Toc513029212"/>
      <w:r/>
      <w:bookmarkStart w:id="85" w:name="_Toc16938528"/>
      <w:r/>
      <w:bookmarkStart w:id="86" w:name="_Toc462564071"/>
      <w:r>
        <w:rPr>
          <w:rFonts w:hint="eastAsia" w:ascii="仿宋" w:hAnsi="仿宋" w:eastAsia="仿宋" w:cs="仿宋"/>
          <w:b/>
          <w:bCs/>
          <w:color w:val="auto"/>
          <w:sz w:val="28"/>
          <w:szCs w:val="28"/>
          <w:highlight w:val="none"/>
        </w:rPr>
        <w:t xml:space="preserve">8、招标文件的修改</w:t>
      </w:r>
      <w:bookmarkEnd w:id="83"/>
      <w:r/>
      <w:bookmarkEnd w:id="84"/>
      <w:r/>
      <w:bookmarkEnd w:id="85"/>
      <w:r/>
      <w:bookmarkEnd w:id="86"/>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8.1</w:t>
      </w:r>
      <w:r>
        <w:rPr>
          <w:rFonts w:hint="eastAsia" w:ascii="仿宋" w:hAnsi="仿宋" w:eastAsia="仿宋" w:cs="仿宋"/>
          <w:color w:val="auto"/>
          <w:sz w:val="24"/>
          <w:szCs w:val="21"/>
          <w:highlight w:val="none"/>
        </w:rPr>
        <w:t xml:space="preserve"> 在投标截止时间前，采购人可以对招标文件进行修改。</w:t>
      </w:r>
      <w:r/>
    </w:p>
    <w:p>
      <w:pPr>
        <w:ind w:firstLine="480"/>
        <w:spacing w:line="400" w:lineRule="exact"/>
        <w:rPr>
          <w:rFonts w:hint="eastAsia" w:ascii="仿宋" w:hAnsi="仿宋" w:eastAsia="仿宋" w:cs="仿宋"/>
          <w:color w:val="auto"/>
          <w:sz w:val="28"/>
          <w:szCs w:val="21"/>
          <w:highlight w:val="none"/>
        </w:rPr>
      </w:pPr>
      <w:r>
        <w:rPr>
          <w:rFonts w:hint="eastAsia" w:ascii="仿宋" w:hAnsi="仿宋" w:eastAsia="仿宋" w:cs="仿宋"/>
          <w:bCs/>
          <w:color w:val="auto"/>
          <w:sz w:val="24"/>
          <w:szCs w:val="21"/>
          <w:highlight w:val="none"/>
        </w:rPr>
        <w:t xml:space="preserve">8.2 </w:t>
      </w:r>
      <w:r>
        <w:rPr>
          <w:rFonts w:hint="eastAsia" w:ascii="仿宋" w:hAnsi="仿宋" w:eastAsia="仿宋" w:cs="仿宋"/>
          <w:color w:val="auto"/>
          <w:sz w:val="24"/>
          <w:szCs w:val="21"/>
          <w:highlight w:val="none"/>
        </w:rPr>
        <w:t xml:space="preserve">采购人</w:t>
      </w:r>
      <w:r>
        <w:rPr>
          <w:rFonts w:hint="eastAsia" w:ascii="仿宋" w:hAnsi="仿宋" w:eastAsia="仿宋" w:cs="仿宋"/>
          <w:color w:val="auto"/>
          <w:sz w:val="24"/>
          <w:szCs w:val="24"/>
          <w:highlight w:val="none"/>
        </w:rPr>
        <w:t xml:space="preserve">有权按照法定的要求</w:t>
      </w:r>
      <w:r>
        <w:rPr>
          <w:rFonts w:hint="eastAsia" w:ascii="仿宋" w:hAnsi="仿宋" w:eastAsia="仿宋" w:cs="仿宋"/>
          <w:color w:val="auto"/>
          <w:sz w:val="24"/>
          <w:szCs w:val="21"/>
          <w:highlight w:val="none"/>
        </w:rPr>
        <w:t xml:space="preserve">推迟投标截止日期和开标日期。</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8.3 </w:t>
      </w:r>
      <w:r>
        <w:rPr>
          <w:rFonts w:hint="eastAsia" w:ascii="仿宋" w:hAnsi="仿宋" w:eastAsia="仿宋" w:cs="仿宋"/>
          <w:color w:val="auto"/>
          <w:sz w:val="24"/>
          <w:szCs w:val="21"/>
          <w:highlight w:val="none"/>
        </w:rPr>
        <w:t xml:space="preserve">招标文件的修改将在江苏政府采购网公布，</w:t>
      </w:r>
      <w:r>
        <w:rPr>
          <w:rFonts w:hint="eastAsia" w:ascii="仿宋" w:hAnsi="仿宋" w:eastAsia="仿宋" w:cs="仿宋"/>
          <w:color w:val="auto"/>
          <w:sz w:val="24"/>
          <w:szCs w:val="24"/>
          <w:highlight w:val="none"/>
        </w:rPr>
        <w:t xml:space="preserve">补充文件将作为招标文件的组成部分，</w:t>
      </w:r>
      <w:r>
        <w:rPr>
          <w:rFonts w:hint="eastAsia" w:ascii="仿宋" w:hAnsi="仿宋" w:eastAsia="仿宋" w:cs="仿宋"/>
          <w:color w:val="auto"/>
          <w:sz w:val="24"/>
          <w:szCs w:val="21"/>
          <w:highlight w:val="none"/>
        </w:rPr>
        <w:t xml:space="preserve">并对投标人具有约束力。</w:t>
      </w:r>
      <w:r/>
    </w:p>
    <w:p>
      <w:pPr>
        <w:ind w:firstLine="482"/>
        <w:keepLines/>
        <w:keepNext/>
        <w:spacing w:before="145" w:after="145" w:line="400" w:lineRule="exact"/>
        <w:rPr>
          <w:rFonts w:hint="eastAsia" w:ascii="仿宋" w:hAnsi="仿宋" w:eastAsia="仿宋" w:cs="仿宋"/>
          <w:b/>
          <w:bCs/>
          <w:color w:val="auto"/>
          <w:sz w:val="32"/>
          <w:szCs w:val="32"/>
          <w:highlight w:val="none"/>
        </w:rPr>
      </w:pPr>
      <w:r/>
      <w:bookmarkStart w:id="87" w:name="_Toc462564072"/>
      <w:r/>
      <w:bookmarkStart w:id="88" w:name="_Toc20823285"/>
      <w:r/>
      <w:bookmarkStart w:id="89" w:name="_Toc120614216"/>
      <w:r/>
      <w:bookmarkStart w:id="90" w:name="_Toc16938529"/>
      <w:r/>
      <w:bookmarkStart w:id="91" w:name="_Toc513029213"/>
      <w:r>
        <w:rPr>
          <w:rFonts w:hint="eastAsia" w:ascii="仿宋" w:hAnsi="仿宋" w:eastAsia="仿宋" w:cs="仿宋"/>
          <w:b/>
          <w:bCs/>
          <w:color w:val="auto"/>
          <w:sz w:val="32"/>
          <w:szCs w:val="32"/>
          <w:highlight w:val="none"/>
        </w:rPr>
        <w:t xml:space="preserve">三、投标文件的编制</w:t>
      </w:r>
      <w:bookmarkEnd w:id="87"/>
      <w:r/>
      <w:bookmarkEnd w:id="88"/>
      <w:r/>
      <w:bookmarkEnd w:id="89"/>
      <w:r/>
      <w:bookmarkEnd w:id="90"/>
      <w:r/>
      <w:bookmarkEnd w:id="91"/>
      <w:r/>
      <w:r/>
    </w:p>
    <w:p>
      <w:pPr>
        <w:ind w:firstLine="562"/>
        <w:keepLines/>
        <w:keepNext/>
        <w:spacing w:line="400" w:lineRule="exact"/>
        <w:rPr>
          <w:rFonts w:hint="eastAsia" w:ascii="仿宋" w:hAnsi="仿宋" w:eastAsia="仿宋" w:cs="仿宋"/>
          <w:b/>
          <w:bCs/>
          <w:color w:val="auto"/>
          <w:sz w:val="28"/>
          <w:szCs w:val="28"/>
          <w:highlight w:val="none"/>
        </w:rPr>
      </w:pPr>
      <w:r/>
      <w:bookmarkStart w:id="92" w:name="_Toc462564073"/>
      <w:r/>
      <w:bookmarkStart w:id="93" w:name="_Toc16938530"/>
      <w:r/>
      <w:bookmarkStart w:id="94" w:name="_Toc20823286"/>
      <w:r/>
      <w:bookmarkStart w:id="95" w:name="_Toc513029214"/>
      <w:r>
        <w:rPr>
          <w:rFonts w:hint="eastAsia" w:ascii="仿宋" w:hAnsi="仿宋" w:eastAsia="仿宋" w:cs="仿宋"/>
          <w:b/>
          <w:bCs/>
          <w:color w:val="auto"/>
          <w:sz w:val="28"/>
          <w:szCs w:val="28"/>
          <w:highlight w:val="none"/>
        </w:rPr>
        <w:t xml:space="preserve">9、投标文件的语言及度量衡单位</w:t>
      </w:r>
      <w:bookmarkEnd w:id="92"/>
      <w:r/>
      <w:bookmarkEnd w:id="93"/>
      <w:r/>
      <w:bookmarkEnd w:id="94"/>
      <w:r/>
      <w:bookmarkEnd w:id="95"/>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9.1</w:t>
      </w:r>
      <w:r>
        <w:rPr>
          <w:rFonts w:hint="eastAsia" w:ascii="仿宋" w:hAnsi="仿宋" w:eastAsia="仿宋" w:cs="仿宋"/>
          <w:color w:val="auto"/>
          <w:sz w:val="24"/>
          <w:szCs w:val="21"/>
          <w:highlight w:val="none"/>
        </w:rPr>
        <w:t xml:space="preserve"> 投标人提交的投标文件以及投标人与采购人就有关投标的所有来往通知、函件和文件均应使用</w:t>
      </w:r>
      <w:r>
        <w:rPr>
          <w:rFonts w:hint="eastAsia" w:ascii="仿宋" w:hAnsi="仿宋" w:eastAsia="仿宋" w:cs="仿宋"/>
          <w:b/>
          <w:bCs/>
          <w:color w:val="auto"/>
          <w:sz w:val="24"/>
          <w:szCs w:val="21"/>
          <w:highlight w:val="none"/>
        </w:rPr>
        <w:t xml:space="preserve">简体中文</w:t>
      </w:r>
      <w:r>
        <w:rPr>
          <w:rFonts w:hint="eastAsia" w:ascii="仿宋" w:hAnsi="仿宋" w:eastAsia="仿宋" w:cs="仿宋"/>
          <w:color w:val="auto"/>
          <w:sz w:val="24"/>
          <w:szCs w:val="21"/>
          <w:highlight w:val="none"/>
        </w:rPr>
        <w:t xml:space="preserve">。</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9.2</w:t>
      </w:r>
      <w:r>
        <w:rPr>
          <w:rFonts w:hint="eastAsia" w:ascii="仿宋" w:hAnsi="仿宋" w:eastAsia="仿宋" w:cs="仿宋"/>
          <w:color w:val="auto"/>
          <w:sz w:val="24"/>
          <w:szCs w:val="21"/>
          <w:highlight w:val="none"/>
        </w:rPr>
        <w:t xml:space="preserve"> 除技术性能另有规定外，投标文件所使用的度量衡单位，均须采用国家法定计量单位。</w:t>
      </w:r>
      <w:r/>
    </w:p>
    <w:p>
      <w:pPr>
        <w:ind w:firstLine="422"/>
        <w:keepLines/>
        <w:keepNext/>
        <w:spacing w:line="400" w:lineRule="exact"/>
        <w:rPr>
          <w:rFonts w:hint="eastAsia" w:ascii="仿宋" w:hAnsi="仿宋" w:eastAsia="仿宋" w:cs="仿宋"/>
          <w:b/>
          <w:bCs/>
          <w:color w:val="auto"/>
          <w:sz w:val="28"/>
          <w:szCs w:val="28"/>
          <w:highlight w:val="none"/>
        </w:rPr>
      </w:pPr>
      <w:r/>
      <w:bookmarkStart w:id="96" w:name="_Toc513029215"/>
      <w:r/>
      <w:bookmarkStart w:id="97" w:name="_Toc16938531"/>
      <w:r/>
      <w:bookmarkStart w:id="98" w:name="_Toc462564074"/>
      <w:r/>
      <w:bookmarkStart w:id="99" w:name="_Toc20823287"/>
      <w:r>
        <w:rPr>
          <w:rFonts w:hint="eastAsia" w:ascii="仿宋" w:hAnsi="仿宋" w:eastAsia="仿宋" w:cs="仿宋"/>
          <w:b/>
          <w:bCs/>
          <w:color w:val="auto"/>
          <w:sz w:val="28"/>
          <w:szCs w:val="28"/>
          <w:highlight w:val="none"/>
        </w:rPr>
        <w:t xml:space="preserve">10、投标文件构成</w:t>
      </w:r>
      <w:bookmarkEnd w:id="96"/>
      <w:r/>
      <w:bookmarkEnd w:id="97"/>
      <w:r/>
      <w:bookmarkEnd w:id="98"/>
      <w:r/>
      <w:bookmarkEnd w:id="99"/>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10.1</w:t>
      </w:r>
      <w:r>
        <w:rPr>
          <w:rFonts w:hint="eastAsia" w:ascii="仿宋" w:hAnsi="仿宋" w:eastAsia="仿宋" w:cs="仿宋"/>
          <w:color w:val="auto"/>
          <w:sz w:val="24"/>
          <w:szCs w:val="21"/>
          <w:highlight w:val="none"/>
        </w:rPr>
        <w:t xml:space="preserve"> 投标人编写的投标文件应包括资格证明文件、</w:t>
      </w:r>
      <w:r>
        <w:rPr>
          <w:rFonts w:hint="eastAsia" w:ascii="仿宋" w:hAnsi="仿宋" w:eastAsia="仿宋" w:cs="仿宋"/>
          <w:color w:val="auto"/>
          <w:sz w:val="24"/>
          <w:szCs w:val="24"/>
          <w:highlight w:val="none"/>
        </w:rPr>
        <w:t xml:space="preserve">实质性要求响应及偏离表</w:t>
      </w:r>
      <w:r>
        <w:rPr>
          <w:rFonts w:hint="eastAsia" w:ascii="仿宋" w:hAnsi="仿宋" w:eastAsia="仿宋" w:cs="仿宋"/>
          <w:color w:val="auto"/>
          <w:sz w:val="24"/>
          <w:szCs w:val="21"/>
          <w:highlight w:val="none"/>
        </w:rPr>
        <w:t xml:space="preserve">、投标分项报价表、技术要求响应及偏离表、商务要求响应及偏离表、其他证明文件、投标函、开标一览表等部分。投标人按“第六章  投标文件格式”要求编写投标文件。</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10.2 如标书制作工具中格式和内容与“江苏政府采购网”发布的招标文件不一致，请以“江苏政府采购网”发布的招标文件为准。</w:t>
      </w:r>
      <w:r/>
    </w:p>
    <w:p>
      <w:pPr>
        <w:ind w:firstLine="422"/>
        <w:keepLines/>
        <w:keepNext/>
        <w:spacing w:line="400" w:lineRule="exact"/>
        <w:rPr>
          <w:rFonts w:hint="eastAsia" w:ascii="仿宋" w:hAnsi="仿宋" w:eastAsia="仿宋" w:cs="仿宋"/>
          <w:b/>
          <w:bCs/>
          <w:color w:val="auto"/>
          <w:sz w:val="28"/>
          <w:szCs w:val="28"/>
          <w:highlight w:val="none"/>
        </w:rPr>
      </w:pPr>
      <w:r/>
      <w:bookmarkStart w:id="100" w:name="_Hlt26670360"/>
      <w:r/>
      <w:bookmarkEnd w:id="100"/>
      <w:r/>
      <w:bookmarkStart w:id="101" w:name="_Hlt26668975"/>
      <w:r/>
      <w:bookmarkEnd w:id="101"/>
      <w:r/>
      <w:bookmarkStart w:id="102" w:name="_Hlt26954838"/>
      <w:r/>
      <w:bookmarkEnd w:id="102"/>
      <w:r/>
      <w:bookmarkStart w:id="103" w:name="_Toc513029219"/>
      <w:r/>
      <w:bookmarkStart w:id="104" w:name="_Toc14577357"/>
      <w:r/>
      <w:bookmarkStart w:id="105" w:name="_Toc49090509"/>
      <w:r/>
      <w:bookmarkStart w:id="106" w:name="_Toc14577354"/>
      <w:r/>
      <w:bookmarkStart w:id="107" w:name="_Toc513029216"/>
      <w:r/>
      <w:bookmarkStart w:id="108" w:name="_Toc49090507"/>
      <w:r/>
      <w:bookmarkStart w:id="109" w:name="_Toc14577355"/>
      <w:r/>
      <w:bookmarkStart w:id="110" w:name="_Toc49090508"/>
      <w:r>
        <w:rPr>
          <w:rFonts w:hint="eastAsia" w:ascii="仿宋" w:hAnsi="仿宋" w:eastAsia="仿宋" w:cs="仿宋"/>
          <w:b/>
          <w:bCs/>
          <w:color w:val="auto"/>
          <w:sz w:val="28"/>
          <w:szCs w:val="28"/>
          <w:highlight w:val="none"/>
        </w:rPr>
        <w:t xml:space="preserve">11、证明投标人及投标标的符合招标文件规定的文件</w:t>
      </w:r>
      <w:bookmarkEnd w:id="103"/>
      <w:r/>
      <w:bookmarkEnd w:id="104"/>
      <w:r/>
      <w:bookmarkEnd w:id="105"/>
      <w:r/>
      <w:bookmarkEnd w:id="106"/>
      <w:r/>
      <w:bookmarkEnd w:id="107"/>
      <w:r/>
      <w:bookmarkEnd w:id="108"/>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11.1 投标人应按照招标文件要求提交证明文件，证明其及投标标的符合招标文件规定。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11.2招标文件对证明文件无明确形式要求的，证明文件可以以文字资料、图纸和数据等形式提交。</w:t>
      </w:r>
      <w:bookmarkEnd w:id="109"/>
      <w:r/>
      <w:bookmarkEnd w:id="110"/>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12、投标分项报价表</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12.1</w:t>
      </w:r>
      <w:r>
        <w:rPr>
          <w:rFonts w:hint="eastAsia" w:ascii="仿宋" w:hAnsi="仿宋" w:eastAsia="仿宋" w:cs="仿宋"/>
          <w:color w:val="auto"/>
          <w:sz w:val="24"/>
          <w:szCs w:val="21"/>
          <w:highlight w:val="none"/>
        </w:rPr>
        <w:t xml:space="preserve"> 投</w:t>
      </w:r>
      <w:bookmarkStart w:id="111" w:name="_Hlt26954840"/>
      <w:r/>
      <w:bookmarkEnd w:id="111"/>
      <w:r>
        <w:rPr>
          <w:rFonts w:hint="eastAsia" w:ascii="仿宋" w:hAnsi="仿宋" w:eastAsia="仿宋" w:cs="仿宋"/>
          <w:color w:val="auto"/>
          <w:sz w:val="24"/>
          <w:szCs w:val="21"/>
          <w:highlight w:val="none"/>
        </w:rPr>
        <w:t xml:space="preserve">标人按照招标文件规定格式填报投标分项报价表</w:t>
      </w:r>
      <w:bookmarkStart w:id="112" w:name="_Hlt26670399"/>
      <w:r/>
      <w:bookmarkEnd w:id="112"/>
      <w:r>
        <w:rPr>
          <w:rFonts w:hint="eastAsia" w:ascii="仿宋" w:hAnsi="仿宋" w:eastAsia="仿宋" w:cs="仿宋"/>
          <w:color w:val="auto"/>
          <w:sz w:val="24"/>
          <w:szCs w:val="21"/>
          <w:highlight w:val="none"/>
        </w:rPr>
        <w:t xml:space="preserve">。</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12.2</w:t>
      </w:r>
      <w:r>
        <w:rPr>
          <w:rFonts w:hint="eastAsia" w:ascii="仿宋" w:hAnsi="仿宋" w:eastAsia="仿宋" w:cs="仿宋"/>
          <w:bCs/>
          <w:color w:val="auto"/>
          <w:sz w:val="24"/>
          <w:szCs w:val="21"/>
          <w:highlight w:val="none"/>
        </w:rPr>
        <w:t xml:space="preserve">投标货币。投标文件中的单价和总价无特殊规定的采用人民币报价，以元为单位标注。</w:t>
      </w:r>
      <w:r>
        <w:rPr>
          <w:rFonts w:hint="eastAsia" w:ascii="仿宋" w:hAnsi="仿宋" w:eastAsia="仿宋" w:cs="仿宋"/>
          <w:color w:val="auto"/>
          <w:sz w:val="24"/>
          <w:szCs w:val="21"/>
          <w:highlight w:val="none"/>
        </w:rPr>
        <w:t xml:space="preserve">招标文件中另有规定的按规定执行。</w:t>
      </w:r>
      <w:r/>
    </w:p>
    <w:p>
      <w:pPr>
        <w:ind w:firstLine="422"/>
        <w:keepLines/>
        <w:keepNext/>
        <w:spacing w:line="400" w:lineRule="exact"/>
        <w:rPr>
          <w:rFonts w:hint="eastAsia" w:ascii="仿宋" w:hAnsi="仿宋" w:eastAsia="仿宋" w:cs="仿宋"/>
          <w:b/>
          <w:bCs/>
          <w:color w:val="auto"/>
          <w:sz w:val="28"/>
          <w:szCs w:val="28"/>
          <w:highlight w:val="none"/>
        </w:rPr>
      </w:pPr>
      <w:r/>
      <w:bookmarkStart w:id="113" w:name="_Hlt26954846"/>
      <w:r/>
      <w:bookmarkEnd w:id="113"/>
      <w:r/>
      <w:bookmarkStart w:id="114" w:name="_Hlt26670486"/>
      <w:r/>
      <w:bookmarkEnd w:id="114"/>
      <w:r/>
      <w:bookmarkStart w:id="115" w:name="_Hlt26670482"/>
      <w:r/>
      <w:bookmarkEnd w:id="115"/>
      <w:r/>
      <w:bookmarkStart w:id="116" w:name="_Hlt26954848"/>
      <w:r/>
      <w:bookmarkEnd w:id="116"/>
      <w:r/>
      <w:bookmarkStart w:id="117" w:name="_Hlt26954731"/>
      <w:r/>
      <w:bookmarkEnd w:id="117"/>
      <w:r>
        <w:rPr>
          <w:rFonts w:hint="eastAsia" w:ascii="仿宋" w:hAnsi="仿宋" w:eastAsia="仿宋" w:cs="仿宋"/>
          <w:b/>
          <w:bCs/>
          <w:color w:val="auto"/>
          <w:sz w:val="28"/>
          <w:szCs w:val="28"/>
          <w:highlight w:val="none"/>
        </w:rPr>
        <w:t xml:space="preserve">13、技术要求响应及偏离表、商务要求响应及偏离表</w:t>
      </w:r>
      <w:r/>
    </w:p>
    <w:p>
      <w:pPr>
        <w:ind w:firstLine="480"/>
        <w:spacing w:line="500" w:lineRule="exact"/>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13.1</w:t>
      </w:r>
      <w:r>
        <w:rPr>
          <w:rFonts w:hint="eastAsia" w:ascii="仿宋" w:hAnsi="仿宋" w:eastAsia="仿宋" w:cs="仿宋"/>
          <w:color w:val="auto"/>
          <w:sz w:val="24"/>
          <w:szCs w:val="21"/>
          <w:highlight w:val="none"/>
        </w:rPr>
        <w:t xml:space="preserve">投标人</w:t>
      </w:r>
      <w:r>
        <w:rPr>
          <w:rFonts w:hint="eastAsia" w:ascii="仿宋" w:hAnsi="仿宋" w:eastAsia="仿宋" w:cs="仿宋"/>
          <w:color w:val="auto"/>
          <w:sz w:val="24"/>
          <w:szCs w:val="21"/>
          <w:highlight w:val="none"/>
          <w:lang w:val="zh-CN"/>
        </w:rPr>
        <w:t xml:space="preserve">需对招标文件中的技术要求与商务要求作出响应，</w:t>
      </w:r>
      <w:r>
        <w:rPr>
          <w:rFonts w:hint="eastAsia" w:ascii="仿宋" w:hAnsi="仿宋" w:eastAsia="仿宋" w:cs="仿宋"/>
          <w:color w:val="auto"/>
          <w:sz w:val="24"/>
          <w:szCs w:val="21"/>
          <w:highlight w:val="none"/>
        </w:rPr>
        <w:t xml:space="preserve">如有偏离的，应逐条填列在偏离表中，</w:t>
      </w:r>
      <w:r>
        <w:rPr>
          <w:rFonts w:hint="eastAsia" w:ascii="仿宋" w:hAnsi="仿宋" w:eastAsia="仿宋" w:cs="仿宋"/>
          <w:b/>
          <w:bCs/>
          <w:color w:val="auto"/>
          <w:sz w:val="24"/>
          <w:szCs w:val="21"/>
          <w:highlight w:val="none"/>
        </w:rPr>
        <w:t xml:space="preserve">并说明偏离情况</w:t>
      </w:r>
      <w:r>
        <w:rPr>
          <w:rFonts w:hint="eastAsia" w:ascii="仿宋" w:hAnsi="仿宋" w:eastAsia="仿宋" w:cs="仿宋"/>
          <w:color w:val="auto"/>
          <w:sz w:val="24"/>
          <w:szCs w:val="21"/>
          <w:highlight w:val="none"/>
        </w:rPr>
        <w:t xml:space="preserve">。</w:t>
      </w:r>
      <w:r/>
    </w:p>
    <w:p>
      <w:pPr>
        <w:ind w:firstLine="480"/>
        <w:spacing w:line="400" w:lineRule="exact"/>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13.2 投标人需按照招标文件要求，在投标文件中提供与技术要求和商务要求相关的证明材料。</w:t>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14、服务承诺、培训计划、人员安排及其他</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14.1 </w:t>
      </w:r>
      <w:r>
        <w:rPr>
          <w:rFonts w:hint="eastAsia" w:ascii="仿宋" w:hAnsi="仿宋" w:eastAsia="仿宋" w:cs="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投标人需根据招标文件要求提供培训计划。</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投标人需根据招标文件要求提供</w:t>
      </w:r>
      <w:r>
        <w:rPr>
          <w:rFonts w:hint="eastAsia" w:ascii="仿宋" w:hAnsi="仿宋" w:eastAsia="仿宋" w:cs="仿宋"/>
          <w:color w:val="auto"/>
          <w:sz w:val="24"/>
          <w:szCs w:val="21"/>
          <w:highlight w:val="none"/>
          <w:lang w:val="zh-CN"/>
        </w:rPr>
        <w:t xml:space="preserve">所投标的的主要组成部分、功能设计、实现思路及关键技术等。</w:t>
      </w:r>
      <w:r/>
    </w:p>
    <w:p>
      <w:pPr>
        <w:ind w:firstLine="422"/>
        <w:keepLines/>
        <w:keepNext/>
        <w:spacing w:line="400" w:lineRule="exact"/>
        <w:rPr>
          <w:rFonts w:hint="eastAsia" w:ascii="仿宋" w:hAnsi="仿宋" w:eastAsia="仿宋" w:cs="仿宋"/>
          <w:b/>
          <w:bCs/>
          <w:color w:val="auto"/>
          <w:sz w:val="28"/>
          <w:szCs w:val="28"/>
          <w:highlight w:val="none"/>
        </w:rPr>
      </w:pPr>
      <w:r/>
      <w:bookmarkStart w:id="118" w:name="_Toc49090510"/>
      <w:r/>
      <w:bookmarkStart w:id="119" w:name="_Toc14577359"/>
      <w:r>
        <w:rPr>
          <w:rFonts w:hint="eastAsia" w:ascii="仿宋" w:hAnsi="仿宋" w:eastAsia="仿宋" w:cs="仿宋"/>
          <w:b/>
          <w:bCs/>
          <w:color w:val="auto"/>
          <w:sz w:val="28"/>
          <w:szCs w:val="28"/>
          <w:highlight w:val="none"/>
        </w:rPr>
        <w:t xml:space="preserve">15、投标函和开标一览表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15.1</w:t>
      </w:r>
      <w:r>
        <w:rPr>
          <w:rFonts w:hint="eastAsia" w:ascii="仿宋" w:hAnsi="仿宋" w:eastAsia="仿宋" w:cs="仿宋"/>
          <w:color w:val="auto"/>
          <w:sz w:val="24"/>
          <w:szCs w:val="21"/>
          <w:highlight w:val="none"/>
        </w:rPr>
        <w:t xml:space="preserve"> 投标人应按照招标文件中提供的格式完整、正确填写投标函、开标一览表。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18"/>
      <w:r/>
      <w:bookmarkEnd w:id="119"/>
      <w:r/>
      <w:r/>
    </w:p>
    <w:p>
      <w:pPr>
        <w:ind w:firstLine="422"/>
        <w:keepLines/>
        <w:keepNext/>
        <w:spacing w:line="400" w:lineRule="exact"/>
        <w:rPr>
          <w:rFonts w:hint="eastAsia" w:ascii="仿宋" w:hAnsi="仿宋" w:eastAsia="仿宋" w:cs="仿宋"/>
          <w:b/>
          <w:bCs/>
          <w:color w:val="auto"/>
          <w:sz w:val="28"/>
          <w:szCs w:val="28"/>
          <w:highlight w:val="none"/>
        </w:rPr>
      </w:pPr>
      <w:r/>
      <w:bookmarkStart w:id="120" w:name="_Toc14577360"/>
      <w:r/>
      <w:bookmarkStart w:id="121" w:name="_Toc49090511"/>
      <w:r>
        <w:rPr>
          <w:rFonts w:hint="eastAsia" w:ascii="仿宋" w:hAnsi="仿宋" w:eastAsia="仿宋" w:cs="仿宋"/>
          <w:b/>
          <w:bCs/>
          <w:color w:val="auto"/>
          <w:sz w:val="28"/>
          <w:szCs w:val="28"/>
          <w:highlight w:val="none"/>
        </w:rPr>
        <w:t xml:space="preserve">16、投标有效期</w:t>
      </w:r>
      <w:bookmarkEnd w:id="120"/>
      <w:r/>
      <w:bookmarkEnd w:id="121"/>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16.1投标有效期为</w:t>
      </w:r>
      <w:r>
        <w:rPr>
          <w:rFonts w:hint="eastAsia" w:ascii="仿宋" w:hAnsi="仿宋" w:eastAsia="仿宋" w:cs="仿宋"/>
          <w:color w:val="auto"/>
          <w:sz w:val="24"/>
          <w:szCs w:val="21"/>
          <w:highlight w:val="none"/>
        </w:rPr>
        <w:t xml:space="preserve">采购人</w:t>
      </w:r>
      <w:r>
        <w:rPr>
          <w:rFonts w:hint="eastAsia" w:ascii="仿宋" w:hAnsi="仿宋" w:eastAsia="仿宋" w:cs="仿宋"/>
          <w:bCs/>
          <w:color w:val="auto"/>
          <w:sz w:val="24"/>
          <w:szCs w:val="21"/>
          <w:highlight w:val="none"/>
        </w:rPr>
        <w:t xml:space="preserve">规定的开标之日后</w:t>
      </w:r>
      <w:r>
        <w:rPr>
          <w:rFonts w:hint="eastAsia" w:ascii="仿宋" w:hAnsi="仿宋" w:eastAsia="仿宋" w:cs="仿宋"/>
          <w:b/>
          <w:color w:val="auto"/>
          <w:sz w:val="24"/>
          <w:szCs w:val="21"/>
          <w:highlight w:val="none"/>
          <w:u w:val="single"/>
        </w:rPr>
        <w:t xml:space="preserve">六十（60）天</w:t>
      </w:r>
      <w:r>
        <w:rPr>
          <w:rFonts w:hint="eastAsia" w:ascii="仿宋" w:hAnsi="仿宋" w:eastAsia="仿宋" w:cs="仿宋"/>
          <w:bCs/>
          <w:color w:val="auto"/>
          <w:sz w:val="24"/>
          <w:szCs w:val="21"/>
          <w:highlight w:val="none"/>
        </w:rPr>
        <w:t xml:space="preserve">。投标有效期比规定短的将被视为未实质性响应招标文件而予以拒绝。</w:t>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17、投标有效期的延长</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17.1在特殊情况下，</w:t>
      </w:r>
      <w:r>
        <w:rPr>
          <w:rFonts w:hint="eastAsia" w:ascii="仿宋" w:hAnsi="仿宋" w:eastAsia="仿宋" w:cs="仿宋"/>
          <w:color w:val="auto"/>
          <w:sz w:val="24"/>
          <w:szCs w:val="21"/>
          <w:highlight w:val="none"/>
        </w:rPr>
        <w:t xml:space="preserve">采购人</w:t>
      </w:r>
      <w:r>
        <w:rPr>
          <w:rFonts w:hint="eastAsia" w:ascii="仿宋" w:hAnsi="仿宋" w:eastAsia="仿宋" w:cs="仿宋"/>
          <w:bCs/>
          <w:color w:val="auto"/>
          <w:sz w:val="24"/>
          <w:szCs w:val="21"/>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auto"/>
          <w:sz w:val="24"/>
          <w:szCs w:val="21"/>
          <w:highlight w:val="none"/>
        </w:rPr>
        <w:t xml:space="preserve">采购人</w:t>
      </w:r>
      <w:r>
        <w:rPr>
          <w:rFonts w:hint="eastAsia" w:ascii="仿宋" w:hAnsi="仿宋" w:eastAsia="仿宋" w:cs="仿宋"/>
          <w:bCs/>
          <w:color w:val="auto"/>
          <w:sz w:val="24"/>
          <w:szCs w:val="21"/>
          <w:highlight w:val="none"/>
        </w:rPr>
        <w:t xml:space="preserve">的这一要求而放弃投标，同意延长投标有效期的投标人既不能要求也不允许修改其投标文件。</w:t>
      </w:r>
      <w:r>
        <w:rPr>
          <w:rFonts w:hint="eastAsia" w:ascii="仿宋" w:hAnsi="仿宋" w:eastAsia="仿宋" w:cs="仿宋"/>
          <w:color w:val="auto"/>
          <w:sz w:val="24"/>
          <w:szCs w:val="24"/>
          <w:highlight w:val="none"/>
        </w:rPr>
        <w:t xml:space="preserve">受投标有效期约束的所有权利与义务均延长至新的有效期</w:t>
      </w:r>
      <w:r>
        <w:rPr>
          <w:rFonts w:hint="eastAsia" w:ascii="仿宋" w:hAnsi="仿宋" w:eastAsia="仿宋" w:cs="仿宋"/>
          <w:bCs/>
          <w:color w:val="auto"/>
          <w:sz w:val="24"/>
          <w:szCs w:val="21"/>
          <w:highlight w:val="none"/>
        </w:rPr>
        <w:t xml:space="preserve">。</w:t>
      </w:r>
      <w:r/>
    </w:p>
    <w:p>
      <w:pPr>
        <w:keepLines/>
        <w:keepNext/>
        <w:spacing w:before="145" w:after="145" w:line="400" w:lineRule="exact"/>
        <w:rPr>
          <w:rFonts w:hint="eastAsia" w:ascii="仿宋" w:hAnsi="仿宋" w:eastAsia="仿宋" w:cs="仿宋"/>
          <w:b/>
          <w:bCs/>
          <w:color w:val="auto"/>
          <w:sz w:val="32"/>
          <w:szCs w:val="32"/>
          <w:highlight w:val="none"/>
        </w:rPr>
      </w:pPr>
      <w:r/>
      <w:bookmarkStart w:id="122" w:name="_Hlt26954739"/>
      <w:r/>
      <w:bookmarkEnd w:id="122"/>
      <w:r/>
      <w:bookmarkStart w:id="123" w:name="_Hlt26954852"/>
      <w:r/>
      <w:bookmarkEnd w:id="123"/>
      <w:r/>
      <w:bookmarkStart w:id="124" w:name="_Toc16938540"/>
      <w:r/>
      <w:bookmarkStart w:id="125" w:name="_Toc20823296"/>
      <w:r/>
      <w:bookmarkStart w:id="126" w:name="_Toc120614217"/>
      <w:r/>
      <w:bookmarkStart w:id="127" w:name="_Toc513029224"/>
      <w:r>
        <w:rPr>
          <w:rFonts w:hint="eastAsia" w:ascii="仿宋" w:hAnsi="仿宋" w:eastAsia="仿宋" w:cs="仿宋"/>
          <w:b/>
          <w:bCs/>
          <w:color w:val="auto"/>
          <w:sz w:val="32"/>
          <w:szCs w:val="32"/>
          <w:highlight w:val="none"/>
        </w:rPr>
        <w:t xml:space="preserve">四、投标文件的递交</w:t>
      </w:r>
      <w:bookmarkEnd w:id="124"/>
      <w:r/>
      <w:bookmarkEnd w:id="125"/>
      <w:r/>
      <w:bookmarkEnd w:id="126"/>
      <w:r/>
      <w:bookmarkEnd w:id="127"/>
      <w:r/>
      <w:r/>
    </w:p>
    <w:p>
      <w:pPr>
        <w:ind w:firstLine="422"/>
        <w:keepLines/>
        <w:keepNext/>
        <w:spacing w:line="400" w:lineRule="exact"/>
        <w:rPr>
          <w:rFonts w:hint="eastAsia" w:ascii="仿宋" w:hAnsi="仿宋" w:eastAsia="仿宋" w:cs="仿宋"/>
          <w:b/>
          <w:bCs/>
          <w:color w:val="auto"/>
          <w:sz w:val="28"/>
          <w:szCs w:val="28"/>
          <w:highlight w:val="none"/>
        </w:rPr>
      </w:pPr>
      <w:r/>
      <w:bookmarkStart w:id="128" w:name="_Toc513029225"/>
      <w:r/>
      <w:bookmarkStart w:id="129" w:name="_Toc16938541"/>
      <w:r/>
      <w:bookmarkStart w:id="130" w:name="_Toc20823297"/>
      <w:r/>
      <w:bookmarkStart w:id="131" w:name="_Toc462564084"/>
      <w:r>
        <w:rPr>
          <w:rFonts w:hint="eastAsia" w:ascii="仿宋" w:hAnsi="仿宋" w:eastAsia="仿宋" w:cs="仿宋"/>
          <w:b/>
          <w:bCs/>
          <w:color w:val="auto"/>
          <w:sz w:val="28"/>
          <w:szCs w:val="28"/>
          <w:highlight w:val="none"/>
        </w:rPr>
        <w:t xml:space="preserve">18、电子投标文件</w:t>
      </w:r>
      <w:bookmarkEnd w:id="128"/>
      <w:r/>
      <w:bookmarkEnd w:id="129"/>
      <w:r/>
      <w:bookmarkEnd w:id="130"/>
      <w:r/>
      <w:bookmarkEnd w:id="131"/>
      <w:r>
        <w:rPr>
          <w:rFonts w:hint="eastAsia" w:ascii="仿宋" w:hAnsi="仿宋" w:eastAsia="仿宋" w:cs="仿宋"/>
          <w:b/>
          <w:bCs/>
          <w:color w:val="auto"/>
          <w:sz w:val="28"/>
          <w:szCs w:val="28"/>
          <w:highlight w:val="none"/>
        </w:rPr>
        <w:t xml:space="preserve">的递交</w:t>
      </w:r>
      <w:r/>
    </w:p>
    <w:p>
      <w:pPr>
        <w:ind w:left="525"/>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18.1投标人应当按照《操作指南》规定，在投标截止时间前制作并上传电子投标</w:t>
      </w:r>
      <w:r/>
    </w:p>
    <w:p>
      <w:pPr>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文件。</w:t>
      </w:r>
      <w:bookmarkStart w:id="132" w:name="_Toc513029226"/>
      <w:r/>
      <w:bookmarkStart w:id="133" w:name="_Toc16938542"/>
      <w:r/>
      <w:bookmarkStart w:id="134" w:name="_Toc20823298"/>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19、投标截止日期</w:t>
      </w:r>
      <w:bookmarkEnd w:id="132"/>
      <w:r/>
      <w:bookmarkEnd w:id="133"/>
      <w:r/>
      <w:bookmarkEnd w:id="134"/>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19.1</w:t>
      </w:r>
      <w:r>
        <w:rPr>
          <w:rFonts w:hint="eastAsia" w:ascii="仿宋" w:hAnsi="仿宋" w:eastAsia="仿宋" w:cs="仿宋"/>
          <w:bCs/>
          <w:color w:val="auto"/>
          <w:sz w:val="24"/>
          <w:szCs w:val="21"/>
          <w:highlight w:val="none"/>
        </w:rPr>
        <w:t xml:space="preserve"> 投标人上传电子投标文件的时间不得迟于招标公告中规定的投标截止时间。</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19.2</w:t>
      </w:r>
      <w:r>
        <w:rPr>
          <w:rFonts w:hint="eastAsia" w:ascii="仿宋" w:hAnsi="仿宋" w:eastAsia="仿宋" w:cs="仿宋"/>
          <w:bCs/>
          <w:color w:val="auto"/>
          <w:sz w:val="24"/>
          <w:szCs w:val="21"/>
          <w:highlight w:val="none"/>
        </w:rPr>
        <w:t xml:space="preserve"> </w:t>
      </w:r>
      <w:r>
        <w:rPr>
          <w:rFonts w:hint="eastAsia" w:ascii="仿宋" w:hAnsi="仿宋" w:eastAsia="仿宋" w:cs="仿宋"/>
          <w:color w:val="auto"/>
          <w:sz w:val="24"/>
          <w:szCs w:val="21"/>
          <w:highlight w:val="none"/>
        </w:rPr>
        <w:t xml:space="preserve">采购人</w:t>
      </w:r>
      <w:r>
        <w:rPr>
          <w:rFonts w:hint="eastAsia" w:ascii="仿宋" w:hAnsi="仿宋" w:eastAsia="仿宋" w:cs="仿宋"/>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2"/>
        <w:keepLines/>
        <w:keepNext/>
        <w:spacing w:line="400" w:lineRule="exact"/>
        <w:rPr>
          <w:rFonts w:hint="eastAsia" w:ascii="仿宋" w:hAnsi="仿宋" w:eastAsia="仿宋" w:cs="仿宋"/>
          <w:b/>
          <w:bCs/>
          <w:color w:val="auto"/>
          <w:sz w:val="28"/>
          <w:szCs w:val="28"/>
          <w:highlight w:val="none"/>
        </w:rPr>
      </w:pPr>
      <w:r/>
      <w:bookmarkStart w:id="135" w:name="_Toc20823299"/>
      <w:r/>
      <w:bookmarkStart w:id="136" w:name="_Toc16938543"/>
      <w:r/>
      <w:bookmarkStart w:id="137" w:name="_Toc513029227"/>
      <w:r>
        <w:rPr>
          <w:rFonts w:hint="eastAsia" w:ascii="仿宋" w:hAnsi="仿宋" w:eastAsia="仿宋" w:cs="仿宋"/>
          <w:b/>
          <w:bCs/>
          <w:color w:val="auto"/>
          <w:sz w:val="28"/>
          <w:szCs w:val="28"/>
          <w:highlight w:val="none"/>
        </w:rPr>
        <w:t xml:space="preserve">20、投标文件</w:t>
      </w:r>
      <w:bookmarkEnd w:id="135"/>
      <w:r/>
      <w:bookmarkEnd w:id="136"/>
      <w:r/>
      <w:bookmarkEnd w:id="137"/>
      <w:r>
        <w:rPr>
          <w:rFonts w:hint="eastAsia" w:ascii="仿宋" w:hAnsi="仿宋" w:eastAsia="仿宋" w:cs="仿宋"/>
          <w:b/>
          <w:bCs/>
          <w:color w:val="auto"/>
          <w:sz w:val="28"/>
          <w:szCs w:val="28"/>
          <w:highlight w:val="none"/>
        </w:rPr>
        <w:t xml:space="preserve">的拒收</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20.1 </w:t>
      </w:r>
      <w:r>
        <w:rPr>
          <w:rFonts w:hint="eastAsia" w:ascii="仿宋" w:hAnsi="仿宋" w:eastAsia="仿宋" w:cs="仿宋"/>
          <w:color w:val="auto"/>
          <w:sz w:val="24"/>
          <w:szCs w:val="21"/>
          <w:highlight w:val="none"/>
        </w:rPr>
        <w:t xml:space="preserve">采购人</w:t>
      </w:r>
      <w:r>
        <w:rPr>
          <w:rFonts w:hint="eastAsia" w:ascii="仿宋" w:hAnsi="仿宋" w:eastAsia="仿宋" w:cs="仿宋"/>
          <w:bCs/>
          <w:color w:val="auto"/>
          <w:sz w:val="24"/>
          <w:szCs w:val="21"/>
          <w:highlight w:val="none"/>
        </w:rPr>
        <w:t xml:space="preserve">拒绝接收在其规定的投标截止时间后上传的任何投标文件。</w:t>
      </w:r>
      <w:r/>
    </w:p>
    <w:p>
      <w:pPr>
        <w:ind w:firstLine="422"/>
        <w:keepLines/>
        <w:keepNext/>
        <w:spacing w:line="400" w:lineRule="exact"/>
        <w:rPr>
          <w:rFonts w:hint="eastAsia" w:ascii="仿宋" w:hAnsi="仿宋" w:eastAsia="仿宋" w:cs="仿宋"/>
          <w:b/>
          <w:bCs/>
          <w:color w:val="auto"/>
          <w:sz w:val="28"/>
          <w:szCs w:val="28"/>
          <w:highlight w:val="none"/>
        </w:rPr>
      </w:pPr>
      <w:r/>
      <w:bookmarkStart w:id="138" w:name="_Toc20823300"/>
      <w:r/>
      <w:bookmarkStart w:id="139" w:name="_Toc16938544"/>
      <w:r/>
      <w:bookmarkStart w:id="140" w:name="_Toc513029228"/>
      <w:r>
        <w:rPr>
          <w:rFonts w:hint="eastAsia" w:ascii="仿宋" w:hAnsi="仿宋" w:eastAsia="仿宋" w:cs="仿宋"/>
          <w:b/>
          <w:bCs/>
          <w:color w:val="auto"/>
          <w:sz w:val="28"/>
          <w:szCs w:val="28"/>
          <w:highlight w:val="none"/>
        </w:rPr>
        <w:t xml:space="preserve">21、投标文件的撤回和修改</w:t>
      </w:r>
      <w:bookmarkEnd w:id="138"/>
      <w:r/>
      <w:bookmarkEnd w:id="139"/>
      <w:r/>
      <w:bookmarkEnd w:id="140"/>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 投标文件的撤回</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21.1.1 电子投标文件的撤回</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投标人可在投标截止时间前，撤回其电子投标文件，具体操作方法见《操作指南》。</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21.1.2 投标人撤回电子投标文件，则认为其不再参与本项目投标活动。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投标文件的修改</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21.2.1投标人可在投标截止时间前，对其电子投标文件进行修改，具体操作方法见《操作指南》。</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21.2.2</w:t>
      </w:r>
      <w:r>
        <w:rPr>
          <w:rFonts w:hint="eastAsia" w:ascii="仿宋" w:hAnsi="仿宋" w:eastAsia="仿宋" w:cs="仿宋"/>
          <w:bCs/>
          <w:color w:val="auto"/>
          <w:sz w:val="24"/>
          <w:szCs w:val="21"/>
          <w:highlight w:val="none"/>
        </w:rPr>
        <w:t xml:space="preserve"> 在投标截止时间之后，投标人不得对其电子投标文件作任何修改。</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21.3</w:t>
      </w:r>
      <w:r>
        <w:rPr>
          <w:rFonts w:hint="eastAsia" w:ascii="仿宋" w:hAnsi="仿宋" w:eastAsia="仿宋" w:cs="仿宋"/>
          <w:bCs/>
          <w:color w:val="auto"/>
          <w:sz w:val="24"/>
          <w:szCs w:val="21"/>
          <w:highlight w:val="none"/>
        </w:rPr>
        <w:t xml:space="preserve"> 在投标截止时间至招标文件中规定的投标有效期满之间的这段时间内，投标人不得撤回其投标。</w:t>
      </w:r>
      <w:r/>
    </w:p>
    <w:p>
      <w:pPr>
        <w:keepLines/>
        <w:keepNext/>
        <w:spacing w:before="145" w:after="145" w:line="400" w:lineRule="exact"/>
        <w:rPr>
          <w:rFonts w:hint="eastAsia" w:ascii="仿宋" w:hAnsi="仿宋" w:eastAsia="仿宋" w:cs="仿宋"/>
          <w:b/>
          <w:bCs/>
          <w:color w:val="auto"/>
          <w:sz w:val="32"/>
          <w:szCs w:val="32"/>
          <w:highlight w:val="none"/>
        </w:rPr>
      </w:pPr>
      <w:r/>
      <w:bookmarkStart w:id="141" w:name="_Toc120614218"/>
      <w:r/>
      <w:bookmarkStart w:id="142" w:name="_Toc20823301"/>
      <w:r/>
      <w:bookmarkStart w:id="143" w:name="_Toc16938545"/>
      <w:r/>
      <w:bookmarkStart w:id="144" w:name="_Toc513029229"/>
      <w:r>
        <w:rPr>
          <w:rFonts w:hint="eastAsia" w:ascii="仿宋" w:hAnsi="仿宋" w:eastAsia="仿宋" w:cs="仿宋"/>
          <w:b/>
          <w:bCs/>
          <w:color w:val="auto"/>
          <w:sz w:val="32"/>
          <w:szCs w:val="32"/>
          <w:highlight w:val="none"/>
        </w:rPr>
        <w:t xml:space="preserve">五、开标与评标</w:t>
      </w:r>
      <w:bookmarkEnd w:id="141"/>
      <w:r/>
      <w:bookmarkEnd w:id="142"/>
      <w:r/>
      <w:bookmarkEnd w:id="143"/>
      <w:r/>
      <w:bookmarkEnd w:id="144"/>
      <w:r/>
      <w:r/>
    </w:p>
    <w:p>
      <w:pPr>
        <w:ind w:firstLine="422"/>
        <w:keepLines/>
        <w:keepNext/>
        <w:spacing w:line="400" w:lineRule="exact"/>
        <w:rPr>
          <w:rFonts w:hint="eastAsia" w:ascii="仿宋" w:hAnsi="仿宋" w:eastAsia="仿宋" w:cs="仿宋"/>
          <w:b/>
          <w:bCs/>
          <w:color w:val="auto"/>
          <w:sz w:val="28"/>
          <w:szCs w:val="28"/>
          <w:highlight w:val="none"/>
        </w:rPr>
      </w:pPr>
      <w:r/>
      <w:bookmarkStart w:id="145" w:name="_Toc16938546"/>
      <w:r/>
      <w:bookmarkStart w:id="146" w:name="_Toc513029230"/>
      <w:r/>
      <w:bookmarkStart w:id="147" w:name="_Toc20823302"/>
      <w:r>
        <w:rPr>
          <w:rFonts w:hint="eastAsia" w:ascii="仿宋" w:hAnsi="仿宋" w:eastAsia="仿宋" w:cs="仿宋"/>
          <w:b/>
          <w:bCs/>
          <w:color w:val="auto"/>
          <w:sz w:val="28"/>
          <w:szCs w:val="28"/>
          <w:highlight w:val="none"/>
        </w:rPr>
        <w:t xml:space="preserve">22、开标</w:t>
      </w:r>
      <w:bookmarkEnd w:id="145"/>
      <w:r/>
      <w:bookmarkEnd w:id="146"/>
      <w:r/>
      <w:bookmarkEnd w:id="147"/>
      <w:r/>
      <w:r/>
    </w:p>
    <w:p>
      <w:pPr>
        <w:ind w:firstLine="480"/>
        <w:spacing w:line="400" w:lineRule="exact"/>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rPr>
        <w:t xml:space="preserve">22.1</w:t>
      </w:r>
      <w:r>
        <w:rPr>
          <w:rFonts w:hint="eastAsia" w:ascii="仿宋" w:hAnsi="仿宋" w:eastAsia="仿宋" w:cs="仿宋"/>
          <w:bCs/>
          <w:color w:val="auto"/>
          <w:sz w:val="24"/>
          <w:szCs w:val="21"/>
          <w:highlight w:val="none"/>
        </w:rPr>
        <w:t xml:space="preserve"> </w:t>
      </w:r>
      <w:r>
        <w:rPr>
          <w:rFonts w:hint="eastAsia" w:ascii="仿宋" w:hAnsi="仿宋" w:eastAsia="仿宋" w:cs="仿宋"/>
          <w:color w:val="auto"/>
          <w:sz w:val="24"/>
          <w:szCs w:val="24"/>
          <w:highlight w:val="none"/>
        </w:rPr>
        <w:t xml:space="preserve">招标代理机构</w:t>
      </w:r>
      <w:r>
        <w:rPr>
          <w:rFonts w:hint="eastAsia" w:ascii="仿宋" w:hAnsi="仿宋" w:eastAsia="仿宋" w:cs="仿宋"/>
          <w:bCs/>
          <w:color w:val="auto"/>
          <w:sz w:val="24"/>
          <w:szCs w:val="21"/>
          <w:highlight w:val="none"/>
        </w:rPr>
        <w:t xml:space="preserve">将在招标公告中规定的时间和地点组织公开开标</w:t>
      </w:r>
      <w:r>
        <w:rPr>
          <w:rFonts w:hint="eastAsia" w:ascii="仿宋" w:hAnsi="仿宋" w:eastAsia="仿宋" w:cs="仿宋"/>
          <w:color w:val="auto"/>
          <w:sz w:val="24"/>
          <w:szCs w:val="24"/>
          <w:highlight w:val="none"/>
        </w:rPr>
        <w:t xml:space="preserve">。投标人应当按照《操作指南》规定，参加开标活动和在苏采云系统规定的时间内对投标文件进行解密。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22.2</w:t>
      </w:r>
      <w:r>
        <w:rPr>
          <w:rFonts w:hint="eastAsia" w:ascii="仿宋" w:hAnsi="仿宋" w:eastAsia="仿宋" w:cs="仿宋"/>
          <w:color w:val="auto"/>
          <w:sz w:val="24"/>
          <w:szCs w:val="24"/>
          <w:highlight w:val="none"/>
        </w:rPr>
        <w:t xml:space="preserve">开标仪式由招标代理机构组织。苏采云系统将自动对项目进行开标，并宣布各投标人名称和投标价格。</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22.3投标人在开标过程中涉及到的投标文件解密、开标结果确认等工作，应按照《操作指南》规定执行。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22.4投标人如果对开标过程和开标记录有疑义，应当根据《操作指南》规定提出，如苏采云系统中《开标记录表》宣布后5分钟内未提出的，视同认可开标结果。</w:t>
      </w:r>
      <w:r/>
    </w:p>
    <w:p>
      <w:pPr>
        <w:ind w:firstLine="422"/>
        <w:keepLines/>
        <w:keepNext/>
        <w:spacing w:line="400" w:lineRule="exact"/>
        <w:rPr>
          <w:rFonts w:hint="eastAsia" w:ascii="仿宋" w:hAnsi="仿宋" w:eastAsia="仿宋" w:cs="仿宋"/>
          <w:b/>
          <w:bCs/>
          <w:color w:val="auto"/>
          <w:sz w:val="28"/>
          <w:szCs w:val="28"/>
          <w:highlight w:val="none"/>
        </w:rPr>
      </w:pPr>
      <w:r/>
      <w:bookmarkStart w:id="148" w:name="_Toc20823303"/>
      <w:r/>
      <w:bookmarkStart w:id="149" w:name="_Toc513029231"/>
      <w:r/>
      <w:bookmarkStart w:id="150" w:name="_Toc16938547"/>
      <w:r>
        <w:rPr>
          <w:rFonts w:hint="eastAsia" w:ascii="仿宋" w:hAnsi="仿宋" w:eastAsia="仿宋" w:cs="仿宋"/>
          <w:b/>
          <w:bCs/>
          <w:color w:val="auto"/>
          <w:sz w:val="28"/>
          <w:szCs w:val="28"/>
          <w:highlight w:val="none"/>
        </w:rPr>
        <w:t xml:space="preserve">23、评标委员会</w:t>
      </w:r>
      <w:r/>
    </w:p>
    <w:p>
      <w:pPr>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 23.1</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开标后，招标代理机构将立即组织评标委员会（以下简称评委会）进行评标。</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 23.2 评委会由采购人代表和有关技术、经济等方面的专家组成，且人员构成符合政府采购有关规定。</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 23.3评委会独立工作，负责评审所有投标文件并确定中标侯选人。</w:t>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24、评标过程的保密与公正</w:t>
      </w:r>
      <w:bookmarkEnd w:id="148"/>
      <w:r/>
      <w:bookmarkEnd w:id="149"/>
      <w:r/>
      <w:bookmarkEnd w:id="150"/>
      <w:r/>
      <w:r/>
    </w:p>
    <w:p>
      <w:pPr>
        <w:pStyle w:val="1009"/>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24.1</w:t>
      </w:r>
      <w:r>
        <w:rPr>
          <w:rFonts w:hint="eastAsia" w:ascii="仿宋" w:hAnsi="仿宋" w:eastAsia="仿宋" w:cs="仿宋"/>
          <w:bCs/>
          <w:color w:val="auto"/>
          <w:sz w:val="24"/>
          <w:szCs w:val="21"/>
          <w:highlight w:val="none"/>
        </w:rPr>
        <w:t xml:space="preserve">公开开标后，直至向中标的投标人授予合同时止，凡是与审查、澄清、评价和比较投标的有关资料以及授标建议等，采购人、评委、</w:t>
      </w:r>
      <w:r>
        <w:rPr>
          <w:rFonts w:hint="eastAsia" w:ascii="仿宋" w:hAnsi="仿宋" w:eastAsia="仿宋" w:cs="仿宋"/>
          <w:color w:val="auto"/>
          <w:sz w:val="24"/>
          <w:szCs w:val="24"/>
          <w:highlight w:val="none"/>
        </w:rPr>
        <w:t xml:space="preserve">招标代理机构</w:t>
      </w:r>
      <w:r>
        <w:rPr>
          <w:rFonts w:hint="eastAsia" w:ascii="仿宋" w:hAnsi="仿宋" w:eastAsia="仿宋" w:cs="仿宋"/>
          <w:bCs/>
          <w:color w:val="auto"/>
          <w:sz w:val="24"/>
          <w:szCs w:val="21"/>
          <w:highlight w:val="none"/>
        </w:rPr>
        <w:t xml:space="preserve">均不得向投标人或与评标无关的其他人员透露。</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24.2</w:t>
      </w:r>
      <w:r>
        <w:rPr>
          <w:rFonts w:hint="eastAsia" w:ascii="仿宋" w:hAnsi="仿宋" w:eastAsia="仿宋" w:cs="仿宋"/>
          <w:color w:val="auto"/>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24.3在评标期间，招标代理机构将设专门人员与投标人联系。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 招标代理机构和评标委员会不向未中标的投标人解释未中标原因，也不公布评标过程中的相关细节。</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24.5 采用综合评分法的项目，未中标的投标人可于中标结果公告期限届满之日起通过苏采云系统查看自己的评审得分及排序情况。</w:t>
      </w:r>
      <w:r/>
    </w:p>
    <w:p>
      <w:pPr>
        <w:ind w:firstLine="422"/>
        <w:keepLines/>
        <w:keepNext/>
        <w:spacing w:line="400" w:lineRule="exact"/>
        <w:rPr>
          <w:rFonts w:hint="eastAsia" w:ascii="仿宋" w:hAnsi="仿宋" w:eastAsia="仿宋" w:cs="仿宋"/>
          <w:b/>
          <w:bCs/>
          <w:color w:val="auto"/>
          <w:sz w:val="28"/>
          <w:szCs w:val="28"/>
          <w:highlight w:val="none"/>
        </w:rPr>
      </w:pPr>
      <w:r/>
      <w:bookmarkStart w:id="151" w:name="_Toc513029232"/>
      <w:r/>
      <w:bookmarkStart w:id="152" w:name="_Toc16938548"/>
      <w:r/>
      <w:bookmarkStart w:id="153" w:name="_Toc20823304"/>
      <w:r>
        <w:rPr>
          <w:rFonts w:hint="eastAsia" w:ascii="仿宋" w:hAnsi="仿宋" w:eastAsia="仿宋" w:cs="仿宋"/>
          <w:b/>
          <w:bCs/>
          <w:color w:val="auto"/>
          <w:sz w:val="28"/>
          <w:szCs w:val="28"/>
          <w:highlight w:val="none"/>
        </w:rPr>
        <w:t xml:space="preserve">25、投标文件的澄清</w:t>
      </w:r>
      <w:bookmarkEnd w:id="151"/>
      <w:r/>
      <w:bookmarkEnd w:id="152"/>
      <w:r/>
      <w:bookmarkEnd w:id="153"/>
      <w:r/>
      <w:r/>
    </w:p>
    <w:p>
      <w:pPr>
        <w:ind w:firstLine="480"/>
        <w:spacing w:line="400" w:lineRule="exact"/>
        <w:rPr>
          <w:rFonts w:hint="eastAsia" w:ascii="仿宋" w:hAnsi="仿宋" w:eastAsia="仿宋" w:cs="仿宋"/>
          <w:color w:val="auto"/>
          <w:sz w:val="24"/>
          <w:szCs w:val="24"/>
          <w:highlight w:val="none"/>
        </w:rPr>
      </w:pPr>
      <w:r/>
      <w:bookmarkStart w:id="154" w:name="_Toc16938549"/>
      <w:r/>
      <w:bookmarkStart w:id="155" w:name="_Toc20823305"/>
      <w:r/>
      <w:bookmarkStart w:id="156" w:name="_Toc513029233"/>
      <w:r>
        <w:rPr>
          <w:rFonts w:hint="eastAsia" w:ascii="仿宋" w:hAnsi="仿宋" w:eastAsia="仿宋" w:cs="仿宋"/>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评标委员会并非对每个投标人都做澄清要求。</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 接到评委会澄清、说明和补正要求的投标人如未按规定做出澄清、说明和补正，其风险由投标人自行承担。</w:t>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26、对投标文件的初审</w:t>
      </w:r>
      <w:bookmarkEnd w:id="154"/>
      <w:r/>
      <w:bookmarkEnd w:id="155"/>
      <w:r/>
      <w:bookmarkEnd w:id="156"/>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26.1</w:t>
      </w:r>
      <w:r>
        <w:rPr>
          <w:rFonts w:hint="eastAsia" w:ascii="仿宋" w:hAnsi="仿宋" w:eastAsia="仿宋" w:cs="仿宋"/>
          <w:bCs/>
          <w:color w:val="auto"/>
          <w:sz w:val="24"/>
          <w:szCs w:val="21"/>
          <w:highlight w:val="none"/>
        </w:rPr>
        <w:t xml:space="preserve">投标文件初审分为资格审查和符合性审查。</w:t>
      </w:r>
      <w:r/>
    </w:p>
    <w:p>
      <w:pPr>
        <w:ind w:firstLine="480"/>
        <w:jc w:val="left"/>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26.1.3 未通过资格审查或符合性审查的投标人，</w:t>
      </w:r>
      <w:r>
        <w:rPr>
          <w:rFonts w:hint="eastAsia" w:ascii="仿宋" w:hAnsi="仿宋" w:eastAsia="仿宋" w:cs="仿宋"/>
          <w:color w:val="auto"/>
          <w:sz w:val="24"/>
          <w:szCs w:val="24"/>
          <w:highlight w:val="none"/>
        </w:rPr>
        <w:t xml:space="preserve">招标代理机构</w:t>
      </w:r>
      <w:r>
        <w:rPr>
          <w:rFonts w:hint="eastAsia" w:ascii="仿宋" w:hAnsi="仿宋" w:eastAsia="仿宋" w:cs="仿宋"/>
          <w:bCs/>
          <w:color w:val="auto"/>
          <w:sz w:val="24"/>
          <w:szCs w:val="21"/>
          <w:highlight w:val="none"/>
        </w:rPr>
        <w:t xml:space="preserve">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中告知未通过资格审查或符合性审查的原因，评审结束后，</w:t>
      </w:r>
      <w:r>
        <w:rPr>
          <w:rFonts w:hint="eastAsia" w:ascii="仿宋" w:hAnsi="仿宋" w:eastAsia="仿宋" w:cs="仿宋"/>
          <w:color w:val="auto"/>
          <w:sz w:val="24"/>
          <w:szCs w:val="24"/>
          <w:highlight w:val="none"/>
        </w:rPr>
        <w:t xml:space="preserve">招标代理机构</w:t>
      </w:r>
      <w:r>
        <w:rPr>
          <w:rFonts w:hint="eastAsia" w:ascii="仿宋" w:hAnsi="仿宋" w:eastAsia="仿宋" w:cs="仿宋"/>
          <w:bCs/>
          <w:color w:val="auto"/>
          <w:sz w:val="24"/>
          <w:szCs w:val="21"/>
          <w:highlight w:val="none"/>
        </w:rPr>
        <w:t xml:space="preserve">将不再告知未通过资格审查或符合性审查的原因。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26.2</w:t>
      </w:r>
      <w:r>
        <w:rPr>
          <w:rFonts w:hint="eastAsia" w:ascii="仿宋" w:hAnsi="仿宋" w:eastAsia="仿宋" w:cs="仿宋"/>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auto"/>
          <w:sz w:val="24"/>
          <w:szCs w:val="21"/>
          <w:highlight w:val="none"/>
        </w:rPr>
        <w:t xml:space="preserve">评委决定投标文件的响应性只根据投标文件本身的内容，而不寻求外部的证据。</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26.3</w:t>
      </w:r>
      <w:r>
        <w:rPr>
          <w:rFonts w:hint="eastAsia" w:ascii="仿宋" w:hAnsi="仿宋" w:eastAsia="仿宋" w:cs="仿宋"/>
          <w:bCs/>
          <w:color w:val="auto"/>
          <w:sz w:val="24"/>
          <w:szCs w:val="21"/>
          <w:highlight w:val="none"/>
        </w:rPr>
        <w:t xml:space="preserve">如果投标文件实质上没有响应招标文件的要求，评委会将按无效响应处理，投标人不得通过修改或撤销不合要求的偏离或保留而使其成为实质性响应的投标。</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26.4</w:t>
      </w:r>
      <w:r>
        <w:rPr>
          <w:rFonts w:hint="eastAsia" w:ascii="仿宋" w:hAnsi="仿宋" w:eastAsia="仿宋" w:cs="仿宋"/>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（1）投标文件中开标一览表内容与投标文件中相应内容不一致的，以开标一览表为准。</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（2）大写金额和小写金额不一致的，以大写金额为准。</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（3）单价金额小数点或者百分比有明显错位的，以开标一览表的总价为准，并修改单价。</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（4）总价金额与按单价汇总金额不一致的，以单价金额计算结果为准。</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同时出现两种以上错误的，按照前款规定的顺序修正。</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sz w:val="24"/>
          <w:szCs w:val="21"/>
          <w:highlight w:val="none"/>
        </w:rPr>
        <w:t xml:space="preserve">26.5</w:t>
      </w:r>
      <w:r>
        <w:rPr>
          <w:rFonts w:hint="eastAsia" w:ascii="仿宋" w:hAnsi="仿宋" w:eastAsia="仿宋" w:cs="仿宋"/>
          <w:bCs/>
          <w:color w:val="auto"/>
          <w:sz w:val="24"/>
          <w:szCs w:val="21"/>
          <w:highlight w:val="none"/>
        </w:rPr>
        <w:t xml:space="preserve">评委会将按上述修正错误的方法调整投标文件中的投标报价，并通过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告知投标人，调整后的价格应对投标人具有约束力。如果投标人不接受修正后的价格，则其投标将被拒绝。</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26.6评委会将允许修正投标文件中不构成重大偏离的、微小的、非正规的、不一致的或不规则的地方，但这些修改不能影响任何投标人相应的名次排列。</w:t>
      </w:r>
      <w:bookmarkStart w:id="157" w:name="_Toc16938550"/>
      <w:r/>
      <w:bookmarkStart w:id="158" w:name="_Toc20823306"/>
      <w:r/>
      <w:bookmarkStart w:id="159" w:name="_Toc513029234"/>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非单一产品采购项目，招标文件中将载明其中的核心产品。多家投标人提供的核心产品品牌相同的，按前两款规定处理。</w:t>
      </w:r>
      <w:r/>
    </w:p>
    <w:p>
      <w:pPr>
        <w:ind w:firstLine="42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26.7投标人在开、评标全过程中应保持通讯畅通，及时登录</w:t>
      </w:r>
      <w:r>
        <w:rPr>
          <w:rFonts w:hint="eastAsia" w:ascii="仿宋" w:hAnsi="仿宋" w:eastAsia="仿宋" w:cs="仿宋"/>
          <w:color w:val="auto"/>
          <w:sz w:val="24"/>
          <w:szCs w:val="24"/>
          <w:highlight w:val="none"/>
        </w:rPr>
        <w:t xml:space="preserve">苏采云系统</w:t>
      </w:r>
      <w:r>
        <w:rPr>
          <w:rFonts w:hint="eastAsia" w:ascii="仿宋" w:hAnsi="仿宋" w:eastAsia="仿宋" w:cs="仿宋"/>
          <w:color w:val="auto"/>
          <w:sz w:val="24"/>
          <w:szCs w:val="21"/>
          <w:highlight w:val="none"/>
        </w:rPr>
        <w:t xml:space="preserve">查阅、答复相关信息，并安排专人与</w:t>
      </w:r>
      <w:r>
        <w:rPr>
          <w:rFonts w:hint="eastAsia" w:ascii="仿宋" w:hAnsi="仿宋" w:eastAsia="仿宋" w:cs="仿宋"/>
          <w:color w:val="auto"/>
          <w:sz w:val="24"/>
          <w:szCs w:val="24"/>
          <w:highlight w:val="none"/>
        </w:rPr>
        <w:t xml:space="preserve">招标代理机构</w:t>
      </w:r>
      <w:r>
        <w:rPr>
          <w:rFonts w:hint="eastAsia" w:ascii="仿宋" w:hAnsi="仿宋" w:eastAsia="仿宋" w:cs="仿宋"/>
          <w:color w:val="auto"/>
          <w:sz w:val="24"/>
          <w:szCs w:val="21"/>
          <w:highlight w:val="none"/>
        </w:rPr>
        <w:t xml:space="preserve">及评标委员会联系。</w:t>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27、</w:t>
      </w:r>
      <w:bookmarkEnd w:id="157"/>
      <w:r/>
      <w:bookmarkEnd w:id="158"/>
      <w:r/>
      <w:bookmarkEnd w:id="159"/>
      <w:r>
        <w:rPr>
          <w:rFonts w:hint="eastAsia" w:ascii="仿宋" w:hAnsi="仿宋" w:eastAsia="仿宋" w:cs="仿宋"/>
          <w:b/>
          <w:bCs/>
          <w:color w:val="auto"/>
          <w:sz w:val="28"/>
          <w:szCs w:val="28"/>
          <w:highlight w:val="none"/>
        </w:rPr>
        <w:t xml:space="preserve">无效投标条款和废标条款</w:t>
      </w:r>
      <w:r/>
    </w:p>
    <w:p>
      <w:pPr>
        <w:ind w:left="479"/>
        <w:spacing w:line="400" w:lineRule="exact"/>
        <w:rPr>
          <w:rFonts w:hint="eastAsia" w:ascii="仿宋" w:hAnsi="仿宋" w:eastAsia="仿宋" w:cs="仿宋"/>
          <w:bCs/>
          <w:color w:val="auto"/>
          <w:sz w:val="24"/>
          <w:szCs w:val="21"/>
          <w:highlight w:val="none"/>
        </w:rPr>
      </w:pPr>
      <w:r/>
      <w:bookmarkStart w:id="160" w:name="_Toc513029235"/>
      <w:r/>
      <w:bookmarkStart w:id="161" w:name="_Toc16938551"/>
      <w:r/>
      <w:bookmarkStart w:id="162" w:name="_Toc20823307"/>
      <w:r>
        <w:rPr>
          <w:rFonts w:hint="eastAsia" w:ascii="仿宋" w:hAnsi="仿宋" w:eastAsia="仿宋" w:cs="仿宋"/>
          <w:bCs/>
          <w:color w:val="auto"/>
          <w:sz w:val="24"/>
          <w:szCs w:val="21"/>
          <w:highlight w:val="none"/>
        </w:rPr>
        <w:t xml:space="preserve">27.1无效投标条款</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27.1.1 投标人在“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”规定的时间内未成功解密电子投标文件的。</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27.1.2 投标人未按照招标文件要求上传电子投标文件的。</w:t>
      </w:r>
      <w:r/>
    </w:p>
    <w:p>
      <w:pPr>
        <w:ind w:left="479"/>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27.1.3 投标人同一分包提交两个（含两个）以上不同的投标报价的。</w:t>
      </w:r>
      <w:r/>
    </w:p>
    <w:p>
      <w:pPr>
        <w:ind w:left="479"/>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27.1.4投标人不具备招标文件中规定资格要求的。</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27.1.5投标人的报价超过了采购预算或最高限价的。</w:t>
      </w:r>
      <w:r/>
    </w:p>
    <w:p>
      <w:pPr>
        <w:ind w:firstLine="480"/>
        <w:spacing w:line="400" w:lineRule="exact"/>
        <w:rPr>
          <w:rFonts w:hint="eastAsia" w:ascii="仿宋" w:hAnsi="仿宋" w:eastAsia="仿宋" w:cs="仿宋"/>
          <w:bCs/>
          <w:i/>
          <w:color w:val="auto"/>
          <w:sz w:val="24"/>
          <w:szCs w:val="21"/>
          <w:highlight w:val="none"/>
          <w:u w:val="single"/>
        </w:rPr>
      </w:pPr>
      <w:r>
        <w:rPr>
          <w:rFonts w:hint="eastAsia" w:ascii="仿宋" w:hAnsi="仿宋" w:eastAsia="仿宋" w:cs="仿宋"/>
          <w:bCs/>
          <w:color w:val="auto"/>
          <w:sz w:val="24"/>
          <w:szCs w:val="21"/>
          <w:highlight w:val="none"/>
        </w:rPr>
        <w:t xml:space="preserve">27.1.6未通过符合性审查的。</w:t>
      </w:r>
      <w:r/>
    </w:p>
    <w:p>
      <w:pPr>
        <w:ind w:firstLine="360"/>
        <w:spacing w:line="400" w:lineRule="exact"/>
        <w:rPr>
          <w:rFonts w:hint="eastAsia" w:ascii="仿宋" w:hAnsi="仿宋" w:eastAsia="仿宋" w:cs="仿宋"/>
          <w:bCs/>
          <w:i/>
          <w:color w:val="auto"/>
          <w:sz w:val="24"/>
          <w:szCs w:val="21"/>
          <w:highlight w:val="none"/>
          <w:u w:val="single"/>
        </w:rPr>
      </w:pPr>
      <w:r>
        <w:rPr>
          <w:rFonts w:hint="eastAsia" w:ascii="仿宋" w:hAnsi="仿宋" w:eastAsia="仿宋" w:cs="仿宋"/>
          <w:bCs/>
          <w:color w:val="auto"/>
          <w:sz w:val="24"/>
          <w:szCs w:val="21"/>
          <w:highlight w:val="none"/>
        </w:rPr>
        <w:t xml:space="preserve"> 27.1.7不符合招标文件中规定的实质性要求的（</w:t>
      </w:r>
      <w:r>
        <w:rPr>
          <w:rFonts w:hint="eastAsia" w:ascii="仿宋" w:hAnsi="仿宋" w:eastAsia="仿宋" w:cs="仿宋"/>
          <w:bCs/>
          <w:i/>
          <w:color w:val="auto"/>
          <w:sz w:val="24"/>
          <w:szCs w:val="21"/>
          <w:highlight w:val="none"/>
          <w:u w:val="single"/>
        </w:rPr>
        <w:t xml:space="preserve">本招标文件中斜体且有下划线部分为实质性要求）。</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27.1.9  投标文件含有采购人不能接受的附加条件的。</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27.1.12 投标文件未按照招标文件要求加盖CA电子公章的。</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27.1.13其他法律、法规及本招标文件规定的属无效投标的情形。</w:t>
      </w:r>
      <w:r/>
    </w:p>
    <w:p>
      <w:pPr>
        <w:ind w:left="479"/>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27.2废标条款</w:t>
      </w:r>
      <w:r/>
    </w:p>
    <w:p>
      <w:pPr>
        <w:ind w:left="479"/>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27.2.1符合专业条件的投标人或者对招标文件作实质响应的投标人不足三家的。27.2.2出现影响采购公正的违法、违规行为的。</w:t>
      </w:r>
      <w:r/>
    </w:p>
    <w:p>
      <w:pPr>
        <w:ind w:left="479"/>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27.2.3因重大变故，采购任务取消的。</w:t>
      </w:r>
      <w:r/>
    </w:p>
    <w:p>
      <w:pPr>
        <w:ind w:left="479"/>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27.2.4评标委员会认定招标文件存在歧义、重大缺陷导致评审工作无法进行。</w:t>
      </w:r>
      <w:r/>
    </w:p>
    <w:p>
      <w:pPr>
        <w:ind w:left="479"/>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27.2.5 因</w:t>
      </w:r>
      <w:r>
        <w:rPr>
          <w:rFonts w:hint="eastAsia" w:ascii="仿宋" w:hAnsi="仿宋" w:eastAsia="仿宋" w:cs="仿宋"/>
          <w:color w:val="auto"/>
          <w:sz w:val="24"/>
          <w:szCs w:val="24"/>
          <w:highlight w:val="none"/>
        </w:rPr>
        <w:t xml:space="preserve">苏采云</w:t>
      </w:r>
      <w:r>
        <w:rPr>
          <w:rFonts w:hint="eastAsia" w:ascii="仿宋" w:hAnsi="仿宋" w:eastAsia="仿宋" w:cs="仿宋"/>
          <w:bCs/>
          <w:color w:val="auto"/>
          <w:sz w:val="24"/>
          <w:szCs w:val="21"/>
          <w:highlight w:val="none"/>
        </w:rPr>
        <w:t xml:space="preserve">系统故障原因造成开标不成功的。</w:t>
      </w:r>
      <w:r/>
    </w:p>
    <w:p>
      <w:pPr>
        <w:ind w:left="479"/>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27.3 投标截止时间结束后参加投标的供应商不足三家的处理：</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before="145" w:after="145" w:line="400" w:lineRule="exact"/>
        <w:rPr>
          <w:rFonts w:hint="eastAsia" w:ascii="仿宋" w:hAnsi="仿宋" w:eastAsia="仿宋" w:cs="仿宋"/>
          <w:b/>
          <w:bCs/>
          <w:color w:val="auto"/>
          <w:sz w:val="32"/>
          <w:szCs w:val="32"/>
          <w:highlight w:val="none"/>
        </w:rPr>
      </w:pPr>
      <w:r/>
      <w:bookmarkStart w:id="163" w:name="_Toc120614219"/>
      <w:r>
        <w:rPr>
          <w:rFonts w:hint="eastAsia" w:ascii="仿宋" w:hAnsi="仿宋" w:eastAsia="仿宋" w:cs="仿宋"/>
          <w:b/>
          <w:bCs/>
          <w:color w:val="auto"/>
          <w:sz w:val="32"/>
          <w:szCs w:val="32"/>
          <w:highlight w:val="none"/>
        </w:rPr>
        <w:t xml:space="preserve">六、</w:t>
      </w:r>
      <w:bookmarkEnd w:id="160"/>
      <w:r/>
      <w:bookmarkEnd w:id="161"/>
      <w:r/>
      <w:bookmarkEnd w:id="162"/>
      <w:r>
        <w:rPr>
          <w:rFonts w:hint="eastAsia" w:ascii="仿宋" w:hAnsi="仿宋" w:eastAsia="仿宋" w:cs="仿宋"/>
          <w:b/>
          <w:bCs/>
          <w:color w:val="auto"/>
          <w:sz w:val="32"/>
          <w:szCs w:val="32"/>
          <w:highlight w:val="none"/>
        </w:rPr>
        <w:t xml:space="preserve">定标</w:t>
      </w:r>
      <w:bookmarkEnd w:id="163"/>
      <w:r/>
      <w:r/>
    </w:p>
    <w:p>
      <w:pPr>
        <w:ind w:firstLine="422"/>
        <w:keepLines/>
        <w:keepNext/>
        <w:spacing w:line="400" w:lineRule="exact"/>
        <w:rPr>
          <w:rFonts w:hint="eastAsia" w:ascii="仿宋" w:hAnsi="仿宋" w:eastAsia="仿宋" w:cs="仿宋"/>
          <w:b/>
          <w:bCs/>
          <w:color w:val="auto"/>
          <w:sz w:val="28"/>
          <w:szCs w:val="28"/>
          <w:highlight w:val="none"/>
        </w:rPr>
      </w:pPr>
      <w:r/>
      <w:bookmarkStart w:id="164" w:name="_Toc513029238"/>
      <w:r/>
      <w:bookmarkStart w:id="165" w:name="_Toc16938554"/>
      <w:r/>
      <w:bookmarkStart w:id="166" w:name="_Toc20823310"/>
      <w:r>
        <w:rPr>
          <w:rFonts w:hint="eastAsia" w:ascii="仿宋" w:hAnsi="仿宋" w:eastAsia="仿宋" w:cs="仿宋"/>
          <w:b/>
          <w:bCs/>
          <w:color w:val="auto"/>
          <w:sz w:val="28"/>
          <w:szCs w:val="28"/>
          <w:highlight w:val="none"/>
        </w:rPr>
        <w:t xml:space="preserve">28、</w:t>
      </w:r>
      <w:bookmarkEnd w:id="164"/>
      <w:r>
        <w:rPr>
          <w:rFonts w:hint="eastAsia" w:ascii="仿宋" w:hAnsi="仿宋" w:eastAsia="仿宋" w:cs="仿宋"/>
          <w:b/>
          <w:bCs/>
          <w:color w:val="auto"/>
          <w:sz w:val="28"/>
          <w:szCs w:val="28"/>
          <w:highlight w:val="none"/>
        </w:rPr>
        <w:t xml:space="preserve">确定</w:t>
      </w:r>
      <w:bookmarkEnd w:id="165"/>
      <w:r/>
      <w:bookmarkEnd w:id="166"/>
      <w:r>
        <w:rPr>
          <w:rFonts w:hint="eastAsia" w:ascii="仿宋" w:hAnsi="仿宋" w:eastAsia="仿宋" w:cs="仿宋"/>
          <w:b/>
          <w:bCs/>
          <w:color w:val="auto"/>
          <w:sz w:val="28"/>
          <w:szCs w:val="28"/>
          <w:highlight w:val="none"/>
        </w:rPr>
        <w:t xml:space="preserve">中标单位</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28.1中标候选人的选取原则和数量见招标文件第五章规定。</w:t>
      </w:r>
      <w:r/>
    </w:p>
    <w:p>
      <w:pPr>
        <w:ind w:firstLine="480"/>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28.2 采购人委托评委会根据排名的中标候选人确定中标人。</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28.3 </w:t>
      </w:r>
      <w:r>
        <w:rPr>
          <w:rFonts w:hint="eastAsia" w:ascii="仿宋" w:hAnsi="仿宋" w:eastAsia="仿宋" w:cs="仿宋"/>
          <w:color w:val="auto"/>
          <w:sz w:val="24"/>
          <w:szCs w:val="24"/>
          <w:highlight w:val="none"/>
        </w:rPr>
        <w:t xml:space="preserve">招标代理机构将在“江苏政府采购网”发布中标公告，公告期限为1个工作日。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 若有充分证据证明，中标人出现下列情况之一的，一经查实，将被取消中标资格：</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28.4.1提供虚假材料谋取中标的。</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28.4.2向采购人、招标代理机构行贿或者提供其他不正当利益的。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28.4.3 属于本文件规定的无效条件，但在评标过程中又未被评委会发现的。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28.4.4与采购人或者其他供应商恶意串通的。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28.4.5采取不正当手段诋毁、排挤其他供应商的。</w:t>
      </w:r>
      <w:r/>
    </w:p>
    <w:p>
      <w:pPr>
        <w:ind w:firstLine="480"/>
        <w:spacing w:line="400" w:lineRule="exact"/>
        <w:rPr>
          <w:rFonts w:hint="eastAsia" w:ascii="仿宋" w:hAnsi="仿宋" w:eastAsia="仿宋" w:cs="仿宋"/>
          <w:color w:val="auto"/>
          <w:sz w:val="24"/>
          <w:szCs w:val="24"/>
          <w:highlight w:val="none"/>
        </w:rPr>
      </w:pPr>
      <w:r/>
      <w:bookmarkStart w:id="167" w:name="_Toc200451960"/>
      <w:r>
        <w:rPr>
          <w:rFonts w:hint="eastAsia" w:ascii="仿宋" w:hAnsi="仿宋" w:eastAsia="仿宋" w:cs="仿宋"/>
          <w:color w:val="auto"/>
          <w:sz w:val="24"/>
          <w:szCs w:val="24"/>
          <w:highlight w:val="none"/>
        </w:rPr>
        <w:t xml:space="preserve">28.5有下列情形之一的，视为投标人串通投标，投标无效：</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28.5.1不同投标人的投标文件由同一单位或者个人编制。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28.5.2不同投标人委托同一单位或者个人办理投标事宜。</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 不同投标人的投标文件载明的项目管理成员或者联系人员为同一人。</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28.5.4不同投标人的投标文件异常一致或者投标报价呈规律性差异。</w:t>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29、质疑处理</w:t>
      </w:r>
      <w:bookmarkEnd w:id="167"/>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招标代理机构提出质疑。上述应知其权益受到损害之日，是指：</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29.2.1对可以质疑的采购文件提出质疑的，为收到采购文件之日或者采购文件公告期限届满之日；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29.2.2对采购过程提出质疑的，为各采购程序环节结束之日；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29.2.3对中标或者成交结果提出质疑的，为中标或者成交结果公告期限届满之日。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供应商应当在法定质疑期内一次性提出针对同一采购程序环节的质疑。供应商如在法定期限内对同一采购程序环节提出多次质疑的，采购人、招标代理机构将只对供应商第一次质疑作出答复。</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29.4 投标人（含潜在投标人）对采购方式、招标文件中采购需求、供应商资格条件、评标方法和评标标准、合同文本及资格审查结果的询问、质疑请向采购人提出，由采购人负责答复。投标人对其他事项的询问、质疑请向采购人提出，由采购人负责答复。</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采购人及招标代理机构只接收以纸质原件形式送达的质疑,建议投标人尽量通过邮寄方式提交质疑（采购人和招标代理机构不接受无快递运单号的快递）。</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采购人质疑接收人及联系方式，见本招标文件第一章。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 以下情形的质疑不予受理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29.5.1 内容不符合《政府采购质疑和投诉办法》第十二条规定的质疑。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29.5.2 超出政府采购法定期限的质疑。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29.5.3 以传真、电子邮件等方式递交的非原件形式的质疑。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29.5.4 未参加投标活动的供应商或在投标活动中自身权益未受到损害的供应商所提出的质疑。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29.5.5供应商组成联合体参加投标，联合体中任何一方或多方未按要求签字、盖章、加盖公章的质疑。</w:t>
      </w:r>
      <w:r/>
    </w:p>
    <w:p>
      <w:pPr>
        <w:ind w:firstLine="46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30、中标通知书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400" w:lineRule="exact"/>
        <w:rPr>
          <w:rFonts w:hint="eastAsia" w:ascii="仿宋" w:hAnsi="仿宋" w:eastAsia="仿宋" w:cs="仿宋"/>
          <w:b/>
          <w:bCs/>
          <w:color w:val="auto"/>
          <w:sz w:val="32"/>
          <w:szCs w:val="32"/>
          <w:highlight w:val="none"/>
        </w:rPr>
      </w:pPr>
      <w:r/>
      <w:bookmarkStart w:id="168" w:name="_Toc120614220"/>
      <w:r/>
      <w:bookmarkStart w:id="169" w:name="_Toc16938552"/>
      <w:r/>
      <w:bookmarkStart w:id="170" w:name="_Toc513029236"/>
      <w:r/>
      <w:bookmarkStart w:id="171" w:name="_Toc20823308"/>
      <w:r>
        <w:rPr>
          <w:rFonts w:hint="eastAsia" w:ascii="仿宋" w:hAnsi="仿宋" w:eastAsia="仿宋" w:cs="仿宋"/>
          <w:b/>
          <w:bCs/>
          <w:color w:val="auto"/>
          <w:sz w:val="32"/>
          <w:szCs w:val="32"/>
          <w:highlight w:val="none"/>
        </w:rPr>
        <w:t xml:space="preserve">七、授予合同</w:t>
      </w:r>
      <w:bookmarkEnd w:id="168"/>
      <w:r/>
      <w:bookmarkEnd w:id="169"/>
      <w:r/>
      <w:bookmarkEnd w:id="170"/>
      <w:r/>
      <w:bookmarkEnd w:id="171"/>
      <w:r/>
      <w:r/>
    </w:p>
    <w:p>
      <w:pPr>
        <w:ind w:firstLine="422"/>
        <w:keepLines/>
        <w:keepNext/>
        <w:spacing w:line="400" w:lineRule="exact"/>
        <w:rPr>
          <w:rFonts w:hint="eastAsia" w:ascii="仿宋" w:hAnsi="仿宋" w:eastAsia="仿宋" w:cs="仿宋"/>
          <w:b/>
          <w:bCs/>
          <w:color w:val="auto"/>
          <w:sz w:val="28"/>
          <w:szCs w:val="28"/>
          <w:highlight w:val="none"/>
        </w:rPr>
      </w:pPr>
      <w:r/>
      <w:bookmarkStart w:id="172" w:name="_Toc513029237"/>
      <w:r/>
      <w:bookmarkStart w:id="173" w:name="_Toc20823309"/>
      <w:r/>
      <w:bookmarkStart w:id="174" w:name="_Toc16938553"/>
      <w:r>
        <w:rPr>
          <w:rFonts w:hint="eastAsia" w:ascii="仿宋" w:hAnsi="仿宋" w:eastAsia="仿宋" w:cs="仿宋"/>
          <w:b/>
          <w:bCs/>
          <w:color w:val="auto"/>
          <w:sz w:val="28"/>
          <w:szCs w:val="28"/>
          <w:highlight w:val="none"/>
        </w:rPr>
        <w:t xml:space="preserve">31、签订合同</w:t>
      </w:r>
      <w:r/>
    </w:p>
    <w:p>
      <w:pPr>
        <w:ind w:firstLine="480"/>
        <w:spacing w:line="480" w:lineRule="exact"/>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.l中标人应当在中标通知书发出之日起三十日内，按照招标文件确定的事项与采购人签订政府采购合同。</w:t>
      </w:r>
      <w:r>
        <w:rPr>
          <w:rFonts w:hint="eastAsia" w:ascii="仿宋" w:hAnsi="仿宋" w:eastAsia="仿宋" w:cs="仿宋"/>
          <w:b/>
          <w:bCs/>
          <w:color w:val="auto"/>
          <w:sz w:val="24"/>
          <w:szCs w:val="24"/>
          <w:highlight w:val="none"/>
        </w:rPr>
        <w:t xml:space="preserve">中标</w:t>
      </w:r>
      <w:r>
        <w:rPr>
          <w:rFonts w:hint="eastAsia" w:ascii="仿宋" w:hAnsi="仿宋" w:eastAsia="仿宋" w:cs="仿宋"/>
          <w:b/>
          <w:bCs/>
          <w:color w:val="auto"/>
          <w:sz w:val="24"/>
          <w:szCs w:val="24"/>
          <w:highlight w:val="none"/>
          <w:lang w:val="zh-CN"/>
        </w:rPr>
        <w:t xml:space="preserve">人应在中标结果公告之日起五个工作日内向</w:t>
      </w:r>
      <w:r>
        <w:rPr>
          <w:rFonts w:hint="eastAsia" w:ascii="仿宋" w:hAnsi="仿宋" w:eastAsia="仿宋" w:cs="仿宋"/>
          <w:b/>
          <w:bCs/>
          <w:color w:val="auto"/>
          <w:sz w:val="24"/>
          <w:szCs w:val="24"/>
          <w:highlight w:val="none"/>
        </w:rPr>
        <w:t xml:space="preserve">招标代理提供三份纸质版投标文件</w:t>
      </w:r>
      <w:r>
        <w:rPr>
          <w:rFonts w:hint="eastAsia" w:ascii="仿宋" w:hAnsi="仿宋" w:eastAsia="仿宋" w:cs="仿宋"/>
          <w:b/>
          <w:bCs/>
          <w:color w:val="auto"/>
          <w:sz w:val="24"/>
          <w:szCs w:val="24"/>
          <w:highlight w:val="none"/>
          <w:lang w:val="zh-CN"/>
        </w:rPr>
        <w:t xml:space="preserve">（须与上传电子档内容一致）</w:t>
      </w:r>
      <w:r>
        <w:rPr>
          <w:rFonts w:hint="eastAsia" w:ascii="仿宋" w:hAnsi="仿宋" w:eastAsia="仿宋" w:cs="仿宋"/>
          <w:b/>
          <w:bCs/>
          <w:color w:val="auto"/>
          <w:sz w:val="24"/>
          <w:szCs w:val="24"/>
          <w:highlight w:val="none"/>
        </w:rPr>
        <w:t xml:space="preserve">，否则不予签订合同。</w:t>
      </w:r>
      <w:r/>
    </w:p>
    <w:p>
      <w:pPr>
        <w:ind w:firstLine="60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招标文件、中标人的投标文件及招标过程中有关澄清、承诺文件均应作为合同附件。</w:t>
      </w:r>
      <w:r/>
    </w:p>
    <w:p>
      <w:pPr>
        <w:ind w:firstLine="60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400" w:lineRule="exact"/>
        <w:rPr>
          <w:rFonts w:hint="eastAsia" w:ascii="宋体" w:hAnsi="宋体" w:cs="宋体"/>
          <w:b/>
          <w:color w:val="auto"/>
          <w:sz w:val="24"/>
          <w:szCs w:val="24"/>
          <w:highlight w:val="none"/>
        </w:rPr>
      </w:pPr>
      <w:r>
        <w:rPr>
          <w:rFonts w:hint="eastAsia" w:ascii="仿宋" w:hAnsi="仿宋" w:eastAsia="仿宋" w:cs="仿宋"/>
          <w:color w:val="auto"/>
          <w:sz w:val="24"/>
          <w:szCs w:val="24"/>
          <w:highlight w:val="none"/>
        </w:rPr>
        <w:t xml:space="preserve">31.4</w:t>
      </w:r>
      <w:r>
        <w:rPr>
          <w:rFonts w:hint="eastAsia" w:ascii="宋体" w:hAnsi="宋体" w:cs="宋体"/>
          <w:b/>
          <w:color w:val="auto"/>
          <w:sz w:val="24"/>
          <w:szCs w:val="24"/>
          <w:highlight w:val="none"/>
        </w:rPr>
        <w:t xml:space="preserve">履约过程中，不得有下列情形，否则经甲方研究，可以解除委托合同：</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（1）弄虚作假骗取第三方服务机构资格的；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（2）未经同意擅自转包技术服务的；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（3）通过检查、评估、验收强行与企业建立有偿合作关系的；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（4）未按委托合同规定时限开展技术服务的；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（5）对发现问题清单和整改措施未向受查企业一次性全面告知，加重企业负担的； </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（6）未按照国家有关法律、法规、标准、规范进行检测检验，或伪造检测检验记录，出具虚假检查报告的；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违反工作纪律、廉政纪律，收受被调查、检查、审查、核查单位财物的，在上述单位报销有关费用的，与上述单位进行利益交换的，或以市场监管部门的名义从事推销产品、介绍客户、违规收费、吃拿卡要等不正当活动，谋取不正当利益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（8）擅自以市场监督管理部门的名义组织或参加活动，从事技术咨询、管理服务的；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（9）不遵守回避制度，明知与受指派任务存在利害关系，可能影响工作公正时，未主动提出回避的，或拒不接受委托单位提出的正当回避要求的；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（10）泄露执行任务知悉的技术秘密、商业秘密，未经同意私自泄露执法情况以及其他不宜公开情况的；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（11）执行任务期间，对发现的有关违法违规行为和事故隐患，不及时按程序如实告知监管部门或企业，通过本机构内部人员或授意他人举报相关问题，获取举报奖励的；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（12）由于第三方服务机构原因给有关单位造成较大经济损失的；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（13）从事委派任务不力，对县市场监督管理局监管执法、评审检查、应急处置工作造成不良后果的；</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（14）其他造成严重损失和恶劣社会影响的情形。</w:t>
      </w:r>
      <w:r/>
    </w:p>
    <w:p>
      <w:pPr>
        <w:pStyle w:val="1061"/>
        <w:spacing w:line="400" w:lineRule="exact"/>
        <w:rPr>
          <w:rFonts w:eastAsia="仿宋"/>
          <w:color w:val="auto"/>
          <w:highlight w:val="none"/>
        </w:rPr>
      </w:pPr>
      <w:r>
        <w:rPr>
          <w:rFonts w:eastAsia="仿宋"/>
          <w:color w:val="auto"/>
          <w:highlight w:val="none"/>
        </w:rPr>
      </w:r>
      <w:r/>
    </w:p>
    <w:p>
      <w:pPr>
        <w:ind w:firstLine="422"/>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32、违约责任：</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32.1.乙方不履行甲方下达的检测任务的，甲方不支付相应任务的检测费用。未经甲方同意，擅自将检测任务全部或部分分包给他人实施的，甲方不支付全部检测费用。</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32.2.因乙方抽检不规范，抽检信息错误导致不合格报告无效，经甲方核查后发现并通知乙方撤回不合格报告的，按每批次伍仟元的标准扣除抽检费用。</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乙方在数据质量抽查考核中准确率须达到99%以上。乙方数据质量抽查考核准确率为97%-99%，甲方扣除合同金额的1%；准确率为95%-97%，甲方扣除合同金额的2%；准确率为95%以下，甲方扣除合同金额的3%。因乙方填报数据质量不规范导致甲方被上级部门通报的，或在上级专项考核中被扣分等严重情形的，甲方有权选择减少、中止、终止乙方检测任务。</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32.4.乙方要提高监督抽检发现问题的能力，综合不合格率不得低于2.5%。综合不合格率每低0.5%，甲方扣除合同金额的1%。</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32.5.乙方应按甲方下达的抽检计划完成抽样检验工作，因甲方原因造成乙方在规定期限内未完成抽样检验工作的，不得追究乙方责任；因乙方原因致使抽样检验工作超过履行期限规定的，甲方不支付相应逾期批次的抽检费用。</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32.6.乙方对检测判定结果承担责任，如果出现异议、复检（包括甲方自行组织的抽查）改判检测结论的情形，乙方承担每批次违约金伍仟元。如因乙方原因造成甲方实施的行政处罚在听证复议中被撤销或在上级案件审查中被判错案的，乙方应当承担每起案件壹万元的违约金；如造成甲方实施的行政处罚在诉讼中败诉的，乙方应当承担每起案件（包括一审、二审及再审）伍万元的违约金。本条所述三种情形的违约金不重复计算。</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32.7.因乙方抽检工作不规范、检测结论不准确造成甲方行政赔偿的，乙方应当支付甲方的行政赔偿金额。</w:t>
      </w:r>
      <w:r/>
    </w:p>
    <w:p>
      <w:pPr>
        <w:ind w:left="420"/>
        <w:spacing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32.8.未经甲方同意，乙方对同一主体每个季度内实施抽检5个以上的批次，超出批次不予结报抽检费用。</w:t>
      </w:r>
      <w:r/>
    </w:p>
    <w:p>
      <w:pPr>
        <w:ind w:left="420"/>
        <w:spacing w:after="120"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ascii="仿宋" w:hAnsi="仿宋" w:eastAsia="仿宋" w:cs="仿宋"/>
          <w:color w:val="auto"/>
          <w:sz w:val="24"/>
          <w:szCs w:val="24"/>
          <w:highlight w:val="none"/>
        </w:rPr>
        <w:t xml:space="preserve">9.甲方无正当理由拒绝接受乙方提供的</w:t>
      </w:r>
      <w:r>
        <w:rPr>
          <w:rFonts w:hint="eastAsia" w:ascii="仿宋" w:hAnsi="仿宋" w:eastAsia="仿宋" w:cs="仿宋"/>
          <w:color w:val="auto"/>
          <w:sz w:val="24"/>
          <w:szCs w:val="24"/>
          <w:highlight w:val="none"/>
        </w:rPr>
        <w:t xml:space="preserve">服务的</w:t>
      </w:r>
      <w:r>
        <w:rPr>
          <w:rFonts w:ascii="仿宋" w:hAnsi="仿宋" w:eastAsia="仿宋" w:cs="仿宋"/>
          <w:color w:val="auto"/>
          <w:sz w:val="24"/>
          <w:szCs w:val="24"/>
          <w:highlight w:val="none"/>
        </w:rPr>
        <w:t xml:space="preserve">，甲方向乙方偿付</w:t>
      </w:r>
      <w:r>
        <w:rPr>
          <w:rFonts w:hint="eastAsia" w:ascii="仿宋" w:hAnsi="仿宋" w:eastAsia="仿宋" w:cs="仿宋"/>
          <w:color w:val="auto"/>
          <w:sz w:val="24"/>
          <w:szCs w:val="24"/>
          <w:highlight w:val="none"/>
        </w:rPr>
        <w:t xml:space="preserve">拒</w:t>
      </w:r>
      <w:r>
        <w:rPr>
          <w:rFonts w:ascii="仿宋" w:hAnsi="仿宋" w:eastAsia="仿宋" w:cs="仿宋"/>
          <w:color w:val="auto"/>
          <w:sz w:val="24"/>
          <w:szCs w:val="24"/>
          <w:highlight w:val="none"/>
        </w:rPr>
        <w:t xml:space="preserve">绝接受合同价款总值10%的违约金。</w:t>
      </w:r>
      <w:r/>
    </w:p>
    <w:p>
      <w:pPr>
        <w:pStyle w:val="1061"/>
        <w:rPr>
          <w:rFonts w:hint="eastAsia" w:ascii="仿宋" w:hAnsi="仿宋" w:eastAsia="仿宋" w:cs="仿宋"/>
          <w:color w:val="auto"/>
          <w:highlight w:val="none"/>
        </w:rPr>
      </w:pPr>
      <w:r>
        <w:rPr>
          <w:rFonts w:hint="eastAsia" w:ascii="仿宋" w:hAnsi="仿宋" w:eastAsia="仿宋" w:cs="仿宋"/>
          <w:color w:val="auto"/>
          <w:highlight w:val="none"/>
        </w:rPr>
      </w:r>
      <w:bookmarkEnd w:id="172"/>
      <w:r/>
      <w:bookmarkEnd w:id="173"/>
      <w:r/>
      <w:bookmarkEnd w:id="174"/>
      <w:r/>
      <w:r/>
    </w:p>
    <w:p>
      <w:pPr>
        <w:ind w:firstLine="562"/>
        <w:keepLines/>
        <w:keepNext/>
        <w:spacing w:line="400" w:lineRule="exact"/>
        <w:rPr>
          <w:rFonts w:hint="eastAsia" w:ascii="仿宋" w:hAnsi="仿宋" w:eastAsia="仿宋" w:cs="仿宋"/>
          <w:b/>
          <w:bCs/>
          <w:color w:val="auto"/>
          <w:sz w:val="28"/>
          <w:szCs w:val="28"/>
          <w:highlight w:val="none"/>
        </w:rPr>
      </w:pPr>
      <w:r/>
      <w:bookmarkStart w:id="175" w:name="_Toc479757207"/>
      <w:r/>
      <w:bookmarkStart w:id="176" w:name="_Toc16938558"/>
      <w:r/>
      <w:bookmarkStart w:id="177" w:name="_Toc20823314"/>
      <w:r/>
      <w:bookmarkStart w:id="178" w:name="_Toc513029242"/>
      <w:r/>
      <w:bookmarkStart w:id="179" w:name="_Toc120614221"/>
      <w:r>
        <w:rPr>
          <w:rFonts w:hint="eastAsia" w:ascii="仿宋" w:hAnsi="仿宋" w:eastAsia="仿宋" w:cs="仿宋"/>
          <w:b/>
          <w:bCs/>
          <w:color w:val="auto"/>
          <w:sz w:val="28"/>
          <w:szCs w:val="28"/>
          <w:highlight w:val="none"/>
        </w:rPr>
        <w:t xml:space="preserve">3</w:t>
      </w: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、项目验收与付款条件：</w:t>
      </w:r>
      <w:r/>
    </w:p>
    <w:p>
      <w:pPr>
        <w:ind w:firstLine="555"/>
        <w:jc w:val="left"/>
        <w:spacing w:line="40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34.1.甲方在合同履行期间，有权依照采购文件相关要求对乙方提供的相关服务或交付的工作成果进行阶段性验收及/或总体验收。阶段性验收一般每季度一次</w:t>
      </w:r>
      <w:r>
        <w:rPr>
          <w:rFonts w:hint="eastAsia" w:ascii="仿宋" w:hAnsi="仿宋" w:eastAsia="仿宋" w:cs="仿宋"/>
          <w:bCs/>
          <w:color w:val="auto"/>
          <w:sz w:val="24"/>
          <w:szCs w:val="24"/>
          <w:highlight w:val="none"/>
          <w:lang w:eastAsia="zh-CN"/>
        </w:rPr>
        <w:t xml:space="preserve">。</w:t>
      </w:r>
      <w:r/>
    </w:p>
    <w:p>
      <w:pPr>
        <w:ind w:firstLine="555"/>
        <w:jc w:val="left"/>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34.2.季度抽检任务完成后，经甲方验收合格，根据乙方所完成的阶段检验量核算以及成交公示价格(所报折扣)按实支付。如发现乙方数据存在严重的质量问题或重要指标未达标，可采取警告、暂停结报相关费用等措施，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firstLine="555"/>
        <w:jc w:val="left"/>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34.3.乙方在与甲方结算相关费用时，必须提供有效票据(经省级财政监制的结算票据或正式发票)、合同和与所结报批次一致的检测清单等相关材料，清单中各项数据无本合同“九、违约责任”中有关乙方的违约情形。甲方应在完成任务后的一个季度内结清全部抽检费用；有违约情形的，依违约责任中的相关条款扣除违约金，违约金在相应的抽检费用中扣除。</w:t>
      </w:r>
      <w:r/>
    </w:p>
    <w:p>
      <w:pPr>
        <w:ind w:firstLine="420"/>
        <w:keepLines/>
        <w:keepNex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w:t>
      </w: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bCs/>
          <w:color w:val="auto"/>
          <w:sz w:val="28"/>
          <w:szCs w:val="28"/>
          <w:highlight w:val="none"/>
        </w:rPr>
        <w:t xml:space="preserve">、政府采购履约资金扶持政策</w:t>
      </w:r>
      <w:r/>
    </w:p>
    <w:p>
      <w:pPr>
        <w:ind w:firstLine="555"/>
        <w:jc w:val="left"/>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480"/>
        <w:jc w:val="left"/>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numPr>
          <w:ilvl w:val="0"/>
          <w:numId w:val="7"/>
        </w:numPr>
        <w:jc w:val="center"/>
        <w:spacing w:before="120" w:after="120" w:line="0" w:lineRule="atLeast"/>
        <w:rPr>
          <w:rFonts w:hint="eastAsia" w:ascii="仿宋" w:hAnsi="仿宋" w:eastAsia="仿宋" w:cs="仿宋"/>
          <w:bCs/>
          <w:color w:val="auto"/>
          <w:sz w:val="44"/>
          <w:highlight w:val="none"/>
          <w:lang w:val="en-US" w:eastAsia="zh-CN"/>
        </w:rPr>
        <w:outlineLvl w:val="0"/>
      </w:pPr>
      <w:r>
        <w:rPr>
          <w:rFonts w:hint="eastAsia" w:ascii="仿宋" w:hAnsi="仿宋" w:eastAsia="仿宋" w:cs="仿宋"/>
          <w:bCs/>
          <w:color w:val="auto"/>
          <w:sz w:val="44"/>
          <w:highlight w:val="none"/>
        </w:rPr>
        <w:br w:type="page" w:clear="all"/>
      </w:r>
      <w:bookmarkEnd w:id="175"/>
      <w:r/>
      <w:bookmarkEnd w:id="176"/>
      <w:r/>
      <w:bookmarkEnd w:id="177"/>
      <w:r/>
      <w:bookmarkEnd w:id="178"/>
      <w:r/>
      <w:bookmarkEnd w:id="179"/>
      <w:r/>
      <w:bookmarkStart w:id="180" w:name="_Hlt16619350"/>
      <w:r/>
      <w:bookmarkStart w:id="181" w:name="_Toc16938590"/>
      <w:r/>
      <w:bookmarkStart w:id="182" w:name="_Toc26382"/>
      <w:r/>
      <w:bookmarkStart w:id="183" w:name="_Toc120614244"/>
      <w:r/>
      <w:bookmarkStart w:id="184" w:name="_Toc20823346"/>
      <w:r/>
      <w:bookmarkStart w:id="185" w:name="_Toc462564139"/>
      <w:r/>
      <w:bookmarkStart w:id="186" w:name="_Toc479757211"/>
      <w:r>
        <w:rPr>
          <w:rFonts w:hint="eastAsia" w:ascii="仿宋" w:hAnsi="仿宋" w:eastAsia="仿宋" w:cs="仿宋"/>
          <w:bCs/>
          <w:color w:val="auto"/>
          <w:sz w:val="44"/>
          <w:highlight w:val="none"/>
          <w:lang w:val="en-US" w:eastAsia="zh-CN"/>
        </w:rPr>
        <w:t xml:space="preserve">合同范本</w:t>
      </w:r>
      <w:r/>
    </w:p>
    <w:p>
      <w:pPr>
        <w:numPr>
          <w:ilvl w:val="0"/>
          <w:numId w:val="0"/>
        </w:numPr>
        <w:jc w:val="both"/>
        <w:spacing w:before="120" w:after="120" w:line="0" w:lineRule="atLeast"/>
        <w:rPr>
          <w:rFonts w:hint="eastAsia" w:ascii="仿宋" w:hAnsi="仿宋" w:eastAsia="仿宋" w:cs="仿宋"/>
          <w:b/>
          <w:color w:val="auto"/>
          <w:sz w:val="44"/>
          <w:szCs w:val="21"/>
          <w:highlight w:val="none"/>
        </w:rPr>
        <w:outlineLvl w:val="0"/>
      </w:pPr>
      <w:r>
        <w:rPr>
          <w:rFonts w:hint="eastAsia" w:ascii="仿宋" w:hAnsi="仿宋" w:eastAsia="仿宋" w:cs="仿宋"/>
          <w:b/>
          <w:color w:val="auto"/>
          <w:sz w:val="44"/>
          <w:szCs w:val="21"/>
          <w:highlight w:val="none"/>
        </w:rPr>
      </w:r>
      <w:r/>
    </w:p>
    <w:p>
      <w:pPr>
        <w:ind w:left="2368"/>
        <w:spacing w:before="123" w:line="219" w:lineRule="auto"/>
        <w:rPr>
          <w:rFonts w:hint="eastAsia" w:ascii="宋体" w:hAnsi="宋体" w:cs="宋体"/>
          <w:color w:val="auto"/>
          <w:sz w:val="38"/>
          <w:szCs w:val="38"/>
        </w:rPr>
        <w:outlineLvl w:val="0"/>
      </w:pPr>
      <w:r>
        <w:rPr>
          <w:rFonts w:hint="eastAsia" w:ascii="宋体" w:hAnsi="宋体" w:cs="宋体"/>
          <w:b/>
          <w:color w:val="auto"/>
          <w:spacing w:val="-8"/>
          <w:sz w:val="38"/>
          <w:szCs w:val="38"/>
        </w:rPr>
        <w:t xml:space="preserve">食品安全抽样检验合同</w:t>
      </w:r>
      <w:r/>
    </w:p>
    <w:p>
      <w:pPr>
        <w:jc w:val="left"/>
        <w:spacing w:line="256" w:lineRule="auto"/>
        <w:widowControl/>
        <w:rPr>
          <w:rFonts w:hint="default" w:ascii="Arial" w:hAnsi="Arial" w:cs="Arial"/>
          <w:color w:val="auto"/>
          <w:sz w:val="21"/>
          <w:szCs w:val="21"/>
        </w:rPr>
      </w:pPr>
      <w:r>
        <w:rPr>
          <w:rFonts w:hint="default" w:ascii="Arial" w:hAnsi="Arial" w:cs="Arial"/>
          <w:color w:val="auto"/>
          <w:sz w:val="21"/>
          <w:szCs w:val="21"/>
        </w:rPr>
      </w:r>
      <w:r/>
    </w:p>
    <w:p>
      <w:pPr>
        <w:jc w:val="left"/>
        <w:spacing w:line="256" w:lineRule="auto"/>
        <w:widowControl/>
        <w:rPr>
          <w:rFonts w:hint="default" w:ascii="Arial" w:hAnsi="Arial" w:cs="Arial"/>
          <w:color w:val="auto"/>
          <w:sz w:val="21"/>
          <w:szCs w:val="21"/>
        </w:rPr>
      </w:pPr>
      <w:r>
        <w:rPr>
          <w:rFonts w:hint="default" w:ascii="Arial" w:hAnsi="Arial" w:cs="Arial"/>
          <w:color w:val="auto"/>
          <w:sz w:val="21"/>
          <w:szCs w:val="21"/>
        </w:rPr>
      </w:r>
      <w:r/>
    </w:p>
    <w:p>
      <w:pPr>
        <w:ind w:right="94" w:firstLine="424"/>
        <w:spacing w:before="68" w:line="342" w:lineRule="auto"/>
        <w:rPr>
          <w:rFonts w:hint="eastAsia" w:ascii="宋体" w:hAnsi="宋体" w:cs="宋体"/>
          <w:color w:val="auto"/>
          <w:spacing w:val="1"/>
          <w:sz w:val="21"/>
          <w:szCs w:val="21"/>
        </w:rPr>
      </w:pPr>
      <w:r>
        <w:rPr>
          <w:rFonts w:hint="eastAsia" w:ascii="宋体" w:hAnsi="宋体" w:cs="宋体"/>
          <w:color w:val="auto"/>
          <w:spacing w:val="1"/>
          <w:sz w:val="21"/>
          <w:szCs w:val="21"/>
        </w:rPr>
        <w:t xml:space="preserve">甲 方 ：</w:t>
      </w:r>
      <w:r>
        <w:rPr>
          <w:rFonts w:hint="eastAsia" w:ascii="宋体" w:hAnsi="宋体" w:cs="宋体"/>
          <w:color w:val="auto"/>
          <w:spacing w:val="1"/>
          <w:sz w:val="21"/>
          <w:szCs w:val="21"/>
          <w:u w:val="single"/>
        </w:rPr>
        <w:t xml:space="preserve">如东县市场监督管理局</w:t>
      </w:r>
      <w:r>
        <w:rPr>
          <w:rFonts w:hint="eastAsia" w:ascii="宋体" w:hAnsi="宋体" w:cs="宋体"/>
          <w:color w:val="auto"/>
          <w:spacing w:val="1"/>
          <w:sz w:val="21"/>
          <w:szCs w:val="21"/>
        </w:rPr>
        <w:t xml:space="preserve">(以下简称甲方)</w:t>
      </w:r>
      <w:r/>
    </w:p>
    <w:p>
      <w:pPr>
        <w:ind w:right="94" w:firstLine="424"/>
        <w:spacing w:before="68" w:line="342" w:lineRule="auto"/>
        <w:rPr>
          <w:rFonts w:hint="eastAsia" w:ascii="宋体" w:hAnsi="宋体" w:cs="宋体"/>
          <w:color w:val="auto"/>
          <w:spacing w:val="1"/>
          <w:sz w:val="21"/>
          <w:szCs w:val="21"/>
        </w:rPr>
      </w:pPr>
      <w:r>
        <w:rPr>
          <w:rFonts w:hint="eastAsia" w:ascii="宋体" w:hAnsi="宋体" w:cs="宋体"/>
          <w:color w:val="auto"/>
          <w:spacing w:val="1"/>
          <w:sz w:val="21"/>
          <w:szCs w:val="21"/>
        </w:rPr>
        <w:t xml:space="preserve">乙 方 ：</w:t>
      </w:r>
      <w:r>
        <w:rPr>
          <w:rFonts w:hint="eastAsia" w:ascii="宋体" w:hAnsi="宋体" w:cs="宋体"/>
          <w:color w:val="auto"/>
          <w:spacing w:val="1"/>
          <w:sz w:val="21"/>
          <w:szCs w:val="21"/>
          <w:u w:val="single"/>
        </w:rPr>
        <w:t xml:space="preserve">                    </w:t>
      </w:r>
      <w:r>
        <w:rPr>
          <w:rFonts w:hint="eastAsia" w:ascii="宋体" w:hAnsi="宋体" w:cs="宋体"/>
          <w:color w:val="auto"/>
          <w:spacing w:val="1"/>
          <w:sz w:val="21"/>
          <w:szCs w:val="21"/>
        </w:rPr>
        <w:t xml:space="preserve">(以下简称乙方)</w:t>
      </w:r>
      <w:r/>
    </w:p>
    <w:p>
      <w:pPr>
        <w:jc w:val="left"/>
        <w:spacing w:line="451" w:lineRule="auto"/>
        <w:widowControl/>
        <w:rPr>
          <w:rFonts w:hint="default" w:ascii="Arial" w:hAnsi="Arial" w:cs="Arial"/>
          <w:color w:val="auto"/>
          <w:sz w:val="21"/>
          <w:szCs w:val="21"/>
        </w:rPr>
      </w:pPr>
      <w:r>
        <w:rPr>
          <w:rFonts w:hint="default" w:ascii="Arial" w:hAnsi="Arial" w:cs="Arial"/>
          <w:color w:val="auto"/>
          <w:sz w:val="21"/>
          <w:szCs w:val="21"/>
        </w:rPr>
      </w:r>
      <w:r/>
    </w:p>
    <w:p>
      <w:pPr>
        <w:ind w:right="525" w:firstLine="428"/>
        <w:spacing w:before="68" w:line="342" w:lineRule="auto"/>
        <w:rPr>
          <w:rFonts w:hint="eastAsia" w:ascii="宋体" w:hAnsi="宋体" w:cs="宋体"/>
          <w:color w:val="auto"/>
          <w:sz w:val="21"/>
          <w:szCs w:val="21"/>
        </w:rPr>
      </w:pPr>
      <w:r>
        <w:rPr>
          <w:rFonts w:hint="eastAsia" w:ascii="宋体" w:hAnsi="宋体" w:cs="宋体"/>
          <w:color w:val="auto"/>
          <w:spacing w:val="2"/>
          <w:sz w:val="21"/>
          <w:szCs w:val="21"/>
        </w:rPr>
        <w:t xml:space="preserve">根据如东县市场监督管理局2026年度食品安全监督</w:t>
      </w:r>
      <w:r>
        <w:rPr>
          <w:rFonts w:hint="eastAsia" w:ascii="宋体" w:hAnsi="宋体" w:cs="宋体"/>
          <w:color w:val="auto"/>
          <w:spacing w:val="1"/>
          <w:sz w:val="21"/>
          <w:szCs w:val="21"/>
        </w:rPr>
        <w:t xml:space="preserve">抽检项目政府采购项目中标(成交)通知书及国家食品监督抽检相关规定、上级有关要求，经甲乙双方</w:t>
      </w:r>
      <w:r>
        <w:rPr>
          <w:rFonts w:hint="eastAsia" w:ascii="宋体" w:hAnsi="宋体" w:cs="宋体"/>
          <w:color w:val="auto"/>
          <w:spacing w:val="-7"/>
          <w:sz w:val="21"/>
          <w:szCs w:val="21"/>
        </w:rPr>
        <w:t xml:space="preserve">协商一致，达成如下协议：</w:t>
      </w:r>
      <w:r/>
    </w:p>
    <w:p>
      <w:pPr>
        <w:ind w:right="525" w:firstLine="418"/>
        <w:spacing w:line="219" w:lineRule="auto"/>
        <w:rPr>
          <w:rFonts w:hint="eastAsia" w:ascii="宋体" w:hAnsi="宋体" w:cs="宋体"/>
          <w:color w:val="auto"/>
          <w:sz w:val="21"/>
          <w:szCs w:val="21"/>
        </w:rPr>
      </w:pPr>
      <w:r>
        <w:rPr>
          <w:rFonts w:hint="eastAsia" w:ascii="宋体" w:hAnsi="宋体" w:cs="宋体"/>
          <w:b/>
          <w:color w:val="auto"/>
          <w:spacing w:val="-1"/>
          <w:sz w:val="21"/>
          <w:szCs w:val="21"/>
        </w:rPr>
        <w:t xml:space="preserve">一</w:t>
      </w:r>
      <w:r>
        <w:rPr>
          <w:rFonts w:hint="eastAsia" w:ascii="宋体" w:hAnsi="宋体" w:cs="宋体"/>
          <w:color w:val="auto"/>
          <w:spacing w:val="-36"/>
          <w:sz w:val="21"/>
          <w:szCs w:val="21"/>
        </w:rPr>
        <w:t xml:space="preserve"> </w:t>
      </w:r>
      <w:r>
        <w:rPr>
          <w:rFonts w:hint="eastAsia" w:ascii="宋体" w:hAnsi="宋体" w:cs="宋体"/>
          <w:b/>
          <w:color w:val="auto"/>
          <w:spacing w:val="-1"/>
          <w:sz w:val="21"/>
          <w:szCs w:val="21"/>
        </w:rPr>
        <w:t xml:space="preserve">、服务项目：</w:t>
      </w:r>
      <w:r>
        <w:rPr>
          <w:rFonts w:hint="eastAsia" w:ascii="宋体" w:hAnsi="宋体" w:cs="宋体"/>
          <w:color w:val="auto"/>
          <w:spacing w:val="-1"/>
          <w:sz w:val="21"/>
          <w:szCs w:val="21"/>
        </w:rPr>
        <w:t xml:space="preserve">如东县市场监督管理局2026年度食品安全监督抽检项目。</w:t>
      </w:r>
      <w:r/>
    </w:p>
    <w:p>
      <w:pPr>
        <w:ind w:right="525" w:firstLine="426"/>
        <w:spacing w:before="143" w:line="318" w:lineRule="auto"/>
        <w:rPr>
          <w:rFonts w:hint="eastAsia" w:ascii="宋体" w:hAnsi="宋体" w:cs="宋体"/>
          <w:color w:val="auto"/>
          <w:sz w:val="21"/>
          <w:szCs w:val="21"/>
        </w:rPr>
      </w:pPr>
      <w:r>
        <w:rPr>
          <w:rFonts w:hint="eastAsia" w:ascii="宋体" w:hAnsi="宋体" w:cs="宋体"/>
          <w:b/>
          <w:color w:val="auto"/>
          <w:spacing w:val="1"/>
          <w:sz w:val="21"/>
          <w:szCs w:val="21"/>
        </w:rPr>
        <w:t xml:space="preserve">二、合同金额：</w:t>
      </w:r>
      <w:r>
        <w:rPr>
          <w:rFonts w:hint="eastAsia" w:ascii="宋体" w:hAnsi="宋体" w:cs="宋体"/>
          <w:color w:val="auto"/>
          <w:spacing w:val="1"/>
          <w:sz w:val="21"/>
          <w:szCs w:val="21"/>
        </w:rPr>
        <w:t xml:space="preserve">受甲方委托，乙方负责如东县市场监督管理局2026年度食</w:t>
      </w:r>
      <w:r>
        <w:rPr>
          <w:rFonts w:hint="eastAsia" w:ascii="宋体" w:hAnsi="宋体" w:cs="宋体"/>
          <w:color w:val="auto"/>
          <w:spacing w:val="-4"/>
          <w:sz w:val="21"/>
          <w:szCs w:val="21"/>
        </w:rPr>
        <w:t xml:space="preserve">品安全监督抽检项目第__________标段的抽检任务，合同总价款</w:t>
      </w:r>
      <w:r>
        <w:rPr>
          <w:rFonts w:hint="eastAsia" w:ascii="宋体" w:hAnsi="宋体" w:cs="宋体"/>
          <w:color w:val="auto"/>
          <w:spacing w:val="-5"/>
          <w:sz w:val="21"/>
          <w:szCs w:val="21"/>
        </w:rPr>
        <w:t xml:space="preserve">：</w:t>
      </w:r>
      <w:r>
        <w:rPr>
          <w:rFonts w:hint="eastAsia" w:ascii="宋体" w:hAnsi="宋体" w:cs="宋体"/>
          <w:color w:val="auto"/>
          <w:spacing w:val="-5"/>
          <w:sz w:val="21"/>
          <w:szCs w:val="21"/>
          <w:u w:val="single"/>
        </w:rPr>
        <w:t xml:space="preserve">           </w:t>
      </w:r>
      <w:r>
        <w:rPr>
          <w:rFonts w:hint="eastAsia" w:ascii="宋体" w:hAnsi="宋体" w:cs="宋体"/>
          <w:color w:val="auto"/>
          <w:spacing w:val="5"/>
          <w:sz w:val="21"/>
          <w:szCs w:val="21"/>
          <w:u w:val="single"/>
        </w:rPr>
        <w:t xml:space="preserve">元整(      元/批次)</w:t>
      </w:r>
      <w:r>
        <w:rPr>
          <w:rFonts w:hint="eastAsia" w:ascii="宋体" w:hAnsi="宋体" w:cs="宋体"/>
          <w:color w:val="auto"/>
          <w:spacing w:val="5"/>
          <w:sz w:val="21"/>
          <w:szCs w:val="21"/>
        </w:rPr>
        <w:t xml:space="preserve">,包括但不限于检</w:t>
      </w:r>
      <w:r>
        <w:rPr>
          <w:rFonts w:hint="eastAsia" w:ascii="宋体" w:hAnsi="宋体" w:cs="宋体"/>
          <w:color w:val="auto"/>
          <w:spacing w:val="4"/>
          <w:sz w:val="21"/>
          <w:szCs w:val="21"/>
        </w:rPr>
        <w:t xml:space="preserve">测费、买样费(样品再利用价值折抵乙方费用)、各种税费、交通</w:t>
      </w:r>
      <w:r>
        <w:rPr>
          <w:rFonts w:hint="eastAsia" w:ascii="宋体" w:hAnsi="宋体" w:cs="宋体"/>
          <w:color w:val="auto"/>
          <w:spacing w:val="-5"/>
          <w:sz w:val="21"/>
          <w:szCs w:val="21"/>
        </w:rPr>
        <w:t xml:space="preserve">费、人工、保险、利润、税金及合同包含的所有风险、责任等各项应有的全部费</w:t>
      </w:r>
      <w:r>
        <w:rPr>
          <w:rFonts w:hint="eastAsia" w:ascii="宋体" w:hAnsi="宋体" w:cs="宋体"/>
          <w:color w:val="auto"/>
          <w:spacing w:val="16"/>
          <w:sz w:val="21"/>
          <w:szCs w:val="21"/>
        </w:rPr>
        <w:t xml:space="preserve"> </w:t>
      </w:r>
      <w:r>
        <w:rPr>
          <w:rFonts w:hint="eastAsia" w:ascii="宋体" w:hAnsi="宋体" w:cs="宋体"/>
          <w:color w:val="auto"/>
          <w:spacing w:val="-3"/>
          <w:sz w:val="21"/>
          <w:szCs w:val="21"/>
        </w:rPr>
        <w:t xml:space="preserve">用(以下简称“抽检费用”)。</w:t>
      </w:r>
      <w:r/>
    </w:p>
    <w:p>
      <w:pPr>
        <w:ind w:right="525" w:firstLine="430"/>
        <w:spacing w:before="197" w:line="322" w:lineRule="auto"/>
        <w:rPr>
          <w:rFonts w:hint="eastAsia" w:ascii="宋体" w:hAnsi="宋体" w:cs="宋体"/>
          <w:color w:val="auto"/>
          <w:sz w:val="21"/>
          <w:szCs w:val="21"/>
        </w:rPr>
      </w:pPr>
      <w:r>
        <w:rPr>
          <w:rFonts w:hint="eastAsia" w:ascii="宋体" w:hAnsi="宋体" w:cs="宋体"/>
          <w:b/>
          <w:color w:val="auto"/>
          <w:spacing w:val="2"/>
          <w:sz w:val="21"/>
          <w:szCs w:val="21"/>
        </w:rPr>
        <w:t xml:space="preserve">三、采购具体内容：</w:t>
      </w:r>
      <w:r>
        <w:rPr>
          <w:rFonts w:hint="eastAsia" w:ascii="宋体" w:hAnsi="宋体" w:cs="宋体"/>
          <w:color w:val="auto"/>
          <w:spacing w:val="2"/>
          <w:sz w:val="21"/>
          <w:szCs w:val="21"/>
        </w:rPr>
        <w:t xml:space="preserve">抽检品种在国家市场监督管理总局核准的大类产品目录内，共抽检___批次（具体大类品种数按甲方制定的2026年食品抽检计划执行）。抽检计划：2026年_____批次、2027年____批次。</w:t>
      </w:r>
      <w:r/>
    </w:p>
    <w:p>
      <w:pPr>
        <w:ind w:right="525" w:firstLine="450"/>
        <w:spacing w:before="228" w:line="219" w:lineRule="auto"/>
        <w:rPr>
          <w:rFonts w:hint="eastAsia" w:ascii="宋体" w:hAnsi="宋体" w:cs="宋体"/>
          <w:color w:val="auto"/>
          <w:sz w:val="21"/>
          <w:szCs w:val="21"/>
        </w:rPr>
      </w:pPr>
      <w:r>
        <w:rPr>
          <w:rFonts w:hint="eastAsia" w:ascii="宋体" w:hAnsi="宋体" w:cs="宋体"/>
          <w:b/>
          <w:color w:val="auto"/>
          <w:spacing w:val="7"/>
          <w:sz w:val="21"/>
          <w:szCs w:val="21"/>
        </w:rPr>
        <w:t xml:space="preserve">四、合同履行期限：</w:t>
      </w:r>
      <w:r>
        <w:rPr>
          <w:rFonts w:hint="eastAsia" w:ascii="宋体" w:hAnsi="宋体" w:cs="宋体"/>
          <w:color w:val="auto"/>
          <w:spacing w:val="7"/>
          <w:sz w:val="21"/>
          <w:szCs w:val="21"/>
        </w:rPr>
        <w:t xml:space="preserve">2026年6月1日至2027年5月31日</w:t>
      </w:r>
      <w:r>
        <w:rPr>
          <w:rFonts w:hint="eastAsia" w:ascii="宋体" w:hAnsi="宋体" w:cs="宋体"/>
          <w:color w:val="auto"/>
          <w:spacing w:val="-3"/>
          <w:sz w:val="21"/>
          <w:szCs w:val="21"/>
        </w:rPr>
        <w:t xml:space="preserve">。</w:t>
      </w:r>
      <w:r/>
    </w:p>
    <w:p>
      <w:pPr>
        <w:ind w:right="525" w:firstLine="410"/>
        <w:spacing w:before="119" w:line="316" w:lineRule="auto"/>
        <w:rPr>
          <w:rFonts w:hint="eastAsia" w:ascii="宋体" w:hAnsi="宋体" w:cs="宋体"/>
          <w:color w:val="auto"/>
          <w:spacing w:val="-3"/>
          <w:sz w:val="21"/>
          <w:szCs w:val="21"/>
        </w:rPr>
      </w:pPr>
      <w:r>
        <w:rPr>
          <w:rFonts w:hint="eastAsia" w:ascii="宋体" w:hAnsi="宋体" w:cs="宋体"/>
          <w:b/>
          <w:color w:val="auto"/>
          <w:spacing w:val="-3"/>
          <w:sz w:val="21"/>
          <w:szCs w:val="21"/>
        </w:rPr>
        <w:t xml:space="preserve">五、检验周期要求：</w:t>
      </w:r>
      <w:r>
        <w:rPr>
          <w:rFonts w:hint="eastAsia" w:ascii="宋体" w:hAnsi="宋体" w:cs="宋体"/>
          <w:color w:val="auto"/>
          <w:spacing w:val="-3"/>
          <w:sz w:val="21"/>
          <w:szCs w:val="21"/>
        </w:rPr>
        <w:t xml:space="preserve">一般样品进实验室后20个工作日内出具检验结果报告（特殊检验项目按检验时限要求出具报告）；如有紧急需要，在确保检验结果合法有效前提下，可在2-3天出具检验结果报告。 </w:t>
      </w:r>
      <w:r/>
    </w:p>
    <w:p>
      <w:pPr>
        <w:ind w:right="525" w:firstLine="386"/>
        <w:spacing w:before="200" w:line="219" w:lineRule="auto"/>
        <w:rPr>
          <w:rFonts w:hint="eastAsia" w:ascii="宋体" w:hAnsi="宋体" w:cs="宋体"/>
          <w:color w:val="auto"/>
          <w:sz w:val="21"/>
          <w:szCs w:val="21"/>
        </w:rPr>
      </w:pPr>
      <w:r>
        <w:rPr>
          <w:rFonts w:hint="eastAsia" w:ascii="宋体" w:hAnsi="宋体" w:cs="宋体"/>
          <w:b/>
          <w:color w:val="auto"/>
          <w:spacing w:val="-9"/>
          <w:sz w:val="21"/>
          <w:szCs w:val="21"/>
        </w:rPr>
        <w:t xml:space="preserve">六、项目的基本要求：</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1.严格遵守《中华人民共和国食品安全法》《食品安全抽样检验管理办法》等相关法律、法规、规章的规定。</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2.按照国家法律、法规、国家标准规定和采购人要求开展抽样、检验等各项任务，并根据承担的检验任务出具检验实施方案交采购人审查确定。</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3.严格按照《国家食品安全监督抽检实施细则（2026年版）》规定的检验方法进行检验（新版实施后按新版执行），不得擅自变更检验方法、增加或者减少检验项目，不得擅自修改判定原则，承检机构对其出具的检验报告的真实性和准确性负责。采购人视情通过现场检查和盲样考核等方式对各承检机构所做出的检验数据进行考核，发现存在上述问题或者弄虚作假、擅自修改检验数据等情形的，将被列入“黑名单”，取消承检机构的食品抽检任务资格，并对所造成的损失和不良影响承担法律责任，剩余任务由采购人分配给其他承检机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4.每次任务的检验项目由采购人确定，承检机构应按照采购人要求，及时将抽样检验相关资料录入国家食品安全抽样检验信息系统。</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5. 中标机构按照中标标段划定的范围和采购人制定的《2026年度县级食品安全监督抽检任务方案》进行抽样，抽样机构和检验机构相互配合，共同完成抽检任务。 </w:t>
      </w:r>
      <w:r/>
    </w:p>
    <w:p>
      <w:pPr>
        <w:ind w:right="525" w:firstLine="356"/>
        <w:spacing w:before="197" w:line="322" w:lineRule="auto"/>
        <w:rPr>
          <w:rFonts w:hint="eastAsia" w:ascii="宋体" w:hAnsi="宋体" w:cs="宋体"/>
          <w:color w:val="auto"/>
          <w:sz w:val="21"/>
          <w:szCs w:val="21"/>
        </w:rPr>
      </w:pPr>
      <w:r>
        <w:rPr>
          <w:rFonts w:hint="eastAsia" w:ascii="宋体" w:hAnsi="宋体" w:cs="宋体"/>
          <w:color w:val="auto"/>
          <w:spacing w:val="-16"/>
          <w:sz w:val="21"/>
          <w:szCs w:val="21"/>
        </w:rPr>
        <w:t xml:space="preserve"> </w:t>
      </w:r>
      <w:r>
        <w:rPr>
          <w:rFonts w:hint="eastAsia" w:ascii="宋体" w:hAnsi="宋体" w:cs="宋体"/>
          <w:b/>
          <w:color w:val="auto"/>
          <w:spacing w:val="-10"/>
          <w:sz w:val="21"/>
          <w:szCs w:val="21"/>
        </w:rPr>
        <w:t xml:space="preserve">七、服务要求：</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1.检验工作结束后，须及时汇总检验结果统计报表。同时结合实际工作和检验情况开展研判和分析，形成相关分析报告；检验结果统计报表、分析报告须在5日内报甲方。</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2.按照甲方的时限要求，保质保量完成抽样、检验任务；检验过程中发现被检样品存在严重安全问题或较高风险问题的，须在24小时内将有关情况报告甲方。</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3.严格遵守工作制度和保密规则，不得接受被抽检单位的馈赠，不得利用监督抽检结果开展有偿服务活动、牟取不正当利益。</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4.现场抽样人员必须着装统一、举止文明，配备相应的采样工具和设备（包括车辆、冷藏运输设备、各项工具等），积极配合甲方工作安排。</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5.乙方因检验检测能力发生变更导致无法完成检验任务等原因，自动终止合同。</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6.乙方应当建立健全人员持证上岗制度，规范人员的录用、培训、管理，保证检验机构和人员的检验资质合法有效。甲方因行政诉讼、行政复议等需要，要求乙方提供有关检验资质证明材料的要求时，乙方必须随时提供。</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7.乙方增值服务到位。合格样品再利用体现乙方社会责任。乙方抽检微生物等指标，协助甲方厘清生产者、经营者、运输过程等方面责任，提供证据支撑等。</w:t>
      </w:r>
      <w:r/>
    </w:p>
    <w:p>
      <w:pPr>
        <w:ind w:right="94" w:firstLine="402"/>
        <w:spacing w:before="131" w:line="219" w:lineRule="auto"/>
        <w:rPr>
          <w:rFonts w:hint="eastAsia" w:ascii="宋体" w:hAnsi="宋体" w:cs="宋体"/>
          <w:color w:val="auto"/>
          <w:sz w:val="20"/>
          <w:szCs w:val="20"/>
        </w:rPr>
        <w:outlineLvl w:val="4"/>
      </w:pPr>
      <w:r>
        <w:rPr>
          <w:rFonts w:hint="eastAsia" w:ascii="宋体" w:hAnsi="宋体" w:cs="宋体"/>
          <w:b/>
          <w:color w:val="auto"/>
          <w:spacing w:val="1"/>
          <w:sz w:val="20"/>
          <w:szCs w:val="20"/>
        </w:rPr>
        <w:t xml:space="preserve">八、项目验收与付款条件：</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1.甲方在合同履行期间，有权依照采购文件相关要求对乙方提供的相关服务 或交付的工作成果进行阶段性验收及/或总体验收。阶段性验收一般每季度一次。</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2.季度抽检任务完成后，经甲方验收合格，根据乙方所完成的阶段检验量核 算以及成交公示价格(所报折扣)按实支付。如发现乙方数据存在严重的质量问 题或重要指标未达标，可采取警告、暂停结报相关费用等措施，乙方应当按照甲 方要求在指定的合理期限内进行整改和完善，直至符合采购文件要求的相关标 准。逾期不予整改或经整改仍不能符合相关要求，或者导致合同目的无法实现， 甲方有权依照法律程序解除合同，并追究乙方违约责任。</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3.乙方在与甲方结算相关费用时，必须提供有效票据(经省级财政监制的结算票据或正式发票)、合同和与所结报批次一致的检测清单等相关材料，清单中各项数据无本合同“九、违约责任”中有关乙方的违约情形。甲方应在完成任务 后的一个季度内结清全部抽检费用；有违约情形的，依违约责任中的相关条款扣 除违约金，违约金在相应的抽检费用中扣除。</w:t>
      </w:r>
      <w:r/>
    </w:p>
    <w:p>
      <w:pPr>
        <w:ind w:right="525" w:firstLine="394"/>
        <w:spacing w:before="169" w:line="219" w:lineRule="auto"/>
        <w:rPr>
          <w:rFonts w:hint="eastAsia" w:ascii="宋体" w:hAnsi="宋体" w:cs="宋体"/>
          <w:color w:val="auto"/>
          <w:sz w:val="20"/>
          <w:szCs w:val="20"/>
        </w:rPr>
        <w:outlineLvl w:val="4"/>
      </w:pPr>
      <w:r>
        <w:rPr>
          <w:rFonts w:hint="eastAsia" w:ascii="宋体" w:hAnsi="宋体" w:cs="宋体"/>
          <w:b/>
          <w:color w:val="auto"/>
          <w:spacing w:val="-1"/>
          <w:sz w:val="20"/>
          <w:szCs w:val="20"/>
        </w:rPr>
        <w:t xml:space="preserve">九、违约责任：</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1.乙方不履行甲方下达的检测任务的，甲方不支付相应任务的检测费用。未经甲方同意，擅自将检测任务全部或部分分包给他人实施的，甲方不支付全部检测费用。</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2.因乙方抽检不规范，抽检信息错误导致不合格报告无效，经甲方核查后发现并通知乙方撤回不合格报告的，按每批次伍仟元的标准扣除抽检费用。</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3.乙方在数据质量抽查考核中准确率须达到99%以上。乙方数据质量抽查考核准确率为97%-99%，甲方扣除合同金额的1%；准确率为95%-97%，甲方扣除合同金额的2%；准确率为95%以下，甲方扣除合同金额的3%。因乙方填报数据质量不规范导致甲方被上级部门通报的，或在上级专项考核中被扣分等严重情形的，甲方有权选择减少、中止、终止乙方检测任务。</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4.乙方要提高监督抽检发现问题的能力，综合不合格率不得低于2.5%。综合不合格率每低0.5%，甲方扣除合同金额的1%。</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5.乙方应按甲方下达的抽检计划完成抽样检验工作，因甲方原因造成乙方在规定期限内未完成抽样检验工作的，不得追究乙方责任；因乙方原因致使抽样检验工作超过履行期限规定的，甲方不支付相应逾期批次的抽检费用。</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6.乙方对检测判定结果承担责任，如果出现异议、复检（包括甲方自行组织的抽查）改判检测结论的情形，乙方承担每批次违约金伍仟元。如因乙方原因造成甲方实施的行政处罚在听证复议中被撤销或在上级案件审查中被判错案的，乙方应当承担每起案件壹万元的违约金；如造成甲方实施的行政处罚在诉讼中败诉的，乙方应当承担每起案件（包括一审、二审及再审）伍万元的违约金。本条所述三种情形的违约金不重复计算。</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7.因乙方抽检工作不规范、检测结论不准确造成甲方行政赔偿的，乙方应当支付甲方的行政赔偿金额。</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8.未经甲方同意，乙方对同一主体每个季度内实施抽检5个以上的批次，超出批次不予结报抽检费用。</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9.甲方无正当理由拒绝接受乙方提供的服务的，甲方向乙方偿付拒绝接受合同价款总值10%的违约金。</w:t>
      </w:r>
      <w:r/>
    </w:p>
    <w:p>
      <w:pPr>
        <w:ind w:right="94" w:firstLine="409"/>
        <w:spacing w:before="170" w:line="219" w:lineRule="auto"/>
        <w:rPr>
          <w:rFonts w:hint="eastAsia" w:ascii="宋体" w:hAnsi="宋体" w:cs="宋体"/>
          <w:color w:val="auto"/>
          <w:sz w:val="20"/>
          <w:szCs w:val="20"/>
        </w:rPr>
        <w:outlineLvl w:val="4"/>
      </w:pPr>
      <w:r>
        <w:rPr>
          <w:rFonts w:hint="eastAsia" w:ascii="宋体" w:hAnsi="宋体" w:cs="宋体"/>
          <w:b/>
          <w:color w:val="auto"/>
          <w:spacing w:val="3"/>
          <w:sz w:val="20"/>
          <w:szCs w:val="20"/>
        </w:rPr>
        <w:t xml:space="preserve">十、合同的终止和解除：</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(一)有下列情形之一的，本合同终止：</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1.乙方被撤销的；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2.乙方未通过资格认证复审、复验的；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3.合同履行完毕的。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(二)乙方有下列情形之一的，甲方可解除本合同：</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1.隐瞒有关情况、提供虚假材料，或者采取贿赂、欺骗等不正当手段的；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2.徇私舞弊，出具虚假检验报告的；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3.违反计量认证要求，发生严重质量问题影响检验数据的情况，经整改仍无明显改进的；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4.能力验证出现不符合要求，或多次发生重大差错的；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5.未经批准或授权，将检验检测数据用于学术研究、擅自对外公布或泄漏给第三方的。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6.因自身原因造成抽样、检测、《国家食品安全抽样检验信息系统》填报延迟的，发生重大数据质量错漏3次以上，被上级机关通报的。按时间未达到进度批次量、不合格发现率未能完成的。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7.履约过程中，不得有下列情形，否则经甲方研究，可以解除委托合同：</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（1）弄虚作假骗取第三方服务机构资格的；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（2）未经同意擅自转包技术服务的；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（3）通过检查、评估、验收强行与企业建立有偿合作关系的；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（4）未按委托合同规定时限开展技术服务的；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（5）对发现问题清单和整改措施未向受查企业一次性全面告知，加重企业负担的； </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（6）未按照国家有关法律、法规、标准、规范进行检测检验，或伪造检测检验记录，出具虚假检查报告的；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7）违反工作纪律、廉政纪律，收受被调查、检查、审查、核查单位财物的，在上述单位报销有关费用的，与上述单位进行利益交换的，或以市场监管部门的名义从事推销产品、介绍客户、违规收费、吃拿卡要等不正当活动，谋取不正当利益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（8）擅自以市场监督管理部门的名义组织或参加活动，从事技术咨询、管理服务的；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（9）不遵守回避制度，明知与受指派任务存在利害关系，可能影响工作公正时，未主动提出回避的，或拒不接受委托单位提出的正当回避要求的；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（10）泄露执行任务知悉的技术秘密、商业秘密，未经同意私自泄露执法情况以及其他不宜公开情况的；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（11）执行任务期间，对发现的有关违法违规行为和事故隐患，不及时按程序如实告知监管部门或企业，通过本机构内部人员或授意他人举报相关问题，获取举报奖励的；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（12）由于第三方服务机构原因给有关单位造成较大经济损失的；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（13）从事委派任务不力，对县市场监督管理局监管执法、评审检查、应急处置工作造成不良后果的；</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（14）其他造成严重损失和恶劣社会影响的情形。</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(三)甲方有下列情形的，乙方可解除本合同：</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未经双方协商一致，甲方随意增加并超出中标标段批次的。</w:t>
      </w:r>
      <w:r/>
    </w:p>
    <w:p>
      <w:pPr>
        <w:ind w:right="220" w:firstLine="413"/>
        <w:spacing w:before="171" w:line="314" w:lineRule="auto"/>
        <w:rPr>
          <w:rFonts w:hint="eastAsia" w:ascii="宋体" w:hAnsi="宋体" w:cs="宋体"/>
          <w:color w:val="auto"/>
          <w:spacing w:val="2"/>
          <w:sz w:val="21"/>
          <w:szCs w:val="21"/>
        </w:rPr>
      </w:pPr>
      <w:r>
        <w:rPr>
          <w:rFonts w:hint="eastAsia" w:ascii="宋体" w:hAnsi="宋体" w:cs="宋体"/>
          <w:b/>
          <w:color w:val="auto"/>
          <w:spacing w:val="4"/>
          <w:sz w:val="20"/>
          <w:szCs w:val="20"/>
        </w:rPr>
        <w:t xml:space="preserve">十</w:t>
      </w:r>
      <w:r>
        <w:rPr>
          <w:rFonts w:hint="eastAsia" w:ascii="宋体" w:hAnsi="宋体" w:cs="宋体"/>
          <w:color w:val="auto"/>
          <w:spacing w:val="-53"/>
          <w:sz w:val="20"/>
          <w:szCs w:val="20"/>
        </w:rPr>
        <w:t xml:space="preserve"> </w:t>
      </w:r>
      <w:r>
        <w:rPr>
          <w:rFonts w:hint="eastAsia" w:ascii="宋体" w:hAnsi="宋体" w:cs="宋体"/>
          <w:b/>
          <w:color w:val="auto"/>
          <w:spacing w:val="4"/>
          <w:sz w:val="20"/>
          <w:szCs w:val="20"/>
        </w:rPr>
        <w:t xml:space="preserve">一、合同纠纷处理：</w:t>
      </w:r>
      <w:r>
        <w:rPr>
          <w:rFonts w:hint="eastAsia" w:ascii="宋体" w:hAnsi="宋体" w:cs="宋体"/>
          <w:color w:val="auto"/>
          <w:spacing w:val="-33"/>
          <w:sz w:val="20"/>
          <w:szCs w:val="20"/>
        </w:rPr>
        <w:t xml:space="preserve"> </w:t>
      </w:r>
      <w:r>
        <w:rPr>
          <w:rFonts w:hint="eastAsia" w:ascii="宋体" w:hAnsi="宋体" w:cs="宋体"/>
          <w:color w:val="auto"/>
          <w:spacing w:val="4"/>
          <w:sz w:val="20"/>
          <w:szCs w:val="20"/>
        </w:rPr>
        <w:t xml:space="preserve">本合同执行过程中发生纠</w:t>
      </w:r>
      <w:r>
        <w:rPr>
          <w:rFonts w:hint="eastAsia" w:ascii="宋体" w:hAnsi="宋体" w:cs="宋体"/>
          <w:color w:val="auto"/>
          <w:spacing w:val="3"/>
          <w:sz w:val="20"/>
          <w:szCs w:val="20"/>
        </w:rPr>
        <w:t xml:space="preserve">纷，由甲乙双方协商解决；</w:t>
      </w:r>
      <w:r>
        <w:rPr>
          <w:rFonts w:hint="eastAsia" w:ascii="宋体" w:hAnsi="宋体" w:cs="宋体"/>
          <w:color w:val="auto"/>
          <w:sz w:val="20"/>
          <w:szCs w:val="20"/>
        </w:rPr>
        <w:t xml:space="preserve"> </w:t>
      </w:r>
      <w:r>
        <w:rPr>
          <w:rFonts w:hint="eastAsia" w:ascii="宋体" w:hAnsi="宋体" w:cs="宋体"/>
          <w:color w:val="auto"/>
          <w:spacing w:val="6"/>
          <w:sz w:val="20"/>
          <w:szCs w:val="20"/>
        </w:rPr>
        <w:t xml:space="preserve">或提交当地相关</w:t>
      </w:r>
      <w:r>
        <w:rPr>
          <w:rFonts w:hint="eastAsia" w:ascii="宋体" w:hAnsi="宋体" w:cs="宋体"/>
          <w:color w:val="auto"/>
          <w:spacing w:val="2"/>
          <w:sz w:val="21"/>
          <w:szCs w:val="21"/>
        </w:rPr>
        <w:t xml:space="preserve">部门调解；协商或调解不成，则任何一方均可以依法向甲方所在地人民法院提起诉讼。</w:t>
      </w:r>
      <w:r/>
    </w:p>
    <w:p>
      <w:pPr>
        <w:ind w:right="220" w:firstLine="402"/>
        <w:spacing w:before="176" w:line="219" w:lineRule="auto"/>
        <w:rPr>
          <w:rFonts w:hint="eastAsia" w:ascii="宋体" w:hAnsi="宋体" w:cs="宋体"/>
          <w:color w:val="auto"/>
          <w:sz w:val="20"/>
          <w:szCs w:val="20"/>
        </w:rPr>
      </w:pPr>
      <w:r>
        <w:rPr>
          <w:rFonts w:hint="eastAsia" w:ascii="宋体" w:hAnsi="宋体" w:cs="宋体"/>
          <w:b/>
          <w:color w:val="auto"/>
          <w:spacing w:val="1"/>
          <w:sz w:val="20"/>
          <w:szCs w:val="20"/>
        </w:rPr>
        <w:t xml:space="preserve">十二、组成本合同的文件包括：</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1.本合同条款；</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2.本项目的政府采购文件和供方应标文件；</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3.本项目在采购过程中供需双方签署的全部文字和图片资料；</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4.供需双方签订的抽检委托协议以及其他按规定约定事宜。</w:t>
      </w:r>
      <w:r/>
    </w:p>
    <w:p>
      <w:pPr>
        <w:ind w:right="525" w:firstLine="428"/>
        <w:spacing w:before="197" w:line="322"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上述合同文件内容互为补充，如有不明确，由甲方负责解释。</w:t>
      </w:r>
      <w:r/>
    </w:p>
    <w:p>
      <w:pPr>
        <w:numPr>
          <w:ilvl w:val="0"/>
          <w:numId w:val="8"/>
        </w:numPr>
        <w:ind w:right="220" w:firstLine="409"/>
        <w:spacing w:before="140" w:line="298" w:lineRule="auto"/>
        <w:rPr>
          <w:rFonts w:hint="eastAsia" w:ascii="宋体" w:hAnsi="宋体" w:cs="宋体"/>
          <w:b/>
          <w:color w:val="auto"/>
          <w:spacing w:val="9"/>
          <w:sz w:val="20"/>
          <w:szCs w:val="20"/>
        </w:rPr>
      </w:pPr>
      <w:r>
        <w:rPr>
          <w:rFonts w:hint="eastAsia" w:ascii="宋体" w:hAnsi="宋体" w:cs="宋体"/>
          <w:b/>
          <w:color w:val="auto"/>
          <w:spacing w:val="3"/>
          <w:sz w:val="20"/>
          <w:szCs w:val="20"/>
        </w:rPr>
        <w:t xml:space="preserve">合同生效：</w:t>
      </w:r>
      <w:r>
        <w:rPr>
          <w:rFonts w:hint="eastAsia" w:ascii="宋体" w:hAnsi="宋体" w:cs="宋体"/>
          <w:color w:val="auto"/>
          <w:spacing w:val="-14"/>
          <w:sz w:val="20"/>
          <w:szCs w:val="20"/>
        </w:rPr>
        <w:t xml:space="preserve"> </w:t>
      </w:r>
      <w:r>
        <w:rPr>
          <w:rFonts w:hint="eastAsia" w:ascii="宋体" w:hAnsi="宋体" w:cs="宋体"/>
          <w:color w:val="auto"/>
          <w:spacing w:val="3"/>
          <w:sz w:val="20"/>
          <w:szCs w:val="20"/>
        </w:rPr>
        <w:t xml:space="preserve">本合同由供需双方签字盖章后生效。</w:t>
      </w:r>
      <w:r>
        <w:rPr>
          <w:rFonts w:hint="eastAsia" w:ascii="宋体" w:hAnsi="宋体" w:cs="宋体"/>
          <w:b/>
          <w:color w:val="auto"/>
          <w:spacing w:val="3"/>
          <w:sz w:val="20"/>
          <w:szCs w:val="20"/>
        </w:rPr>
        <w:t xml:space="preserve">(多页合同供需双方</w:t>
      </w:r>
      <w:r>
        <w:rPr>
          <w:rFonts w:hint="eastAsia" w:ascii="宋体" w:hAnsi="宋体" w:cs="宋体"/>
          <w:b/>
          <w:color w:val="auto"/>
          <w:spacing w:val="9"/>
          <w:sz w:val="20"/>
          <w:szCs w:val="20"/>
        </w:rPr>
        <w:t xml:space="preserve">必须加盖骑缝公章)</w:t>
      </w:r>
      <w:r/>
    </w:p>
    <w:p>
      <w:pPr>
        <w:numPr>
          <w:ilvl w:val="0"/>
          <w:numId w:val="8"/>
        </w:numPr>
        <w:ind w:right="220" w:firstLine="423"/>
        <w:spacing w:before="140" w:line="298" w:lineRule="auto"/>
        <w:rPr>
          <w:rFonts w:hint="eastAsia" w:ascii="宋体" w:hAnsi="宋体" w:cs="宋体"/>
          <w:color w:val="auto"/>
          <w:sz w:val="20"/>
          <w:szCs w:val="20"/>
        </w:rPr>
      </w:pPr>
      <w:r>
        <w:rPr>
          <w:rFonts w:hint="eastAsia" w:ascii="宋体" w:hAnsi="宋体" w:cs="宋体"/>
          <w:color w:val="auto"/>
          <w:spacing w:val="7"/>
          <w:sz w:val="20"/>
          <w:szCs w:val="20"/>
        </w:rPr>
        <w:t xml:space="preserve">本合同一式陆份。甲方执肆份，乙方执贰</w:t>
      </w:r>
      <w:r>
        <w:rPr>
          <w:rFonts w:hint="eastAsia" w:ascii="宋体" w:hAnsi="宋体" w:cs="宋体"/>
          <w:color w:val="auto"/>
          <w:spacing w:val="6"/>
          <w:sz w:val="20"/>
          <w:szCs w:val="20"/>
        </w:rPr>
        <w:t xml:space="preserve">份。</w:t>
      </w:r>
      <w:r/>
    </w:p>
    <w:p>
      <w:pPr>
        <w:numPr>
          <w:ilvl w:val="0"/>
          <w:numId w:val="0"/>
        </w:numPr>
        <w:ind w:right="220"/>
        <w:spacing w:before="140" w:line="298" w:lineRule="auto"/>
        <w:rPr>
          <w:rFonts w:hint="eastAsia" w:ascii="宋体" w:hAnsi="宋体" w:cs="宋体"/>
          <w:color w:val="auto"/>
          <w:sz w:val="20"/>
          <w:szCs w:val="20"/>
        </w:rPr>
      </w:pPr>
      <w:r>
        <w:rPr>
          <w:rFonts w:hint="eastAsia" w:ascii="宋体" w:hAnsi="宋体" w:cs="宋体"/>
          <w:color w:val="auto"/>
          <w:sz w:val="20"/>
          <w:szCs w:val="20"/>
        </w:rPr>
      </w:r>
      <w:r/>
    </w:p>
    <w:p>
      <w:pPr>
        <w:ind w:right="220"/>
        <w:jc w:val="left"/>
        <w:spacing w:line="227" w:lineRule="exact"/>
        <w:widowControl/>
        <w:rPr>
          <w:rFonts w:hint="default" w:ascii="Arial" w:hAnsi="Arial" w:cs="Arial"/>
          <w:color w:val="auto"/>
          <w:sz w:val="21"/>
          <w:szCs w:val="21"/>
        </w:rPr>
      </w:pPr>
      <w:r>
        <w:rPr>
          <w:rFonts w:hint="default" w:ascii="Arial" w:hAnsi="Arial" w:cs="Arial"/>
          <w:color w:val="auto"/>
          <w:sz w:val="21"/>
          <w:szCs w:val="21"/>
        </w:rPr>
      </w:r>
      <w:r/>
    </w:p>
    <w:p>
      <w:pPr>
        <w:ind w:firstLine="419"/>
        <w:rPr>
          <w:rFonts w:hint="eastAsia" w:ascii="宋体" w:hAnsi="宋体" w:cs="宋体"/>
          <w:color w:val="auto"/>
          <w:sz w:val="20"/>
          <w:szCs w:val="20"/>
        </w:rPr>
      </w:pPr>
      <w:r>
        <w:rPr>
          <w:rFonts w:hint="eastAsia" w:ascii="宋体" w:hAnsi="宋体" w:cs="宋体"/>
          <w:color w:val="auto"/>
          <w:spacing w:val="8"/>
          <w:sz w:val="20"/>
          <w:szCs w:val="20"/>
        </w:rPr>
        <w:t xml:space="preserve">甲方：如东县市场监督管理局                乙方：</w:t>
      </w:r>
      <w:r/>
    </w:p>
    <w:p>
      <w:pPr>
        <w:ind w:firstLine="1640"/>
        <w:rPr>
          <w:rFonts w:hint="eastAsia" w:ascii="宋体" w:hAnsi="宋体" w:cs="宋体"/>
          <w:color w:val="auto"/>
          <w:spacing w:val="-18"/>
          <w:sz w:val="20"/>
          <w:szCs w:val="20"/>
        </w:rPr>
      </w:pPr>
      <w:r>
        <w:rPr>
          <w:rFonts w:hint="eastAsia" w:ascii="宋体" w:hAnsi="宋体" w:cs="宋体"/>
          <w:color w:val="auto"/>
          <w:spacing w:val="-18"/>
          <w:sz w:val="20"/>
          <w:szCs w:val="20"/>
        </w:rPr>
        <w:t xml:space="preserve">(公章)                                                                (公章)</w:t>
      </w:r>
      <w:r/>
    </w:p>
    <w:p>
      <w:pPr>
        <w:rPr>
          <w:rFonts w:hint="eastAsia" w:ascii="宋体" w:hAnsi="宋体" w:cs="宋体"/>
          <w:color w:val="auto"/>
          <w:spacing w:val="-18"/>
          <w:sz w:val="20"/>
          <w:szCs w:val="20"/>
        </w:rPr>
      </w:pPr>
      <w:r>
        <w:rPr>
          <w:rFonts w:hint="eastAsia" w:ascii="宋体" w:hAnsi="宋体" w:cs="宋体"/>
          <w:color w:val="auto"/>
          <w:spacing w:val="-18"/>
          <w:sz w:val="20"/>
          <w:szCs w:val="20"/>
        </w:rPr>
      </w:r>
      <w:r/>
    </w:p>
    <w:p>
      <w:pPr>
        <w:ind w:firstLine="420"/>
        <w:rPr>
          <w:rFonts w:hint="eastAsia" w:ascii="宋体" w:hAnsi="宋体" w:cs="宋体"/>
          <w:color w:val="auto"/>
          <w:sz w:val="20"/>
          <w:szCs w:val="20"/>
        </w:rPr>
      </w:pPr>
      <w:r>
        <w:rPr>
          <w:rFonts w:hint="eastAsia" w:ascii="宋体" w:hAnsi="宋体" w:cs="宋体"/>
          <w:color w:val="auto"/>
          <w:spacing w:val="14"/>
          <w:sz w:val="20"/>
          <w:szCs w:val="20"/>
        </w:rPr>
        <w:t xml:space="preserve">地址：如东县掘港镇朝阳路3号            地址： </w:t>
      </w:r>
      <w:r/>
    </w:p>
    <w:p>
      <w:pPr>
        <w:jc w:val="left"/>
        <w:widowControl/>
        <w:rPr>
          <w:rFonts w:hint="default" w:ascii="Arial" w:hAnsi="Arial" w:cs="Arial"/>
          <w:color w:val="auto"/>
          <w:sz w:val="21"/>
          <w:szCs w:val="21"/>
        </w:rPr>
      </w:pPr>
      <w:r>
        <w:rPr>
          <w:rFonts w:hint="default" w:ascii="Arial" w:hAnsi="Arial" w:cs="Arial"/>
          <w:color w:val="auto"/>
          <w:sz w:val="21"/>
          <w:szCs w:val="21"/>
        </w:rPr>
      </w:r>
      <w:r/>
    </w:p>
    <w:p>
      <w:pPr>
        <w:jc w:val="left"/>
        <w:widowControl/>
        <w:rPr>
          <w:rFonts w:hint="default" w:ascii="Arial" w:hAnsi="Arial" w:cs="Arial"/>
          <w:color w:val="auto"/>
          <w:sz w:val="21"/>
          <w:szCs w:val="21"/>
        </w:rPr>
      </w:pPr>
      <w:r>
        <w:rPr>
          <w:rFonts w:hint="default" w:ascii="Arial" w:hAnsi="Arial" w:cs="Arial"/>
          <w:color w:val="auto"/>
          <w:sz w:val="21"/>
          <w:szCs w:val="21"/>
        </w:rPr>
      </w:r>
      <w:r/>
    </w:p>
    <w:p>
      <w:pPr>
        <w:jc w:val="left"/>
        <w:widowControl/>
        <w:rPr>
          <w:rFonts w:hint="default" w:ascii="Arial" w:hAnsi="Arial" w:cs="Arial"/>
          <w:color w:val="auto"/>
          <w:sz w:val="21"/>
          <w:szCs w:val="21"/>
        </w:rPr>
      </w:pPr>
      <w:r>
        <w:rPr>
          <w:rFonts w:hint="default" w:ascii="Arial" w:hAnsi="Arial" w:cs="Arial"/>
          <w:color w:val="auto"/>
          <w:sz w:val="21"/>
          <w:szCs w:val="21"/>
        </w:rPr>
      </w:r>
      <w:r/>
    </w:p>
    <w:p>
      <w:pPr>
        <w:ind w:firstLine="420"/>
        <w:rPr>
          <w:rFonts w:hint="eastAsia" w:ascii="宋体" w:hAnsi="宋体" w:cs="宋体"/>
          <w:color w:val="auto"/>
          <w:spacing w:val="11"/>
          <w:sz w:val="20"/>
          <w:szCs w:val="20"/>
        </w:rPr>
      </w:pPr>
      <w:r>
        <w:rPr>
          <w:rFonts w:hint="eastAsia" w:ascii="宋体" w:hAnsi="宋体" w:cs="宋体"/>
          <w:color w:val="auto"/>
          <w:spacing w:val="11"/>
          <w:sz w:val="20"/>
          <w:szCs w:val="20"/>
        </w:rPr>
        <w:t xml:space="preserve">甲方代表(签字)：                       乙方代表(签字)：</w:t>
      </w:r>
      <w:r/>
    </w:p>
    <w:p>
      <w:pPr>
        <w:ind w:firstLine="420"/>
        <w:rPr>
          <w:rFonts w:hint="eastAsia" w:ascii="宋体" w:hAnsi="宋体" w:cs="宋体"/>
          <w:color w:val="auto"/>
          <w:spacing w:val="11"/>
          <w:sz w:val="20"/>
          <w:szCs w:val="20"/>
        </w:rPr>
      </w:pPr>
      <w:r>
        <w:rPr>
          <w:rFonts w:hint="eastAsia" w:ascii="宋体" w:hAnsi="宋体" w:cs="宋体"/>
          <w:color w:val="auto"/>
          <w:spacing w:val="11"/>
          <w:sz w:val="20"/>
          <w:szCs w:val="20"/>
        </w:rPr>
      </w:r>
      <w:r/>
    </w:p>
    <w:p>
      <w:pPr>
        <w:ind w:firstLine="420"/>
        <w:rPr>
          <w:rFonts w:hint="eastAsia" w:ascii="宋体" w:hAnsi="宋体" w:cs="宋体"/>
          <w:color w:val="auto"/>
          <w:spacing w:val="11"/>
          <w:sz w:val="20"/>
          <w:szCs w:val="20"/>
        </w:rPr>
      </w:pPr>
      <w:r>
        <w:rPr>
          <w:rFonts w:hint="eastAsia" w:ascii="宋体" w:hAnsi="宋体" w:cs="宋体"/>
          <w:color w:val="auto"/>
          <w:spacing w:val="11"/>
          <w:sz w:val="20"/>
          <w:szCs w:val="20"/>
        </w:rPr>
        <w:t xml:space="preserve">2026年  月  日                         2026年  月  日</w:t>
      </w:r>
      <w:r/>
    </w:p>
    <w:p>
      <w:pPr>
        <w:ind w:firstLine="420"/>
        <w:rPr>
          <w:rFonts w:ascii="宋体" w:hAnsi="宋体" w:eastAsia="宋体" w:cs="宋体"/>
          <w:color w:val="auto"/>
          <w:spacing w:val="11"/>
          <w:sz w:val="20"/>
          <w:szCs w:val="20"/>
          <w:highlight w:val="none"/>
          <w:lang w:val="en-US" w:eastAsia="zh-CN" w:bidi="ar-SA"/>
        </w:rPr>
      </w:pPr>
      <w:r>
        <w:rPr>
          <w:rFonts w:ascii="宋体" w:hAnsi="宋体" w:eastAsia="宋体" w:cs="宋体"/>
          <w:color w:val="auto"/>
          <w:spacing w:val="11"/>
          <w:sz w:val="20"/>
          <w:szCs w:val="20"/>
          <w:highlight w:val="none"/>
          <w:lang w:val="en-US" w:eastAsia="zh-CN" w:bidi="ar-SA"/>
        </w:rPr>
      </w:r>
      <w:r/>
    </w:p>
    <w:p>
      <w:pPr>
        <w:ind w:left="2079"/>
        <w:rPr>
          <w:rFonts w:ascii="宋体" w:hAnsi="宋体" w:eastAsia="宋体" w:cs="宋体"/>
          <w:color w:val="auto"/>
          <w:spacing w:val="18"/>
          <w:sz w:val="20"/>
          <w:szCs w:val="20"/>
          <w:highlight w:val="none"/>
          <w:lang w:val="en-US" w:eastAsia="zh-CN" w:bidi="ar-SA"/>
        </w:rPr>
      </w:pPr>
      <w:r>
        <w:rPr>
          <w:rFonts w:ascii="宋体" w:hAnsi="宋体" w:eastAsia="宋体" w:cs="宋体"/>
          <w:color w:val="auto"/>
          <w:spacing w:val="18"/>
          <w:sz w:val="20"/>
          <w:szCs w:val="20"/>
          <w:highlight w:val="none"/>
          <w:lang w:val="en-US" w:eastAsia="zh-CN" w:bidi="ar-SA"/>
        </w:rPr>
      </w:r>
      <w:r/>
    </w:p>
    <w:p>
      <w:pPr>
        <w:ind w:left="2079"/>
        <w:rPr>
          <w:rFonts w:ascii="宋体" w:hAnsi="宋体" w:eastAsia="宋体" w:cs="宋体"/>
          <w:color w:val="auto"/>
          <w:spacing w:val="18"/>
          <w:sz w:val="20"/>
          <w:szCs w:val="20"/>
          <w:highlight w:val="none"/>
          <w:lang w:val="en-US" w:eastAsia="zh-CN" w:bidi="ar-SA"/>
        </w:rPr>
      </w:pPr>
      <w:r>
        <w:rPr>
          <w:rFonts w:ascii="宋体" w:hAnsi="宋体" w:eastAsia="宋体" w:cs="宋体"/>
          <w:color w:val="auto"/>
          <w:spacing w:val="18"/>
          <w:sz w:val="20"/>
          <w:szCs w:val="20"/>
          <w:highlight w:val="none"/>
          <w:lang w:val="en-US" w:eastAsia="zh-CN" w:bidi="ar-SA"/>
        </w:rPr>
      </w:r>
      <w:r/>
    </w:p>
    <w:p>
      <w:pPr>
        <w:ind w:left="2079"/>
        <w:rPr>
          <w:rFonts w:ascii="宋体" w:hAnsi="宋体" w:eastAsia="宋体" w:cs="宋体"/>
          <w:color w:val="auto"/>
          <w:spacing w:val="18"/>
          <w:sz w:val="20"/>
          <w:szCs w:val="20"/>
          <w:highlight w:val="none"/>
          <w:lang w:val="en-US" w:eastAsia="zh-CN" w:bidi="ar-SA"/>
        </w:rPr>
      </w:pPr>
      <w:r>
        <w:rPr>
          <w:rFonts w:ascii="宋体" w:hAnsi="宋体" w:eastAsia="宋体" w:cs="宋体"/>
          <w:color w:val="auto"/>
          <w:spacing w:val="18"/>
          <w:sz w:val="20"/>
          <w:szCs w:val="20"/>
          <w:highlight w:val="none"/>
          <w:lang w:val="en-US" w:eastAsia="zh-CN" w:bidi="ar-SA"/>
        </w:rPr>
      </w:r>
      <w:r/>
    </w:p>
    <w:p>
      <w:pPr>
        <w:ind w:left="2079"/>
        <w:rPr>
          <w:rFonts w:ascii="宋体" w:hAnsi="宋体" w:eastAsia="宋体" w:cs="宋体"/>
          <w:color w:val="auto"/>
          <w:spacing w:val="18"/>
          <w:sz w:val="20"/>
          <w:szCs w:val="20"/>
          <w:highlight w:val="none"/>
          <w:lang w:val="en-US" w:eastAsia="zh-CN" w:bidi="ar-SA"/>
        </w:rPr>
      </w:pPr>
      <w:r>
        <w:rPr>
          <w:rFonts w:ascii="宋体" w:hAnsi="宋体" w:eastAsia="宋体" w:cs="宋体"/>
          <w:color w:val="auto"/>
          <w:spacing w:val="18"/>
          <w:sz w:val="20"/>
          <w:szCs w:val="20"/>
          <w:highlight w:val="none"/>
          <w:lang w:val="en-US" w:eastAsia="zh-CN" w:bidi="ar-SA"/>
        </w:rPr>
      </w:r>
      <w:r/>
    </w:p>
    <w:p>
      <w:pPr>
        <w:ind w:left="2079"/>
        <w:rPr>
          <w:rFonts w:ascii="宋体" w:hAnsi="宋体" w:eastAsia="宋体" w:cs="宋体"/>
          <w:color w:val="auto"/>
          <w:spacing w:val="18"/>
          <w:sz w:val="20"/>
          <w:szCs w:val="20"/>
          <w:highlight w:val="none"/>
          <w:lang w:val="en-US" w:eastAsia="zh-CN" w:bidi="ar-SA"/>
        </w:rPr>
      </w:pPr>
      <w:r>
        <w:rPr>
          <w:rFonts w:ascii="宋体" w:hAnsi="宋体" w:eastAsia="宋体" w:cs="宋体"/>
          <w:color w:val="auto"/>
          <w:spacing w:val="18"/>
          <w:sz w:val="20"/>
          <w:szCs w:val="20"/>
          <w:highlight w:val="none"/>
          <w:lang w:val="en-US" w:eastAsia="zh-CN" w:bidi="ar-SA"/>
        </w:rPr>
      </w:r>
      <w:r/>
    </w:p>
    <w:p>
      <w:pPr>
        <w:ind w:left="2079"/>
        <w:rPr>
          <w:rFonts w:ascii="宋体" w:hAnsi="宋体" w:eastAsia="宋体" w:cs="宋体"/>
          <w:color w:val="auto"/>
          <w:spacing w:val="18"/>
          <w:sz w:val="20"/>
          <w:szCs w:val="20"/>
          <w:highlight w:val="none"/>
          <w:lang w:val="en-US" w:eastAsia="zh-CN" w:bidi="ar-SA"/>
        </w:rPr>
      </w:pPr>
      <w:r>
        <w:rPr>
          <w:rFonts w:ascii="宋体" w:hAnsi="宋体" w:eastAsia="宋体" w:cs="宋体"/>
          <w:color w:val="auto"/>
          <w:spacing w:val="18"/>
          <w:sz w:val="20"/>
          <w:szCs w:val="20"/>
          <w:highlight w:val="none"/>
          <w:lang w:val="en-US" w:eastAsia="zh-CN" w:bidi="ar-SA"/>
        </w:rPr>
      </w:r>
      <w:r/>
    </w:p>
    <w:p>
      <w:pPr>
        <w:ind w:left="2079"/>
        <w:rPr>
          <w:rFonts w:ascii="宋体" w:hAnsi="宋体" w:eastAsia="宋体" w:cs="宋体"/>
          <w:color w:val="auto"/>
          <w:spacing w:val="18"/>
          <w:sz w:val="20"/>
          <w:szCs w:val="20"/>
          <w:highlight w:val="none"/>
          <w:lang w:val="en-US" w:eastAsia="zh-CN" w:bidi="ar-SA"/>
        </w:rPr>
      </w:pPr>
      <w:r>
        <w:rPr>
          <w:rFonts w:ascii="宋体" w:hAnsi="宋体" w:eastAsia="宋体" w:cs="宋体"/>
          <w:color w:val="auto"/>
          <w:spacing w:val="18"/>
          <w:sz w:val="20"/>
          <w:szCs w:val="20"/>
          <w:highlight w:val="none"/>
          <w:lang w:val="en-US" w:eastAsia="zh-CN" w:bidi="ar-SA"/>
        </w:rPr>
      </w:r>
      <w:r/>
    </w:p>
    <w:p>
      <w:pPr>
        <w:ind w:left="2079"/>
        <w:rPr>
          <w:rFonts w:ascii="宋体" w:hAnsi="宋体" w:eastAsia="宋体" w:cs="宋体"/>
          <w:color w:val="auto"/>
          <w:spacing w:val="18"/>
          <w:sz w:val="20"/>
          <w:szCs w:val="20"/>
          <w:highlight w:val="none"/>
          <w:lang w:val="en-US" w:eastAsia="zh-CN" w:bidi="ar-SA"/>
        </w:rPr>
      </w:pPr>
      <w:r>
        <w:rPr>
          <w:rFonts w:ascii="宋体" w:hAnsi="宋体" w:eastAsia="宋体" w:cs="宋体"/>
          <w:color w:val="auto"/>
          <w:spacing w:val="18"/>
          <w:sz w:val="20"/>
          <w:szCs w:val="20"/>
          <w:highlight w:val="none"/>
          <w:lang w:val="en-US" w:eastAsia="zh-CN" w:bidi="ar-SA"/>
        </w:rPr>
      </w:r>
      <w:r/>
    </w:p>
    <w:p>
      <w:pPr>
        <w:numPr>
          <w:ilvl w:val="0"/>
          <w:numId w:val="0"/>
        </w:numPr>
        <w:jc w:val="center"/>
        <w:spacing w:before="120" w:after="120" w:line="0" w:lineRule="atLeast"/>
        <w:rPr>
          <w:rFonts w:hint="eastAsia" w:ascii="仿宋" w:hAnsi="仿宋" w:eastAsia="仿宋" w:cs="仿宋"/>
          <w:b/>
          <w:color w:val="auto"/>
          <w:sz w:val="44"/>
          <w:szCs w:val="21"/>
          <w:highlight w:val="none"/>
        </w:rPr>
        <w:outlineLvl w:val="0"/>
      </w:pPr>
      <w:r>
        <w:rPr>
          <w:rFonts w:hint="eastAsia" w:ascii="仿宋" w:hAnsi="仿宋" w:eastAsia="仿宋" w:cs="仿宋"/>
          <w:b/>
          <w:color w:val="auto"/>
          <w:sz w:val="44"/>
          <w:szCs w:val="21"/>
          <w:highlight w:val="none"/>
        </w:rPr>
      </w:r>
      <w:r/>
    </w:p>
    <w:p>
      <w:pPr>
        <w:numPr>
          <w:ilvl w:val="0"/>
          <w:numId w:val="0"/>
        </w:numPr>
        <w:jc w:val="center"/>
        <w:spacing w:before="120" w:after="120" w:line="0" w:lineRule="atLeast"/>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44"/>
          <w:szCs w:val="21"/>
          <w:highlight w:val="none"/>
        </w:rPr>
        <w:t xml:space="preserve">第</w:t>
      </w:r>
      <w:bookmarkEnd w:id="180"/>
      <w:r>
        <w:rPr>
          <w:rFonts w:hint="eastAsia" w:ascii="仿宋" w:hAnsi="仿宋" w:eastAsia="仿宋" w:cs="仿宋"/>
          <w:b/>
          <w:color w:val="auto"/>
          <w:sz w:val="44"/>
          <w:szCs w:val="21"/>
          <w:highlight w:val="none"/>
        </w:rPr>
        <w:t xml:space="preserve">四章 采购需求</w:t>
      </w:r>
      <w:bookmarkEnd w:id="181"/>
      <w:r/>
      <w:bookmarkEnd w:id="182"/>
      <w:r/>
      <w:bookmarkEnd w:id="183"/>
      <w:r/>
      <w:bookmarkEnd w:id="184"/>
      <w:r/>
      <w:r/>
    </w:p>
    <w:p>
      <w:pPr>
        <w:ind w:firstLine="560"/>
        <w:spacing w:line="0" w:lineRule="atLeast"/>
        <w:rPr>
          <w:rFonts w:hint="eastAsia" w:ascii="仿宋" w:hAnsi="仿宋" w:eastAsia="仿宋" w:cs="仿宋"/>
          <w:bCs/>
          <w:color w:val="auto"/>
          <w:sz w:val="28"/>
          <w:szCs w:val="28"/>
          <w:highlight w:val="none"/>
        </w:rPr>
      </w:pPr>
      <w:r/>
      <w:bookmarkStart w:id="187" w:name="_Toc26554093"/>
      <w:r/>
      <w:bookmarkStart w:id="188" w:name="_Toc49090575"/>
      <w:r>
        <w:rPr>
          <w:rFonts w:hint="eastAsia" w:ascii="仿宋" w:hAnsi="仿宋" w:eastAsia="仿宋" w:cs="仿宋"/>
          <w:bCs/>
          <w:color w:val="auto"/>
          <w:sz w:val="28"/>
          <w:szCs w:val="28"/>
          <w:highlight w:val="none"/>
        </w:rPr>
        <w:t xml:space="preserve">投标人在制作投标文件时仔细研究项目需求说明。项目需求包括技术要求和商务要求:</w:t>
      </w:r>
      <w:r/>
    </w:p>
    <w:p>
      <w:pPr>
        <w:ind w:firstLine="560"/>
        <w:spacing w:line="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技术要求是指对采购标的功能和质量要求，包括性能、材料、结构、外观、安全，或者服务内容和标准等,</w:t>
      </w:r>
      <w:r>
        <w:rPr>
          <w:rFonts w:hint="eastAsia" w:ascii="仿宋" w:hAnsi="仿宋" w:eastAsia="仿宋" w:cs="仿宋"/>
          <w:b/>
          <w:i/>
          <w:iCs/>
          <w:color w:val="auto"/>
          <w:sz w:val="28"/>
          <w:szCs w:val="28"/>
          <w:highlight w:val="none"/>
          <w:u w:val="single"/>
        </w:rPr>
        <w:t xml:space="preserve">其中必须满足的实质性要求加斜体下划线。</w:t>
      </w:r>
      <w:r/>
    </w:p>
    <w:p>
      <w:pPr>
        <w:ind w:firstLine="560"/>
        <w:spacing w:line="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color w:val="auto"/>
          <w:sz w:val="28"/>
          <w:szCs w:val="28"/>
          <w:highlight w:val="none"/>
          <w:u w:val="single"/>
        </w:rPr>
        <w:t xml:space="preserve">其中必须满足的实质性要求加斜体下划线。</w:t>
      </w:r>
      <w:r/>
    </w:p>
    <w:p>
      <w:pPr>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62"/>
        <w:rPr>
          <w:rFonts w:eastAsia="仿宋"/>
          <w:b/>
          <w:color w:val="auto"/>
          <w:sz w:val="28"/>
          <w:szCs w:val="28"/>
          <w:highlight w:val="none"/>
        </w:rPr>
      </w:pPr>
      <w:r>
        <w:rPr>
          <w:rFonts w:eastAsia="仿宋"/>
          <w:b/>
          <w:color w:val="auto"/>
          <w:sz w:val="28"/>
          <w:szCs w:val="28"/>
          <w:highlight w:val="none"/>
          <w:lang w:bidi="ar"/>
        </w:rPr>
        <w:t xml:space="preserve">一、有关要求说明（货物、服务、工程类通用说明）</w:t>
      </w:r>
      <w:r/>
    </w:p>
    <w:p>
      <w:pPr>
        <w:ind w:firstLine="560"/>
        <w:rPr>
          <w:rFonts w:eastAsia="仿宋"/>
          <w:color w:val="auto"/>
          <w:sz w:val="28"/>
          <w:szCs w:val="28"/>
          <w:highlight w:val="none"/>
        </w:rPr>
      </w:pPr>
      <w:r>
        <w:rPr>
          <w:rFonts w:eastAsia="仿宋"/>
          <w:color w:val="auto"/>
          <w:sz w:val="28"/>
          <w:szCs w:val="28"/>
          <w:highlight w:val="none"/>
          <w:lang w:bidi="ar"/>
        </w:rPr>
        <w:t xml:space="preserve">1.主要技术参数：为鼓励不同品牌的充分竞争，如某主要技术参数属于个别品牌专有，则该主要技术参数不具有限制性，供应商可对该参数进行适当调整，并说明调整的理由。</w:t>
      </w:r>
      <w:r/>
    </w:p>
    <w:p>
      <w:pPr>
        <w:ind w:firstLine="560"/>
        <w:rPr>
          <w:rFonts w:eastAsia="仿宋"/>
          <w:color w:val="auto"/>
          <w:sz w:val="28"/>
          <w:szCs w:val="28"/>
          <w:highlight w:val="none"/>
        </w:rPr>
      </w:pPr>
      <w:r>
        <w:rPr>
          <w:rFonts w:eastAsia="仿宋"/>
          <w:color w:val="auto"/>
          <w:sz w:val="28"/>
          <w:szCs w:val="28"/>
          <w:highlight w:val="none"/>
          <w:lang w:bidi="ar"/>
        </w:rPr>
        <w:t xml:space="preserve">2.</w:t>
      </w:r>
      <w:r/>
      <w:r>
        <w:rPr>
          <w:rFonts w:eastAsia="仿宋"/>
          <w:color w:val="auto"/>
          <w:sz w:val="28"/>
          <w:szCs w:val="28"/>
          <w:highlight w:val="none"/>
          <w:lang w:bidi="ar"/>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r>
        <w:rPr>
          <w:rFonts w:eastAsia="仿宋"/>
          <w:color w:val="auto"/>
          <w:sz w:val="28"/>
          <w:szCs w:val="28"/>
          <w:highlight w:val="none"/>
        </w:rPr>
      </w:r>
    </w:p>
    <w:p>
      <w:pPr>
        <w:ind w:firstLine="560"/>
        <w:rPr>
          <w:rFonts w:eastAsia="仿宋"/>
          <w:color w:val="auto"/>
          <w:sz w:val="28"/>
          <w:szCs w:val="28"/>
          <w:highlight w:val="none"/>
        </w:rPr>
      </w:pPr>
      <w:r>
        <w:rPr>
          <w:rFonts w:eastAsia="仿宋"/>
          <w:color w:val="auto"/>
          <w:sz w:val="28"/>
          <w:szCs w:val="28"/>
          <w:highlight w:val="none"/>
          <w:lang w:bidi="ar"/>
        </w:rPr>
        <w:t xml:space="preserve">3.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ind w:firstLine="562"/>
        <w:jc w:val="left"/>
        <w:spacing w:line="360" w:lineRule="auto"/>
        <w:rPr>
          <w:rFonts w:eastAsia="仿宋"/>
          <w:b/>
          <w:color w:val="auto"/>
          <w:sz w:val="28"/>
          <w:szCs w:val="28"/>
          <w:highlight w:val="none"/>
          <w:shd w:val="clear" w:color="auto" w:fill="ffffff"/>
        </w:rPr>
      </w:pPr>
      <w:r>
        <w:rPr>
          <w:rFonts w:eastAsia="仿宋"/>
          <w:b/>
          <w:color w:val="auto"/>
          <w:sz w:val="28"/>
          <w:szCs w:val="28"/>
          <w:highlight w:val="none"/>
          <w:shd w:val="clear" w:color="auto" w:fill="ffffff"/>
          <w:lang w:bidi="ar"/>
        </w:rPr>
        <w:t xml:space="preserve">二、项目采购具体内容</w:t>
      </w:r>
      <w:r/>
    </w:p>
    <w:p>
      <w:pPr>
        <w:ind w:firstLine="560"/>
        <w:jc w:val="left"/>
        <w:spacing w:line="360" w:lineRule="auto"/>
        <w:widowControl/>
        <w:rPr>
          <w:rFonts w:eastAsia="仿宋"/>
          <w:color w:val="auto"/>
          <w:sz w:val="28"/>
          <w:szCs w:val="28"/>
          <w:highlight w:val="none"/>
          <w:lang w:bidi="ar"/>
        </w:rPr>
        <w:outlineLvl w:val="0"/>
      </w:pPr>
      <w:r>
        <w:rPr>
          <w:rFonts w:eastAsia="仿宋"/>
          <w:color w:val="auto"/>
          <w:sz w:val="28"/>
          <w:szCs w:val="28"/>
          <w:highlight w:val="none"/>
          <w:lang w:bidi="ar"/>
        </w:rPr>
        <w:t xml:space="preserve">如东县市场监督管理局</w:t>
      </w:r>
      <w:r>
        <w:rPr>
          <w:rFonts w:hint="eastAsia" w:eastAsia="仿宋"/>
          <w:color w:val="auto"/>
          <w:sz w:val="28"/>
          <w:szCs w:val="28"/>
          <w:highlight w:val="none"/>
          <w:lang w:eastAsia="zh-CN" w:bidi="ar"/>
        </w:rPr>
        <w:t xml:space="preserve">2026年</w:t>
      </w:r>
      <w:r>
        <w:rPr>
          <w:rFonts w:eastAsia="仿宋"/>
          <w:color w:val="auto"/>
          <w:sz w:val="28"/>
          <w:szCs w:val="28"/>
          <w:highlight w:val="none"/>
          <w:lang w:bidi="ar"/>
        </w:rPr>
        <w:t xml:space="preserve">县级食品安全监督抽检任务内容：抽检品种覆盖粮食加工品、食用油（油脂）及其制品</w:t>
      </w:r>
      <w:r>
        <w:rPr>
          <w:rFonts w:hint="eastAsia" w:eastAsia="仿宋"/>
          <w:color w:val="auto"/>
          <w:sz w:val="28"/>
          <w:szCs w:val="28"/>
          <w:highlight w:val="none"/>
          <w:lang w:bidi="ar"/>
        </w:rPr>
        <w:t xml:space="preserve">、调味品、肉制品、乳制品、饮料、方便食品、饼干、罐头、冷冻饮品、速冻食品、薯类和膨化食品</w:t>
      </w:r>
      <w:r>
        <w:rPr>
          <w:rFonts w:eastAsia="仿宋"/>
          <w:color w:val="auto"/>
          <w:sz w:val="28"/>
          <w:szCs w:val="28"/>
          <w:highlight w:val="none"/>
          <w:lang w:bidi="ar"/>
        </w:rPr>
        <w:t xml:space="preserve">等国家市场监督管理总局核准的大类产品。</w:t>
      </w:r>
      <w:r/>
    </w:p>
    <w:p>
      <w:pPr>
        <w:ind w:firstLine="562"/>
        <w:jc w:val="left"/>
        <w:spacing w:line="360" w:lineRule="auto"/>
        <w:rPr>
          <w:rFonts w:eastAsia="仿宋"/>
          <w:b/>
          <w:color w:val="auto"/>
          <w:sz w:val="28"/>
          <w:szCs w:val="28"/>
          <w:highlight w:val="none"/>
        </w:rPr>
      </w:pPr>
      <w:r>
        <w:rPr>
          <w:rFonts w:eastAsia="仿宋"/>
          <w:b/>
          <w:color w:val="auto"/>
          <w:sz w:val="28"/>
          <w:szCs w:val="28"/>
          <w:highlight w:val="none"/>
          <w:lang w:bidi="ar"/>
        </w:rPr>
        <w:t xml:space="preserve">本项目共分</w:t>
      </w:r>
      <w:r>
        <w:rPr>
          <w:rFonts w:hint="eastAsia" w:eastAsia="仿宋"/>
          <w:b/>
          <w:color w:val="auto"/>
          <w:sz w:val="28"/>
          <w:szCs w:val="28"/>
          <w:highlight w:val="none"/>
          <w:lang w:bidi="ar"/>
        </w:rPr>
        <w:t xml:space="preserve">6</w:t>
      </w:r>
      <w:r>
        <w:rPr>
          <w:rFonts w:eastAsia="仿宋"/>
          <w:b/>
          <w:color w:val="auto"/>
          <w:sz w:val="28"/>
          <w:szCs w:val="28"/>
          <w:highlight w:val="none"/>
          <w:lang w:bidi="ar"/>
        </w:rPr>
        <w:t xml:space="preserve">个标段，投标单位必须报名参与全部</w:t>
      </w:r>
      <w:r>
        <w:rPr>
          <w:rFonts w:hint="eastAsia" w:eastAsia="仿宋"/>
          <w:b/>
          <w:color w:val="auto"/>
          <w:sz w:val="28"/>
          <w:szCs w:val="28"/>
          <w:highlight w:val="none"/>
          <w:lang w:bidi="ar"/>
        </w:rPr>
        <w:t xml:space="preserve">六</w:t>
      </w:r>
      <w:r>
        <w:rPr>
          <w:rFonts w:eastAsia="仿宋"/>
          <w:b/>
          <w:color w:val="auto"/>
          <w:sz w:val="28"/>
          <w:szCs w:val="28"/>
          <w:highlight w:val="none"/>
          <w:lang w:bidi="ar"/>
        </w:rPr>
        <w:t xml:space="preserve">个标段的投标，对</w:t>
      </w:r>
      <w:r>
        <w:rPr>
          <w:rFonts w:hint="eastAsia" w:eastAsia="仿宋"/>
          <w:b/>
          <w:color w:val="auto"/>
          <w:sz w:val="28"/>
          <w:szCs w:val="28"/>
          <w:highlight w:val="none"/>
          <w:lang w:bidi="ar"/>
        </w:rPr>
        <w:t xml:space="preserve">六</w:t>
      </w:r>
      <w:r>
        <w:rPr>
          <w:rFonts w:eastAsia="仿宋"/>
          <w:b/>
          <w:color w:val="auto"/>
          <w:sz w:val="28"/>
          <w:szCs w:val="28"/>
          <w:highlight w:val="none"/>
          <w:lang w:bidi="ar"/>
        </w:rPr>
        <w:t xml:space="preserve">个标段分别报价，但只能中一个标段。资审及商务技术评审结束后，按照标段1、2、3、4</w:t>
      </w:r>
      <w:r>
        <w:rPr>
          <w:rFonts w:hint="eastAsia" w:eastAsia="仿宋"/>
          <w:b/>
          <w:color w:val="auto"/>
          <w:sz w:val="28"/>
          <w:szCs w:val="28"/>
          <w:highlight w:val="none"/>
          <w:lang w:bidi="ar"/>
        </w:rPr>
        <w:t xml:space="preserve">、5、6</w:t>
      </w:r>
      <w:r>
        <w:rPr>
          <w:rFonts w:eastAsia="仿宋"/>
          <w:b/>
          <w:color w:val="auto"/>
          <w:sz w:val="28"/>
          <w:szCs w:val="28"/>
          <w:highlight w:val="none"/>
          <w:lang w:bidi="ar"/>
        </w:rPr>
        <w:t xml:space="preserve">的顺序依次评标，每个标段根据评分结果分别取第一名作为中标供应商，如后开标的标段中第一名在前面的标段中已中标的，确定第二名作为中标供应商，如第二名也已中标的，确定第三名作为中标供应商，依此类推。每标段中标金额按照投标人的投标价确定。</w:t>
      </w:r>
      <w:r/>
    </w:p>
    <w:p>
      <w:pPr>
        <w:ind w:firstLine="562"/>
        <w:jc w:val="left"/>
        <w:spacing w:line="360" w:lineRule="auto"/>
        <w:rPr>
          <w:rFonts w:eastAsia="仿宋"/>
          <w:color w:val="auto"/>
          <w:sz w:val="28"/>
          <w:szCs w:val="28"/>
          <w:highlight w:val="none"/>
        </w:rPr>
      </w:pPr>
      <w:r>
        <w:rPr>
          <w:rFonts w:eastAsia="仿宋"/>
          <w:color w:val="auto"/>
          <w:sz w:val="28"/>
          <w:szCs w:val="28"/>
          <w:highlight w:val="none"/>
          <w:lang w:bidi="ar"/>
        </w:rPr>
        <w:t xml:space="preserve">供应商报价费用包括但不限于检测费、买样费、各种税费、交通费、人工、保险、利润、税金及合同包含的所有风险、责任等各项应有的全部费用</w:t>
      </w:r>
      <w:r>
        <w:rPr>
          <w:rFonts w:hint="eastAsia" w:eastAsia="仿宋"/>
          <w:color w:val="auto"/>
          <w:sz w:val="28"/>
          <w:szCs w:val="28"/>
          <w:highlight w:val="none"/>
          <w:lang w:bidi="ar"/>
        </w:rPr>
        <w:t xml:space="preserve">。样品再利用价值折抵乙方费用。</w:t>
      </w:r>
      <w:r/>
    </w:p>
    <w:p>
      <w:pPr>
        <w:ind w:firstLine="562"/>
        <w:jc w:val="left"/>
        <w:spacing w:line="360" w:lineRule="auto"/>
        <w:rPr>
          <w:rFonts w:eastAsia="仿宋"/>
          <w:b/>
          <w:color w:val="auto"/>
          <w:sz w:val="28"/>
          <w:szCs w:val="28"/>
          <w:highlight w:val="none"/>
          <w:shd w:val="clear" w:color="auto" w:fill="ffffff"/>
        </w:rPr>
      </w:pPr>
      <w:r>
        <w:rPr>
          <w:rFonts w:eastAsia="仿宋"/>
          <w:b/>
          <w:color w:val="auto"/>
          <w:sz w:val="28"/>
          <w:szCs w:val="28"/>
          <w:highlight w:val="none"/>
          <w:shd w:val="clear" w:color="auto" w:fill="ffffff"/>
          <w:lang w:bidi="ar"/>
        </w:rPr>
        <w:t xml:space="preserve">三、项目的基本要求</w:t>
      </w:r>
      <w:r/>
    </w:p>
    <w:p>
      <w:pPr>
        <w:ind w:firstLine="560"/>
        <w:jc w:val="left"/>
        <w:spacing w:line="360" w:lineRule="auto"/>
        <w:rPr>
          <w:rFonts w:eastAsia="仿宋"/>
          <w:color w:val="auto"/>
          <w:sz w:val="28"/>
          <w:szCs w:val="28"/>
          <w:highlight w:val="none"/>
        </w:rPr>
      </w:pPr>
      <w:r>
        <w:rPr>
          <w:rFonts w:eastAsia="仿宋"/>
          <w:color w:val="auto"/>
          <w:sz w:val="28"/>
          <w:szCs w:val="28"/>
          <w:highlight w:val="none"/>
          <w:lang w:bidi="ar"/>
        </w:rPr>
        <w:t xml:space="preserve">1.严格遵守《中华人民共和国食品安全法》《食品安全抽样检验管理办法》等相关法律、法规、规章的规定。</w:t>
      </w:r>
      <w:r/>
    </w:p>
    <w:p>
      <w:pPr>
        <w:ind w:firstLine="560"/>
        <w:jc w:val="left"/>
        <w:spacing w:line="360" w:lineRule="auto"/>
        <w:rPr>
          <w:rFonts w:eastAsia="仿宋"/>
          <w:color w:val="auto"/>
          <w:sz w:val="28"/>
          <w:szCs w:val="28"/>
          <w:highlight w:val="none"/>
        </w:rPr>
      </w:pPr>
      <w:r>
        <w:rPr>
          <w:rFonts w:eastAsia="仿宋"/>
          <w:color w:val="auto"/>
          <w:sz w:val="28"/>
          <w:szCs w:val="28"/>
          <w:highlight w:val="none"/>
          <w:lang w:bidi="ar"/>
        </w:rPr>
        <w:t xml:space="preserve">2.按照国家法律、法规、国家标准规定和采购人要求开展抽样、检验等各项任务，并根据承担的检验任务出具检验实施方案交采购人审查确定。</w:t>
      </w:r>
      <w:r/>
    </w:p>
    <w:p>
      <w:pPr>
        <w:ind w:firstLine="560"/>
        <w:jc w:val="left"/>
        <w:spacing w:line="360" w:lineRule="auto"/>
        <w:rPr>
          <w:rFonts w:eastAsia="仿宋"/>
          <w:color w:val="auto"/>
          <w:sz w:val="28"/>
          <w:szCs w:val="28"/>
          <w:highlight w:val="none"/>
        </w:rPr>
      </w:pPr>
      <w:r>
        <w:rPr>
          <w:rFonts w:eastAsia="仿宋"/>
          <w:color w:val="auto"/>
          <w:sz w:val="28"/>
          <w:szCs w:val="28"/>
          <w:highlight w:val="none"/>
          <w:lang w:bidi="ar"/>
        </w:rPr>
        <w:t xml:space="preserve">3.严格按照《国家食品安全监督抽检实施细则（</w:t>
      </w:r>
      <w:r>
        <w:rPr>
          <w:rFonts w:hint="eastAsia" w:eastAsia="仿宋"/>
          <w:color w:val="auto"/>
          <w:sz w:val="28"/>
          <w:szCs w:val="28"/>
          <w:highlight w:val="none"/>
          <w:lang w:eastAsia="zh-CN" w:bidi="ar"/>
        </w:rPr>
        <w:t xml:space="preserve">2026年</w:t>
      </w:r>
      <w:r>
        <w:rPr>
          <w:rFonts w:eastAsia="仿宋"/>
          <w:color w:val="auto"/>
          <w:sz w:val="28"/>
          <w:szCs w:val="28"/>
          <w:highlight w:val="none"/>
          <w:lang w:bidi="ar"/>
        </w:rPr>
        <w:t xml:space="preserve">版）》规定的检验方法进行检验，不得擅自变更检验方法、增加或者减少检验项目，不得擅自修改判定原则，承检机构对其出具的检验报告的真实性和准确性负责。采购人</w:t>
      </w:r>
      <w:r>
        <w:rPr>
          <w:rFonts w:hint="eastAsia" w:eastAsia="仿宋"/>
          <w:color w:val="auto"/>
          <w:sz w:val="28"/>
          <w:szCs w:val="28"/>
          <w:highlight w:val="none"/>
          <w:lang w:bidi="ar"/>
        </w:rPr>
        <w:t xml:space="preserve">视情</w:t>
      </w:r>
      <w:r>
        <w:rPr>
          <w:rFonts w:eastAsia="仿宋"/>
          <w:color w:val="auto"/>
          <w:sz w:val="28"/>
          <w:szCs w:val="28"/>
          <w:highlight w:val="none"/>
          <w:lang w:bidi="ar"/>
        </w:rPr>
        <w:t xml:space="preserve">通过现场检查和盲样考核等方式对各承检机构所做出的检验数据进行考核，发现存在上述问题或者弄虚作假、擅自修改检验数据等情形的，将被列入“黑名单”，取消承检机构的食品抽检任务资格，并对所造成的损失和不良影响承担法律责任，剩余任务由采购人分配给其他承检机构。</w:t>
      </w:r>
      <w:r/>
    </w:p>
    <w:p>
      <w:pPr>
        <w:ind w:firstLine="560"/>
        <w:jc w:val="left"/>
        <w:spacing w:line="360" w:lineRule="auto"/>
        <w:rPr>
          <w:rFonts w:eastAsia="仿宋"/>
          <w:color w:val="auto"/>
          <w:sz w:val="28"/>
          <w:szCs w:val="28"/>
          <w:highlight w:val="none"/>
        </w:rPr>
      </w:pPr>
      <w:r>
        <w:rPr>
          <w:rFonts w:eastAsia="仿宋"/>
          <w:color w:val="auto"/>
          <w:sz w:val="28"/>
          <w:szCs w:val="28"/>
          <w:highlight w:val="none"/>
          <w:lang w:bidi="ar"/>
        </w:rPr>
        <w:t xml:space="preserve">4.每次任务的检验项目由采购人确定，承检机构应按照采购人要求，及时将抽样检验相关资料录入国家食品安全抽样检验信息系统。</w:t>
      </w:r>
      <w:r/>
    </w:p>
    <w:p>
      <w:pPr>
        <w:ind w:firstLine="562"/>
        <w:spacing w:line="360" w:lineRule="auto"/>
        <w:rPr>
          <w:rFonts w:eastAsia="仿宋"/>
          <w:b/>
          <w:color w:val="auto"/>
          <w:sz w:val="28"/>
          <w:szCs w:val="28"/>
          <w:highlight w:val="none"/>
        </w:rPr>
      </w:pPr>
      <w:r>
        <w:rPr>
          <w:rFonts w:eastAsia="仿宋"/>
          <w:b/>
          <w:color w:val="auto"/>
          <w:sz w:val="28"/>
          <w:szCs w:val="28"/>
          <w:highlight w:val="none"/>
          <w:lang w:bidi="ar"/>
        </w:rPr>
        <w:t xml:space="preserve">5. 中标机构按照中标标段划定的范围和采购人制定的《</w:t>
      </w:r>
      <w:r>
        <w:rPr>
          <w:rFonts w:hint="eastAsia" w:eastAsia="仿宋"/>
          <w:b/>
          <w:color w:val="auto"/>
          <w:sz w:val="28"/>
          <w:szCs w:val="28"/>
          <w:highlight w:val="none"/>
          <w:lang w:eastAsia="zh-CN" w:bidi="ar"/>
        </w:rPr>
        <w:t xml:space="preserve">2026年</w:t>
      </w:r>
      <w:r>
        <w:rPr>
          <w:rFonts w:eastAsia="仿宋"/>
          <w:b/>
          <w:color w:val="auto"/>
          <w:sz w:val="28"/>
          <w:szCs w:val="28"/>
          <w:highlight w:val="none"/>
          <w:lang w:bidi="ar"/>
        </w:rPr>
        <w:t xml:space="preserve">度县级食品安全监督抽检任务方案》进行抽样，抽样机构和检验机构相互配合，共同完成抽检任务。 </w:t>
      </w:r>
      <w:r/>
    </w:p>
    <w:p>
      <w:pPr>
        <w:ind w:firstLine="562"/>
        <w:jc w:val="left"/>
        <w:spacing w:line="360" w:lineRule="auto"/>
        <w:rPr>
          <w:rFonts w:eastAsia="仿宋"/>
          <w:b/>
          <w:color w:val="auto"/>
          <w:sz w:val="28"/>
          <w:szCs w:val="28"/>
          <w:highlight w:val="none"/>
          <w:shd w:val="clear" w:color="auto" w:fill="ffffff"/>
        </w:rPr>
      </w:pPr>
      <w:r>
        <w:rPr>
          <w:rFonts w:eastAsia="仿宋"/>
          <w:b/>
          <w:color w:val="auto"/>
          <w:sz w:val="28"/>
          <w:szCs w:val="28"/>
          <w:highlight w:val="none"/>
          <w:shd w:val="clear" w:color="auto" w:fill="ffffff"/>
          <w:lang w:bidi="ar"/>
        </w:rPr>
        <w:t xml:space="preserve">四、成交供应商服务要求</w:t>
      </w:r>
      <w:r/>
    </w:p>
    <w:p>
      <w:pPr>
        <w:ind w:firstLine="560"/>
        <w:jc w:val="left"/>
        <w:spacing w:line="360" w:lineRule="auto"/>
        <w:rPr>
          <w:rFonts w:eastAsia="仿宋"/>
          <w:color w:val="auto"/>
          <w:sz w:val="28"/>
          <w:szCs w:val="28"/>
          <w:highlight w:val="none"/>
        </w:rPr>
      </w:pPr>
      <w:r>
        <w:rPr>
          <w:rFonts w:eastAsia="仿宋"/>
          <w:color w:val="auto"/>
          <w:sz w:val="28"/>
          <w:szCs w:val="28"/>
          <w:highlight w:val="none"/>
          <w:lang w:bidi="ar"/>
        </w:rPr>
        <w:t xml:space="preserve">1.检验工作结束后，须及时汇总检验结果统计报表。同时结合实际工作和检验情况开展研判和分析，形成相关分析报告；检验结果统计报表、分析报告须在5日内报采购人。抽检情况应及时录入国家食品安全抽样检验信息系统。</w:t>
      </w:r>
      <w:r/>
    </w:p>
    <w:p>
      <w:pPr>
        <w:ind w:firstLine="560"/>
        <w:jc w:val="left"/>
        <w:spacing w:line="360" w:lineRule="auto"/>
        <w:rPr>
          <w:rFonts w:eastAsia="仿宋"/>
          <w:color w:val="auto"/>
          <w:sz w:val="28"/>
          <w:szCs w:val="28"/>
          <w:highlight w:val="none"/>
        </w:rPr>
      </w:pPr>
      <w:r>
        <w:rPr>
          <w:rFonts w:eastAsia="仿宋"/>
          <w:color w:val="auto"/>
          <w:sz w:val="28"/>
          <w:szCs w:val="28"/>
          <w:highlight w:val="none"/>
          <w:lang w:bidi="ar"/>
        </w:rPr>
        <w:t xml:space="preserve">2.按照采购人的时限要求，保质保量完成抽样、检验任务；检验过程中发现被检样品存在严重安全问题或较高风险问题的，须在24小时内将有关情况报告采购人。</w:t>
      </w:r>
      <w:r/>
    </w:p>
    <w:p>
      <w:pPr>
        <w:ind w:firstLine="560"/>
        <w:jc w:val="left"/>
        <w:spacing w:line="360" w:lineRule="auto"/>
        <w:rPr>
          <w:rFonts w:eastAsia="仿宋"/>
          <w:color w:val="auto"/>
          <w:sz w:val="28"/>
          <w:szCs w:val="28"/>
          <w:highlight w:val="none"/>
        </w:rPr>
      </w:pPr>
      <w:r>
        <w:rPr>
          <w:rFonts w:eastAsia="仿宋"/>
          <w:color w:val="auto"/>
          <w:sz w:val="28"/>
          <w:szCs w:val="28"/>
          <w:highlight w:val="none"/>
          <w:lang w:bidi="ar"/>
        </w:rPr>
        <w:t xml:space="preserve">3.严格遵守工作制度和保密规则，不得接受被抽检单位的馈赠，不得利用监督抽检结果开展有偿服务活动、牟取不正当利益；</w:t>
      </w:r>
      <w:r/>
    </w:p>
    <w:p>
      <w:pPr>
        <w:ind w:firstLine="560"/>
        <w:jc w:val="left"/>
        <w:spacing w:line="360" w:lineRule="auto"/>
        <w:rPr>
          <w:rFonts w:eastAsia="仿宋"/>
          <w:color w:val="auto"/>
          <w:sz w:val="28"/>
          <w:szCs w:val="28"/>
          <w:highlight w:val="none"/>
        </w:rPr>
      </w:pPr>
      <w:r>
        <w:rPr>
          <w:rFonts w:eastAsia="仿宋"/>
          <w:color w:val="auto"/>
          <w:sz w:val="28"/>
          <w:szCs w:val="28"/>
          <w:highlight w:val="none"/>
          <w:lang w:bidi="ar"/>
        </w:rPr>
        <w:t xml:space="preserve">4.现场抽样人员必须着装统一、举止文明，配备相应的采样工具和设备（包括车辆、冷藏运输设备、各项工具等），积极配合采购人工作安排。</w:t>
      </w:r>
      <w:r/>
    </w:p>
    <w:p>
      <w:pPr>
        <w:ind w:firstLine="560"/>
        <w:jc w:val="left"/>
        <w:spacing w:line="360" w:lineRule="auto"/>
        <w:rPr>
          <w:rFonts w:eastAsia="仿宋"/>
          <w:color w:val="auto"/>
          <w:sz w:val="28"/>
          <w:szCs w:val="28"/>
          <w:highlight w:val="none"/>
        </w:rPr>
      </w:pPr>
      <w:r>
        <w:rPr>
          <w:rFonts w:eastAsia="仿宋"/>
          <w:color w:val="auto"/>
          <w:sz w:val="28"/>
          <w:szCs w:val="28"/>
          <w:highlight w:val="none"/>
          <w:lang w:bidi="ar"/>
        </w:rPr>
        <w:t xml:space="preserve">5.成交供应商因检验检测能力发生变更导致无法完成检验任务等原因，自动终止合同。</w:t>
      </w:r>
      <w:r/>
    </w:p>
    <w:p>
      <w:pPr>
        <w:ind w:firstLine="560"/>
        <w:jc w:val="left"/>
        <w:spacing w:line="360" w:lineRule="auto"/>
        <w:rPr>
          <w:rFonts w:eastAsia="仿宋"/>
          <w:color w:val="auto"/>
          <w:sz w:val="28"/>
          <w:szCs w:val="28"/>
          <w:highlight w:val="none"/>
          <w:lang w:bidi="ar"/>
        </w:rPr>
      </w:pPr>
      <w:r>
        <w:rPr>
          <w:rFonts w:eastAsia="仿宋"/>
          <w:color w:val="auto"/>
          <w:sz w:val="28"/>
          <w:szCs w:val="28"/>
          <w:highlight w:val="none"/>
          <w:lang w:bidi="ar"/>
        </w:rPr>
        <w:t xml:space="preserve">6.</w:t>
      </w:r>
      <w:r>
        <w:rPr>
          <w:rFonts w:hint="eastAsia" w:eastAsia="仿宋"/>
          <w:color w:val="auto"/>
          <w:sz w:val="28"/>
          <w:szCs w:val="28"/>
          <w:highlight w:val="none"/>
          <w:lang w:bidi="ar"/>
        </w:rPr>
        <w:t xml:space="preserve">成交供应商</w:t>
      </w:r>
      <w:r>
        <w:rPr>
          <w:rFonts w:eastAsia="仿宋"/>
          <w:color w:val="auto"/>
          <w:sz w:val="28"/>
          <w:szCs w:val="28"/>
          <w:highlight w:val="none"/>
          <w:lang w:bidi="ar"/>
        </w:rPr>
        <w:t xml:space="preserve">应当建立健全人员持证上岗制度，规范人员的录用、培训、管理，保证检验机构和人员的检验资质合法有效。甲方因行政诉讼、行政复议等需要，要求乙方提供有关检验资质证明材料的要求时，乙方必须随时提供。</w:t>
      </w:r>
      <w:r/>
    </w:p>
    <w:p>
      <w:pPr>
        <w:ind w:firstLine="560"/>
        <w:jc w:val="left"/>
        <w:spacing w:line="360" w:lineRule="auto"/>
        <w:rPr>
          <w:rFonts w:eastAsia="仿宋"/>
          <w:color w:val="auto"/>
          <w:sz w:val="28"/>
          <w:szCs w:val="28"/>
          <w:highlight w:val="none"/>
          <w:lang w:bidi="ar"/>
        </w:rPr>
      </w:pPr>
      <w:r>
        <w:rPr>
          <w:rFonts w:eastAsia="仿宋"/>
          <w:color w:val="auto"/>
          <w:sz w:val="28"/>
          <w:szCs w:val="28"/>
          <w:highlight w:val="none"/>
          <w:lang w:bidi="ar"/>
        </w:rPr>
      </w:r>
      <w:r/>
    </w:p>
    <w:p>
      <w:pPr>
        <w:ind w:firstLine="560"/>
        <w:jc w:val="left"/>
        <w:spacing w:line="360" w:lineRule="auto"/>
        <w:rPr>
          <w:rFonts w:eastAsia="仿宋"/>
          <w:color w:val="auto"/>
          <w:sz w:val="28"/>
          <w:szCs w:val="28"/>
          <w:highlight w:val="none"/>
          <w:lang w:bidi="ar"/>
        </w:rPr>
      </w:pPr>
      <w:r>
        <w:rPr>
          <w:rFonts w:eastAsia="仿宋"/>
          <w:color w:val="auto"/>
          <w:sz w:val="28"/>
          <w:szCs w:val="28"/>
          <w:highlight w:val="none"/>
          <w:lang w:bidi="ar"/>
        </w:rPr>
        <w:t xml:space="preserve"> 7.</w:t>
      </w:r>
      <w:r>
        <w:rPr>
          <w:rFonts w:hint="eastAsia" w:eastAsia="仿宋"/>
          <w:color w:val="auto"/>
          <w:sz w:val="28"/>
          <w:szCs w:val="28"/>
          <w:highlight w:val="none"/>
          <w:lang w:bidi="ar"/>
        </w:rPr>
        <w:t xml:space="preserve">成交供应商</w:t>
      </w:r>
      <w:r>
        <w:rPr>
          <w:rFonts w:eastAsia="仿宋"/>
          <w:color w:val="auto"/>
          <w:sz w:val="28"/>
          <w:szCs w:val="28"/>
          <w:highlight w:val="none"/>
          <w:lang w:bidi="ar"/>
        </w:rPr>
        <w:t xml:space="preserve">增值服务到位。合格样品再利用体现乙方社会责任。乙方抽检微生物等指标，协助甲方厘清生产者、经营者、运输过程等方面责任，提供证据支撑等。</w:t>
      </w:r>
      <w:r/>
    </w:p>
    <w:p>
      <w:pPr>
        <w:ind w:firstLine="562"/>
        <w:jc w:val="left"/>
        <w:spacing w:line="360" w:lineRule="auto"/>
        <w:rPr>
          <w:rFonts w:eastAsia="仿宋"/>
          <w:b/>
          <w:color w:val="auto"/>
          <w:sz w:val="28"/>
          <w:szCs w:val="28"/>
          <w:highlight w:val="none"/>
          <w:shd w:val="clear" w:color="auto" w:fill="ffffff"/>
        </w:rPr>
      </w:pPr>
      <w:r>
        <w:rPr>
          <w:rFonts w:eastAsia="仿宋"/>
          <w:b/>
          <w:color w:val="auto"/>
          <w:sz w:val="28"/>
          <w:szCs w:val="28"/>
          <w:highlight w:val="none"/>
          <w:shd w:val="clear" w:color="auto" w:fill="ffffff"/>
          <w:lang w:bidi="ar"/>
        </w:rPr>
        <w:t xml:space="preserve">五、检验周期要求</w:t>
      </w:r>
      <w:r/>
    </w:p>
    <w:p>
      <w:pPr>
        <w:ind w:firstLine="560"/>
        <w:jc w:val="left"/>
        <w:spacing w:line="360" w:lineRule="auto"/>
        <w:rPr>
          <w:rFonts w:hint="eastAsia" w:ascii="仿宋" w:hAnsi="仿宋" w:eastAsia="仿宋" w:cs="仿宋"/>
          <w:b/>
          <w:color w:val="auto"/>
          <w:sz w:val="24"/>
          <w:szCs w:val="24"/>
          <w:highlight w:val="none"/>
        </w:rPr>
      </w:pPr>
      <w:r>
        <w:rPr>
          <w:rFonts w:eastAsia="仿宋"/>
          <w:color w:val="auto"/>
          <w:sz w:val="28"/>
          <w:szCs w:val="28"/>
          <w:highlight w:val="none"/>
          <w:lang w:bidi="ar"/>
        </w:rPr>
        <w:t xml:space="preserve">一般样品进实验室后20个工作日内出具检验结果报告（特殊检验项目按检验时限要求出具报告）；如有紧急需要，在确保检验结果合法有效前提下，可在2-3天出具检验结果报告。</w:t>
      </w:r>
      <w:r>
        <w:rPr>
          <w:rFonts w:hint="eastAsia" w:ascii="仿宋" w:hAnsi="仿宋" w:eastAsia="仿宋" w:cs="仿宋"/>
          <w:b/>
          <w:color w:val="auto"/>
          <w:sz w:val="24"/>
          <w:szCs w:val="24"/>
          <w:highlight w:val="none"/>
        </w:rPr>
        <w:t xml:space="preserve"> </w:t>
      </w:r>
      <w:r/>
    </w:p>
    <w:p>
      <w:pPr>
        <w:pStyle w:val="1061"/>
        <w:ind w:firstLine="420"/>
        <w:rPr>
          <w:rFonts w:eastAsia="仿宋"/>
          <w:color w:val="auto"/>
          <w:highlight w:val="none"/>
          <w:lang w:val="en-US" w:eastAsia="zh-CN"/>
        </w:rPr>
      </w:pPr>
      <w:r>
        <w:rPr>
          <w:rFonts w:hint="eastAsia" w:ascii="仿宋" w:hAnsi="仿宋" w:eastAsia="仿宋" w:cs="仿宋"/>
          <w:b/>
          <w:color w:val="auto"/>
          <w:sz w:val="24"/>
          <w:szCs w:val="24"/>
          <w:highlight w:val="none"/>
          <w:lang w:val="en-US" w:eastAsia="zh-CN"/>
        </w:rPr>
        <w:t xml:space="preserve">六、本项目免收履约保证金</w:t>
      </w:r>
      <w:r/>
    </w:p>
    <w:p>
      <w:pPr>
        <w:ind w:firstLine="1548"/>
        <w:spacing w:line="560" w:lineRule="exact"/>
        <w:rPr>
          <w:rFonts w:ascii="宋体" w:hAnsi="宋体"/>
          <w:b/>
          <w:bCs/>
          <w:color w:val="auto"/>
          <w:sz w:val="44"/>
          <w:szCs w:val="28"/>
          <w:highlight w:val="none"/>
        </w:rPr>
      </w:pPr>
      <w:r>
        <w:rPr>
          <w:rFonts w:hint="eastAsia" w:ascii="宋体" w:hAnsi="宋体"/>
          <w:bCs/>
          <w:color w:val="auto"/>
          <w:sz w:val="44"/>
          <w:szCs w:val="28"/>
          <w:highlight w:val="none"/>
        </w:rPr>
        <w:br w:type="page" w:clear="all"/>
      </w:r>
      <w:r>
        <w:rPr>
          <w:rFonts w:hint="eastAsia" w:ascii="宋体" w:hAnsi="宋体"/>
          <w:b/>
          <w:color w:val="auto"/>
          <w:sz w:val="44"/>
          <w:szCs w:val="28"/>
          <w:highlight w:val="none"/>
        </w:rPr>
        <w:t xml:space="preserve">第五章 </w:t>
      </w:r>
      <w:r>
        <w:rPr>
          <w:rFonts w:hint="eastAsia" w:ascii="宋体" w:hAnsi="宋体"/>
          <w:bCs/>
          <w:color w:val="auto"/>
          <w:sz w:val="44"/>
          <w:szCs w:val="28"/>
          <w:highlight w:val="none"/>
        </w:rPr>
        <w:t xml:space="preserve"> </w:t>
      </w:r>
      <w:r>
        <w:rPr>
          <w:rFonts w:hint="eastAsia" w:ascii="宋体" w:hAnsi="宋体"/>
          <w:b/>
          <w:bCs/>
          <w:color w:val="auto"/>
          <w:sz w:val="44"/>
          <w:szCs w:val="28"/>
          <w:highlight w:val="none"/>
        </w:rPr>
        <w:t xml:space="preserve">评审方法与评审标准</w:t>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一、评审方法：</w:t>
      </w:r>
      <w:r/>
    </w:p>
    <w:p>
      <w:pPr>
        <w:ind w:firstLine="555"/>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由评标委员会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ind w:firstLine="555"/>
        <w:spacing w:line="500" w:lineRule="exact"/>
        <w:rPr>
          <w:rFonts w:hint="eastAsia" w:eastAsia="仿宋"/>
          <w:color w:val="auto"/>
          <w:highlight w:val="none"/>
        </w:rPr>
      </w:pPr>
      <w:r>
        <w:rPr>
          <w:rFonts w:hint="eastAsia" w:ascii="仿宋" w:hAnsi="仿宋" w:eastAsia="仿宋" w:cs="仿宋"/>
          <w:color w:val="auto"/>
          <w:sz w:val="24"/>
          <w:szCs w:val="24"/>
          <w:highlight w:val="none"/>
        </w:rPr>
        <w:t xml:space="preserve">评标结果按评审后得分由高到低顺序排列，确定中标候选人名单并按顺序确定6家中标人。得分相同的，按投标报价由低到高顺序排列。得分且投标报价相同的并列,按照技术指标优劣顺序推荐。</w:t>
      </w:r>
      <w:r/>
    </w:p>
    <w:p>
      <w:pPr>
        <w:ind w:firstLine="723"/>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二、政府采购政策功能落实</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1、小微型企业价格扣除</w:t>
      </w:r>
      <w:r/>
    </w:p>
    <w:p>
      <w:pPr>
        <w:pStyle w:val="829"/>
        <w:rPr>
          <w:rFonts w:hint="eastAsia" w:ascii="仿宋" w:hAnsi="仿宋" w:eastAsia="仿宋" w:cs="仿宋"/>
          <w:sz w:val="24"/>
          <w:szCs w:val="24"/>
        </w:rPr>
      </w:pPr>
      <w:r>
        <w:rPr>
          <w:rFonts w:hint="eastAsia" w:ascii="仿宋" w:hAnsi="仿宋" w:eastAsia="仿宋" w:cs="仿宋"/>
          <w:bCs/>
          <w:sz w:val="24"/>
          <w:szCs w:val="24"/>
        </w:rPr>
        <w:t xml:space="preserve">（1）本项目对小型和微型企业产品给予</w:t>
      </w:r>
      <w:r>
        <w:rPr>
          <w:rFonts w:hint="eastAsia" w:ascii="仿宋" w:hAnsi="仿宋" w:eastAsia="仿宋" w:cs="仿宋"/>
          <w:b/>
          <w:bCs w:val="0"/>
          <w:color w:val="ff0000"/>
          <w:sz w:val="24"/>
          <w:szCs w:val="24"/>
          <w:highlight w:val="yellow"/>
        </w:rPr>
        <w:t xml:space="preserve">10%</w:t>
      </w:r>
      <w:r>
        <w:rPr>
          <w:rFonts w:hint="eastAsia" w:ascii="仿宋" w:hAnsi="仿宋" w:eastAsia="仿宋" w:cs="仿宋"/>
          <w:b/>
          <w:bCs w:val="0"/>
          <w:color w:val="ff0000"/>
          <w:sz w:val="24"/>
          <w:szCs w:val="24"/>
        </w:rPr>
        <w:t xml:space="preserve">的扣除价格</w:t>
      </w:r>
      <w:r>
        <w:rPr>
          <w:rFonts w:hint="eastAsia" w:ascii="仿宋" w:hAnsi="仿宋" w:eastAsia="仿宋" w:cs="仿宋"/>
          <w:bCs/>
          <w:sz w:val="24"/>
          <w:szCs w:val="24"/>
        </w:rPr>
        <w:t xml:space="preserve">，用扣除后的价格参与评审</w:t>
      </w:r>
      <w:r>
        <w:rPr>
          <w:rFonts w:hint="eastAsia" w:ascii="仿宋" w:hAnsi="仿宋" w:eastAsia="仿宋" w:cs="仿宋"/>
          <w:sz w:val="24"/>
          <w:szCs w:val="24"/>
          <w:lang w:val="en-US" w:eastAsia="zh-CN"/>
        </w:rPr>
        <w:t xml:space="preserve">。</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（2）供应商需按照《政府采购促进中小企业发展管理办法》（财库</w:t>
      </w:r>
      <w:r>
        <w:rPr>
          <w:rFonts w:hint="eastAsia" w:ascii="仿宋" w:hAnsi="仿宋" w:eastAsia="仿宋" w:cs="仿宋"/>
          <w:bCs/>
          <w:color w:val="ff0000"/>
          <w:sz w:val="24"/>
          <w:szCs w:val="24"/>
        </w:rPr>
        <w:t xml:space="preserve">〔202</w:t>
      </w:r>
      <w:r>
        <w:rPr>
          <w:rFonts w:hint="eastAsia" w:ascii="仿宋" w:hAnsi="仿宋" w:eastAsia="仿宋" w:cs="仿宋"/>
          <w:bCs/>
          <w:color w:val="ff0000"/>
          <w:sz w:val="24"/>
          <w:szCs w:val="24"/>
          <w:lang w:val="en-US" w:eastAsia="zh-CN"/>
        </w:rPr>
        <w:t xml:space="preserve">0</w:t>
      </w:r>
      <w:r>
        <w:rPr>
          <w:rFonts w:hint="eastAsia" w:ascii="仿宋" w:hAnsi="仿宋" w:eastAsia="仿宋" w:cs="仿宋"/>
          <w:bCs/>
          <w:color w:val="ff0000"/>
          <w:sz w:val="24"/>
          <w:szCs w:val="24"/>
        </w:rPr>
        <w:t xml:space="preserve">〕</w:t>
      </w:r>
      <w:r>
        <w:rPr>
          <w:rFonts w:hint="eastAsia" w:ascii="仿宋" w:hAnsi="仿宋" w:eastAsia="仿宋" w:cs="仿宋"/>
          <w:bCs/>
          <w:sz w:val="24"/>
          <w:szCs w:val="24"/>
        </w:rPr>
        <w:t xml:space="preserve">46号）的规定提供相应的《中小企业声明函》。</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（3）企业标准请参照《关于印发中小企业划型标准规定的通知》（工信部联企业</w:t>
      </w:r>
      <w:r>
        <w:rPr>
          <w:rFonts w:hint="eastAsia" w:ascii="仿宋" w:hAnsi="仿宋" w:eastAsia="仿宋" w:cs="仿宋"/>
          <w:bCs/>
          <w:color w:val="ff0000"/>
          <w:sz w:val="24"/>
          <w:szCs w:val="24"/>
        </w:rPr>
        <w:t xml:space="preserve">〔20</w:t>
      </w:r>
      <w:r>
        <w:rPr>
          <w:rFonts w:hint="eastAsia" w:ascii="仿宋" w:hAnsi="仿宋" w:eastAsia="仿宋" w:cs="仿宋"/>
          <w:bCs/>
          <w:color w:val="ff0000"/>
          <w:sz w:val="24"/>
          <w:szCs w:val="24"/>
          <w:lang w:val="en-US" w:eastAsia="zh-CN"/>
        </w:rPr>
        <w:t xml:space="preserve">1</w:t>
      </w:r>
      <w:r>
        <w:rPr>
          <w:rFonts w:hint="eastAsia" w:ascii="仿宋" w:hAnsi="仿宋" w:eastAsia="仿宋" w:cs="仿宋"/>
          <w:bCs/>
          <w:color w:val="ff0000"/>
          <w:sz w:val="24"/>
          <w:szCs w:val="24"/>
        </w:rPr>
        <w:t xml:space="preserve">1〕</w:t>
      </w:r>
      <w:r>
        <w:rPr>
          <w:rFonts w:hint="eastAsia" w:ascii="仿宋" w:hAnsi="仿宋" w:eastAsia="仿宋" w:cs="仿宋"/>
          <w:bCs/>
          <w:sz w:val="24"/>
          <w:szCs w:val="24"/>
        </w:rPr>
        <w:t xml:space="preserve">300号）文件规定自行填写。</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2、残疾人福利单位价格扣除</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（1）本项目对残疾人福利性单位，给予10%</w:t>
      </w:r>
      <w:r>
        <w:rPr>
          <w:rFonts w:hint="eastAsia" w:ascii="仿宋" w:hAnsi="仿宋" w:eastAsia="仿宋" w:cs="仿宋"/>
          <w:bCs/>
          <w:sz w:val="24"/>
          <w:szCs w:val="24"/>
        </w:rPr>
        <w:t xml:space="preserve">的价格扣除，用扣除后的价格参与评审。</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（2）残疾人福利单位需按照</w:t>
      </w:r>
      <w:r>
        <w:rPr>
          <w:rFonts w:hint="eastAsia" w:ascii="仿宋" w:hAnsi="仿宋" w:eastAsia="仿宋" w:cs="仿宋"/>
          <w:bCs/>
          <w:sz w:val="24"/>
          <w:szCs w:val="24"/>
          <w:lang w:eastAsia="zh-CN"/>
        </w:rPr>
        <w:t xml:space="preserve">招标</w:t>
      </w:r>
      <w:r>
        <w:rPr>
          <w:rFonts w:hint="eastAsia" w:ascii="仿宋" w:hAnsi="仿宋" w:eastAsia="仿宋" w:cs="仿宋"/>
          <w:bCs/>
          <w:sz w:val="24"/>
          <w:szCs w:val="24"/>
        </w:rPr>
        <w:t xml:space="preserve">文件的要求提供《残疾人福利性单位声明函》。</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（3）残疾人福利单位标准请参照《关于促进残疾人就业政府采购政策的通知》（财库〔2017〕141号）。</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3、监狱和戒毒企业价格扣除</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（1）本项目对监狱和戒毒企业（简称监狱企业）给予10%</w:t>
      </w:r>
      <w:r>
        <w:rPr>
          <w:rFonts w:hint="eastAsia" w:ascii="仿宋" w:hAnsi="仿宋" w:eastAsia="仿宋" w:cs="仿宋"/>
          <w:bCs/>
          <w:sz w:val="24"/>
          <w:szCs w:val="24"/>
        </w:rPr>
        <w:t xml:space="preserve">的价格扣除，用扣除后的价格参与评审。</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（3）监狱企业标准请参照《关于政府采购支持监狱企业发展有关问题的通知》（财库〔20</w:t>
      </w:r>
      <w:r>
        <w:rPr>
          <w:rFonts w:hint="eastAsia" w:ascii="仿宋" w:hAnsi="仿宋" w:eastAsia="仿宋" w:cs="仿宋"/>
          <w:bCs/>
          <w:sz w:val="24"/>
          <w:szCs w:val="24"/>
          <w:lang w:val="en-US" w:eastAsia="zh-CN"/>
        </w:rPr>
        <w:t xml:space="preserve">14</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68号）。</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4、残疾人福利单位、监狱企业属于小型、微型企业的，不重复享受政策。</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5、</w:t>
      </w:r>
      <w:r>
        <w:rPr>
          <w:rFonts w:hint="eastAsia" w:ascii="仿宋" w:hAnsi="仿宋" w:eastAsia="仿宋" w:cs="仿宋"/>
          <w:bCs/>
          <w:sz w:val="24"/>
          <w:szCs w:val="24"/>
          <w:lang w:val="en-US" w:eastAsia="zh-CN"/>
        </w:rPr>
        <w:t xml:space="preserve">如本项目同意联合体参加投标或同意分包履行合同的，</w:t>
      </w:r>
      <w:r>
        <w:rPr>
          <w:rFonts w:hint="eastAsia" w:ascii="仿宋" w:hAnsi="仿宋" w:eastAsia="仿宋" w:cs="仿宋"/>
          <w:bCs/>
          <w:sz w:val="24"/>
          <w:szCs w:val="24"/>
        </w:rPr>
        <w:t xml:space="preserve">大中型企业与小微企</w:t>
      </w:r>
      <w:r>
        <w:rPr>
          <w:rFonts w:hint="eastAsia" w:ascii="仿宋" w:hAnsi="仿宋" w:eastAsia="仿宋" w:cs="仿宋"/>
          <w:bCs/>
          <w:sz w:val="24"/>
          <w:szCs w:val="24"/>
        </w:rPr>
        <w:t xml:space="preserve">业（残疾人福利单位、监狱企业）组成联合体或者大中型企业向</w:t>
      </w:r>
      <w:r>
        <w:rPr>
          <w:rFonts w:hint="eastAsia" w:ascii="仿宋" w:hAnsi="仿宋" w:eastAsia="仿宋" w:cs="仿宋"/>
          <w:bCs/>
          <w:sz w:val="24"/>
          <w:szCs w:val="24"/>
          <w:lang w:val="en-US" w:eastAsia="zh-CN"/>
        </w:rPr>
        <w:t xml:space="preserve">一家或多家</w:t>
      </w:r>
      <w:r>
        <w:rPr>
          <w:rFonts w:hint="eastAsia" w:ascii="仿宋" w:hAnsi="仿宋" w:eastAsia="仿宋" w:cs="仿宋"/>
          <w:bCs/>
          <w:sz w:val="24"/>
          <w:szCs w:val="24"/>
        </w:rPr>
        <w:t xml:space="preserve">小微企业（残疾人福利单位、监狱企业）分包的，对联合协议或者分包意向协议约定小微企业合同份额占到合同总金额30%以上的，对联合体或者大中型企业的报价给予4%的</w:t>
      </w:r>
      <w:r>
        <w:rPr>
          <w:rFonts w:hint="eastAsia" w:ascii="仿宋" w:hAnsi="仿宋" w:eastAsia="仿宋" w:cs="仿宋"/>
          <w:bCs/>
          <w:sz w:val="24"/>
          <w:szCs w:val="24"/>
          <w:lang w:eastAsia="zh-CN"/>
        </w:rPr>
        <w:t xml:space="preserve">价格</w:t>
      </w:r>
      <w:r>
        <w:rPr>
          <w:rFonts w:hint="eastAsia" w:ascii="仿宋" w:hAnsi="仿宋" w:eastAsia="仿宋" w:cs="仿宋"/>
          <w:bCs/>
          <w:sz w:val="24"/>
          <w:szCs w:val="24"/>
        </w:rPr>
        <w:t xml:space="preserve">扣除，用扣除后的价格参与评审。</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6、联合体各方均为小型、微型企业（残疾人福利单位、监狱企业）的，联合体享受10%价格扣除，用扣除后的价格参与评审。</w:t>
      </w:r>
      <w:r/>
    </w:p>
    <w:p>
      <w:pPr>
        <w:ind w:firstLine="570"/>
        <w:spacing w:line="500" w:lineRule="exact"/>
        <w:rPr>
          <w:rFonts w:hint="eastAsia" w:ascii="仿宋" w:hAnsi="仿宋" w:eastAsia="仿宋" w:cs="仿宋"/>
          <w:b/>
          <w:bCs w:val="0"/>
          <w:sz w:val="24"/>
          <w:szCs w:val="24"/>
        </w:rPr>
        <w:outlineLvl w:val="9"/>
      </w:pPr>
      <w:r>
        <w:rPr>
          <w:rFonts w:hint="eastAsia" w:ascii="仿宋" w:hAnsi="仿宋" w:eastAsia="仿宋" w:cs="仿宋"/>
          <w:b/>
          <w:bCs w:val="0"/>
          <w:sz w:val="24"/>
          <w:szCs w:val="24"/>
        </w:rPr>
        <w:t xml:space="preserve">7、专门面向中小企业采购的项目或者采购包，不再执行价格评审优惠的扶持政策。</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8、根据《江苏省政府采购信用管理暂行办法》的规定，供应商信用评价结果为三星的扣2分，评价结果为二星的扣3分，评价结果为一星的扣4分。</w:t>
      </w:r>
      <w:r/>
    </w:p>
    <w:p>
      <w:pPr>
        <w:ind w:firstLine="570"/>
        <w:spacing w:line="500" w:lineRule="exact"/>
        <w:rPr>
          <w:rFonts w:hint="eastAsia" w:ascii="仿宋" w:hAnsi="仿宋" w:eastAsia="仿宋" w:cs="仿宋"/>
          <w:bCs/>
          <w:sz w:val="24"/>
          <w:szCs w:val="24"/>
          <w:lang w:val="en-US" w:eastAsia="zh-CN"/>
        </w:rPr>
        <w:outlineLvl w:val="9"/>
      </w:pPr>
      <w:r>
        <w:rPr>
          <w:rFonts w:hint="eastAsia" w:ascii="仿宋" w:hAnsi="仿宋" w:eastAsia="仿宋" w:cs="仿宋"/>
          <w:bCs/>
          <w:sz w:val="24"/>
          <w:szCs w:val="24"/>
          <w:lang w:val="en-US" w:eastAsia="zh-CN"/>
        </w:rPr>
        <w:t xml:space="preserve">9</w:t>
      </w:r>
      <w:r>
        <w:rPr>
          <w:rFonts w:hint="eastAsia" w:ascii="仿宋" w:hAnsi="仿宋" w:eastAsia="仿宋" w:cs="仿宋"/>
          <w:bCs/>
          <w:sz w:val="24"/>
          <w:szCs w:val="24"/>
        </w:rPr>
        <w:t xml:space="preserve">、采购本国产品的支持政策</w:t>
      </w:r>
      <w:r/>
    </w:p>
    <w:p>
      <w:pPr>
        <w:ind w:firstLine="570"/>
        <w:spacing w:line="500" w:lineRule="exact"/>
        <w:rPr>
          <w:rFonts w:hint="eastAsia" w:ascii="仿宋" w:hAnsi="仿宋" w:eastAsia="仿宋" w:cs="仿宋"/>
          <w:bCs/>
          <w:sz w:val="24"/>
          <w:szCs w:val="24"/>
          <w:lang w:val="en-US" w:eastAsia="zh-CN"/>
        </w:rPr>
        <w:outlineLvl w:val="9"/>
      </w:pPr>
      <w:r>
        <w:rPr>
          <w:rFonts w:hint="eastAsia" w:ascii="仿宋" w:hAnsi="仿宋" w:eastAsia="仿宋" w:cs="仿宋"/>
          <w:bCs/>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r>
      <w:r/>
    </w:p>
    <w:p>
      <w:pPr>
        <w:ind w:firstLine="482"/>
        <w:jc w:val="left"/>
        <w:spacing w:before="120" w:after="120" w:line="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jc w:val="left"/>
        <w:spacing w:before="120" w:after="120" w:line="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jc w:val="left"/>
        <w:spacing w:before="120" w:after="120" w:line="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jc w:val="left"/>
        <w:spacing w:before="120" w:after="120" w:line="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jc w:val="left"/>
        <w:spacing w:before="120" w:after="120" w:line="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jc w:val="left"/>
        <w:spacing w:before="120" w:after="120" w:line="0" w:lineRule="atLeast"/>
        <w:rPr>
          <w:rFonts w:hint="eastAsia" w:ascii="仿宋" w:hAnsi="仿宋" w:eastAsia="仿宋" w:cs="仿宋"/>
          <w:b/>
          <w:color w:val="auto"/>
          <w:sz w:val="24"/>
          <w:szCs w:val="24"/>
          <w:highlight w:val="none"/>
        </w:rPr>
      </w:pPr>
      <w:r/>
      <w:bookmarkStart w:id="203" w:name="_GoBack"/>
      <w:r/>
      <w:bookmarkEnd w:id="203"/>
      <w:r>
        <w:rPr>
          <w:rFonts w:hint="eastAsia" w:ascii="仿宋" w:hAnsi="仿宋" w:eastAsia="仿宋" w:cs="仿宋"/>
          <w:b/>
          <w:color w:val="auto"/>
          <w:sz w:val="24"/>
          <w:szCs w:val="24"/>
          <w:highlight w:val="none"/>
        </w:rPr>
        <w:t xml:space="preserve">三、评标方法与评标标准</w:t>
      </w:r>
      <w:r/>
    </w:p>
    <w:p>
      <w:pPr>
        <w:pStyle w:val="1008"/>
        <w:ind w:firstLine="480"/>
        <w:spacing w:before="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本项目采用综合评分法。评委会将按下列评审因素与评审标准进行评分，总分值为100分。各投标人得分为评委会成员评分的算术平均分，分值保留小数点后两位。</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（一）商务技术标（90分）</w:t>
      </w:r>
      <w:r/>
    </w:p>
    <w:tbl>
      <w:tblPr>
        <w:tblStyle w:val="808"/>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224"/>
        <w:gridCol w:w="558"/>
        <w:gridCol w:w="6072"/>
        <w:gridCol w:w="546"/>
        <w:gridCol w:w="631"/>
      </w:tblGrid>
      <w:tr>
        <w:trPr>
          <w:jc w:val="center"/>
          <w:trHeight w:val="555"/>
        </w:trPr>
        <w:tc>
          <w:tcPr>
            <w:shd w:val="clear" w:color="auto" w:fill="ffffff"/>
            <w:tcW w:w="622"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序号</w:t>
            </w:r>
            <w:r/>
          </w:p>
        </w:tc>
        <w:tc>
          <w:tcPr>
            <w:shd w:val="clear" w:color="auto" w:fill="ffffff"/>
            <w:tcW w:w="1224"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评审项目</w:t>
            </w:r>
            <w:r/>
          </w:p>
        </w:tc>
        <w:tc>
          <w:tcPr>
            <w:shd w:val="clear" w:color="auto" w:fill="ffffff"/>
            <w:tcW w:w="558"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分值</w:t>
            </w:r>
            <w:r/>
          </w:p>
        </w:tc>
        <w:tc>
          <w:tcPr>
            <w:shd w:val="clear" w:color="auto" w:fill="ffffff"/>
            <w:tcW w:w="6072"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评分标准</w:t>
            </w:r>
            <w:r/>
          </w:p>
        </w:tc>
        <w:tc>
          <w:tcPr>
            <w:tcW w:w="546" w:type="dxa"/>
            <w:vAlign w:val="center"/>
            <w:textDirection w:val="lrTb"/>
            <w:noWrap w:val="false"/>
          </w:tcPr>
          <w:p>
            <w:pPr>
              <w:jc w:val="center"/>
              <w:widowControl/>
              <w:rPr>
                <w:color w:val="auto"/>
                <w:sz w:val="18"/>
                <w:szCs w:val="18"/>
                <w:highlight w:val="none"/>
              </w:rPr>
            </w:pPr>
            <w:r>
              <w:rPr>
                <w:color w:val="auto"/>
                <w:sz w:val="18"/>
                <w:szCs w:val="18"/>
                <w:highlight w:val="none"/>
                <w:lang w:bidi="ar"/>
              </w:rPr>
              <w:t xml:space="preserve">自评分</w:t>
            </w:r>
            <w:r/>
          </w:p>
        </w:tc>
        <w:tc>
          <w:tcPr>
            <w:tcW w:w="631" w:type="dxa"/>
            <w:vAlign w:val="center"/>
            <w:textDirection w:val="lrTb"/>
            <w:noWrap w:val="false"/>
          </w:tcPr>
          <w:p>
            <w:pPr>
              <w:jc w:val="left"/>
              <w:widowControl/>
              <w:rPr>
                <w:color w:val="auto"/>
                <w:sz w:val="18"/>
                <w:szCs w:val="18"/>
                <w:highlight w:val="none"/>
              </w:rPr>
            </w:pPr>
            <w:r>
              <w:rPr>
                <w:color w:val="auto"/>
                <w:sz w:val="18"/>
                <w:szCs w:val="18"/>
                <w:highlight w:val="none"/>
                <w:lang w:bidi="ar"/>
              </w:rPr>
              <w:t xml:space="preserve">评委打分</w:t>
            </w:r>
            <w:r/>
          </w:p>
        </w:tc>
      </w:tr>
      <w:tr>
        <w:trPr>
          <w:jc w:val="center"/>
          <w:trHeight w:val="90"/>
        </w:trPr>
        <w:tc>
          <w:tcPr>
            <w:shd w:val="clear" w:color="auto" w:fill="ffffff"/>
            <w:tcW w:w="622" w:type="dxa"/>
            <w:vAlign w:val="center"/>
            <w:textDirection w:val="lrTb"/>
            <w:noWrap w:val="false"/>
          </w:tcPr>
          <w:p>
            <w:pPr>
              <w:jc w:val="center"/>
              <w:widowControl/>
              <w:rPr>
                <w:rFonts w:eastAsia="仿宋"/>
                <w:b/>
                <w:bCs/>
                <w:color w:val="auto"/>
                <w:sz w:val="18"/>
                <w:szCs w:val="18"/>
                <w:highlight w:val="none"/>
              </w:rPr>
            </w:pPr>
            <w:r/>
            <w:bookmarkStart w:id="189" w:name="OLE_LINK5"/>
            <w:r>
              <w:rPr>
                <w:rFonts w:eastAsia="仿宋"/>
                <w:b/>
                <w:bCs/>
                <w:color w:val="auto"/>
                <w:sz w:val="18"/>
                <w:szCs w:val="18"/>
                <w:highlight w:val="none"/>
                <w:lang w:bidi="ar"/>
              </w:rPr>
              <w:t xml:space="preserve">1</w:t>
            </w:r>
            <w:r/>
          </w:p>
        </w:tc>
        <w:tc>
          <w:tcPr>
            <w:shd w:val="clear" w:color="auto" w:fill="ffffff"/>
            <w:tcW w:w="1224" w:type="dxa"/>
            <w:vAlign w:val="center"/>
            <w:textDirection w:val="lrTb"/>
            <w:noWrap w:val="false"/>
          </w:tcPr>
          <w:p>
            <w:pPr>
              <w:jc w:val="center"/>
              <w:widowControl/>
              <w:rPr>
                <w:rFonts w:eastAsia="仿宋"/>
                <w:b/>
                <w:bCs/>
                <w:color w:val="auto"/>
                <w:sz w:val="18"/>
                <w:szCs w:val="18"/>
                <w:highlight w:val="none"/>
              </w:rPr>
            </w:pPr>
            <w:r>
              <w:rPr>
                <w:b/>
                <w:bCs/>
                <w:color w:val="auto"/>
                <w:sz w:val="18"/>
                <w:szCs w:val="18"/>
                <w:highlight w:val="none"/>
              </w:rPr>
              <w:t xml:space="preserve">拟投入本项目人员</w:t>
            </w:r>
            <w:r/>
          </w:p>
        </w:tc>
        <w:tc>
          <w:tcPr>
            <w:shd w:val="clear" w:color="auto" w:fill="ffffff"/>
            <w:tcW w:w="558"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7</w:t>
            </w:r>
            <w:r/>
          </w:p>
        </w:tc>
        <w:tc>
          <w:tcPr>
            <w:shd w:val="clear" w:color="auto" w:fill="ffffff"/>
            <w:tcW w:w="6072" w:type="dxa"/>
            <w:vAlign w:val="center"/>
            <w:textDirection w:val="lrTb"/>
            <w:noWrap w:val="false"/>
          </w:tcPr>
          <w:p>
            <w:pPr>
              <w:numPr>
                <w:ilvl w:val="0"/>
                <w:numId w:val="9"/>
              </w:numPr>
              <w:widowControl/>
              <w:rPr>
                <w:b/>
                <w:bCs/>
                <w:color w:val="auto"/>
                <w:sz w:val="18"/>
                <w:szCs w:val="18"/>
                <w:highlight w:val="none"/>
              </w:rPr>
            </w:pPr>
            <w:r>
              <w:rPr>
                <w:b/>
                <w:bCs/>
                <w:color w:val="auto"/>
                <w:sz w:val="18"/>
                <w:szCs w:val="18"/>
                <w:highlight w:val="none"/>
              </w:rPr>
              <w:t xml:space="preserve">投标文件中人员配备表须明确抽样与检验人员资质等相关信息（姓名、岗位、职称、从事抽检工作年限等），</w:t>
            </w:r>
            <w:bookmarkStart w:id="190" w:name="OLE_LINK3"/>
            <w:r>
              <w:rPr>
                <w:b/>
                <w:bCs/>
                <w:color w:val="auto"/>
                <w:sz w:val="18"/>
                <w:szCs w:val="18"/>
                <w:highlight w:val="none"/>
              </w:rPr>
              <w:t xml:space="preserve">否则不得分；</w:t>
            </w:r>
            <w:bookmarkEnd w:id="190"/>
            <w:r>
              <w:rPr>
                <w:b/>
                <w:bCs/>
                <w:color w:val="auto"/>
                <w:sz w:val="18"/>
                <w:szCs w:val="18"/>
                <w:highlight w:val="none"/>
              </w:rPr>
              <w:t xml:space="preserve">（2）抽样人员与检验人员不得重复，重复的不计分；（3）须提供供应商为项目人员缴纳的</w:t>
            </w:r>
            <w:r>
              <w:rPr>
                <w:rFonts w:hint="eastAsia"/>
                <w:b/>
                <w:bCs/>
                <w:color w:val="auto"/>
                <w:sz w:val="18"/>
                <w:szCs w:val="18"/>
                <w:highlight w:val="none"/>
              </w:rPr>
              <w:t xml:space="preserve">近半年</w:t>
            </w:r>
            <w:r>
              <w:rPr>
                <w:b/>
                <w:bCs/>
                <w:color w:val="auto"/>
                <w:sz w:val="18"/>
                <w:szCs w:val="18"/>
                <w:highlight w:val="none"/>
              </w:rPr>
              <w:t xml:space="preserve">间任意一个月的社保证明材料，劳务派遣人员提供用工合同</w:t>
            </w:r>
            <w:r>
              <w:rPr>
                <w:rFonts w:hint="eastAsia"/>
                <w:b/>
                <w:bCs/>
                <w:color w:val="auto"/>
                <w:sz w:val="18"/>
                <w:szCs w:val="18"/>
                <w:highlight w:val="none"/>
              </w:rPr>
              <w:t xml:space="preserve">,</w:t>
            </w:r>
            <w:r>
              <w:rPr>
                <w:b/>
                <w:bCs/>
                <w:color w:val="auto"/>
                <w:sz w:val="18"/>
                <w:szCs w:val="18"/>
                <w:highlight w:val="none"/>
              </w:rPr>
              <w:t xml:space="preserve">否则不</w:t>
            </w:r>
            <w:r>
              <w:rPr>
                <w:rFonts w:hint="eastAsia"/>
                <w:b/>
                <w:bCs/>
                <w:color w:val="auto"/>
                <w:sz w:val="18"/>
                <w:szCs w:val="18"/>
                <w:highlight w:val="none"/>
              </w:rPr>
              <w:t xml:space="preserve">计</w:t>
            </w:r>
            <w:r>
              <w:rPr>
                <w:b/>
                <w:bCs/>
                <w:color w:val="auto"/>
                <w:sz w:val="18"/>
                <w:szCs w:val="18"/>
                <w:highlight w:val="none"/>
              </w:rPr>
              <w:t xml:space="preserve">分。</w:t>
            </w:r>
            <w:r/>
          </w:p>
        </w:tc>
        <w:tc>
          <w:tcPr>
            <w:tcW w:w="546" w:type="dxa"/>
            <w:vAlign w:val="center"/>
            <w:textDirection w:val="lrTb"/>
            <w:noWrap/>
          </w:tcPr>
          <w:p>
            <w:pPr>
              <w:jc w:val="center"/>
              <w:widowControl/>
              <w:rPr>
                <w:color w:val="auto"/>
                <w:sz w:val="18"/>
                <w:szCs w:val="18"/>
                <w:highlight w:val="none"/>
              </w:rPr>
            </w:pPr>
            <w:r>
              <w:rPr>
                <w:color w:val="auto"/>
                <w:sz w:val="18"/>
                <w:szCs w:val="18"/>
                <w:highlight w:val="none"/>
              </w:rPr>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595"/>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1.1</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color w:val="auto"/>
                <w:sz w:val="18"/>
                <w:szCs w:val="18"/>
                <w:highlight w:val="none"/>
              </w:rPr>
              <w:t xml:space="preserve">专职食品检验人员</w:t>
            </w:r>
            <w:r/>
          </w:p>
        </w:tc>
        <w:tc>
          <w:tcPr>
            <w:shd w:val="clear" w:color="auto" w:fill="ffffff"/>
            <w:tcW w:w="558" w:type="dxa"/>
            <w:vAlign w:val="center"/>
            <w:textDirection w:val="lrTb"/>
            <w:noWrap w:val="false"/>
          </w:tcPr>
          <w:p>
            <w:pPr>
              <w:jc w:val="center"/>
              <w:widowControl/>
              <w:rPr>
                <w:color w:val="auto"/>
                <w:sz w:val="18"/>
                <w:szCs w:val="18"/>
                <w:highlight w:val="none"/>
              </w:rPr>
            </w:pPr>
            <w:r>
              <w:rPr>
                <w:rFonts w:eastAsia="仿宋"/>
                <w:color w:val="auto"/>
                <w:sz w:val="18"/>
                <w:szCs w:val="18"/>
                <w:highlight w:val="none"/>
                <w:lang w:bidi="ar"/>
              </w:rPr>
              <w:t xml:space="preserve">2</w:t>
            </w:r>
            <w:r/>
          </w:p>
        </w:tc>
        <w:tc>
          <w:tcPr>
            <w:shd w:val="clear" w:color="auto" w:fill="ffffff"/>
            <w:tcW w:w="6072" w:type="dxa"/>
            <w:vAlign w:val="center"/>
            <w:textDirection w:val="lrTb"/>
            <w:noWrap w:val="false"/>
          </w:tcPr>
          <w:p>
            <w:pPr>
              <w:widowControl/>
              <w:rPr>
                <w:color w:val="auto"/>
                <w:sz w:val="18"/>
                <w:szCs w:val="18"/>
                <w:highlight w:val="none"/>
              </w:rPr>
            </w:pPr>
            <w:r>
              <w:rPr>
                <w:color w:val="auto"/>
                <w:sz w:val="18"/>
                <w:szCs w:val="18"/>
                <w:highlight w:val="none"/>
              </w:rPr>
              <w:t xml:space="preserve">供应商拟投入本项目的专职食品检验人员，数量达25人得1分；达30人得1.5分；达35人2分。25人以下的不得分。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648"/>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1.2</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color w:val="auto"/>
                <w:sz w:val="18"/>
                <w:szCs w:val="18"/>
                <w:highlight w:val="none"/>
              </w:rPr>
              <w:t xml:space="preserve">专职抽样人员</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2</w:t>
            </w:r>
            <w:r/>
          </w:p>
        </w:tc>
        <w:tc>
          <w:tcPr>
            <w:shd w:val="clear" w:color="auto" w:fill="ffffff"/>
            <w:tcW w:w="6072" w:type="dxa"/>
            <w:vAlign w:val="center"/>
            <w:textDirection w:val="lrTb"/>
            <w:noWrap w:val="false"/>
          </w:tcPr>
          <w:p>
            <w:pPr>
              <w:widowControl/>
              <w:rPr>
                <w:color w:val="auto"/>
                <w:sz w:val="18"/>
                <w:szCs w:val="18"/>
                <w:highlight w:val="none"/>
              </w:rPr>
            </w:pPr>
            <w:r>
              <w:rPr>
                <w:color w:val="auto"/>
                <w:sz w:val="18"/>
                <w:szCs w:val="18"/>
                <w:highlight w:val="none"/>
              </w:rPr>
              <w:t xml:space="preserve">供应商拟投入本项目的承担食品抽检工作的专职抽样人员，数量达6人得1分；达8人得1.5分；达10人得2分。6人以下的不得分。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1060"/>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1.3</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color w:val="auto"/>
                <w:sz w:val="18"/>
                <w:szCs w:val="18"/>
                <w:highlight w:val="none"/>
              </w:rPr>
              <w:t xml:space="preserve">高级技术人员</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1</w:t>
            </w:r>
            <w:r/>
          </w:p>
        </w:tc>
        <w:tc>
          <w:tcPr>
            <w:shd w:val="clear" w:color="auto" w:fill="ffffff"/>
            <w:tcW w:w="6072" w:type="dxa"/>
            <w:vAlign w:val="center"/>
            <w:textDirection w:val="lrTb"/>
            <w:noWrap w:val="false"/>
          </w:tcPr>
          <w:p>
            <w:pPr>
              <w:widowControl/>
              <w:rPr>
                <w:color w:val="auto"/>
                <w:sz w:val="18"/>
                <w:szCs w:val="18"/>
                <w:highlight w:val="none"/>
              </w:rPr>
            </w:pPr>
            <w:r>
              <w:rPr>
                <w:color w:val="auto"/>
                <w:sz w:val="18"/>
                <w:szCs w:val="18"/>
                <w:highlight w:val="none"/>
              </w:rPr>
              <w:t xml:space="preserve">供应商拟投入本项目从事食品检验工作的技术人员中：（1）具有正高级技术职称的，有1人得0.3分，有2人得0.4分，有3人得0.5分；</w:t>
            </w:r>
            <w:r/>
          </w:p>
          <w:p>
            <w:pPr>
              <w:widowControl/>
              <w:rPr>
                <w:color w:val="auto"/>
                <w:sz w:val="18"/>
                <w:szCs w:val="18"/>
                <w:highlight w:val="none"/>
              </w:rPr>
            </w:pP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2</w:t>
            </w:r>
            <w:r>
              <w:rPr>
                <w:rFonts w:hint="eastAsia"/>
                <w:color w:val="auto"/>
                <w:sz w:val="18"/>
                <w:szCs w:val="18"/>
                <w:highlight w:val="none"/>
                <w:lang w:eastAsia="zh-CN"/>
              </w:rPr>
              <w:t xml:space="preserve">）</w:t>
            </w:r>
            <w:r>
              <w:rPr>
                <w:color w:val="auto"/>
                <w:sz w:val="18"/>
                <w:szCs w:val="18"/>
                <w:highlight w:val="none"/>
              </w:rPr>
              <w:t xml:space="preserve">具有副高级技术职称的，有2人得0.3分，有</w:t>
            </w:r>
            <w:r>
              <w:rPr>
                <w:rFonts w:hint="eastAsia"/>
                <w:color w:val="auto"/>
                <w:sz w:val="18"/>
                <w:szCs w:val="18"/>
                <w:highlight w:val="none"/>
              </w:rPr>
              <w:t xml:space="preserve">3</w:t>
            </w:r>
            <w:r>
              <w:rPr>
                <w:color w:val="auto"/>
                <w:sz w:val="18"/>
                <w:szCs w:val="18"/>
                <w:highlight w:val="none"/>
              </w:rPr>
              <w:t xml:space="preserve">人得0.4分，有</w:t>
            </w:r>
            <w:r>
              <w:rPr>
                <w:rFonts w:hint="eastAsia"/>
                <w:color w:val="auto"/>
                <w:sz w:val="18"/>
                <w:szCs w:val="18"/>
                <w:highlight w:val="none"/>
              </w:rPr>
              <w:t xml:space="preserve">4</w:t>
            </w:r>
            <w:r>
              <w:rPr>
                <w:color w:val="auto"/>
                <w:sz w:val="18"/>
                <w:szCs w:val="18"/>
                <w:highlight w:val="none"/>
              </w:rPr>
              <w:t xml:space="preserve">人得0.5分。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1012"/>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1.4</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color w:val="auto"/>
                <w:sz w:val="18"/>
                <w:szCs w:val="18"/>
                <w:highlight w:val="none"/>
              </w:rPr>
              <w:t xml:space="preserve">项目负责人</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2</w:t>
            </w:r>
            <w:r/>
          </w:p>
        </w:tc>
        <w:tc>
          <w:tcPr>
            <w:shd w:val="clear" w:color="auto" w:fill="ffffff"/>
            <w:tcW w:w="6072" w:type="dxa"/>
            <w:vAlign w:val="center"/>
            <w:textDirection w:val="lrTb"/>
            <w:noWrap w:val="false"/>
          </w:tcPr>
          <w:p>
            <w:pPr>
              <w:widowControl/>
              <w:rPr>
                <w:rFonts w:eastAsia="仿宋"/>
                <w:color w:val="auto"/>
                <w:sz w:val="18"/>
                <w:szCs w:val="18"/>
                <w:highlight w:val="none"/>
              </w:rPr>
            </w:pPr>
            <w:r>
              <w:rPr>
                <w:color w:val="auto"/>
                <w:sz w:val="18"/>
                <w:szCs w:val="18"/>
                <w:highlight w:val="none"/>
              </w:rPr>
              <w:t xml:space="preserve">供应商拟派项目负责人具有硕士研究生及以上学历、高级职称、从事食品抽检工作年限5年以上、经验丰富、专业水平高、管理能力强的得2分；具有本科学历、高级职称、从事食品抽检工作年限3年以上、经验较丰富、专业水平较高、管理能力较强的得1分；其他不得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498"/>
        </w:trPr>
        <w:tc>
          <w:tcPr>
            <w:shd w:val="clear" w:color="auto" w:fill="ffffff"/>
            <w:tcW w:w="622"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2</w:t>
            </w:r>
            <w:r/>
          </w:p>
        </w:tc>
        <w:tc>
          <w:tcPr>
            <w:shd w:val="clear" w:color="auto" w:fill="ffffff"/>
            <w:tcW w:w="1224" w:type="dxa"/>
            <w:vAlign w:val="center"/>
            <w:textDirection w:val="lrTb"/>
            <w:noWrap w:val="false"/>
          </w:tcPr>
          <w:p>
            <w:pPr>
              <w:jc w:val="center"/>
              <w:widowControl/>
              <w:rPr>
                <w:rFonts w:eastAsia="仿宋"/>
                <w:b/>
                <w:bCs/>
                <w:color w:val="auto"/>
                <w:sz w:val="18"/>
                <w:szCs w:val="18"/>
                <w:highlight w:val="none"/>
              </w:rPr>
            </w:pPr>
            <w:r>
              <w:rPr>
                <w:b/>
                <w:bCs/>
                <w:color w:val="auto"/>
                <w:sz w:val="18"/>
                <w:szCs w:val="18"/>
                <w:highlight w:val="none"/>
              </w:rPr>
              <w:t xml:space="preserve">拟投入本项目设施</w:t>
            </w:r>
            <w:r/>
          </w:p>
        </w:tc>
        <w:tc>
          <w:tcPr>
            <w:shd w:val="clear" w:color="auto" w:fill="ffffff"/>
            <w:tcW w:w="558"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16</w:t>
            </w:r>
            <w:r/>
          </w:p>
        </w:tc>
        <w:tc>
          <w:tcPr>
            <w:shd w:val="clear" w:color="auto" w:fill="ffffff"/>
            <w:tcW w:w="6072" w:type="dxa"/>
            <w:vAlign w:val="center"/>
            <w:textDirection w:val="lrTb"/>
            <w:noWrap w:val="false"/>
          </w:tcPr>
          <w:p>
            <w:pPr>
              <w:jc w:val="left"/>
              <w:widowControl/>
              <w:rPr>
                <w:rFonts w:eastAsia="仿宋"/>
                <w:b/>
                <w:bCs/>
                <w:color w:val="auto"/>
                <w:sz w:val="18"/>
                <w:szCs w:val="18"/>
                <w:highlight w:val="none"/>
              </w:rPr>
            </w:pPr>
            <w:r>
              <w:rPr>
                <w:rFonts w:eastAsia="仿宋"/>
                <w:b/>
                <w:bCs/>
                <w:color w:val="auto"/>
                <w:sz w:val="18"/>
                <w:szCs w:val="18"/>
                <w:highlight w:val="none"/>
                <w:lang w:bidi="ar"/>
              </w:rPr>
              <w:t xml:space="preserve">须提供相关证明材料，不提供不得分。</w:t>
            </w:r>
            <w:r/>
          </w:p>
        </w:tc>
        <w:tc>
          <w:tcPr>
            <w:tcW w:w="546" w:type="dxa"/>
            <w:vAlign w:val="center"/>
            <w:textDirection w:val="lrTb"/>
            <w:noWrap/>
          </w:tcPr>
          <w:p>
            <w:pPr>
              <w:jc w:val="center"/>
              <w:widowControl/>
              <w:rPr>
                <w:color w:val="auto"/>
                <w:sz w:val="18"/>
                <w:szCs w:val="18"/>
                <w:highlight w:val="none"/>
              </w:rPr>
            </w:pPr>
            <w:r>
              <w:rPr>
                <w:color w:val="auto"/>
                <w:sz w:val="18"/>
                <w:szCs w:val="18"/>
                <w:highlight w:val="none"/>
              </w:rPr>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2731"/>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2.1</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color w:val="auto"/>
                <w:sz w:val="18"/>
                <w:szCs w:val="18"/>
                <w:highlight w:val="none"/>
              </w:rPr>
              <w:t xml:space="preserve">实验室场地</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hint="eastAsia" w:eastAsia="仿宋"/>
                <w:color w:val="auto"/>
                <w:sz w:val="18"/>
                <w:szCs w:val="18"/>
                <w:highlight w:val="none"/>
                <w:lang w:bidi="ar"/>
              </w:rPr>
              <w:t xml:space="preserve">5</w:t>
            </w:r>
            <w:r/>
          </w:p>
        </w:tc>
        <w:tc>
          <w:tcPr>
            <w:shd w:val="clear" w:color="auto" w:fill="ffffff"/>
            <w:tcW w:w="6072" w:type="dxa"/>
            <w:vAlign w:val="center"/>
            <w:textDirection w:val="lrTb"/>
            <w:noWrap w:val="false"/>
          </w:tcPr>
          <w:p>
            <w:pPr>
              <w:widowControl/>
              <w:rPr>
                <w:color w:val="auto"/>
                <w:sz w:val="18"/>
                <w:szCs w:val="18"/>
                <w:highlight w:val="none"/>
              </w:rPr>
            </w:pPr>
            <w:r>
              <w:rPr>
                <w:color w:val="auto"/>
                <w:sz w:val="18"/>
                <w:szCs w:val="18"/>
                <w:highlight w:val="none"/>
              </w:rPr>
              <w:t xml:space="preserve">（1）根据供应商具备的与食品检测工作相适应的实验场所建筑面积、具体布局等进行评价。食品检测实验室建筑面积（不含办公室），达3000m²得</w:t>
            </w:r>
            <w:r>
              <w:rPr>
                <w:rFonts w:hint="eastAsia"/>
                <w:color w:val="auto"/>
                <w:sz w:val="18"/>
                <w:szCs w:val="18"/>
                <w:highlight w:val="none"/>
              </w:rPr>
              <w:t xml:space="preserve">0.5</w:t>
            </w:r>
            <w:r>
              <w:rPr>
                <w:color w:val="auto"/>
                <w:sz w:val="18"/>
                <w:szCs w:val="18"/>
                <w:highlight w:val="none"/>
              </w:rPr>
              <w:t xml:space="preserve">分；每增加500m²，加0.5分，最高</w:t>
            </w:r>
            <w:r>
              <w:rPr>
                <w:rFonts w:hint="eastAsia"/>
                <w:color w:val="auto"/>
                <w:sz w:val="18"/>
                <w:szCs w:val="18"/>
                <w:highlight w:val="none"/>
              </w:rPr>
              <w:t xml:space="preserve">加</w:t>
            </w:r>
            <w:r>
              <w:rPr>
                <w:color w:val="auto"/>
                <w:sz w:val="18"/>
                <w:szCs w:val="18"/>
                <w:highlight w:val="none"/>
              </w:rPr>
              <w:t xml:space="preserve">2.5分；低于3000m²（不含）不得分。</w:t>
            </w:r>
            <w:r/>
          </w:p>
          <w:p>
            <w:pPr>
              <w:widowControl/>
              <w:rPr>
                <w:color w:val="auto"/>
                <w:sz w:val="18"/>
                <w:szCs w:val="18"/>
                <w:highlight w:val="none"/>
              </w:rPr>
            </w:pPr>
            <w:r>
              <w:rPr>
                <w:color w:val="auto"/>
                <w:sz w:val="18"/>
                <w:szCs w:val="18"/>
                <w:highlight w:val="none"/>
              </w:rPr>
              <w:t xml:space="preserve">（2）具有微生物检验区和理化检验区，</w:t>
            </w:r>
            <w:r>
              <w:rPr>
                <w:rFonts w:hint="eastAsia"/>
                <w:color w:val="auto"/>
                <w:sz w:val="18"/>
                <w:szCs w:val="18"/>
                <w:highlight w:val="none"/>
              </w:rPr>
              <w:t xml:space="preserve">布局合理能够满足项目需求的得1分，布局基本合理、基本满足项目需求的得0</w:t>
            </w:r>
            <w:r>
              <w:rPr>
                <w:color w:val="auto"/>
                <w:sz w:val="18"/>
                <w:szCs w:val="18"/>
                <w:highlight w:val="none"/>
              </w:rPr>
              <w:t xml:space="preserve">.5</w:t>
            </w:r>
            <w:r>
              <w:rPr>
                <w:rFonts w:hint="eastAsia"/>
                <w:color w:val="auto"/>
                <w:sz w:val="18"/>
                <w:szCs w:val="18"/>
                <w:highlight w:val="none"/>
              </w:rPr>
              <w:t xml:space="preserve">分，不具备不得分。</w:t>
            </w:r>
            <w:r/>
          </w:p>
          <w:p>
            <w:pPr>
              <w:widowControl/>
              <w:rPr>
                <w:color w:val="auto"/>
                <w:sz w:val="18"/>
                <w:szCs w:val="18"/>
                <w:highlight w:val="none"/>
              </w:rPr>
            </w:pPr>
            <w:r>
              <w:rPr>
                <w:color w:val="auto"/>
                <w:sz w:val="18"/>
                <w:szCs w:val="18"/>
                <w:highlight w:val="none"/>
              </w:rPr>
              <w:t xml:space="preserve">（3）建有冷藏或冷冻农产品保存专用冷库，根据样品保存能力综合打分，有100平方米及以上得1分，少于100平方米得0.5分。</w:t>
            </w:r>
            <w:r/>
          </w:p>
          <w:p>
            <w:pPr>
              <w:widowControl/>
              <w:rPr>
                <w:rFonts w:eastAsia="仿宋"/>
                <w:color w:val="auto"/>
                <w:sz w:val="18"/>
                <w:szCs w:val="18"/>
                <w:highlight w:val="none"/>
              </w:rPr>
            </w:pPr>
            <w:r>
              <w:rPr>
                <w:color w:val="auto"/>
                <w:sz w:val="18"/>
                <w:szCs w:val="18"/>
                <w:highlight w:val="none"/>
              </w:rPr>
              <w:t xml:space="preserve">须提供食品实验室平面布局图及各组成部分面积清单、图片说明及面积证明材料等加盖供应商公章。场地面积需如实提供，</w:t>
            </w:r>
            <w:r>
              <w:rPr>
                <w:rFonts w:hint="eastAsia"/>
                <w:color w:val="auto"/>
                <w:sz w:val="18"/>
                <w:szCs w:val="18"/>
                <w:highlight w:val="none"/>
              </w:rPr>
              <w:t xml:space="preserve">经核实</w:t>
            </w:r>
            <w:r>
              <w:rPr>
                <w:color w:val="auto"/>
                <w:sz w:val="18"/>
                <w:szCs w:val="18"/>
                <w:highlight w:val="none"/>
              </w:rPr>
              <w:t xml:space="preserve">作假</w:t>
            </w:r>
            <w:r>
              <w:rPr>
                <w:rFonts w:hint="eastAsia"/>
                <w:color w:val="auto"/>
                <w:sz w:val="18"/>
                <w:szCs w:val="18"/>
                <w:highlight w:val="none"/>
              </w:rPr>
              <w:t xml:space="preserve">的</w:t>
            </w:r>
            <w:r>
              <w:rPr>
                <w:color w:val="auto"/>
                <w:sz w:val="18"/>
                <w:szCs w:val="18"/>
                <w:highlight w:val="none"/>
              </w:rPr>
              <w:t xml:space="preserve">，将通报有关部门，严肃处理。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2600"/>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2.2</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color w:val="auto"/>
                <w:sz w:val="18"/>
                <w:szCs w:val="18"/>
                <w:highlight w:val="none"/>
              </w:rPr>
              <w:t xml:space="preserve">实验室设备</w:t>
            </w:r>
            <w:r/>
          </w:p>
        </w:tc>
        <w:tc>
          <w:tcPr>
            <w:shd w:val="clear" w:color="auto" w:fill="ffffff"/>
            <w:tcW w:w="558" w:type="dxa"/>
            <w:vAlign w:val="center"/>
            <w:textDirection w:val="lrTb"/>
            <w:noWrap w:val="false"/>
          </w:tcPr>
          <w:p>
            <w:pPr>
              <w:jc w:val="center"/>
              <w:widowControl/>
              <w:rPr>
                <w:rFonts w:hint="eastAsia" w:eastAsia="仿宋"/>
                <w:color w:val="auto"/>
                <w:sz w:val="18"/>
                <w:szCs w:val="18"/>
                <w:highlight w:val="none"/>
              </w:rPr>
            </w:pPr>
            <w:r>
              <w:rPr>
                <w:rFonts w:hint="eastAsia" w:eastAsia="仿宋"/>
                <w:color w:val="auto"/>
                <w:sz w:val="18"/>
                <w:szCs w:val="18"/>
                <w:highlight w:val="none"/>
              </w:rPr>
              <w:t xml:space="preserve">5</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供应商具有满足食品安全检测的设施及仪器设备。其中具有液质联用仪2台、液相色谱仪</w:t>
            </w:r>
            <w:r>
              <w:rPr>
                <w:rFonts w:hint="eastAsia"/>
                <w:color w:val="auto"/>
                <w:sz w:val="18"/>
                <w:szCs w:val="18"/>
                <w:highlight w:val="none"/>
              </w:rPr>
              <w:t xml:space="preserve">4</w:t>
            </w:r>
            <w:r>
              <w:rPr>
                <w:color w:val="auto"/>
                <w:sz w:val="18"/>
                <w:szCs w:val="18"/>
                <w:highlight w:val="none"/>
              </w:rPr>
              <w:t xml:space="preserve">台、气相色谱仪2台、气相色谱串联质谱仪（GC-MS/MS）1台、电感耦合等离子体质谱仪（ICP-MS）1台、电感耦合等离子体光谱仪（ICP）1台、原子荧光光谱仪1台、原子吸收分光光度计1台得基本分4分，每少1台扣1分，每增加一台加0.5分，满分</w:t>
            </w:r>
            <w:r>
              <w:rPr>
                <w:rFonts w:hint="eastAsia"/>
                <w:color w:val="auto"/>
                <w:sz w:val="18"/>
                <w:szCs w:val="18"/>
                <w:highlight w:val="none"/>
              </w:rPr>
              <w:t xml:space="preserve">5</w:t>
            </w:r>
            <w:r>
              <w:rPr>
                <w:color w:val="auto"/>
                <w:sz w:val="18"/>
                <w:szCs w:val="18"/>
                <w:highlight w:val="none"/>
              </w:rPr>
              <w:t xml:space="preserve">分。</w:t>
            </w:r>
            <w:r/>
          </w:p>
          <w:p>
            <w:pPr>
              <w:jc w:val="left"/>
              <w:widowControl/>
              <w:rPr>
                <w:rFonts w:eastAsia="仿宋"/>
                <w:color w:val="auto"/>
                <w:sz w:val="18"/>
                <w:szCs w:val="18"/>
                <w:highlight w:val="none"/>
                <w:lang w:bidi="ar"/>
              </w:rPr>
            </w:pPr>
            <w:r>
              <w:rPr>
                <w:color w:val="auto"/>
                <w:sz w:val="18"/>
                <w:szCs w:val="18"/>
                <w:highlight w:val="none"/>
              </w:rPr>
              <w:t xml:space="preserve">须提供以上仪器设备清单、设备原值、购置时间、台套数、计量检定证明、发票复印件、仪器在实验室的照片等其他证明材料复印件加盖供应商公章。</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1101"/>
        </w:trPr>
        <w:tc>
          <w:tcPr>
            <w:shd w:val="clear" w:color="auto" w:fill="ffffff"/>
            <w:tcW w:w="622" w:type="dxa"/>
            <w:vAlign w:val="center"/>
            <w:vMerge w:val="restart"/>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2.3</w:t>
            </w:r>
            <w:r/>
          </w:p>
        </w:tc>
        <w:tc>
          <w:tcPr>
            <w:shd w:val="clear" w:color="auto" w:fill="ffffff"/>
            <w:tcW w:w="1224" w:type="dxa"/>
            <w:vAlign w:val="center"/>
            <w:vMerge w:val="restart"/>
            <w:textDirection w:val="lrTb"/>
            <w:noWrap w:val="false"/>
          </w:tcPr>
          <w:p>
            <w:pPr>
              <w:jc w:val="center"/>
              <w:widowControl/>
              <w:rPr>
                <w:rFonts w:eastAsia="仿宋"/>
                <w:color w:val="auto"/>
                <w:sz w:val="18"/>
                <w:szCs w:val="18"/>
                <w:highlight w:val="none"/>
              </w:rPr>
            </w:pPr>
            <w:r>
              <w:rPr>
                <w:color w:val="auto"/>
                <w:sz w:val="18"/>
                <w:szCs w:val="18"/>
                <w:highlight w:val="none"/>
              </w:rPr>
              <w:t xml:space="preserve">采样设备</w:t>
            </w:r>
            <w:r/>
          </w:p>
        </w:tc>
        <w:tc>
          <w:tcPr>
            <w:shd w:val="clear" w:color="auto" w:fill="ffffff"/>
            <w:tcW w:w="558" w:type="dxa"/>
            <w:vAlign w:val="center"/>
            <w:vMerge w:val="restart"/>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6</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供应商具备满足食品抽检工作要求的抽样工具、车辆及特殊贮存条件要求的运输设备情况。</w:t>
            </w:r>
            <w:r/>
          </w:p>
          <w:p>
            <w:pPr>
              <w:jc w:val="left"/>
              <w:widowControl/>
              <w:rPr>
                <w:color w:val="auto"/>
                <w:sz w:val="18"/>
                <w:szCs w:val="18"/>
                <w:highlight w:val="none"/>
              </w:rPr>
            </w:pPr>
            <w:r>
              <w:rPr>
                <w:color w:val="auto"/>
                <w:sz w:val="18"/>
                <w:szCs w:val="18"/>
                <w:highlight w:val="none"/>
              </w:rPr>
              <w:t xml:space="preserve">（1）供应商</w:t>
            </w:r>
            <w:r>
              <w:rPr>
                <w:b/>
                <w:bCs/>
                <w:color w:val="auto"/>
                <w:sz w:val="18"/>
                <w:szCs w:val="18"/>
                <w:highlight w:val="none"/>
              </w:rPr>
              <w:t xml:space="preserve">自有</w:t>
            </w:r>
            <w:r>
              <w:rPr>
                <w:rFonts w:hint="eastAsia"/>
                <w:b/>
                <w:bCs/>
                <w:color w:val="auto"/>
                <w:sz w:val="18"/>
                <w:szCs w:val="18"/>
                <w:highlight w:val="none"/>
                <w:lang w:val="en-US" w:eastAsia="zh-CN"/>
              </w:rPr>
              <w:t xml:space="preserve">或租赁</w:t>
            </w:r>
            <w:r>
              <w:rPr>
                <w:color w:val="auto"/>
                <w:sz w:val="18"/>
                <w:szCs w:val="18"/>
                <w:highlight w:val="none"/>
              </w:rPr>
              <w:t xml:space="preserve">采样车每有一辆得0.5分，满分2分；</w:t>
            </w:r>
            <w:r/>
          </w:p>
          <w:p>
            <w:pPr>
              <w:jc w:val="left"/>
              <w:widowControl/>
              <w:rPr>
                <w:color w:val="auto"/>
                <w:sz w:val="18"/>
                <w:szCs w:val="18"/>
                <w:highlight w:val="none"/>
              </w:rPr>
            </w:pPr>
            <w:r>
              <w:rPr>
                <w:color w:val="auto"/>
                <w:sz w:val="18"/>
                <w:szCs w:val="18"/>
                <w:highlight w:val="none"/>
              </w:rPr>
              <w:t xml:space="preserve">（2）供应商</w:t>
            </w:r>
            <w:r>
              <w:rPr>
                <w:b/>
                <w:bCs/>
                <w:color w:val="auto"/>
                <w:sz w:val="18"/>
                <w:szCs w:val="18"/>
                <w:highlight w:val="none"/>
              </w:rPr>
              <w:t xml:space="preserve">自有</w:t>
            </w:r>
            <w:r>
              <w:rPr>
                <w:rFonts w:hint="eastAsia"/>
                <w:b/>
                <w:bCs/>
                <w:color w:val="auto"/>
                <w:sz w:val="18"/>
                <w:szCs w:val="18"/>
                <w:highlight w:val="none"/>
                <w:lang w:val="en-US" w:eastAsia="zh-CN"/>
              </w:rPr>
              <w:t xml:space="preserve">或租赁</w:t>
            </w:r>
            <w:r>
              <w:rPr>
                <w:color w:val="auto"/>
                <w:sz w:val="18"/>
                <w:szCs w:val="18"/>
                <w:highlight w:val="none"/>
              </w:rPr>
              <w:t xml:space="preserve">冷藏车每有一辆得1分</w:t>
            </w:r>
            <w:r>
              <w:rPr>
                <w:rFonts w:hint="eastAsia"/>
                <w:color w:val="auto"/>
                <w:sz w:val="18"/>
                <w:szCs w:val="18"/>
                <w:highlight w:val="none"/>
                <w:lang w:eastAsia="zh-CN"/>
              </w:rPr>
              <w:t xml:space="preserve">，</w:t>
            </w:r>
            <w:r>
              <w:rPr>
                <w:color w:val="auto"/>
                <w:sz w:val="18"/>
                <w:szCs w:val="18"/>
                <w:highlight w:val="none"/>
              </w:rPr>
              <w:t xml:space="preserve">满分2分；</w:t>
            </w:r>
            <w:r/>
          </w:p>
        </w:tc>
        <w:tc>
          <w:tcPr>
            <w:tcW w:w="546" w:type="dxa"/>
            <w:vAlign w:val="center"/>
            <w:vMerge w:val="restart"/>
            <w:textDirection w:val="lrTb"/>
            <w:noWrap/>
          </w:tcPr>
          <w:p>
            <w:pPr>
              <w:jc w:val="center"/>
              <w:rPr>
                <w:color w:val="auto"/>
                <w:sz w:val="18"/>
                <w:szCs w:val="18"/>
                <w:highlight w:val="none"/>
              </w:rPr>
            </w:pPr>
            <w:r>
              <w:rPr>
                <w:color w:val="auto"/>
                <w:sz w:val="18"/>
                <w:szCs w:val="18"/>
                <w:highlight w:val="none"/>
              </w:rPr>
            </w:r>
            <w:r/>
          </w:p>
        </w:tc>
        <w:tc>
          <w:tcPr>
            <w:tcW w:w="631" w:type="dxa"/>
            <w:vAlign w:val="center"/>
            <w:vMerge w:val="restart"/>
            <w:textDirection w:val="lrTb"/>
            <w:noWrap/>
          </w:tcPr>
          <w:p>
            <w:pPr>
              <w:jc w:val="center"/>
              <w:rPr>
                <w:color w:val="auto"/>
                <w:sz w:val="18"/>
                <w:szCs w:val="18"/>
                <w:highlight w:val="none"/>
              </w:rPr>
            </w:pPr>
            <w:r>
              <w:rPr>
                <w:color w:val="auto"/>
                <w:sz w:val="18"/>
                <w:szCs w:val="18"/>
                <w:highlight w:val="none"/>
              </w:rPr>
            </w:r>
            <w:r/>
          </w:p>
        </w:tc>
      </w:tr>
      <w:tr>
        <w:trPr>
          <w:jc w:val="center"/>
          <w:trHeight w:val="1449"/>
        </w:trPr>
        <w:tc>
          <w:tcPr>
            <w:shd w:val="clear" w:color="auto" w:fill="ffffff"/>
            <w:tcW w:w="622" w:type="dxa"/>
            <w:vAlign w:val="center"/>
            <w:vMerge w:val="continue"/>
            <w:textDirection w:val="lrTb"/>
            <w:noWrap w:val="false"/>
          </w:tcPr>
          <w:p>
            <w:pPr>
              <w:rPr>
                <w:color w:val="auto"/>
                <w:sz w:val="18"/>
                <w:szCs w:val="18"/>
                <w:highlight w:val="none"/>
              </w:rPr>
            </w:pPr>
            <w:r>
              <w:rPr>
                <w:color w:val="auto"/>
                <w:sz w:val="18"/>
                <w:szCs w:val="18"/>
                <w:highlight w:val="none"/>
              </w:rPr>
            </w:r>
            <w:r/>
          </w:p>
        </w:tc>
        <w:tc>
          <w:tcPr>
            <w:shd w:val="clear" w:color="auto" w:fill="ffffff"/>
            <w:tcW w:w="1224" w:type="dxa"/>
            <w:vAlign w:val="center"/>
            <w:vMerge w:val="continue"/>
            <w:textDirection w:val="lrTb"/>
            <w:noWrap w:val="false"/>
          </w:tcPr>
          <w:p>
            <w:pPr>
              <w:rPr>
                <w:color w:val="auto"/>
                <w:sz w:val="18"/>
                <w:szCs w:val="18"/>
                <w:highlight w:val="none"/>
              </w:rPr>
            </w:pPr>
            <w:r>
              <w:rPr>
                <w:color w:val="auto"/>
                <w:sz w:val="18"/>
                <w:szCs w:val="18"/>
                <w:highlight w:val="none"/>
              </w:rPr>
            </w:r>
            <w:r/>
          </w:p>
        </w:tc>
        <w:tc>
          <w:tcPr>
            <w:shd w:val="clear" w:color="auto" w:fill="ffffff"/>
            <w:tcW w:w="558" w:type="dxa"/>
            <w:vAlign w:val="center"/>
            <w:vMerge w:val="continue"/>
            <w:textDirection w:val="lrTb"/>
            <w:noWrap w:val="false"/>
          </w:tcPr>
          <w:p>
            <w:pPr>
              <w:rPr>
                <w:color w:val="auto"/>
                <w:sz w:val="18"/>
                <w:szCs w:val="18"/>
                <w:highlight w:val="none"/>
              </w:rPr>
            </w:pPr>
            <w:r>
              <w:rPr>
                <w:color w:val="auto"/>
                <w:sz w:val="18"/>
                <w:szCs w:val="18"/>
                <w:highlight w:val="none"/>
              </w:rPr>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（3）供应商具备用于样品保存的车载冰箱，每有5个得0.5分，满分1分。</w:t>
            </w:r>
            <w:r/>
          </w:p>
          <w:p>
            <w:pPr>
              <w:jc w:val="left"/>
              <w:widowControl/>
              <w:rPr>
                <w:color w:val="auto"/>
                <w:sz w:val="18"/>
                <w:szCs w:val="18"/>
                <w:highlight w:val="none"/>
              </w:rPr>
            </w:pPr>
            <w:r>
              <w:rPr>
                <w:color w:val="auto"/>
                <w:sz w:val="18"/>
                <w:szCs w:val="18"/>
                <w:highlight w:val="none"/>
              </w:rPr>
              <w:t xml:space="preserve">（4）具备用于采样过程取证的采样记录仪不少于5部，得1分。</w:t>
            </w:r>
            <w:r/>
          </w:p>
          <w:p>
            <w:pPr>
              <w:jc w:val="left"/>
              <w:widowControl/>
              <w:rPr>
                <w:color w:val="auto"/>
                <w:sz w:val="18"/>
                <w:szCs w:val="18"/>
                <w:highlight w:val="none"/>
              </w:rPr>
            </w:pPr>
            <w:r>
              <w:rPr>
                <w:color w:val="auto"/>
                <w:sz w:val="18"/>
                <w:szCs w:val="18"/>
                <w:highlight w:val="none"/>
              </w:rPr>
              <w:t xml:space="preserve">须提供以上车辆行驶证或车辆租赁协议及车载冰箱等设备的发票复印件加盖供应商公章。</w:t>
            </w:r>
            <w:r/>
          </w:p>
        </w:tc>
        <w:tc>
          <w:tcPr>
            <w:tcW w:w="546" w:type="dxa"/>
            <w:vAlign w:val="center"/>
            <w:vMerge w:val="continue"/>
            <w:textDirection w:val="lrTb"/>
            <w:noWrap/>
          </w:tcPr>
          <w:p>
            <w:pPr>
              <w:rPr>
                <w:color w:val="auto"/>
                <w:sz w:val="18"/>
                <w:szCs w:val="18"/>
                <w:highlight w:val="none"/>
              </w:rPr>
            </w:pPr>
            <w:r>
              <w:rPr>
                <w:color w:val="auto"/>
                <w:sz w:val="18"/>
                <w:szCs w:val="18"/>
                <w:highlight w:val="none"/>
              </w:rPr>
            </w:r>
            <w:r/>
          </w:p>
        </w:tc>
        <w:tc>
          <w:tcPr>
            <w:tcW w:w="631" w:type="dxa"/>
            <w:vAlign w:val="center"/>
            <w:vMerge w:val="continue"/>
            <w:textDirection w:val="lrTb"/>
            <w:noWrap/>
          </w:tcPr>
          <w:p>
            <w:pPr>
              <w:rPr>
                <w:color w:val="auto"/>
                <w:sz w:val="18"/>
                <w:szCs w:val="18"/>
                <w:highlight w:val="none"/>
              </w:rPr>
            </w:pPr>
            <w:r>
              <w:rPr>
                <w:color w:val="auto"/>
                <w:sz w:val="18"/>
                <w:szCs w:val="18"/>
                <w:highlight w:val="none"/>
              </w:rPr>
            </w:r>
            <w:r/>
          </w:p>
        </w:tc>
      </w:tr>
      <w:tr>
        <w:trPr>
          <w:jc w:val="center"/>
          <w:trHeight w:val="870"/>
        </w:trPr>
        <w:tc>
          <w:tcPr>
            <w:shd w:val="clear" w:color="auto" w:fill="ffffff"/>
            <w:tcW w:w="622"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3</w:t>
            </w:r>
            <w:r/>
          </w:p>
        </w:tc>
        <w:tc>
          <w:tcPr>
            <w:shd w:val="clear" w:color="auto" w:fill="ffffff"/>
            <w:tcW w:w="1224" w:type="dxa"/>
            <w:vAlign w:val="center"/>
            <w:textDirection w:val="lrTb"/>
            <w:noWrap w:val="false"/>
          </w:tcPr>
          <w:p>
            <w:pPr>
              <w:jc w:val="center"/>
              <w:widowControl/>
              <w:rPr>
                <w:rFonts w:eastAsia="仿宋"/>
                <w:b/>
                <w:bCs/>
                <w:color w:val="auto"/>
                <w:sz w:val="18"/>
                <w:szCs w:val="18"/>
                <w:highlight w:val="none"/>
              </w:rPr>
            </w:pPr>
            <w:r>
              <w:rPr>
                <w:b/>
                <w:bCs/>
                <w:color w:val="auto"/>
                <w:sz w:val="18"/>
                <w:szCs w:val="18"/>
                <w:highlight w:val="none"/>
              </w:rPr>
              <w:t xml:space="preserve">技术实施方案和应急方案</w:t>
            </w:r>
            <w:r/>
          </w:p>
        </w:tc>
        <w:tc>
          <w:tcPr>
            <w:shd w:val="clear" w:color="auto" w:fill="ffffff"/>
            <w:tcW w:w="558"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26</w:t>
            </w:r>
            <w:r/>
          </w:p>
        </w:tc>
        <w:tc>
          <w:tcPr>
            <w:shd w:val="clear" w:color="auto" w:fill="ffffff"/>
            <w:tcW w:w="6072" w:type="dxa"/>
            <w:vAlign w:val="center"/>
            <w:textDirection w:val="lrTb"/>
            <w:noWrap w:val="false"/>
          </w:tcPr>
          <w:p>
            <w:pPr>
              <w:jc w:val="left"/>
              <w:rPr>
                <w:rFonts w:eastAsia="仿宋"/>
                <w:color w:val="auto"/>
                <w:sz w:val="18"/>
                <w:szCs w:val="18"/>
                <w:highlight w:val="none"/>
              </w:rPr>
            </w:pPr>
            <w:r>
              <w:rPr>
                <w:rFonts w:eastAsia="仿宋"/>
                <w:color w:val="auto"/>
                <w:sz w:val="18"/>
                <w:szCs w:val="18"/>
                <w:highlight w:val="none"/>
              </w:rPr>
            </w:r>
            <w:r/>
          </w:p>
        </w:tc>
        <w:tc>
          <w:tcPr>
            <w:tcW w:w="546" w:type="dxa"/>
            <w:vAlign w:val="center"/>
            <w:textDirection w:val="lrTb"/>
            <w:noWrap/>
          </w:tcPr>
          <w:p>
            <w:pPr>
              <w:jc w:val="center"/>
              <w:widowControl/>
              <w:rPr>
                <w:color w:val="auto"/>
                <w:sz w:val="18"/>
                <w:szCs w:val="18"/>
                <w:highlight w:val="none"/>
              </w:rPr>
            </w:pPr>
            <w:r>
              <w:rPr>
                <w:color w:val="auto"/>
                <w:sz w:val="18"/>
                <w:szCs w:val="18"/>
                <w:highlight w:val="none"/>
              </w:rPr>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1276"/>
        </w:trPr>
        <w:tc>
          <w:tcPr>
            <w:shd w:val="clear" w:color="auto" w:fill="ffffff"/>
            <w:tcW w:w="622" w:type="dxa"/>
            <w:vAlign w:val="center"/>
            <w:vMerge w:val="restart"/>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3.1</w:t>
            </w:r>
            <w:r/>
          </w:p>
        </w:tc>
        <w:tc>
          <w:tcPr>
            <w:shd w:val="clear" w:color="auto" w:fill="ffffff"/>
            <w:tcW w:w="1224" w:type="dxa"/>
            <w:vAlign w:val="center"/>
            <w:vMerge w:val="restart"/>
            <w:textDirection w:val="lrTb"/>
            <w:noWrap w:val="false"/>
          </w:tcPr>
          <w:p>
            <w:pPr>
              <w:jc w:val="center"/>
              <w:widowControl/>
              <w:rPr>
                <w:rFonts w:eastAsia="仿宋"/>
                <w:color w:val="auto"/>
                <w:sz w:val="18"/>
                <w:szCs w:val="18"/>
                <w:highlight w:val="none"/>
              </w:rPr>
            </w:pPr>
            <w:r>
              <w:rPr>
                <w:color w:val="auto"/>
                <w:sz w:val="18"/>
                <w:szCs w:val="18"/>
                <w:highlight w:val="none"/>
              </w:rPr>
              <w:t xml:space="preserve">技术实施方案</w:t>
            </w:r>
            <w:r/>
          </w:p>
        </w:tc>
        <w:tc>
          <w:tcPr>
            <w:shd w:val="clear" w:color="auto" w:fill="ffffff"/>
            <w:tcW w:w="558" w:type="dxa"/>
            <w:vAlign w:val="center"/>
            <w:vMerge w:val="restart"/>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8</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对本项目食品抽检计划实施的保障情况，实施的组织情况、实施方案、质量控制等进行评分。</w:t>
            </w:r>
            <w:r/>
          </w:p>
          <w:p>
            <w:pPr>
              <w:jc w:val="left"/>
              <w:widowControl/>
              <w:rPr>
                <w:color w:val="auto"/>
                <w:sz w:val="18"/>
                <w:szCs w:val="18"/>
                <w:highlight w:val="none"/>
              </w:rPr>
            </w:pPr>
            <w:r>
              <w:rPr>
                <w:color w:val="auto"/>
                <w:sz w:val="18"/>
                <w:szCs w:val="18"/>
                <w:highlight w:val="none"/>
              </w:rPr>
              <w:t xml:space="preserve">方案细致全面、合理，技术可行性强得</w:t>
            </w:r>
            <w:r>
              <w:rPr>
                <w:rFonts w:hint="eastAsia"/>
                <w:color w:val="auto"/>
                <w:sz w:val="18"/>
                <w:szCs w:val="18"/>
                <w:highlight w:val="none"/>
              </w:rPr>
              <w:t xml:space="preserve">8</w:t>
            </w:r>
            <w:r>
              <w:rPr>
                <w:color w:val="auto"/>
                <w:sz w:val="18"/>
                <w:szCs w:val="18"/>
                <w:highlight w:val="none"/>
              </w:rPr>
              <w:t xml:space="preserve">分；方案较为完整，技术可行性较强得</w:t>
            </w:r>
            <w:r>
              <w:rPr>
                <w:rFonts w:hint="eastAsia"/>
                <w:color w:val="auto"/>
                <w:sz w:val="18"/>
                <w:szCs w:val="18"/>
                <w:highlight w:val="none"/>
              </w:rPr>
              <w:t xml:space="preserve">5</w:t>
            </w:r>
            <w:r>
              <w:rPr>
                <w:color w:val="auto"/>
                <w:sz w:val="18"/>
                <w:szCs w:val="18"/>
                <w:highlight w:val="none"/>
              </w:rPr>
              <w:t xml:space="preserve">分；方案不完整、技术可行性较低得</w:t>
            </w:r>
            <w:r>
              <w:rPr>
                <w:rFonts w:hint="eastAsia"/>
                <w:color w:val="auto"/>
                <w:sz w:val="18"/>
                <w:szCs w:val="18"/>
                <w:highlight w:val="none"/>
              </w:rPr>
              <w:t xml:space="preserve">3</w:t>
            </w:r>
            <w:r>
              <w:rPr>
                <w:color w:val="auto"/>
                <w:sz w:val="18"/>
                <w:szCs w:val="18"/>
                <w:highlight w:val="none"/>
              </w:rPr>
              <w:t xml:space="preserve">分；不提供方案得0分。</w:t>
            </w:r>
            <w:r/>
          </w:p>
        </w:tc>
        <w:tc>
          <w:tcPr>
            <w:tcW w:w="546" w:type="dxa"/>
            <w:vAlign w:val="center"/>
            <w:vMerge w:val="restart"/>
            <w:textDirection w:val="lrTb"/>
            <w:noWrap/>
          </w:tcPr>
          <w:p>
            <w:pPr>
              <w:jc w:val="center"/>
              <w:rPr>
                <w:color w:val="auto"/>
                <w:sz w:val="18"/>
                <w:szCs w:val="18"/>
                <w:highlight w:val="none"/>
              </w:rPr>
            </w:pPr>
            <w:r>
              <w:rPr>
                <w:color w:val="auto"/>
                <w:sz w:val="18"/>
                <w:szCs w:val="18"/>
                <w:highlight w:val="none"/>
              </w:rPr>
            </w:r>
            <w:r/>
          </w:p>
        </w:tc>
        <w:tc>
          <w:tcPr>
            <w:tcW w:w="631" w:type="dxa"/>
            <w:vAlign w:val="center"/>
            <w:vMerge w:val="restart"/>
            <w:textDirection w:val="lrTb"/>
            <w:noWrap/>
          </w:tcPr>
          <w:p>
            <w:pPr>
              <w:jc w:val="center"/>
              <w:rPr>
                <w:color w:val="auto"/>
                <w:sz w:val="18"/>
                <w:szCs w:val="18"/>
                <w:highlight w:val="none"/>
              </w:rPr>
            </w:pPr>
            <w:r>
              <w:rPr>
                <w:color w:val="auto"/>
                <w:sz w:val="18"/>
                <w:szCs w:val="18"/>
                <w:highlight w:val="none"/>
              </w:rPr>
            </w:r>
            <w:r/>
          </w:p>
        </w:tc>
      </w:tr>
      <w:tr>
        <w:trPr>
          <w:jc w:val="center"/>
          <w:trHeight w:val="1192"/>
        </w:trPr>
        <w:tc>
          <w:tcPr>
            <w:shd w:val="clear" w:color="auto" w:fill="ffffff"/>
            <w:tcW w:w="622" w:type="dxa"/>
            <w:vAlign w:val="center"/>
            <w:vMerge w:val="restart"/>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3.2</w:t>
            </w:r>
            <w:r/>
          </w:p>
        </w:tc>
        <w:tc>
          <w:tcPr>
            <w:shd w:val="clear" w:color="auto" w:fill="ffffff"/>
            <w:tcW w:w="1224" w:type="dxa"/>
            <w:vAlign w:val="center"/>
            <w:vMerge w:val="restart"/>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应急方案</w:t>
            </w:r>
            <w:r/>
          </w:p>
        </w:tc>
        <w:tc>
          <w:tcPr>
            <w:shd w:val="clear" w:color="auto" w:fill="ffffff"/>
            <w:tcW w:w="558" w:type="dxa"/>
            <w:vAlign w:val="center"/>
            <w:vMerge w:val="restart"/>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8</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对本项目食品应急抽检计划实施的保障情况，应急响应的组织情况、实施方案、质量控制等进行评分。</w:t>
            </w:r>
            <w:r/>
          </w:p>
          <w:p>
            <w:pPr>
              <w:jc w:val="left"/>
              <w:widowControl/>
              <w:rPr>
                <w:color w:val="auto"/>
                <w:sz w:val="18"/>
                <w:szCs w:val="18"/>
                <w:highlight w:val="none"/>
              </w:rPr>
            </w:pPr>
            <w:r>
              <w:rPr>
                <w:color w:val="auto"/>
                <w:sz w:val="18"/>
                <w:szCs w:val="18"/>
                <w:highlight w:val="none"/>
              </w:rPr>
              <w:t xml:space="preserve">方案细致全面、合理，符合响应需求，技术可行性强得</w:t>
            </w:r>
            <w:r>
              <w:rPr>
                <w:rFonts w:hint="eastAsia"/>
                <w:color w:val="auto"/>
                <w:sz w:val="18"/>
                <w:szCs w:val="18"/>
                <w:highlight w:val="none"/>
              </w:rPr>
              <w:t xml:space="preserve">8</w:t>
            </w:r>
            <w:r>
              <w:rPr>
                <w:color w:val="auto"/>
                <w:sz w:val="18"/>
                <w:szCs w:val="18"/>
                <w:highlight w:val="none"/>
              </w:rPr>
              <w:t xml:space="preserve">分；方案较为完整，基本符合响应需求得</w:t>
            </w:r>
            <w:r>
              <w:rPr>
                <w:rFonts w:hint="eastAsia"/>
                <w:color w:val="auto"/>
                <w:sz w:val="18"/>
                <w:szCs w:val="18"/>
                <w:highlight w:val="none"/>
              </w:rPr>
              <w:t xml:space="preserve">5</w:t>
            </w:r>
            <w:r>
              <w:rPr>
                <w:color w:val="auto"/>
                <w:sz w:val="18"/>
                <w:szCs w:val="18"/>
                <w:highlight w:val="none"/>
              </w:rPr>
              <w:t xml:space="preserve">分；方案不完整、响应度低、技术可行性较低得</w:t>
            </w:r>
            <w:r>
              <w:rPr>
                <w:rFonts w:hint="eastAsia"/>
                <w:color w:val="auto"/>
                <w:sz w:val="18"/>
                <w:szCs w:val="18"/>
                <w:highlight w:val="none"/>
              </w:rPr>
              <w:t xml:space="preserve">3</w:t>
            </w:r>
            <w:r>
              <w:rPr>
                <w:color w:val="auto"/>
                <w:sz w:val="18"/>
                <w:szCs w:val="18"/>
                <w:highlight w:val="none"/>
              </w:rPr>
              <w:t xml:space="preserve">分；不提供方案不得分。</w:t>
            </w:r>
            <w:r/>
          </w:p>
        </w:tc>
        <w:tc>
          <w:tcPr>
            <w:tcW w:w="546" w:type="dxa"/>
            <w:vAlign w:val="center"/>
            <w:vMerge w:val="restart"/>
            <w:textDirection w:val="lrTb"/>
            <w:noWrap/>
          </w:tcPr>
          <w:p>
            <w:pPr>
              <w:jc w:val="center"/>
              <w:rPr>
                <w:color w:val="auto"/>
                <w:sz w:val="18"/>
                <w:szCs w:val="18"/>
                <w:highlight w:val="none"/>
              </w:rPr>
            </w:pPr>
            <w:r>
              <w:rPr>
                <w:color w:val="auto"/>
                <w:sz w:val="18"/>
                <w:szCs w:val="18"/>
                <w:highlight w:val="none"/>
              </w:rPr>
            </w:r>
            <w:r/>
          </w:p>
        </w:tc>
        <w:tc>
          <w:tcPr>
            <w:tcW w:w="631" w:type="dxa"/>
            <w:vAlign w:val="center"/>
            <w:vMerge w:val="restart"/>
            <w:textDirection w:val="lrTb"/>
            <w:noWrap/>
          </w:tcPr>
          <w:p>
            <w:pPr>
              <w:jc w:val="center"/>
              <w:rPr>
                <w:color w:val="auto"/>
                <w:sz w:val="18"/>
                <w:szCs w:val="18"/>
                <w:highlight w:val="none"/>
              </w:rPr>
            </w:pPr>
            <w:r>
              <w:rPr>
                <w:color w:val="auto"/>
                <w:sz w:val="18"/>
                <w:szCs w:val="18"/>
                <w:highlight w:val="none"/>
              </w:rPr>
            </w:r>
            <w:r/>
          </w:p>
        </w:tc>
      </w:tr>
      <w:tr>
        <w:trPr>
          <w:jc w:val="center"/>
          <w:trHeight w:val="1827"/>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3.3</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增值服务</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hint="eastAsia" w:eastAsia="仿宋"/>
                <w:color w:val="auto"/>
                <w:sz w:val="18"/>
                <w:szCs w:val="18"/>
                <w:highlight w:val="none"/>
                <w:lang w:bidi="ar"/>
              </w:rPr>
              <w:t xml:space="preserve">3</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供应商在实施食品抽检服务之外为采购人提供相关增值服务</w:t>
            </w:r>
            <w:r>
              <w:rPr>
                <w:rFonts w:hint="eastAsia"/>
                <w:color w:val="auto"/>
                <w:sz w:val="18"/>
                <w:szCs w:val="18"/>
                <w:highlight w:val="none"/>
              </w:rPr>
              <w:t xml:space="preserve">（如合格备份样品再利用、厘清</w:t>
            </w:r>
            <w:bookmarkStart w:id="191" w:name="OLE_LINK4"/>
            <w:r>
              <w:rPr>
                <w:rFonts w:hint="eastAsia"/>
                <w:color w:val="auto"/>
                <w:sz w:val="18"/>
                <w:szCs w:val="18"/>
                <w:highlight w:val="none"/>
              </w:rPr>
              <w:t xml:space="preserve">微生物指标</w:t>
            </w:r>
            <w:bookmarkEnd w:id="191"/>
            <w:r>
              <w:rPr>
                <w:rFonts w:hint="eastAsia"/>
                <w:color w:val="auto"/>
                <w:sz w:val="18"/>
                <w:szCs w:val="18"/>
                <w:highlight w:val="none"/>
              </w:rPr>
              <w:t xml:space="preserve">不合格责任等）</w:t>
            </w:r>
            <w:r>
              <w:rPr>
                <w:color w:val="auto"/>
                <w:sz w:val="18"/>
                <w:szCs w:val="18"/>
                <w:highlight w:val="none"/>
              </w:rPr>
              <w:t xml:space="preserve">进行评分。</w:t>
            </w:r>
            <w:r/>
          </w:p>
          <w:p>
            <w:pPr>
              <w:jc w:val="left"/>
              <w:widowControl/>
              <w:rPr>
                <w:color w:val="auto"/>
                <w:sz w:val="18"/>
                <w:szCs w:val="18"/>
                <w:highlight w:val="none"/>
              </w:rPr>
            </w:pPr>
            <w:r>
              <w:rPr>
                <w:color w:val="auto"/>
                <w:sz w:val="18"/>
                <w:szCs w:val="18"/>
                <w:highlight w:val="none"/>
              </w:rPr>
              <w:t xml:space="preserve">方案细致全面、合理，增值服务好得</w:t>
            </w:r>
            <w:r>
              <w:rPr>
                <w:rFonts w:hint="eastAsia"/>
                <w:color w:val="auto"/>
                <w:sz w:val="18"/>
                <w:szCs w:val="18"/>
                <w:highlight w:val="none"/>
              </w:rPr>
              <w:t xml:space="preserve">3</w:t>
            </w:r>
            <w:r>
              <w:rPr>
                <w:color w:val="auto"/>
                <w:sz w:val="18"/>
                <w:szCs w:val="18"/>
                <w:highlight w:val="none"/>
              </w:rPr>
              <w:t xml:space="preserve">分；方案较为完整，增值服务较好得</w:t>
            </w:r>
            <w:r>
              <w:rPr>
                <w:rFonts w:hint="eastAsia"/>
                <w:color w:val="auto"/>
                <w:sz w:val="18"/>
                <w:szCs w:val="18"/>
                <w:highlight w:val="none"/>
              </w:rPr>
              <w:t xml:space="preserve">2</w:t>
            </w:r>
            <w:r>
              <w:rPr>
                <w:color w:val="auto"/>
                <w:sz w:val="18"/>
                <w:szCs w:val="18"/>
                <w:highlight w:val="none"/>
              </w:rPr>
              <w:t xml:space="preserve">分；方案不完整、增值服务一般得1分；不提供方案不得分。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980"/>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3.4</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合理化建议</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hint="eastAsia" w:eastAsia="仿宋"/>
                <w:color w:val="auto"/>
                <w:sz w:val="18"/>
                <w:szCs w:val="18"/>
                <w:highlight w:val="none"/>
                <w:lang w:bidi="ar"/>
              </w:rPr>
              <w:t xml:space="preserve">7</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结合近两年工作实绩，提供提升</w:t>
            </w:r>
            <w:r>
              <w:rPr>
                <w:rFonts w:hint="eastAsia"/>
                <w:color w:val="auto"/>
                <w:sz w:val="18"/>
                <w:szCs w:val="18"/>
                <w:highlight w:val="none"/>
              </w:rPr>
              <w:t xml:space="preserve">如东县</w:t>
            </w:r>
            <w:r>
              <w:rPr>
                <w:color w:val="auto"/>
                <w:sz w:val="18"/>
                <w:szCs w:val="18"/>
                <w:highlight w:val="none"/>
              </w:rPr>
              <w:t xml:space="preserve">食品抽检工作质量和抽检数据质量水平的合理化建议：</w:t>
            </w:r>
            <w:r/>
          </w:p>
          <w:p>
            <w:pPr>
              <w:jc w:val="left"/>
              <w:widowControl/>
              <w:rPr>
                <w:color w:val="auto"/>
                <w:sz w:val="18"/>
                <w:szCs w:val="18"/>
                <w:highlight w:val="none"/>
              </w:rPr>
            </w:pPr>
            <w:r>
              <w:rPr>
                <w:color w:val="auto"/>
                <w:sz w:val="18"/>
                <w:szCs w:val="18"/>
                <w:highlight w:val="none"/>
              </w:rPr>
              <w:t xml:space="preserve">要点齐全、条理清晰，可操作性强的得7分；</w:t>
            </w:r>
            <w:r/>
          </w:p>
          <w:p>
            <w:pPr>
              <w:jc w:val="left"/>
              <w:widowControl/>
              <w:rPr>
                <w:color w:val="auto"/>
                <w:sz w:val="18"/>
                <w:szCs w:val="18"/>
                <w:highlight w:val="none"/>
              </w:rPr>
            </w:pPr>
            <w:r>
              <w:rPr>
                <w:color w:val="auto"/>
                <w:sz w:val="18"/>
                <w:szCs w:val="18"/>
                <w:highlight w:val="none"/>
              </w:rPr>
              <w:t xml:space="preserve">要点基本齐全，条理较清晰，可操作性较强的得5分；</w:t>
            </w:r>
            <w:r/>
          </w:p>
          <w:p>
            <w:pPr>
              <w:jc w:val="left"/>
              <w:widowControl/>
              <w:rPr>
                <w:color w:val="auto"/>
                <w:sz w:val="18"/>
                <w:szCs w:val="18"/>
                <w:highlight w:val="none"/>
              </w:rPr>
            </w:pPr>
            <w:r>
              <w:rPr>
                <w:color w:val="auto"/>
                <w:sz w:val="18"/>
                <w:szCs w:val="18"/>
                <w:highlight w:val="none"/>
              </w:rPr>
              <w:t xml:space="preserve">要点明显不足，条理不够清晰，可操作性较低的得2分；不提供不得分。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500"/>
        </w:trPr>
        <w:tc>
          <w:tcPr>
            <w:shd w:val="clear" w:color="auto" w:fill="ffffff"/>
            <w:tcW w:w="622"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4</w:t>
            </w:r>
            <w:r/>
          </w:p>
        </w:tc>
        <w:tc>
          <w:tcPr>
            <w:shd w:val="clear" w:color="auto" w:fill="ffffff"/>
            <w:tcW w:w="1224"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企业实力</w:t>
            </w:r>
            <w:r/>
          </w:p>
        </w:tc>
        <w:tc>
          <w:tcPr>
            <w:shd w:val="clear" w:color="auto" w:fill="ffffff"/>
            <w:tcW w:w="558"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1</w:t>
            </w:r>
            <w:r>
              <w:rPr>
                <w:rFonts w:hint="eastAsia" w:eastAsia="仿宋"/>
                <w:b/>
                <w:bCs/>
                <w:color w:val="auto"/>
                <w:sz w:val="18"/>
                <w:szCs w:val="18"/>
                <w:highlight w:val="none"/>
                <w:lang w:bidi="ar"/>
              </w:rPr>
              <w:t xml:space="preserve">7</w:t>
            </w:r>
            <w:r/>
          </w:p>
        </w:tc>
        <w:tc>
          <w:tcPr>
            <w:shd w:val="clear" w:color="auto" w:fill="ffffff"/>
            <w:tcW w:w="6072" w:type="dxa"/>
            <w:vAlign w:val="center"/>
            <w:textDirection w:val="lrTb"/>
            <w:noWrap w:val="false"/>
          </w:tcPr>
          <w:p>
            <w:pPr>
              <w:jc w:val="left"/>
              <w:widowControl/>
              <w:rPr>
                <w:rFonts w:eastAsia="仿宋"/>
                <w:b/>
                <w:bCs/>
                <w:color w:val="auto"/>
                <w:sz w:val="18"/>
                <w:szCs w:val="18"/>
                <w:highlight w:val="none"/>
              </w:rPr>
            </w:pPr>
            <w:r>
              <w:rPr>
                <w:rFonts w:eastAsia="仿宋"/>
                <w:b/>
                <w:bCs/>
                <w:color w:val="auto"/>
                <w:sz w:val="18"/>
                <w:szCs w:val="18"/>
                <w:highlight w:val="none"/>
                <w:lang w:bidi="ar"/>
              </w:rPr>
              <w:t xml:space="preserve">须提供相关证明材料，不提供不得分。</w:t>
            </w:r>
            <w:r/>
          </w:p>
        </w:tc>
        <w:tc>
          <w:tcPr>
            <w:tcW w:w="546" w:type="dxa"/>
            <w:vAlign w:val="center"/>
            <w:textDirection w:val="lrTb"/>
            <w:noWrap/>
          </w:tcPr>
          <w:p>
            <w:pPr>
              <w:jc w:val="center"/>
              <w:widowControl/>
              <w:rPr>
                <w:color w:val="auto"/>
                <w:sz w:val="18"/>
                <w:szCs w:val="18"/>
                <w:highlight w:val="none"/>
              </w:rPr>
            </w:pPr>
            <w:r>
              <w:rPr>
                <w:color w:val="auto"/>
                <w:sz w:val="18"/>
                <w:szCs w:val="18"/>
                <w:highlight w:val="none"/>
              </w:rPr>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1673"/>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4.1</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专业类产品检测能力</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4</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（1）供应商具有进入市场监管总局、国家卫生健康委和农业农村部2020年公布的食品复检机构名录的，得1分。</w:t>
            </w:r>
            <w:r/>
          </w:p>
          <w:p>
            <w:pPr>
              <w:jc w:val="left"/>
              <w:widowControl/>
              <w:rPr>
                <w:color w:val="auto"/>
                <w:sz w:val="18"/>
                <w:szCs w:val="18"/>
                <w:highlight w:val="none"/>
              </w:rPr>
            </w:pPr>
            <w:r>
              <w:rPr>
                <w:color w:val="auto"/>
                <w:sz w:val="18"/>
                <w:szCs w:val="18"/>
                <w:highlight w:val="none"/>
              </w:rPr>
              <w:t xml:space="preserve">（2）供应商通过 CNAS 认证得1分。</w:t>
            </w:r>
            <w:r/>
          </w:p>
          <w:p>
            <w:pPr>
              <w:jc w:val="left"/>
              <w:widowControl/>
              <w:rPr>
                <w:color w:val="auto"/>
                <w:sz w:val="18"/>
                <w:szCs w:val="18"/>
                <w:highlight w:val="none"/>
              </w:rPr>
            </w:pPr>
            <w:r>
              <w:rPr>
                <w:color w:val="auto"/>
                <w:sz w:val="18"/>
                <w:szCs w:val="18"/>
                <w:highlight w:val="none"/>
              </w:rPr>
              <w:t xml:space="preserve">（3）供应商通过 CATL 考核的得1分。</w:t>
            </w:r>
            <w:r/>
          </w:p>
          <w:p>
            <w:pPr>
              <w:jc w:val="left"/>
              <w:widowControl/>
              <w:rPr>
                <w:color w:val="auto"/>
                <w:sz w:val="18"/>
                <w:szCs w:val="18"/>
                <w:highlight w:val="none"/>
              </w:rPr>
            </w:pPr>
            <w:r>
              <w:rPr>
                <w:color w:val="auto"/>
                <w:sz w:val="18"/>
                <w:szCs w:val="18"/>
                <w:highlight w:val="none"/>
              </w:rPr>
              <w:t xml:space="preserve">（4）供应商具备食品类国家级检测中心或重点实验室得1分。</w:t>
            </w:r>
            <w:r/>
          </w:p>
          <w:p>
            <w:pPr>
              <w:jc w:val="left"/>
              <w:widowControl/>
              <w:rPr>
                <w:color w:val="auto"/>
                <w:sz w:val="18"/>
                <w:szCs w:val="18"/>
                <w:highlight w:val="none"/>
              </w:rPr>
            </w:pPr>
            <w:r>
              <w:rPr>
                <w:color w:val="auto"/>
                <w:sz w:val="18"/>
                <w:szCs w:val="18"/>
                <w:highlight w:val="none"/>
              </w:rPr>
              <w:t xml:space="preserve">须提供相关证明材料复印件加盖供应商公章。</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1333"/>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4.2</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综合覆盖率</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5</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供应商对国抽细则202</w:t>
            </w:r>
            <w:r>
              <w:rPr>
                <w:rFonts w:hint="eastAsia"/>
                <w:color w:val="auto"/>
                <w:sz w:val="18"/>
                <w:szCs w:val="18"/>
                <w:highlight w:val="none"/>
                <w:lang w:val="en-US" w:eastAsia="zh-CN"/>
              </w:rPr>
              <w:t xml:space="preserve">6</w:t>
            </w:r>
            <w:r>
              <w:rPr>
                <w:color w:val="auto"/>
                <w:sz w:val="18"/>
                <w:szCs w:val="18"/>
                <w:highlight w:val="none"/>
              </w:rPr>
              <w:t xml:space="preserve">版中3</w:t>
            </w:r>
            <w:r>
              <w:rPr>
                <w:rFonts w:hint="eastAsia"/>
                <w:color w:val="auto"/>
                <w:sz w:val="18"/>
                <w:szCs w:val="18"/>
                <w:highlight w:val="none"/>
              </w:rPr>
              <w:t xml:space="preserve">9大</w:t>
            </w:r>
            <w:r>
              <w:rPr>
                <w:color w:val="auto"/>
                <w:sz w:val="18"/>
                <w:szCs w:val="18"/>
                <w:highlight w:val="none"/>
              </w:rPr>
              <w:t xml:space="preserve">类食品列出的</w:t>
            </w:r>
            <w:r>
              <w:rPr>
                <w:rFonts w:hint="eastAsia"/>
                <w:color w:val="auto"/>
                <w:sz w:val="18"/>
                <w:szCs w:val="18"/>
                <w:highlight w:val="none"/>
              </w:rPr>
              <w:t xml:space="preserve">268个食品细类（四级）</w:t>
            </w:r>
            <w:r>
              <w:rPr>
                <w:color w:val="auto"/>
                <w:sz w:val="18"/>
                <w:szCs w:val="18"/>
                <w:highlight w:val="none"/>
              </w:rPr>
              <w:t xml:space="preserve">产品检验项目表的项目覆盖率在100%的得5分；每少</w:t>
            </w:r>
            <w:r>
              <w:rPr>
                <w:rFonts w:hint="eastAsia"/>
                <w:color w:val="auto"/>
                <w:sz w:val="18"/>
                <w:szCs w:val="18"/>
                <w:highlight w:val="none"/>
              </w:rPr>
              <w:t xml:space="preserve">0.5%（计算方法：缺少的产品检验项目表数除以268）扣1分；对照表每发现1处缺项或与CMA资质无法对应的扣1分，扣完为止</w:t>
            </w:r>
            <w:r>
              <w:rPr>
                <w:color w:val="auto"/>
                <w:sz w:val="18"/>
                <w:szCs w:val="18"/>
                <w:highlight w:val="none"/>
              </w:rPr>
              <w:t xml:space="preserve">。</w:t>
            </w:r>
            <w:r/>
          </w:p>
          <w:p>
            <w:pPr>
              <w:jc w:val="left"/>
              <w:widowControl/>
              <w:rPr>
                <w:color w:val="auto"/>
                <w:sz w:val="18"/>
                <w:szCs w:val="18"/>
                <w:highlight w:val="none"/>
              </w:rPr>
            </w:pPr>
            <w:r>
              <w:rPr>
                <w:color w:val="auto"/>
                <w:sz w:val="18"/>
                <w:szCs w:val="18"/>
                <w:highlight w:val="none"/>
              </w:rPr>
              <w:t xml:space="preserve">须提供资质证书、实验室资质及检验项目资质情况表的对照表。</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1895"/>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4.3</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能力验证</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4</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自</w:t>
            </w:r>
            <w:r>
              <w:rPr>
                <w:rFonts w:hint="eastAsia"/>
                <w:color w:val="auto"/>
                <w:sz w:val="18"/>
                <w:szCs w:val="18"/>
                <w:highlight w:val="none"/>
              </w:rPr>
              <w:t xml:space="preserve">2023年1月1日</w:t>
            </w:r>
            <w:r>
              <w:rPr>
                <w:color w:val="auto"/>
                <w:sz w:val="18"/>
                <w:szCs w:val="18"/>
                <w:highlight w:val="none"/>
              </w:rPr>
              <w:t xml:space="preserve">以来，供应商参与省级及以上实验室能力验证情况，对以下领域覆盖：农药、兽药、重金属、真菌毒素、食品添加剂、非法添加、微生物、营养成分等，每参加一个领域</w:t>
            </w:r>
            <w:r>
              <w:rPr>
                <w:rFonts w:hint="eastAsia"/>
                <w:color w:val="auto"/>
                <w:sz w:val="18"/>
                <w:szCs w:val="18"/>
                <w:highlight w:val="none"/>
              </w:rPr>
              <w:t xml:space="preserve">（同一领域仅计算一次得分）</w:t>
            </w:r>
            <w:r>
              <w:rPr>
                <w:color w:val="auto"/>
                <w:sz w:val="18"/>
                <w:szCs w:val="18"/>
                <w:highlight w:val="none"/>
              </w:rPr>
              <w:t xml:space="preserve">且结果满意，得0.5分，最高得4分。</w:t>
            </w:r>
            <w:r/>
          </w:p>
          <w:p>
            <w:pPr>
              <w:jc w:val="left"/>
              <w:widowControl/>
              <w:rPr>
                <w:color w:val="auto"/>
                <w:sz w:val="18"/>
                <w:szCs w:val="18"/>
                <w:highlight w:val="none"/>
              </w:rPr>
            </w:pPr>
            <w:r>
              <w:rPr>
                <w:color w:val="auto"/>
                <w:sz w:val="18"/>
                <w:szCs w:val="18"/>
                <w:highlight w:val="none"/>
              </w:rPr>
              <w:t xml:space="preserve">须提供能力验证证书复印件或相关证明文件复印件并加盖供应商公章，否则不得分。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457"/>
        </w:trPr>
        <w:tc>
          <w:tcPr>
            <w:shd w:val="clear" w:color="auto" w:fill="ffffff"/>
            <w:tcW w:w="622" w:type="dxa"/>
            <w:vAlign w:val="center"/>
            <w:vMerge w:val="restart"/>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4.4</w:t>
            </w:r>
            <w:r/>
          </w:p>
        </w:tc>
        <w:tc>
          <w:tcPr>
            <w:shd w:val="clear" w:color="auto" w:fill="ffffff"/>
            <w:tcW w:w="1224" w:type="dxa"/>
            <w:vAlign w:val="center"/>
            <w:vMerge w:val="restart"/>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品牌与服务能力</w:t>
            </w:r>
            <w:r/>
          </w:p>
        </w:tc>
        <w:tc>
          <w:tcPr>
            <w:shd w:val="clear" w:color="auto" w:fill="ffffff"/>
            <w:tcBorders>
              <w:bottom w:val="none" w:color="000000" w:sz="4" w:space="0"/>
            </w:tcBorders>
            <w:tcW w:w="558" w:type="dxa"/>
            <w:vAlign w:val="center"/>
            <w:textDirection w:val="lrTb"/>
            <w:noWrap w:val="false"/>
          </w:tcPr>
          <w:p>
            <w:pPr>
              <w:jc w:val="center"/>
              <w:widowControl/>
              <w:rPr>
                <w:rFonts w:eastAsia="仿宋"/>
                <w:color w:val="auto"/>
                <w:sz w:val="18"/>
                <w:szCs w:val="18"/>
                <w:highlight w:val="none"/>
              </w:rPr>
            </w:pPr>
            <w:r>
              <w:rPr>
                <w:rFonts w:hint="eastAsia" w:eastAsia="仿宋"/>
                <w:color w:val="auto"/>
                <w:sz w:val="18"/>
                <w:szCs w:val="18"/>
                <w:highlight w:val="none"/>
                <w:lang w:bidi="ar"/>
              </w:rPr>
              <w:t xml:space="preserve">4</w:t>
            </w:r>
            <w:r/>
          </w:p>
        </w:tc>
        <w:tc>
          <w:tcPr>
            <w:shd w:val="clear" w:color="auto" w:fill="ffffff"/>
            <w:tcBorders>
              <w:bottom w:val="none" w:color="000000" w:sz="4" w:space="0"/>
            </w:tcBorders>
            <w:tcW w:w="6072" w:type="dxa"/>
            <w:vAlign w:val="center"/>
            <w:textDirection w:val="lrTb"/>
            <w:noWrap w:val="false"/>
          </w:tcPr>
          <w:p>
            <w:pPr>
              <w:jc w:val="left"/>
              <w:widowControl/>
              <w:rPr>
                <w:rFonts w:hint="eastAsia" w:eastAsia="仿宋"/>
                <w:color w:val="auto"/>
                <w:sz w:val="18"/>
                <w:szCs w:val="18"/>
                <w:highlight w:val="none"/>
                <w:lang w:bidi="ar"/>
              </w:rPr>
            </w:pPr>
            <w:r>
              <w:rPr>
                <w:color w:val="auto"/>
                <w:sz w:val="18"/>
                <w:szCs w:val="18"/>
                <w:highlight w:val="none"/>
              </w:rPr>
              <w:t xml:space="preserve">（1）202</w:t>
            </w:r>
            <w:r>
              <w:rPr>
                <w:rFonts w:hint="eastAsia"/>
                <w:color w:val="auto"/>
                <w:sz w:val="18"/>
                <w:szCs w:val="18"/>
                <w:highlight w:val="none"/>
              </w:rPr>
              <w:t xml:space="preserve">3</w:t>
            </w:r>
            <w:r>
              <w:rPr>
                <w:color w:val="auto"/>
                <w:sz w:val="18"/>
                <w:szCs w:val="18"/>
                <w:highlight w:val="none"/>
              </w:rPr>
              <w:t xml:space="preserve">年1月1日以来供应商获批食品检测技术相关发明专利的每项得0.2分，最高得1分。</w:t>
            </w:r>
            <w:r/>
          </w:p>
          <w:p>
            <w:pPr>
              <w:jc w:val="left"/>
              <w:widowControl/>
              <w:rPr>
                <w:rFonts w:eastAsia="仿宋"/>
                <w:color w:val="auto"/>
                <w:sz w:val="18"/>
                <w:szCs w:val="18"/>
                <w:highlight w:val="none"/>
                <w:lang w:bidi="ar"/>
              </w:rPr>
            </w:pPr>
            <w:r>
              <w:rPr>
                <w:color w:val="auto"/>
                <w:sz w:val="18"/>
                <w:szCs w:val="18"/>
                <w:highlight w:val="none"/>
              </w:rPr>
              <w:t xml:space="preserve">（2）202</w:t>
            </w:r>
            <w:r>
              <w:rPr>
                <w:rFonts w:hint="eastAsia"/>
                <w:color w:val="auto"/>
                <w:sz w:val="18"/>
                <w:szCs w:val="18"/>
                <w:highlight w:val="none"/>
              </w:rPr>
              <w:t xml:space="preserve">3</w:t>
            </w:r>
            <w:r>
              <w:rPr>
                <w:color w:val="auto"/>
                <w:sz w:val="18"/>
                <w:szCs w:val="18"/>
                <w:highlight w:val="none"/>
              </w:rPr>
              <w:t xml:space="preserve">年1月1日以来，供应商参与过国家或行业或地方食品相关检查方法、标准制定或承担过市级及以上食品相关科研项目的，每有一个得0.2分，最高得2分。须提供证书、专利、课题合同书等相关证明材料复印件加盖供应商公章。</w:t>
            </w:r>
            <w:r/>
          </w:p>
        </w:tc>
        <w:tc>
          <w:tcPr>
            <w:tcW w:w="546" w:type="dxa"/>
            <w:vAlign w:val="center"/>
            <w:vMerge w:val="restart"/>
            <w:textDirection w:val="lrTb"/>
            <w:noWrap/>
          </w:tcPr>
          <w:p>
            <w:pPr>
              <w:jc w:val="center"/>
              <w:rPr>
                <w:color w:val="auto"/>
                <w:sz w:val="18"/>
                <w:szCs w:val="18"/>
                <w:highlight w:val="none"/>
              </w:rPr>
            </w:pPr>
            <w:r>
              <w:rPr>
                <w:color w:val="auto"/>
                <w:sz w:val="18"/>
                <w:szCs w:val="18"/>
                <w:highlight w:val="none"/>
              </w:rPr>
            </w:r>
            <w:r/>
          </w:p>
        </w:tc>
        <w:tc>
          <w:tcPr>
            <w:tcW w:w="631" w:type="dxa"/>
            <w:vAlign w:val="center"/>
            <w:vMerge w:val="restart"/>
            <w:textDirection w:val="lrTb"/>
            <w:noWrap/>
          </w:tcPr>
          <w:p>
            <w:pPr>
              <w:jc w:val="center"/>
              <w:rPr>
                <w:color w:val="auto"/>
                <w:sz w:val="18"/>
                <w:szCs w:val="18"/>
                <w:highlight w:val="none"/>
              </w:rPr>
            </w:pPr>
            <w:r>
              <w:rPr>
                <w:color w:val="auto"/>
                <w:sz w:val="18"/>
                <w:szCs w:val="18"/>
                <w:highlight w:val="none"/>
              </w:rPr>
            </w:r>
            <w:r/>
          </w:p>
        </w:tc>
      </w:tr>
      <w:tr>
        <w:trPr>
          <w:jc w:val="center"/>
          <w:trHeight w:val="628"/>
        </w:trPr>
        <w:tc>
          <w:tcPr>
            <w:shd w:val="clear" w:color="auto" w:fill="ffffff"/>
            <w:tcW w:w="622" w:type="dxa"/>
            <w:vAlign w:val="center"/>
            <w:vMerge w:val="continue"/>
            <w:textDirection w:val="lrTb"/>
            <w:noWrap w:val="false"/>
          </w:tcPr>
          <w:p>
            <w:pPr>
              <w:rPr>
                <w:color w:val="auto"/>
                <w:sz w:val="18"/>
                <w:szCs w:val="18"/>
                <w:highlight w:val="none"/>
              </w:rPr>
            </w:pPr>
            <w:r>
              <w:rPr>
                <w:color w:val="auto"/>
                <w:sz w:val="18"/>
                <w:szCs w:val="18"/>
                <w:highlight w:val="none"/>
              </w:rPr>
            </w:r>
            <w:r/>
          </w:p>
        </w:tc>
        <w:tc>
          <w:tcPr>
            <w:shd w:val="clear" w:color="auto" w:fill="ffffff"/>
            <w:tcW w:w="1224" w:type="dxa"/>
            <w:vAlign w:val="center"/>
            <w:vMerge w:val="continue"/>
            <w:textDirection w:val="lrTb"/>
            <w:noWrap w:val="false"/>
          </w:tcPr>
          <w:p>
            <w:pPr>
              <w:rPr>
                <w:color w:val="auto"/>
                <w:sz w:val="18"/>
                <w:szCs w:val="18"/>
                <w:highlight w:val="none"/>
              </w:rPr>
            </w:pPr>
            <w:r>
              <w:rPr>
                <w:color w:val="auto"/>
                <w:sz w:val="18"/>
                <w:szCs w:val="18"/>
                <w:highlight w:val="none"/>
              </w:rPr>
            </w:r>
            <w:r/>
          </w:p>
        </w:tc>
        <w:tc>
          <w:tcPr>
            <w:shd w:val="clear" w:color="auto" w:fill="ffffff"/>
            <w:tcBorders>
              <w:top w:val="none" w:color="000000" w:sz="4" w:space="0"/>
            </w:tcBorders>
            <w:tcW w:w="558" w:type="dxa"/>
            <w:vAlign w:val="center"/>
            <w:textDirection w:val="lrTb"/>
            <w:noWrap w:val="false"/>
          </w:tcPr>
          <w:p>
            <w:pPr>
              <w:rPr>
                <w:color w:val="auto"/>
                <w:sz w:val="18"/>
                <w:szCs w:val="18"/>
                <w:highlight w:val="none"/>
              </w:rPr>
            </w:pPr>
            <w:r>
              <w:rPr>
                <w:color w:val="auto"/>
                <w:sz w:val="18"/>
                <w:szCs w:val="18"/>
                <w:highlight w:val="none"/>
              </w:rPr>
            </w:r>
            <w:r/>
          </w:p>
        </w:tc>
        <w:tc>
          <w:tcPr>
            <w:shd w:val="clear" w:color="auto" w:fill="ffffff"/>
            <w:tcBorders>
              <w:top w:val="none" w:color="000000" w:sz="4" w:space="0"/>
            </w:tcBorders>
            <w:tcW w:w="6072" w:type="dxa"/>
            <w:vAlign w:val="center"/>
            <w:textDirection w:val="lrTb"/>
            <w:noWrap w:val="false"/>
          </w:tcPr>
          <w:p>
            <w:pPr>
              <w:jc w:val="left"/>
              <w:widowControl/>
              <w:rPr>
                <w:rFonts w:eastAsia="仿宋"/>
                <w:color w:val="auto"/>
                <w:sz w:val="18"/>
                <w:szCs w:val="18"/>
                <w:highlight w:val="none"/>
                <w:lang w:bidi="ar"/>
              </w:rPr>
            </w:pPr>
            <w:r>
              <w:rPr>
                <w:color w:val="auto"/>
                <w:sz w:val="18"/>
                <w:szCs w:val="18"/>
                <w:highlight w:val="none"/>
              </w:rPr>
              <w:t xml:space="preserve">（3）202</w:t>
            </w:r>
            <w:r>
              <w:rPr>
                <w:rFonts w:hint="eastAsia"/>
                <w:color w:val="auto"/>
                <w:sz w:val="18"/>
                <w:szCs w:val="18"/>
                <w:highlight w:val="none"/>
              </w:rPr>
              <w:t xml:space="preserve">3</w:t>
            </w:r>
            <w:r>
              <w:rPr>
                <w:color w:val="auto"/>
                <w:sz w:val="18"/>
                <w:szCs w:val="18"/>
                <w:highlight w:val="none"/>
              </w:rPr>
              <w:t xml:space="preserve">年1月1日以来</w:t>
            </w:r>
            <w:r>
              <w:rPr>
                <w:rFonts w:hint="eastAsia"/>
                <w:color w:val="auto"/>
                <w:sz w:val="18"/>
                <w:szCs w:val="18"/>
                <w:highlight w:val="none"/>
              </w:rPr>
              <w:t xml:space="preserve">，</w:t>
            </w:r>
            <w:r>
              <w:rPr>
                <w:color w:val="auto"/>
                <w:sz w:val="18"/>
                <w:szCs w:val="18"/>
                <w:highlight w:val="none"/>
              </w:rPr>
              <w:t xml:space="preserve">为市级及以上政府部门举办的重大活动提供食品安全保障的，得1分。须提供相关证明材料复印件加盖供应商公章。</w:t>
            </w:r>
            <w:r/>
          </w:p>
        </w:tc>
        <w:tc>
          <w:tcPr>
            <w:tcW w:w="546" w:type="dxa"/>
            <w:vAlign w:val="center"/>
            <w:vMerge w:val="continue"/>
            <w:textDirection w:val="lrTb"/>
            <w:noWrap/>
          </w:tcPr>
          <w:p>
            <w:pPr>
              <w:rPr>
                <w:color w:val="auto"/>
                <w:sz w:val="18"/>
                <w:szCs w:val="18"/>
                <w:highlight w:val="none"/>
              </w:rPr>
            </w:pPr>
            <w:r>
              <w:rPr>
                <w:color w:val="auto"/>
                <w:sz w:val="18"/>
                <w:szCs w:val="18"/>
                <w:highlight w:val="none"/>
              </w:rPr>
            </w:r>
            <w:r/>
          </w:p>
        </w:tc>
        <w:tc>
          <w:tcPr>
            <w:tcW w:w="631" w:type="dxa"/>
            <w:vAlign w:val="center"/>
            <w:vMerge w:val="continue"/>
            <w:textDirection w:val="lrTb"/>
            <w:noWrap/>
          </w:tcPr>
          <w:p>
            <w:pPr>
              <w:rPr>
                <w:color w:val="auto"/>
                <w:sz w:val="18"/>
                <w:szCs w:val="18"/>
                <w:highlight w:val="none"/>
              </w:rPr>
            </w:pPr>
            <w:r>
              <w:rPr>
                <w:color w:val="auto"/>
                <w:sz w:val="18"/>
                <w:szCs w:val="18"/>
                <w:highlight w:val="none"/>
              </w:rPr>
            </w:r>
            <w:r/>
          </w:p>
        </w:tc>
      </w:tr>
      <w:tr>
        <w:trPr>
          <w:jc w:val="center"/>
          <w:trHeight w:val="420"/>
        </w:trPr>
        <w:tc>
          <w:tcPr>
            <w:shd w:val="clear" w:color="auto" w:fill="ffffff"/>
            <w:tcW w:w="622"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5</w:t>
            </w:r>
            <w:r/>
          </w:p>
        </w:tc>
        <w:tc>
          <w:tcPr>
            <w:shd w:val="clear" w:color="auto" w:fill="ffffff"/>
            <w:tcW w:w="1224"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业绩考核</w:t>
            </w:r>
            <w:r/>
          </w:p>
        </w:tc>
        <w:tc>
          <w:tcPr>
            <w:shd w:val="clear" w:color="auto" w:fill="ffffff"/>
            <w:tcW w:w="558" w:type="dxa"/>
            <w:vAlign w:val="center"/>
            <w:textDirection w:val="lrTb"/>
            <w:noWrap w:val="false"/>
          </w:tcPr>
          <w:p>
            <w:pPr>
              <w:jc w:val="center"/>
              <w:widowControl/>
              <w:rPr>
                <w:rFonts w:eastAsia="仿宋"/>
                <w:b/>
                <w:bCs/>
                <w:color w:val="auto"/>
                <w:sz w:val="18"/>
                <w:szCs w:val="18"/>
                <w:highlight w:val="none"/>
              </w:rPr>
            </w:pPr>
            <w:r>
              <w:rPr>
                <w:rFonts w:hint="eastAsia" w:eastAsia="仿宋"/>
                <w:b/>
                <w:bCs/>
                <w:color w:val="auto"/>
                <w:sz w:val="18"/>
                <w:szCs w:val="18"/>
                <w:highlight w:val="none"/>
                <w:lang w:bidi="ar"/>
              </w:rPr>
              <w:t xml:space="preserve">18</w:t>
            </w:r>
            <w:r/>
          </w:p>
        </w:tc>
        <w:tc>
          <w:tcPr>
            <w:shd w:val="clear" w:color="auto" w:fill="ffffff"/>
            <w:tcW w:w="6072" w:type="dxa"/>
            <w:vAlign w:val="center"/>
            <w:textDirection w:val="lrTb"/>
            <w:noWrap w:val="false"/>
          </w:tcPr>
          <w:p>
            <w:pPr>
              <w:jc w:val="left"/>
              <w:widowControl/>
              <w:rPr>
                <w:rFonts w:eastAsia="仿宋"/>
                <w:b/>
                <w:bCs/>
                <w:color w:val="auto"/>
                <w:sz w:val="18"/>
                <w:szCs w:val="18"/>
                <w:highlight w:val="none"/>
              </w:rPr>
            </w:pPr>
            <w:r>
              <w:rPr>
                <w:rFonts w:eastAsia="仿宋"/>
                <w:b/>
                <w:bCs/>
                <w:color w:val="auto"/>
                <w:sz w:val="18"/>
                <w:szCs w:val="18"/>
                <w:highlight w:val="none"/>
                <w:lang w:bidi="ar"/>
              </w:rPr>
              <w:t xml:space="preserve">须提供相关证明材料，不提供不得分。</w:t>
            </w:r>
            <w:r/>
          </w:p>
        </w:tc>
        <w:tc>
          <w:tcPr>
            <w:tcW w:w="546" w:type="dxa"/>
            <w:vAlign w:val="center"/>
            <w:textDirection w:val="lrTb"/>
            <w:noWrap/>
          </w:tcPr>
          <w:p>
            <w:pPr>
              <w:jc w:val="center"/>
              <w:widowControl/>
              <w:rPr>
                <w:color w:val="auto"/>
                <w:sz w:val="18"/>
                <w:szCs w:val="18"/>
                <w:highlight w:val="none"/>
              </w:rPr>
            </w:pPr>
            <w:r>
              <w:rPr>
                <w:color w:val="auto"/>
                <w:sz w:val="18"/>
                <w:szCs w:val="18"/>
                <w:highlight w:val="none"/>
                <w:lang w:bidi="ar"/>
              </w:rPr>
              <w:t xml:space="preserve">/</w:t>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1680"/>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5.1</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抽检业绩</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5</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供应商自</w:t>
            </w:r>
            <w:r>
              <w:rPr>
                <w:rFonts w:hint="eastAsia"/>
                <w:color w:val="auto"/>
                <w:sz w:val="18"/>
                <w:szCs w:val="18"/>
                <w:highlight w:val="none"/>
              </w:rPr>
              <w:t xml:space="preserve">2023年1月1日</w:t>
            </w:r>
            <w:r>
              <w:rPr>
                <w:color w:val="auto"/>
                <w:sz w:val="18"/>
                <w:szCs w:val="18"/>
                <w:highlight w:val="none"/>
              </w:rPr>
              <w:t xml:space="preserve">以来</w:t>
            </w:r>
            <w:r>
              <w:rPr>
                <w:rFonts w:hint="eastAsia"/>
                <w:color w:val="auto"/>
                <w:sz w:val="18"/>
                <w:szCs w:val="18"/>
                <w:highlight w:val="none"/>
              </w:rPr>
              <w:t xml:space="preserve">，</w:t>
            </w:r>
            <w:r>
              <w:rPr>
                <w:color w:val="auto"/>
                <w:sz w:val="18"/>
                <w:szCs w:val="18"/>
                <w:highlight w:val="none"/>
              </w:rPr>
              <w:t xml:space="preserve">承担过国本级或国转移食品安全抽样、检验及应急或专项抽检任务的每次得</w:t>
            </w:r>
            <w:r>
              <w:rPr>
                <w:rFonts w:hint="eastAsia"/>
                <w:color w:val="auto"/>
                <w:sz w:val="18"/>
                <w:szCs w:val="18"/>
                <w:highlight w:val="none"/>
              </w:rPr>
              <w:t xml:space="preserve">5</w:t>
            </w:r>
            <w:r>
              <w:rPr>
                <w:color w:val="auto"/>
                <w:sz w:val="18"/>
                <w:szCs w:val="18"/>
                <w:highlight w:val="none"/>
              </w:rPr>
              <w:t xml:space="preserve">分，承担过省级食品安全抽样、检验及应急或专项抽检任务的每次得</w:t>
            </w:r>
            <w:r>
              <w:rPr>
                <w:rFonts w:hint="eastAsia"/>
                <w:color w:val="auto"/>
                <w:sz w:val="18"/>
                <w:szCs w:val="18"/>
                <w:highlight w:val="none"/>
              </w:rPr>
              <w:t xml:space="preserve">2</w:t>
            </w:r>
            <w:r>
              <w:rPr>
                <w:color w:val="auto"/>
                <w:sz w:val="18"/>
                <w:szCs w:val="18"/>
                <w:highlight w:val="none"/>
              </w:rPr>
              <w:t xml:space="preserve">分，承担过市级食品安全抽样、检验及应急或专项抽检任务的每次得</w:t>
            </w:r>
            <w:r>
              <w:rPr>
                <w:rFonts w:hint="eastAsia"/>
                <w:color w:val="auto"/>
                <w:sz w:val="18"/>
                <w:szCs w:val="18"/>
                <w:highlight w:val="none"/>
              </w:rPr>
              <w:t xml:space="preserve">1分，</w:t>
            </w:r>
            <w:r>
              <w:rPr>
                <w:color w:val="auto"/>
                <w:sz w:val="18"/>
                <w:szCs w:val="18"/>
                <w:highlight w:val="none"/>
              </w:rPr>
              <w:t xml:space="preserve">承担过</w:t>
            </w:r>
            <w:r>
              <w:rPr>
                <w:rFonts w:hint="eastAsia"/>
                <w:color w:val="auto"/>
                <w:sz w:val="18"/>
                <w:szCs w:val="18"/>
                <w:highlight w:val="none"/>
              </w:rPr>
              <w:t xml:space="preserve">县</w:t>
            </w:r>
            <w:r>
              <w:rPr>
                <w:color w:val="auto"/>
                <w:sz w:val="18"/>
                <w:szCs w:val="18"/>
                <w:highlight w:val="none"/>
              </w:rPr>
              <w:t xml:space="preserve">级食品安全抽样、检验及应急或专项抽检任务的每次得0.5分。本项最高得5分。</w:t>
            </w:r>
            <w:r/>
          </w:p>
          <w:p>
            <w:pPr>
              <w:jc w:val="left"/>
              <w:widowControl/>
              <w:rPr>
                <w:rFonts w:eastAsia="仿宋"/>
                <w:color w:val="auto"/>
                <w:sz w:val="18"/>
                <w:szCs w:val="18"/>
                <w:highlight w:val="none"/>
              </w:rPr>
            </w:pPr>
            <w:r>
              <w:rPr>
                <w:color w:val="auto"/>
                <w:sz w:val="18"/>
                <w:szCs w:val="18"/>
                <w:highlight w:val="none"/>
              </w:rPr>
              <w:t xml:space="preserve">供应商须提供任务委托书或抽检合同复印件加盖供应商公章。</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2040"/>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5.2</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承检考核</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3</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供应商自</w:t>
            </w:r>
            <w:r>
              <w:rPr>
                <w:rFonts w:hint="eastAsia"/>
                <w:color w:val="auto"/>
                <w:sz w:val="18"/>
                <w:szCs w:val="18"/>
                <w:highlight w:val="none"/>
              </w:rPr>
              <w:t xml:space="preserve">2023年1月1日</w:t>
            </w:r>
            <w:r>
              <w:rPr>
                <w:color w:val="auto"/>
                <w:sz w:val="18"/>
                <w:szCs w:val="18"/>
                <w:highlight w:val="none"/>
              </w:rPr>
              <w:t xml:space="preserve">以来在省级及以上食品监管部门组织的承检机构考核中获得优秀（或90分（含）以上）的每次得2分，良好的得1分；市级食品监管部门组织的承检机构考核获得优秀（或90分（含）以上）的每次得1分，其他等次不得分，最高得3分。</w:t>
            </w:r>
            <w:r/>
          </w:p>
          <w:p>
            <w:pPr>
              <w:jc w:val="left"/>
              <w:widowControl/>
              <w:rPr>
                <w:color w:val="auto"/>
                <w:sz w:val="18"/>
                <w:szCs w:val="18"/>
                <w:highlight w:val="none"/>
              </w:rPr>
            </w:pPr>
            <w:r>
              <w:rPr>
                <w:color w:val="auto"/>
                <w:sz w:val="18"/>
                <w:szCs w:val="18"/>
                <w:highlight w:val="none"/>
              </w:rPr>
              <w:t xml:space="preserve">须提供市级及以上食品监管部门开具的相关证明材料复印件加盖公章，未提供相关证明材料的不得分。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549"/>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5.3</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抽检绩效</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6</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根据供应商在近</w:t>
            </w:r>
            <w:r>
              <w:rPr>
                <w:rFonts w:hint="eastAsia"/>
                <w:color w:val="auto"/>
                <w:sz w:val="18"/>
                <w:szCs w:val="18"/>
                <w:highlight w:val="none"/>
                <w:lang w:eastAsia="zh-CN"/>
              </w:rPr>
              <w:t xml:space="preserve">三</w:t>
            </w:r>
            <w:r>
              <w:rPr>
                <w:color w:val="auto"/>
                <w:sz w:val="18"/>
                <w:szCs w:val="18"/>
                <w:highlight w:val="none"/>
              </w:rPr>
              <w:t xml:space="preserve">年期间（202</w:t>
            </w:r>
            <w:r>
              <w:rPr>
                <w:rFonts w:hint="eastAsia"/>
                <w:color w:val="auto"/>
                <w:sz w:val="18"/>
                <w:szCs w:val="18"/>
                <w:highlight w:val="none"/>
              </w:rPr>
              <w:t xml:space="preserve">3</w:t>
            </w:r>
            <w:r>
              <w:rPr>
                <w:color w:val="auto"/>
                <w:sz w:val="18"/>
                <w:szCs w:val="18"/>
                <w:highlight w:val="none"/>
              </w:rPr>
              <w:t xml:space="preserve">年1月1日-202</w:t>
            </w:r>
            <w:r>
              <w:rPr>
                <w:rFonts w:hint="eastAsia"/>
                <w:color w:val="auto"/>
                <w:sz w:val="18"/>
                <w:szCs w:val="18"/>
                <w:highlight w:val="none"/>
                <w:lang w:val="en-US" w:eastAsia="zh-CN"/>
              </w:rPr>
              <w:t xml:space="preserve">5</w:t>
            </w:r>
            <w:r>
              <w:rPr>
                <w:color w:val="auto"/>
                <w:sz w:val="18"/>
                <w:szCs w:val="18"/>
                <w:highlight w:val="none"/>
              </w:rPr>
              <w:t xml:space="preserve">年12月31日）任意一年内承担县区级及以上市场监管部门委托的食品安全监督抽检工作，提供可以证明监督抽检任务总批次</w:t>
            </w:r>
            <w:r>
              <w:rPr>
                <w:rFonts w:hint="eastAsia"/>
                <w:color w:val="auto"/>
                <w:sz w:val="18"/>
                <w:szCs w:val="18"/>
                <w:highlight w:val="none"/>
              </w:rPr>
              <w:t xml:space="preserve">（</w:t>
            </w:r>
            <w:r>
              <w:rPr>
                <w:color w:val="auto"/>
                <w:sz w:val="18"/>
                <w:szCs w:val="18"/>
                <w:highlight w:val="none"/>
              </w:rPr>
              <w:t xml:space="preserve">需在同一委托单位一年内任务总批次大于</w:t>
            </w:r>
            <w:r>
              <w:rPr>
                <w:rFonts w:hint="eastAsia"/>
                <w:color w:val="auto"/>
                <w:sz w:val="18"/>
                <w:szCs w:val="18"/>
                <w:highlight w:val="none"/>
              </w:rPr>
              <w:t xml:space="preserve">3</w:t>
            </w:r>
            <w:r>
              <w:rPr>
                <w:color w:val="auto"/>
                <w:sz w:val="18"/>
                <w:szCs w:val="18"/>
                <w:highlight w:val="none"/>
              </w:rPr>
              <w:t xml:space="preserve">00批次，餐饮、</w:t>
            </w:r>
            <w:r>
              <w:rPr>
                <w:rFonts w:hint="eastAsia"/>
                <w:color w:val="auto"/>
                <w:sz w:val="18"/>
                <w:szCs w:val="18"/>
                <w:highlight w:val="none"/>
              </w:rPr>
              <w:t xml:space="preserve">食用农产品等专项</w:t>
            </w:r>
            <w:r>
              <w:rPr>
                <w:color w:val="auto"/>
                <w:sz w:val="18"/>
                <w:szCs w:val="18"/>
                <w:highlight w:val="none"/>
              </w:rPr>
              <w:t xml:space="preserve">抽检除外</w:t>
            </w:r>
            <w:r>
              <w:rPr>
                <w:rFonts w:hint="eastAsia"/>
                <w:color w:val="auto"/>
                <w:sz w:val="18"/>
                <w:szCs w:val="18"/>
                <w:highlight w:val="none"/>
              </w:rPr>
              <w:t xml:space="preserve">，相关数据可列入年度总批次）</w:t>
            </w:r>
            <w:r>
              <w:rPr>
                <w:color w:val="auto"/>
                <w:sz w:val="18"/>
                <w:szCs w:val="18"/>
                <w:highlight w:val="none"/>
              </w:rPr>
              <w:t xml:space="preserve">的材料和抽检不合格汇总表（至少</w:t>
            </w:r>
            <w:r>
              <w:rPr>
                <w:rFonts w:hint="eastAsia"/>
                <w:color w:val="auto"/>
                <w:sz w:val="18"/>
                <w:szCs w:val="18"/>
                <w:highlight w:val="none"/>
              </w:rPr>
              <w:t xml:space="preserve">3</w:t>
            </w:r>
            <w:r>
              <w:rPr>
                <w:color w:val="auto"/>
                <w:sz w:val="18"/>
                <w:szCs w:val="18"/>
                <w:highlight w:val="none"/>
              </w:rPr>
              <w:t xml:space="preserve">套，且不同委托机构），将（不合格批次数÷抽检任务总批次数）×100%，计算不合格率，</w:t>
            </w:r>
            <w:r>
              <w:rPr>
                <w:rFonts w:hint="eastAsia"/>
                <w:color w:val="auto"/>
                <w:sz w:val="18"/>
                <w:szCs w:val="18"/>
                <w:highlight w:val="none"/>
              </w:rPr>
              <w:t xml:space="preserve">3</w:t>
            </w:r>
            <w:r>
              <w:rPr>
                <w:color w:val="auto"/>
                <w:sz w:val="18"/>
                <w:szCs w:val="18"/>
                <w:highlight w:val="none"/>
              </w:rPr>
              <w:t xml:space="preserve">套加权平均。供应商的不合格率为2.5%的得基本分2分，每高0.1%，增加0.1分</w:t>
            </w:r>
            <w:r>
              <w:rPr>
                <w:rFonts w:hint="eastAsia"/>
                <w:color w:val="auto"/>
                <w:sz w:val="18"/>
                <w:szCs w:val="18"/>
                <w:highlight w:val="none"/>
              </w:rPr>
              <w:t xml:space="preserve">；</w:t>
            </w:r>
            <w:r>
              <w:rPr>
                <w:color w:val="auto"/>
                <w:sz w:val="18"/>
                <w:szCs w:val="18"/>
                <w:highlight w:val="none"/>
              </w:rPr>
              <w:t xml:space="preserve">低于2.5%不得分。</w:t>
            </w:r>
            <w:r>
              <w:rPr>
                <w:rFonts w:hint="eastAsia"/>
                <w:color w:val="auto"/>
                <w:sz w:val="18"/>
                <w:szCs w:val="18"/>
                <w:highlight w:val="none"/>
              </w:rPr>
              <w:t xml:space="preserve">南通范围内的数据由我局直接从系统中调用核查（供应商需提供每套数据的基本信息，如有误差以我局确认数据为准）。</w:t>
            </w:r>
            <w:r>
              <w:rPr>
                <w:color w:val="auto"/>
                <w:sz w:val="18"/>
                <w:szCs w:val="18"/>
                <w:highlight w:val="none"/>
              </w:rPr>
              <w:t xml:space="preserve">提供材料</w:t>
            </w:r>
            <w:r>
              <w:rPr>
                <w:rFonts w:hint="eastAsia"/>
                <w:color w:val="auto"/>
                <w:sz w:val="18"/>
                <w:szCs w:val="18"/>
                <w:highlight w:val="none"/>
              </w:rPr>
              <w:t xml:space="preserve">不足3套</w:t>
            </w:r>
            <w:r>
              <w:rPr>
                <w:color w:val="auto"/>
                <w:sz w:val="18"/>
                <w:szCs w:val="18"/>
                <w:highlight w:val="none"/>
              </w:rPr>
              <w:t xml:space="preserve">的，</w:t>
            </w:r>
            <w:r>
              <w:rPr>
                <w:rFonts w:hint="eastAsia"/>
                <w:color w:val="auto"/>
                <w:sz w:val="18"/>
                <w:szCs w:val="18"/>
                <w:highlight w:val="none"/>
              </w:rPr>
              <w:t xml:space="preserve">每少1套</w:t>
            </w:r>
            <w:r>
              <w:rPr>
                <w:color w:val="auto"/>
                <w:sz w:val="18"/>
                <w:szCs w:val="18"/>
                <w:highlight w:val="none"/>
              </w:rPr>
              <w:t xml:space="preserve">扣</w:t>
            </w:r>
            <w:r>
              <w:rPr>
                <w:rFonts w:hint="eastAsia"/>
                <w:color w:val="auto"/>
                <w:sz w:val="18"/>
                <w:szCs w:val="18"/>
                <w:highlight w:val="none"/>
              </w:rPr>
              <w:t xml:space="preserve">2</w:t>
            </w:r>
            <w:r>
              <w:rPr>
                <w:color w:val="auto"/>
                <w:sz w:val="18"/>
                <w:szCs w:val="18"/>
                <w:highlight w:val="none"/>
              </w:rPr>
              <w:t xml:space="preserve">分。满分6分。</w:t>
            </w:r>
            <w:r/>
          </w:p>
          <w:p>
            <w:pPr>
              <w:jc w:val="left"/>
              <w:widowControl/>
              <w:rPr>
                <w:color w:val="auto"/>
                <w:sz w:val="18"/>
                <w:szCs w:val="18"/>
                <w:highlight w:val="none"/>
              </w:rPr>
            </w:pPr>
            <w:r>
              <w:rPr>
                <w:color w:val="auto"/>
                <w:sz w:val="18"/>
                <w:szCs w:val="18"/>
                <w:highlight w:val="none"/>
              </w:rPr>
              <w:t xml:space="preserve">提供完整的证明材料：（1）合同或任务委托文件（能够确定本次抽检总批次数，不含专项抽检）；（2）合格率证明文件，必须由委托单位盖章确认。</w:t>
            </w:r>
            <w:r>
              <w:rPr>
                <w:rFonts w:hint="eastAsia"/>
                <w:color w:val="auto"/>
                <w:sz w:val="18"/>
                <w:szCs w:val="18"/>
                <w:highlight w:val="none"/>
              </w:rPr>
              <w:t xml:space="preserve">（3）未提供相关证明材料的不得分，按照考核中成绩中最好的填报，同一类型不重复得分。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1060"/>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5.4</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数据质量</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2</w:t>
            </w:r>
            <w:r/>
          </w:p>
        </w:tc>
        <w:tc>
          <w:tcPr>
            <w:shd w:val="clear" w:color="auto" w:fill="ffffff"/>
            <w:tcW w:w="6072" w:type="dxa"/>
            <w:vAlign w:val="center"/>
            <w:textDirection w:val="lrTb"/>
            <w:noWrap w:val="false"/>
          </w:tcPr>
          <w:p>
            <w:pPr>
              <w:jc w:val="left"/>
              <w:widowControl/>
              <w:rPr>
                <w:rFonts w:eastAsia="仿宋"/>
                <w:color w:val="auto"/>
                <w:sz w:val="18"/>
                <w:szCs w:val="18"/>
                <w:highlight w:val="none"/>
              </w:rPr>
            </w:pPr>
            <w:r>
              <w:rPr>
                <w:color w:val="auto"/>
                <w:sz w:val="18"/>
                <w:szCs w:val="18"/>
                <w:highlight w:val="none"/>
              </w:rPr>
              <w:t xml:space="preserve">供应商在省</w:t>
            </w:r>
            <w:r>
              <w:rPr>
                <w:rFonts w:hint="eastAsia"/>
                <w:color w:val="auto"/>
                <w:sz w:val="18"/>
                <w:szCs w:val="18"/>
                <w:highlight w:val="none"/>
              </w:rPr>
              <w:t xml:space="preserve">级</w:t>
            </w:r>
            <w:r>
              <w:rPr>
                <w:color w:val="auto"/>
                <w:sz w:val="18"/>
                <w:szCs w:val="18"/>
                <w:highlight w:val="none"/>
              </w:rPr>
              <w:t xml:space="preserve">、市</w:t>
            </w:r>
            <w:r>
              <w:rPr>
                <w:rFonts w:hint="eastAsia"/>
                <w:color w:val="auto"/>
                <w:sz w:val="18"/>
                <w:szCs w:val="18"/>
                <w:highlight w:val="none"/>
              </w:rPr>
              <w:t xml:space="preserve">级</w:t>
            </w:r>
            <w:r>
              <w:rPr>
                <w:color w:val="auto"/>
                <w:sz w:val="18"/>
                <w:szCs w:val="18"/>
                <w:highlight w:val="none"/>
              </w:rPr>
              <w:t xml:space="preserve">数据质量抽查中准确率98%以上得0.5分，低于98%的不得分，每增加0.5%得0.5分，最高得2分。须提供设区市以上市场监管局的证明。</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rPr>
                <w:color w:val="auto"/>
                <w:sz w:val="18"/>
                <w:szCs w:val="18"/>
                <w:highlight w:val="none"/>
              </w:rPr>
            </w:pPr>
            <w:r>
              <w:rPr>
                <w:color w:val="auto"/>
                <w:sz w:val="18"/>
                <w:szCs w:val="18"/>
                <w:highlight w:val="none"/>
              </w:rPr>
            </w:r>
            <w:r/>
          </w:p>
        </w:tc>
      </w:tr>
      <w:tr>
        <w:trPr>
          <w:jc w:val="center"/>
          <w:trHeight w:val="3417"/>
        </w:trPr>
        <w:tc>
          <w:tcPr>
            <w:shd w:val="clear" w:color="auto" w:fill="ffffff"/>
            <w:tcW w:w="622"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5.5</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合格备份样品再利用工作情况</w:t>
            </w:r>
            <w:r/>
          </w:p>
        </w:tc>
        <w:tc>
          <w:tcPr>
            <w:shd w:val="clear" w:color="auto" w:fill="ffffff"/>
            <w:tcW w:w="558" w:type="dxa"/>
            <w:vAlign w:val="center"/>
            <w:textDirection w:val="lrTb"/>
            <w:noWrap w:val="false"/>
          </w:tcPr>
          <w:p>
            <w:pPr>
              <w:jc w:val="center"/>
              <w:widowControl/>
              <w:rPr>
                <w:rFonts w:eastAsia="仿宋"/>
                <w:color w:val="auto"/>
                <w:sz w:val="18"/>
                <w:szCs w:val="18"/>
                <w:highlight w:val="none"/>
              </w:rPr>
            </w:pPr>
            <w:r>
              <w:rPr>
                <w:rFonts w:hint="eastAsia" w:eastAsia="仿宋"/>
                <w:color w:val="auto"/>
                <w:sz w:val="18"/>
                <w:szCs w:val="18"/>
                <w:highlight w:val="none"/>
                <w:lang w:bidi="ar"/>
              </w:rPr>
              <w:t xml:space="preserve">2</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合格备份样品再利用工作情况，自202</w:t>
            </w:r>
            <w:r>
              <w:rPr>
                <w:rFonts w:hint="eastAsia"/>
                <w:color w:val="auto"/>
                <w:sz w:val="18"/>
                <w:szCs w:val="18"/>
                <w:highlight w:val="none"/>
              </w:rPr>
              <w:t xml:space="preserve">3</w:t>
            </w:r>
            <w:r>
              <w:rPr>
                <w:color w:val="auto"/>
                <w:sz w:val="18"/>
                <w:szCs w:val="18"/>
                <w:highlight w:val="none"/>
              </w:rPr>
              <w:t xml:space="preserve">年1月1日以来，投标人：</w:t>
            </w:r>
            <w:r/>
          </w:p>
          <w:p>
            <w:pPr>
              <w:jc w:val="left"/>
              <w:widowControl/>
              <w:rPr>
                <w:color w:val="auto"/>
                <w:sz w:val="18"/>
                <w:szCs w:val="18"/>
                <w:highlight w:val="none"/>
              </w:rPr>
            </w:pPr>
            <w:r>
              <w:rPr>
                <w:color w:val="auto"/>
                <w:sz w:val="18"/>
                <w:szCs w:val="18"/>
                <w:highlight w:val="none"/>
              </w:rPr>
              <w:t xml:space="preserve">已建立抽检合格备份样品再利用工作制度机制的</w:t>
            </w:r>
            <w:r>
              <w:rPr>
                <w:rFonts w:hint="eastAsia"/>
                <w:color w:val="auto"/>
                <w:sz w:val="18"/>
                <w:szCs w:val="18"/>
                <w:highlight w:val="none"/>
              </w:rPr>
              <w:t xml:space="preserve">，得</w:t>
            </w:r>
            <w:r>
              <w:rPr>
                <w:color w:val="auto"/>
                <w:sz w:val="18"/>
                <w:szCs w:val="18"/>
                <w:highlight w:val="none"/>
              </w:rPr>
              <w:t xml:space="preserve">0.5分</w:t>
            </w:r>
            <w:r>
              <w:rPr>
                <w:rFonts w:hint="eastAsia"/>
                <w:color w:val="auto"/>
                <w:sz w:val="18"/>
                <w:szCs w:val="18"/>
                <w:highlight w:val="none"/>
              </w:rPr>
              <w:t xml:space="preserve">；</w:t>
            </w:r>
            <w:r/>
          </w:p>
          <w:p>
            <w:pPr>
              <w:jc w:val="left"/>
              <w:widowControl/>
              <w:rPr>
                <w:rFonts w:hint="eastAsia"/>
                <w:color w:val="auto"/>
                <w:sz w:val="18"/>
                <w:szCs w:val="18"/>
                <w:highlight w:val="none"/>
              </w:rPr>
            </w:pPr>
            <w:r>
              <w:rPr>
                <w:rFonts w:hint="eastAsia"/>
                <w:color w:val="auto"/>
                <w:sz w:val="18"/>
                <w:szCs w:val="18"/>
                <w:highlight w:val="none"/>
              </w:rPr>
              <w:t xml:space="preserve">有充分依据证明</w:t>
            </w:r>
            <w:r>
              <w:rPr>
                <w:color w:val="auto"/>
                <w:sz w:val="18"/>
                <w:szCs w:val="18"/>
                <w:highlight w:val="none"/>
              </w:rPr>
              <w:t xml:space="preserve">已开展抽检合格备份样品再利用工作的</w:t>
            </w:r>
            <w:r>
              <w:rPr>
                <w:rFonts w:hint="eastAsia"/>
                <w:color w:val="auto"/>
                <w:sz w:val="18"/>
                <w:szCs w:val="18"/>
                <w:highlight w:val="none"/>
              </w:rPr>
              <w:t xml:space="preserve">，</w:t>
            </w:r>
            <w:r>
              <w:rPr>
                <w:color w:val="auto"/>
                <w:sz w:val="18"/>
                <w:szCs w:val="18"/>
                <w:highlight w:val="none"/>
              </w:rPr>
              <w:t xml:space="preserve">得1分</w:t>
            </w:r>
            <w:r>
              <w:rPr>
                <w:rFonts w:hint="eastAsia"/>
                <w:color w:val="auto"/>
                <w:sz w:val="18"/>
                <w:szCs w:val="18"/>
                <w:highlight w:val="none"/>
              </w:rPr>
              <w:t xml:space="preserve">；</w:t>
            </w:r>
            <w:r/>
          </w:p>
          <w:p>
            <w:pPr>
              <w:jc w:val="left"/>
              <w:widowControl/>
              <w:rPr>
                <w:rFonts w:hint="eastAsia"/>
                <w:color w:val="auto"/>
                <w:sz w:val="18"/>
                <w:szCs w:val="18"/>
                <w:highlight w:val="none"/>
              </w:rPr>
            </w:pPr>
            <w:r>
              <w:rPr>
                <w:color w:val="auto"/>
                <w:sz w:val="18"/>
                <w:szCs w:val="18"/>
                <w:highlight w:val="none"/>
              </w:rPr>
              <w:t xml:space="preserve">已开展抽检合格备份样品再利用工作取得良好社会效果（如媒体报道、受益方出具的感谢信等）的</w:t>
            </w:r>
            <w:r>
              <w:rPr>
                <w:rFonts w:hint="eastAsia"/>
                <w:color w:val="auto"/>
                <w:sz w:val="18"/>
                <w:szCs w:val="18"/>
                <w:highlight w:val="none"/>
              </w:rPr>
              <w:t xml:space="preserve">，得</w:t>
            </w:r>
            <w:r>
              <w:rPr>
                <w:color w:val="auto"/>
                <w:sz w:val="18"/>
                <w:szCs w:val="18"/>
                <w:highlight w:val="none"/>
              </w:rPr>
              <w:t xml:space="preserve">0.5分</w:t>
            </w:r>
            <w:r>
              <w:rPr>
                <w:rFonts w:hint="eastAsia"/>
                <w:color w:val="auto"/>
                <w:sz w:val="18"/>
                <w:szCs w:val="18"/>
                <w:highlight w:val="none"/>
              </w:rPr>
              <w:t xml:space="preserve">。</w:t>
            </w:r>
            <w:r/>
          </w:p>
          <w:p>
            <w:pPr>
              <w:jc w:val="left"/>
              <w:widowControl/>
              <w:rPr>
                <w:color w:val="auto"/>
                <w:sz w:val="18"/>
                <w:szCs w:val="18"/>
                <w:highlight w:val="none"/>
              </w:rPr>
            </w:pPr>
            <w:r>
              <w:rPr>
                <w:rFonts w:hint="eastAsia"/>
                <w:color w:val="auto"/>
                <w:sz w:val="18"/>
                <w:szCs w:val="18"/>
                <w:highlight w:val="none"/>
              </w:rPr>
              <w:t xml:space="preserve">需</w:t>
            </w:r>
            <w:r>
              <w:rPr>
                <w:color w:val="auto"/>
                <w:sz w:val="18"/>
                <w:szCs w:val="18"/>
                <w:highlight w:val="none"/>
              </w:rPr>
              <w:t xml:space="preserve">提供相关工作制度、开展情况介绍、良好的社会效应等证明材料。备样再利用方式包括捐赠、拍卖、义卖等方式。</w:t>
            </w:r>
            <w:r/>
          </w:p>
          <w:p>
            <w:pPr>
              <w:jc w:val="left"/>
              <w:widowControl/>
              <w:rPr>
                <w:color w:val="auto"/>
                <w:sz w:val="18"/>
                <w:szCs w:val="18"/>
                <w:highlight w:val="none"/>
              </w:rPr>
            </w:pPr>
            <w:r>
              <w:rPr>
                <w:color w:val="auto"/>
                <w:sz w:val="18"/>
                <w:szCs w:val="18"/>
                <w:highlight w:val="none"/>
              </w:rPr>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1177"/>
        </w:trPr>
        <w:tc>
          <w:tcPr>
            <w:shd w:val="clear" w:color="auto" w:fill="ffffff"/>
            <w:tcW w:w="622" w:type="dxa"/>
            <w:vAlign w:val="center"/>
            <w:textDirection w:val="lrTb"/>
            <w:noWrap w:val="false"/>
          </w:tcPr>
          <w:p>
            <w:pPr>
              <w:jc w:val="center"/>
              <w:widowControl/>
              <w:rPr>
                <w:rFonts w:eastAsia="仿宋"/>
                <w:b/>
                <w:bCs/>
                <w:color w:val="auto"/>
                <w:sz w:val="18"/>
                <w:szCs w:val="18"/>
                <w:highlight w:val="none"/>
              </w:rPr>
            </w:pPr>
            <w:r>
              <w:rPr>
                <w:rFonts w:eastAsia="仿宋"/>
                <w:b/>
                <w:bCs/>
                <w:color w:val="auto"/>
                <w:sz w:val="18"/>
                <w:szCs w:val="18"/>
                <w:highlight w:val="none"/>
                <w:lang w:bidi="ar"/>
              </w:rPr>
              <w:t xml:space="preserve">6</w:t>
            </w:r>
            <w:r/>
          </w:p>
        </w:tc>
        <w:tc>
          <w:tcPr>
            <w:shd w:val="clear" w:color="auto" w:fill="ffffff"/>
            <w:tcW w:w="1224" w:type="dxa"/>
            <w:vAlign w:val="center"/>
            <w:textDirection w:val="lrTb"/>
            <w:noWrap w:val="false"/>
          </w:tcPr>
          <w:p>
            <w:pPr>
              <w:jc w:val="center"/>
              <w:widowControl/>
              <w:rPr>
                <w:rFonts w:hint="default" w:eastAsia="仿宋"/>
                <w:b/>
                <w:bCs/>
                <w:color w:val="auto"/>
                <w:sz w:val="18"/>
                <w:szCs w:val="18"/>
                <w:highlight w:val="none"/>
                <w:lang w:val="en-US" w:eastAsia="zh-CN"/>
              </w:rPr>
            </w:pPr>
            <w:r>
              <w:rPr>
                <w:rFonts w:hint="eastAsia" w:eastAsia="仿宋"/>
                <w:b/>
                <w:bCs/>
                <w:color w:val="auto"/>
                <w:sz w:val="18"/>
                <w:szCs w:val="18"/>
                <w:highlight w:val="none"/>
                <w:lang w:val="en-US" w:eastAsia="zh-CN"/>
              </w:rPr>
              <w:t xml:space="preserve">应急响应</w:t>
            </w:r>
            <w:r/>
          </w:p>
        </w:tc>
        <w:tc>
          <w:tcPr>
            <w:shd w:val="clear" w:color="auto" w:fill="ffffff"/>
            <w:tcW w:w="558" w:type="dxa"/>
            <w:vAlign w:val="center"/>
            <w:textDirection w:val="lrTb"/>
            <w:noWrap w:val="false"/>
          </w:tcPr>
          <w:p>
            <w:pPr>
              <w:jc w:val="center"/>
              <w:widowControl/>
              <w:rPr>
                <w:rFonts w:hint="eastAsia" w:eastAsia="仿宋"/>
                <w:b/>
                <w:bCs/>
                <w:color w:val="auto"/>
                <w:sz w:val="18"/>
                <w:szCs w:val="18"/>
                <w:highlight w:val="none"/>
                <w:lang w:val="en-US" w:eastAsia="zh-CN" w:bidi="ar"/>
              </w:rPr>
            </w:pPr>
            <w:r>
              <w:rPr>
                <w:rFonts w:hint="eastAsia" w:eastAsia="仿宋"/>
                <w:b/>
                <w:bCs/>
                <w:color w:val="auto"/>
                <w:sz w:val="18"/>
                <w:szCs w:val="18"/>
                <w:highlight w:val="none"/>
                <w:lang w:val="en-US" w:eastAsia="zh-CN" w:bidi="ar"/>
              </w:rPr>
              <w:t xml:space="preserve">6</w:t>
            </w:r>
            <w:r/>
          </w:p>
        </w:tc>
        <w:tc>
          <w:tcPr>
            <w:shd w:val="clear" w:color="auto" w:fill="ffffff"/>
            <w:tcW w:w="6072" w:type="dxa"/>
            <w:vAlign w:val="center"/>
            <w:textDirection w:val="lrTb"/>
            <w:noWrap w:val="false"/>
          </w:tcPr>
          <w:p>
            <w:pPr>
              <w:jc w:val="left"/>
              <w:widowControl/>
              <w:rPr>
                <w:b/>
                <w:bCs/>
                <w:color w:val="auto"/>
                <w:sz w:val="18"/>
                <w:szCs w:val="18"/>
                <w:highlight w:val="none"/>
              </w:rPr>
            </w:pPr>
            <w:r>
              <w:rPr>
                <w:b/>
                <w:bCs/>
                <w:color w:val="auto"/>
                <w:sz w:val="18"/>
                <w:szCs w:val="18"/>
                <w:highlight w:val="none"/>
              </w:rPr>
              <w:t xml:space="preserve">须提供承诺书原件，以驾车导航距离计算，供应商须提供检验地址、导航电子地图工作时间段从检验地址到采购单位的导航截图作为参考依据，在投标文件中自行标距离，不得以直线距离计算。</w:t>
            </w:r>
            <w:r/>
          </w:p>
        </w:tc>
        <w:tc>
          <w:tcPr>
            <w:tcW w:w="546" w:type="dxa"/>
            <w:vAlign w:val="center"/>
            <w:textDirection w:val="lrTb"/>
            <w:noWrap/>
          </w:tcPr>
          <w:p>
            <w:pPr>
              <w:jc w:val="center"/>
              <w:rPr>
                <w:b/>
                <w:bCs/>
                <w:color w:val="auto"/>
                <w:sz w:val="18"/>
                <w:szCs w:val="18"/>
                <w:highlight w:val="none"/>
              </w:rPr>
            </w:pPr>
            <w:r>
              <w:rPr>
                <w:b/>
                <w:bCs/>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r/>
          </w:p>
        </w:tc>
      </w:tr>
      <w:tr>
        <w:trPr>
          <w:jc w:val="center"/>
          <w:trHeight w:val="2752"/>
        </w:trPr>
        <w:tc>
          <w:tcPr>
            <w:shd w:val="clear" w:color="auto" w:fill="ffffff"/>
            <w:tcW w:w="622" w:type="dxa"/>
            <w:vAlign w:val="center"/>
            <w:textDirection w:val="lrTb"/>
            <w:noWrap w:val="false"/>
          </w:tcPr>
          <w:p>
            <w:pPr>
              <w:jc w:val="center"/>
              <w:widowControl/>
              <w:rPr>
                <w:rFonts w:hint="default" w:eastAsia="仿宋"/>
                <w:color w:val="auto"/>
                <w:sz w:val="18"/>
                <w:szCs w:val="18"/>
                <w:highlight w:val="none"/>
                <w:lang w:val="en-US" w:eastAsia="zh-CN"/>
              </w:rPr>
            </w:pPr>
            <w:r>
              <w:rPr>
                <w:rFonts w:hint="eastAsia" w:eastAsia="仿宋"/>
                <w:color w:val="auto"/>
                <w:sz w:val="18"/>
                <w:szCs w:val="18"/>
                <w:highlight w:val="none"/>
                <w:lang w:val="en-US" w:eastAsia="zh-CN"/>
              </w:rPr>
              <w:t xml:space="preserve">6.1</w:t>
            </w:r>
            <w:r/>
          </w:p>
        </w:tc>
        <w:tc>
          <w:tcPr>
            <w:shd w:val="clear" w:color="auto" w:fill="ffffff"/>
            <w:tcW w:w="1224"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应急时间响应承诺</w:t>
            </w:r>
            <w:r/>
          </w:p>
        </w:tc>
        <w:tc>
          <w:tcPr>
            <w:shd w:val="clear" w:color="auto" w:fill="ffffff"/>
            <w:tcBorders>
              <w:top w:val="single" w:color="auto" w:sz="4" w:space="0"/>
              <w:bottom w:val="single" w:color="auto" w:sz="4" w:space="0"/>
            </w:tcBorders>
            <w:tcW w:w="558" w:type="dxa"/>
            <w:vAlign w:val="center"/>
            <w:textDirection w:val="lrTb"/>
            <w:noWrap w:val="false"/>
          </w:tcPr>
          <w:p>
            <w:pPr>
              <w:jc w:val="center"/>
              <w:widowControl/>
              <w:rPr>
                <w:rFonts w:eastAsia="仿宋"/>
                <w:color w:val="auto"/>
                <w:sz w:val="18"/>
                <w:szCs w:val="18"/>
                <w:highlight w:val="none"/>
              </w:rPr>
            </w:pPr>
            <w:r>
              <w:rPr>
                <w:rFonts w:eastAsia="仿宋"/>
                <w:color w:val="auto"/>
                <w:sz w:val="18"/>
                <w:szCs w:val="18"/>
                <w:highlight w:val="none"/>
                <w:lang w:bidi="ar"/>
              </w:rPr>
              <w:t xml:space="preserve">6</w:t>
            </w:r>
            <w:r/>
          </w:p>
        </w:tc>
        <w:tc>
          <w:tcPr>
            <w:shd w:val="clear" w:color="auto" w:fill="ffffff"/>
            <w:tcW w:w="6072" w:type="dxa"/>
            <w:vAlign w:val="center"/>
            <w:textDirection w:val="lrTb"/>
            <w:noWrap w:val="false"/>
          </w:tcPr>
          <w:p>
            <w:pPr>
              <w:jc w:val="left"/>
              <w:widowControl/>
              <w:rPr>
                <w:color w:val="auto"/>
                <w:sz w:val="18"/>
                <w:szCs w:val="18"/>
                <w:highlight w:val="none"/>
              </w:rPr>
            </w:pPr>
            <w:r>
              <w:rPr>
                <w:color w:val="auto"/>
                <w:sz w:val="18"/>
                <w:szCs w:val="18"/>
                <w:highlight w:val="none"/>
              </w:rPr>
              <w:t xml:space="preserve">供应商需具备配合采购人在如东辖区内应急处置的能力。包括但不限于在当地（南通）抽样队伍的配备、样品的运输以及能否确保如东县级工作任务按时完成，抽样、检测过程中可能遇到的各类突发情况的应急解决处置措施。接到采购人的应急通知后，供应商立即派遣有资质的员工前往现场，按规范协助食品安全执法、采样及现场处置，供应商承诺</w:t>
            </w:r>
            <w:r>
              <w:rPr>
                <w:rFonts w:hint="eastAsia"/>
                <w:color w:val="auto"/>
                <w:sz w:val="18"/>
                <w:szCs w:val="18"/>
                <w:highlight w:val="none"/>
                <w:lang w:val="en-US" w:eastAsia="zh-CN"/>
              </w:rPr>
              <w:t xml:space="preserve">样品到实验室</w:t>
            </w:r>
            <w:r>
              <w:rPr>
                <w:color w:val="auto"/>
                <w:sz w:val="18"/>
                <w:szCs w:val="18"/>
                <w:highlight w:val="none"/>
              </w:rPr>
              <w:t xml:space="preserve">的时间：（满分6分）</w:t>
            </w:r>
            <w:r/>
          </w:p>
          <w:p>
            <w:pPr>
              <w:jc w:val="left"/>
              <w:widowControl/>
              <w:rPr>
                <w:rFonts w:hint="eastAsia"/>
                <w:color w:val="auto"/>
                <w:sz w:val="18"/>
                <w:szCs w:val="18"/>
                <w:highlight w:val="none"/>
              </w:rPr>
            </w:pPr>
            <w:r>
              <w:rPr>
                <w:rFonts w:hint="eastAsia"/>
                <w:color w:val="auto"/>
                <w:sz w:val="18"/>
                <w:szCs w:val="18"/>
                <w:highlight w:val="none"/>
              </w:rPr>
              <w:t xml:space="preserve">1</w:t>
            </w:r>
            <w:r>
              <w:rPr>
                <w:color w:val="auto"/>
                <w:sz w:val="18"/>
                <w:szCs w:val="18"/>
                <w:highlight w:val="none"/>
              </w:rPr>
              <w:t xml:space="preserve">小时（含）以内的得6分；</w:t>
            </w:r>
            <w:r/>
          </w:p>
          <w:p>
            <w:pPr>
              <w:jc w:val="left"/>
              <w:widowControl/>
              <w:rPr>
                <w:rFonts w:hint="eastAsia"/>
                <w:color w:val="auto"/>
                <w:sz w:val="18"/>
                <w:szCs w:val="18"/>
                <w:highlight w:val="none"/>
              </w:rPr>
            </w:pPr>
            <w:r>
              <w:rPr>
                <w:rFonts w:hint="eastAsia"/>
                <w:color w:val="auto"/>
                <w:sz w:val="18"/>
                <w:szCs w:val="18"/>
                <w:highlight w:val="none"/>
              </w:rPr>
              <w:t xml:space="preserve">2</w:t>
            </w:r>
            <w:r>
              <w:rPr>
                <w:color w:val="auto"/>
                <w:sz w:val="18"/>
                <w:szCs w:val="18"/>
                <w:highlight w:val="none"/>
              </w:rPr>
              <w:t xml:space="preserve">小时以内的得</w:t>
            </w:r>
            <w:r>
              <w:rPr>
                <w:rFonts w:hint="eastAsia"/>
                <w:color w:val="auto"/>
                <w:sz w:val="18"/>
                <w:szCs w:val="18"/>
                <w:highlight w:val="none"/>
                <w:lang w:val="en-US" w:eastAsia="zh-CN"/>
              </w:rPr>
              <w:t xml:space="preserve">4</w:t>
            </w:r>
            <w:r>
              <w:rPr>
                <w:color w:val="auto"/>
                <w:sz w:val="18"/>
                <w:szCs w:val="18"/>
                <w:highlight w:val="none"/>
              </w:rPr>
              <w:t xml:space="preserve">分；</w:t>
            </w:r>
            <w:r/>
          </w:p>
          <w:p>
            <w:pPr>
              <w:jc w:val="left"/>
              <w:widowControl/>
              <w:rPr>
                <w:rFonts w:hint="eastAsia"/>
                <w:color w:val="auto"/>
                <w:sz w:val="18"/>
                <w:szCs w:val="18"/>
                <w:highlight w:val="none"/>
              </w:rPr>
            </w:pPr>
            <w:r>
              <w:rPr>
                <w:rFonts w:hint="eastAsia"/>
                <w:color w:val="auto"/>
                <w:sz w:val="18"/>
                <w:szCs w:val="18"/>
                <w:highlight w:val="none"/>
              </w:rPr>
              <w:t xml:space="preserve">4</w:t>
            </w:r>
            <w:r>
              <w:rPr>
                <w:color w:val="auto"/>
                <w:sz w:val="18"/>
                <w:szCs w:val="18"/>
                <w:highlight w:val="none"/>
              </w:rPr>
              <w:t xml:space="preserve">小时以内的得</w:t>
            </w:r>
            <w:r>
              <w:rPr>
                <w:rFonts w:hint="eastAsia"/>
                <w:color w:val="auto"/>
                <w:sz w:val="18"/>
                <w:szCs w:val="18"/>
                <w:highlight w:val="none"/>
                <w:lang w:val="en-US" w:eastAsia="zh-CN"/>
              </w:rPr>
              <w:t xml:space="preserve">2</w:t>
            </w:r>
            <w:r>
              <w:rPr>
                <w:color w:val="auto"/>
                <w:sz w:val="18"/>
                <w:szCs w:val="18"/>
                <w:highlight w:val="none"/>
              </w:rPr>
              <w:t xml:space="preserve">分；</w:t>
            </w:r>
            <w:r/>
          </w:p>
          <w:p>
            <w:pPr>
              <w:jc w:val="left"/>
              <w:widowControl/>
              <w:rPr>
                <w:color w:val="auto"/>
                <w:sz w:val="18"/>
                <w:szCs w:val="18"/>
                <w:highlight w:val="none"/>
              </w:rPr>
            </w:pPr>
            <w:r>
              <w:rPr>
                <w:rFonts w:hint="eastAsia"/>
                <w:color w:val="auto"/>
                <w:sz w:val="18"/>
                <w:szCs w:val="18"/>
                <w:highlight w:val="none"/>
              </w:rPr>
              <w:t xml:space="preserve">4</w:t>
            </w:r>
            <w:r>
              <w:rPr>
                <w:color w:val="auto"/>
                <w:sz w:val="18"/>
                <w:szCs w:val="18"/>
                <w:highlight w:val="none"/>
              </w:rPr>
              <w:t xml:space="preserve">小时以上及未承诺的不得分。</w:t>
            </w:r>
            <w:r/>
          </w:p>
        </w:tc>
        <w:tc>
          <w:tcPr>
            <w:tcW w:w="546" w:type="dxa"/>
            <w:vAlign w:val="center"/>
            <w:textDirection w:val="lrTb"/>
            <w:noWrap/>
          </w:tcPr>
          <w:p>
            <w:pPr>
              <w:jc w:val="center"/>
              <w:rPr>
                <w:color w:val="auto"/>
                <w:sz w:val="18"/>
                <w:szCs w:val="18"/>
                <w:highlight w:val="none"/>
              </w:rPr>
            </w:pPr>
            <w:r>
              <w:rPr>
                <w:color w:val="auto"/>
                <w:sz w:val="18"/>
                <w:szCs w:val="18"/>
                <w:highlight w:val="none"/>
              </w:rPr>
            </w:r>
            <w:r/>
          </w:p>
        </w:tc>
        <w:tc>
          <w:tcPr>
            <w:tcW w:w="631" w:type="dxa"/>
            <w:vAlign w:val="center"/>
            <w:textDirection w:val="lrTb"/>
            <w:noWrap/>
          </w:tcPr>
          <w:p>
            <w:pPr>
              <w:jc w:val="center"/>
              <w:rPr>
                <w:color w:val="auto"/>
                <w:sz w:val="18"/>
                <w:szCs w:val="18"/>
                <w:highlight w:val="none"/>
              </w:rPr>
            </w:pPr>
            <w:r>
              <w:rPr>
                <w:color w:val="auto"/>
                <w:sz w:val="18"/>
                <w:szCs w:val="18"/>
                <w:highlight w:val="none"/>
              </w:rPr>
            </w:r>
            <w:bookmarkEnd w:id="189"/>
            <w:r/>
            <w:r/>
          </w:p>
        </w:tc>
      </w:tr>
    </w:tbl>
    <w:p>
      <w:pPr>
        <w:rPr>
          <w:rFonts w:hint="eastAsia"/>
          <w:color w:val="auto"/>
          <w:highlight w:val="none"/>
        </w:rPr>
      </w:pPr>
      <w:r>
        <w:rPr>
          <w:rFonts w:hint="eastAsia"/>
          <w:color w:val="auto"/>
          <w:highlight w:val="none"/>
        </w:rPr>
      </w:r>
      <w:r/>
    </w:p>
    <w:p>
      <w:pPr>
        <w:ind w:firstLine="560"/>
        <w:spacing w:line="500" w:lineRule="exact"/>
        <w:rPr>
          <w:rFonts w:eastAsia="方正仿宋_GBK"/>
          <w:color w:val="auto"/>
          <w:sz w:val="28"/>
          <w:szCs w:val="28"/>
          <w:highlight w:val="none"/>
        </w:rPr>
      </w:pPr>
      <w:r>
        <w:rPr>
          <w:rFonts w:hint="eastAsia" w:eastAsia="方正仿宋_GBK"/>
          <w:b/>
          <w:color w:val="auto"/>
          <w:sz w:val="28"/>
          <w:szCs w:val="28"/>
          <w:highlight w:val="none"/>
          <w:lang w:bidi="ar"/>
        </w:rPr>
        <w:t xml:space="preserve">（二）</w:t>
      </w:r>
      <w:r>
        <w:rPr>
          <w:rFonts w:eastAsia="方正仿宋_GBK"/>
          <w:b/>
          <w:color w:val="auto"/>
          <w:sz w:val="28"/>
          <w:szCs w:val="28"/>
          <w:highlight w:val="none"/>
          <w:lang w:bidi="ar"/>
        </w:rPr>
        <w:t xml:space="preserve">价格分：</w:t>
      </w:r>
      <w:r>
        <w:rPr>
          <w:rFonts w:eastAsia="方正仿宋_GBK"/>
          <w:color w:val="auto"/>
          <w:sz w:val="28"/>
          <w:szCs w:val="28"/>
          <w:highlight w:val="none"/>
          <w:lang w:bidi="ar"/>
        </w:rPr>
        <w:t xml:space="preserve">10分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lang w:bidi="ar"/>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color w:val="auto"/>
          <w:sz w:val="28"/>
          <w:szCs w:val="28"/>
          <w:highlight w:val="none"/>
          <w:lang w:bidi="ar"/>
        </w:rPr>
      </w:pPr>
      <w:r>
        <w:rPr>
          <w:rFonts w:eastAsia="方正仿宋_GBK"/>
          <w:color w:val="auto"/>
          <w:sz w:val="28"/>
          <w:szCs w:val="28"/>
          <w:highlight w:val="none"/>
          <w:lang w:bidi="ar"/>
        </w:rPr>
        <w:t xml:space="preserve">投标报价得分=</w:t>
      </w:r>
      <w:r>
        <w:rPr>
          <w:rFonts w:hint="eastAsia" w:eastAsia="方正仿宋_GBK"/>
          <w:color w:val="auto"/>
          <w:sz w:val="28"/>
          <w:szCs w:val="28"/>
          <w:highlight w:val="none"/>
          <w:lang w:bidi="ar"/>
        </w:rPr>
        <w:t xml:space="preserve">（</w:t>
      </w:r>
      <w:r>
        <w:rPr>
          <w:rFonts w:eastAsia="方正仿宋_GBK"/>
          <w:color w:val="auto"/>
          <w:sz w:val="28"/>
          <w:szCs w:val="28"/>
          <w:highlight w:val="none"/>
          <w:lang w:bidi="ar"/>
        </w:rPr>
        <w:t xml:space="preserve">投标报价（下降率）/评标基准价）×价格权值。</w:t>
      </w:r>
      <w:r/>
    </w:p>
    <w:p>
      <w:pPr>
        <w:ind w:firstLine="560"/>
        <w:spacing w:line="500" w:lineRule="exact"/>
        <w:rPr>
          <w:rFonts w:eastAsia="方正仿宋_GBK"/>
          <w:color w:val="auto"/>
          <w:sz w:val="28"/>
          <w:szCs w:val="28"/>
          <w:highlight w:val="none"/>
          <w:lang w:bidi="ar"/>
        </w:rPr>
      </w:pPr>
      <w:r>
        <w:rPr>
          <w:rFonts w:eastAsia="方正仿宋_GBK"/>
          <w:color w:val="auto"/>
          <w:sz w:val="28"/>
          <w:szCs w:val="28"/>
          <w:highlight w:val="none"/>
          <w:lang w:bidi="ar"/>
        </w:rPr>
        <w:t xml:space="preserve">为保证价格的统一性及避免不平衡报价，供应商报价时</w:t>
      </w:r>
      <w:r>
        <w:rPr>
          <w:rFonts w:hint="eastAsia" w:eastAsia="方正仿宋_GBK"/>
          <w:color w:val="auto"/>
          <w:sz w:val="28"/>
          <w:szCs w:val="28"/>
          <w:highlight w:val="none"/>
          <w:lang w:bidi="ar"/>
        </w:rPr>
        <w:t xml:space="preserve">应</w:t>
      </w:r>
      <w:r>
        <w:rPr>
          <w:rFonts w:eastAsia="方正仿宋_GBK"/>
          <w:color w:val="auto"/>
          <w:sz w:val="28"/>
          <w:szCs w:val="28"/>
          <w:highlight w:val="none"/>
          <w:lang w:bidi="ar"/>
        </w:rPr>
        <w:t xml:space="preserve">报各标段</w:t>
      </w:r>
      <w:r>
        <w:rPr>
          <w:rFonts w:eastAsia="方正仿宋_GBK"/>
          <w:b/>
          <w:bCs/>
          <w:color w:val="auto"/>
          <w:sz w:val="28"/>
          <w:szCs w:val="28"/>
          <w:highlight w:val="none"/>
          <w:lang w:bidi="ar"/>
        </w:rPr>
        <w:t xml:space="preserve">综合单价和下降率</w:t>
      </w:r>
      <w:r>
        <w:rPr>
          <w:rFonts w:eastAsia="方正仿宋_GBK"/>
          <w:color w:val="auto"/>
          <w:sz w:val="28"/>
          <w:szCs w:val="28"/>
          <w:highlight w:val="none"/>
          <w:lang w:bidi="ar"/>
        </w:rPr>
        <w:t xml:space="preserve">，否则作无效响应处理。</w:t>
      </w:r>
      <w:r/>
    </w:p>
    <w:p>
      <w:pPr>
        <w:ind w:firstLine="560"/>
        <w:spacing w:line="500" w:lineRule="exact"/>
        <w:rPr>
          <w:rFonts w:eastAsia="方正仿宋_GBK"/>
          <w:color w:val="auto"/>
          <w:sz w:val="28"/>
          <w:szCs w:val="28"/>
          <w:highlight w:val="none"/>
          <w:lang w:bidi="ar"/>
        </w:rPr>
      </w:pPr>
      <w:r>
        <w:rPr>
          <w:rFonts w:eastAsia="方正仿宋_GBK"/>
          <w:color w:val="auto"/>
          <w:sz w:val="28"/>
          <w:szCs w:val="28"/>
          <w:highlight w:val="none"/>
          <w:lang w:bidi="ar"/>
        </w:rPr>
        <w:t xml:space="preserve">评标基准价=最高下降率=（</w:t>
      </w:r>
      <w:r>
        <w:rPr>
          <w:rFonts w:hint="eastAsia" w:eastAsia="方正仿宋_GBK"/>
          <w:color w:val="auto"/>
          <w:sz w:val="28"/>
          <w:szCs w:val="28"/>
          <w:highlight w:val="none"/>
          <w:lang w:bidi="ar"/>
        </w:rPr>
        <w:t xml:space="preserve">5</w:t>
      </w:r>
      <w:r>
        <w:rPr>
          <w:rFonts w:eastAsia="方正仿宋_GBK"/>
          <w:color w:val="auto"/>
          <w:sz w:val="28"/>
          <w:szCs w:val="28"/>
          <w:highlight w:val="none"/>
          <w:lang w:bidi="ar"/>
        </w:rPr>
        <w:t xml:space="preserve">00-最低报价）/</w:t>
      </w:r>
      <w:r>
        <w:rPr>
          <w:rFonts w:hint="eastAsia" w:eastAsia="方正仿宋_GBK"/>
          <w:color w:val="auto"/>
          <w:sz w:val="28"/>
          <w:szCs w:val="28"/>
          <w:highlight w:val="none"/>
          <w:lang w:bidi="ar"/>
        </w:rPr>
        <w:t xml:space="preserve">5</w:t>
      </w:r>
      <w:r>
        <w:rPr>
          <w:rFonts w:eastAsia="方正仿宋_GBK"/>
          <w:color w:val="auto"/>
          <w:sz w:val="28"/>
          <w:szCs w:val="28"/>
          <w:highlight w:val="none"/>
          <w:lang w:bidi="ar"/>
        </w:rPr>
        <w:t xml:space="preserve">00*100%。</w:t>
      </w:r>
      <w:r/>
    </w:p>
    <w:p>
      <w:pPr>
        <w:ind w:firstLine="560"/>
        <w:spacing w:line="500" w:lineRule="exact"/>
        <w:rPr>
          <w:rFonts w:eastAsia="方正仿宋_GBK"/>
          <w:color w:val="auto"/>
          <w:sz w:val="28"/>
          <w:szCs w:val="28"/>
          <w:highlight w:val="none"/>
          <w:lang w:bidi="ar"/>
        </w:rPr>
      </w:pPr>
      <w:r>
        <w:rPr>
          <w:rFonts w:eastAsia="方正仿宋_GBK"/>
          <w:color w:val="auto"/>
          <w:sz w:val="28"/>
          <w:szCs w:val="28"/>
          <w:highlight w:val="none"/>
          <w:lang w:bidi="ar"/>
        </w:rPr>
        <w:t xml:space="preserve">投标报价（下降率）=（</w:t>
      </w:r>
      <w:r>
        <w:rPr>
          <w:rFonts w:hint="eastAsia" w:eastAsia="方正仿宋_GBK"/>
          <w:color w:val="auto"/>
          <w:sz w:val="28"/>
          <w:szCs w:val="28"/>
          <w:highlight w:val="none"/>
          <w:lang w:bidi="ar"/>
        </w:rPr>
        <w:t xml:space="preserve">5</w:t>
      </w:r>
      <w:r>
        <w:rPr>
          <w:rFonts w:eastAsia="方正仿宋_GBK"/>
          <w:color w:val="auto"/>
          <w:sz w:val="28"/>
          <w:szCs w:val="28"/>
          <w:highlight w:val="none"/>
          <w:lang w:bidi="ar"/>
        </w:rPr>
        <w:t xml:space="preserve">00-投标报价）/</w:t>
      </w:r>
      <w:r>
        <w:rPr>
          <w:rFonts w:hint="eastAsia" w:eastAsia="方正仿宋_GBK"/>
          <w:color w:val="auto"/>
          <w:sz w:val="28"/>
          <w:szCs w:val="28"/>
          <w:highlight w:val="none"/>
          <w:lang w:bidi="ar"/>
        </w:rPr>
        <w:t xml:space="preserve">5</w:t>
      </w:r>
      <w:r>
        <w:rPr>
          <w:rFonts w:eastAsia="方正仿宋_GBK"/>
          <w:color w:val="auto"/>
          <w:sz w:val="28"/>
          <w:szCs w:val="28"/>
          <w:highlight w:val="none"/>
          <w:lang w:bidi="ar"/>
        </w:rPr>
        <w:t xml:space="preserve">00*100%。</w:t>
      </w:r>
      <w:r/>
    </w:p>
    <w:p>
      <w:pPr>
        <w:ind w:firstLine="560"/>
        <w:spacing w:line="500" w:lineRule="exact"/>
        <w:rPr>
          <w:rFonts w:eastAsia="方正仿宋_GBK"/>
          <w:color w:val="auto"/>
          <w:sz w:val="28"/>
          <w:szCs w:val="28"/>
          <w:highlight w:val="none"/>
          <w:lang w:bidi="ar"/>
        </w:rPr>
      </w:pPr>
      <w:r>
        <w:rPr>
          <w:rFonts w:eastAsia="方正仿宋_GBK"/>
          <w:color w:val="auto"/>
          <w:sz w:val="28"/>
          <w:szCs w:val="28"/>
          <w:highlight w:val="none"/>
          <w:lang w:bidi="ar"/>
        </w:rPr>
        <w:t xml:space="preserve">备注：评标小组认为供应商的报价明显低于其他通过符合性审查供应商的报价或者最终报价低于项目预算</w:t>
      </w:r>
      <w:r>
        <w:rPr>
          <w:rFonts w:hint="eastAsia" w:eastAsia="方正仿宋_GBK"/>
          <w:color w:val="auto"/>
          <w:sz w:val="28"/>
          <w:szCs w:val="28"/>
          <w:highlight w:val="none"/>
          <w:lang w:bidi="ar"/>
        </w:rPr>
        <w:t xml:space="preserve">8</w:t>
      </w:r>
      <w:r>
        <w:rPr>
          <w:rFonts w:eastAsia="方正仿宋_GBK"/>
          <w:color w:val="auto"/>
          <w:sz w:val="28"/>
          <w:szCs w:val="28"/>
          <w:highlight w:val="none"/>
          <w:lang w:bidi="ar"/>
        </w:rPr>
        <w:t xml:space="preserve">0%（即下降率＞</w:t>
      </w:r>
      <w:r>
        <w:rPr>
          <w:rFonts w:hint="eastAsia" w:eastAsia="方正仿宋_GBK"/>
          <w:color w:val="auto"/>
          <w:sz w:val="28"/>
          <w:szCs w:val="28"/>
          <w:highlight w:val="none"/>
          <w:lang w:bidi="ar"/>
        </w:rPr>
        <w:t xml:space="preserve">2</w:t>
      </w:r>
      <w:r>
        <w:rPr>
          <w:rFonts w:eastAsia="方正仿宋_GBK"/>
          <w:color w:val="auto"/>
          <w:sz w:val="28"/>
          <w:szCs w:val="28"/>
          <w:highlight w:val="none"/>
          <w:lang w:bidi="ar"/>
        </w:rPr>
        <w:t xml:space="preserve">0%），有可能影响产品质量或者不能诚信履约的，应当要求其在评标现场合理的时间内</w:t>
      </w:r>
      <w:r>
        <w:rPr>
          <w:rFonts w:hint="eastAsia" w:eastAsia="方正仿宋_GBK"/>
          <w:color w:val="auto"/>
          <w:sz w:val="28"/>
          <w:szCs w:val="28"/>
          <w:highlight w:val="none"/>
          <w:lang w:bidi="ar"/>
        </w:rPr>
        <w:t xml:space="preserve">给予情况</w:t>
      </w:r>
      <w:r>
        <w:rPr>
          <w:rFonts w:eastAsia="方正仿宋_GBK"/>
          <w:color w:val="auto"/>
          <w:sz w:val="28"/>
          <w:szCs w:val="28"/>
          <w:highlight w:val="none"/>
          <w:lang w:bidi="ar"/>
        </w:rPr>
        <w:t xml:space="preserve">说明，必要时提交相关证明材料；供应商不能证明其报价合理性的，磋商小组应当将其作为无效投标处理。</w:t>
      </w:r>
      <w:r/>
    </w:p>
    <w:p>
      <w:pPr>
        <w:ind w:firstLine="420"/>
        <w:spacing w:line="500" w:lineRule="exact"/>
        <w:rPr>
          <w:color w:val="auto"/>
          <w:szCs w:val="21"/>
          <w:highlight w:val="none"/>
        </w:rPr>
      </w:pPr>
      <w:r>
        <w:rPr>
          <w:color w:val="auto"/>
          <w:szCs w:val="21"/>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3"/>
        <w:ind w:firstLine="400"/>
        <w:rPr>
          <w:rFonts w:hint="eastAsia"/>
          <w:color w:val="auto"/>
          <w:highlight w:val="none"/>
        </w:rPr>
      </w:pPr>
      <w:r>
        <w:rPr>
          <w:rFonts w:hint="eastAsia"/>
          <w:color w:val="auto"/>
          <w:highlight w:val="none"/>
        </w:rPr>
      </w:r>
      <w:r/>
    </w:p>
    <w:p>
      <w:pPr>
        <w:jc w:val="center"/>
        <w:keepNext/>
        <w:rPr>
          <w:rFonts w:hint="eastAsia" w:ascii="仿宋" w:hAnsi="仿宋" w:eastAsia="仿宋" w:cs="仿宋"/>
          <w:b/>
          <w:color w:val="auto"/>
          <w:sz w:val="44"/>
          <w:szCs w:val="28"/>
          <w:highlight w:val="none"/>
        </w:rPr>
        <w:outlineLvl w:val="0"/>
      </w:pPr>
      <w:r/>
      <w:bookmarkStart w:id="192" w:name="_Toc120614281"/>
      <w:r/>
      <w:bookmarkStart w:id="193" w:name="_Toc5763"/>
      <w:r/>
      <w:r/>
    </w:p>
    <w:p>
      <w:pPr>
        <w:jc w:val="center"/>
        <w:keepNext/>
        <w:rPr>
          <w:rFonts w:hint="eastAsia" w:ascii="仿宋" w:hAnsi="仿宋" w:eastAsia="仿宋" w:cs="仿宋"/>
          <w:b/>
          <w:color w:val="auto"/>
          <w:sz w:val="44"/>
          <w:szCs w:val="28"/>
          <w:highlight w:val="none"/>
        </w:rPr>
        <w:outlineLvl w:val="0"/>
      </w:pPr>
      <w:r>
        <w:rPr>
          <w:rFonts w:hint="eastAsia" w:ascii="仿宋" w:hAnsi="仿宋" w:eastAsia="仿宋" w:cs="仿宋"/>
          <w:b/>
          <w:color w:val="auto"/>
          <w:sz w:val="44"/>
          <w:szCs w:val="28"/>
          <w:highlight w:val="none"/>
        </w:rPr>
      </w:r>
      <w:r/>
    </w:p>
    <w:p>
      <w:pPr>
        <w:jc w:val="center"/>
        <w:keepNext/>
        <w:rPr>
          <w:rFonts w:hint="eastAsia" w:ascii="仿宋" w:hAnsi="仿宋" w:eastAsia="仿宋" w:cs="仿宋"/>
          <w:b/>
          <w:color w:val="auto"/>
          <w:sz w:val="44"/>
          <w:szCs w:val="28"/>
          <w:highlight w:val="none"/>
        </w:rPr>
        <w:outlineLvl w:val="0"/>
      </w:pPr>
      <w:r>
        <w:rPr>
          <w:rFonts w:hint="eastAsia" w:ascii="仿宋" w:hAnsi="仿宋" w:eastAsia="仿宋" w:cs="仿宋"/>
          <w:b/>
          <w:color w:val="auto"/>
          <w:sz w:val="44"/>
          <w:szCs w:val="28"/>
          <w:highlight w:val="none"/>
        </w:rPr>
      </w:r>
      <w:r/>
    </w:p>
    <w:p>
      <w:pPr>
        <w:jc w:val="center"/>
        <w:keepNext/>
        <w:rPr>
          <w:rFonts w:hint="eastAsia" w:ascii="仿宋" w:hAnsi="仿宋" w:eastAsia="仿宋" w:cs="仿宋"/>
          <w:b/>
          <w:color w:val="auto"/>
          <w:sz w:val="44"/>
          <w:szCs w:val="28"/>
          <w:highlight w:val="none"/>
        </w:rPr>
        <w:outlineLvl w:val="0"/>
      </w:pPr>
      <w:r>
        <w:rPr>
          <w:rFonts w:hint="eastAsia" w:ascii="仿宋" w:hAnsi="仿宋" w:eastAsia="仿宋" w:cs="仿宋"/>
          <w:b/>
          <w:color w:val="auto"/>
          <w:sz w:val="44"/>
          <w:szCs w:val="28"/>
          <w:highlight w:val="none"/>
        </w:rPr>
        <w:t xml:space="preserve">第六章  投标</w:t>
      </w:r>
      <w:bookmarkEnd w:id="187"/>
      <w:r/>
      <w:bookmarkEnd w:id="188"/>
      <w:r/>
      <w:bookmarkEnd w:id="192"/>
      <w:r>
        <w:rPr>
          <w:rFonts w:hint="eastAsia" w:ascii="仿宋" w:hAnsi="仿宋" w:eastAsia="仿宋" w:cs="仿宋"/>
          <w:b/>
          <w:color w:val="auto"/>
          <w:sz w:val="44"/>
          <w:szCs w:val="28"/>
          <w:highlight w:val="none"/>
        </w:rPr>
        <w:t xml:space="preserve">文件格式</w:t>
      </w:r>
      <w:bookmarkEnd w:id="193"/>
      <w:r/>
      <w:r/>
    </w:p>
    <w:p>
      <w:pPr>
        <w:jc w:val="center"/>
        <w:rPr>
          <w:rFonts w:hint="eastAsia" w:ascii="仿宋" w:hAnsi="仿宋" w:eastAsia="仿宋" w:cs="仿宋"/>
          <w:b/>
          <w:color w:val="auto"/>
          <w:sz w:val="72"/>
          <w:szCs w:val="21"/>
          <w:highlight w:val="none"/>
        </w:rPr>
      </w:pPr>
      <w:r/>
      <w:bookmarkStart w:id="194" w:name="_Hlt26955039"/>
      <w:r/>
      <w:bookmarkEnd w:id="194"/>
      <w:r/>
      <w:bookmarkStart w:id="195" w:name="_Hlt26671244"/>
      <w:r/>
      <w:bookmarkEnd w:id="195"/>
      <w:r/>
      <w:bookmarkStart w:id="196" w:name="_Toc120614282"/>
      <w:r/>
      <w:bookmarkStart w:id="197" w:name="_Toc26554094"/>
      <w:r/>
      <w:bookmarkStart w:id="198" w:name="_Toc49090576"/>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投  标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项 目 名 称：</w:t>
      </w:r>
      <w:r>
        <w:rPr>
          <w:rFonts w:hint="eastAsia" w:ascii="仿宋" w:hAnsi="仿宋" w:eastAsia="仿宋" w:cs="仿宋"/>
          <w:b/>
          <w:color w:val="auto"/>
          <w:sz w:val="36"/>
          <w:szCs w:val="21"/>
          <w:highlight w:val="none"/>
          <w:u w:val="single"/>
        </w:rPr>
        <w:t xml:space="preserve">               </w:t>
      </w:r>
      <w:r/>
    </w:p>
    <w:p>
      <w:pPr>
        <w:ind w:firstLine="1084"/>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项 目 编 号：</w:t>
      </w:r>
      <w:r>
        <w:rPr>
          <w:rFonts w:hint="eastAsia" w:ascii="仿宋" w:hAnsi="仿宋" w:eastAsia="仿宋" w:cs="仿宋"/>
          <w:b/>
          <w:color w:val="auto"/>
          <w:sz w:val="36"/>
          <w:szCs w:val="21"/>
          <w:highlight w:val="none"/>
          <w:u w:val="single"/>
        </w:rPr>
        <w:t xml:space="preserve">               </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投标人名称 ：</w:t>
      </w:r>
      <w:r>
        <w:rPr>
          <w:rFonts w:hint="eastAsia" w:ascii="仿宋" w:hAnsi="仿宋" w:eastAsia="仿宋" w:cs="仿宋"/>
          <w:b/>
          <w:color w:val="auto"/>
          <w:sz w:val="36"/>
          <w:szCs w:val="21"/>
          <w:highlight w:val="none"/>
          <w:u w:val="single"/>
        </w:rPr>
        <w:t xml:space="preserve">（加盖CA电子公章）</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日      期 ：</w:t>
      </w:r>
      <w:r>
        <w:rPr>
          <w:rFonts w:hint="eastAsia" w:ascii="仿宋" w:hAnsi="仿宋" w:eastAsia="仿宋" w:cs="仿宋"/>
          <w:b/>
          <w:color w:val="auto"/>
          <w:sz w:val="36"/>
          <w:szCs w:val="21"/>
          <w:highlight w:val="none"/>
          <w:u w:val="single"/>
        </w:rPr>
        <w:t xml:space="preserve">               </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rPr>
          <w:rFonts w:hint="eastAsia" w:ascii="仿宋" w:hAnsi="仿宋" w:eastAsia="仿宋" w:cs="仿宋"/>
          <w:b/>
          <w:bCs/>
          <w:color w:val="auto"/>
          <w:sz w:val="32"/>
          <w:szCs w:val="32"/>
          <w:highlight w:val="none"/>
        </w:rPr>
      </w:pPr>
      <w:r>
        <w:rPr>
          <w:rFonts w:hint="eastAsia" w:ascii="仿宋" w:hAnsi="仿宋" w:eastAsia="仿宋" w:cs="仿宋"/>
          <w:b/>
          <w:color w:val="auto"/>
          <w:sz w:val="36"/>
          <w:szCs w:val="21"/>
          <w:highlight w:val="none"/>
          <w:u w:val="single"/>
        </w:rPr>
        <w:br w:type="page" w:clear="all"/>
      </w:r>
      <w:r>
        <w:rPr>
          <w:rFonts w:hint="eastAsia" w:ascii="仿宋" w:hAnsi="仿宋" w:eastAsia="仿宋" w:cs="仿宋"/>
          <w:b/>
          <w:bCs/>
          <w:color w:val="auto"/>
          <w:sz w:val="32"/>
          <w:szCs w:val="32"/>
          <w:highlight w:val="none"/>
        </w:rPr>
        <w:t xml:space="preserve">投标文件的组成</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480"/>
        <w:spacing w:line="400" w:lineRule="exact"/>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一、基本目录</w:t>
      </w:r>
      <w:r/>
    </w:p>
    <w:p>
      <w:pPr>
        <w:ind w:left="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投标报价表</w:t>
      </w:r>
      <w:r>
        <w:rPr>
          <w:rFonts w:hint="eastAsia" w:ascii="仿宋" w:hAnsi="仿宋" w:eastAsia="仿宋" w:cs="仿宋"/>
          <w:color w:val="auto"/>
          <w:sz w:val="24"/>
          <w:szCs w:val="21"/>
          <w:highlight w:val="none"/>
        </w:rPr>
        <w:t xml:space="preserve">（格式见附件1）</w:t>
      </w:r>
      <w:r/>
    </w:p>
    <w:p>
      <w:pPr>
        <w:ind w:left="480"/>
        <w:spacing w:line="400" w:lineRule="exact"/>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二、资格审查内容</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1.投标人符合《政府采购法》第二十二条规定条件的声明函（</w:t>
      </w:r>
      <w:r>
        <w:rPr>
          <w:rFonts w:hint="eastAsia" w:ascii="仿宋" w:hAnsi="仿宋" w:eastAsia="仿宋" w:cs="仿宋"/>
          <w:color w:val="auto"/>
          <w:sz w:val="24"/>
          <w:szCs w:val="21"/>
          <w:highlight w:val="none"/>
          <w:lang w:val="zh-CN"/>
        </w:rPr>
        <w:t xml:space="preserve">格式见附件</w:t>
      </w:r>
      <w:r>
        <w:rPr>
          <w:rFonts w:hint="eastAsia" w:ascii="仿宋" w:hAnsi="仿宋" w:eastAsia="仿宋" w:cs="仿宋"/>
          <w:color w:val="auto"/>
          <w:sz w:val="24"/>
          <w:szCs w:val="21"/>
          <w:highlight w:val="none"/>
        </w:rPr>
        <w:t xml:space="preserve">2）</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2.特定资格要求的证明文件（如果本项目对投标人做出特定资格要求的，必须提供）</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3.法定代表人身份证明（格式见附件3）、</w:t>
      </w:r>
      <w:r>
        <w:rPr>
          <w:rFonts w:hint="eastAsia" w:ascii="仿宋" w:hAnsi="仿宋" w:eastAsia="仿宋" w:cs="仿宋"/>
          <w:color w:val="auto"/>
          <w:sz w:val="24"/>
          <w:szCs w:val="21"/>
          <w:highlight w:val="none"/>
          <w:lang w:val="zh-CN"/>
        </w:rPr>
        <w:t xml:space="preserve">法定代表人的身份证</w:t>
      </w:r>
      <w:r>
        <w:rPr>
          <w:rFonts w:hint="eastAsia" w:ascii="仿宋" w:hAnsi="仿宋" w:eastAsia="仿宋" w:cs="仿宋"/>
          <w:color w:val="auto"/>
          <w:sz w:val="24"/>
          <w:szCs w:val="21"/>
          <w:highlight w:val="none"/>
        </w:rPr>
        <w:t xml:space="preserve">扫描件</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4.法人授权书（格式见附件4）、被授权</w:t>
      </w:r>
      <w:r>
        <w:rPr>
          <w:rFonts w:hint="eastAsia" w:ascii="仿宋" w:hAnsi="仿宋" w:eastAsia="仿宋" w:cs="仿宋"/>
          <w:color w:val="auto"/>
          <w:sz w:val="24"/>
          <w:szCs w:val="21"/>
          <w:highlight w:val="none"/>
          <w:lang w:val="zh-CN"/>
        </w:rPr>
        <w:t xml:space="preserve">人身份证</w:t>
      </w:r>
      <w:r>
        <w:rPr>
          <w:rFonts w:hint="eastAsia" w:ascii="仿宋" w:hAnsi="仿宋" w:eastAsia="仿宋" w:cs="仿宋"/>
          <w:color w:val="auto"/>
          <w:sz w:val="24"/>
          <w:szCs w:val="21"/>
          <w:highlight w:val="none"/>
        </w:rPr>
        <w:t xml:space="preserve">扫描件</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5.投标函（格式见附件5）</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6.中小企业声明函（格式见附件6）</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7.残疾人福利性单位声明函（格式见附件7）</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8.监狱和戒毒企业证明材料</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rPr>
        <w:t xml:space="preserve">格式见附件8）</w:t>
      </w:r>
      <w:r/>
    </w:p>
    <w:p>
      <w:pPr>
        <w:ind w:firstLine="480"/>
        <w:spacing w:line="400" w:lineRule="exact"/>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rPr>
        <w:t xml:space="preserve">9</w:t>
      </w:r>
      <w:r>
        <w:rPr>
          <w:rFonts w:hint="eastAsia" w:ascii="仿宋" w:hAnsi="仿宋" w:eastAsia="仿宋" w:cs="仿宋"/>
          <w:color w:val="auto"/>
          <w:sz w:val="24"/>
          <w:szCs w:val="21"/>
          <w:highlight w:val="none"/>
          <w:lang w:val="zh-CN"/>
        </w:rPr>
        <w:t xml:space="preserve">.其它需要提交的资格审查证明材料。</w:t>
      </w:r>
      <w:r/>
    </w:p>
    <w:p>
      <w:pPr>
        <w:ind w:left="480"/>
        <w:spacing w:line="400" w:lineRule="exact"/>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三、符合性审查内容</w:t>
      </w:r>
      <w:r/>
    </w:p>
    <w:p>
      <w:pPr>
        <w:ind w:left="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1.技术要求响应及偏离表（格式见附件9）</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2.商务要求响应及偏离表（格式见附件10）</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3.实质性要求响应及偏离表（格式见附件11），投标人必须对技术要求和商务要求中加斜体下划线的实质性要求做出响应，并按照招标文件要求提供证明材料，否则做无效响应处理。</w:t>
      </w:r>
      <w:r/>
    </w:p>
    <w:p>
      <w:pPr>
        <w:ind w:firstLine="48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w:t>
      </w:r>
      <w:r>
        <w:rPr>
          <w:rFonts w:hint="eastAsia" w:ascii="仿宋" w:hAnsi="仿宋" w:eastAsia="仿宋" w:cs="仿宋"/>
          <w:b/>
          <w:color w:val="auto"/>
          <w:sz w:val="24"/>
          <w:szCs w:val="24"/>
          <w:highlight w:val="none"/>
          <w:lang w:val="zh-CN"/>
        </w:rPr>
        <w:t xml:space="preserve">商务技术</w:t>
      </w:r>
      <w:r>
        <w:rPr>
          <w:rFonts w:hint="eastAsia" w:ascii="仿宋" w:hAnsi="仿宋" w:eastAsia="仿宋" w:cs="仿宋"/>
          <w:b/>
          <w:color w:val="auto"/>
          <w:sz w:val="24"/>
          <w:szCs w:val="24"/>
          <w:highlight w:val="none"/>
        </w:rPr>
        <w:t xml:space="preserve">内容</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商务技术评分标准中须提供的相关得分佐证材料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投标人认为需要提交的其他商务技术材料。</w:t>
      </w:r>
      <w:r/>
    </w:p>
    <w:p>
      <w:pPr>
        <w:ind w:firstLine="48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五、价格扣除证明文件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1.中小企业声明函（格式见附件6）</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2.残疾人福利性单位声明函（格式见附件7）</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3.监狱和戒毒企业证明材料</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w:t>
      </w:r>
      <w:r/>
    </w:p>
    <w:p>
      <w:pPr>
        <w:ind w:left="480"/>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rPr>
          <w:rFonts w:hint="eastAsia" w:ascii="仿宋" w:hAnsi="仿宋" w:eastAsia="仿宋" w:cs="仿宋"/>
          <w:b/>
          <w:color w:val="auto"/>
          <w:sz w:val="24"/>
          <w:szCs w:val="24"/>
          <w:highlight w:val="none"/>
        </w:rPr>
      </w:pPr>
      <w:r>
        <w:rPr>
          <w:rFonts w:hint="eastAsia" w:ascii="仿宋" w:hAnsi="仿宋" w:eastAsia="仿宋" w:cs="仿宋"/>
          <w:color w:val="auto"/>
          <w:sz w:val="24"/>
          <w:szCs w:val="21"/>
          <w:highlight w:val="none"/>
        </w:rPr>
        <w:br w:type="page" w:clear="all"/>
      </w:r>
      <w:r>
        <w:rPr>
          <w:rFonts w:hint="eastAsia" w:ascii="仿宋" w:hAnsi="仿宋" w:eastAsia="仿宋" w:cs="仿宋"/>
          <w:b/>
          <w:color w:val="auto"/>
          <w:sz w:val="24"/>
          <w:szCs w:val="24"/>
          <w:highlight w:val="none"/>
        </w:rPr>
        <w:t xml:space="preserve">附件1 </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投标报价表</w:t>
      </w:r>
      <w:r/>
    </w:p>
    <w:p>
      <w:pPr>
        <w:ind w:firstLine="48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投标人全称（加盖CA电子签章）：</w:t>
      </w:r>
      <w:r/>
    </w:p>
    <w:p>
      <w:pPr>
        <w:pStyle w:val="1019"/>
        <w:rPr>
          <w:rFonts w:hint="eastAsia"/>
          <w:color w:val="auto"/>
          <w:highlight w:val="none"/>
        </w:rPr>
      </w:pPr>
      <w:r>
        <w:rPr>
          <w:rFonts w:hint="eastAsia"/>
          <w:color w:val="auto"/>
          <w:highlight w:val="none"/>
        </w:rPr>
      </w:r>
      <w:r/>
    </w:p>
    <w:tbl>
      <w:tblPr>
        <w:tblStyle w:val="808"/>
        <w:tblW w:w="96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8795"/>
      </w:tblGrid>
      <w:tr>
        <w:trPr>
          <w:trHeight w:val="1190"/>
        </w:trPr>
        <w:tc>
          <w:tcPr>
            <w:tcW w:w="835" w:type="dxa"/>
            <w:vAlign w:val="center"/>
            <w:textDirection w:val="lrTb"/>
            <w:noWrap w:val="false"/>
          </w:tcPr>
          <w:p>
            <w:pPr>
              <w:jc w:val="cente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项目名称</w:t>
            </w:r>
            <w:r/>
          </w:p>
        </w:tc>
        <w:tc>
          <w:tcPr>
            <w:tcW w:w="8795" w:type="dxa"/>
            <w:vAlign w:val="center"/>
            <w:textDirection w:val="lrTb"/>
            <w:noWrap w:val="false"/>
          </w:tcPr>
          <w:p>
            <w:pPr>
              <w:jc w:val="left"/>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如东县市场监督管理局</w:t>
            </w:r>
            <w:r>
              <w:rPr>
                <w:rFonts w:hint="eastAsia" w:ascii="仿宋" w:hAnsi="仿宋" w:eastAsia="仿宋"/>
                <w:color w:val="auto"/>
                <w:sz w:val="28"/>
                <w:szCs w:val="28"/>
                <w:highlight w:val="none"/>
                <w:lang w:eastAsia="zh-CN"/>
              </w:rPr>
              <w:t xml:space="preserve">2026年</w:t>
            </w:r>
            <w:r>
              <w:rPr>
                <w:rFonts w:hint="eastAsia" w:ascii="仿宋" w:hAnsi="仿宋" w:eastAsia="仿宋"/>
                <w:color w:val="auto"/>
                <w:sz w:val="28"/>
                <w:szCs w:val="28"/>
                <w:highlight w:val="none"/>
              </w:rPr>
              <w:t xml:space="preserve">县级食品安全监督抽检项目</w:t>
            </w:r>
            <w:r/>
          </w:p>
        </w:tc>
      </w:tr>
      <w:tr>
        <w:trPr>
          <w:trHeight w:val="1190"/>
        </w:trPr>
        <w:tc>
          <w:tcPr>
            <w:tcW w:w="835" w:type="dxa"/>
            <w:vAlign w:val="center"/>
            <w:textDirection w:val="lrTb"/>
            <w:noWrap w:val="false"/>
          </w:tcPr>
          <w:p>
            <w:pPr>
              <w:jc w:val="cente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报</w:t>
            </w:r>
            <w:r>
              <w:rPr>
                <w:rFonts w:ascii="仿宋" w:hAnsi="仿宋" w:eastAsia="仿宋"/>
                <w:color w:val="auto"/>
                <w:sz w:val="28"/>
                <w:szCs w:val="28"/>
                <w:highlight w:val="none"/>
              </w:rPr>
              <w:t xml:space="preserve">价</w:t>
            </w:r>
            <w:r/>
          </w:p>
          <w:p>
            <w:pPr>
              <w:jc w:val="cente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明细</w:t>
            </w:r>
            <w:r/>
          </w:p>
        </w:tc>
        <w:tc>
          <w:tcPr>
            <w:tcW w:w="8795" w:type="dxa"/>
            <w:vAlign w:val="center"/>
            <w:textDirection w:val="lrTb"/>
            <w:noWrap w:val="false"/>
          </w:tcPr>
          <w:p>
            <w:pPr>
              <w:spacing w:line="600" w:lineRule="auto"/>
              <w:rPr>
                <w:color w:val="auto"/>
                <w:highlight w:val="none"/>
              </w:rPr>
            </w:pPr>
            <w:r>
              <w:rPr>
                <w:rFonts w:hint="eastAsia"/>
                <w:color w:val="auto"/>
                <w:highlight w:val="none"/>
              </w:rPr>
              <w:t xml:space="preserve">标段1：（小写）</w:t>
            </w:r>
            <w:r>
              <w:rPr>
                <w:rFonts w:hint="eastAsia"/>
                <w:color w:val="auto"/>
                <w:highlight w:val="none"/>
                <w:u w:val="single"/>
              </w:rPr>
              <w:t xml:space="preserve">      </w:t>
            </w:r>
            <w:r>
              <w:rPr>
                <w:rFonts w:hint="eastAsia"/>
                <w:color w:val="auto"/>
                <w:highlight w:val="none"/>
              </w:rPr>
              <w:t xml:space="preserve">元/批次；（大写）：</w:t>
            </w:r>
            <w:r>
              <w:rPr>
                <w:rFonts w:hint="eastAsia"/>
                <w:color w:val="auto"/>
                <w:highlight w:val="none"/>
                <w:u w:val="single"/>
              </w:rPr>
              <w:t xml:space="preserve">       佰    拾   </w:t>
            </w:r>
            <w:r>
              <w:rPr>
                <w:rFonts w:hint="eastAsia"/>
                <w:color w:val="auto"/>
                <w:highlight w:val="none"/>
              </w:rPr>
              <w:t xml:space="preserve">元/批次 ；下降率</w:t>
            </w:r>
            <w:r>
              <w:rPr>
                <w:rFonts w:hint="eastAsia"/>
                <w:color w:val="auto"/>
                <w:highlight w:val="none"/>
                <w:u w:val="single"/>
              </w:rPr>
              <w:t xml:space="preserve">      </w:t>
            </w:r>
            <w:r>
              <w:rPr>
                <w:rFonts w:hint="eastAsia"/>
                <w:color w:val="auto"/>
                <w:highlight w:val="none"/>
              </w:rPr>
              <w:t xml:space="preserve">。</w:t>
            </w:r>
            <w:r/>
          </w:p>
          <w:p>
            <w:pPr>
              <w:spacing w:line="600" w:lineRule="auto"/>
              <w:rPr>
                <w:color w:val="auto"/>
                <w:highlight w:val="none"/>
              </w:rPr>
            </w:pPr>
            <w:r>
              <w:rPr>
                <w:rFonts w:hint="eastAsia"/>
                <w:color w:val="auto"/>
                <w:highlight w:val="none"/>
              </w:rPr>
              <w:t xml:space="preserve">标段2：（小写）</w:t>
            </w:r>
            <w:r>
              <w:rPr>
                <w:rFonts w:hint="eastAsia"/>
                <w:color w:val="auto"/>
                <w:highlight w:val="none"/>
                <w:u w:val="single"/>
              </w:rPr>
              <w:t xml:space="preserve">      </w:t>
            </w:r>
            <w:r>
              <w:rPr>
                <w:rFonts w:hint="eastAsia"/>
                <w:color w:val="auto"/>
                <w:highlight w:val="none"/>
              </w:rPr>
              <w:t xml:space="preserve">元/批次；（大写）：</w:t>
            </w:r>
            <w:r>
              <w:rPr>
                <w:rFonts w:hint="eastAsia"/>
                <w:color w:val="auto"/>
                <w:highlight w:val="none"/>
                <w:u w:val="single"/>
              </w:rPr>
              <w:t xml:space="preserve">       佰    拾   </w:t>
            </w:r>
            <w:r>
              <w:rPr>
                <w:rFonts w:hint="eastAsia"/>
                <w:color w:val="auto"/>
                <w:highlight w:val="none"/>
              </w:rPr>
              <w:t xml:space="preserve">元/批次 ；下降率</w:t>
            </w:r>
            <w:r>
              <w:rPr>
                <w:rFonts w:hint="eastAsia"/>
                <w:color w:val="auto"/>
                <w:highlight w:val="none"/>
                <w:u w:val="single"/>
              </w:rPr>
              <w:t xml:space="preserve">     。</w:t>
            </w:r>
            <w:r/>
          </w:p>
          <w:p>
            <w:pPr>
              <w:spacing w:line="600" w:lineRule="auto"/>
              <w:rPr>
                <w:color w:val="auto"/>
                <w:highlight w:val="none"/>
              </w:rPr>
            </w:pPr>
            <w:r>
              <w:rPr>
                <w:rFonts w:hint="eastAsia"/>
                <w:color w:val="auto"/>
                <w:highlight w:val="none"/>
              </w:rPr>
              <w:t xml:space="preserve">标段3：（小写）</w:t>
            </w:r>
            <w:r>
              <w:rPr>
                <w:rFonts w:hint="eastAsia"/>
                <w:color w:val="auto"/>
                <w:highlight w:val="none"/>
                <w:u w:val="single"/>
              </w:rPr>
              <w:t xml:space="preserve">      </w:t>
            </w:r>
            <w:r>
              <w:rPr>
                <w:rFonts w:hint="eastAsia"/>
                <w:color w:val="auto"/>
                <w:highlight w:val="none"/>
              </w:rPr>
              <w:t xml:space="preserve">元/批次；（大写）：</w:t>
            </w:r>
            <w:r>
              <w:rPr>
                <w:rFonts w:hint="eastAsia"/>
                <w:color w:val="auto"/>
                <w:highlight w:val="none"/>
                <w:u w:val="single"/>
              </w:rPr>
              <w:t xml:space="preserve">       佰    拾   </w:t>
            </w:r>
            <w:r>
              <w:rPr>
                <w:rFonts w:hint="eastAsia"/>
                <w:color w:val="auto"/>
                <w:highlight w:val="none"/>
              </w:rPr>
              <w:t xml:space="preserve">元/批次 ；下降率</w:t>
            </w:r>
            <w:r>
              <w:rPr>
                <w:rFonts w:hint="eastAsia"/>
                <w:color w:val="auto"/>
                <w:highlight w:val="none"/>
                <w:u w:val="single"/>
              </w:rPr>
              <w:t xml:space="preserve">     。</w:t>
            </w:r>
            <w:r/>
          </w:p>
          <w:p>
            <w:pPr>
              <w:spacing w:line="600" w:lineRule="auto"/>
              <w:rPr>
                <w:rFonts w:hint="eastAsia"/>
                <w:color w:val="auto"/>
                <w:highlight w:val="none"/>
              </w:rPr>
            </w:pPr>
            <w:r>
              <w:rPr>
                <w:rFonts w:hint="eastAsia"/>
                <w:color w:val="auto"/>
                <w:highlight w:val="none"/>
              </w:rPr>
              <w:t xml:space="preserve">标段4：（小写）</w:t>
            </w:r>
            <w:r>
              <w:rPr>
                <w:rFonts w:hint="eastAsia"/>
                <w:color w:val="auto"/>
                <w:highlight w:val="none"/>
                <w:u w:val="single"/>
              </w:rPr>
              <w:t xml:space="preserve">      </w:t>
            </w:r>
            <w:r>
              <w:rPr>
                <w:rFonts w:hint="eastAsia"/>
                <w:color w:val="auto"/>
                <w:highlight w:val="none"/>
              </w:rPr>
              <w:t xml:space="preserve">元/批次；（大写）：</w:t>
            </w:r>
            <w:r>
              <w:rPr>
                <w:rFonts w:hint="eastAsia"/>
                <w:color w:val="auto"/>
                <w:highlight w:val="none"/>
                <w:u w:val="single"/>
              </w:rPr>
              <w:t xml:space="preserve">       佰    拾   </w:t>
            </w:r>
            <w:r>
              <w:rPr>
                <w:rFonts w:hint="eastAsia"/>
                <w:color w:val="auto"/>
                <w:highlight w:val="none"/>
              </w:rPr>
              <w:t xml:space="preserve">元/批次 ；下降率</w:t>
            </w:r>
            <w:r>
              <w:rPr>
                <w:rFonts w:hint="eastAsia"/>
                <w:color w:val="auto"/>
                <w:highlight w:val="none"/>
                <w:u w:val="single"/>
              </w:rPr>
              <w:t xml:space="preserve">     。</w:t>
            </w:r>
            <w:r/>
          </w:p>
          <w:p>
            <w:pPr>
              <w:spacing w:line="600" w:lineRule="auto"/>
              <w:rPr>
                <w:rFonts w:hint="eastAsia"/>
                <w:color w:val="auto"/>
                <w:highlight w:val="none"/>
              </w:rPr>
            </w:pPr>
            <w:r>
              <w:rPr>
                <w:rFonts w:hint="eastAsia"/>
                <w:color w:val="auto"/>
                <w:highlight w:val="none"/>
              </w:rPr>
              <w:t xml:space="preserve">标段5：（小写）</w:t>
            </w:r>
            <w:r>
              <w:rPr>
                <w:rFonts w:hint="eastAsia"/>
                <w:color w:val="auto"/>
                <w:highlight w:val="none"/>
                <w:u w:val="single"/>
              </w:rPr>
              <w:t xml:space="preserve">      </w:t>
            </w:r>
            <w:r>
              <w:rPr>
                <w:rFonts w:hint="eastAsia"/>
                <w:color w:val="auto"/>
                <w:highlight w:val="none"/>
              </w:rPr>
              <w:t xml:space="preserve">元/批次；（大写）：</w:t>
            </w:r>
            <w:r>
              <w:rPr>
                <w:rFonts w:hint="eastAsia"/>
                <w:color w:val="auto"/>
                <w:highlight w:val="none"/>
                <w:u w:val="single"/>
              </w:rPr>
              <w:t xml:space="preserve">       佰    拾   </w:t>
            </w:r>
            <w:r>
              <w:rPr>
                <w:rFonts w:hint="eastAsia"/>
                <w:color w:val="auto"/>
                <w:highlight w:val="none"/>
              </w:rPr>
              <w:t xml:space="preserve">元/批次 ；下降率</w:t>
            </w:r>
            <w:r>
              <w:rPr>
                <w:rFonts w:hint="eastAsia"/>
                <w:color w:val="auto"/>
                <w:highlight w:val="none"/>
                <w:u w:val="single"/>
              </w:rPr>
              <w:t xml:space="preserve">     。</w:t>
            </w:r>
            <w:r/>
          </w:p>
          <w:p>
            <w:pPr>
              <w:spacing w:line="600" w:lineRule="auto"/>
              <w:rPr>
                <w:rFonts w:hint="eastAsia"/>
                <w:color w:val="auto"/>
                <w:highlight w:val="none"/>
              </w:rPr>
            </w:pPr>
            <w:r>
              <w:rPr>
                <w:rFonts w:hint="eastAsia"/>
                <w:color w:val="auto"/>
                <w:highlight w:val="none"/>
              </w:rPr>
              <w:t xml:space="preserve">标段6：（小写）</w:t>
            </w:r>
            <w:r>
              <w:rPr>
                <w:rFonts w:hint="eastAsia"/>
                <w:color w:val="auto"/>
                <w:highlight w:val="none"/>
                <w:u w:val="single"/>
              </w:rPr>
              <w:t xml:space="preserve">      </w:t>
            </w:r>
            <w:r>
              <w:rPr>
                <w:rFonts w:hint="eastAsia"/>
                <w:color w:val="auto"/>
                <w:highlight w:val="none"/>
              </w:rPr>
              <w:t xml:space="preserve">元/批次；（大写）：</w:t>
            </w:r>
            <w:r>
              <w:rPr>
                <w:rFonts w:hint="eastAsia"/>
                <w:color w:val="auto"/>
                <w:highlight w:val="none"/>
                <w:u w:val="single"/>
              </w:rPr>
              <w:t xml:space="preserve">       佰    拾   </w:t>
            </w:r>
            <w:r>
              <w:rPr>
                <w:rFonts w:hint="eastAsia"/>
                <w:color w:val="auto"/>
                <w:highlight w:val="none"/>
              </w:rPr>
              <w:t xml:space="preserve">元/批次 ；下降率</w:t>
            </w:r>
            <w:r>
              <w:rPr>
                <w:rFonts w:hint="eastAsia"/>
                <w:color w:val="auto"/>
                <w:highlight w:val="none"/>
                <w:u w:val="single"/>
              </w:rPr>
              <w:t xml:space="preserve">     。</w:t>
            </w:r>
            <w:r/>
          </w:p>
        </w:tc>
      </w:tr>
      <w:tr>
        <w:trPr>
          <w:trHeight w:val="860"/>
        </w:trPr>
        <w:tc>
          <w:tcPr>
            <w:tcW w:w="835" w:type="dxa"/>
            <w:vAlign w:val="center"/>
            <w:textDirection w:val="lrTb"/>
            <w:noWrap w:val="false"/>
          </w:tcPr>
          <w:p>
            <w:pPr>
              <w:jc w:val="cente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备注</w:t>
            </w:r>
            <w:r/>
          </w:p>
        </w:tc>
        <w:tc>
          <w:tcPr>
            <w:tcW w:w="8795" w:type="dxa"/>
            <w:vAlign w:val="center"/>
            <w:textDirection w:val="lrTb"/>
            <w:noWrap w:val="false"/>
          </w:tcPr>
          <w:p>
            <w:pPr>
              <w:spacing w:line="600" w:lineRule="auto"/>
              <w:rPr>
                <w:color w:val="auto"/>
                <w:highlight w:val="none"/>
              </w:rPr>
            </w:pPr>
            <w:r>
              <w:rPr>
                <w:color w:val="auto"/>
                <w:highlight w:val="none"/>
              </w:rPr>
              <w:t xml:space="preserve">综合单价</w:t>
            </w:r>
            <w:r>
              <w:rPr>
                <w:rFonts w:hint="eastAsia"/>
                <w:color w:val="auto"/>
                <w:highlight w:val="none"/>
                <w:u w:val="single"/>
              </w:rPr>
              <w:t xml:space="preserve">      </w:t>
            </w:r>
            <w:r>
              <w:rPr>
                <w:rFonts w:hint="eastAsia"/>
                <w:color w:val="auto"/>
                <w:highlight w:val="none"/>
              </w:rPr>
              <w:t xml:space="preserve">元/批次。</w:t>
            </w:r>
            <w:r>
              <w:rPr>
                <w:color w:val="auto"/>
                <w:highlight w:val="none"/>
              </w:rPr>
              <w:t xml:space="preserve">投标报价（下降率）=（</w:t>
            </w:r>
            <w:r>
              <w:rPr>
                <w:rFonts w:hint="eastAsia"/>
                <w:color w:val="auto"/>
                <w:highlight w:val="none"/>
              </w:rPr>
              <w:t xml:space="preserve">5</w:t>
            </w:r>
            <w:r>
              <w:rPr>
                <w:color w:val="auto"/>
                <w:highlight w:val="none"/>
              </w:rPr>
              <w:t xml:space="preserve">00-投标报价）/</w:t>
            </w:r>
            <w:r>
              <w:rPr>
                <w:rFonts w:hint="eastAsia"/>
                <w:color w:val="auto"/>
                <w:highlight w:val="none"/>
              </w:rPr>
              <w:t xml:space="preserve">5</w:t>
            </w:r>
            <w:r>
              <w:rPr>
                <w:color w:val="auto"/>
                <w:highlight w:val="none"/>
              </w:rPr>
              <w:t xml:space="preserve">00。</w:t>
            </w:r>
            <w:r>
              <w:rPr>
                <w:rFonts w:hint="eastAsia"/>
                <w:color w:val="auto"/>
                <w:highlight w:val="none"/>
              </w:rPr>
              <w:t xml:space="preserve">（保留小数后两位）</w:t>
            </w:r>
            <w:r/>
          </w:p>
        </w:tc>
      </w:tr>
    </w:tbl>
    <w:p>
      <w:pPr>
        <w:ind w:firstLine="482"/>
        <w:spacing w:line="400" w:lineRule="exact"/>
        <w:rPr>
          <w:rFonts w:hint="eastAsia"/>
          <w:color w:val="auto"/>
          <w:highlight w:val="none"/>
        </w:rPr>
      </w:pPr>
      <w:r>
        <w:rPr>
          <w:rFonts w:hint="eastAsia" w:ascii="仿宋" w:hAnsi="仿宋" w:eastAsia="仿宋" w:cs="仿宋"/>
          <w:color w:val="auto"/>
          <w:sz w:val="24"/>
          <w:szCs w:val="24"/>
          <w:highlight w:val="none"/>
        </w:rPr>
        <w:t xml:space="preserve">                                  </w:t>
      </w:r>
      <w:r/>
    </w:p>
    <w:p>
      <w:pPr>
        <w:pStyle w:val="1013"/>
        <w:rPr>
          <w:rFonts w:hint="eastAsia"/>
          <w:color w:val="auto"/>
          <w:highlight w:val="none"/>
        </w:rPr>
      </w:pPr>
      <w:r>
        <w:rPr>
          <w:rFonts w:hint="eastAsia"/>
          <w:color w:val="auto"/>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color w:val="auto"/>
          <w:highlight w:val="none"/>
        </w:rPr>
      </w:pPr>
      <w:r>
        <w:rPr>
          <w:rFonts w:hint="eastAsia"/>
          <w:color w:val="auto"/>
          <w:highlight w:val="none"/>
        </w:rPr>
      </w:r>
      <w:r/>
    </w:p>
    <w:p>
      <w:pPr>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附件2</w:t>
      </w:r>
      <w:r/>
    </w:p>
    <w:p>
      <w:pPr>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投标人符合《政府采购法》第二十二条规定条件的声明函</w:t>
      </w:r>
      <w:r/>
    </w:p>
    <w:p>
      <w:pPr>
        <w:spacing w:line="4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24"/>
          <w:szCs w:val="21"/>
          <w:highlight w:val="none"/>
        </w:rPr>
        <w:t xml:space="preserve">                       </w:t>
      </w:r>
      <w:r>
        <w:rPr>
          <w:rFonts w:hint="eastAsia" w:ascii="仿宋" w:hAnsi="仿宋" w:eastAsia="仿宋" w:cs="仿宋"/>
          <w:b/>
          <w:bCs/>
          <w:color w:val="auto"/>
          <w:sz w:val="44"/>
          <w:szCs w:val="44"/>
          <w:highlight w:val="none"/>
        </w:rPr>
        <w:t xml:space="preserve">   </w:t>
      </w:r>
      <w:r/>
    </w:p>
    <w:p>
      <w:pPr>
        <w:ind w:firstLine="480"/>
        <w:spacing w:line="52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 xml:space="preserve">我单位参加</w:t>
      </w:r>
      <w:r>
        <w:rPr>
          <w:rFonts w:hint="eastAsia" w:ascii="仿宋" w:hAnsi="仿宋" w:eastAsia="仿宋" w:cs="仿宋"/>
          <w:bCs/>
          <w:color w:val="auto"/>
          <w:sz w:val="24"/>
          <w:szCs w:val="21"/>
          <w:highlight w:val="none"/>
        </w:rPr>
        <w:t xml:space="preserve">________________（项目名称），_________（项目编号）投标活动。针对《中华人民共和国政府采购法》第二十二条规定做出如下声明：</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1.我单位具有独立承担民事责任的能力；</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6.我单位满足法律、行政法规规定的其他条件。</w:t>
      </w:r>
      <w:r/>
    </w:p>
    <w:p>
      <w:pPr>
        <w:ind w:firstLine="482"/>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jc w:val="cente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承诺人名称（加盖CA电子公章）：</w:t>
      </w:r>
      <w:r/>
    </w:p>
    <w:p>
      <w:pPr>
        <w:jc w:val="right"/>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w:t>
      </w:r>
      <w:r/>
    </w:p>
    <w:p>
      <w:pPr>
        <w:jc w:val="right"/>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日期：</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年</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月</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日</w:t>
      </w:r>
      <w:r/>
    </w:p>
    <w:p>
      <w:pPr>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bookmarkEnd w:id="196"/>
      <w:r/>
      <w:bookmarkEnd w:id="197"/>
      <w:r/>
      <w:bookmarkEnd w:id="198"/>
      <w:r/>
      <w:bookmarkStart w:id="199" w:name="_Toc120614284"/>
      <w:r>
        <w:rPr>
          <w:rFonts w:hint="eastAsia" w:ascii="仿宋" w:hAnsi="仿宋" w:eastAsia="仿宋" w:cs="仿宋"/>
          <w:b/>
          <w:color w:val="auto"/>
          <w:sz w:val="24"/>
          <w:szCs w:val="24"/>
          <w:highlight w:val="none"/>
        </w:rPr>
        <w:t xml:space="preserve">附件3          </w:t>
      </w:r>
      <w:r/>
    </w:p>
    <w:p>
      <w:pPr>
        <w:jc w:val="center"/>
        <w:spacing w:line="5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先生/女士： 现任我单位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职务，为法定代表人，特此证明。</w:t>
      </w:r>
      <w:r/>
    </w:p>
    <w:p>
      <w:pPr>
        <w:ind w:firstLine="48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身份证号码：</w:t>
      </w:r>
      <w:r>
        <w:rPr>
          <w:rFonts w:hint="eastAsia" w:ascii="仿宋" w:hAnsi="仿宋" w:eastAsia="仿宋" w:cs="仿宋"/>
          <w:color w:val="auto"/>
          <w:sz w:val="24"/>
          <w:szCs w:val="24"/>
          <w:highlight w:val="none"/>
          <w:u w:val="single"/>
        </w:rPr>
        <w:t xml:space="preserve">                                               </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60" w:lineRule="exact"/>
        <w:rPr>
          <w:rFonts w:hint="eastAsia" w:ascii="仿宋" w:hAnsi="仿宋" w:eastAsia="仿宋" w:cs="仿宋"/>
          <w:b/>
          <w:color w:val="auto"/>
          <w:sz w:val="24"/>
          <w:szCs w:val="21"/>
          <w:highlight w:val="none"/>
        </w:rPr>
      </w:pPr>
      <w:r>
        <w:rPr>
          <w:rFonts w:hint="eastAsia" w:ascii="仿宋" w:hAnsi="仿宋" w:eastAsia="仿宋" w:cs="仿宋"/>
          <w:b/>
          <w:color w:val="auto"/>
          <w:sz w:val="24"/>
          <w:szCs w:val="24"/>
          <w:highlight w:val="none"/>
        </w:rPr>
        <w:t xml:space="preserve">注：提供法定代表人的身份证扫描件</w:t>
      </w:r>
      <w:r>
        <w:rPr>
          <w:rFonts w:hint="eastAsia" w:ascii="仿宋" w:hAnsi="仿宋" w:eastAsia="仿宋" w:cs="仿宋"/>
          <w:bCs/>
          <w:color w:val="auto"/>
          <w:sz w:val="24"/>
          <w:szCs w:val="21"/>
          <w:highlight w:val="none"/>
        </w:rPr>
        <w:t xml:space="preserve">（加盖CA电子公章）</w:t>
      </w: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1"/>
          <w:highlight w:val="none"/>
        </w:rPr>
        <w:t xml:space="preserve">附件4           </w:t>
      </w:r>
      <w:r/>
    </w:p>
    <w:p>
      <w:pPr>
        <w:ind w:firstLine="480"/>
        <w:jc w:val="center"/>
        <w:spacing w:line="460" w:lineRule="exact"/>
        <w:rPr>
          <w:rFonts w:hint="eastAsia" w:ascii="仿宋" w:hAnsi="仿宋" w:eastAsia="仿宋" w:cs="仿宋"/>
          <w:bCs/>
          <w:color w:val="auto"/>
          <w:sz w:val="24"/>
          <w:szCs w:val="21"/>
          <w:highlight w:val="none"/>
        </w:rPr>
      </w:pPr>
      <w:r>
        <w:rPr>
          <w:rFonts w:hint="eastAsia" w:ascii="仿宋" w:hAnsi="仿宋" w:eastAsia="仿宋" w:cs="仿宋"/>
          <w:b/>
          <w:color w:val="auto"/>
          <w:sz w:val="24"/>
          <w:szCs w:val="21"/>
          <w:highlight w:val="none"/>
        </w:rPr>
        <w:t xml:space="preserve">法人授权书</w:t>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（投标人名称）授权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（被授权人的姓名）为我方就</w:t>
      </w:r>
      <w:r>
        <w:rPr>
          <w:rFonts w:hint="eastAsia" w:ascii="仿宋" w:hAnsi="仿宋" w:eastAsia="仿宋" w:cs="仿宋"/>
          <w:color w:val="auto"/>
          <w:sz w:val="24"/>
          <w:szCs w:val="24"/>
          <w:highlight w:val="none"/>
          <w:u w:val="single"/>
        </w:rPr>
        <w:t xml:space="preserve">JSZC-***********</w:t>
      </w:r>
      <w:r>
        <w:rPr>
          <w:rFonts w:hint="eastAsia" w:ascii="仿宋" w:hAnsi="仿宋" w:eastAsia="仿宋" w:cs="仿宋"/>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本授权书于______年____月____日起生效，特此声明。</w:t>
      </w:r>
      <w:r/>
    </w:p>
    <w:p>
      <w:pPr>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r/>
    </w:p>
    <w:p>
      <w:pPr>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被授权人联系电话：（手机）</w:t>
      </w:r>
      <w:r>
        <w:rPr>
          <w:rFonts w:hint="eastAsia" w:ascii="仿宋" w:hAnsi="仿宋" w:eastAsia="仿宋" w:cs="仿宋"/>
          <w:color w:val="auto"/>
          <w:sz w:val="24"/>
          <w:szCs w:val="24"/>
          <w:highlight w:val="none"/>
          <w:u w:val="single"/>
        </w:rPr>
        <w:t xml:space="preserve">                          </w:t>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bookmarkStart w:id="200" w:name="_Hlt26671380"/>
      <w:r/>
      <w:bookmarkEnd w:id="200"/>
      <w:r/>
      <w:bookmarkStart w:id="201" w:name="_Hlt26955070"/>
      <w:r/>
      <w:bookmarkEnd w:id="201"/>
      <w:r/>
      <w:bookmarkStart w:id="202" w:name="_格式3__银行出具的资信证明"/>
      <w:r/>
      <w:bookmarkEnd w:id="202"/>
      <w:r>
        <w:rPr>
          <w:rFonts w:hint="eastAsia" w:ascii="仿宋" w:hAnsi="仿宋" w:eastAsia="仿宋" w:cs="仿宋"/>
          <w:color w:val="auto"/>
          <w:sz w:val="24"/>
          <w:szCs w:val="24"/>
          <w:highlight w:val="none"/>
          <w:u w:val="single"/>
        </w:rPr>
        <w:t xml:space="preserve">                                         </w:t>
      </w:r>
      <w:r/>
    </w:p>
    <w:p>
      <w:pPr>
        <w:keepLines/>
        <w:keepNext/>
        <w:spacing w:before="260" w:after="260" w:line="416" w:lineRule="auto"/>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keepLines/>
        <w:keepNext/>
        <w:spacing w:before="260" w:after="260" w:line="416" w:lineRule="auto"/>
        <w:rPr>
          <w:rFonts w:hint="eastAsia" w:ascii="仿宋" w:hAnsi="仿宋" w:eastAsia="仿宋" w:cs="仿宋"/>
          <w:b/>
          <w:i/>
          <w:color w:val="auto"/>
          <w:sz w:val="32"/>
          <w:szCs w:val="32"/>
          <w:highlight w:val="none"/>
          <w:u w:val="single"/>
        </w:rPr>
      </w:pPr>
      <w:r>
        <w:rPr>
          <w:rFonts w:hint="eastAsia" w:ascii="仿宋" w:hAnsi="仿宋" w:eastAsia="仿宋" w:cs="仿宋"/>
          <w:bCs/>
          <w:color w:val="auto"/>
          <w:sz w:val="24"/>
          <w:szCs w:val="44"/>
          <w:highlight w:val="none"/>
        </w:rPr>
        <w:t xml:space="preserve">注：提供被授权人身份证扫描件（加盖CA电子公章）</w:t>
      </w:r>
      <w:r>
        <w:rPr>
          <w:rFonts w:hint="eastAsia" w:ascii="仿宋" w:hAnsi="仿宋" w:eastAsia="仿宋" w:cs="仿宋"/>
          <w:bCs/>
          <w:color w:val="auto"/>
          <w:sz w:val="24"/>
          <w:szCs w:val="44"/>
          <w:highlight w:val="none"/>
        </w:rPr>
        <w:br w:type="page" w:clear="all"/>
      </w:r>
      <w:r>
        <w:rPr>
          <w:rFonts w:hint="eastAsia" w:ascii="仿宋" w:hAnsi="仿宋" w:eastAsia="仿宋" w:cs="仿宋"/>
          <w:b/>
          <w:color w:val="auto"/>
          <w:sz w:val="24"/>
          <w:szCs w:val="21"/>
          <w:highlight w:val="none"/>
        </w:rPr>
        <w:t xml:space="preserve">附件5                            投标函</w:t>
      </w:r>
      <w:r/>
    </w:p>
    <w:p>
      <w:pPr>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致：</w:t>
      </w:r>
      <w:r>
        <w:rPr>
          <w:rFonts w:hint="eastAsia" w:ascii="仿宋" w:hAnsi="仿宋" w:eastAsia="仿宋" w:cs="仿宋"/>
          <w:color w:val="auto"/>
          <w:sz w:val="24"/>
          <w:szCs w:val="24"/>
          <w:highlight w:val="none"/>
          <w:u w:val="single"/>
        </w:rPr>
        <w:t xml:space="preserve"> 如东县市场监督管理局 </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根据贵方的</w:t>
      </w:r>
      <w:r>
        <w:rPr>
          <w:rFonts w:hint="eastAsia" w:ascii="仿宋" w:hAnsi="仿宋" w:eastAsia="仿宋" w:cs="仿宋"/>
          <w:color w:val="auto"/>
          <w:sz w:val="24"/>
          <w:szCs w:val="21"/>
          <w:highlight w:val="none"/>
          <w:u w:val="single"/>
        </w:rPr>
        <w:t xml:space="preserve">JSZC-**********-****</w:t>
      </w:r>
      <w:r>
        <w:rPr>
          <w:rFonts w:hint="eastAsia" w:ascii="仿宋" w:hAnsi="仿宋" w:eastAsia="仿宋" w:cs="仿宋"/>
          <w:color w:val="auto"/>
          <w:sz w:val="24"/>
          <w:szCs w:val="21"/>
          <w:highlight w:val="none"/>
        </w:rPr>
        <w:t xml:space="preserve">号招标文件，正式授权下述被授权人_____(姓名)代表我方_______（投标人的名称），全权处理本次项目投标的有关事宜。</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据此函，被授权人_____(姓名)兹宣布同意如下：</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2.我们完全理解贵方不一定将合同授予最低报价的投标人。</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7.与本投标有关的正式通讯地址为：</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          址：</w:t>
      </w:r>
      <w:r>
        <w:rPr>
          <w:rFonts w:hint="eastAsia" w:ascii="仿宋" w:hAnsi="仿宋" w:eastAsia="仿宋" w:cs="仿宋"/>
          <w:color w:val="auto"/>
          <w:sz w:val="24"/>
          <w:szCs w:val="21"/>
          <w:highlight w:val="none"/>
          <w:u w:val="single"/>
        </w:rPr>
        <w:t xml:space="preserve">                         </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邮          编：</w:t>
      </w:r>
      <w:r>
        <w:rPr>
          <w:rFonts w:hint="eastAsia" w:ascii="仿宋" w:hAnsi="仿宋" w:eastAsia="仿宋" w:cs="仿宋"/>
          <w:color w:val="auto"/>
          <w:sz w:val="24"/>
          <w:szCs w:val="21"/>
          <w:highlight w:val="none"/>
          <w:u w:val="single"/>
        </w:rPr>
        <w:t xml:space="preserve">                         </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电          话：</w:t>
      </w:r>
      <w:r>
        <w:rPr>
          <w:rFonts w:hint="eastAsia" w:ascii="仿宋" w:hAnsi="仿宋" w:eastAsia="仿宋" w:cs="仿宋"/>
          <w:color w:val="auto"/>
          <w:sz w:val="24"/>
          <w:szCs w:val="21"/>
          <w:highlight w:val="none"/>
          <w:u w:val="single"/>
        </w:rPr>
        <w:t xml:space="preserve">                         </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传          真：</w:t>
      </w:r>
      <w:r>
        <w:rPr>
          <w:rFonts w:hint="eastAsia" w:ascii="仿宋" w:hAnsi="仿宋" w:eastAsia="仿宋" w:cs="仿宋"/>
          <w:color w:val="auto"/>
          <w:sz w:val="24"/>
          <w:szCs w:val="21"/>
          <w:highlight w:val="none"/>
          <w:u w:val="single"/>
        </w:rPr>
        <w:t xml:space="preserve">                         </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投标人开户行：</w:t>
      </w:r>
      <w:r>
        <w:rPr>
          <w:rFonts w:hint="eastAsia" w:ascii="仿宋" w:hAnsi="仿宋" w:eastAsia="仿宋" w:cs="仿宋"/>
          <w:color w:val="auto"/>
          <w:sz w:val="24"/>
          <w:szCs w:val="21"/>
          <w:highlight w:val="none"/>
          <w:u w:val="single"/>
        </w:rPr>
        <w:t xml:space="preserve">                           </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账          号：</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 </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           期：_____年____月____日</w:t>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241"/>
        <w:jc w:val="center"/>
        <w:spacing w:line="560" w:lineRule="exact"/>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ind w:firstLine="241"/>
        <w:spacing w:line="560" w:lineRule="exact"/>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br w:type="page" w:clear="all"/>
      </w:r>
      <w:r>
        <w:rPr>
          <w:rFonts w:hint="eastAsia" w:ascii="仿宋" w:hAnsi="仿宋" w:eastAsia="仿宋" w:cs="仿宋"/>
          <w:b/>
          <w:color w:val="auto"/>
          <w:sz w:val="24"/>
          <w:szCs w:val="21"/>
          <w:highlight w:val="none"/>
        </w:rPr>
        <w:t xml:space="preserve">附件6 </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24"/>
          <w:szCs w:val="21"/>
          <w:highlight w:val="none"/>
        </w:rPr>
        <w:t xml:space="preserve">中小企业声明函（服务）</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（采购文件中明确的所属行业） </w:t>
      </w:r>
      <w:r>
        <w:rPr>
          <w:rFonts w:hint="eastAsia" w:ascii="仿宋" w:hAnsi="仿宋" w:eastAsia="仿宋" w:cs="仿宋"/>
          <w:color w:val="auto"/>
          <w:sz w:val="24"/>
          <w:szCs w:val="24"/>
          <w:highlight w:val="none"/>
        </w:rPr>
        <w:t xml:space="preserve">行业；承建（承接）企业为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（采购文件中明确的所属行业） </w:t>
      </w:r>
      <w:r>
        <w:rPr>
          <w:rFonts w:hint="eastAsia" w:ascii="仿宋" w:hAnsi="仿宋" w:eastAsia="仿宋" w:cs="仿宋"/>
          <w:color w:val="auto"/>
          <w:sz w:val="24"/>
          <w:szCs w:val="24"/>
          <w:highlight w:val="none"/>
        </w:rPr>
        <w:t xml:space="preserve">行业；承建（承接）企业为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right="7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80" w:firstLine="360"/>
        <w:jc w:val="righ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供应商全称（加盖CA电子公章）：</w:t>
      </w:r>
      <w:r/>
    </w:p>
    <w:p>
      <w:pPr>
        <w:ind w:right="480" w:firstLine="50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2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1、如项目类型为“服务”，请按照此格式填写。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4、投标人自行勾选承接企业的企业规模类型。</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left"/>
        <w:spacing w:line="588"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rPr>
        <w:t xml:space="preserve">附件7</w:t>
      </w:r>
      <w:r/>
    </w:p>
    <w:p>
      <w:pPr>
        <w:jc w:val="center"/>
        <w:spacing w:line="588"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残疾人福利性单位声明函（服务）</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项目采购活动由本单位提供服务。</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1、如项目类型为“服务”，请按照此格式填写。</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2、专门面向中小微型企业采购的项目，投标人为残疾人福利性单位并提供服务的必须提供此声明函，否则将不能通过资格审查。</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 非专门面向中小微型企业采购的项目，投标人如不提供此声明函，价格将不做相应扣除。</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1"/>
          <w:highlight w:val="none"/>
        </w:rPr>
        <w:t xml:space="preserve">人为残疾人福利性单位的，此声明函将随</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1"/>
          <w:highlight w:val="none"/>
        </w:rPr>
        <w:t xml:space="preserve">结果同时公告，接受社会监督。</w:t>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color w:val="auto"/>
          <w:sz w:val="24"/>
          <w:szCs w:val="21"/>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szCs w:val="21"/>
          <w:highlight w:val="none"/>
        </w:rPr>
        <w:t xml:space="preserve">          供应商全称（加盖CA电子公章）：</w:t>
      </w:r>
      <w:r/>
    </w:p>
    <w:p>
      <w:pPr>
        <w:ind w:right="1559" w:firstLine="480"/>
        <w:jc w:val="center"/>
        <w:spacing w:line="0" w:lineRule="atLeast"/>
        <w:tabs>
          <w:tab w:val="left" w:pos="48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日  期：</w:t>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spacing w:line="42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24"/>
          <w:szCs w:val="24"/>
          <w:highlight w:val="none"/>
        </w:rPr>
        <w:t xml:space="preserve">附件8</w:t>
      </w:r>
      <w:r/>
    </w:p>
    <w:p>
      <w:pPr>
        <w:jc w:val="center"/>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监狱和戒毒企业证明材料</w:t>
      </w:r>
      <w:r/>
    </w:p>
    <w:p>
      <w:pPr>
        <w:ind w:firstLine="495"/>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（格式自拟）</w:t>
      </w:r>
      <w:r/>
    </w:p>
    <w:p>
      <w:pPr>
        <w:ind w:firstLine="495"/>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专门面向中小微型企业采购的项目，投标人如不提供此证明材料，则不能通过资格审查；非专门面向中小微型企业采购的项目，投标人如不提供此证明材料，价格将不做相应扣除。</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rPr>
        <w:t xml:space="preserve">附件9</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技术要求响应及偏离表</w:t>
      </w:r>
      <w:r/>
    </w:p>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（由投标人据实填写，表格不够自行添加）</w:t>
      </w:r>
      <w:r/>
    </w:p>
    <w:tbl>
      <w:tblPr>
        <w:tblStyle w:val="808"/>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3557"/>
        <w:gridCol w:w="1605"/>
        <w:gridCol w:w="2071"/>
        <w:gridCol w:w="1140"/>
      </w:tblGrid>
      <w:tr>
        <w:trPr>
          <w:trHeight w:val="994"/>
        </w:trPr>
        <w:tc>
          <w:tcPr>
            <w:tcW w:w="460" w:type="dxa"/>
            <w:vAlign w:val="center"/>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54" w:type="dxa"/>
            <w:vAlign w:val="center"/>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货物名称</w:t>
            </w:r>
            <w:r/>
          </w:p>
        </w:tc>
        <w:tc>
          <w:tcPr>
            <w:tcW w:w="1095" w:type="dxa"/>
            <w:vAlign w:val="center"/>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招标文件要求的技术要求</w:t>
            </w:r>
            <w:r/>
          </w:p>
        </w:tc>
        <w:tc>
          <w:tcPr>
            <w:tcW w:w="1413" w:type="dxa"/>
            <w:vAlign w:val="center"/>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投标文件响应情况</w:t>
            </w:r>
            <w:r/>
          </w:p>
        </w:tc>
        <w:tc>
          <w:tcPr>
            <w:tcW w:w="778"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54"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W w:w="460"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54"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460"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254"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W w:w="460"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254"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W w:w="89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427"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附件10-1  证明材料1，证明材料2，……</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contextualSpacing/>
        <w:spacing w:line="30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 投标人提交的投标文件中与招标文件第四章“采购需求”中的技术要求（未加斜体下划线的非实质性内容）如有偏离的，应逐条填列在偏离表中。</w:t>
      </w:r>
      <w:r>
        <w:rPr>
          <w:rFonts w:hint="eastAsia" w:ascii="仿宋" w:hAnsi="仿宋" w:eastAsia="仿宋" w:cs="仿宋"/>
          <w:b/>
          <w:bCs/>
          <w:color w:val="auto"/>
          <w:sz w:val="24"/>
          <w:szCs w:val="24"/>
          <w:highlight w:val="none"/>
        </w:rPr>
        <w:t xml:space="preserve">如果招标文件要求提供证明材料，投标人需将证明材料列于该表之下。</w:t>
      </w:r>
      <w:r/>
    </w:p>
    <w:p>
      <w:pPr>
        <w:contextualSpacing/>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2.“偏离说明”一栏选择“正偏离”、“无偏离”、“负偏离”进行填写。未填写的内容视为完全响应本招标文件要求。正偏离、无偏离的确认和负偏离是否响应招标文件，由评委会认定。</w:t>
      </w:r>
      <w:r/>
    </w:p>
    <w:p>
      <w:pPr>
        <w:pStyle w:val="1053"/>
        <w:ind w:firstLine="40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rPr>
        <w:t xml:space="preserve">附件10</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商务要求响应及偏离表</w:t>
      </w:r>
      <w:r/>
    </w:p>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（由投标人据实填写，表格不够自行添加）</w:t>
      </w:r>
      <w:r/>
    </w:p>
    <w:tbl>
      <w:tblPr>
        <w:tblStyle w:val="808"/>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3557"/>
        <w:gridCol w:w="1605"/>
        <w:gridCol w:w="2071"/>
        <w:gridCol w:w="1140"/>
      </w:tblGrid>
      <w:tr>
        <w:trPr>
          <w:trHeight w:val="994"/>
        </w:trPr>
        <w:tc>
          <w:tcPr>
            <w:tcW w:w="460" w:type="dxa"/>
            <w:vAlign w:val="center"/>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54" w:type="dxa"/>
            <w:vAlign w:val="center"/>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货物名称</w:t>
            </w:r>
            <w:r/>
          </w:p>
        </w:tc>
        <w:tc>
          <w:tcPr>
            <w:tcW w:w="1095" w:type="dxa"/>
            <w:vAlign w:val="center"/>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招标文件要求的商务要求</w:t>
            </w:r>
            <w:r/>
          </w:p>
        </w:tc>
        <w:tc>
          <w:tcPr>
            <w:tcW w:w="1413" w:type="dxa"/>
            <w:vAlign w:val="center"/>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投标文件响应情况</w:t>
            </w:r>
            <w:r/>
          </w:p>
        </w:tc>
        <w:tc>
          <w:tcPr>
            <w:tcW w:w="778"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54"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W w:w="460"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54"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460"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254"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W w:w="460" w:type="dxa"/>
            <w:vAlign w:val="top"/>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254"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W w:w="89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427"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095"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dxa"/>
            <w:vAlign w:val="top"/>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附件11-1  证明材料1，证明材料2，……</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rPr>
        <w:t xml:space="preserve">附件11 </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实质性要求响应及偏离表</w:t>
      </w:r>
      <w:r/>
    </w:p>
    <w:tbl>
      <w:tblPr>
        <w:tblStyle w:val="8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招标文件技术要求和商务要求中的实质性要求</w:t>
            </w:r>
            <w:r>
              <w:rPr>
                <w:rFonts w:hint="eastAsia" w:ascii="仿宋" w:hAnsi="仿宋" w:eastAsia="仿宋" w:cs="仿宋"/>
                <w:i/>
                <w:color w:val="auto"/>
                <w:sz w:val="24"/>
                <w:szCs w:val="24"/>
                <w:highlight w:val="none"/>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3609"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附件12-1 证明材料1，证明材料2，……</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spacing w:line="400" w:lineRule="exact"/>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2.如果采购文件要求提供证明材料，供应商必须将证明材料列于该表之下，否则作无效响应处理。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bookmarkEnd w:id="185"/>
      <w:r/>
      <w:bookmarkEnd w:id="186"/>
      <w:r/>
      <w:bookmarkEnd w:id="199"/>
      <w:r/>
      <w:r/>
    </w:p>
    <w:p>
      <w:pPr>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rPr>
        <w:t xml:space="preserve">附件12</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质疑函范本</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700" w:lineRule="exact"/>
        <w:widowControl/>
        <w:rPr>
          <w:rFonts w:hint="eastAsia" w:ascii="仿宋" w:hAnsi="仿宋" w:eastAsia="仿宋" w:cs="仿宋"/>
          <w:color w:val="auto"/>
          <w:sz w:val="28"/>
          <w:szCs w:val="28"/>
          <w:highlight w:val="none"/>
          <w:lang w:bidi="ar"/>
        </w:rPr>
      </w:pPr>
      <w:r>
        <w:rPr>
          <w:rFonts w:hint="eastAsia" w:ascii="仿宋" w:hAnsi="仿宋" w:eastAsia="仿宋" w:cs="仿宋"/>
          <w:color w:val="auto"/>
          <w:highlight w:val="none"/>
        </w:rPr>
        <w:br w:type="page" w:clear="all"/>
      </w:r>
      <w:r>
        <w:rPr>
          <w:rFonts w:hint="eastAsia" w:ascii="仿宋" w:hAnsi="仿宋" w:eastAsia="仿宋" w:cs="仿宋"/>
          <w:color w:val="auto"/>
          <w:sz w:val="28"/>
          <w:szCs w:val="28"/>
          <w:highlight w:val="none"/>
          <w:lang w:bidi="ar"/>
        </w:rPr>
        <w:t xml:space="preserve">附件13</w:t>
      </w:r>
      <w:r/>
    </w:p>
    <w:p>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办理政采贷和履约保函（保险）告知函</w:t>
      </w:r>
      <w:r/>
    </w:p>
    <w:p>
      <w:pPr>
        <w:rPr>
          <w:rFonts w:hint="eastAsia" w:eastAsia="仿宋_GB2312"/>
          <w:color w:val="auto"/>
          <w:sz w:val="32"/>
          <w:highlight w:val="none"/>
        </w:rPr>
      </w:pPr>
      <w:r>
        <w:rPr>
          <w:rFonts w:hint="eastAsia" w:eastAsia="仿宋_GB2312"/>
          <w:color w:val="auto"/>
          <w:sz w:val="32"/>
          <w:highlight w:val="none"/>
        </w:rPr>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各政府采购供应商：</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欢迎贵公司参与南通市政府采购活动！</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spacing w:line="360" w:lineRule="auto"/>
        <w:rPr>
          <w:color w:val="auto"/>
          <w:highlight w:val="none"/>
        </w:rPr>
      </w:pPr>
      <w:r>
        <w:rPr>
          <w:color w:val="auto"/>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contextualSpacing/>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contextualSpacing/>
        <w:ind w:firstLine="562"/>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sectPr>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7"/>
      </w:rPr>
      <w:framePr w:wrap="around" w:vAnchor="text" w:hAnchor="margin" w:xAlign="center" w:y="1"/>
    </w:pPr>
    <w:r>
      <w:fldChar w:fldCharType="begin"/>
    </w:r>
    <w:r>
      <w:rPr>
        <w:rStyle w:val="1057"/>
      </w:rPr>
      <w:instrText xml:space="preserve">PAGE  </w:instrText>
    </w:r>
    <w:r>
      <w:fldChar w:fldCharType="separate"/>
    </w:r>
    <w:r>
      <w:rPr>
        <w:rStyle w:val="1057"/>
      </w:rPr>
      <w:t xml:space="preserve">1</w:t>
    </w:r>
    <w:r>
      <w:fldChar w:fldCharType="end"/>
    </w:r>
    <w:r/>
  </w:p>
  <w:p>
    <w:pPr>
      <w:pStyle w:val="10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tabs>
                              <w:tab w:val="clear" w:pos="4153" w:leader="none"/>
                              <w:tab w:val="clear" w:pos="8306" w:leader="none"/>
                            </w:tabs>
                            <w:rPr>
                              <w:rStyle w:val="1057"/>
                              <w:rFonts w:ascii="宋体" w:hAnsi="宋体"/>
                            </w:rPr>
                          </w:pPr>
                          <w:r>
                            <w:rPr>
                              <w:rFonts w:ascii="宋体" w:hAnsi="宋体"/>
                            </w:rPr>
                            <w:fldChar w:fldCharType="begin"/>
                          </w:r>
                          <w:r>
                            <w:rPr>
                              <w:rStyle w:val="1057"/>
                              <w:rFonts w:ascii="宋体" w:hAnsi="宋体"/>
                            </w:rPr>
                            <w:instrText xml:space="preserve">PAGE  </w:instrText>
                          </w:r>
                          <w:r>
                            <w:rPr>
                              <w:rFonts w:ascii="宋体" w:hAnsi="宋体"/>
                            </w:rPr>
                            <w:fldChar w:fldCharType="separate"/>
                          </w:r>
                          <w:r>
                            <w:rPr>
                              <w:rStyle w:val="1057"/>
                              <w:rFonts w:ascii="宋体" w:hAnsi="宋体"/>
                            </w:rPr>
                            <w:t xml:space="preserve">30</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rPr>
                        <w:rStyle w:val="1057"/>
                        <w:rFonts w:ascii="宋体" w:hAnsi="宋体"/>
                      </w:rPr>
                    </w:pPr>
                    <w:r>
                      <w:rPr>
                        <w:rFonts w:ascii="宋体" w:hAnsi="宋体"/>
                      </w:rPr>
                      <w:fldChar w:fldCharType="begin"/>
                    </w:r>
                    <w:r>
                      <w:rPr>
                        <w:rStyle w:val="1057"/>
                        <w:rFonts w:ascii="宋体" w:hAnsi="宋体"/>
                      </w:rPr>
                      <w:instrText xml:space="preserve">PAGE  </w:instrText>
                    </w:r>
                    <w:r>
                      <w:rPr>
                        <w:rFonts w:ascii="宋体" w:hAnsi="宋体"/>
                      </w:rPr>
                      <w:fldChar w:fldCharType="separate"/>
                    </w:r>
                    <w:r>
                      <w:rPr>
                        <w:rStyle w:val="1057"/>
                        <w:rFonts w:ascii="宋体" w:hAnsi="宋体"/>
                      </w:rPr>
                      <w:t xml:space="preserve">30</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8"/>
      <w:isLgl w:val="false"/>
      <w:suff w:val="nothing"/>
      <w:lvlText w:val=""/>
      <w:lvlJc w:val="left"/>
      <w:pPr>
        <w:ind w:left="0" w:firstLine="0"/>
      </w:pPr>
      <w:rPr>
        <w:rFonts w:hint="eastAsia"/>
      </w:rPr>
    </w:lvl>
    <w:lvl w:ilvl="6">
      <w:start w:val="1"/>
      <w:numFmt w:val="decimal"/>
      <w:pStyle w:val="989"/>
      <w:isLgl w:val="false"/>
      <w:suff w:val="nothing"/>
      <w:lvlText w:val=""/>
      <w:lvlJc w:val="left"/>
      <w:pPr>
        <w:ind w:left="0" w:firstLine="0"/>
      </w:pPr>
      <w:rPr>
        <w:rFonts w:hint="eastAsia"/>
      </w:rPr>
    </w:lvl>
    <w:lvl w:ilvl="7">
      <w:start w:val="1"/>
      <w:numFmt w:val="decimal"/>
      <w:pStyle w:val="990"/>
      <w:isLgl w:val="false"/>
      <w:suff w:val="nothing"/>
      <w:lvlText w:val=""/>
      <w:lvlJc w:val="left"/>
      <w:pPr>
        <w:ind w:left="0" w:firstLine="0"/>
      </w:pPr>
      <w:rPr>
        <w:rFonts w:hint="eastAsia"/>
      </w:rPr>
    </w:lvl>
    <w:lvl w:ilvl="8">
      <w:start w:val="1"/>
      <w:numFmt w:val="decimal"/>
      <w:pStyle w:val="991"/>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5"/>
  </w:num>
  <w:num w:numId="3">
    <w:abstractNumId w:val="8"/>
  </w:num>
  <w:num w:numId="4">
    <w:abstractNumId w:val="4"/>
  </w:num>
  <w:num w:numId="5">
    <w:abstractNumId w:val="0"/>
  </w:num>
  <w:num w:numId="6">
    <w:abstractNumId w:val="6"/>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next w:val="809"/>
    <w:link w:val="10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8">
    <w:name w:val="Heading 1"/>
    <w:basedOn w:val="797"/>
    <w:next w:val="797"/>
    <w:link w:val="834"/>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797"/>
    <w:link w:val="835"/>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797"/>
    <w:link w:val="836"/>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37"/>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38"/>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link w:val="839"/>
    <w:uiPriority w:val="9"/>
    <w:unhideWhenUsed/>
    <w:qFormat/>
    <w:pPr>
      <w:keepLines/>
      <w:keepNext/>
      <w:spacing w:before="320" w:after="200"/>
      <w:outlineLvl w:val="5"/>
    </w:pPr>
    <w:rPr>
      <w:rFonts w:ascii="Arial" w:hAnsi="Arial" w:eastAsia="Arial" w:cs="Arial"/>
      <w:b/>
      <w:bCs/>
      <w:sz w:val="22"/>
      <w:szCs w:val="22"/>
    </w:rPr>
  </w:style>
  <w:style w:type="paragraph" w:styleId="804">
    <w:name w:val="Heading 7"/>
    <w:basedOn w:val="797"/>
    <w:next w:val="797"/>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Heading 8"/>
    <w:basedOn w:val="797"/>
    <w:next w:val="797"/>
    <w:link w:val="841"/>
    <w:uiPriority w:val="9"/>
    <w:unhideWhenUsed/>
    <w:qFormat/>
    <w:pPr>
      <w:keepLines/>
      <w:keepNext/>
      <w:spacing w:before="320" w:after="200"/>
      <w:outlineLvl w:val="7"/>
    </w:pPr>
    <w:rPr>
      <w:rFonts w:ascii="Arial" w:hAnsi="Arial" w:eastAsia="Arial" w:cs="Arial"/>
      <w:i/>
      <w:iCs/>
      <w:sz w:val="22"/>
      <w:szCs w:val="22"/>
    </w:rPr>
  </w:style>
  <w:style w:type="paragraph" w:styleId="806">
    <w:name w:val="Heading 9"/>
    <w:basedOn w:val="797"/>
    <w:next w:val="797"/>
    <w:link w:val="842"/>
    <w:uiPriority w:val="9"/>
    <w:unhideWhenUsed/>
    <w:qFormat/>
    <w:pPr>
      <w:keepLines/>
      <w:keepNext/>
      <w:spacing w:before="320" w:after="200"/>
      <w:outlineLvl w:val="8"/>
    </w:pPr>
    <w:rPr>
      <w:rFonts w:ascii="Arial" w:hAnsi="Arial" w:eastAsia="Arial" w:cs="Arial"/>
      <w:i/>
      <w:iCs/>
      <w:sz w:val="21"/>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Body Text"/>
    <w:basedOn w:val="797"/>
    <w:next w:val="797"/>
    <w:uiPriority w:val="0"/>
    <w:rPr>
      <w:rFonts w:ascii="楷体_GB2312" w:hAnsi="Arial" w:eastAsia="楷体_GB2312" w:cs="Times New Roman"/>
      <w:sz w:val="28"/>
      <w:szCs w:val="28"/>
    </w:rPr>
  </w:style>
  <w:style w:type="paragraph" w:styleId="810">
    <w:name w:val="toc 7"/>
    <w:basedOn w:val="797"/>
    <w:next w:val="797"/>
    <w:uiPriority w:val="39"/>
    <w:unhideWhenUsed/>
    <w:qFormat/>
    <w:pPr>
      <w:ind w:left="1701" w:right="0" w:firstLine="0"/>
      <w:spacing w:after="57"/>
    </w:pPr>
  </w:style>
  <w:style w:type="paragraph" w:styleId="811">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Body Text Indent"/>
    <w:basedOn w:val="797"/>
    <w:next w:val="813"/>
    <w:uiPriority w:val="0"/>
    <w:unhideWhenUsed/>
    <w:pPr>
      <w:ind w:left="420"/>
      <w:spacing w:after="120"/>
    </w:pPr>
  </w:style>
  <w:style w:type="paragraph" w:styleId="813">
    <w:name w:val="envelope return"/>
    <w:basedOn w:val="797"/>
    <w:uiPriority w:val="99"/>
    <w:unhideWhenUsed/>
    <w:qFormat/>
    <w:rPr>
      <w:rFonts w:ascii="Arial" w:hAnsi="Arial"/>
    </w:rPr>
  </w:style>
  <w:style w:type="paragraph" w:styleId="814">
    <w:name w:val="toc 5"/>
    <w:basedOn w:val="797"/>
    <w:next w:val="797"/>
    <w:uiPriority w:val="39"/>
    <w:unhideWhenUsed/>
    <w:qFormat/>
    <w:pPr>
      <w:ind w:left="1134" w:right="0" w:firstLine="0"/>
      <w:spacing w:after="57"/>
    </w:pPr>
  </w:style>
  <w:style w:type="paragraph" w:styleId="815">
    <w:name w:val="toc 3"/>
    <w:basedOn w:val="797"/>
    <w:next w:val="797"/>
    <w:uiPriority w:val="39"/>
    <w:unhideWhenUsed/>
    <w:qFormat/>
    <w:pPr>
      <w:ind w:left="567" w:right="0" w:firstLine="0"/>
      <w:spacing w:after="57"/>
    </w:pPr>
  </w:style>
  <w:style w:type="paragraph" w:styleId="816">
    <w:name w:val="toc 8"/>
    <w:basedOn w:val="797"/>
    <w:next w:val="797"/>
    <w:uiPriority w:val="39"/>
    <w:unhideWhenUsed/>
    <w:qFormat/>
    <w:pPr>
      <w:ind w:left="1984" w:right="0" w:firstLine="0"/>
      <w:spacing w:after="57"/>
    </w:pPr>
  </w:style>
  <w:style w:type="paragraph" w:styleId="817">
    <w:name w:val="endnote text"/>
    <w:basedOn w:val="797"/>
    <w:link w:val="980"/>
    <w:uiPriority w:val="99"/>
    <w:semiHidden/>
    <w:unhideWhenUsed/>
    <w:qFormat/>
    <w:pPr>
      <w:spacing w:after="0" w:line="240" w:lineRule="auto"/>
    </w:pPr>
    <w:rPr>
      <w:sz w:val="20"/>
    </w:rPr>
  </w:style>
  <w:style w:type="paragraph" w:styleId="818">
    <w:name w:val="Footer"/>
    <w:basedOn w:val="797"/>
    <w:link w:val="853"/>
    <w:uiPriority w:val="99"/>
    <w:unhideWhenUsed/>
    <w:qFormat/>
    <w:pPr>
      <w:spacing w:after="0" w:line="240" w:lineRule="auto"/>
      <w:tabs>
        <w:tab w:val="center" w:pos="7143" w:leader="none"/>
        <w:tab w:val="right" w:pos="14287" w:leader="none"/>
      </w:tabs>
    </w:pPr>
  </w:style>
  <w:style w:type="paragraph" w:styleId="819">
    <w:name w:val="Header"/>
    <w:basedOn w:val="797"/>
    <w:link w:val="851"/>
    <w:uiPriority w:val="99"/>
    <w:unhideWhenUsed/>
    <w:qFormat/>
    <w:pPr>
      <w:spacing w:after="0" w:line="240" w:lineRule="auto"/>
      <w:tabs>
        <w:tab w:val="center" w:pos="7143" w:leader="none"/>
        <w:tab w:val="right" w:pos="14287" w:leader="none"/>
      </w:tabs>
    </w:pPr>
  </w:style>
  <w:style w:type="paragraph" w:styleId="820">
    <w:name w:val="toc 1"/>
    <w:basedOn w:val="797"/>
    <w:next w:val="797"/>
    <w:uiPriority w:val="39"/>
    <w:unhideWhenUsed/>
    <w:qFormat/>
    <w:pPr>
      <w:ind w:left="0" w:right="0" w:firstLine="0"/>
      <w:spacing w:after="57"/>
    </w:pPr>
  </w:style>
  <w:style w:type="paragraph" w:styleId="821">
    <w:name w:val="toc 4"/>
    <w:basedOn w:val="797"/>
    <w:next w:val="797"/>
    <w:uiPriority w:val="39"/>
    <w:unhideWhenUsed/>
    <w:qFormat/>
    <w:pPr>
      <w:ind w:left="850" w:right="0" w:firstLine="0"/>
      <w:spacing w:after="57"/>
    </w:pPr>
  </w:style>
  <w:style w:type="paragraph" w:styleId="822">
    <w:name w:val="Subtitle"/>
    <w:basedOn w:val="797"/>
    <w:next w:val="797"/>
    <w:link w:val="846"/>
    <w:uiPriority w:val="11"/>
    <w:qFormat/>
    <w:pPr>
      <w:spacing w:before="200" w:after="200"/>
    </w:pPr>
    <w:rPr>
      <w:sz w:val="24"/>
      <w:szCs w:val="24"/>
    </w:rPr>
  </w:style>
  <w:style w:type="paragraph" w:styleId="823">
    <w:name w:val="footnote text"/>
    <w:basedOn w:val="797"/>
    <w:link w:val="979"/>
    <w:uiPriority w:val="99"/>
    <w:semiHidden/>
    <w:unhideWhenUsed/>
    <w:qFormat/>
    <w:pPr>
      <w:spacing w:after="40" w:line="240" w:lineRule="auto"/>
    </w:pPr>
    <w:rPr>
      <w:sz w:val="18"/>
    </w:rPr>
  </w:style>
  <w:style w:type="paragraph" w:styleId="824">
    <w:name w:val="toc 6"/>
    <w:basedOn w:val="797"/>
    <w:next w:val="797"/>
    <w:uiPriority w:val="39"/>
    <w:unhideWhenUsed/>
    <w:qFormat/>
    <w:pPr>
      <w:ind w:left="1417" w:right="0" w:firstLine="0"/>
      <w:spacing w:after="57"/>
    </w:pPr>
  </w:style>
  <w:style w:type="paragraph" w:styleId="825">
    <w:name w:val="table of figures"/>
    <w:basedOn w:val="797"/>
    <w:next w:val="797"/>
    <w:uiPriority w:val="99"/>
    <w:unhideWhenUsed/>
    <w:qFormat/>
    <w:pPr>
      <w:spacing w:after="0" w:afterAutospacing="0"/>
    </w:pPr>
  </w:style>
  <w:style w:type="paragraph" w:styleId="826">
    <w:name w:val="toc 2"/>
    <w:basedOn w:val="797"/>
    <w:next w:val="797"/>
    <w:uiPriority w:val="39"/>
    <w:unhideWhenUsed/>
    <w:qFormat/>
    <w:pPr>
      <w:ind w:left="283" w:right="0" w:firstLine="0"/>
      <w:spacing w:after="57"/>
    </w:pPr>
  </w:style>
  <w:style w:type="paragraph" w:styleId="827">
    <w:name w:val="toc 9"/>
    <w:basedOn w:val="797"/>
    <w:next w:val="797"/>
    <w:uiPriority w:val="39"/>
    <w:unhideWhenUsed/>
    <w:qFormat/>
    <w:pPr>
      <w:ind w:left="2268" w:right="0" w:firstLine="0"/>
      <w:spacing w:after="57"/>
    </w:pPr>
  </w:style>
  <w:style w:type="paragraph" w:styleId="828">
    <w:name w:val="Title"/>
    <w:basedOn w:val="797"/>
    <w:next w:val="797"/>
    <w:link w:val="845"/>
    <w:uiPriority w:val="10"/>
    <w:qFormat/>
    <w:pPr>
      <w:contextualSpacing/>
      <w:spacing w:before="300" w:after="200"/>
    </w:pPr>
    <w:rPr>
      <w:sz w:val="48"/>
      <w:szCs w:val="48"/>
    </w:rPr>
  </w:style>
  <w:style w:type="paragraph" w:styleId="829">
    <w:name w:val="Body Text First Indent 2"/>
    <w:basedOn w:val="812"/>
    <w:next w:val="797"/>
    <w:uiPriority w:val="0"/>
    <w:pPr>
      <w:ind w:left="0" w:firstLine="420"/>
      <w:spacing w:after="0" w:line="360" w:lineRule="auto"/>
    </w:pPr>
    <w:rPr>
      <w:rFonts w:ascii="宋体" w:hAnsi="宋体" w:eastAsia="宋体" w:cs="Times New Roman"/>
      <w:szCs w:val="20"/>
    </w:rPr>
  </w:style>
  <w:style w:type="table" w:styleId="8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endnote reference"/>
    <w:uiPriority w:val="99"/>
    <w:semiHidden/>
    <w:unhideWhenUsed/>
    <w:qFormat/>
    <w:rPr>
      <w:vertAlign w:val="superscript"/>
    </w:rPr>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footnote reference"/>
    <w:uiPriority w:val="99"/>
    <w:unhideWhenUsed/>
    <w:qFormat/>
    <w:rPr>
      <w:vertAlign w:val="superscript"/>
    </w:rPr>
  </w:style>
  <w:style w:type="character" w:styleId="834" w:customStyle="1">
    <w:name w:val="Heading 1 Char"/>
    <w:link w:val="798"/>
    <w:uiPriority w:val="9"/>
    <w:qFormat/>
    <w:rPr>
      <w:rFonts w:ascii="Arial" w:hAnsi="Arial" w:eastAsia="Arial" w:cs="Arial"/>
      <w:sz w:val="40"/>
      <w:szCs w:val="40"/>
    </w:rPr>
  </w:style>
  <w:style w:type="character" w:styleId="835" w:customStyle="1">
    <w:name w:val="Heading 2 Char"/>
    <w:link w:val="799"/>
    <w:uiPriority w:val="9"/>
    <w:qFormat/>
    <w:rPr>
      <w:rFonts w:ascii="Arial" w:hAnsi="Arial" w:eastAsia="Arial" w:cs="Arial"/>
      <w:sz w:val="34"/>
    </w:rPr>
  </w:style>
  <w:style w:type="character" w:styleId="836" w:customStyle="1">
    <w:name w:val="Heading 3 Char"/>
    <w:link w:val="800"/>
    <w:uiPriority w:val="9"/>
    <w:qFormat/>
    <w:rPr>
      <w:rFonts w:ascii="Arial" w:hAnsi="Arial" w:eastAsia="Arial" w:cs="Arial"/>
      <w:sz w:val="30"/>
      <w:szCs w:val="30"/>
    </w:rPr>
  </w:style>
  <w:style w:type="character" w:styleId="837" w:customStyle="1">
    <w:name w:val="Heading 4 Char"/>
    <w:link w:val="801"/>
    <w:uiPriority w:val="9"/>
    <w:qFormat/>
    <w:rPr>
      <w:rFonts w:ascii="Arial" w:hAnsi="Arial" w:eastAsia="Arial" w:cs="Arial"/>
      <w:b/>
      <w:bCs/>
      <w:sz w:val="26"/>
      <w:szCs w:val="26"/>
    </w:rPr>
  </w:style>
  <w:style w:type="character" w:styleId="838" w:customStyle="1">
    <w:name w:val="Heading 5 Char"/>
    <w:link w:val="802"/>
    <w:uiPriority w:val="9"/>
    <w:qFormat/>
    <w:rPr>
      <w:rFonts w:ascii="Arial" w:hAnsi="Arial" w:eastAsia="Arial" w:cs="Arial"/>
      <w:b/>
      <w:bCs/>
      <w:sz w:val="24"/>
      <w:szCs w:val="24"/>
    </w:rPr>
  </w:style>
  <w:style w:type="character" w:styleId="839" w:customStyle="1">
    <w:name w:val="Heading 6 Char"/>
    <w:link w:val="803"/>
    <w:uiPriority w:val="9"/>
    <w:qFormat/>
    <w:rPr>
      <w:rFonts w:ascii="Arial" w:hAnsi="Arial" w:eastAsia="Arial" w:cs="Arial"/>
      <w:b/>
      <w:bCs/>
      <w:sz w:val="22"/>
      <w:szCs w:val="22"/>
    </w:rPr>
  </w:style>
  <w:style w:type="character" w:styleId="840" w:customStyle="1">
    <w:name w:val="Heading 7 Char"/>
    <w:link w:val="804"/>
    <w:uiPriority w:val="9"/>
    <w:qFormat/>
    <w:rPr>
      <w:rFonts w:ascii="Arial" w:hAnsi="Arial" w:eastAsia="Arial" w:cs="Arial"/>
      <w:b/>
      <w:bCs/>
      <w:i/>
      <w:iCs/>
      <w:sz w:val="22"/>
      <w:szCs w:val="22"/>
    </w:rPr>
  </w:style>
  <w:style w:type="character" w:styleId="841" w:customStyle="1">
    <w:name w:val="Heading 8 Char"/>
    <w:link w:val="805"/>
    <w:uiPriority w:val="9"/>
    <w:qFormat/>
    <w:rPr>
      <w:rFonts w:ascii="Arial" w:hAnsi="Arial" w:eastAsia="Arial" w:cs="Arial"/>
      <w:i/>
      <w:iCs/>
      <w:sz w:val="22"/>
      <w:szCs w:val="22"/>
    </w:rPr>
  </w:style>
  <w:style w:type="character" w:styleId="842" w:customStyle="1">
    <w:name w:val="Heading 9 Char"/>
    <w:link w:val="806"/>
    <w:uiPriority w:val="9"/>
    <w:qFormat/>
    <w:rPr>
      <w:rFonts w:ascii="Arial" w:hAnsi="Arial" w:eastAsia="Arial" w:cs="Arial"/>
      <w:i/>
      <w:iCs/>
      <w:sz w:val="21"/>
      <w:szCs w:val="21"/>
    </w:rPr>
  </w:style>
  <w:style w:type="paragraph" w:styleId="843">
    <w:name w:val="List Paragraph"/>
    <w:basedOn w:val="797"/>
    <w:uiPriority w:val="34"/>
    <w:qFormat/>
    <w:pPr>
      <w:contextualSpacing/>
      <w:ind w:left="720"/>
    </w:pPr>
  </w:style>
  <w:style w:type="paragraph" w:styleId="844">
    <w:name w:val="No Spacing"/>
    <w:uiPriority w:val="1"/>
    <w:qFormat/>
    <w:pPr>
      <w:spacing w:before="0" w:after="0" w:line="240" w:lineRule="auto"/>
    </w:pPr>
    <w:rPr>
      <w:rFonts w:hint="default" w:ascii="Times New Roman" w:hAnsi="Times New Roman" w:eastAsia="宋体" w:cs="Times New Roman"/>
    </w:rPr>
  </w:style>
  <w:style w:type="character" w:styleId="845" w:customStyle="1">
    <w:name w:val="Title Char"/>
    <w:link w:val="828"/>
    <w:uiPriority w:val="10"/>
    <w:qFormat/>
    <w:rPr>
      <w:sz w:val="48"/>
      <w:szCs w:val="48"/>
    </w:rPr>
  </w:style>
  <w:style w:type="character" w:styleId="846" w:customStyle="1">
    <w:name w:val="Subtitle Char"/>
    <w:link w:val="822"/>
    <w:uiPriority w:val="11"/>
    <w:qFormat/>
    <w:rPr>
      <w:sz w:val="24"/>
      <w:szCs w:val="24"/>
    </w:rPr>
  </w:style>
  <w:style w:type="paragraph" w:styleId="847">
    <w:name w:val="Quote"/>
    <w:basedOn w:val="797"/>
    <w:next w:val="797"/>
    <w:link w:val="848"/>
    <w:uiPriority w:val="29"/>
    <w:qFormat/>
    <w:pPr>
      <w:ind w:left="720" w:right="720"/>
    </w:pPr>
    <w:rPr>
      <w:i/>
    </w:rPr>
  </w:style>
  <w:style w:type="character" w:styleId="848" w:customStyle="1">
    <w:name w:val="Quote Char"/>
    <w:link w:val="847"/>
    <w:uiPriority w:val="29"/>
    <w:qFormat/>
    <w:rPr>
      <w:i/>
    </w:rPr>
  </w:style>
  <w:style w:type="paragraph" w:styleId="849">
    <w:name w:val="Intense Quote"/>
    <w:basedOn w:val="797"/>
    <w:next w:val="797"/>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Intense Quote Char"/>
    <w:link w:val="849"/>
    <w:uiPriority w:val="30"/>
    <w:qFormat/>
    <w:rPr>
      <w:i/>
    </w:rPr>
  </w:style>
  <w:style w:type="character" w:styleId="851" w:customStyle="1">
    <w:name w:val="Header Char"/>
    <w:link w:val="819"/>
    <w:uiPriority w:val="99"/>
    <w:qFormat/>
  </w:style>
  <w:style w:type="character" w:styleId="852" w:customStyle="1">
    <w:name w:val="Footer Char"/>
    <w:link w:val="818"/>
    <w:uiPriority w:val="99"/>
    <w:qFormat/>
  </w:style>
  <w:style w:type="character" w:styleId="853" w:customStyle="1">
    <w:name w:val="Caption Char"/>
    <w:link w:val="818"/>
    <w:uiPriority w:val="99"/>
    <w:qFormat/>
  </w:style>
  <w:style w:type="table" w:styleId="8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Footnote Text Char"/>
    <w:link w:val="823"/>
    <w:uiPriority w:val="99"/>
    <w:qFormat/>
    <w:rPr>
      <w:sz w:val="18"/>
    </w:rPr>
  </w:style>
  <w:style w:type="character" w:styleId="980" w:customStyle="1">
    <w:name w:val="Endnote Text Char"/>
    <w:link w:val="817"/>
    <w:uiPriority w:val="99"/>
    <w:qFormat/>
    <w:rPr>
      <w:sz w:val="20"/>
    </w:rPr>
  </w:style>
  <w:style w:type="paragraph" w:styleId="981" w:customStyle="1">
    <w:name w:val="TOC Heading"/>
    <w:uiPriority w:val="39"/>
    <w:unhideWhenUsed/>
    <w:qFormat/>
    <w:rPr>
      <w:rFonts w:hint="default" w:ascii="Times New Roman" w:hAnsi="Times New Roman" w:eastAsia="宋体" w:cs="Times New Roman"/>
    </w:rPr>
  </w:style>
  <w:style w:type="paragraph" w:styleId="982" w:customStyle="1">
    <w:name w:val="标题 11"/>
    <w:basedOn w:val="797"/>
    <w:next w:val="797"/>
    <w:link w:val="994"/>
    <w:uiPriority w:val="0"/>
    <w:qFormat/>
    <w:pPr>
      <w:jc w:val="center"/>
      <w:keepNext/>
      <w:outlineLvl w:val="0"/>
    </w:pPr>
    <w:rPr>
      <w:rFonts w:ascii="楷体_GB2312" w:eastAsia="楷体_GB2312"/>
      <w:sz w:val="28"/>
      <w:szCs w:val="28"/>
    </w:rPr>
  </w:style>
  <w:style w:type="paragraph" w:styleId="983" w:customStyle="1">
    <w:name w:val="标题 21"/>
    <w:basedOn w:val="797"/>
    <w:next w:val="984"/>
    <w:link w:val="995"/>
    <w:uiPriority w:val="0"/>
    <w:qFormat/>
    <w:pPr>
      <w:jc w:val="center"/>
      <w:keepLines/>
      <w:keepNext/>
      <w:spacing w:before="260" w:after="260" w:line="416" w:lineRule="auto"/>
      <w:outlineLvl w:val="1"/>
    </w:pPr>
    <w:rPr>
      <w:rFonts w:ascii="Arial" w:hAnsi="Arial" w:eastAsia="幼圆"/>
      <w:b/>
      <w:bCs/>
      <w:sz w:val="44"/>
      <w:szCs w:val="44"/>
    </w:rPr>
  </w:style>
  <w:style w:type="paragraph" w:styleId="984" w:customStyle="1">
    <w:name w:val="正文缩进11"/>
    <w:basedOn w:val="797"/>
    <w:link w:val="996"/>
    <w:uiPriority w:val="0"/>
    <w:qFormat/>
    <w:pPr>
      <w:ind w:firstLine="420"/>
    </w:pPr>
    <w:rPr>
      <w:sz w:val="20"/>
      <w:szCs w:val="21"/>
    </w:rPr>
  </w:style>
  <w:style w:type="paragraph" w:styleId="985" w:customStyle="1">
    <w:name w:val="标题 31"/>
    <w:basedOn w:val="797"/>
    <w:next w:val="984"/>
    <w:link w:val="997"/>
    <w:uiPriority w:val="0"/>
    <w:qFormat/>
    <w:pPr>
      <w:keepLines/>
      <w:keepNext/>
      <w:spacing w:before="260" w:after="260" w:line="416" w:lineRule="auto"/>
      <w:outlineLvl w:val="2"/>
    </w:pPr>
    <w:rPr>
      <w:b/>
      <w:bCs/>
      <w:sz w:val="32"/>
      <w:szCs w:val="32"/>
    </w:rPr>
  </w:style>
  <w:style w:type="paragraph" w:styleId="986" w:customStyle="1">
    <w:name w:val="标题 41"/>
    <w:basedOn w:val="797"/>
    <w:next w:val="797"/>
    <w:link w:val="998"/>
    <w:uiPriority w:val="0"/>
    <w:qFormat/>
    <w:pPr>
      <w:keepLines/>
      <w:keepNext/>
      <w:spacing w:before="280" w:after="290" w:line="376" w:lineRule="auto"/>
      <w:outlineLvl w:val="3"/>
    </w:pPr>
    <w:rPr>
      <w:rFonts w:ascii="Arial" w:hAnsi="Arial" w:eastAsia="黑体"/>
      <w:b/>
      <w:bCs/>
      <w:sz w:val="28"/>
      <w:szCs w:val="28"/>
    </w:rPr>
  </w:style>
  <w:style w:type="paragraph" w:styleId="987" w:customStyle="1">
    <w:name w:val="标题 51"/>
    <w:basedOn w:val="797"/>
    <w:next w:val="984"/>
    <w:link w:val="999"/>
    <w:uiPriority w:val="0"/>
    <w:qFormat/>
    <w:pPr>
      <w:keepNext/>
      <w:outlineLvl w:val="4"/>
    </w:pPr>
    <w:rPr>
      <w:rFonts w:ascii="宋体"/>
      <w:color w:val="000000"/>
      <w:sz w:val="28"/>
      <w:szCs w:val="28"/>
    </w:rPr>
  </w:style>
  <w:style w:type="paragraph" w:styleId="988" w:customStyle="1">
    <w:name w:val="标题 61"/>
    <w:basedOn w:val="797"/>
    <w:next w:val="797"/>
    <w:link w:val="10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9" w:customStyle="1">
    <w:name w:val="标题 71"/>
    <w:basedOn w:val="797"/>
    <w:next w:val="797"/>
    <w:link w:val="1001"/>
    <w:uiPriority w:val="0"/>
    <w:qFormat/>
    <w:pPr>
      <w:numPr>
        <w:ilvl w:val="6"/>
        <w:numId w:val="1"/>
      </w:numPr>
      <w:keepLines/>
      <w:keepNext/>
      <w:spacing w:before="240" w:after="64" w:line="320" w:lineRule="auto"/>
      <w:outlineLvl w:val="6"/>
    </w:pPr>
    <w:rPr>
      <w:b/>
      <w:bCs/>
      <w:sz w:val="24"/>
      <w:szCs w:val="24"/>
    </w:rPr>
  </w:style>
  <w:style w:type="paragraph" w:styleId="990" w:customStyle="1">
    <w:name w:val="标题 81"/>
    <w:basedOn w:val="797"/>
    <w:next w:val="797"/>
    <w:link w:val="10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1" w:customStyle="1">
    <w:name w:val="标题 91"/>
    <w:basedOn w:val="797"/>
    <w:next w:val="797"/>
    <w:link w:val="100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92" w:customStyle="1">
    <w:name w:val="默认段落字体1"/>
    <w:link w:val="797"/>
    <w:uiPriority w:val="1"/>
    <w:unhideWhenUsed/>
    <w:qFormat/>
  </w:style>
  <w:style w:type="table" w:styleId="993" w:customStyle="1">
    <w:name w:val="普通表格1"/>
    <w:uiPriority w:val="99"/>
    <w:unhideWhenUsed/>
    <w:qFormat/>
    <w:tblPr/>
  </w:style>
  <w:style w:type="character" w:styleId="994" w:customStyle="1">
    <w:name w:val="标题 1 字符"/>
    <w:link w:val="982"/>
    <w:uiPriority w:val="0"/>
    <w:qFormat/>
    <w:rPr>
      <w:rFonts w:ascii="楷体_GB2312" w:hAnsi="Times New Roman" w:eastAsia="楷体_GB2312" w:cs="Times New Roman"/>
      <w:sz w:val="28"/>
      <w:szCs w:val="28"/>
    </w:rPr>
  </w:style>
  <w:style w:type="character" w:styleId="995" w:customStyle="1">
    <w:name w:val="标题 2 字符"/>
    <w:link w:val="983"/>
    <w:uiPriority w:val="0"/>
    <w:qFormat/>
    <w:rPr>
      <w:rFonts w:ascii="Arial" w:hAnsi="Arial" w:eastAsia="幼圆" w:cs="Arial"/>
      <w:b/>
      <w:bCs/>
      <w:sz w:val="44"/>
      <w:szCs w:val="44"/>
    </w:rPr>
  </w:style>
  <w:style w:type="character" w:styleId="996" w:customStyle="1">
    <w:name w:val="正文缩进 字符"/>
    <w:link w:val="984"/>
    <w:uiPriority w:val="0"/>
    <w:qFormat/>
    <w:rPr>
      <w:szCs w:val="21"/>
    </w:rPr>
  </w:style>
  <w:style w:type="character" w:styleId="997" w:customStyle="1">
    <w:name w:val="标题 3 字符"/>
    <w:link w:val="985"/>
    <w:uiPriority w:val="0"/>
    <w:qFormat/>
    <w:rPr>
      <w:rFonts w:ascii="Times New Roman" w:hAnsi="Times New Roman" w:eastAsia="宋体" w:cs="Times New Roman"/>
      <w:b/>
      <w:bCs/>
      <w:sz w:val="32"/>
      <w:szCs w:val="32"/>
    </w:rPr>
  </w:style>
  <w:style w:type="character" w:styleId="998" w:customStyle="1">
    <w:name w:val="标题 4 字符"/>
    <w:link w:val="986"/>
    <w:uiPriority w:val="0"/>
    <w:qFormat/>
    <w:rPr>
      <w:rFonts w:ascii="Arial" w:hAnsi="Arial" w:eastAsia="黑体" w:cs="Arial"/>
      <w:b/>
      <w:bCs/>
      <w:sz w:val="28"/>
      <w:szCs w:val="28"/>
    </w:rPr>
  </w:style>
  <w:style w:type="character" w:styleId="999" w:customStyle="1">
    <w:name w:val="标题 5 字符"/>
    <w:link w:val="987"/>
    <w:uiPriority w:val="0"/>
    <w:qFormat/>
    <w:rPr>
      <w:rFonts w:ascii="宋体" w:hAnsi="Times New Roman" w:eastAsia="宋体" w:cs="Times New Roman"/>
      <w:color w:val="000000"/>
      <w:sz w:val="28"/>
      <w:szCs w:val="28"/>
    </w:rPr>
  </w:style>
  <w:style w:type="character" w:styleId="1000" w:customStyle="1">
    <w:name w:val="标题 6 字符"/>
    <w:link w:val="988"/>
    <w:uiPriority w:val="0"/>
    <w:qFormat/>
    <w:rPr>
      <w:rFonts w:ascii="Arial" w:hAnsi="Arial" w:eastAsia="黑体" w:cs="Times New Roman"/>
      <w:b/>
      <w:bCs/>
      <w:sz w:val="24"/>
      <w:szCs w:val="24"/>
    </w:rPr>
  </w:style>
  <w:style w:type="character" w:styleId="1001" w:customStyle="1">
    <w:name w:val="标题 7 字符"/>
    <w:link w:val="989"/>
    <w:uiPriority w:val="0"/>
    <w:qFormat/>
    <w:rPr>
      <w:rFonts w:ascii="Times New Roman" w:hAnsi="Times New Roman" w:eastAsia="宋体" w:cs="Times New Roman"/>
      <w:b/>
      <w:bCs/>
      <w:sz w:val="24"/>
      <w:szCs w:val="24"/>
    </w:rPr>
  </w:style>
  <w:style w:type="character" w:styleId="1002" w:customStyle="1">
    <w:name w:val="标题 8 字符"/>
    <w:link w:val="990"/>
    <w:uiPriority w:val="0"/>
    <w:qFormat/>
    <w:rPr>
      <w:rFonts w:ascii="Arial" w:hAnsi="Arial" w:eastAsia="黑体" w:cs="Times New Roman"/>
      <w:sz w:val="24"/>
      <w:szCs w:val="24"/>
    </w:rPr>
  </w:style>
  <w:style w:type="character" w:styleId="1003" w:customStyle="1">
    <w:name w:val="标题 9 字符"/>
    <w:link w:val="991"/>
    <w:uiPriority w:val="0"/>
    <w:qFormat/>
    <w:rPr>
      <w:rFonts w:ascii="Arial" w:hAnsi="Arial" w:eastAsia="黑体" w:cs="Times New Roman"/>
      <w:szCs w:val="21"/>
    </w:rPr>
  </w:style>
  <w:style w:type="paragraph" w:styleId="1004" w:customStyle="1">
    <w:name w:val="列表 31"/>
    <w:basedOn w:val="797"/>
    <w:uiPriority w:val="0"/>
    <w:qFormat/>
    <w:pPr>
      <w:ind w:left="100" w:hanging="200"/>
    </w:pPr>
    <w:rPr>
      <w:rFonts w:ascii="Times New Roman" w:hAnsi="Times New Roman" w:eastAsia="宋体" w:cs="Times New Roman"/>
      <w:szCs w:val="21"/>
    </w:rPr>
  </w:style>
  <w:style w:type="paragraph" w:styleId="1005" w:customStyle="1">
    <w:name w:val="目录 71"/>
    <w:basedOn w:val="797"/>
    <w:next w:val="797"/>
    <w:uiPriority w:val="0"/>
    <w:semiHidden/>
    <w:qFormat/>
    <w:pPr>
      <w:ind w:left="1260"/>
      <w:jc w:val="left"/>
    </w:pPr>
    <w:rPr>
      <w:rFonts w:ascii="Times New Roman" w:hAnsi="Times New Roman" w:eastAsia="宋体" w:cs="Times New Roman"/>
      <w:szCs w:val="21"/>
    </w:rPr>
  </w:style>
  <w:style w:type="paragraph" w:styleId="1006" w:customStyle="1">
    <w:name w:val="文档结构图1"/>
    <w:basedOn w:val="797"/>
    <w:link w:val="1007"/>
    <w:uiPriority w:val="0"/>
    <w:semiHidden/>
    <w:qFormat/>
    <w:pPr>
      <w:shd w:val="clear" w:color="auto" w:fill="000080"/>
    </w:pPr>
    <w:rPr>
      <w:sz w:val="20"/>
      <w:szCs w:val="21"/>
    </w:rPr>
  </w:style>
  <w:style w:type="character" w:styleId="1007" w:customStyle="1">
    <w:name w:val="文档结构图 字符"/>
    <w:link w:val="1006"/>
    <w:uiPriority w:val="0"/>
    <w:semiHidden/>
    <w:qFormat/>
    <w:rPr>
      <w:rFonts w:ascii="Times New Roman" w:hAnsi="Times New Roman" w:eastAsia="宋体" w:cs="Times New Roman"/>
      <w:szCs w:val="21"/>
      <w:shd w:val="clear" w:color="auto" w:fill="000080"/>
    </w:rPr>
  </w:style>
  <w:style w:type="paragraph" w:styleId="1008" w:customStyle="1">
    <w:name w:val="引文目录标题1"/>
    <w:basedOn w:val="797"/>
    <w:next w:val="797"/>
    <w:uiPriority w:val="99"/>
    <w:unhideWhenUsed/>
    <w:qFormat/>
    <w:pPr>
      <w:spacing w:before="120"/>
    </w:pPr>
    <w:rPr>
      <w:rFonts w:ascii="Cambria" w:hAnsi="Cambria"/>
      <w:sz w:val="24"/>
    </w:rPr>
  </w:style>
  <w:style w:type="paragraph" w:styleId="1009" w:customStyle="1">
    <w:name w:val="批注文字1"/>
    <w:basedOn w:val="797"/>
    <w:link w:val="1010"/>
    <w:uiPriority w:val="99"/>
    <w:unhideWhenUsed/>
    <w:qFormat/>
    <w:pPr>
      <w:jc w:val="left"/>
    </w:pPr>
  </w:style>
  <w:style w:type="character" w:styleId="1010" w:customStyle="1">
    <w:name w:val="批注文字 字符"/>
    <w:link w:val="1009"/>
    <w:uiPriority w:val="99"/>
    <w:semiHidden/>
    <w:qFormat/>
  </w:style>
  <w:style w:type="paragraph" w:styleId="1011" w:customStyle="1">
    <w:name w:val="正文文本 31"/>
    <w:basedOn w:val="797"/>
    <w:link w:val="1012"/>
    <w:uiPriority w:val="0"/>
    <w:qFormat/>
    <w:rPr>
      <w:rFonts w:ascii="仿宋_GB2312" w:hAnsi="Arial" w:eastAsia="仿宋_GB2312"/>
      <w:sz w:val="32"/>
      <w:szCs w:val="32"/>
    </w:rPr>
  </w:style>
  <w:style w:type="character" w:styleId="1012" w:customStyle="1">
    <w:name w:val="正文文本 3 字符"/>
    <w:link w:val="1011"/>
    <w:uiPriority w:val="0"/>
    <w:qFormat/>
    <w:rPr>
      <w:rFonts w:ascii="仿宋_GB2312" w:hAnsi="Arial" w:eastAsia="仿宋_GB2312" w:cs="Times New Roman"/>
      <w:sz w:val="32"/>
      <w:szCs w:val="32"/>
    </w:rPr>
  </w:style>
  <w:style w:type="paragraph" w:styleId="1013" w:customStyle="1">
    <w:name w:val="正文文本11"/>
    <w:basedOn w:val="797"/>
    <w:link w:val="1014"/>
    <w:uiPriority w:val="0"/>
    <w:qFormat/>
    <w:rPr>
      <w:rFonts w:ascii="楷体_GB2312" w:hAnsi="Arial" w:eastAsia="楷体_GB2312"/>
      <w:sz w:val="28"/>
      <w:szCs w:val="28"/>
    </w:rPr>
  </w:style>
  <w:style w:type="character" w:styleId="1014" w:customStyle="1">
    <w:name w:val="正文文本 字符"/>
    <w:link w:val="1013"/>
    <w:uiPriority w:val="0"/>
    <w:qFormat/>
    <w:rPr>
      <w:rFonts w:ascii="楷体_GB2312" w:hAnsi="Arial" w:eastAsia="楷体_GB2312" w:cs="Times New Roman"/>
      <w:sz w:val="28"/>
      <w:szCs w:val="28"/>
    </w:rPr>
  </w:style>
  <w:style w:type="paragraph" w:styleId="1015" w:customStyle="1">
    <w:name w:val="正文文本缩进1"/>
    <w:basedOn w:val="797"/>
    <w:next w:val="1016"/>
    <w:link w:val="1017"/>
    <w:uiPriority w:val="99"/>
    <w:unhideWhenUsed/>
    <w:qFormat/>
    <w:pPr>
      <w:ind w:left="420"/>
      <w:spacing w:after="120"/>
    </w:pPr>
  </w:style>
  <w:style w:type="paragraph" w:styleId="1016" w:customStyle="1">
    <w:name w:val="寄信人地址1"/>
    <w:basedOn w:val="797"/>
    <w:uiPriority w:val="99"/>
    <w:unhideWhenUsed/>
    <w:qFormat/>
    <w:rPr>
      <w:rFonts w:ascii="Arial" w:hAnsi="Arial"/>
    </w:rPr>
  </w:style>
  <w:style w:type="character" w:styleId="1017" w:customStyle="1">
    <w:name w:val="正文文本缩进 字符"/>
    <w:link w:val="1015"/>
    <w:uiPriority w:val="99"/>
    <w:semiHidden/>
    <w:qFormat/>
  </w:style>
  <w:style w:type="paragraph" w:styleId="1018" w:customStyle="1">
    <w:name w:val="列表 21"/>
    <w:basedOn w:val="797"/>
    <w:uiPriority w:val="0"/>
    <w:qFormat/>
    <w:pPr>
      <w:ind w:left="100" w:hanging="200"/>
    </w:pPr>
    <w:rPr>
      <w:rFonts w:ascii="Times New Roman" w:hAnsi="Times New Roman" w:eastAsia="宋体" w:cs="Times New Roman"/>
      <w:szCs w:val="21"/>
    </w:rPr>
  </w:style>
  <w:style w:type="paragraph" w:styleId="1019" w:customStyle="1">
    <w:name w:val="文本块1"/>
    <w:basedOn w:val="797"/>
    <w:uiPriority w:val="0"/>
    <w:qFormat/>
    <w:pPr>
      <w:ind w:left="-216" w:right="2" w:hanging="2"/>
      <w:jc w:val="center"/>
    </w:pPr>
    <w:rPr>
      <w:rFonts w:ascii="楷体_GB2312" w:eastAsia="楷体_GB2312"/>
      <w:sz w:val="24"/>
      <w:szCs w:val="24"/>
    </w:rPr>
  </w:style>
  <w:style w:type="paragraph" w:styleId="1020" w:customStyle="1">
    <w:name w:val="目录 51"/>
    <w:basedOn w:val="797"/>
    <w:next w:val="797"/>
    <w:uiPriority w:val="0"/>
    <w:semiHidden/>
    <w:qFormat/>
    <w:pPr>
      <w:ind w:left="840"/>
      <w:jc w:val="left"/>
    </w:pPr>
    <w:rPr>
      <w:rFonts w:ascii="Times New Roman" w:hAnsi="Times New Roman" w:eastAsia="宋体" w:cs="Times New Roman"/>
      <w:szCs w:val="21"/>
    </w:rPr>
  </w:style>
  <w:style w:type="paragraph" w:styleId="1021" w:customStyle="1">
    <w:name w:val="目录 31"/>
    <w:basedOn w:val="797"/>
    <w:next w:val="797"/>
    <w:uiPriority w:val="0"/>
    <w:semiHidden/>
    <w:qFormat/>
    <w:pPr>
      <w:ind w:left="420"/>
      <w:jc w:val="left"/>
    </w:pPr>
    <w:rPr>
      <w:rFonts w:ascii="Times New Roman" w:hAnsi="Times New Roman" w:eastAsia="宋体" w:cs="Times New Roman"/>
      <w:i/>
      <w:iCs/>
      <w:szCs w:val="24"/>
    </w:rPr>
  </w:style>
  <w:style w:type="paragraph" w:styleId="1022" w:customStyle="1">
    <w:name w:val="纯文本1"/>
    <w:basedOn w:val="797"/>
    <w:link w:val="1023"/>
    <w:uiPriority w:val="0"/>
    <w:qFormat/>
    <w:rPr>
      <w:rFonts w:ascii="宋体" w:hAnsi="Courier New"/>
      <w:sz w:val="20"/>
      <w:szCs w:val="21"/>
    </w:rPr>
  </w:style>
  <w:style w:type="character" w:styleId="1023" w:customStyle="1">
    <w:name w:val="纯文本 字符"/>
    <w:link w:val="1022"/>
    <w:uiPriority w:val="0"/>
    <w:qFormat/>
    <w:rPr>
      <w:rFonts w:ascii="宋体" w:hAnsi="Courier New" w:eastAsia="宋体" w:cs="Courier New"/>
      <w:szCs w:val="21"/>
    </w:rPr>
  </w:style>
  <w:style w:type="paragraph" w:styleId="1024" w:customStyle="1">
    <w:name w:val="目录 81"/>
    <w:basedOn w:val="797"/>
    <w:next w:val="797"/>
    <w:uiPriority w:val="0"/>
    <w:semiHidden/>
    <w:qFormat/>
    <w:pPr>
      <w:ind w:left="1470"/>
      <w:jc w:val="left"/>
    </w:pPr>
    <w:rPr>
      <w:rFonts w:ascii="Times New Roman" w:hAnsi="Times New Roman" w:eastAsia="宋体" w:cs="Times New Roman"/>
      <w:szCs w:val="21"/>
    </w:rPr>
  </w:style>
  <w:style w:type="paragraph" w:styleId="1025" w:customStyle="1">
    <w:name w:val="日期1"/>
    <w:basedOn w:val="797"/>
    <w:next w:val="797"/>
    <w:link w:val="1026"/>
    <w:uiPriority w:val="0"/>
    <w:qFormat/>
    <w:rPr>
      <w:sz w:val="24"/>
      <w:szCs w:val="24"/>
    </w:rPr>
  </w:style>
  <w:style w:type="character" w:styleId="1026" w:customStyle="1">
    <w:name w:val="日期 字符"/>
    <w:link w:val="1025"/>
    <w:uiPriority w:val="0"/>
    <w:qFormat/>
    <w:rPr>
      <w:rFonts w:ascii="Times New Roman" w:hAnsi="Times New Roman" w:eastAsia="宋体" w:cs="Times New Roman"/>
      <w:sz w:val="24"/>
      <w:szCs w:val="24"/>
    </w:rPr>
  </w:style>
  <w:style w:type="paragraph" w:styleId="1027" w:customStyle="1">
    <w:name w:val="正文文本缩进 21"/>
    <w:basedOn w:val="797"/>
    <w:link w:val="1028"/>
    <w:uiPriority w:val="0"/>
    <w:qFormat/>
    <w:pPr>
      <w:ind w:left="630" w:firstLine="645"/>
    </w:pPr>
    <w:rPr>
      <w:rFonts w:ascii="Arial" w:hAnsi="Arial" w:eastAsia="仿宋_GB2312"/>
      <w:sz w:val="32"/>
      <w:szCs w:val="32"/>
    </w:rPr>
  </w:style>
  <w:style w:type="character" w:styleId="1028" w:customStyle="1">
    <w:name w:val="正文文本缩进 2 字符"/>
    <w:link w:val="1027"/>
    <w:uiPriority w:val="0"/>
    <w:qFormat/>
    <w:rPr>
      <w:rFonts w:ascii="Arial" w:hAnsi="Arial" w:eastAsia="仿宋_GB2312" w:cs="Arial"/>
      <w:sz w:val="32"/>
      <w:szCs w:val="32"/>
    </w:rPr>
  </w:style>
  <w:style w:type="paragraph" w:styleId="1029" w:customStyle="1">
    <w:name w:val="批注框文本1"/>
    <w:basedOn w:val="797"/>
    <w:link w:val="1030"/>
    <w:uiPriority w:val="0"/>
    <w:semiHidden/>
    <w:qFormat/>
    <w:rPr>
      <w:sz w:val="18"/>
      <w:szCs w:val="18"/>
    </w:rPr>
  </w:style>
  <w:style w:type="character" w:styleId="1030" w:customStyle="1">
    <w:name w:val="批注框文本 字符"/>
    <w:link w:val="1029"/>
    <w:uiPriority w:val="0"/>
    <w:semiHidden/>
    <w:qFormat/>
    <w:rPr>
      <w:rFonts w:ascii="Times New Roman" w:hAnsi="Times New Roman" w:eastAsia="宋体" w:cs="Times New Roman"/>
      <w:sz w:val="18"/>
      <w:szCs w:val="18"/>
    </w:rPr>
  </w:style>
  <w:style w:type="paragraph" w:styleId="1031" w:customStyle="1">
    <w:name w:val="页脚1"/>
    <w:basedOn w:val="797"/>
    <w:link w:val="1032"/>
    <w:uiPriority w:val="0"/>
    <w:qFormat/>
    <w:pPr>
      <w:jc w:val="left"/>
      <w:tabs>
        <w:tab w:val="center" w:pos="4153" w:leader="none"/>
        <w:tab w:val="right" w:pos="8306" w:leader="none"/>
      </w:tabs>
    </w:pPr>
    <w:rPr>
      <w:sz w:val="18"/>
      <w:szCs w:val="18"/>
    </w:rPr>
  </w:style>
  <w:style w:type="character" w:styleId="1032" w:customStyle="1">
    <w:name w:val="页脚 字符"/>
    <w:link w:val="1031"/>
    <w:uiPriority w:val="0"/>
    <w:qFormat/>
    <w:rPr>
      <w:rFonts w:ascii="Times New Roman" w:hAnsi="Times New Roman" w:eastAsia="宋体" w:cs="Times New Roman"/>
      <w:sz w:val="18"/>
      <w:szCs w:val="18"/>
    </w:rPr>
  </w:style>
  <w:style w:type="paragraph" w:styleId="1033" w:customStyle="1">
    <w:name w:val="页眉1"/>
    <w:basedOn w:val="797"/>
    <w:link w:val="1034"/>
    <w:uiPriority w:val="0"/>
    <w:qFormat/>
    <w:pPr>
      <w:jc w:val="center"/>
      <w:tabs>
        <w:tab w:val="center" w:pos="4153" w:leader="none"/>
        <w:tab w:val="right" w:pos="8306" w:leader="none"/>
      </w:tabs>
      <w:pBdr>
        <w:bottom w:val="single" w:color="000000" w:sz="6" w:space="1"/>
      </w:pBdr>
    </w:pPr>
    <w:rPr>
      <w:sz w:val="18"/>
      <w:szCs w:val="18"/>
    </w:rPr>
  </w:style>
  <w:style w:type="character" w:styleId="1034" w:customStyle="1">
    <w:name w:val="页眉 字符"/>
    <w:link w:val="1033"/>
    <w:uiPriority w:val="0"/>
    <w:qFormat/>
    <w:rPr>
      <w:rFonts w:ascii="Times New Roman" w:hAnsi="Times New Roman" w:eastAsia="宋体" w:cs="Times New Roman"/>
      <w:sz w:val="18"/>
      <w:szCs w:val="18"/>
    </w:rPr>
  </w:style>
  <w:style w:type="paragraph" w:styleId="1035" w:customStyle="1">
    <w:name w:val="目录 11"/>
    <w:basedOn w:val="797"/>
    <w:next w:val="79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36" w:customStyle="1">
    <w:name w:val="目录 41"/>
    <w:basedOn w:val="797"/>
    <w:next w:val="797"/>
    <w:uiPriority w:val="0"/>
    <w:semiHidden/>
    <w:qFormat/>
    <w:pPr>
      <w:ind w:left="630"/>
      <w:jc w:val="left"/>
    </w:pPr>
    <w:rPr>
      <w:rFonts w:ascii="Times New Roman" w:hAnsi="Times New Roman" w:eastAsia="宋体" w:cs="Times New Roman"/>
      <w:szCs w:val="21"/>
    </w:rPr>
  </w:style>
  <w:style w:type="paragraph" w:styleId="1037" w:customStyle="1">
    <w:name w:val="列表1"/>
    <w:basedOn w:val="797"/>
    <w:uiPriority w:val="0"/>
    <w:qFormat/>
    <w:pPr>
      <w:ind w:left="200" w:hanging="200"/>
    </w:pPr>
    <w:rPr>
      <w:rFonts w:ascii="Times New Roman" w:hAnsi="Times New Roman" w:eastAsia="宋体" w:cs="Times New Roman"/>
      <w:szCs w:val="21"/>
    </w:rPr>
  </w:style>
  <w:style w:type="paragraph" w:styleId="1038" w:customStyle="1">
    <w:name w:val="脚注文本1"/>
    <w:basedOn w:val="797"/>
    <w:uiPriority w:val="99"/>
    <w:unhideWhenUsed/>
    <w:qFormat/>
    <w:pPr>
      <w:jc w:val="left"/>
    </w:pPr>
    <w:rPr>
      <w:sz w:val="18"/>
      <w:szCs w:val="18"/>
    </w:rPr>
  </w:style>
  <w:style w:type="paragraph" w:styleId="1039" w:customStyle="1">
    <w:name w:val="目录 61"/>
    <w:basedOn w:val="797"/>
    <w:next w:val="797"/>
    <w:uiPriority w:val="0"/>
    <w:semiHidden/>
    <w:qFormat/>
    <w:pPr>
      <w:ind w:left="1050"/>
      <w:jc w:val="left"/>
    </w:pPr>
    <w:rPr>
      <w:rFonts w:ascii="Times New Roman" w:hAnsi="Times New Roman" w:eastAsia="宋体" w:cs="Times New Roman"/>
      <w:szCs w:val="21"/>
    </w:rPr>
  </w:style>
  <w:style w:type="paragraph" w:styleId="1040" w:customStyle="1">
    <w:name w:val="正文文本缩进 31"/>
    <w:basedOn w:val="797"/>
    <w:link w:val="1041"/>
    <w:uiPriority w:val="0"/>
    <w:qFormat/>
    <w:pPr>
      <w:ind w:left="645" w:firstLine="645"/>
    </w:pPr>
    <w:rPr>
      <w:rFonts w:ascii="Arial" w:hAnsi="Arial" w:eastAsia="仿宋_GB2312"/>
      <w:color w:val="ffff00"/>
      <w:sz w:val="32"/>
      <w:szCs w:val="32"/>
    </w:rPr>
  </w:style>
  <w:style w:type="character" w:styleId="1041" w:customStyle="1">
    <w:name w:val="正文文本缩进 3 字符"/>
    <w:link w:val="1040"/>
    <w:uiPriority w:val="0"/>
    <w:qFormat/>
    <w:rPr>
      <w:rFonts w:ascii="Arial" w:hAnsi="Arial" w:eastAsia="仿宋_GB2312" w:cs="Arial"/>
      <w:color w:val="ffff00"/>
      <w:sz w:val="32"/>
      <w:szCs w:val="32"/>
    </w:rPr>
  </w:style>
  <w:style w:type="paragraph" w:styleId="1042" w:customStyle="1">
    <w:name w:val="图表目录1"/>
    <w:basedOn w:val="797"/>
    <w:next w:val="797"/>
    <w:uiPriority w:val="0"/>
    <w:semiHidden/>
    <w:qFormat/>
    <w:pPr>
      <w:ind w:left="840" w:hanging="420"/>
    </w:pPr>
    <w:rPr>
      <w:rFonts w:ascii="Times New Roman" w:hAnsi="Times New Roman" w:eastAsia="宋体" w:cs="Times New Roman"/>
      <w:szCs w:val="21"/>
    </w:rPr>
  </w:style>
  <w:style w:type="paragraph" w:styleId="1043" w:customStyle="1">
    <w:name w:val="目录 21"/>
    <w:basedOn w:val="797"/>
    <w:next w:val="797"/>
    <w:uiPriority w:val="0"/>
    <w:semiHidden/>
    <w:qFormat/>
    <w:pPr>
      <w:ind w:left="210"/>
      <w:jc w:val="left"/>
    </w:pPr>
    <w:rPr>
      <w:rFonts w:ascii="Times New Roman" w:hAnsi="Times New Roman" w:eastAsia="宋体" w:cs="Times New Roman"/>
      <w:smallCaps/>
      <w:szCs w:val="24"/>
    </w:rPr>
  </w:style>
  <w:style w:type="paragraph" w:styleId="1044" w:customStyle="1">
    <w:name w:val="目录 91"/>
    <w:basedOn w:val="797"/>
    <w:next w:val="797"/>
    <w:uiPriority w:val="0"/>
    <w:semiHidden/>
    <w:qFormat/>
    <w:pPr>
      <w:ind w:left="1680"/>
      <w:jc w:val="left"/>
    </w:pPr>
    <w:rPr>
      <w:rFonts w:ascii="Times New Roman" w:hAnsi="Times New Roman" w:eastAsia="宋体" w:cs="Times New Roman"/>
      <w:szCs w:val="21"/>
    </w:rPr>
  </w:style>
  <w:style w:type="paragraph" w:styleId="1045" w:customStyle="1">
    <w:name w:val="正文文本 21"/>
    <w:basedOn w:val="797"/>
    <w:link w:val="1046"/>
    <w:uiPriority w:val="0"/>
    <w:qFormat/>
    <w:pPr>
      <w:jc w:val="center"/>
      <w:widowControl/>
    </w:pPr>
    <w:rPr>
      <w:rFonts w:ascii="楷体_GB2312" w:eastAsia="楷体_GB2312"/>
      <w:sz w:val="28"/>
      <w:szCs w:val="28"/>
    </w:rPr>
  </w:style>
  <w:style w:type="character" w:styleId="1046" w:customStyle="1">
    <w:name w:val="正文文本 2 字符"/>
    <w:link w:val="1045"/>
    <w:uiPriority w:val="0"/>
    <w:qFormat/>
    <w:rPr>
      <w:rFonts w:ascii="楷体_GB2312" w:hAnsi="Times New Roman" w:eastAsia="楷体_GB2312" w:cs="Times New Roman"/>
      <w:sz w:val="28"/>
      <w:szCs w:val="28"/>
    </w:rPr>
  </w:style>
  <w:style w:type="paragraph" w:styleId="1047" w:customStyle="1">
    <w:name w:val="普通(网站)1"/>
    <w:basedOn w:val="797"/>
    <w:uiPriority w:val="99"/>
    <w:qFormat/>
    <w:pPr>
      <w:jc w:val="left"/>
      <w:spacing w:before="100" w:beforeAutospacing="1" w:after="100" w:afterAutospacing="1"/>
      <w:widowControl/>
    </w:pPr>
    <w:rPr>
      <w:rFonts w:ascii="宋体" w:hAnsi="宋体" w:eastAsia="宋体" w:cs="宋体"/>
      <w:sz w:val="24"/>
      <w:szCs w:val="24"/>
    </w:rPr>
  </w:style>
  <w:style w:type="paragraph" w:styleId="1048" w:customStyle="1">
    <w:name w:val="索引 11"/>
    <w:basedOn w:val="797"/>
    <w:next w:val="797"/>
    <w:uiPriority w:val="0"/>
    <w:semiHidden/>
    <w:qFormat/>
    <w:pPr>
      <w:spacing w:line="240" w:lineRule="atLeast"/>
    </w:pPr>
    <w:rPr>
      <w:rFonts w:ascii="Times New Roman" w:hAnsi="Times New Roman" w:eastAsia="宋体" w:cs="Times New Roman"/>
      <w:b/>
      <w:bCs/>
      <w:szCs w:val="21"/>
    </w:rPr>
  </w:style>
  <w:style w:type="paragraph" w:styleId="1049" w:customStyle="1">
    <w:name w:val="批注主题1"/>
    <w:basedOn w:val="1009"/>
    <w:next w:val="1009"/>
    <w:link w:val="1050"/>
    <w:uiPriority w:val="0"/>
    <w:semiHidden/>
    <w:qFormat/>
    <w:rPr>
      <w:b/>
      <w:bCs/>
      <w:sz w:val="20"/>
      <w:szCs w:val="21"/>
    </w:rPr>
  </w:style>
  <w:style w:type="character" w:styleId="1050" w:customStyle="1">
    <w:name w:val="批注主题 字符"/>
    <w:link w:val="1049"/>
    <w:uiPriority w:val="0"/>
    <w:semiHidden/>
    <w:qFormat/>
    <w:rPr>
      <w:rFonts w:ascii="Times New Roman" w:hAnsi="Times New Roman" w:eastAsia="宋体" w:cs="Times New Roman"/>
      <w:b/>
      <w:bCs/>
      <w:szCs w:val="21"/>
    </w:rPr>
  </w:style>
  <w:style w:type="paragraph" w:styleId="1051" w:customStyle="1">
    <w:name w:val="正文首行缩进1"/>
    <w:basedOn w:val="1013"/>
    <w:link w:val="1052"/>
    <w:uiPriority w:val="0"/>
    <w:qFormat/>
    <w:pPr>
      <w:ind w:firstLine="200"/>
      <w:spacing w:line="360" w:lineRule="auto"/>
    </w:pPr>
    <w:rPr>
      <w:rFonts w:ascii="仿宋_GB2312" w:hAnsi="Times New Roman" w:eastAsia="仿宋_GB2312"/>
      <w:sz w:val="30"/>
      <w:szCs w:val="30"/>
    </w:rPr>
  </w:style>
  <w:style w:type="character" w:styleId="1052" w:customStyle="1">
    <w:name w:val="正文首行缩进 字符"/>
    <w:link w:val="1051"/>
    <w:uiPriority w:val="0"/>
    <w:qFormat/>
    <w:rPr>
      <w:rFonts w:ascii="仿宋_GB2312" w:hAnsi="Times New Roman" w:eastAsia="仿宋_GB2312" w:cs="Times New Roman"/>
      <w:sz w:val="30"/>
      <w:szCs w:val="30"/>
    </w:rPr>
  </w:style>
  <w:style w:type="paragraph" w:styleId="1053" w:customStyle="1">
    <w:name w:val="正文首行缩进 21"/>
    <w:basedOn w:val="1015"/>
    <w:next w:val="797"/>
    <w:link w:val="1054"/>
    <w:uiPriority w:val="0"/>
    <w:qFormat/>
    <w:pPr>
      <w:ind w:left="0" w:firstLine="420"/>
      <w:spacing w:after="0" w:line="360" w:lineRule="auto"/>
    </w:pPr>
    <w:rPr>
      <w:rFonts w:ascii="宋体" w:hAnsi="宋体"/>
      <w:sz w:val="20"/>
      <w:szCs w:val="20"/>
    </w:rPr>
  </w:style>
  <w:style w:type="character" w:styleId="1054" w:customStyle="1">
    <w:name w:val="正文首行缩进 2 字符"/>
    <w:link w:val="1053"/>
    <w:uiPriority w:val="0"/>
    <w:qFormat/>
    <w:rPr>
      <w:rFonts w:ascii="宋体" w:hAnsi="宋体" w:eastAsia="宋体" w:cs="Times New Roman"/>
      <w:szCs w:val="20"/>
    </w:rPr>
  </w:style>
  <w:style w:type="table" w:styleId="1055" w:customStyle="1">
    <w:name w:val="网格型1"/>
    <w:basedOn w:val="993"/>
    <w:uiPriority w:val="0"/>
    <w:qFormat/>
    <w:pPr>
      <w:jc w:val="both"/>
      <w:widowControl w:val="off"/>
    </w:pPr>
    <w:rPr>
      <w:rFonts w:ascii="Times New Roman" w:hAnsi="Times New Roman" w:eastAsia="宋体" w:cs="Times New Roman"/>
      <w:sz w:val="20"/>
      <w:szCs w:val="20"/>
    </w:rPr>
    <w:tblPr/>
  </w:style>
  <w:style w:type="character" w:styleId="1056" w:customStyle="1">
    <w:name w:val="要点1"/>
    <w:link w:val="797"/>
    <w:uiPriority w:val="0"/>
    <w:qFormat/>
    <w:rPr>
      <w:b/>
      <w:bCs/>
    </w:rPr>
  </w:style>
  <w:style w:type="character" w:styleId="1057" w:customStyle="1">
    <w:name w:val="页码1"/>
    <w:link w:val="797"/>
    <w:uiPriority w:val="0"/>
    <w:qFormat/>
  </w:style>
  <w:style w:type="character" w:styleId="1058" w:customStyle="1">
    <w:name w:val="已访问的超链接1"/>
    <w:link w:val="797"/>
    <w:uiPriority w:val="0"/>
    <w:qFormat/>
    <w:rPr>
      <w:color w:val="800080"/>
      <w:u w:val="single"/>
    </w:rPr>
  </w:style>
  <w:style w:type="character" w:styleId="1059" w:customStyle="1">
    <w:name w:val="超链接1"/>
    <w:link w:val="797"/>
    <w:uiPriority w:val="0"/>
    <w:qFormat/>
    <w:rPr>
      <w:color w:val="0000ff"/>
      <w:u w:val="single"/>
    </w:rPr>
  </w:style>
  <w:style w:type="character" w:styleId="1060" w:customStyle="1">
    <w:name w:val="批注引用1"/>
    <w:link w:val="797"/>
    <w:uiPriority w:val="0"/>
    <w:semiHidden/>
    <w:qFormat/>
    <w:rPr>
      <w:sz w:val="21"/>
      <w:szCs w:val="21"/>
    </w:rPr>
  </w:style>
  <w:style w:type="paragraph" w:styleId="106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62" w:customStyle="1">
    <w:name w:val="正文首行缩进11"/>
    <w:basedOn w:val="1063"/>
    <w:uiPriority w:val="0"/>
    <w:qFormat/>
    <w:pPr>
      <w:ind w:firstLine="200"/>
      <w:spacing w:line="360" w:lineRule="auto"/>
    </w:pPr>
    <w:rPr>
      <w:rFonts w:ascii="仿宋_GB2312" w:hAnsi="Times New Roman" w:eastAsia="仿宋_GB2312"/>
      <w:sz w:val="30"/>
      <w:szCs w:val="30"/>
    </w:rPr>
  </w:style>
  <w:style w:type="paragraph" w:styleId="1063" w:customStyle="1">
    <w:name w:val="正文文本1"/>
    <w:basedOn w:val="797"/>
    <w:next w:val="797"/>
    <w:uiPriority w:val="0"/>
    <w:qFormat/>
    <w:rPr>
      <w:rFonts w:ascii="楷体_GB2312" w:hAnsi="Arial" w:eastAsia="楷体_GB2312"/>
      <w:sz w:val="28"/>
      <w:szCs w:val="28"/>
      <w:lang w:val="en-US" w:eastAsia="en-US"/>
    </w:rPr>
  </w:style>
  <w:style w:type="character" w:styleId="1064" w:customStyle="1">
    <w:name w:val="font5 Char"/>
    <w:link w:val="797"/>
    <w:uiPriority w:val="0"/>
    <w:qFormat/>
    <w:rPr>
      <w:rFonts w:ascii="宋体" w:hAnsi="宋体" w:eastAsia="宋体"/>
      <w:sz w:val="28"/>
      <w:szCs w:val="28"/>
      <w:lang w:val="en-US" w:eastAsia="zh-CN" w:bidi="ar-SA"/>
    </w:rPr>
  </w:style>
  <w:style w:type="character" w:styleId="1065" w:customStyle="1">
    <w:name w:val="二级目录 Char"/>
    <w:link w:val="1066"/>
    <w:uiPriority w:val="0"/>
    <w:qFormat/>
    <w:rPr>
      <w:b/>
      <w:sz w:val="30"/>
      <w:szCs w:val="28"/>
      <w:lang w:val="en-US" w:eastAsia="zh-CN" w:bidi="ar-SA"/>
    </w:rPr>
  </w:style>
  <w:style w:type="paragraph" w:styleId="1066" w:customStyle="1">
    <w:name w:val="二级目录"/>
    <w:next w:val="797"/>
    <w:link w:val="106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7" w:customStyle="1">
    <w:name w:val="列出段落 Char"/>
    <w:link w:val="1068"/>
    <w:uiPriority w:val="0"/>
    <w:qFormat/>
    <w:rPr>
      <w:rFonts w:ascii="Calibri" w:hAnsi="Calibri"/>
      <w:sz w:val="24"/>
      <w:szCs w:val="24"/>
      <w:lang w:eastAsia="en-US" w:bidi="en-US"/>
    </w:rPr>
  </w:style>
  <w:style w:type="paragraph" w:styleId="1068" w:customStyle="1">
    <w:name w:val="列出段落1"/>
    <w:basedOn w:val="797"/>
    <w:link w:val="1067"/>
    <w:uiPriority w:val="0"/>
    <w:qFormat/>
    <w:pPr>
      <w:contextualSpacing/>
      <w:ind w:left="720"/>
      <w:jc w:val="left"/>
      <w:widowControl/>
    </w:pPr>
    <w:rPr>
      <w:rFonts w:ascii="Calibri" w:hAnsi="Calibri"/>
      <w:sz w:val="24"/>
      <w:szCs w:val="24"/>
      <w:lang w:eastAsia="en-US" w:bidi="en-US"/>
    </w:rPr>
  </w:style>
  <w:style w:type="paragraph" w:styleId="1069" w:customStyle="1">
    <w:name w:val="Body Text(ch)"/>
    <w:basedOn w:val="797"/>
    <w:next w:val="1013"/>
    <w:uiPriority w:val="0"/>
    <w:qFormat/>
    <w:pPr>
      <w:spacing w:after="120"/>
    </w:pPr>
    <w:rPr>
      <w:rFonts w:ascii="宋体" w:hAnsi="Arial" w:eastAsia="宋体" w:cs="Times New Roman"/>
      <w:bCs/>
      <w:iCs/>
      <w:szCs w:val="24"/>
    </w:rPr>
  </w:style>
  <w:style w:type="paragraph" w:styleId="1070" w:customStyle="1">
    <w:name w:val="xl27"/>
    <w:basedOn w:val="7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1" w:customStyle="1">
    <w:name w:val="xl2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2" w:customStyle="1">
    <w:name w:val="Char"/>
    <w:basedOn w:val="797"/>
    <w:uiPriority w:val="0"/>
    <w:qFormat/>
    <w:pPr>
      <w:ind w:firstLine="200"/>
      <w:tabs>
        <w:tab w:val="left" w:pos="360" w:leader="none"/>
      </w:tabs>
    </w:pPr>
    <w:rPr>
      <w:rFonts w:ascii="Times New Roman" w:hAnsi="Times New Roman" w:eastAsia="宋体" w:cs="Times New Roman"/>
      <w:sz w:val="28"/>
      <w:szCs w:val="30"/>
    </w:rPr>
  </w:style>
  <w:style w:type="paragraph" w:styleId="1073" w:customStyle="1">
    <w:name w:val=" Char"/>
    <w:basedOn w:val="1006"/>
    <w:uiPriority w:val="0"/>
    <w:qFormat/>
    <w:rPr>
      <w:rFonts w:ascii="Tahoma" w:hAnsi="Tahoma"/>
      <w:sz w:val="24"/>
      <w:szCs w:val="24"/>
    </w:rPr>
  </w:style>
  <w:style w:type="paragraph" w:styleId="1074" w:customStyle="1">
    <w:name w:val="普通正文"/>
    <w:basedOn w:val="797"/>
    <w:uiPriority w:val="0"/>
    <w:qFormat/>
    <w:pPr>
      <w:ind w:firstLine="480"/>
      <w:jc w:val="left"/>
      <w:spacing w:before="120" w:after="120" w:line="360" w:lineRule="auto"/>
    </w:pPr>
    <w:rPr>
      <w:rFonts w:ascii="Arial" w:hAnsi="Arial" w:eastAsia="宋体" w:cs="Times New Roman"/>
      <w:sz w:val="24"/>
      <w:szCs w:val="24"/>
    </w:rPr>
  </w:style>
  <w:style w:type="paragraph" w:styleId="1075" w:customStyle="1">
    <w:name w:val="table_lines"/>
    <w:basedOn w:val="797"/>
    <w:uiPriority w:val="0"/>
    <w:qFormat/>
    <w:pPr>
      <w:jc w:val="left"/>
      <w:widowControl/>
    </w:pPr>
    <w:rPr>
      <w:rFonts w:ascii="Times New Roman" w:hAnsi="Times New Roman" w:eastAsia="宋体" w:cs="Times New Roman"/>
      <w:sz w:val="20"/>
      <w:szCs w:val="20"/>
      <w:lang w:val="de-DE" w:eastAsia="de-DE"/>
    </w:rPr>
  </w:style>
  <w:style w:type="paragraph" w:styleId="107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7" w:customStyle="1">
    <w:name w:val="font7"/>
    <w:basedOn w:val="79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78" w:customStyle="1">
    <w:name w:val=" Char Char Char Char"/>
    <w:basedOn w:val="1006"/>
    <w:uiPriority w:val="0"/>
    <w:qFormat/>
    <w:pPr>
      <w:spacing w:line="360" w:lineRule="auto"/>
    </w:pPr>
    <w:rPr>
      <w:rFonts w:ascii="Tahoma" w:hAnsi="Tahoma"/>
      <w:sz w:val="24"/>
      <w:szCs w:val="24"/>
    </w:rPr>
  </w:style>
  <w:style w:type="paragraph" w:styleId="1079" w:customStyle="1">
    <w:name w:val="列出段落"/>
    <w:basedOn w:val="797"/>
    <w:uiPriority w:val="0"/>
    <w:qFormat/>
    <w:pPr>
      <w:contextualSpacing/>
      <w:ind w:left="720"/>
      <w:jc w:val="left"/>
      <w:widowControl/>
    </w:pPr>
    <w:rPr>
      <w:rFonts w:ascii="Calibri" w:hAnsi="Calibri" w:eastAsia="宋体" w:cs="Times New Roman"/>
      <w:sz w:val="24"/>
      <w:szCs w:val="24"/>
      <w:lang w:eastAsia="en-US" w:bidi="en-US"/>
    </w:rPr>
  </w:style>
  <w:style w:type="paragraph" w:styleId="1080" w:customStyle="1">
    <w:name w:val="4"/>
    <w:basedOn w:val="797"/>
    <w:next w:val="1040"/>
    <w:uiPriority w:val="0"/>
    <w:qFormat/>
    <w:pPr>
      <w:ind w:firstLine="420"/>
      <w:spacing w:line="360" w:lineRule="auto"/>
    </w:pPr>
    <w:rPr>
      <w:rFonts w:ascii="Times New Roman" w:hAnsi="Times New Roman" w:eastAsia="宋体" w:cs="Times New Roman"/>
      <w:color w:val="ff0000"/>
      <w:sz w:val="24"/>
      <w:szCs w:val="24"/>
    </w:rPr>
  </w:style>
  <w:style w:type="paragraph" w:styleId="1081" w:customStyle="1">
    <w:name w:val="普通 (Web)"/>
    <w:basedOn w:val="797"/>
    <w:uiPriority w:val="0"/>
    <w:qFormat/>
    <w:pPr>
      <w:jc w:val="left"/>
      <w:spacing w:before="100" w:beforeAutospacing="1" w:after="100" w:afterAutospacing="1"/>
      <w:widowControl/>
    </w:pPr>
    <w:rPr>
      <w:rFonts w:ascii="宋体" w:hAnsi="宋体" w:eastAsia="宋体" w:cs="Times New Roman"/>
      <w:sz w:val="24"/>
      <w:szCs w:val="24"/>
    </w:rPr>
  </w:style>
  <w:style w:type="paragraph" w:styleId="1082" w:customStyle="1">
    <w:name w:val=" Char Char Char Char Char Char Char Char Char Char"/>
    <w:basedOn w:val="797"/>
    <w:uiPriority w:val="0"/>
    <w:qFormat/>
    <w:pPr>
      <w:spacing w:line="360" w:lineRule="auto"/>
    </w:pPr>
    <w:rPr>
      <w:rFonts w:ascii="Times New Roman" w:hAnsi="Times New Roman" w:eastAsia="宋体" w:cs="Times New Roman"/>
      <w:sz w:val="24"/>
      <w:szCs w:val="20"/>
    </w:rPr>
  </w:style>
  <w:style w:type="paragraph" w:styleId="1083" w:customStyle="1">
    <w:name w:val="样式1"/>
    <w:basedOn w:val="797"/>
    <w:uiPriority w:val="0"/>
    <w:qFormat/>
    <w:pPr>
      <w:numPr>
        <w:ilvl w:val="0"/>
        <w:numId w:val="3"/>
      </w:numPr>
    </w:pPr>
    <w:rPr>
      <w:rFonts w:ascii="宋体" w:hAnsi="宋体" w:eastAsia="宋体" w:cs="Times New Roman"/>
      <w:szCs w:val="21"/>
    </w:rPr>
  </w:style>
  <w:style w:type="paragraph" w:styleId="1084" w:customStyle="1">
    <w:name w:val="font6"/>
    <w:basedOn w:val="79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85" w:customStyle="1">
    <w:name w:val="xl25"/>
    <w:basedOn w:val="79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6" w:customStyle="1">
    <w:name w:val="图标"/>
    <w:basedOn w:val="797"/>
    <w:next w:val="79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7" w:customStyle="1">
    <w:name w:val="标题3"/>
    <w:basedOn w:val="797"/>
    <w:next w:val="797"/>
    <w:uiPriority w:val="0"/>
    <w:qFormat/>
    <w:pPr>
      <w:ind w:firstLine="624"/>
      <w:spacing w:line="590" w:lineRule="atLeast"/>
    </w:pPr>
    <w:rPr>
      <w:rFonts w:ascii="方正黑体_GBK" w:hAnsi="Times New Roman" w:eastAsia="方正黑体_GBK" w:cs="Times New Roman"/>
      <w:sz w:val="32"/>
      <w:szCs w:val="32"/>
    </w:rPr>
  </w:style>
  <w:style w:type="paragraph" w:styleId="1088" w:customStyle="1">
    <w:name w:val="xl24"/>
    <w:basedOn w:val="7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9" w:customStyle="1">
    <w:name w:val="xl29"/>
    <w:basedOn w:val="79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0" w:customStyle="1">
    <w:name w:val="Char Char Char Char Char Char Char Char"/>
    <w:basedOn w:val="797"/>
    <w:uiPriority w:val="0"/>
    <w:qFormat/>
    <w:pPr>
      <w:jc w:val="left"/>
      <w:spacing w:after="160" w:line="240" w:lineRule="exact"/>
      <w:widowControl/>
    </w:pPr>
    <w:rPr>
      <w:rFonts w:ascii="Verdana" w:hAnsi="Verdana" w:eastAsia="宋体" w:cs="Times New Roman"/>
      <w:sz w:val="20"/>
      <w:szCs w:val="20"/>
      <w:lang w:eastAsia="en-US"/>
    </w:rPr>
  </w:style>
  <w:style w:type="paragraph" w:styleId="1091" w:customStyle="1">
    <w:name w:val="xl2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2" w:customStyle="1">
    <w:name w:val=" Char Char Char Char Char Char Char Char"/>
    <w:basedOn w:val="797"/>
    <w:uiPriority w:val="0"/>
    <w:qFormat/>
    <w:pPr>
      <w:jc w:val="left"/>
      <w:spacing w:after="160" w:line="240" w:lineRule="exact"/>
      <w:widowControl/>
    </w:pPr>
    <w:rPr>
      <w:rFonts w:ascii="Verdana" w:hAnsi="Verdana" w:eastAsia="宋体" w:cs="Times New Roman"/>
      <w:sz w:val="20"/>
      <w:szCs w:val="20"/>
      <w:lang w:eastAsia="en-US"/>
    </w:rPr>
  </w:style>
  <w:style w:type="paragraph" w:styleId="1093" w:customStyle="1">
    <w:name w:val="xl30"/>
    <w:basedOn w:val="79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94" w:customStyle="1">
    <w:name w:val="Char Char Char Char"/>
    <w:basedOn w:val="1006"/>
    <w:uiPriority w:val="0"/>
    <w:qFormat/>
    <w:pPr>
      <w:spacing w:line="360" w:lineRule="auto"/>
    </w:pPr>
    <w:rPr>
      <w:rFonts w:ascii="Tahoma" w:hAnsi="Tahoma"/>
      <w:sz w:val="24"/>
      <w:szCs w:val="24"/>
    </w:rPr>
  </w:style>
  <w:style w:type="paragraph" w:styleId="1095" w:customStyle="1">
    <w:name w:val="table_1stline"/>
    <w:basedOn w:val="79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96" w:customStyle="1">
    <w:name w:val="font5"/>
    <w:basedOn w:val="79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97" w:customStyle="1">
    <w:name w:val="标题1"/>
    <w:basedOn w:val="797"/>
    <w:next w:val="79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9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0" w:customStyle="1">
    <w:name w:val="WPSOffice手动目录 1"/>
    <w:uiPriority w:val="0"/>
    <w:qFormat/>
    <w:rPr>
      <w:rFonts w:hint="default" w:ascii="Times New Roman" w:hAnsi="Times New Roman" w:eastAsia="宋体" w:cs="Times New Roman"/>
      <w:lang w:val="en-US" w:eastAsia="zh-CN" w:bidi="ar-SA"/>
    </w:rPr>
  </w:style>
  <w:style w:type="paragraph" w:styleId="1101" w:customStyle="1">
    <w:name w:val="正文缩进1"/>
    <w:basedOn w:val="797"/>
    <w:uiPriority w:val="0"/>
    <w:qFormat/>
    <w:pPr>
      <w:ind w:firstLine="420"/>
    </w:pPr>
    <w:rPr>
      <w:sz w:val="20"/>
      <w:lang w:val="en-US" w:eastAsia="en-US"/>
    </w:rPr>
  </w:style>
  <w:style w:type="paragraph" w:styleId="1102" w:customStyle="1">
    <w:name w:val="标题 3111"/>
    <w:basedOn w:val="797"/>
    <w:next w:val="797"/>
    <w:uiPriority w:val="9"/>
    <w:qFormat/>
    <w:pPr>
      <w:keepLines/>
      <w:keepNext/>
      <w:spacing w:before="320" w:after="200"/>
      <w:outlineLvl w:val="2"/>
    </w:pPr>
    <w:rPr>
      <w:rFonts w:ascii="Arial" w:hAnsi="Arial" w:eastAsia="Arial"/>
      <w:sz w:val="30"/>
      <w:szCs w:val="30"/>
    </w:rPr>
  </w:style>
  <w:style w:type="paragraph" w:styleId="1103" w:customStyle="1">
    <w:name w:val="正文空2格  1."/>
    <w:basedOn w:val="797"/>
    <w:uiPriority w:val="0"/>
    <w:qFormat/>
    <w:pPr>
      <w:ind w:firstLine="480"/>
    </w:pPr>
    <w:rPr>
      <w:rFonts w:ascii="Calibri" w:hAnsi="Calibri" w:cs="宋体"/>
      <w:szCs w:val="20"/>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孙侠</cp:lastModifiedBy>
  <cp:revision>9</cp:revision>
  <dcterms:created xsi:type="dcterms:W3CDTF">2023-03-16T18:13:00Z</dcterms:created>
  <dcterms:modified xsi:type="dcterms:W3CDTF">2026-04-17T07:37:09Z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299E5DAF38DA45759C2595BB1B519198_13</vt:lpwstr>
  </property>
  <property fmtid="{D5CDD505-2E9C-101B-9397-08002B2CF9AE}" pid="4" name="KSOTemplateDocerSaveRecord">
    <vt:lpwstr>eyJoZGlkIjoiNjhmYjAwZTFhZTQ5MDMwMmQ5YjAxOThlYzA2NzEyODIiLCJ1c2VySWQiOiIxMjg1NDA4NTUwIn0=</vt:lpwstr>
  </property>
</Properties>
</file>