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JSZC-320214-JSZH-G2026-0020</w:t>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采购项目名称：2026-2027年新安街道污水管网养护采购项目</w:t>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rPr>
          <w:rFonts w:ascii="华文中宋" w:hAnsi="华文中宋" w:eastAsia="华文中宋"/>
          <w:bCs/>
          <w:color w:val="auto"/>
          <w:sz w:val="32"/>
          <w:highlight w:val="none"/>
        </w:rPr>
      </w:pPr>
      <w:r>
        <w:rPr>
          <w:rFonts w:ascii="华文中宋" w:hAnsi="华文中宋" w:eastAsia="华文中宋"/>
          <w:bCs/>
          <w:color w:val="auto"/>
          <w:sz w:val="32"/>
          <w:highlight w:val="none"/>
        </w:rPr>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w:t>
      </w:r>
      <w:r>
        <w:rPr>
          <w:rFonts w:hint="eastAsia" w:ascii="黑体" w:hAnsi="华文中宋" w:eastAsia="黑体"/>
          <w:bCs/>
          <w:color w:val="auto"/>
          <w:sz w:val="30"/>
          <w:szCs w:val="30"/>
          <w:highlight w:val="none"/>
          <w:lang w:val="en-US" w:eastAsia="zh-CN"/>
        </w:rPr>
        <w:t xml:space="preserve">四</w:t>
      </w:r>
      <w:r>
        <w:rPr>
          <w:rFonts w:hint="eastAsia" w:ascii="黑体" w:hAnsi="华文中宋" w:eastAsia="黑体"/>
          <w:bCs/>
          <w:color w:val="auto"/>
          <w:sz w:val="30"/>
          <w:szCs w:val="30"/>
          <w:highlight w:val="none"/>
        </w:rPr>
        <w:t xml:space="preserve">月</w:t>
      </w:r>
      <w:r/>
    </w:p>
    <w:p>
      <w:pPr>
        <w:jc w:val="center"/>
        <w:rPr>
          <w:rStyle w:val="737"/>
          <w:rFonts w:eastAsia="黑体"/>
          <w:bCs/>
          <w:color w:val="auto"/>
          <w:sz w:val="48"/>
          <w:highlight w:val="none"/>
        </w:rPr>
      </w:pPr>
      <w:r>
        <w:rPr>
          <w:rStyle w:val="737"/>
          <w:rFonts w:eastAsia="黑体"/>
          <w:bCs/>
          <w:color w:val="auto"/>
          <w:sz w:val="48"/>
          <w:highlight w:val="none"/>
        </w:rPr>
        <w:br w:type="page" w:clear="all"/>
      </w:r>
      <w:r>
        <w:rPr>
          <w:rStyle w:val="737"/>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pStyle w:val="718"/>
        <w:spacing w:line="480" w:lineRule="auto"/>
        <w:tabs>
          <w:tab w:val="right" w:pos="9746" w:leader="dot"/>
        </w:tabs>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TOC \o "1-1" \h \u </w:instrText>
      </w:r>
      <w:r>
        <w:rPr>
          <w:rFonts w:hint="eastAsia" w:asciiTheme="minorEastAsia" w:hAnsiTheme="minorEastAsia" w:eastAsiaTheme="minorEastAsia" w:cstheme="minorEastAsia"/>
          <w:b/>
          <w:color w:val="auto"/>
          <w:sz w:val="28"/>
          <w:szCs w:val="28"/>
          <w:highlight w:val="none"/>
        </w:rPr>
        <w:fldChar w:fldCharType="separate"/>
      </w:r>
      <w:r>
        <w:rPr>
          <w:color w:val="auto"/>
          <w:highlight w:val="none"/>
        </w:rPr>
        <w:fldChar w:fldCharType="begin"/>
      </w:r>
      <w:r>
        <w:rPr>
          <w:color w:val="auto"/>
          <w:highlight w:val="none"/>
        </w:rPr>
        <w:instrText xml:space="preserve"> HYPERLINK \l "_Toc9622"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一、投标邀请函</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PAGEREF _Toc9622 \h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b/>
          <w:color w:val="auto"/>
          <w:sz w:val="28"/>
          <w:szCs w:val="28"/>
          <w:highlight w:val="none"/>
        </w:rPr>
        <w:t xml:space="preserve">3</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rPr>
        <w:fldChar w:fldCharType="end"/>
      </w:r>
      <w:r/>
    </w:p>
    <w:p>
      <w:pPr>
        <w:pStyle w:val="718"/>
        <w:spacing w:line="480" w:lineRule="auto"/>
        <w:tabs>
          <w:tab w:val="right" w:pos="9746" w:leader="dot"/>
        </w:tabs>
        <w:rPr>
          <w:rFonts w:asciiTheme="minorEastAsia" w:hAnsiTheme="minorEastAsia" w:eastAsiaTheme="minorEastAsia" w:cstheme="minorEastAsia"/>
          <w:b/>
          <w:color w:val="auto"/>
          <w:sz w:val="28"/>
          <w:szCs w:val="28"/>
          <w:highlight w:val="none"/>
        </w:rPr>
      </w:pPr>
      <w:r>
        <w:rPr>
          <w:color w:val="auto"/>
          <w:highlight w:val="none"/>
        </w:rPr>
        <w:fldChar w:fldCharType="begin"/>
      </w:r>
      <w:r>
        <w:rPr>
          <w:color w:val="auto"/>
          <w:highlight w:val="none"/>
        </w:rPr>
        <w:instrText xml:space="preserve"> HYPERLINK \l "_Toc6542"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二、投标人须知</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PAGEREF _Toc6542 \h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b/>
          <w:color w:val="auto"/>
          <w:sz w:val="28"/>
          <w:szCs w:val="28"/>
          <w:highlight w:val="none"/>
        </w:rPr>
        <w:t xml:space="preserve">7</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rPr>
        <w:fldChar w:fldCharType="end"/>
      </w:r>
      <w:r/>
    </w:p>
    <w:p>
      <w:pPr>
        <w:pStyle w:val="718"/>
        <w:spacing w:line="480" w:lineRule="auto"/>
        <w:tabs>
          <w:tab w:val="right" w:pos="9746" w:leader="dot"/>
        </w:tabs>
        <w:rPr>
          <w:rFonts w:asciiTheme="minorEastAsia" w:hAnsiTheme="minorEastAsia" w:eastAsiaTheme="minorEastAsia" w:cstheme="minorEastAsia"/>
          <w:b/>
          <w:color w:val="auto"/>
          <w:sz w:val="28"/>
          <w:szCs w:val="28"/>
          <w:highlight w:val="none"/>
        </w:rPr>
      </w:pPr>
      <w:r>
        <w:rPr>
          <w:color w:val="auto"/>
          <w:highlight w:val="none"/>
        </w:rPr>
        <w:fldChar w:fldCharType="begin"/>
      </w:r>
      <w:r>
        <w:rPr>
          <w:color w:val="auto"/>
          <w:highlight w:val="none"/>
        </w:rPr>
        <w:instrText xml:space="preserve"> HYPERLINK \l "_Toc12747"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三、项目技术要求和有关说明</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PAGEREF _Toc12747 \h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b/>
          <w:color w:val="auto"/>
          <w:sz w:val="28"/>
          <w:szCs w:val="28"/>
          <w:highlight w:val="none"/>
        </w:rPr>
        <w:t xml:space="preserve">18</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rPr>
        <w:fldChar w:fldCharType="end"/>
      </w:r>
      <w:r/>
    </w:p>
    <w:p>
      <w:pPr>
        <w:pStyle w:val="718"/>
        <w:spacing w:line="480" w:lineRule="auto"/>
        <w:tabs>
          <w:tab w:val="right" w:pos="9746" w:leader="dot"/>
        </w:tabs>
        <w:rPr>
          <w:rFonts w:asciiTheme="minorEastAsia" w:hAnsiTheme="minorEastAsia" w:eastAsiaTheme="minorEastAsia" w:cstheme="minorEastAsia"/>
          <w:b/>
          <w:color w:val="auto"/>
          <w:sz w:val="28"/>
          <w:szCs w:val="28"/>
          <w:highlight w:val="none"/>
        </w:rPr>
      </w:pPr>
      <w:r>
        <w:rPr>
          <w:color w:val="auto"/>
          <w:highlight w:val="none"/>
        </w:rPr>
        <w:fldChar w:fldCharType="begin"/>
      </w:r>
      <w:r>
        <w:rPr>
          <w:color w:val="auto"/>
          <w:highlight w:val="none"/>
        </w:rPr>
        <w:instrText xml:space="preserve"> HYPERLINK \l "_Toc32088"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四、合同书（格式文本）</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PAGEREF _Toc32088 \h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b/>
          <w:color w:val="auto"/>
          <w:sz w:val="28"/>
          <w:szCs w:val="28"/>
          <w:highlight w:val="none"/>
        </w:rPr>
        <w:t xml:space="preserve">35</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rPr>
        <w:fldChar w:fldCharType="end"/>
      </w:r>
      <w:r/>
    </w:p>
    <w:p>
      <w:pPr>
        <w:pStyle w:val="718"/>
        <w:spacing w:line="480" w:lineRule="auto"/>
        <w:tabs>
          <w:tab w:val="right" w:pos="9746" w:leader="dot"/>
        </w:tabs>
        <w:rPr>
          <w:rFonts w:asciiTheme="minorEastAsia" w:hAnsiTheme="minorEastAsia" w:eastAsiaTheme="minorEastAsia" w:cstheme="minorEastAsia"/>
          <w:b/>
          <w:color w:val="auto"/>
          <w:sz w:val="28"/>
          <w:szCs w:val="28"/>
          <w:highlight w:val="none"/>
        </w:rPr>
      </w:pPr>
      <w:r>
        <w:rPr>
          <w:color w:val="auto"/>
          <w:highlight w:val="none"/>
        </w:rPr>
        <w:fldChar w:fldCharType="begin"/>
      </w:r>
      <w:r>
        <w:rPr>
          <w:color w:val="auto"/>
          <w:highlight w:val="none"/>
        </w:rPr>
        <w:instrText xml:space="preserve"> HYPERLINK \l "_Toc19415"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lang w:bidi="ar"/>
        </w:rPr>
        <w:t xml:space="preserve">五、合同条款</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PAGEREF _Toc19415 \h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b/>
          <w:color w:val="auto"/>
          <w:sz w:val="28"/>
          <w:szCs w:val="28"/>
          <w:highlight w:val="none"/>
        </w:rPr>
        <w:t xml:space="preserve">36</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rPr>
        <w:fldChar w:fldCharType="end"/>
      </w:r>
      <w:r/>
    </w:p>
    <w:p>
      <w:pPr>
        <w:pStyle w:val="718"/>
        <w:spacing w:line="480" w:lineRule="auto"/>
        <w:tabs>
          <w:tab w:val="right" w:pos="9746" w:leader="dot"/>
        </w:tabs>
        <w:rPr>
          <w:rFonts w:asciiTheme="minorEastAsia" w:hAnsiTheme="minorEastAsia" w:eastAsiaTheme="minorEastAsia" w:cstheme="minorEastAsia"/>
          <w:b/>
          <w:color w:val="auto"/>
          <w:sz w:val="28"/>
          <w:szCs w:val="28"/>
          <w:highlight w:val="none"/>
        </w:rPr>
      </w:pPr>
      <w:r>
        <w:rPr>
          <w:color w:val="auto"/>
          <w:highlight w:val="none"/>
        </w:rPr>
        <w:fldChar w:fldCharType="begin"/>
      </w:r>
      <w:r>
        <w:rPr>
          <w:color w:val="auto"/>
          <w:highlight w:val="none"/>
        </w:rPr>
        <w:instrText xml:space="preserve"> HYPERLINK \l "_Toc17171" </w:instrText>
      </w:r>
      <w:r>
        <w:rPr>
          <w:color w:val="auto"/>
          <w:highlight w:val="none"/>
        </w:rPr>
        <w:fldChar w:fldCharType="separate"/>
      </w:r>
      <w:r>
        <w:rPr>
          <w:rFonts w:hint="eastAsia" w:asciiTheme="minorEastAsia" w:hAnsiTheme="minorEastAsia" w:eastAsiaTheme="minorEastAsia" w:cstheme="minorEastAsia"/>
          <w:b/>
          <w:color w:val="auto"/>
          <w:sz w:val="28"/>
          <w:szCs w:val="28"/>
          <w:highlight w:val="none"/>
        </w:rPr>
        <w:t xml:space="preserve">六、附件</w:t>
      </w: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PAGEREF _Toc17171 \h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b/>
          <w:color w:val="auto"/>
          <w:sz w:val="28"/>
          <w:szCs w:val="28"/>
          <w:highlight w:val="none"/>
        </w:rPr>
        <w:t xml:space="preserve">40</w:t>
      </w:r>
      <w:r>
        <w:rPr>
          <w:rFonts w:hint="eastAsia" w:asciiTheme="minorEastAsia" w:hAnsiTheme="minorEastAsia" w:eastAsiaTheme="minorEastAsia" w:cstheme="minorEastAsia"/>
          <w:b/>
          <w:color w:val="auto"/>
          <w:sz w:val="28"/>
          <w:szCs w:val="28"/>
          <w:highlight w:val="none"/>
        </w:rPr>
        <w:fldChar w:fldCharType="end"/>
      </w:r>
      <w:r>
        <w:rPr>
          <w:rFonts w:hint="eastAsia" w:asciiTheme="minorEastAsia" w:hAnsiTheme="minorEastAsia" w:eastAsiaTheme="minorEastAsia" w:cstheme="minorEastAsia"/>
          <w:b/>
          <w:color w:val="auto"/>
          <w:sz w:val="28"/>
          <w:szCs w:val="28"/>
          <w:highlight w:val="none"/>
        </w:rPr>
        <w:fldChar w:fldCharType="end"/>
      </w:r>
      <w:r/>
    </w:p>
    <w:p>
      <w:pPr>
        <w:ind w:firstLine="450"/>
        <w:spacing w:line="480" w:lineRule="auto"/>
        <w:rPr>
          <w:rFonts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bookmarkStart w:id="1" w:name="_Toc9622"/>
      <w:r/>
      <w:bookmarkStart w:id="2" w:name="_Toc27207"/>
      <w:r>
        <w:rPr>
          <w:rFonts w:hint="eastAsia" w:ascii="黑体" w:eastAsia="黑体"/>
          <w:bCs/>
          <w:color w:val="auto"/>
          <w:sz w:val="28"/>
          <w:szCs w:val="28"/>
          <w:highlight w:val="none"/>
        </w:rPr>
        <w:t xml:space="preserve">一、投标邀请函</w:t>
      </w:r>
      <w:bookmarkEnd w:id="1"/>
      <w:r/>
      <w:bookmarkEnd w:id="2"/>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江苏智汇锡建工程项目管理有限公司受无锡市新吴区人民政府新安街道办事处委托，对2026-2027年新安街道污水管网养护采购项目进行公开招标采购，欢迎符合相关条件的供应商参加投标并提请注意下列相关事项：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1.项目名称：2026-2027年新安街道污水管网养护采购项目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JSZC-320214-JSZH-G2026-0020</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3.合同履行期限：两年（以合同约定日期为准）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4.项目预算：250万元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rPr>
        <w:t xml:space="preserve">250万元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7.采购人：无锡市新吴区人民政府新安街道办事处</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2.落实政府采购政策需满足的资格要求：无；</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（2）未被“信用中国”网站列入失信被执行人、重大税收违法案件当事人名单、政府采购严重违法失信行为记录名单；</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（3）授权委托人应为投标供应商企业在职员工；</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4.如供应商未按上述要求操作，由此所产生的损失及风险由供应商自行承担。具体操作步骤详见《“苏采云”系统供应商操作手册》（以下简称《操作手册》），下载地址：无锡政府采购网</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资料下载</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苏采云</w:t>
      </w:r>
      <w:r>
        <w:rPr>
          <w:rFonts w:hint="eastAsia" w:ascii="宋体" w:hAnsi="宋体"/>
          <w:bCs/>
          <w:color w:val="auto"/>
          <w:sz w:val="24"/>
          <w:szCs w:val="24"/>
          <w:highlight w:val="none"/>
        </w:rPr>
        <w:t xml:space="preserve">--</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1.潜在投标供应商可在项目招标公告附件中查看公开招标文件，如确定投标，必须在苏采云平台（http://jszfcg.jscz.gov.cn/jszc/l</w:t>
      </w:r>
      <w:r>
        <w:rPr>
          <w:rFonts w:hint="eastAsia" w:ascii="宋体" w:hAnsi="宋体"/>
          <w:bCs/>
          <w:color w:val="auto"/>
          <w:sz w:val="24"/>
          <w:szCs w:val="24"/>
          <w:highlight w:val="none"/>
        </w:rPr>
        <w:t xml:space="preserve">ogin）中免费下载公开招标文件（在“江苏政府采购网”--“苏采云”或“政府采购客户端（苏采云）”中免费下载文件，具体操作：“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资料下载--“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w:t>
      </w:r>
      <w:r>
        <w:rPr>
          <w:rFonts w:hint="eastAsia" w:ascii="宋体" w:hAnsi="宋体"/>
          <w:bCs/>
          <w:color w:val="auto"/>
          <w:sz w:val="24"/>
          <w:szCs w:val="24"/>
          <w:highlight w:val="none"/>
        </w:rPr>
        <w:t xml:space="preserve">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日17:00</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投标人若需对招标文件要求澄清的问题，请以书面形式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JSZC-320214-JSZH-G2026-0020</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。若未在规定时间内提出澄清，由此造成的损失及风险由投标人自行承担。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需准备好制作标书的笔记本电脑、CA锁（政务CA），登录苏采云网上开标大厅，等待开标流程进入“解锁环境”，点击“立即解密”进行标书解密，解锁完成后及时关注开标大厅，并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网上投标截止时间：2026年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:30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截止时间之后的投标文件恕不接受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日开启解密后的半小时。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（九）本次采购联系方式</w:t>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采购人：无锡市新吴区人民政府新安街道办事处</w:t>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采购人地址：无锡市新吴区清晏路28-1</w:t>
      </w:r>
      <w:r/>
    </w:p>
    <w:p>
      <w:pPr>
        <w:pStyle w:val="728"/>
        <w:ind w:firstLine="48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陈</w:t>
      </w:r>
      <w:r>
        <w:rPr>
          <w:rFonts w:hint="eastAsia" w:cs="仿宋"/>
          <w:color w:val="auto"/>
          <w:highlight w:val="none"/>
        </w:rPr>
        <w:t xml:space="preserve">工</w:t>
      </w:r>
      <w:r/>
    </w:p>
    <w:p>
      <w:pPr>
        <w:pStyle w:val="728"/>
        <w:ind w:firstLine="48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联系电话：85382615</w:t>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cs="宋体"/>
          <w:color w:val="auto"/>
          <w:highlight w:val="none"/>
          <w:lang w:val="zh-CN"/>
        </w:rPr>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采购代理机构统一社会信用代码：91320214727400523L</w:t>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联系人：徐丽平、</w:t>
      </w:r>
      <w:r>
        <w:rPr>
          <w:rFonts w:hint="eastAsia" w:cs="宋体"/>
          <w:color w:val="auto"/>
          <w:highlight w:val="none"/>
        </w:rPr>
        <w:t xml:space="preserve">许居磊</w:t>
      </w:r>
      <w:r/>
    </w:p>
    <w:p>
      <w:pPr>
        <w:pStyle w:val="728"/>
        <w:ind w:firstLine="48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联系电话：</w:t>
      </w:r>
      <w:r>
        <w:rPr>
          <w:rFonts w:hint="eastAsia" w:cs="宋体"/>
          <w:color w:val="auto"/>
          <w:highlight w:val="none"/>
        </w:rPr>
        <w:t xml:space="preserve">18013775326</w:t>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联系地址：</w:t>
      </w:r>
      <w:r>
        <w:rPr>
          <w:rFonts w:hint="eastAsia"/>
          <w:bCs/>
          <w:color w:val="auto"/>
          <w:highlight w:val="none"/>
        </w:rPr>
        <w:t xml:space="preserve">无锡市新吴区和风路19号启迪协信中心6号楼9楼</w:t>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728"/>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电子邮件地址：</w:t>
      </w:r>
      <w:r>
        <w:rPr>
          <w:rFonts w:hint="eastAsia" w:cs="宋体"/>
          <w:color w:val="auto"/>
          <w:highlight w:val="none"/>
        </w:rPr>
        <w:t xml:space="preserve">1141515048</w:t>
      </w:r>
      <w:r>
        <w:rPr>
          <w:rFonts w:hint="eastAsia" w:cs="宋体"/>
          <w:color w:val="auto"/>
          <w:highlight w:val="none"/>
          <w:lang w:val="zh-CN"/>
        </w:rPr>
        <w:t xml:space="preserve">@</w:t>
      </w:r>
      <w:r>
        <w:rPr>
          <w:rFonts w:hint="eastAsia" w:cs="宋体"/>
          <w:color w:val="auto"/>
          <w:highlight w:val="none"/>
        </w:rPr>
        <w:t xml:space="preserve">qq</w:t>
      </w:r>
      <w:r>
        <w:rPr>
          <w:rFonts w:hint="eastAsia" w:cs="宋体"/>
          <w:color w:val="auto"/>
          <w:highlight w:val="none"/>
          <w:lang w:val="zh-CN"/>
        </w:rPr>
        <w:t xml:space="preserve">.com</w:t>
      </w:r>
      <w:r/>
    </w:p>
    <w:p>
      <w:pPr>
        <w:pStyle w:val="728"/>
        <w:ind w:firstLine="480"/>
        <w:spacing w:before="0" w:beforeAutospacing="0" w:after="0" w:afterAutospacing="0" w:line="360" w:lineRule="auto"/>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728"/>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16518"/>
      <w:r/>
      <w:bookmarkStart w:id="5" w:name="_Toc6542"/>
      <w:r>
        <w:rPr>
          <w:rFonts w:hint="eastAsia" w:ascii="黑体" w:eastAsia="黑体"/>
          <w:bCs/>
          <w:color w:val="auto"/>
          <w:sz w:val="28"/>
          <w:szCs w:val="28"/>
          <w:highlight w:val="none"/>
        </w:rPr>
        <w:t xml:space="preserve">二、投标人须知</w:t>
      </w:r>
      <w:bookmarkEnd w:id="4"/>
      <w:r/>
      <w:bookmarkEnd w:id="5"/>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招标文件中的“法定代表人”是指投标人营业执照上的“法定代表人”或相关部门登记证明文件中的“负责人”。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2.如需对招标文件进行澄清或修正，江苏智汇锡建工程项目管理有限公司将在江苏政府采购网、中国政府采购网发布更正公告，该澄清或修正的内容为招标文件的组成部分。投标人应在投标截止时间前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地址：无锡市新吴区和风路19号启迪协信中心6号楼9楼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联系人：许居磊</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电话：18013775326</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956"/>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956"/>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投标人近一年中任意一个月份（不含投标当月）的财务状况报告（资产负债表和利润表）或由会计师事务所出具的近两年（2024年或2025年）中任意一年度的审计报告和所附已审财务报告；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6.项目人员配置清单（</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9.中小企业声明函（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10.技术文件</w:t>
      </w:r>
      <w:r>
        <w:rPr>
          <w:rFonts w:hint="eastAsia" w:ascii="宋体" w:hAnsi="宋体"/>
          <w:b/>
          <w:color w:val="auto"/>
          <w:sz w:val="24"/>
          <w:szCs w:val="24"/>
          <w:highlight w:val="none"/>
        </w:rPr>
        <w:t xml:space="preserve">（格式自拟，内容参照评标办法）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11.评分标准中对应的其他所需证明材料（如有自行添加）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13.其他（报价人认为有必要提供的声明和文件，如有自拟并自行添加）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-8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所有文件、往来函件均应使用简体中文（规格、型号辅助符号除外）。</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7"/>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（1）评审过程中出现下列情形之一的，评标委员会应当启动异常低价投标（响应）审查程序：</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①投标（响应）报价低于采购项目预算50%的，即投标（响应）报价〈采购项目预算×50%；</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②投标（响应）报价低于采购项目最高限价45%的，即投标（响应）报价〈采购项目最高限价×45%；</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③评标委员会认定的供应商报价过低、有可能影响产品质量或者不能诚信履约的其他情形。</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9"/>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资格性检查。采购人代表依据法律法规和招标文件的规定，对投标文件中的资格证明、投标（报价）承诺函等进行审查；通过“信用中国”网站（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9"/>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9"/>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江苏政府采购网、中国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1"/>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8"/>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8"/>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1.中标、成交供应商可采用合同融资形式，中标人可凭政府采购合同办理融资贷款，详见无锡政府采购网“政采贷”专栏。</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中标、成交供应商可以采用电子履约保函形式，具体操作可登录江苏政府采购网的保险保函模块进行办理，也可通过无锡政府采购网、“苏采云”系统链接访问（首次使用需注册）。</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numPr>
          <w:ilvl w:val="0"/>
          <w:numId w:val="15"/>
        </w:numPr>
        <w:jc w:val="center"/>
        <w:spacing w:line="360" w:lineRule="auto"/>
        <w:rPr>
          <w:rFonts w:ascii="黑体" w:eastAsia="黑体"/>
          <w:b/>
          <w:color w:val="auto"/>
          <w:sz w:val="30"/>
          <w:szCs w:val="30"/>
          <w:highlight w:val="none"/>
        </w:rPr>
        <w:outlineLvl w:val="0"/>
      </w:pPr>
      <w:r>
        <w:rPr>
          <w:rFonts w:ascii="黑体" w:eastAsia="黑体"/>
          <w:bCs/>
          <w:color w:val="auto"/>
          <w:sz w:val="30"/>
          <w:szCs w:val="30"/>
          <w:highlight w:val="none"/>
        </w:rPr>
        <w:br w:type="page" w:clear="all"/>
      </w:r>
      <w:bookmarkStart w:id="6" w:name="_Toc6851"/>
      <w:r/>
      <w:bookmarkStart w:id="7" w:name="_Toc12747"/>
      <w:r>
        <w:rPr>
          <w:rFonts w:hint="eastAsia" w:ascii="黑体" w:eastAsia="黑体"/>
          <w:b/>
          <w:color w:val="auto"/>
          <w:sz w:val="30"/>
          <w:szCs w:val="30"/>
          <w:highlight w:val="none"/>
        </w:rPr>
        <w:t xml:space="preserve">项目技术要求和有关说明</w:t>
      </w:r>
      <w:bookmarkEnd w:id="6"/>
      <w:r/>
      <w:bookmarkEnd w:id="7"/>
      <w:r/>
      <w:r/>
    </w:p>
    <w:p>
      <w:pPr>
        <w:spacing w:line="440" w:lineRule="exact"/>
        <w:widowControl/>
        <w:rPr>
          <w:rFonts w:ascii="宋体" w:hAnsi="宋体" w:cs="Arial"/>
          <w:b/>
          <w:color w:val="auto"/>
          <w:highlight w:val="none"/>
        </w:rPr>
      </w:pPr>
      <w:r>
        <w:rPr>
          <w:rFonts w:hint="eastAsia" w:ascii="宋体" w:hAnsi="宋体" w:cs="Arial"/>
          <w:b/>
          <w:color w:val="auto"/>
          <w:highlight w:val="none"/>
        </w:rPr>
        <w:t xml:space="preserve">一、采购标的需实现的功能或者目标，以及为落实政府采购政策需满足的要求：</w:t>
      </w:r>
      <w:r/>
    </w:p>
    <w:p>
      <w:pPr>
        <w:ind w:left="3" w:firstLine="478"/>
        <w:spacing w:before="156" w:line="338"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1.采购标的需实现的功能或者目标：对采购范围内的</w:t>
      </w:r>
      <w:r>
        <w:rPr>
          <w:rFonts w:hint="eastAsia" w:ascii="宋体" w:hAnsi="宋体" w:cs="宋体"/>
          <w:color w:val="auto"/>
          <w:sz w:val="24"/>
          <w:szCs w:val="24"/>
          <w:highlight w:val="none"/>
        </w:rPr>
        <w:t xml:space="preserve">新安街道污水管网及河道排口进行日常巡查、养护清通、问题排口溯源排查等（包括污水管线及污水检查井、问题雨水管线等），污水管道总长度约</w:t>
      </w:r>
      <w:r>
        <w:rPr>
          <w:rFonts w:hint="eastAsia" w:ascii="宋体" w:hAnsi="宋体" w:cs="宋体"/>
          <w:color w:val="auto"/>
          <w:sz w:val="24"/>
          <w:szCs w:val="24"/>
          <w:highlight w:val="none"/>
        </w:rPr>
        <w:t xml:space="preserve">21345千米，污水井653座</w:t>
      </w:r>
      <w:r>
        <w:rPr>
          <w:rFonts w:hint="eastAsia" w:ascii="宋体" w:hAnsi="宋体" w:cs="Arial"/>
          <w:color w:val="auto"/>
          <w:sz w:val="24"/>
          <w:szCs w:val="24"/>
          <w:highlight w:val="none"/>
        </w:rPr>
        <w:t xml:space="preserve">。</w:t>
      </w:r>
      <w:r/>
    </w:p>
    <w:p>
      <w:pPr>
        <w:ind w:left="3" w:firstLine="478"/>
        <w:spacing w:before="156" w:line="338"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2.为落实政府采购政策需满足的要求：专门面向中小企业采购（含微型企业、残疾人福利单位、监狱型企业）</w:t>
      </w:r>
      <w:r/>
    </w:p>
    <w:p>
      <w:pPr>
        <w:spacing w:line="440" w:lineRule="exact"/>
        <w:rPr>
          <w:rFonts w:ascii="宋体" w:hAnsi="宋体" w:cs="Arial"/>
          <w:b/>
          <w:color w:val="auto"/>
          <w:highlight w:val="none"/>
        </w:rPr>
      </w:pPr>
      <w:r>
        <w:rPr>
          <w:rFonts w:hint="eastAsia" w:ascii="宋体" w:hAnsi="宋体" w:cs="宋体"/>
          <w:b/>
          <w:bCs/>
          <w:color w:val="auto"/>
          <w:highlight w:val="none"/>
        </w:rPr>
        <w:t xml:space="preserve">二、</w:t>
      </w:r>
      <w:r>
        <w:rPr>
          <w:rFonts w:hint="eastAsia" w:ascii="宋体" w:hAnsi="宋体" w:cs="Arial"/>
          <w:b/>
          <w:color w:val="auto"/>
          <w:highlight w:val="none"/>
        </w:rPr>
        <w:t xml:space="preserve">采购标的需执行的国家相关标准、行业标准、地方标准或者其他标准、规范：</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（1）管道维护管理考核标准；</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（2）CJJ68-2016行业标准：《城镇排水管渠与泵站维护技术规程》；</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（3）安全技术标准：CJJ6-2009行业标准《城镇排水管道运行维护安全技术规程》；</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（4）符合《无锡市排水达标区长效管理考核细则》；</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（5）符合《无锡市城区污水管网运行维护管理考核细则》（试行）；</w:t>
      </w:r>
      <w:r/>
    </w:p>
    <w:p>
      <w:pPr>
        <w:ind w:firstLine="480"/>
        <w:spacing w:line="440" w:lineRule="exact"/>
        <w:rPr>
          <w:rFonts w:ascii="宋体" w:hAnsi="宋体" w:cs="宋体"/>
          <w:color w:val="auto"/>
          <w:sz w:val="24"/>
          <w:szCs w:val="24"/>
          <w:highlight w:val="none"/>
        </w:rPr>
      </w:pPr>
      <w:r>
        <w:rPr>
          <w:rFonts w:hint="eastAsia" w:ascii="宋体" w:hAnsi="宋体" w:cs="Arial"/>
          <w:color w:val="auto"/>
          <w:sz w:val="24"/>
          <w:szCs w:val="24"/>
          <w:highlight w:val="none"/>
        </w:rPr>
        <w:t xml:space="preserve">（6）《新吴区公共雨污水管网（设施）养护作业参考标准》；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（7）《无锡新区污水管网维护管理质量标准》</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其他法律法规以及江苏省和无锡市行业主管部门颁布的相关文件规定，如地方法规与国家法规相抵触，按国家法规执行。</w:t>
      </w:r>
      <w:r/>
    </w:p>
    <w:p>
      <w:pPr>
        <w:spacing w:line="440" w:lineRule="exact"/>
        <w:rPr>
          <w:rFonts w:ascii="宋体" w:hAnsi="宋体" w:cs="Arial"/>
          <w:b/>
          <w:color w:val="auto"/>
          <w:highlight w:val="none"/>
        </w:rPr>
      </w:pPr>
      <w:r/>
      <w:bookmarkStart w:id="8" w:name="_Toc13024"/>
      <w:r>
        <w:rPr>
          <w:rFonts w:hint="eastAsia" w:ascii="宋体" w:hAnsi="宋体" w:cs="Arial"/>
          <w:b/>
          <w:color w:val="auto"/>
          <w:highlight w:val="none"/>
        </w:rPr>
        <w:t xml:space="preserve">三、本项目需满足的质量、安全、技术规格、物理特性等要求：</w:t>
      </w:r>
      <w:bookmarkEnd w:id="8"/>
      <w:r/>
      <w:r/>
    </w:p>
    <w:p>
      <w:pPr>
        <w:ind w:firstLine="480"/>
        <w:spacing w:line="440" w:lineRule="exact"/>
        <w:tabs>
          <w:tab w:val="left" w:pos="105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（一）养护的质量标准和要求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1、质量验收标准：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A、依据《城镇排水管渠及泵站维护技术规范》（CJJ68-2016）和《新吴区公共雨污水管网（设施）养护作业参考标准》执行。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B、排水设施每日进行巡查，确保沟管畅通，检查井井框盖完好吻合，井内的积淤符合要求，井圈和井盖开裂、丢失应在6小时之内补装完整，并做好安全保护警示措施，以防发生意外事故，每周一次。</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2、考核方法和内容：</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考核为月度考核。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（1）考核为100分制，按月度考核。考核表详见《新安街道污水管网养护工作考核》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（2）各排水管理机构按月考得分向运行维护单位支付运行维护经费。月考得分在90分以上（包括90分），则全额支付该月度运行维护费用。月考得分在85~90分（包括85分）则扣除当月养护经费的10%；月考得分在80~</w:t>
      </w:r>
      <w:r>
        <w:rPr>
          <w:rFonts w:hint="eastAsia" w:ascii="宋体" w:hAnsi="宋体" w:cs="宋体"/>
          <w:color w:val="auto"/>
          <w:sz w:val="24"/>
          <w:szCs w:val="24"/>
          <w:highlight w:val="none"/>
        </w:rPr>
        <w:t xml:space="preserve">85分（包括80分）则扣除当月养护经费的20%；考核分低于80分的则扣除当月养护经费的40%，或暂缓支付养护经费，待整改到位后支付。同时采购人有权无条件单方面终止该合同。如连续两个月考核未能达到九十分以上的，采购人有权终止合同，自合同终止之日起至采购人在确定新的养护单位期间，如采购人委托第三方进行养护的，所需费用均由成交单位承担。成交单位还须另行支付给采购人合同价款的百分之五作为违约金，并赔偿由此给采购人造成的一切经济损失。原已完成的工程量按实审计。年度考核达到九十分但仍需返修的，返修费用仍由成交单位承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（3）对于养护质量不符合要求的，采购人先通知整改，成交单位在两天内不整改的或整改效果不符合要求的，由采购人有权委托第三方进行整改，由此产生的费用采购人有权直接在成交单位养护费中扣除。</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中标单位应建立有效的运行维护信息，按养护规范要求频率进行巡查。同时，每年对排水设施运行维护信息进行汇总。制作运行维护信息年报表。分别于每年12月底前报（新安街道雨污水管网养护负责部门），并（新安街道雨污水管网养护负责部门）做好信息更新工作。巡视不到位、频率不满足要求、资料不齐全、不准确等，按《养护管理考核表》处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中标单位必须严格按照《城镇排水管渠与泵站维护技术规程》（CJJ68-2016）、泵站的运行、维护应符合国家现行《恶臭污染物排放标准》（GB14554）和《城市区域环境噪声标准》（GB3096）规定。管道维护必须执行国家现行标准《排水管道维护安全技术规程》（CJJ6）、《城市污水处理厂运行、维护及其安全技术规程》（CJJ60）和市、区有关养护作业标准等的规定。养护技术规范进行作业，针对病害维修要及时、规范，每月按时上报维修工作量、维修质量检查评定情况以及下月维修计划。并将自检评定资料于</w:t>
      </w:r>
      <w:r>
        <w:rPr>
          <w:rFonts w:hint="eastAsia" w:ascii="宋体" w:hAnsi="宋体" w:cs="宋体"/>
          <w:color w:val="auto"/>
          <w:sz w:val="24"/>
          <w:szCs w:val="24"/>
          <w:highlight w:val="none"/>
        </w:rPr>
        <w:t xml:space="preserve">11月</w:t>
      </w:r>
      <w:r>
        <w:rPr>
          <w:rFonts w:hint="eastAsia" w:ascii="宋体" w:hAnsi="宋体" w:cs="宋体"/>
          <w:color w:val="auto"/>
          <w:sz w:val="24"/>
          <w:szCs w:val="24"/>
          <w:highlight w:val="none"/>
        </w:rPr>
        <w:t xml:space="preserve">底前上报至甲方备案，甲方进行抽查复检单元设施综合完好率，如不及时交纳，按《养护管理考核表》处理。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5、养护质量考核要求：中标单位严格按照执行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A、依据《城镇排水管渠及泵站维护技术规范》（CJJ68-2016）和《新吴区公共雨污水管网（设施）养护作业参考标准》执行。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B、排水设施每日巡查，确保沟管畅通，检查井井框盖完好吻合，井内的积淤符合要求，井圈和井盖开裂、丢失应在6小时之内补装完整，并做好安全保护警示措施，以防发生意外事故。</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达到养护质量验收要求的，按时支付养护经费，未达到养护质量验收要求的，重新返工，费用由中标单位承担。</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6、安全责任：养护作业权合同期内，因养护不及时、不合格或不规范及对养护区域内存在安全隐患的设施清理处置不及时等原因所造成人身伤亡及安全等事故，其费用和责任由中标单位负责承担。</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 xml:space="preserve">、中标单价不含大中修费用，在养护作业合同期限内不作调整</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具体考核扣分标准详见《养护管理考核表》</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（二）管道及其附属设施的检查与养护要求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管道及其附属设施的检查与养护要求：要求中标单位应定期对污水管道及其附属设施进行检查、维护，确保污水管道始终保持良好的通水功能和结构状态。巡查内容主要包括污水冒溢、井盖缺损、管道塌陷、违章占压、违章排放、私自接管、雨污混接以及影响管道排水的工程施工情况。</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2、养护单位应在事故发生或接到报障、保修、投诉后2小时内到达现场，组织调查、抢修。重大事故应在12小时内向（新安街道污水管网养护负责部门）报告。</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3、养护方式可采用机械作业与人工作业相结合，具体应根据管径、管材、施工工艺等不同区别对待。</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4.养护单位应严格按照下表规定对检查井、排放口、管道、倒虹管等进行检查，并建立相应的检查记录以备核查。</w:t>
      </w:r>
      <w:r/>
    </w:p>
    <w:p>
      <w:pPr>
        <w:ind w:firstLine="480"/>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管道及附属设施的检查要求表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7"/>
        <w:gridCol w:w="1503"/>
        <w:gridCol w:w="6469"/>
      </w:tblGrid>
      <w:tr>
        <w:trPr>
          <w:jc w:val="center"/>
        </w:trPr>
        <w:tc>
          <w:tcPr>
            <w:tcW w:w="200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设施种类</w:t>
            </w:r>
            <w:r/>
          </w:p>
        </w:tc>
        <w:tc>
          <w:tcPr>
            <w:tcW w:w="150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检查方法</w:t>
            </w:r>
            <w:r/>
          </w:p>
        </w:tc>
        <w:tc>
          <w:tcPr>
            <w:tcW w:w="646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检查内容</w:t>
            </w:r>
            <w:r/>
          </w:p>
        </w:tc>
      </w:tr>
      <w:tr>
        <w:trPr>
          <w:jc w:val="center"/>
        </w:trPr>
        <w:tc>
          <w:tcPr>
            <w:tcW w:w="200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W w:w="150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目测</w:t>
            </w:r>
            <w:r/>
          </w:p>
        </w:tc>
        <w:tc>
          <w:tcPr>
            <w:tcW w:w="646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违章占压、违章接管、井盖井座、梯蹬、井壁结垢、井底积泥、井身结构等</w:t>
            </w:r>
            <w:r/>
          </w:p>
        </w:tc>
      </w:tr>
      <w:tr>
        <w:trPr>
          <w:jc w:val="center"/>
        </w:trPr>
        <w:tc>
          <w:tcPr>
            <w:tcW w:w="2007" w:type="dxa"/>
            <w:vAlign w:val="center"/>
            <w:vMerge w:val="restart"/>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w:t>
            </w:r>
            <w:r/>
          </w:p>
        </w:tc>
        <w:tc>
          <w:tcPr>
            <w:tcW w:w="150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目测</w:t>
            </w:r>
            <w:r/>
          </w:p>
        </w:tc>
        <w:tc>
          <w:tcPr>
            <w:tcW w:w="646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违章占压、地面塌陷、水位、水流、淤积情况等</w:t>
            </w:r>
            <w:r/>
          </w:p>
        </w:tc>
      </w:tr>
      <w:tr>
        <w:trPr>
          <w:jc w:val="center"/>
          <w:trHeight w:val="672"/>
        </w:trPr>
        <w:tc>
          <w:tcPr>
            <w:tcW w:w="2007"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管道反光镜或电视检测</w:t>
            </w:r>
            <w:r/>
          </w:p>
        </w:tc>
        <w:tc>
          <w:tcPr>
            <w:tcW w:w="646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变形、腐蚀、渗漏、接口、结垢、错接等</w:t>
            </w:r>
            <w:r/>
          </w:p>
        </w:tc>
      </w:tr>
      <w:tr>
        <w:trPr>
          <w:jc w:val="center"/>
        </w:trPr>
        <w:tc>
          <w:tcPr>
            <w:tcW w:w="2007" w:type="dxa"/>
            <w:vAlign w:val="center"/>
            <w:vMerge w:val="restart"/>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倒虹管（一般是满水管，无法检查必须定期清淤）</w:t>
            </w:r>
            <w:r/>
          </w:p>
        </w:tc>
        <w:tc>
          <w:tcPr>
            <w:tcW w:w="150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目测</w:t>
            </w:r>
            <w:r/>
          </w:p>
        </w:tc>
        <w:tc>
          <w:tcPr>
            <w:tcW w:w="646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标志牌、两端水位差、闸门等</w:t>
            </w:r>
            <w:r/>
          </w:p>
        </w:tc>
      </w:tr>
      <w:tr>
        <w:trPr>
          <w:jc w:val="center"/>
        </w:trPr>
        <w:tc>
          <w:tcPr>
            <w:tcW w:w="2007"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电视检测</w:t>
            </w:r>
            <w:r/>
          </w:p>
        </w:tc>
        <w:tc>
          <w:tcPr>
            <w:tcW w:w="646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淤积、腐蚀、接口渗漏、河床冲刷、管顶覆土等</w:t>
            </w:r>
            <w:r/>
          </w:p>
        </w:tc>
      </w:tr>
      <w:tr>
        <w:trPr>
          <w:jc w:val="center"/>
        </w:trPr>
        <w:tc>
          <w:tcPr>
            <w:tcW w:w="200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三格式化粪池</w:t>
            </w:r>
            <w:r/>
          </w:p>
        </w:tc>
        <w:tc>
          <w:tcPr>
            <w:tcW w:w="150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目测</w:t>
            </w:r>
            <w:r/>
          </w:p>
        </w:tc>
        <w:tc>
          <w:tcPr>
            <w:tcW w:w="646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违章占压、变形、结垢、渗漏、淤积情况等</w:t>
            </w:r>
            <w:r/>
          </w:p>
        </w:tc>
      </w:tr>
      <w:tr>
        <w:trPr>
          <w:jc w:val="center"/>
        </w:trPr>
        <w:tc>
          <w:tcPr>
            <w:tcW w:w="200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隔油池和捞毛设施</w:t>
            </w:r>
            <w:r/>
          </w:p>
        </w:tc>
        <w:tc>
          <w:tcPr>
            <w:tcW w:w="150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目测</w:t>
            </w:r>
            <w:r/>
          </w:p>
        </w:tc>
        <w:tc>
          <w:tcPr>
            <w:tcW w:w="646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违章占压、变形、结垢、淤积情况等</w:t>
            </w:r>
            <w:r/>
          </w:p>
        </w:tc>
      </w:tr>
    </w:tbl>
    <w:p>
      <w:pPr>
        <w:numPr>
          <w:ilvl w:val="0"/>
          <w:numId w:val="16"/>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检查井日常巡查检查的内容应符合下表规定</w:t>
      </w:r>
      <w:r/>
    </w:p>
    <w:tbl>
      <w:tblPr>
        <w:tblStyle w:val="6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2"/>
        <w:gridCol w:w="1847"/>
        <w:gridCol w:w="1992"/>
        <w:gridCol w:w="2560"/>
        <w:gridCol w:w="1887"/>
      </w:tblGrid>
      <w:tr>
        <w:trPr>
          <w:trHeight w:val="365"/>
        </w:trPr>
        <w:tc>
          <w:tcPr>
            <w:tcW w:w="83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部位</w:t>
            </w:r>
            <w:r/>
          </w:p>
        </w:tc>
        <w:tc>
          <w:tcPr>
            <w:gridSpan w:val="2"/>
            <w:tcW w:w="192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外部巡查</w:t>
            </w:r>
            <w:r/>
          </w:p>
        </w:tc>
        <w:tc>
          <w:tcPr>
            <w:gridSpan w:val="2"/>
            <w:tcW w:w="223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内部检查</w:t>
            </w:r>
            <w:r/>
          </w:p>
        </w:tc>
      </w:tr>
      <w:tr>
        <w:trPr>
          <w:trHeight w:val="365"/>
        </w:trPr>
        <w:tc>
          <w:tcPr>
            <w:tcW w:w="839"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W w:w="92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井的位置标识</w:t>
            </w:r>
            <w:r/>
          </w:p>
        </w:tc>
        <w:tc>
          <w:tcPr>
            <w:tcW w:w="1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盖、框高差</w:t>
            </w:r>
            <w:r/>
          </w:p>
        </w:tc>
        <w:tc>
          <w:tcPr>
            <w:tcW w:w="128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井位标高、井深的标识</w:t>
            </w:r>
            <w:r/>
          </w:p>
        </w:tc>
        <w:tc>
          <w:tcPr>
            <w:tcW w:w="94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管口孔洞</w:t>
            </w:r>
            <w:r/>
          </w:p>
        </w:tc>
      </w:tr>
      <w:tr>
        <w:trPr>
          <w:trHeight w:val="365"/>
        </w:trPr>
        <w:tc>
          <w:tcPr>
            <w:tcW w:w="839"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井盖埋没</w:t>
            </w:r>
            <w:r/>
          </w:p>
        </w:tc>
        <w:tc>
          <w:tcPr>
            <w:tcW w:w="1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盖框突出或凹陷</w:t>
            </w:r>
            <w:r/>
          </w:p>
        </w:tc>
        <w:tc>
          <w:tcPr>
            <w:tcW w:w="128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爬梯松动、锈蚀或缺损</w:t>
            </w:r>
            <w:r/>
          </w:p>
        </w:tc>
        <w:tc>
          <w:tcPr>
            <w:tcW w:w="94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流槽破损</w:t>
            </w:r>
            <w:r/>
          </w:p>
        </w:tc>
      </w:tr>
      <w:tr>
        <w:trPr>
          <w:trHeight w:val="365"/>
        </w:trPr>
        <w:tc>
          <w:tcPr>
            <w:tcW w:w="839"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井盖丢失</w:t>
            </w:r>
            <w:r/>
          </w:p>
        </w:tc>
        <w:tc>
          <w:tcPr>
            <w:tcW w:w="1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跳动和声响</w:t>
            </w:r>
            <w:r/>
          </w:p>
        </w:tc>
        <w:tc>
          <w:tcPr>
            <w:tcW w:w="128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井壁泥垢</w:t>
            </w:r>
            <w:r/>
          </w:p>
        </w:tc>
        <w:tc>
          <w:tcPr>
            <w:tcW w:w="94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井底积泥</w:t>
            </w:r>
            <w:r/>
          </w:p>
        </w:tc>
      </w:tr>
      <w:tr>
        <w:trPr>
          <w:trHeight w:val="365"/>
        </w:trPr>
        <w:tc>
          <w:tcPr>
            <w:tcW w:w="839"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井盖破损</w:t>
            </w:r>
            <w:r/>
          </w:p>
        </w:tc>
        <w:tc>
          <w:tcPr>
            <w:tcW w:w="1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周边路面破损</w:t>
            </w:r>
            <w:r/>
          </w:p>
        </w:tc>
        <w:tc>
          <w:tcPr>
            <w:tcW w:w="128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井壁裂缝</w:t>
            </w:r>
            <w:r/>
          </w:p>
        </w:tc>
        <w:tc>
          <w:tcPr>
            <w:tcW w:w="94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水流不畅</w:t>
            </w:r>
            <w:r/>
          </w:p>
        </w:tc>
      </w:tr>
      <w:tr>
        <w:trPr>
          <w:trHeight w:val="365"/>
        </w:trPr>
        <w:tc>
          <w:tcPr>
            <w:tcW w:w="839"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井框破损</w:t>
            </w:r>
            <w:r/>
          </w:p>
        </w:tc>
        <w:tc>
          <w:tcPr>
            <w:tcW w:w="1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井盖标识错误</w:t>
            </w:r>
            <w:r/>
          </w:p>
        </w:tc>
        <w:tc>
          <w:tcPr>
            <w:tcW w:w="128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井壁渗漏</w:t>
            </w:r>
            <w:r/>
          </w:p>
        </w:tc>
        <w:tc>
          <w:tcPr>
            <w:tcW w:w="94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浮渣</w:t>
            </w:r>
            <w:r/>
          </w:p>
        </w:tc>
      </w:tr>
      <w:tr>
        <w:trPr>
          <w:trHeight w:val="396"/>
        </w:trPr>
        <w:tc>
          <w:tcPr>
            <w:tcW w:w="839"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盖、框间隙</w:t>
            </w:r>
            <w:r/>
          </w:p>
        </w:tc>
        <w:tc>
          <w:tcPr>
            <w:tcW w:w="1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抹面脱落</w:t>
            </w:r>
            <w:r/>
          </w:p>
        </w:tc>
        <w:tc>
          <w:tcPr>
            <w:tcW w:w="94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6、井盖的选用应符合下表规定</w:t>
      </w:r>
      <w:r/>
    </w:p>
    <w:tbl>
      <w:tblPr>
        <w:tblStyle w:val="697"/>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3497"/>
        <w:gridCol w:w="3350"/>
      </w:tblGrid>
      <w:tr>
        <w:trPr>
          <w:jc w:val="center"/>
        </w:trPr>
        <w:tc>
          <w:tcPr>
            <w:tcW w:w="313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井盖种类</w:t>
            </w:r>
            <w:r/>
          </w:p>
        </w:tc>
        <w:tc>
          <w:tcPr>
            <w:tcW w:w="349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标准名称</w:t>
            </w:r>
            <w:r/>
          </w:p>
        </w:tc>
        <w:tc>
          <w:tcPr>
            <w:tcW w:w="33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标准标号</w:t>
            </w:r>
            <w:r/>
          </w:p>
        </w:tc>
      </w:tr>
      <w:tr>
        <w:trPr>
          <w:jc w:val="center"/>
        </w:trPr>
        <w:tc>
          <w:tcPr>
            <w:tcW w:w="313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铸铁井盖</w:t>
            </w:r>
            <w:r/>
          </w:p>
        </w:tc>
        <w:tc>
          <w:tcPr>
            <w:tcW w:w="349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《铸铁检查井盖》</w:t>
            </w:r>
            <w:r/>
          </w:p>
        </w:tc>
        <w:tc>
          <w:tcPr>
            <w:tcW w:w="33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CJ/T3012</w:t>
            </w:r>
            <w:r/>
          </w:p>
        </w:tc>
      </w:tr>
      <w:tr>
        <w:trPr>
          <w:jc w:val="center"/>
        </w:trPr>
        <w:tc>
          <w:tcPr>
            <w:tcW w:w="313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混凝土井盖</w:t>
            </w:r>
            <w:r/>
          </w:p>
        </w:tc>
        <w:tc>
          <w:tcPr>
            <w:tcW w:w="349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《钢纤维混凝土检查井盖》</w:t>
            </w:r>
            <w:r/>
          </w:p>
        </w:tc>
        <w:tc>
          <w:tcPr>
            <w:tcW w:w="33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JC889</w:t>
            </w:r>
            <w:r/>
          </w:p>
        </w:tc>
      </w:tr>
      <w:tr>
        <w:trPr>
          <w:jc w:val="center"/>
        </w:trPr>
        <w:tc>
          <w:tcPr>
            <w:tcW w:w="313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塑料树脂类井盖</w:t>
            </w:r>
            <w:r/>
          </w:p>
        </w:tc>
        <w:tc>
          <w:tcPr>
            <w:tcW w:w="349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《再生树脂复合材料检查井盖》</w:t>
            </w:r>
            <w:r/>
          </w:p>
        </w:tc>
        <w:tc>
          <w:tcPr>
            <w:tcW w:w="33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CJ/T 121</w:t>
            </w:r>
            <w:r/>
          </w:p>
        </w:tc>
      </w:tr>
      <w:tr>
        <w:trPr>
          <w:jc w:val="center"/>
        </w:trPr>
        <w:tc>
          <w:tcPr>
            <w:tcW w:w="313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塑料树脂类井箅</w:t>
            </w:r>
            <w:r/>
          </w:p>
        </w:tc>
        <w:tc>
          <w:tcPr>
            <w:tcW w:w="349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《再生树脂复合材料检查井箅》</w:t>
            </w:r>
            <w:r/>
          </w:p>
        </w:tc>
        <w:tc>
          <w:tcPr>
            <w:tcW w:w="33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CJ/T 130</w:t>
            </w:r>
            <w:r/>
          </w:p>
        </w:tc>
      </w:tr>
    </w:tbl>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7、在车辆经过时，井盖不应出现跳动和声响。井盖与井框间允许误差应符合下表规定。</w:t>
      </w:r>
      <w:r/>
    </w:p>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井盖与井框间允许误差（mm）</w:t>
      </w:r>
      <w:r/>
    </w:p>
    <w:tbl>
      <w:tblPr>
        <w:tblStyle w:val="697"/>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2349"/>
        <w:gridCol w:w="2071"/>
        <w:gridCol w:w="3210"/>
      </w:tblGrid>
      <w:tr>
        <w:trPr>
          <w:jc w:val="center"/>
        </w:trPr>
        <w:tc>
          <w:tcPr>
            <w:tcW w:w="234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设施种类</w:t>
            </w:r>
            <w:r/>
          </w:p>
        </w:tc>
        <w:tc>
          <w:tcPr>
            <w:tcW w:w="234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盖框间隙</w:t>
            </w:r>
            <w:r/>
          </w:p>
        </w:tc>
        <w:tc>
          <w:tcPr>
            <w:tcW w:w="2071"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井盖与井框高低差</w:t>
            </w:r>
            <w:r/>
          </w:p>
        </w:tc>
        <w:tc>
          <w:tcPr>
            <w:tcW w:w="321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井框与路面高低差</w:t>
            </w:r>
            <w:r/>
          </w:p>
        </w:tc>
      </w:tr>
      <w:tr>
        <w:trPr>
          <w:jc w:val="center"/>
        </w:trPr>
        <w:tc>
          <w:tcPr>
            <w:tcW w:w="234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W w:w="234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071"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+5，-10</w:t>
            </w:r>
            <w:r/>
          </w:p>
        </w:tc>
        <w:tc>
          <w:tcPr>
            <w:tcW w:w="321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+15，-15</w:t>
            </w:r>
            <w:r/>
          </w:p>
        </w:tc>
      </w:tr>
    </w:tbl>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8、发现井盖缺失或损坏后，须及时安放护栏和警示标志，并在6小时内修复。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9、检查井的清掏宜采用吸泥车、抓泥车等机械设备。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10、管道检查项目可分为功能状况和结构状况两类，主要检查项目包括下表内容。</w:t>
      </w:r>
      <w:r/>
    </w:p>
    <w:p>
      <w:pPr>
        <w:ind w:firstLine="480"/>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管道状况主要检查项目</w:t>
      </w:r>
      <w:r/>
    </w:p>
    <w:tbl>
      <w:tblPr>
        <w:tblStyle w:val="697"/>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3"/>
        <w:gridCol w:w="3293"/>
        <w:gridCol w:w="3943"/>
      </w:tblGrid>
      <w:tr>
        <w:trPr>
          <w:jc w:val="center"/>
          <w:trHeight w:val="316"/>
        </w:trPr>
        <w:tc>
          <w:tcPr>
            <w:tcW w:w="274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检查类别</w:t>
            </w:r>
            <w:r/>
          </w:p>
        </w:tc>
        <w:tc>
          <w:tcPr>
            <w:tcW w:w="329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功能状况</w:t>
            </w:r>
            <w:r/>
          </w:p>
        </w:tc>
        <w:tc>
          <w:tcPr>
            <w:tcW w:w="394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结构状况</w:t>
            </w:r>
            <w:r/>
          </w:p>
        </w:tc>
      </w:tr>
      <w:tr>
        <w:trPr>
          <w:jc w:val="center"/>
        </w:trPr>
        <w:tc>
          <w:tcPr>
            <w:tcW w:w="2743" w:type="dxa"/>
            <w:vAlign w:val="center"/>
            <w:vMerge w:val="restart"/>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检查项目</w:t>
            </w:r>
            <w:r/>
          </w:p>
        </w:tc>
        <w:tc>
          <w:tcPr>
            <w:tcW w:w="329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管道积泥</w:t>
            </w:r>
            <w:r/>
          </w:p>
        </w:tc>
        <w:tc>
          <w:tcPr>
            <w:tcW w:w="394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裂缝</w:t>
            </w:r>
            <w:r/>
          </w:p>
        </w:tc>
      </w:tr>
      <w:tr>
        <w:trPr>
          <w:jc w:val="center"/>
        </w:trPr>
        <w:tc>
          <w:tcPr>
            <w:tcW w:w="2743"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检查井积泥</w:t>
            </w:r>
            <w:r/>
          </w:p>
        </w:tc>
        <w:tc>
          <w:tcPr>
            <w:tcW w:w="394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变形</w:t>
            </w:r>
            <w:r/>
          </w:p>
        </w:tc>
      </w:tr>
      <w:tr>
        <w:trPr>
          <w:jc w:val="center"/>
        </w:trPr>
        <w:tc>
          <w:tcPr>
            <w:tcW w:w="2743"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排放口积泥</w:t>
            </w:r>
            <w:r/>
          </w:p>
        </w:tc>
        <w:tc>
          <w:tcPr>
            <w:tcW w:w="394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错口</w:t>
            </w:r>
            <w:r/>
          </w:p>
        </w:tc>
      </w:tr>
      <w:tr>
        <w:trPr>
          <w:jc w:val="center"/>
        </w:trPr>
        <w:tc>
          <w:tcPr>
            <w:tcW w:w="2743"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泥垢和油脂</w:t>
            </w:r>
            <w:r/>
          </w:p>
        </w:tc>
        <w:tc>
          <w:tcPr>
            <w:tcW w:w="394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脱节</w:t>
            </w:r>
            <w:r/>
          </w:p>
        </w:tc>
      </w:tr>
      <w:tr>
        <w:trPr>
          <w:jc w:val="center"/>
        </w:trPr>
        <w:tc>
          <w:tcPr>
            <w:tcW w:w="2743"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树根</w:t>
            </w:r>
            <w:r/>
          </w:p>
        </w:tc>
        <w:tc>
          <w:tcPr>
            <w:tcW w:w="394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破损与孔洞</w:t>
            </w:r>
            <w:r/>
          </w:p>
        </w:tc>
      </w:tr>
      <w:tr>
        <w:trPr>
          <w:jc w:val="center"/>
        </w:trPr>
        <w:tc>
          <w:tcPr>
            <w:tcW w:w="2743"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水位和水流</w:t>
            </w:r>
            <w:r/>
          </w:p>
        </w:tc>
        <w:tc>
          <w:tcPr>
            <w:tcW w:w="394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渗漏</w:t>
            </w:r>
            <w:r/>
          </w:p>
        </w:tc>
      </w:tr>
      <w:tr>
        <w:trPr>
          <w:jc w:val="center"/>
        </w:trPr>
        <w:tc>
          <w:tcPr>
            <w:tcW w:w="2743"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残墙、坝根</w:t>
            </w:r>
            <w:r/>
          </w:p>
        </w:tc>
        <w:tc>
          <w:tcPr>
            <w:tcW w:w="394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异管穿入</w:t>
            </w:r>
            <w:r/>
          </w:p>
        </w:tc>
      </w:tr>
    </w:tbl>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11、管道养护应符合下列规定：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A、定期巡视、及时发现和修理管道裂缝、腐蚀、沉降、变形、错口、脱节、破损、孔洞、异管穿入、渗漏、冒溢等情况。</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B、压力管养护应采用满负荷开泵的方式进行水力冲洗，至少每3个月1次。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C、定期开盖检查压力井盖板，发现盖板锈蚀、密封垫老化、井体裂缝、管内积泥等情况应及时维修和保养。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D、管道和检查井内不得留有石块等阻碍排水的杂物。管道和检查井的最大积泥深度符合下表规定。</w:t>
      </w:r>
      <w:r/>
    </w:p>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管道和检查井的允许积泥深度</w:t>
      </w:r>
      <w:r/>
    </w:p>
    <w:tbl>
      <w:tblPr>
        <w:tblStyle w:val="697"/>
        <w:tblW w:w="9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1888"/>
        <w:gridCol w:w="5322"/>
      </w:tblGrid>
      <w:tr>
        <w:trPr>
          <w:jc w:val="center"/>
        </w:trPr>
        <w:tc>
          <w:tcPr>
            <w:gridSpan w:val="2"/>
            <w:tcW w:w="4516"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设施类别</w:t>
            </w:r>
            <w:r/>
          </w:p>
        </w:tc>
        <w:tc>
          <w:tcPr>
            <w:tcW w:w="532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允许积泥深度</w:t>
            </w:r>
            <w:r/>
          </w:p>
        </w:tc>
      </w:tr>
      <w:tr>
        <w:trPr>
          <w:jc w:val="center"/>
        </w:trPr>
        <w:tc>
          <w:tcPr>
            <w:gridSpan w:val="2"/>
            <w:tcW w:w="4516"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w:t>
            </w:r>
            <w:r/>
          </w:p>
        </w:tc>
        <w:tc>
          <w:tcPr>
            <w:tcW w:w="532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管径的1/5</w:t>
            </w:r>
            <w:r/>
          </w:p>
        </w:tc>
      </w:tr>
      <w:tr>
        <w:trPr>
          <w:jc w:val="center"/>
        </w:trPr>
        <w:tc>
          <w:tcPr>
            <w:tcW w:w="2628" w:type="dxa"/>
            <w:vAlign w:val="center"/>
            <w:vMerge w:val="restart"/>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w:t>
            </w:r>
            <w:r/>
          </w:p>
        </w:tc>
        <w:tc>
          <w:tcPr>
            <w:tcW w:w="188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有沉泥槽</w:t>
            </w:r>
            <w:r/>
          </w:p>
        </w:tc>
        <w:tc>
          <w:tcPr>
            <w:tcW w:w="532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管底以下50mm</w:t>
            </w:r>
            <w:r/>
          </w:p>
        </w:tc>
      </w:tr>
      <w:tr>
        <w:trPr>
          <w:jc w:val="center"/>
        </w:trPr>
        <w:tc>
          <w:tcPr>
            <w:tcW w:w="2628" w:type="dxa"/>
            <w:vAlign w:val="center"/>
            <w:vMerge w:val="continue"/>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无沉泥槽</w:t>
            </w:r>
            <w:r/>
          </w:p>
        </w:tc>
        <w:tc>
          <w:tcPr>
            <w:tcW w:w="532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主管径的1/5</w:t>
            </w:r>
            <w:r/>
          </w:p>
        </w:tc>
      </w:tr>
    </w:tbl>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12、倒虹管的养护应符合下列规定：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A、倒虹管养护宜采用水力冲洗的方法，冲洗流速不宜小于1.2M/S。在建有双排倒虹管的地方，可采用关闭其中一条、集中水量冲洗另一条的方法。</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B、过河倒虹管的河床覆土不应小于0.5M。在河床受冲刷的地方，应每年检查1次倒虹管的覆土状况。</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C、在通航河道上设置的倒虹管保护标志应定期检查和油漆，保持结构完好和字迹清晰。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D、对过河倒虹管进行检修前，当需要抽空管道时，必须先进行抗浮验算。</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（三）污泥运输与处置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1、污泥盛器和车辆在街道上停放应设置安全标志，夜间应悬挂警示灯。疏通作业完毕后，应及时撤离现场。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2、污泥运输应符合下列规定：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A、通沟污泥可采用罐车、自卸卡车或污泥拖斗运输，也可采用水陆联运。</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B、在运输过程中，应做到污泥不落地、沿途无洒落。</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C、污泥运输车辆应加盖，并定期清洗保持整洁。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D、污泥在长运输距离前宜进行脱水处理，脱水过程可在中转站进行或送污水处理厂处理。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3、污泥处置应符合下列规定：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A、污泥在送处置场前，宜进行脱水处理。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B、污泥处置不得对环境造成污染。</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（四）安全文明作业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1、养护作业人员上岗前须接受必要的安全作业技术培训，掌握人工急救、防护用具、照明、通讯设备的是用方法及相关安全知识、经考核合格后持证上岗。</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2、检查井井盖开启后，须立即采取相应安全措施，如加盖安全网盖或设置安全护栏，白天加挂三角红旗，夜间加挂安全红灯或设置反光锥。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4、在征得交管部门同意中断交通后，应在道路两端设置断绝交通的警示标志；在繁华地区作业时，应指派专人指挥交通、维护现场秩序。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5、下井作业应经过严格的审批手续，管道维护和检查严格执行现行相关行业标准。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6、防毒面具应定期校验，下井作业前须再次校验，合格后方可使用。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7、养护人员应统一着装，作业时应按要求设置警示标志和安全护栏，无抛洒滴漏，工完场清，文明作业。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9、巡查、养护、抢修车辆车况应经常保持良好状态，车容整洁，标志明显。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10、养护单位应建立健全污水管道及其附属设施档案资料管理制度，配备专职档案资料管理人员。各项管网、设施维护台账健全，记录详细，装订规范。运营档案、资料实行计算机自动化管理。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11、养护单位应向社会公布服务承诺、投诉电话和电子信箱。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12、每个养护单位养护范围内每年被政府部门行政处罚、被社会有效行政投诉或公众媒体有负面报道次数应少于6次。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（五）养护次数要求</w:t>
      </w:r>
      <w:r/>
    </w:p>
    <w:tbl>
      <w:tblPr>
        <w:tblStyle w:val="697"/>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1460"/>
        <w:gridCol w:w="4162"/>
        <w:gridCol w:w="4152"/>
      </w:tblGrid>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工程量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工作标准</w:t>
            </w:r>
            <w:r/>
          </w:p>
        </w:tc>
      </w:tr>
      <w:tr>
        <w:trPr>
          <w:trHeight w:val="21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排水设施巡查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每周不少于一次，汛期要按要求增加巡视次数，确保管井畅通，检查井框盖完好吻合，井内的积淤符合要求，井圈和井盖开裂、丢失应在24小时之内补装完整，并做好安全保护警示措施，以防发生意外事故。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熟悉管网运行现状，管线液位情况，确保排水设施正常运行，检查井、收水井框盖完好吻合。</w:t>
            </w: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错误标识井盖更换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对辖区内的井盖开展专项巡查至少一次，对发现的错盖井盖进行及时更换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在2个月内开展专项巡查，确保无错盖井盖，发现一处错盖的扣一千元</w:t>
            </w:r>
            <w:r/>
          </w:p>
        </w:tc>
      </w:tr>
      <w:tr>
        <w:trPr>
          <w:trHeight w:val="1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企业、小区、工地、河道雨水排放口巡查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对辖区内的河道雨水排口进行全覆盖检查，并开展问题排口溯源工作，查清问题。配合有关部门对新增的工地、小区等单位的雨水排放口开展检查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及时发现雨污混排问题，查清污水来源，每半年提交工作报告</w:t>
            </w:r>
            <w:r/>
          </w:p>
        </w:tc>
      </w:tr>
      <w:tr>
        <w:trPr>
          <w:trHeight w:val="1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清掏疏浚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污水井每季度1次，DN600以下管道每年2次，DN600以上每年1次，对经常出现问题的管线、污水井加倍清理疏通频率。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确保管畅通，出水口正常</w:t>
            </w:r>
            <w:r/>
          </w:p>
        </w:tc>
      </w:tr>
      <w:tr>
        <w:trPr>
          <w:trHeight w:val="11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应急处置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制定应急处置预案，配齐应急排水设备，并报甲方审核备案，组织开展应急演练活动。接到甲方通知后，应在规定时间内赶到事发现场进行应急处置（排查、抽水、出具整改方案、封堵、修复等）、同时负责管道零星维修以及临时调水处置，按实结算（不含大修及改造工程费用），同时对河道水质保障工作进行配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当发现井圈和井盖缺失或损坏，必须及时安放护栏和警示标志，并应在6小时内恢复。河道水质出现突发恶化，在24小时内完成排查，其它出现的污水设施或排放问题，养护单位在接到通知（报障、报修、报诉）后，须在1小时内（恶劣天气情况下经甲方认可后顺延）赶到事发现场，修复任务应该在接到通知48小时内完成。紧急报修任务在接到通知8小时内完成，特殊紧急抢修任务接到通知后立即赶往现场修复。数字城管信息平台反馈、群众投诉、新闻媒体曝光、上级领导发现或批示的问题，应在规定时间内修复完善到位。</w:t>
            </w:r>
            <w:r/>
          </w:p>
        </w:tc>
      </w:tr>
      <w:tr>
        <w:trPr>
          <w:trHeight w:val="1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排水户检测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新建排水户管网视频检测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对新建的排水户的接管情况进行检查验收，发现存在问题的，及时上报，并提供视频检测资料</w:t>
            </w:r>
            <w:r/>
          </w:p>
        </w:tc>
      </w:tr>
      <w:tr>
        <w:trPr>
          <w:trHeight w:val="28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资料提交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在2个月内将完善的污水管线电子图纸（含管径、管长、管底标高、污水井等）上报发包方，未提供污水管线电子图纸的管段不予支付养护资金。同时，在每年4月底前，应递交养护标段内污水设施清通养护及完好率情况报告，并将10%污水管道视频检测抽查资料及现场清通养护影像资料作为附件上报。每季度向发包方提供管网养护的相关记录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管线图每缺失1%，扣除一万元，每缺失视频检测资料每少于1%，扣除一万元。若出现管道及井位的抢修，应上报发包方同意后方可实施，同时需提供前后视频检测资料和书面验收资料，作为结算依据。</w:t>
            </w:r>
            <w:r/>
          </w:p>
        </w:tc>
      </w:tr>
    </w:tbl>
    <w:p>
      <w:pPr>
        <w:ind w:firstLine="600"/>
        <w:spacing w:line="440" w:lineRule="exact"/>
        <w:rPr>
          <w:rFonts w:ascii="宋体" w:hAnsi="宋体" w:cs="Arial"/>
          <w:b/>
          <w:color w:val="auto"/>
          <w:highlight w:val="none"/>
        </w:rPr>
      </w:pPr>
      <w:r>
        <w:rPr>
          <w:rFonts w:hint="eastAsia" w:ascii="宋体" w:hAnsi="宋体" w:cs="Arial"/>
          <w:b/>
          <w:color w:val="auto"/>
          <w:highlight w:val="none"/>
        </w:rPr>
        <w:t xml:space="preserve">四、本项目采购标的的数量、采购项目交付或者实施的时间和地点要求：</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1.采购标的的数量：</w:t>
      </w:r>
      <w:r/>
    </w:p>
    <w:p>
      <w:pPr>
        <w:ind w:left="3" w:firstLine="478"/>
        <w:spacing w:before="156" w:line="338"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新安街道污水管网及河道排口进行日常巡查、养护清通、问题排口溯源排查等（包括污水管线及污水检查井等），污水管道总长度约21345千米，污水井653座；</w:t>
      </w:r>
      <w:r>
        <w:rPr>
          <w:rFonts w:hint="eastAsia" w:ascii="宋体" w:hAnsi="宋体" w:cs="Arial"/>
          <w:color w:val="auto"/>
          <w:sz w:val="24"/>
          <w:szCs w:val="24"/>
          <w:highlight w:val="none"/>
        </w:rPr>
        <w:t xml:space="preserve">详见养护清单。</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2.服务周期：两年（24个月，合同起始日期以实际养护开始日期为准），采取“1+1”模式，合同一年一签，若上一年度养护未达到采购人要求，采购人有权拒签下一年度养护合同。；</w:t>
      </w:r>
      <w:r/>
    </w:p>
    <w:p>
      <w:pPr>
        <w:ind w:firstLine="480"/>
        <w:spacing w:line="440" w:lineRule="exact"/>
        <w:rPr>
          <w:rFonts w:ascii="宋体" w:hAnsi="宋体" w:cs="宋体"/>
          <w:b/>
          <w:bCs/>
          <w:color w:val="auto"/>
          <w:sz w:val="24"/>
          <w:szCs w:val="24"/>
          <w:highlight w:val="none"/>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Arial"/>
          <w:color w:val="auto"/>
          <w:sz w:val="24"/>
          <w:szCs w:val="24"/>
          <w:highlight w:val="none"/>
        </w:rPr>
        <w:t xml:space="preserve">3.实施地点：新吴区新安街道</w:t>
      </w:r>
      <w:r>
        <w:rPr>
          <w:rFonts w:hint="eastAsia" w:ascii="宋体" w:hAnsi="宋体" w:cs="宋体"/>
          <w:color w:val="auto"/>
          <w:sz w:val="24"/>
          <w:szCs w:val="24"/>
          <w:highlight w:val="none"/>
        </w:rPr>
        <w:t xml:space="preserve">。</w:t>
      </w:r>
      <w:r/>
    </w:p>
    <w:p>
      <w:pPr>
        <w:widowControl/>
        <w:rPr>
          <w:rFonts w:ascii="宋体" w:hAnsi="宋体" w:cs="宋体"/>
          <w:b/>
          <w:bCs/>
          <w:color w:val="auto"/>
          <w:highlight w:val="none"/>
        </w:rPr>
      </w:pPr>
      <w:r>
        <w:rPr>
          <w:rFonts w:hint="eastAsia" w:ascii="宋体" w:hAnsi="宋体" w:cs="宋体"/>
          <w:b/>
          <w:bCs/>
          <w:color w:val="auto"/>
          <w:highlight w:val="none"/>
        </w:rPr>
        <w:t xml:space="preserve">五、养护清单</w:t>
      </w:r>
      <w:r/>
    </w:p>
    <w:tbl>
      <w:tblPr>
        <w:tblStyle w:val="697"/>
        <w:tblW w:w="9533" w:type="dxa"/>
        <w:tblInd w:w="0" w:type="dxa"/>
        <w:tblLayout w:type="fixed"/>
        <w:tblCellMar>
          <w:left w:w="108" w:type="dxa"/>
          <w:top w:w="0" w:type="dxa"/>
          <w:right w:w="108" w:type="dxa"/>
          <w:bottom w:w="0" w:type="dxa"/>
        </w:tblCellMar>
        <w:tblLook w:val="04A0" w:firstRow="1" w:lastRow="0" w:firstColumn="1" w:lastColumn="0" w:noHBand="0" w:noVBand="1"/>
      </w:tblPr>
      <w:tblGrid>
        <w:gridCol w:w="664"/>
        <w:gridCol w:w="1350"/>
        <w:gridCol w:w="2121"/>
        <w:gridCol w:w="1439"/>
        <w:gridCol w:w="1215"/>
        <w:gridCol w:w="1175"/>
        <w:gridCol w:w="1569"/>
      </w:tblGrid>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路名</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范围</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管径</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管材</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污水井（座）</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长度（米）</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宁嘉路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菱湖大道—运河西路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990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清晏路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菱湖大道—运河西路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DN500-DN600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砼</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1240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中心街</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清晏路—家兴路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680</w:t>
            </w:r>
            <w:r/>
          </w:p>
        </w:tc>
      </w:tr>
      <w:tr>
        <w:trPr>
          <w:trHeight w:val="605"/>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新湖中路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宁乐路—净慧寺路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860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新湖南街</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新湖路-南湖园路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PVC/砼</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新南路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宁乐路—南湖园路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砼</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清源路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菱湖大道—运河西路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DN300-DN600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PVC/砼</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1920</w:t>
            </w:r>
            <w:r/>
          </w:p>
        </w:tc>
      </w:tr>
      <w:tr>
        <w:trPr>
          <w:trHeight w:val="357"/>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具区路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菱湖大道—机场南路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砼</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2090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运河西路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宁和路—锡苏公路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DN400-DN600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2100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浪新路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宁和路—南湖园路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1090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宁乐路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宁和路—新南路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1090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宁韵路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菱湖大道—浪新路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PE</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530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新湖路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清晏路—法治广场</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DN400-DN500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HDPE/铸铁</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1090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南湖园路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运河西路-清源路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PE/铸铁</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1030</w:t>
            </w:r>
            <w:r/>
          </w:p>
        </w:tc>
      </w:tr>
      <w:tr>
        <w:trPr>
          <w:trHeight w:val="329"/>
        </w:trPr>
        <w:tc>
          <w:tcPr>
            <w:shd w:val="clear" w:color="auto" w:fill="ffffff" w:themeFill="background1"/>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w:t>
            </w:r>
            <w:r/>
          </w:p>
        </w:tc>
        <w:tc>
          <w:tcPr>
            <w:shd w:val="clear" w:color="auto" w:fill="ffffff" w:themeFill="background1"/>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振新路</w:t>
            </w:r>
            <w:r/>
          </w:p>
        </w:tc>
        <w:tc>
          <w:tcPr>
            <w:shd w:val="clear" w:color="auto" w:fill="ffffff" w:themeFill="background1"/>
            <w:tcBorders>
              <w:top w:val="single" w:color="000000" w:sz="8" w:space="0"/>
              <w:left w:val="single" w:color="000000" w:sz="8" w:space="0"/>
              <w:bottom w:val="single" w:color="000000" w:sz="8" w:space="0"/>
              <w:right w:val="single" w:color="000000" w:sz="8" w:space="0"/>
            </w:tcBorders>
            <w:tcW w:w="2121"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中心街-华新北路</w:t>
            </w:r>
            <w:r/>
          </w:p>
        </w:tc>
        <w:tc>
          <w:tcPr>
            <w:shd w:val="clear" w:color="auto" w:fill="ffffff" w:themeFill="background1"/>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DN400</w:t>
            </w:r>
            <w:r/>
          </w:p>
        </w:tc>
        <w:tc>
          <w:tcPr>
            <w:shd w:val="clear" w:color="auto" w:fill="ffffff" w:themeFill="background1"/>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砼</w:t>
            </w:r>
            <w:r/>
          </w:p>
        </w:tc>
        <w:tc>
          <w:tcPr>
            <w:shd w:val="clear" w:color="auto" w:fill="ffffff" w:themeFill="background1"/>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shd w:val="clear" w:color="auto" w:fill="ffffff" w:themeFill="background1"/>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家和路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运河西路-新湖中路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DN300-DN400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家兴路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运河西路-新湖中路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砼</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宏业路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运河西路-具区路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740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宏开路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运河西路-合众路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250</w:t>
            </w:r>
            <w:r/>
          </w:p>
        </w:tc>
      </w:tr>
      <w:tr>
        <w:trPr>
          <w:trHeight w:val="329"/>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合众路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宏业路-宏开路</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520</w:t>
            </w:r>
            <w:r/>
          </w:p>
        </w:tc>
      </w:tr>
      <w:tr>
        <w:trPr>
          <w:trHeight w:val="638"/>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沙墩港工业园区</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两纵两横及其支管</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DN300-DN400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PVC/砼</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122</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3385</w:t>
            </w:r>
            <w:r/>
          </w:p>
        </w:tc>
      </w:tr>
      <w:tr>
        <w:trPr>
          <w:trHeight w:val="552"/>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中关村北外环路</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DN400</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铸铁/PE</w:t>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r>
      <w:tr>
        <w:trPr>
          <w:trHeight w:val="334"/>
        </w:trPr>
        <w:tc>
          <w:tcPr>
            <w:shd w:val="clear" w:color="auto" w:fill="auto"/>
            <w:tcBorders>
              <w:top w:val="single" w:color="000000" w:sz="8" w:space="0"/>
              <w:left w:val="single" w:color="000000" w:sz="8" w:space="0"/>
              <w:bottom w:val="single" w:color="000000" w:sz="8" w:space="0"/>
              <w:right w:val="single" w:color="000000" w:sz="8" w:space="0"/>
            </w:tcBorders>
            <w:tcW w:w="664"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1350"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合计</w:t>
            </w:r>
            <w:r/>
          </w:p>
        </w:tc>
        <w:tc>
          <w:tcPr>
            <w:shd w:val="clear" w:color="auto" w:fill="auto"/>
            <w:tcBorders>
              <w:top w:val="single" w:color="000000" w:sz="8" w:space="0"/>
              <w:left w:val="single" w:color="000000" w:sz="8" w:space="0"/>
              <w:bottom w:val="single" w:color="000000" w:sz="8" w:space="0"/>
              <w:right w:val="single" w:color="000000" w:sz="8" w:space="0"/>
            </w:tcBorders>
            <w:tcW w:w="21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39" w:type="dxa"/>
            <w:vAlign w:val="center"/>
            <w:textDirection w:val="lrTb"/>
            <w:noWrap/>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shd w:val="clear" w:color="auto" w:fill="auto"/>
            <w:tcBorders>
              <w:top w:val="single" w:color="000000" w:sz="8" w:space="0"/>
              <w:left w:val="single" w:color="000000" w:sz="8" w:space="0"/>
              <w:bottom w:val="single" w:color="000000" w:sz="8" w:space="0"/>
              <w:right w:val="single" w:color="000000" w:sz="8" w:space="0"/>
            </w:tcBorders>
            <w:tcW w:w="1175"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653</w:t>
            </w:r>
            <w:r/>
          </w:p>
        </w:tc>
        <w:tc>
          <w:tcPr>
            <w:shd w:val="clear" w:color="auto" w:fill="auto"/>
            <w:tcBorders>
              <w:top w:val="single" w:color="000000" w:sz="8" w:space="0"/>
              <w:left w:val="single" w:color="000000" w:sz="8" w:space="0"/>
              <w:bottom w:val="single" w:color="000000" w:sz="8" w:space="0"/>
              <w:right w:val="single" w:color="000000" w:sz="8" w:space="0"/>
            </w:tcBorders>
            <w:tcW w:w="1569"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21354</w:t>
            </w:r>
            <w:r/>
          </w:p>
        </w:tc>
      </w:tr>
    </w:tbl>
    <w:p>
      <w:pPr>
        <w:pStyle w:val="742"/>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bCs/>
          <w:color w:val="auto"/>
          <w:highlight w:val="none"/>
        </w:rPr>
      </w:r>
      <w:r/>
    </w:p>
    <w:p>
      <w:pPr>
        <w:widowControl/>
        <w:rPr>
          <w:rFonts w:ascii="宋体" w:hAnsi="宋体" w:cs="宋体"/>
          <w:b/>
          <w:bCs/>
          <w:color w:val="auto"/>
          <w:highlight w:val="none"/>
        </w:rPr>
      </w:pPr>
      <w:r>
        <w:rPr>
          <w:rFonts w:hint="eastAsia" w:ascii="宋体" w:hAnsi="宋体" w:cs="宋体"/>
          <w:b/>
          <w:bCs/>
          <w:color w:val="auto"/>
          <w:highlight w:val="none"/>
        </w:rPr>
        <w:t xml:space="preserve">六、项目技术要求：按有关政府及行业标准。</w:t>
      </w:r>
      <w:r/>
    </w:p>
    <w:p>
      <w:pPr>
        <w:widowControl/>
        <w:rPr>
          <w:rFonts w:ascii="宋体" w:hAnsi="宋体" w:cs="宋体"/>
          <w:b/>
          <w:bCs/>
          <w:color w:val="auto"/>
          <w:highlight w:val="none"/>
        </w:rPr>
      </w:pPr>
      <w:r>
        <w:rPr>
          <w:rFonts w:hint="eastAsia" w:ascii="宋体" w:hAnsi="宋体" w:cs="宋体"/>
          <w:b/>
          <w:bCs/>
          <w:color w:val="auto"/>
          <w:highlight w:val="none"/>
        </w:rPr>
        <w:t xml:space="preserve">七、采购标的需满足的服务标准等要求：</w:t>
      </w:r>
      <w:r/>
    </w:p>
    <w:p>
      <w:pPr>
        <w:ind w:firstLine="482"/>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1、服务标准：《城镇排水管渠与泵站运行、维护及安全技术规程》（CJJ68-2016）、《城镇排水管道维护安全技术规程》(CJJ 6-2009)和《新吴区公共污水管网（设施）养护作业参考标准》</w:t>
      </w:r>
      <w:r/>
    </w:p>
    <w:p>
      <w:pPr>
        <w:ind w:firstLine="482"/>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2、场地、人员、设备要求：</w:t>
      </w:r>
      <w:r/>
    </w:p>
    <w:p>
      <w:pPr>
        <w:ind w:firstLine="482"/>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维护期间中标单位每天必须确保有5名工作人员到场备案，并上传每天的现场工作情况照片。一经发现有人缺席，每人每天罚款1000元，一旦被查三次，采购人有权要求中标单位进行整顿，并对中标单位处以5000元罚金。若反复出现此类情况，采购人有权终止合同，并要求中标单位弥补由此造成的损失。</w:t>
      </w:r>
      <w:r/>
    </w:p>
    <w:p>
      <w:pPr>
        <w:ind w:firstLine="480"/>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项目组人员</w:t>
      </w:r>
      <w:r>
        <w:rPr>
          <w:rFonts w:hint="eastAsia" w:ascii="宋体" w:hAnsi="宋体" w:cs="宋体"/>
          <w:color w:val="auto"/>
          <w:sz w:val="24"/>
          <w:szCs w:val="24"/>
          <w:highlight w:val="none"/>
        </w:rPr>
        <w:t xml:space="preserve">最低</w:t>
      </w:r>
      <w:r>
        <w:rPr>
          <w:rFonts w:hint="eastAsia" w:ascii="宋体" w:hAnsi="宋体" w:cs="宋体"/>
          <w:color w:val="auto"/>
          <w:sz w:val="24"/>
          <w:szCs w:val="24"/>
          <w:highlight w:val="none"/>
          <w:lang w:val="zh-CN"/>
        </w:rPr>
        <w:t xml:space="preserve">配备：</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5"/>
        <w:gridCol w:w="4315"/>
      </w:tblGrid>
      <w:tr>
        <w:trPr/>
        <w:tc>
          <w:tcPr>
            <w:tcW w:w="4927"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人员名称</w:t>
            </w:r>
            <w:r/>
          </w:p>
        </w:tc>
        <w:tc>
          <w:tcPr>
            <w:tcW w:w="4927" w:type="dxa"/>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人员最低配备</w:t>
            </w:r>
            <w:r/>
          </w:p>
        </w:tc>
      </w:tr>
      <w:tr>
        <w:trPr/>
        <w:tc>
          <w:tcPr>
            <w:tcW w:w="4927"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项目负责人</w:t>
            </w:r>
            <w:r/>
          </w:p>
        </w:tc>
        <w:tc>
          <w:tcPr>
            <w:tcW w:w="4927"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1人</w:t>
            </w:r>
            <w:r/>
          </w:p>
        </w:tc>
      </w:tr>
      <w:tr>
        <w:trPr/>
        <w:tc>
          <w:tcPr>
            <w:tcW w:w="4927"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安全员</w:t>
            </w:r>
            <w:r/>
          </w:p>
        </w:tc>
        <w:tc>
          <w:tcPr>
            <w:tcW w:w="4927" w:type="dxa"/>
            <w:textDirection w:val="lrTb"/>
            <w:noWrap w:val="false"/>
          </w:tcPr>
          <w:p>
            <w:pPr>
              <w:jc w:val="center"/>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1人</w:t>
            </w:r>
            <w:r/>
          </w:p>
        </w:tc>
      </w:tr>
      <w:tr>
        <w:trPr/>
        <w:tc>
          <w:tcPr>
            <w:tcW w:w="4927"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潜水员</w:t>
            </w:r>
            <w:r/>
          </w:p>
        </w:tc>
        <w:tc>
          <w:tcPr>
            <w:tcW w:w="4927" w:type="dxa"/>
            <w:textDirection w:val="lrTb"/>
            <w:noWrap w:val="false"/>
          </w:tcPr>
          <w:p>
            <w:pPr>
              <w:jc w:val="center"/>
              <w:widowControl/>
              <w:rPr>
                <w:rFonts w:ascii="宋体" w:hAnsi="宋体" w:cs="宋体"/>
                <w:color w:val="auto"/>
                <w:sz w:val="24"/>
                <w:szCs w:val="24"/>
                <w:highlight w:val="none"/>
                <w:lang w:val="zh-CN"/>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人</w:t>
            </w:r>
            <w:r/>
          </w:p>
        </w:tc>
      </w:tr>
      <w:tr>
        <w:trPr>
          <w:trHeight w:val="515"/>
        </w:trPr>
        <w:tc>
          <w:tcPr>
            <w:tcW w:w="4927"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道路巡视员</w:t>
            </w:r>
            <w:r/>
          </w:p>
        </w:tc>
        <w:tc>
          <w:tcPr>
            <w:tcW w:w="4927" w:type="dxa"/>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人</w:t>
            </w:r>
            <w:r/>
          </w:p>
        </w:tc>
      </w:tr>
      <w:tr>
        <w:trPr/>
        <w:tc>
          <w:tcPr>
            <w:tcW w:w="4927" w:type="dxa"/>
            <w:textDirection w:val="lrTb"/>
            <w:noWrap w:val="false"/>
          </w:tcPr>
          <w:p>
            <w:pPr>
              <w:jc w:val="center"/>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下水道养护工</w:t>
            </w:r>
            <w:r/>
          </w:p>
        </w:tc>
        <w:tc>
          <w:tcPr>
            <w:tcW w:w="4927" w:type="dxa"/>
            <w:textDirection w:val="lrTb"/>
            <w:noWrap w:val="false"/>
          </w:tcPr>
          <w:p>
            <w:pPr>
              <w:jc w:val="center"/>
              <w:widowControl/>
              <w:rPr>
                <w:rFonts w:ascii="宋体" w:hAnsi="宋体" w:cs="宋体"/>
                <w:color w:val="auto"/>
                <w:sz w:val="24"/>
                <w:szCs w:val="24"/>
                <w:highlight w:val="none"/>
                <w:lang w:val="zh-CN"/>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人</w:t>
            </w:r>
            <w:r/>
          </w:p>
        </w:tc>
      </w:tr>
      <w:tr>
        <w:trPr/>
        <w:tc>
          <w:tcPr>
            <w:tcW w:w="4927"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W w:w="4927"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8人</w:t>
            </w:r>
            <w:r/>
          </w:p>
        </w:tc>
      </w:tr>
    </w:tbl>
    <w:p>
      <w:pPr>
        <w:ind w:firstLine="480"/>
        <w:widowControl/>
        <w:rPr>
          <w:rFonts w:ascii="宋体" w:hAnsi="宋体" w:cs="宋体"/>
          <w:color w:val="auto"/>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w:t>
      </w:r>
      <w:r>
        <w:rPr>
          <w:rFonts w:hint="eastAsia" w:ascii="宋体" w:hAnsi="宋体" w:cs="宋体"/>
          <w:bCs/>
          <w:color w:val="auto"/>
          <w:sz w:val="24"/>
          <w:szCs w:val="24"/>
          <w:highlight w:val="none"/>
        </w:rPr>
        <w:t xml:space="preserve">维护期间必须确保有淤泥或垃圾运输车、</w:t>
      </w:r>
      <w:r>
        <w:rPr>
          <w:rFonts w:hint="eastAsia" w:ascii="宋体" w:hAnsi="宋体" w:cs="宋体"/>
          <w:color w:val="auto"/>
          <w:sz w:val="24"/>
          <w:szCs w:val="24"/>
          <w:highlight w:val="none"/>
          <w:lang w:val="zh-CN"/>
        </w:rPr>
        <w:t xml:space="preserve">下水道疏通车养护设备</w:t>
      </w:r>
      <w:r>
        <w:rPr>
          <w:rFonts w:hint="eastAsia" w:ascii="宋体" w:hAnsi="宋体" w:cs="宋体"/>
          <w:color w:val="auto"/>
          <w:sz w:val="24"/>
          <w:szCs w:val="24"/>
          <w:highlight w:val="none"/>
        </w:rPr>
        <w:t xml:space="preserve">可以调配使用</w:t>
      </w:r>
      <w:r>
        <w:rPr>
          <w:rFonts w:hint="eastAsia" w:ascii="宋体" w:hAnsi="宋体" w:cs="宋体"/>
          <w:color w:val="auto"/>
          <w:highlight w:val="none"/>
          <w:lang w:val="zh-CN"/>
        </w:rPr>
        <w:t xml:space="preserve">。</w:t>
      </w:r>
      <w:r/>
    </w:p>
    <w:p>
      <w:pPr>
        <w:widowControl/>
        <w:rPr>
          <w:rFonts w:ascii="宋体" w:hAnsi="宋体" w:cs="宋体"/>
          <w:b/>
          <w:bCs/>
          <w:color w:val="auto"/>
          <w:highlight w:val="none"/>
        </w:rPr>
      </w:pPr>
      <w:r/>
      <w:bookmarkStart w:id="9" w:name="_Toc22266"/>
      <w:r>
        <w:rPr>
          <w:rFonts w:hint="eastAsia" w:ascii="宋体" w:hAnsi="宋体" w:cs="宋体"/>
          <w:b/>
          <w:bCs/>
          <w:color w:val="auto"/>
          <w:highlight w:val="none"/>
        </w:rPr>
        <w:t xml:space="preserve">八、其他说明</w:t>
      </w:r>
      <w:bookmarkEnd w:id="9"/>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1、投标供应商应仔细阅读招标文件的所有内容，按招标文件的要求提供投标文件，并保证所提供的全部资料的真实性，以使其投标对招标文件做出实质性响应，否则，其投标可能被拒绝。</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2、投标供应商报价时应充分考虑服务期内所有可能影响到报价的因素，如出现投标供应商故意低价竞争，以谋取中标，作废标处理。</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3、支付方式：</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（1）本项目预付款为签订合同价中养护费的10%</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污水管网养护服务为固定总价，先做后付，每季度支付一次，结合考核评分结果后支付，第一期支付款项=年养护费/4-考核罚款-其他罚款-预付款，第二期支付款项=年养护费/4-考核罚款-其他罚款，第三期.....以此类推。合同期结束付清余款。</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（3）不可竞争费按照审计的相关规定自动让利，工程量按实计量签证确认，验收合格后经审计后支付。</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（4）最终报结算审核时，年养护费一并计入结算价，审计结束后付清余款。</w:t>
      </w:r>
      <w:r/>
    </w:p>
    <w:p>
      <w:pPr>
        <w:ind w:firstLine="482"/>
        <w:keepLines w:val="0"/>
        <w:keepNext w:val="0"/>
        <w:pageBreakBefore w:val="0"/>
        <w:spacing w:line="360" w:lineRule="auto"/>
        <w:widowControl w:val="off"/>
        <w:rPr>
          <w:rFonts w:ascii="宋体" w:hAnsi="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rPr>
        <w:t xml:space="preserve">（5）付款时，成交单位应向采购人提供对应金额的增值税发票，否则采购人有权相应顺延付款而无需承担逾期付款责任。</w:t>
      </w:r>
      <w:r/>
    </w:p>
    <w:p>
      <w:pPr>
        <w:rPr>
          <w:rFonts w:ascii="宋体" w:hAnsi="宋体" w:cs="宋体"/>
          <w:b/>
          <w:bCs/>
          <w:color w:val="auto"/>
          <w:highlight w:val="none"/>
        </w:rPr>
      </w:pPr>
      <w:r>
        <w:rPr>
          <w:rFonts w:hint="eastAsia" w:ascii="宋体" w:hAnsi="宋体" w:cs="宋体"/>
          <w:b/>
          <w:bCs/>
          <w:color w:val="auto"/>
          <w:highlight w:val="none"/>
        </w:rPr>
        <w:t xml:space="preserve">九、考核表</w:t>
      </w:r>
      <w:r/>
    </w:p>
    <w:tbl>
      <w:tblPr>
        <w:tblStyle w:val="69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8"/>
        <w:gridCol w:w="865"/>
        <w:gridCol w:w="583"/>
        <w:gridCol w:w="5501"/>
        <w:gridCol w:w="1905"/>
        <w:gridCol w:w="600"/>
      </w:tblGrid>
      <w:tr>
        <w:trPr>
          <w:trHeight w:val="408"/>
        </w:trPr>
        <w:tc>
          <w:tcPr>
            <w:gridSpan w:val="6"/>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月新安街道污水管网养护工作考核评分（总分：100）</w:t>
            </w:r>
            <w:r/>
          </w:p>
        </w:tc>
      </w:tr>
      <w:tr>
        <w:trPr>
          <w:trHeight w:val="272"/>
        </w:trPr>
        <w:tc>
          <w:tcPr>
            <w:tcBorders>
              <w:top w:val="none" w:color="000000" w:sz="4" w:space="0"/>
              <w:left w:val="single" w:color="auto" w:sz="4" w:space="0"/>
              <w:bottom w:val="single" w:color="auto" w:sz="4" w:space="0"/>
              <w:right w:val="single" w:color="auto" w:sz="4" w:space="0"/>
            </w:tcBorders>
            <w:tcW w:w="2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内容</w:t>
            </w:r>
            <w:r/>
          </w:p>
        </w:tc>
        <w:tc>
          <w:tcPr>
            <w:tcBorders>
              <w:top w:val="none" w:color="000000" w:sz="4" w:space="0"/>
              <w:left w:val="none" w:color="000000"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满分</w:t>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评分细则</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扣分原因</w:t>
            </w:r>
            <w:r/>
          </w:p>
        </w:tc>
        <w:tc>
          <w:tcPr>
            <w:tcBorders>
              <w:top w:val="none" w:color="000000" w:sz="4" w:space="0"/>
              <w:left w:val="none" w:color="000000" w:sz="4" w:space="0"/>
              <w:bottom w:val="single" w:color="auto" w:sz="4" w:space="0"/>
              <w:right w:val="single" w:color="auto" w:sz="4" w:space="0"/>
            </w:tcBorders>
            <w:tcW w:w="276" w:type="pct"/>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得分</w:t>
            </w:r>
            <w:r/>
          </w:p>
        </w:tc>
      </w:tr>
      <w:tr>
        <w:trPr>
          <w:trHeight w:val="391"/>
        </w:trPr>
        <w:tc>
          <w:tcPr>
            <w:tcBorders>
              <w:top w:val="none" w:color="000000" w:sz="4" w:space="0"/>
              <w:left w:val="single" w:color="auto" w:sz="4" w:space="0"/>
              <w:bottom w:val="single" w:color="000000" w:sz="4" w:space="0"/>
              <w:right w:val="single" w:color="auto" w:sz="4" w:space="0"/>
            </w:tcBorders>
            <w:tcW w:w="240"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none" w:color="000000" w:sz="4" w:space="0"/>
              <w:left w:val="single" w:color="auto" w:sz="4" w:space="0"/>
              <w:bottom w:val="single" w:color="000000" w:sz="4" w:space="0"/>
              <w:right w:val="single" w:color="auto" w:sz="4" w:space="0"/>
            </w:tcBorders>
            <w:tcW w:w="424"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管网日常巡查及投诉处理</w:t>
            </w:r>
            <w:r/>
          </w:p>
        </w:tc>
        <w:tc>
          <w:tcPr>
            <w:tcBorders>
              <w:top w:val="none" w:color="000000" w:sz="4" w:space="0"/>
              <w:left w:val="single" w:color="auto" w:sz="4" w:space="0"/>
              <w:bottom w:val="single" w:color="000000" w:sz="4" w:space="0"/>
              <w:right w:val="single" w:color="auto" w:sz="4" w:space="0"/>
            </w:tcBorders>
            <w:tcW w:w="279"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1、巡查未按规定线路进行、未全覆盖的、现场养护人员少于5人，每次扣1.5分。</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right w:val="single" w:color="auto" w:sz="4" w:space="0"/>
            </w:tcBorders>
            <w:tcW w:w="276"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rPr>
                <w:rFonts w:ascii="宋体" w:hAnsi="宋体" w:cs="宋体"/>
                <w:color w:val="auto"/>
                <w:sz w:val="24"/>
                <w:highlight w:val="none"/>
              </w:rPr>
            </w:pPr>
            <w:r>
              <w:rPr>
                <w:rFonts w:ascii="宋体" w:hAnsi="宋体" w:cs="宋体"/>
                <w:color w:val="auto"/>
                <w:sz w:val="24"/>
                <w:highlight w:val="none"/>
              </w:rPr>
            </w:r>
            <w:r/>
          </w:p>
        </w:tc>
      </w:tr>
      <w:tr>
        <w:trPr>
          <w:trHeight w:val="977"/>
        </w:trPr>
        <w:tc>
          <w:tcPr>
            <w:tcBorders>
              <w:top w:val="none" w:color="000000" w:sz="4" w:space="0"/>
              <w:left w:val="single" w:color="auto" w:sz="4" w:space="0"/>
              <w:bottom w:val="single" w:color="000000" w:sz="4" w:space="0"/>
              <w:right w:val="single" w:color="auto" w:sz="4" w:space="0"/>
            </w:tcBorders>
            <w:tcW w:w="240"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79" w:type="pct"/>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ind w:left="270" w:hanging="270"/>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标段内产生井盖丢失破损、污水外溢、路面下沉、违章施工破坏污水井等投诉的，每次扣除3分，投诉未及时处理的每次扣5分，发生反复投诉的经管网中心核实，由于处置不到位引起的，每次扣5分，要求联系投诉人却没有联系的，每次扣5分，产生严重后果、弄虚作假或重大问题未及时发现及上报的，当月巡查任务工作量不予认可；当月巡查得分为零，并视造成的后果追加处罚。</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left w:val="none" w:color="000000" w:sz="4" w:space="0"/>
              <w:right w:val="single" w:color="auto" w:sz="4" w:space="0"/>
            </w:tcBorders>
            <w:tcW w:w="276" w:type="pct"/>
            <w:vAlign w:val="center"/>
            <w:vMerge w:val="continue"/>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377"/>
        </w:trPr>
        <w:tc>
          <w:tcPr>
            <w:tcBorders>
              <w:top w:val="none" w:color="000000" w:sz="4" w:space="0"/>
              <w:left w:val="single" w:color="auto" w:sz="4" w:space="0"/>
              <w:bottom w:val="single" w:color="000000" w:sz="4" w:space="0"/>
              <w:right w:val="single" w:color="auto" w:sz="4" w:space="0"/>
            </w:tcBorders>
            <w:tcW w:w="240"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79" w:type="pct"/>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ind w:left="270" w:hanging="270"/>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3、养护单位需熟悉各雨水排放口的位置，没有巡查资料的，每次扣1.5分，巡查资料不齐全，每次扣1.5分，现场熟悉程度不高的，每次扣1分；</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left w:val="none" w:color="000000" w:sz="4" w:space="0"/>
              <w:right w:val="single" w:color="auto" w:sz="4" w:space="0"/>
            </w:tcBorders>
            <w:tcW w:w="276" w:type="pct"/>
            <w:vAlign w:val="center"/>
            <w:vMerge w:val="continue"/>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302"/>
        </w:trPr>
        <w:tc>
          <w:tcPr>
            <w:tcBorders>
              <w:top w:val="none" w:color="000000" w:sz="4" w:space="0"/>
              <w:left w:val="single" w:color="auto" w:sz="4" w:space="0"/>
              <w:bottom w:val="single" w:color="000000" w:sz="4" w:space="0"/>
              <w:right w:val="single" w:color="auto" w:sz="4" w:space="0"/>
            </w:tcBorders>
            <w:tcW w:w="240"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79" w:type="pct"/>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auto" w:sz="4" w:space="0"/>
              <w:left w:val="none" w:color="000000" w:sz="4" w:space="0"/>
              <w:right w:val="single" w:color="auto" w:sz="4" w:space="0"/>
            </w:tcBorders>
            <w:tcW w:w="2816" w:type="pct"/>
            <w:vAlign w:val="center"/>
            <w:textDirection w:val="lrTb"/>
            <w:noWrap w:val="false"/>
          </w:tcPr>
          <w:p>
            <w:pPr>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4、标段内日常应急抢险不到位，每次扣3分；</w:t>
            </w:r>
            <w:r/>
          </w:p>
        </w:tc>
        <w:tc>
          <w:tcPr>
            <w:tcBorders>
              <w:top w:val="single" w:color="auto" w:sz="4" w:space="0"/>
              <w:left w:val="single" w:color="auto" w:sz="4" w:space="0"/>
              <w:bottom w:val="single" w:color="auto" w:sz="6"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left w:val="none" w:color="000000" w:sz="4" w:space="0"/>
              <w:bottom w:val="single" w:color="auto" w:sz="4" w:space="0"/>
              <w:right w:val="single" w:color="auto" w:sz="4" w:space="0"/>
            </w:tcBorders>
            <w:tcW w:w="276" w:type="pct"/>
            <w:vAlign w:val="center"/>
            <w:vMerge w:val="continue"/>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561"/>
        </w:trPr>
        <w:tc>
          <w:tcPr>
            <w:tcBorders>
              <w:top w:val="none" w:color="000000" w:sz="4" w:space="0"/>
              <w:left w:val="single" w:color="auto" w:sz="4" w:space="0"/>
              <w:bottom w:val="single" w:color="auto" w:sz="4" w:space="0"/>
              <w:right w:val="single" w:color="auto" w:sz="4" w:space="0"/>
            </w:tcBorders>
            <w:tcW w:w="2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污水井日常养护</w:t>
            </w:r>
            <w:r/>
          </w:p>
        </w:tc>
        <w:tc>
          <w:tcPr>
            <w:tcBorders>
              <w:top w:val="none" w:color="000000" w:sz="4" w:space="0"/>
              <w:left w:val="none" w:color="000000"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auto" w:sz="4" w:space="0"/>
              <w:left w:val="none" w:color="000000" w:sz="4" w:space="0"/>
              <w:bottom w:val="single" w:color="auto" w:sz="4" w:space="0"/>
              <w:right w:val="single" w:color="auto" w:sz="4" w:space="0"/>
            </w:tcBorders>
            <w:tcW w:w="2816" w:type="pct"/>
            <w:vAlign w:val="center"/>
            <w:textDirection w:val="lrTb"/>
            <w:noWrap w:val="false"/>
          </w:tcPr>
          <w:p>
            <w:pPr>
              <w:ind w:left="270" w:hanging="270"/>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发现一处不合格，每处扣2分，养护人员对现场井位情况不明，无法正确确认污水井位置的，每次扣1分；抽查时不携带养护资料的，养护资料缺失的，每次扣1分，月度检查超过5处不合格，当月污水井养护任务工作量不予认可，当月养护得分为零。</w:t>
            </w:r>
            <w:r/>
          </w:p>
        </w:tc>
        <w:tc>
          <w:tcPr>
            <w:tcBorders>
              <w:top w:val="single" w:color="auto" w:sz="6" w:space="0"/>
              <w:left w:val="single" w:color="auto"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6" w:type="pct"/>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437"/>
        </w:trPr>
        <w:tc>
          <w:tcPr>
            <w:tcBorders>
              <w:top w:val="none" w:color="000000" w:sz="4" w:space="0"/>
              <w:left w:val="single" w:color="auto" w:sz="4" w:space="0"/>
              <w:right w:val="single" w:color="auto" w:sz="4" w:space="0"/>
            </w:tcBorders>
            <w:tcW w:w="240"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none" w:color="000000" w:sz="4" w:space="0"/>
              <w:left w:val="none" w:color="000000" w:sz="4" w:space="0"/>
              <w:right w:val="single" w:color="auto" w:sz="4" w:space="0"/>
            </w:tcBorders>
            <w:tcW w:w="424"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管道疏通养护</w:t>
            </w:r>
            <w:r/>
          </w:p>
        </w:tc>
        <w:tc>
          <w:tcPr>
            <w:tcBorders>
              <w:top w:val="none" w:color="000000" w:sz="4" w:space="0"/>
              <w:left w:val="none" w:color="000000" w:sz="4" w:space="0"/>
              <w:right w:val="single" w:color="auto" w:sz="4" w:space="0"/>
            </w:tcBorders>
            <w:tcW w:w="279"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1、标段内污水井淤积深度达管径1/5以上，未及时上报的，每处扣1分；</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right w:val="single" w:color="auto" w:sz="4" w:space="0"/>
            </w:tcBorders>
            <w:tcW w:w="276" w:type="pct"/>
            <w:vAlign w:val="center"/>
            <w:vMerge w:val="restart"/>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437"/>
        </w:trPr>
        <w:tc>
          <w:tcPr>
            <w:tcBorders>
              <w:left w:val="single" w:color="auto" w:sz="4" w:space="0"/>
              <w:right w:val="single" w:color="auto" w:sz="4" w:space="0"/>
            </w:tcBorders>
            <w:tcW w:w="240" w:type="pct"/>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left w:val="none" w:color="000000" w:sz="4" w:space="0"/>
              <w:right w:val="single" w:color="auto" w:sz="4" w:space="0"/>
            </w:tcBorders>
            <w:tcW w:w="424"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79"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ind w:left="270" w:hanging="270"/>
              <w:rPr>
                <w:rFonts w:ascii="宋体" w:hAnsi="宋体" w:cs="宋体"/>
                <w:color w:val="auto"/>
                <w:sz w:val="18"/>
                <w:szCs w:val="18"/>
                <w:highlight w:val="none"/>
              </w:rPr>
            </w:pPr>
            <w:r>
              <w:rPr>
                <w:rFonts w:hint="eastAsia" w:ascii="宋体" w:hAnsi="宋体" w:cs="宋体"/>
                <w:color w:val="auto"/>
                <w:sz w:val="18"/>
                <w:szCs w:val="18"/>
                <w:highlight w:val="none"/>
              </w:rPr>
              <w:t xml:space="preserve">2、随机抽查管道疏通养护工作，带水疏通作业，疏通后淤泥超过管径</w:t>
            </w:r>
            <w:r>
              <w:rPr>
                <w:rFonts w:ascii="宋体" w:hAnsi="宋体" w:cs="宋体"/>
                <w:color w:val="auto"/>
                <w:sz w:val="18"/>
                <w:szCs w:val="18"/>
                <w:highlight w:val="none"/>
              </w:rPr>
              <w:t xml:space="preserve">1/</w:t>
            </w:r>
            <w:r>
              <w:rPr>
                <w:rFonts w:hint="eastAsia" w:ascii="宋体" w:hAnsi="宋体" w:cs="宋体"/>
                <w:color w:val="auto"/>
                <w:sz w:val="18"/>
                <w:szCs w:val="18"/>
                <w:highlight w:val="none"/>
              </w:rPr>
              <w:t xml:space="preserve">8，发现一处，返工并扣1分，养护管段出现20%以上不合格，扣除该管段养护工作量，当月养护得分为零；</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left w:val="none" w:color="000000" w:sz="4" w:space="0"/>
              <w:right w:val="single" w:color="auto" w:sz="4" w:space="0"/>
            </w:tcBorders>
            <w:tcW w:w="276" w:type="pct"/>
            <w:vAlign w:val="center"/>
            <w:vMerge w:val="continue"/>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437"/>
        </w:trPr>
        <w:tc>
          <w:tcPr>
            <w:tcBorders>
              <w:left w:val="single" w:color="auto" w:sz="4" w:space="0"/>
              <w:bottom w:val="single" w:color="auto" w:sz="4" w:space="0"/>
              <w:right w:val="single" w:color="auto" w:sz="4" w:space="0"/>
            </w:tcBorders>
            <w:tcW w:w="240" w:type="pct"/>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left w:val="none" w:color="000000" w:sz="4" w:space="0"/>
              <w:bottom w:val="single" w:color="auto" w:sz="4" w:space="0"/>
              <w:right w:val="single" w:color="auto" w:sz="4" w:space="0"/>
            </w:tcBorders>
            <w:tcW w:w="424"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279"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3、断水清通未通知管网中心人员现场验收的，视为养护不合格，不予结算费用；</w:t>
            </w:r>
            <w:r/>
          </w:p>
          <w:p>
            <w:pPr>
              <w:ind w:firstLine="270"/>
              <w:rPr>
                <w:rFonts w:ascii="宋体" w:hAnsi="宋体" w:cs="宋体"/>
                <w:color w:val="auto"/>
                <w:sz w:val="18"/>
                <w:szCs w:val="18"/>
                <w:highlight w:val="none"/>
              </w:rPr>
            </w:pPr>
            <w:r>
              <w:rPr>
                <w:rFonts w:hint="eastAsia" w:ascii="宋体" w:hAnsi="宋体" w:cs="宋体"/>
                <w:color w:val="auto"/>
                <w:sz w:val="18"/>
                <w:szCs w:val="18"/>
                <w:highlight w:val="none"/>
              </w:rPr>
              <w:t xml:space="preserve">断水清通造成上下游排水户出现排水不畅、污水外溢等事故的，每次扣除5分，并承担一切赔偿责任。</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left w:val="none" w:color="000000" w:sz="4" w:space="0"/>
              <w:bottom w:val="single" w:color="auto" w:sz="4" w:space="0"/>
              <w:right w:val="single" w:color="auto" w:sz="4" w:space="0"/>
            </w:tcBorders>
            <w:tcW w:w="276" w:type="pct"/>
            <w:vAlign w:val="center"/>
            <w:vMerge w:val="continue"/>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437"/>
        </w:trPr>
        <w:tc>
          <w:tcPr>
            <w:tcBorders>
              <w:top w:val="none" w:color="000000" w:sz="4" w:space="0"/>
              <w:left w:val="single" w:color="auto" w:sz="4" w:space="0"/>
              <w:bottom w:val="single" w:color="auto" w:sz="4" w:space="0"/>
              <w:right w:val="single" w:color="auto" w:sz="4" w:space="0"/>
            </w:tcBorders>
            <w:tcW w:w="2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管网排查、检测</w:t>
            </w:r>
            <w:r/>
          </w:p>
        </w:tc>
        <w:tc>
          <w:tcPr>
            <w:tcBorders>
              <w:top w:val="none" w:color="000000" w:sz="4" w:space="0"/>
              <w:left w:val="none" w:color="000000"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ind w:left="270" w:hanging="270"/>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1、随机对工单进行10%的抽查，如发现有一处不符合，每处扣除1分，再抽取20%，如仍有问题，则任务单工作量全部扣除，不予结算，扣除5分。</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276" w:type="pct"/>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579"/>
        </w:trPr>
        <w:tc>
          <w:tcPr>
            <w:tcBorders>
              <w:top w:val="none" w:color="000000" w:sz="4" w:space="0"/>
              <w:left w:val="single" w:color="auto" w:sz="4" w:space="0"/>
              <w:bottom w:val="single" w:color="000000" w:sz="4" w:space="0"/>
              <w:right w:val="single" w:color="auto" w:sz="4" w:space="0"/>
            </w:tcBorders>
            <w:tcW w:w="240"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none" w:color="000000" w:sz="4" w:space="0"/>
              <w:left w:val="single" w:color="auto" w:sz="4" w:space="0"/>
              <w:bottom w:val="single" w:color="000000" w:sz="4" w:space="0"/>
              <w:right w:val="single" w:color="auto" w:sz="4" w:space="0"/>
            </w:tcBorders>
            <w:tcW w:w="424"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施工进度及资料上报</w:t>
            </w:r>
            <w:r/>
          </w:p>
        </w:tc>
        <w:tc>
          <w:tcPr>
            <w:tcBorders>
              <w:top w:val="none" w:color="000000" w:sz="4" w:space="0"/>
              <w:left w:val="single" w:color="auto" w:sz="4" w:space="0"/>
              <w:bottom w:val="single" w:color="000000" w:sz="4" w:space="0"/>
              <w:right w:val="single" w:color="auto" w:sz="4" w:space="0"/>
            </w:tcBorders>
            <w:tcW w:w="279" w:type="pct"/>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ind w:left="270" w:hanging="270"/>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2、施工完工与否以回单资料上报日为准，资料上报不及时，迟交1-3天的，扣除0.5分，迟交3-7天的，扣除1分，之后如再不上报每延迟1天扣2分。</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right w:val="single" w:color="auto" w:sz="4" w:space="0"/>
            </w:tcBorders>
            <w:tcW w:w="276" w:type="pct"/>
            <w:vAlign w:val="center"/>
            <w:vMerge w:val="restart"/>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271"/>
        </w:trPr>
        <w:tc>
          <w:tcPr>
            <w:tcBorders>
              <w:top w:val="none" w:color="000000" w:sz="4" w:space="0"/>
              <w:left w:val="single" w:color="auto" w:sz="4" w:space="0"/>
              <w:bottom w:val="single" w:color="000000" w:sz="4" w:space="0"/>
              <w:right w:val="single" w:color="auto" w:sz="4" w:space="0"/>
            </w:tcBorders>
            <w:tcW w:w="240"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auto" w:sz="4" w:space="0"/>
              <w:bottom w:val="single" w:color="000000" w:sz="4" w:space="0"/>
              <w:right w:val="single" w:color="auto" w:sz="4" w:space="0"/>
            </w:tcBorders>
            <w:tcW w:w="279" w:type="pct"/>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ind w:left="270" w:hanging="270"/>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3、任务完工单经逐级审核后偏差大于20%，扣1分，偏差大于30%，扣2分，偏差大于40%的，认定该任务单弄虚作假，该项任务单作废，当月该项得分为零。</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left w:val="none" w:color="000000" w:sz="4" w:space="0"/>
              <w:bottom w:val="single" w:color="auto" w:sz="4" w:space="0"/>
              <w:right w:val="single" w:color="auto" w:sz="4" w:space="0"/>
            </w:tcBorders>
            <w:tcW w:w="276" w:type="pct"/>
            <w:vAlign w:val="center"/>
            <w:vMerge w:val="continue"/>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555"/>
        </w:trPr>
        <w:tc>
          <w:tcPr>
            <w:tcBorders>
              <w:top w:val="none" w:color="000000" w:sz="4" w:space="0"/>
              <w:left w:val="single" w:color="auto" w:sz="4" w:space="0"/>
              <w:bottom w:val="single" w:color="auto" w:sz="4" w:space="0"/>
              <w:right w:val="single" w:color="auto" w:sz="4" w:space="0"/>
            </w:tcBorders>
            <w:tcW w:w="2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安全文明施工</w:t>
            </w:r>
            <w:r/>
          </w:p>
        </w:tc>
        <w:tc>
          <w:tcPr>
            <w:tcBorders>
              <w:top w:val="none" w:color="000000" w:sz="4" w:space="0"/>
              <w:left w:val="none" w:color="000000"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000000" w:sz="4" w:space="0"/>
            </w:tcBorders>
            <w:tcW w:w="2816" w:type="pct"/>
            <w:vAlign w:val="center"/>
            <w:textDirection w:val="lrTb"/>
            <w:noWrap w:val="false"/>
          </w:tcPr>
          <w:p>
            <w:pPr>
              <w:ind w:left="270" w:hanging="270"/>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对施工单位进行安全检查，对发现的下井作业、养护作业、施工作业等工作中安全隐患,每发现一处扣除1分，隐患逾期不整改或整改不到位的，每次扣2分，发生安全责任事故的，当月考核总得分为零分，同时视事故情况再追加其他处罚。</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76" w:type="pct"/>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346"/>
        </w:trPr>
        <w:tc>
          <w:tcPr>
            <w:gridSpan w:val="4"/>
            <w:tcBorders>
              <w:top w:val="single" w:color="auto" w:sz="4" w:space="0"/>
              <w:left w:val="single" w:color="auto" w:sz="4" w:space="0"/>
              <w:bottom w:val="single" w:color="auto" w:sz="4" w:space="0"/>
              <w:right w:val="single" w:color="auto" w:sz="4" w:space="0"/>
            </w:tcBorders>
            <w:tcW w:w="3761" w:type="pct"/>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当月总得分</w:t>
            </w:r>
            <w:r/>
          </w:p>
        </w:tc>
        <w:tc>
          <w:tcPr>
            <w:tcBorders>
              <w:top w:val="none" w:color="000000" w:sz="4" w:space="0"/>
              <w:left w:val="none" w:color="000000" w:sz="4" w:space="0"/>
              <w:bottom w:val="single" w:color="auto" w:sz="4" w:space="0"/>
              <w:right w:val="single" w:color="auto" w:sz="4" w:space="0"/>
            </w:tcBorders>
            <w:tcW w:w="276" w:type="pct"/>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402"/>
        </w:trPr>
        <w:tc>
          <w:tcPr>
            <w:gridSpan w:val="6"/>
            <w:tcBorders>
              <w:top w:val="single" w:color="auto" w:sz="4" w:space="0"/>
              <w:left w:val="single" w:color="auto" w:sz="4" w:space="0"/>
              <w:bottom w:val="single" w:color="000000" w:sz="4" w:space="0"/>
              <w:right w:val="single" w:color="000000" w:sz="4" w:space="0"/>
            </w:tcBorders>
            <w:tcW w:w="5000" w:type="pct"/>
            <w:vAlign w:val="center"/>
            <w:vMerge w:val="restart"/>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甲方负责人签字：            日期：                               乙方负责人签字：            日期：</w:t>
            </w:r>
            <w:r/>
          </w:p>
        </w:tc>
      </w:tr>
    </w:tbl>
    <w:p>
      <w:pPr>
        <w:rPr>
          <w:rFonts w:ascii="宋体" w:hAnsi="宋体" w:cs="宋体"/>
          <w:b/>
          <w:bCs/>
          <w:color w:val="auto"/>
          <w:highlight w:val="none"/>
        </w:rPr>
      </w:pPr>
      <w:r>
        <w:rPr>
          <w:rFonts w:ascii="宋体" w:hAnsi="宋体" w:cs="宋体"/>
          <w:b/>
          <w:bCs/>
          <w:color w:val="auto"/>
          <w:highlight w:val="none"/>
        </w:rPr>
      </w:r>
      <w:r/>
    </w:p>
    <w:p>
      <w:pPr>
        <w:rPr>
          <w:color w:val="auto"/>
          <w:highlight w:val="none"/>
        </w:rPr>
      </w:pPr>
      <w:r>
        <w:rPr>
          <w:color w:val="auto"/>
          <w:highlight w:val="none"/>
        </w:rPr>
      </w:r>
      <w:r/>
    </w:p>
    <w:p>
      <w:pP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ind w:firstLine="560"/>
        <w:jc w:val="center"/>
        <w:spacing w:line="360" w:lineRule="auto"/>
        <w:rPr>
          <w:rFonts w:ascii="黑体" w:eastAsia="黑体"/>
          <w:b/>
          <w:color w:val="auto"/>
          <w:sz w:val="28"/>
          <w:szCs w:val="28"/>
          <w:highlight w:val="none"/>
        </w:rPr>
        <w:outlineLvl w:val="0"/>
      </w:pPr>
      <w:r/>
      <w:bookmarkStart w:id="10" w:name="_Toc29141"/>
      <w:r/>
      <w:bookmarkStart w:id="11" w:name="_Toc32088"/>
      <w:r/>
      <w:r/>
    </w:p>
    <w:p>
      <w:pPr>
        <w:ind w:firstLine="560"/>
        <w:jc w:val="center"/>
        <w:spacing w:line="360" w:lineRule="auto"/>
        <w:rPr>
          <w:rFonts w:ascii="黑体" w:hAnsi="宋体" w:eastAsia="黑体"/>
          <w:b/>
          <w:color w:val="auto"/>
          <w:sz w:val="28"/>
          <w:szCs w:val="28"/>
          <w:highlight w:val="none"/>
        </w:rPr>
        <w:outlineLvl w:val="0"/>
      </w:pPr>
      <w:r>
        <w:rPr>
          <w:rFonts w:hint="eastAsia" w:ascii="黑体" w:eastAsia="黑体"/>
          <w:b/>
          <w:color w:val="auto"/>
          <w:sz w:val="28"/>
          <w:szCs w:val="28"/>
          <w:highlight w:val="none"/>
        </w:rPr>
        <w:t xml:space="preserve">四、</w:t>
      </w:r>
      <w:r>
        <w:rPr>
          <w:rFonts w:hint="eastAsia" w:ascii="黑体" w:hAnsi="宋体" w:eastAsia="黑体"/>
          <w:b/>
          <w:color w:val="auto"/>
          <w:sz w:val="28"/>
          <w:szCs w:val="28"/>
          <w:highlight w:val="none"/>
        </w:rPr>
        <w:t xml:space="preserve">合同书（格式文本）</w:t>
      </w:r>
      <w:bookmarkEnd w:id="10"/>
      <w:r/>
      <w:bookmarkEnd w:id="11"/>
      <w:r/>
      <w:r/>
    </w:p>
    <w:p>
      <w:pPr>
        <w:rPr>
          <w:rFonts w:ascii="宋体" w:hAnsi="宋体" w:cs="宋体"/>
          <w:color w:val="auto"/>
          <w:highlight w:val="none"/>
        </w:rPr>
      </w:pPr>
      <w:r/>
      <w:bookmarkStart w:id="12" w:name="_Toc25495"/>
      <w:r/>
      <w:bookmarkStart w:id="13" w:name="_Toc17171"/>
      <w:r/>
      <w:r/>
    </w:p>
    <w:p>
      <w:pPr>
        <w:rPr>
          <w:rFonts w:ascii="黑体" w:hAnsi="黑体" w:eastAsia="黑体" w:cs="黑体"/>
          <w:color w:val="auto"/>
          <w:sz w:val="56"/>
          <w:szCs w:val="56"/>
          <w:highlight w:val="none"/>
        </w:rPr>
      </w:pPr>
      <w:r/>
      <w:bookmarkStart w:id="14" w:name="_Toc508137105"/>
      <w:r/>
      <w:r/>
    </w:p>
    <w:p>
      <w:pPr>
        <w:jc w:val="center"/>
        <w:rPr>
          <w:rFonts w:ascii="黑体" w:hAnsi="黑体" w:eastAsia="黑体" w:cs="黑体"/>
          <w:color w:val="auto"/>
          <w:sz w:val="56"/>
          <w:szCs w:val="56"/>
          <w:highlight w:val="none"/>
        </w:rPr>
      </w:pPr>
      <w:r>
        <w:rPr>
          <w:rFonts w:hint="eastAsia" w:ascii="黑体" w:hAnsi="黑体" w:eastAsia="黑体" w:cs="黑体"/>
          <w:color w:val="auto"/>
          <w:sz w:val="56"/>
          <w:szCs w:val="56"/>
          <w:highlight w:val="none"/>
        </w:rPr>
        <w:t xml:space="preserve">合   同   书</w:t>
      </w:r>
      <w:r/>
    </w:p>
    <w:p>
      <w:pPr>
        <w:spacing w:line="700" w:lineRule="exact"/>
        <w:rPr>
          <w:rFonts w:ascii="宋体" w:hAnsi="宋体" w:cs="宋体"/>
          <w:color w:val="auto"/>
          <w:spacing w:val="120"/>
          <w:sz w:val="28"/>
          <w:szCs w:val="28"/>
          <w:highlight w:val="none"/>
        </w:rPr>
      </w:pPr>
      <w:r>
        <w:rPr>
          <w:rFonts w:ascii="宋体" w:hAnsi="宋体" w:cs="宋体"/>
          <w:color w:val="auto"/>
          <w:spacing w:val="120"/>
          <w:sz w:val="28"/>
          <w:szCs w:val="28"/>
          <w:highlight w:val="none"/>
        </w:rPr>
      </w:r>
      <w:r/>
    </w:p>
    <w:p>
      <w:pPr>
        <w:spacing w:line="700" w:lineRule="exact"/>
        <w:rPr>
          <w:rFonts w:ascii="宋体" w:hAnsi="宋体" w:cs="宋体"/>
          <w:color w:val="auto"/>
          <w:spacing w:val="120"/>
          <w:sz w:val="28"/>
          <w:szCs w:val="28"/>
          <w:highlight w:val="none"/>
        </w:rPr>
      </w:pPr>
      <w:r>
        <w:rPr>
          <w:rFonts w:ascii="宋体" w:hAnsi="宋体" w:cs="宋体"/>
          <w:color w:val="auto"/>
          <w:spacing w:val="120"/>
          <w:sz w:val="28"/>
          <w:szCs w:val="28"/>
          <w:highlight w:val="none"/>
        </w:rPr>
      </w:r>
      <w:r/>
    </w:p>
    <w:p>
      <w:pPr>
        <w:spacing w:line="700" w:lineRule="exact"/>
        <w:rPr>
          <w:rFonts w:ascii="宋体" w:hAnsi="宋体" w:cs="宋体"/>
          <w:color w:val="auto"/>
          <w:spacing w:val="120"/>
          <w:sz w:val="28"/>
          <w:szCs w:val="28"/>
          <w:highlight w:val="none"/>
        </w:rPr>
      </w:pPr>
      <w:r>
        <w:rPr>
          <w:rFonts w:ascii="宋体" w:hAnsi="宋体" w:cs="宋体"/>
          <w:color w:val="auto"/>
          <w:spacing w:val="120"/>
          <w:sz w:val="28"/>
          <w:szCs w:val="28"/>
          <w:highlight w:val="none"/>
        </w:rPr>
      </w:r>
      <w:r/>
    </w:p>
    <w:p>
      <w:pPr>
        <w:spacing w:line="700" w:lineRule="exact"/>
        <w:rPr>
          <w:rFonts w:ascii="宋体" w:hAnsi="宋体" w:cs="宋体"/>
          <w:color w:val="auto"/>
          <w:spacing w:val="120"/>
          <w:sz w:val="28"/>
          <w:szCs w:val="28"/>
          <w:highlight w:val="none"/>
        </w:rPr>
      </w:pPr>
      <w:r>
        <w:rPr>
          <w:rFonts w:ascii="宋体" w:hAnsi="宋体" w:cs="宋体"/>
          <w:color w:val="auto"/>
          <w:spacing w:val="120"/>
          <w:sz w:val="28"/>
          <w:szCs w:val="28"/>
          <w:highlight w:val="none"/>
        </w:rPr>
      </w:r>
      <w:r/>
    </w:p>
    <w:p>
      <w:pPr>
        <w:spacing w:line="960" w:lineRule="exact"/>
        <w:rPr>
          <w:rFonts w:ascii="宋体" w:hAnsi="宋体" w:cs="宋体"/>
          <w:color w:val="auto"/>
          <w:sz w:val="28"/>
          <w:szCs w:val="28"/>
          <w:highlight w:val="none"/>
          <w:u w:val="single"/>
        </w:rPr>
      </w:pPr>
      <w:r>
        <w:rPr>
          <w:rFonts w:hint="eastAsia" w:ascii="宋体" w:hAnsi="宋体" w:cs="宋体"/>
          <w:color w:val="auto"/>
          <w:spacing w:val="120"/>
          <w:sz w:val="28"/>
          <w:szCs w:val="28"/>
          <w:highlight w:val="none"/>
        </w:rPr>
        <w:t xml:space="preserve">项目名</w:t>
      </w:r>
      <w:r>
        <w:rPr>
          <w:rFonts w:hint="eastAsia" w:ascii="宋体" w:hAnsi="宋体" w:cs="宋体"/>
          <w:color w:val="auto"/>
          <w:spacing w:val="10"/>
          <w:sz w:val="28"/>
          <w:szCs w:val="28"/>
          <w:highlight w:val="none"/>
        </w:rPr>
        <w:t xml:space="preserve">称</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 2026-2027年新安街道污水管网养护采购项目  </w:t>
      </w:r>
      <w:r/>
    </w:p>
    <w:p>
      <w:pPr>
        <w:spacing w:line="9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委托方（甲方）：</w:t>
      </w:r>
      <w:r>
        <w:rPr>
          <w:rFonts w:hint="eastAsia" w:ascii="宋体" w:hAnsi="宋体" w:cs="宋体"/>
          <w:color w:val="auto"/>
          <w:sz w:val="28"/>
          <w:szCs w:val="28"/>
          <w:highlight w:val="none"/>
          <w:u w:val="single"/>
        </w:rPr>
        <w:t xml:space="preserve">                                          </w:t>
      </w:r>
      <w:r/>
    </w:p>
    <w:p>
      <w:pPr>
        <w:spacing w:line="9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受托方（乙方）：</w:t>
      </w:r>
      <w:r>
        <w:rPr>
          <w:rFonts w:hint="eastAsia" w:ascii="宋体" w:hAnsi="宋体" w:cs="宋体"/>
          <w:color w:val="auto"/>
          <w:sz w:val="28"/>
          <w:szCs w:val="28"/>
          <w:highlight w:val="none"/>
          <w:u w:val="single"/>
        </w:rPr>
        <w:t xml:space="preserve">                                          </w:t>
      </w:r>
      <w:r/>
    </w:p>
    <w:p>
      <w:pPr>
        <w:spacing w:line="960" w:lineRule="exact"/>
        <w:rPr>
          <w:rFonts w:ascii="宋体" w:hAnsi="宋体" w:cs="宋体"/>
          <w:color w:val="auto"/>
          <w:sz w:val="28"/>
          <w:szCs w:val="28"/>
          <w:highlight w:val="none"/>
        </w:rPr>
      </w:pPr>
      <w:r>
        <w:rPr>
          <w:rFonts w:hint="eastAsia" w:ascii="宋体" w:hAnsi="宋体" w:cs="宋体"/>
          <w:color w:val="auto"/>
          <w:spacing w:val="120"/>
          <w:sz w:val="28"/>
          <w:szCs w:val="28"/>
          <w:highlight w:val="none"/>
        </w:rPr>
        <w:t xml:space="preserve">签订日</w:t>
      </w:r>
      <w:r>
        <w:rPr>
          <w:rFonts w:hint="eastAsia" w:ascii="宋体" w:hAnsi="宋体" w:cs="宋体"/>
          <w:color w:val="auto"/>
          <w:spacing w:val="10"/>
          <w:sz w:val="28"/>
          <w:szCs w:val="28"/>
          <w:highlight w:val="none"/>
        </w:rPr>
        <w:t xml:space="preserve">期</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                                          </w:t>
      </w:r>
      <w:r/>
    </w:p>
    <w:p>
      <w:pPr>
        <w:jc w:val="center"/>
        <w:spacing w:line="360" w:lineRule="exact"/>
        <w:rPr>
          <w:rFonts w:ascii="黑体" w:eastAsia="黑体"/>
          <w:bCs/>
          <w:color w:val="auto"/>
          <w:sz w:val="28"/>
          <w:szCs w:val="28"/>
          <w:highlight w:val="none"/>
        </w:rPr>
      </w:pPr>
      <w:r>
        <w:rPr>
          <w:rFonts w:hint="eastAsia" w:ascii="黑体" w:hAnsi="宋体" w:eastAsia="黑体"/>
          <w:color w:val="auto"/>
          <w:sz w:val="28"/>
          <w:szCs w:val="28"/>
          <w:highlight w:val="none"/>
        </w:rPr>
        <w:br w:type="page" w:clear="all"/>
      </w:r>
      <w:r>
        <w:rPr>
          <w:rFonts w:hint="eastAsia" w:ascii="黑体" w:hAnsi="宋体" w:eastAsia="黑体"/>
          <w:color w:val="auto"/>
          <w:sz w:val="28"/>
          <w:szCs w:val="28"/>
          <w:highlight w:val="none"/>
        </w:rPr>
        <w:t xml:space="preserve">合同书</w:t>
      </w:r>
      <w:r/>
    </w:p>
    <w:p>
      <w:pPr>
        <w:spacing w:line="360" w:lineRule="exact"/>
        <w:rPr>
          <w:rFonts w:hAnsi="宋体"/>
          <w:bCs/>
          <w:color w:val="auto"/>
          <w:sz w:val="24"/>
          <w:szCs w:val="24"/>
          <w:highlight w:val="none"/>
          <w:u w:val="single"/>
        </w:rPr>
      </w:pPr>
      <w:r>
        <w:rPr>
          <w:rFonts w:hint="eastAsia" w:hAnsi="宋体"/>
          <w:bCs/>
          <w:color w:val="auto"/>
          <w:sz w:val="24"/>
          <w:szCs w:val="24"/>
          <w:highlight w:val="none"/>
        </w:rPr>
        <w:t xml:space="preserve">甲方（采购人）：</w:t>
      </w:r>
      <w:r>
        <w:rPr>
          <w:rFonts w:hint="eastAsia" w:hAnsi="宋体"/>
          <w:bCs/>
          <w:color w:val="auto"/>
          <w:sz w:val="24"/>
          <w:szCs w:val="24"/>
          <w:highlight w:val="none"/>
          <w:u w:val="single"/>
        </w:rPr>
        <w:t xml:space="preserve">                           </w:t>
      </w:r>
      <w:r/>
    </w:p>
    <w:p>
      <w:pPr>
        <w:spacing w:line="360" w:lineRule="exact"/>
        <w:rPr>
          <w:rFonts w:hAnsi="宋体"/>
          <w:bCs/>
          <w:color w:val="auto"/>
          <w:sz w:val="24"/>
          <w:szCs w:val="24"/>
          <w:highlight w:val="none"/>
          <w:u w:val="single"/>
        </w:rPr>
      </w:pPr>
      <w:r>
        <w:rPr>
          <w:rFonts w:hint="eastAsia" w:hAnsi="宋体"/>
          <w:bCs/>
          <w:color w:val="auto"/>
          <w:sz w:val="24"/>
          <w:szCs w:val="24"/>
          <w:highlight w:val="none"/>
        </w:rPr>
        <w:t xml:space="preserve">乙方（成交方）：</w:t>
      </w:r>
      <w:r>
        <w:rPr>
          <w:rFonts w:hint="eastAsia" w:hAnsi="宋体"/>
          <w:bCs/>
          <w:color w:val="auto"/>
          <w:sz w:val="24"/>
          <w:szCs w:val="24"/>
          <w:highlight w:val="none"/>
          <w:u w:val="single"/>
        </w:rPr>
        <w:t xml:space="preserve">                           </w:t>
      </w:r>
      <w:r/>
    </w:p>
    <w:p>
      <w:pPr>
        <w:numPr>
          <w:ilvl w:val="0"/>
          <w:numId w:val="17"/>
        </w:numPr>
        <w:ind w:left="0" w:firstLine="0"/>
        <w:spacing w:line="360" w:lineRule="exact"/>
        <w:tabs>
          <w:tab w:val="left" w:pos="420" w:leader="none"/>
          <w:tab w:val="left" w:pos="735" w:leader="none"/>
          <w:tab w:val="left" w:pos="1260" w:leader="none"/>
        </w:tabs>
        <w:rPr>
          <w:rFonts w:hAnsi="宋体"/>
          <w:bCs/>
          <w:color w:val="auto"/>
          <w:sz w:val="24"/>
          <w:szCs w:val="24"/>
          <w:highlight w:val="none"/>
        </w:rPr>
      </w:pPr>
      <w:r>
        <w:rPr>
          <w:rFonts w:hint="eastAsia" w:hAnsi="宋体"/>
          <w:bCs/>
          <w:color w:val="auto"/>
          <w:sz w:val="24"/>
          <w:szCs w:val="24"/>
          <w:highlight w:val="none"/>
        </w:rPr>
        <w:t xml:space="preserve">采购内容：</w:t>
      </w:r>
      <w:r>
        <w:rPr>
          <w:rFonts w:hint="eastAsia" w:hAnsi="宋体"/>
          <w:bCs/>
          <w:color w:val="auto"/>
          <w:sz w:val="24"/>
          <w:szCs w:val="24"/>
          <w:highlight w:val="none"/>
          <w:u w:val="single"/>
        </w:rPr>
        <w:t xml:space="preserve">                           </w:t>
      </w:r>
      <w:r/>
    </w:p>
    <w:p>
      <w:pPr>
        <w:numPr>
          <w:ilvl w:val="0"/>
          <w:numId w:val="17"/>
        </w:numPr>
        <w:ind w:left="0" w:firstLine="0"/>
        <w:spacing w:line="360" w:lineRule="exact"/>
        <w:tabs>
          <w:tab w:val="left" w:pos="735" w:leader="none"/>
          <w:tab w:val="left" w:pos="1260" w:leader="none"/>
        </w:tabs>
        <w:rPr>
          <w:rFonts w:hAnsi="宋体"/>
          <w:bCs/>
          <w:color w:val="auto"/>
          <w:sz w:val="24"/>
          <w:szCs w:val="24"/>
          <w:highlight w:val="none"/>
        </w:rPr>
      </w:pPr>
      <w:r>
        <w:rPr>
          <w:rFonts w:hint="eastAsia" w:hAnsi="宋体"/>
          <w:bCs/>
          <w:color w:val="auto"/>
          <w:sz w:val="24"/>
          <w:szCs w:val="24"/>
          <w:highlight w:val="none"/>
        </w:rPr>
        <w:t xml:space="preserve">成交总金额：人民币（大写）</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 ；人民币（小写）</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 </w:t>
      </w:r>
      <w:r/>
    </w:p>
    <w:p>
      <w:pPr>
        <w:numPr>
          <w:ilvl w:val="0"/>
          <w:numId w:val="17"/>
        </w:numPr>
        <w:ind w:left="0" w:firstLine="0"/>
        <w:spacing w:line="360" w:lineRule="exact"/>
        <w:tabs>
          <w:tab w:val="left" w:pos="735" w:leader="none"/>
          <w:tab w:val="left" w:pos="1260" w:leader="none"/>
        </w:tabs>
        <w:rPr>
          <w:rFonts w:hAnsi="宋体"/>
          <w:bCs/>
          <w:color w:val="auto"/>
          <w:sz w:val="24"/>
          <w:szCs w:val="24"/>
          <w:highlight w:val="none"/>
        </w:rPr>
      </w:pPr>
      <w:r>
        <w:rPr>
          <w:rFonts w:hint="eastAsia" w:hAnsi="宋体"/>
          <w:bCs/>
          <w:color w:val="auto"/>
          <w:sz w:val="24"/>
          <w:szCs w:val="24"/>
          <w:highlight w:val="none"/>
        </w:rPr>
        <w:t xml:space="preserve">质量和服务要求及验收标准：</w:t>
      </w:r>
      <w:r>
        <w:rPr>
          <w:rFonts w:hint="eastAsia" w:hAnsi="宋体"/>
          <w:bCs/>
          <w:color w:val="auto"/>
          <w:sz w:val="24"/>
          <w:szCs w:val="24"/>
          <w:highlight w:val="none"/>
          <w:u w:val="single"/>
        </w:rPr>
        <w:t xml:space="preserve"> 符合现行国家、地方强制性、行业性等相关规范及甲方要求        </w:t>
      </w:r>
      <w:r/>
    </w:p>
    <w:p>
      <w:pPr>
        <w:numPr>
          <w:ilvl w:val="0"/>
          <w:numId w:val="17"/>
        </w:numPr>
        <w:ind w:left="0" w:firstLine="0"/>
        <w:spacing w:line="360" w:lineRule="exact"/>
        <w:tabs>
          <w:tab w:val="left" w:pos="735" w:leader="none"/>
          <w:tab w:val="left" w:pos="1260" w:leader="none"/>
        </w:tabs>
        <w:rPr>
          <w:rFonts w:hAnsi="宋体"/>
          <w:bCs/>
          <w:color w:val="auto"/>
          <w:sz w:val="24"/>
          <w:szCs w:val="24"/>
          <w:highlight w:val="none"/>
        </w:rPr>
      </w:pPr>
      <w:r>
        <w:rPr>
          <w:rFonts w:hint="eastAsia" w:hAnsi="宋体"/>
          <w:bCs/>
          <w:color w:val="auto"/>
          <w:sz w:val="24"/>
          <w:szCs w:val="24"/>
          <w:highlight w:val="none"/>
        </w:rPr>
        <w:t xml:space="preserve">服务期限：</w:t>
      </w:r>
      <w:r>
        <w:rPr>
          <w:rFonts w:hint="eastAsia" w:hAnsi="宋体"/>
          <w:bCs/>
          <w:color w:val="auto"/>
          <w:sz w:val="24"/>
          <w:szCs w:val="24"/>
          <w:highlight w:val="none"/>
          <w:u w:val="single"/>
        </w:rPr>
        <w:t xml:space="preserve"> 2年  </w:t>
      </w:r>
      <w:r/>
    </w:p>
    <w:p>
      <w:pPr>
        <w:numPr>
          <w:ilvl w:val="0"/>
          <w:numId w:val="17"/>
        </w:numPr>
        <w:ind w:left="0" w:firstLine="0"/>
        <w:spacing w:line="360" w:lineRule="exact"/>
        <w:tabs>
          <w:tab w:val="left" w:pos="735" w:leader="none"/>
          <w:tab w:val="left" w:pos="1260" w:leader="none"/>
        </w:tabs>
        <w:rPr>
          <w:rFonts w:hAnsi="宋体"/>
          <w:bCs/>
          <w:color w:val="auto"/>
          <w:sz w:val="24"/>
          <w:szCs w:val="24"/>
          <w:highlight w:val="none"/>
        </w:rPr>
      </w:pPr>
      <w:r>
        <w:rPr>
          <w:rFonts w:hint="eastAsia" w:hAnsi="宋体"/>
          <w:bCs/>
          <w:color w:val="auto"/>
          <w:sz w:val="24"/>
          <w:szCs w:val="24"/>
          <w:highlight w:val="none"/>
        </w:rPr>
        <w:t xml:space="preserve">服务地点和方式：</w:t>
      </w:r>
      <w:r>
        <w:rPr>
          <w:rFonts w:hint="eastAsia" w:hAnsi="宋体"/>
          <w:bCs/>
          <w:color w:val="auto"/>
          <w:sz w:val="24"/>
          <w:szCs w:val="24"/>
          <w:highlight w:val="none"/>
          <w:u w:val="single"/>
        </w:rPr>
        <w:t xml:space="preserve"> 甲方指定地点  </w:t>
      </w:r>
      <w:r/>
    </w:p>
    <w:p>
      <w:pPr>
        <w:numPr>
          <w:ilvl w:val="0"/>
          <w:numId w:val="17"/>
        </w:numPr>
        <w:ind w:left="0" w:firstLine="0"/>
        <w:spacing w:line="360" w:lineRule="exact"/>
        <w:tabs>
          <w:tab w:val="left" w:pos="0" w:leader="none"/>
          <w:tab w:val="left" w:pos="735" w:leader="none"/>
        </w:tabs>
        <w:rPr>
          <w:rFonts w:hAnsi="宋体"/>
          <w:bCs/>
          <w:color w:val="auto"/>
          <w:sz w:val="24"/>
          <w:szCs w:val="24"/>
          <w:highlight w:val="none"/>
        </w:rPr>
      </w:pPr>
      <w:r>
        <w:rPr>
          <w:rFonts w:hint="eastAsia" w:hAnsi="宋体"/>
          <w:bCs/>
          <w:color w:val="auto"/>
          <w:sz w:val="24"/>
          <w:szCs w:val="24"/>
          <w:highlight w:val="none"/>
        </w:rPr>
        <w:t xml:space="preserve">款项支付步骤和办法：</w:t>
      </w:r>
      <w:r>
        <w:rPr>
          <w:rFonts w:hint="eastAsia" w:hAnsi="宋体"/>
          <w:bCs/>
          <w:color w:val="auto"/>
          <w:sz w:val="24"/>
          <w:szCs w:val="24"/>
          <w:highlight w:val="none"/>
          <w:u w:val="single"/>
        </w:rPr>
        <w:t xml:space="preserve">  1.本项目预付款为签订合同价中养护费的10%； 2.污水管网养护服务为固定总价，先做后付，每季度支付一次，结合考核评分结果后支付，第一期支付款项=年养护费/4-考核罚款-其他罚款-预付款，第二期支付款项=年养护费/4-考核罚款-其他罚款，第三期.....以此类推。合同期结束付清余款。 3.不可竞争费按照审计的相关规定自动让利，工程量按实计量签证确认，验收合格后经审计后支付。4.最终报结算审核时，年养护费一并计入结算价，审计结束后付清余款。5.付款时，</w:t>
      </w:r>
      <w:r>
        <w:rPr>
          <w:rFonts w:hint="eastAsia" w:hAnsi="宋体"/>
          <w:bCs/>
          <w:color w:val="auto"/>
          <w:sz w:val="24"/>
          <w:szCs w:val="24"/>
          <w:highlight w:val="none"/>
          <w:u w:val="single"/>
        </w:rPr>
        <w:t xml:space="preserve">乙方</w:t>
      </w:r>
      <w:r>
        <w:rPr>
          <w:rFonts w:hint="eastAsia" w:hAnsi="宋体"/>
          <w:bCs/>
          <w:color w:val="auto"/>
          <w:sz w:val="24"/>
          <w:szCs w:val="24"/>
          <w:highlight w:val="none"/>
          <w:u w:val="single"/>
        </w:rPr>
        <w:t xml:space="preserve">应向</w:t>
      </w:r>
      <w:r>
        <w:rPr>
          <w:rFonts w:hint="eastAsia" w:hAnsi="宋体"/>
          <w:bCs/>
          <w:color w:val="auto"/>
          <w:sz w:val="24"/>
          <w:szCs w:val="24"/>
          <w:highlight w:val="none"/>
          <w:u w:val="single"/>
        </w:rPr>
        <w:t xml:space="preserve">甲方</w:t>
      </w:r>
      <w:r>
        <w:rPr>
          <w:rFonts w:hint="eastAsia" w:hAnsi="宋体"/>
          <w:bCs/>
          <w:color w:val="auto"/>
          <w:sz w:val="24"/>
          <w:szCs w:val="24"/>
          <w:highlight w:val="none"/>
          <w:u w:val="single"/>
        </w:rPr>
        <w:t xml:space="preserve">提供对应金额的增值税发票，否则</w:t>
      </w:r>
      <w:r>
        <w:rPr>
          <w:rFonts w:hint="eastAsia" w:hAnsi="宋体"/>
          <w:bCs/>
          <w:color w:val="auto"/>
          <w:sz w:val="24"/>
          <w:szCs w:val="24"/>
          <w:highlight w:val="none"/>
          <w:u w:val="single"/>
        </w:rPr>
        <w:t xml:space="preserve">甲方</w:t>
      </w:r>
      <w:r>
        <w:rPr>
          <w:rFonts w:hint="eastAsia" w:hAnsi="宋体"/>
          <w:bCs/>
          <w:color w:val="auto"/>
          <w:sz w:val="24"/>
          <w:szCs w:val="24"/>
          <w:highlight w:val="none"/>
          <w:u w:val="single"/>
        </w:rPr>
        <w:t xml:space="preserve">有权相应顺延付款而无需承担逾期付款责任。     </w:t>
      </w:r>
      <w:r/>
    </w:p>
    <w:p>
      <w:pPr>
        <w:numPr>
          <w:ilvl w:val="0"/>
          <w:numId w:val="17"/>
        </w:numPr>
        <w:ind w:left="0" w:firstLine="0"/>
        <w:spacing w:line="360" w:lineRule="exact"/>
        <w:tabs>
          <w:tab w:val="left" w:pos="0" w:leader="none"/>
          <w:tab w:val="left" w:pos="735" w:leader="none"/>
        </w:tabs>
        <w:rPr>
          <w:rFonts w:hAnsi="宋体"/>
          <w:bCs/>
          <w:color w:val="auto"/>
          <w:sz w:val="24"/>
          <w:szCs w:val="24"/>
          <w:highlight w:val="none"/>
        </w:rPr>
      </w:pPr>
      <w:r>
        <w:rPr>
          <w:rFonts w:hint="eastAsia" w:hAnsi="宋体"/>
          <w:bCs/>
          <w:color w:val="auto"/>
          <w:sz w:val="24"/>
          <w:szCs w:val="24"/>
          <w:highlight w:val="none"/>
        </w:rPr>
        <w:t xml:space="preserve">违约责任：</w:t>
      </w:r>
      <w:r>
        <w:rPr>
          <w:rFonts w:hint="eastAsia" w:hAnsi="宋体"/>
          <w:bCs/>
          <w:color w:val="auto"/>
          <w:sz w:val="24"/>
          <w:szCs w:val="24"/>
          <w:highlight w:val="none"/>
          <w:u w:val="single"/>
        </w:rPr>
        <w:t xml:space="preserve">  详情见合同条款   </w:t>
      </w:r>
      <w:r/>
    </w:p>
    <w:p>
      <w:pPr>
        <w:numPr>
          <w:ilvl w:val="0"/>
          <w:numId w:val="17"/>
        </w:numPr>
        <w:ind w:left="0" w:firstLine="0"/>
        <w:spacing w:line="360" w:lineRule="exact"/>
        <w:tabs>
          <w:tab w:val="left" w:pos="0" w:leader="none"/>
          <w:tab w:val="left" w:pos="735" w:leader="none"/>
        </w:tabs>
        <w:rPr>
          <w:rFonts w:hAnsi="宋体"/>
          <w:bCs/>
          <w:color w:val="auto"/>
          <w:sz w:val="24"/>
          <w:szCs w:val="24"/>
          <w:highlight w:val="none"/>
        </w:rPr>
      </w:pPr>
      <w:r>
        <w:rPr>
          <w:rFonts w:hAnsi="宋体"/>
          <w:color w:val="auto"/>
          <w:sz w:val="24"/>
          <w:szCs w:val="24"/>
          <w:highlight w:val="none"/>
        </w:rPr>
        <w:t xml:space="preserve">解决争议的方</w:t>
      </w:r>
      <w:r>
        <w:rPr>
          <w:rFonts w:hint="eastAsia" w:hAnsi="宋体"/>
          <w:color w:val="auto"/>
          <w:sz w:val="24"/>
          <w:szCs w:val="24"/>
          <w:highlight w:val="none"/>
        </w:rPr>
        <w:t xml:space="preserve">式：</w:t>
      </w:r>
      <w:r>
        <w:rPr>
          <w:rFonts w:hint="eastAsia" w:hAnsi="宋体"/>
          <w:color w:val="auto"/>
          <w:sz w:val="24"/>
          <w:szCs w:val="24"/>
          <w:highlight w:val="none"/>
          <w:u w:val="single"/>
        </w:rPr>
        <w:t xml:space="preserve">  </w:t>
      </w:r>
      <w:r>
        <w:rPr>
          <w:rFonts w:hint="eastAsia" w:hAnsi="宋体"/>
          <w:bCs/>
          <w:color w:val="auto"/>
          <w:sz w:val="24"/>
          <w:szCs w:val="24"/>
          <w:highlight w:val="none"/>
          <w:u w:val="single"/>
        </w:rPr>
        <w:t xml:space="preserve">详情见合同条款</w:t>
      </w:r>
      <w:r>
        <w:rPr>
          <w:rFonts w:hint="eastAsia" w:hAnsi="宋体"/>
          <w:color w:val="auto"/>
          <w:sz w:val="24"/>
          <w:szCs w:val="24"/>
          <w:highlight w:val="none"/>
          <w:u w:val="single"/>
        </w:rPr>
        <w:t xml:space="preserve">  </w:t>
      </w:r>
      <w:r/>
    </w:p>
    <w:p>
      <w:pPr>
        <w:numPr>
          <w:ilvl w:val="0"/>
          <w:numId w:val="17"/>
        </w:numPr>
        <w:ind w:left="0" w:firstLine="0"/>
        <w:spacing w:line="360" w:lineRule="exact"/>
        <w:tabs>
          <w:tab w:val="left" w:pos="0" w:leader="none"/>
          <w:tab w:val="left" w:pos="735" w:leader="none"/>
        </w:tabs>
        <w:rPr>
          <w:rFonts w:hAnsi="宋体"/>
          <w:bCs/>
          <w:color w:val="auto"/>
          <w:sz w:val="24"/>
          <w:szCs w:val="24"/>
          <w:highlight w:val="none"/>
        </w:rPr>
      </w:pPr>
      <w:r>
        <w:rPr>
          <w:rFonts w:hint="eastAsia" w:hAnsi="宋体"/>
          <w:bCs/>
          <w:color w:val="auto"/>
          <w:sz w:val="24"/>
          <w:szCs w:val="24"/>
          <w:highlight w:val="none"/>
        </w:rPr>
        <w:t xml:space="preserve">其它事项：</w:t>
      </w:r>
      <w:r>
        <w:rPr>
          <w:rFonts w:hint="eastAsia" w:hAnsi="宋体"/>
          <w:bCs/>
          <w:color w:val="auto"/>
          <w:sz w:val="24"/>
          <w:szCs w:val="24"/>
          <w:highlight w:val="none"/>
          <w:u w:val="single"/>
        </w:rPr>
        <w:t xml:space="preserve">  详情见合同条款 </w:t>
      </w:r>
      <w:r/>
    </w:p>
    <w:p>
      <w:pPr>
        <w:numPr>
          <w:ilvl w:val="0"/>
          <w:numId w:val="17"/>
        </w:numPr>
        <w:ind w:left="0" w:firstLine="0"/>
        <w:spacing w:line="360" w:lineRule="exact"/>
        <w:tabs>
          <w:tab w:val="left" w:pos="0" w:leader="none"/>
          <w:tab w:val="left" w:pos="735" w:leader="none"/>
        </w:tabs>
        <w:rPr>
          <w:rFonts w:hAnsi="宋体"/>
          <w:bCs/>
          <w:color w:val="auto"/>
          <w:sz w:val="24"/>
          <w:szCs w:val="24"/>
          <w:highlight w:val="none"/>
        </w:rPr>
      </w:pPr>
      <w:r>
        <w:rPr>
          <w:rFonts w:hint="eastAsia" w:hAnsi="宋体"/>
          <w:bCs/>
          <w:color w:val="auto"/>
          <w:sz w:val="24"/>
          <w:szCs w:val="24"/>
          <w:highlight w:val="none"/>
        </w:rPr>
        <w:t xml:space="preserve">合同不可分割部分：</w:t>
      </w:r>
      <w:r/>
    </w:p>
    <w:p>
      <w:pPr>
        <w:spacing w:line="360" w:lineRule="exact"/>
        <w:tabs>
          <w:tab w:val="left" w:pos="0" w:leader="none"/>
          <w:tab w:val="left" w:pos="1260" w:leader="none"/>
        </w:tabs>
        <w:rPr>
          <w:rFonts w:hAnsi="宋体"/>
          <w:bCs/>
          <w:color w:val="auto"/>
          <w:sz w:val="24"/>
          <w:szCs w:val="24"/>
          <w:highlight w:val="none"/>
        </w:rPr>
      </w:pPr>
      <w:r>
        <w:rPr>
          <w:rFonts w:hint="eastAsia" w:hAnsi="宋体"/>
          <w:bCs/>
          <w:color w:val="auto"/>
          <w:sz w:val="24"/>
          <w:szCs w:val="24"/>
          <w:highlight w:val="none"/>
        </w:rPr>
        <w:t xml:space="preserve">采购文件、响应文件、合同条款及成交通知书，乙方在报价、评审过程中所作其它有关承诺、声明、书面澄清等均为合同不可分割的部分，与主合同具有同等法律效力。</w:t>
      </w:r>
      <w:r/>
    </w:p>
    <w:p>
      <w:pPr>
        <w:numPr>
          <w:ilvl w:val="0"/>
          <w:numId w:val="17"/>
        </w:numPr>
        <w:ind w:left="0" w:firstLine="0"/>
        <w:spacing w:line="360" w:lineRule="exact"/>
        <w:tabs>
          <w:tab w:val="left" w:pos="0" w:leader="none"/>
          <w:tab w:val="left" w:pos="735" w:leader="none"/>
        </w:tabs>
        <w:rPr>
          <w:rFonts w:hAnsi="宋体"/>
          <w:bCs/>
          <w:color w:val="auto"/>
          <w:sz w:val="24"/>
          <w:szCs w:val="24"/>
          <w:highlight w:val="none"/>
        </w:rPr>
      </w:pPr>
      <w:r>
        <w:rPr>
          <w:rFonts w:hint="eastAsia" w:hAnsi="宋体"/>
          <w:bCs/>
          <w:color w:val="auto"/>
          <w:sz w:val="24"/>
          <w:szCs w:val="24"/>
          <w:highlight w:val="none"/>
        </w:rPr>
        <w:t xml:space="preserve">合同备案：</w:t>
      </w:r>
      <w:r/>
    </w:p>
    <w:p>
      <w:pPr>
        <w:spacing w:line="360" w:lineRule="exact"/>
        <w:tabs>
          <w:tab w:val="left" w:pos="0" w:leader="none"/>
          <w:tab w:val="left" w:pos="1260" w:leader="none"/>
        </w:tabs>
        <w:rPr>
          <w:rFonts w:hAnsi="宋体"/>
          <w:bCs/>
          <w:color w:val="auto"/>
          <w:sz w:val="24"/>
          <w:szCs w:val="24"/>
          <w:highlight w:val="none"/>
        </w:rPr>
      </w:pPr>
      <w:r>
        <w:rPr>
          <w:rFonts w:hint="eastAsia" w:hAnsi="宋体"/>
          <w:bCs/>
          <w:color w:val="auto"/>
          <w:sz w:val="24"/>
          <w:szCs w:val="24"/>
          <w:highlight w:val="none"/>
        </w:rPr>
        <w:t xml:space="preserve">合同一式伍份，甲方贰份，乙方贰份，代理机构壹份。</w:t>
      </w:r>
      <w:r/>
    </w:p>
    <w:p>
      <w:pPr>
        <w:numPr>
          <w:ilvl w:val="0"/>
          <w:numId w:val="17"/>
        </w:numPr>
        <w:ind w:left="0" w:firstLine="0"/>
        <w:spacing w:line="360" w:lineRule="exact"/>
        <w:tabs>
          <w:tab w:val="left" w:pos="0" w:leader="none"/>
          <w:tab w:val="left" w:pos="735" w:leader="none"/>
        </w:tabs>
        <w:rPr>
          <w:rFonts w:hAnsi="宋体"/>
          <w:bCs/>
          <w:color w:val="auto"/>
          <w:sz w:val="24"/>
          <w:szCs w:val="24"/>
          <w:highlight w:val="none"/>
        </w:rPr>
      </w:pPr>
      <w:r>
        <w:rPr>
          <w:rFonts w:hint="eastAsia" w:hAnsi="宋体"/>
          <w:bCs/>
          <w:color w:val="auto"/>
          <w:sz w:val="24"/>
          <w:szCs w:val="24"/>
          <w:highlight w:val="none"/>
        </w:rPr>
        <w:t xml:space="preserve">合同生效：</w:t>
      </w:r>
      <w:r/>
    </w:p>
    <w:p>
      <w:pPr>
        <w:spacing w:line="360" w:lineRule="exact"/>
        <w:tabs>
          <w:tab w:val="left" w:pos="0" w:leader="none"/>
          <w:tab w:val="left" w:pos="1260" w:leader="none"/>
        </w:tabs>
        <w:rPr>
          <w:color w:val="auto"/>
          <w:highlight w:val="none"/>
        </w:rPr>
      </w:pPr>
      <w:r>
        <w:rPr>
          <w:rFonts w:hint="eastAsia" w:hAnsi="宋体"/>
          <w:bCs/>
          <w:color w:val="auto"/>
          <w:sz w:val="24"/>
          <w:szCs w:val="24"/>
          <w:highlight w:val="none"/>
        </w:rPr>
        <w:t xml:space="preserve">本合同由甲乙双方签字、盖章，并经代理机构见证后生效。</w:t>
      </w:r>
      <w:r/>
    </w:p>
    <w:p>
      <w:pPr>
        <w:spacing w:line="360" w:lineRule="exact"/>
        <w:rPr>
          <w:rFonts w:hAnsi="宋体"/>
          <w:bCs/>
          <w:color w:val="auto"/>
          <w:sz w:val="24"/>
          <w:szCs w:val="24"/>
          <w:highlight w:val="none"/>
          <w:u w:val="single"/>
        </w:rPr>
      </w:pPr>
      <w:r>
        <w:rPr>
          <w:rFonts w:hint="eastAsia" w:hAnsi="宋体"/>
          <w:bCs/>
          <w:color w:val="auto"/>
          <w:sz w:val="24"/>
          <w:szCs w:val="24"/>
          <w:highlight w:val="none"/>
        </w:rPr>
        <w:t xml:space="preserve">甲方（采购人）：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（盖章）     乙方（成交方）：</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（盖章）</w:t>
      </w:r>
      <w:r/>
    </w:p>
    <w:p>
      <w:pPr>
        <w:spacing w:line="360" w:lineRule="exact"/>
        <w:rPr>
          <w:rFonts w:hAnsi="宋体"/>
          <w:bCs/>
          <w:color w:val="auto"/>
          <w:sz w:val="24"/>
          <w:szCs w:val="24"/>
          <w:highlight w:val="none"/>
          <w:u w:val="single"/>
        </w:rPr>
      </w:pPr>
      <w:r>
        <w:rPr>
          <w:rFonts w:hint="eastAsia" w:hAnsi="宋体"/>
          <w:bCs/>
          <w:color w:val="auto"/>
          <w:sz w:val="24"/>
          <w:szCs w:val="24"/>
          <w:highlight w:val="none"/>
        </w:rPr>
        <w:t xml:space="preserve">法定（授权）代表人：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法定（授权）代表人：</w:t>
      </w:r>
      <w:r>
        <w:rPr>
          <w:rFonts w:hint="eastAsia" w:hAnsi="宋体"/>
          <w:bCs/>
          <w:color w:val="auto"/>
          <w:sz w:val="24"/>
          <w:szCs w:val="24"/>
          <w:highlight w:val="none"/>
          <w:u w:val="single"/>
        </w:rPr>
        <w:t xml:space="preserve">           </w:t>
      </w:r>
      <w:r/>
    </w:p>
    <w:p>
      <w:pPr>
        <w:ind w:firstLine="1440"/>
        <w:spacing w:line="360" w:lineRule="exact"/>
        <w:rPr>
          <w:rFonts w:hAnsi="宋体"/>
          <w:bCs/>
          <w:color w:val="auto"/>
          <w:sz w:val="24"/>
          <w:szCs w:val="24"/>
          <w:highlight w:val="none"/>
          <w:u w:val="single"/>
        </w:rPr>
      </w:pP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              </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w:t>
      </w:r>
      <w:r/>
    </w:p>
    <w:p>
      <w:pPr>
        <w:ind w:firstLine="480"/>
        <w:spacing w:line="360" w:lineRule="exact"/>
        <w:rPr>
          <w:rFonts w:hAnsi="宋体"/>
          <w:bCs/>
          <w:color w:val="auto"/>
          <w:sz w:val="24"/>
          <w:szCs w:val="24"/>
          <w:highlight w:val="none"/>
        </w:rPr>
      </w:pPr>
      <w:r>
        <w:rPr>
          <w:rFonts w:hint="eastAsia" w:hAnsi="宋体"/>
          <w:bCs/>
          <w:color w:val="auto"/>
          <w:sz w:val="24"/>
          <w:szCs w:val="24"/>
          <w:highlight w:val="none"/>
        </w:rPr>
        <w:t xml:space="preserve">                                      乙方户名：</w:t>
      </w:r>
      <w:r>
        <w:rPr>
          <w:rFonts w:hint="eastAsia" w:hAnsi="宋体"/>
          <w:bCs/>
          <w:color w:val="auto"/>
          <w:sz w:val="24"/>
          <w:szCs w:val="24"/>
          <w:highlight w:val="none"/>
          <w:u w:val="single"/>
        </w:rPr>
        <w:t xml:space="preserve">                  </w:t>
      </w:r>
      <w:r/>
    </w:p>
    <w:p>
      <w:pPr>
        <w:ind w:firstLine="5040"/>
        <w:spacing w:line="360" w:lineRule="exact"/>
        <w:rPr>
          <w:rFonts w:hAnsi="宋体"/>
          <w:bCs/>
          <w:color w:val="auto"/>
          <w:sz w:val="24"/>
          <w:szCs w:val="24"/>
          <w:highlight w:val="none"/>
        </w:rPr>
      </w:pPr>
      <w:r>
        <w:rPr>
          <w:rFonts w:hint="eastAsia" w:hAnsi="宋体"/>
          <w:bCs/>
          <w:color w:val="auto"/>
          <w:sz w:val="24"/>
          <w:szCs w:val="24"/>
          <w:highlight w:val="none"/>
        </w:rPr>
        <w:t xml:space="preserve">乙方开户银行：</w:t>
      </w:r>
      <w:r>
        <w:rPr>
          <w:rFonts w:hint="eastAsia" w:hAnsi="宋体"/>
          <w:bCs/>
          <w:color w:val="auto"/>
          <w:sz w:val="24"/>
          <w:szCs w:val="24"/>
          <w:highlight w:val="none"/>
          <w:u w:val="single"/>
        </w:rPr>
        <w:t xml:space="preserve">                 </w:t>
      </w:r>
      <w:r/>
    </w:p>
    <w:p>
      <w:pPr>
        <w:ind w:firstLine="5040"/>
        <w:spacing w:line="360" w:lineRule="exact"/>
        <w:rPr>
          <w:rFonts w:hAnsi="宋体"/>
          <w:bCs/>
          <w:color w:val="auto"/>
          <w:sz w:val="24"/>
          <w:szCs w:val="24"/>
          <w:highlight w:val="none"/>
        </w:rPr>
      </w:pPr>
      <w:r>
        <w:rPr>
          <w:rFonts w:hint="eastAsia" w:hAnsi="宋体"/>
          <w:bCs/>
          <w:color w:val="auto"/>
          <w:sz w:val="24"/>
          <w:szCs w:val="24"/>
          <w:highlight w:val="none"/>
        </w:rPr>
        <w:t xml:space="preserve">乙方帐号：</w:t>
      </w:r>
      <w:r>
        <w:rPr>
          <w:rFonts w:hint="eastAsia" w:hAnsi="宋体"/>
          <w:bCs/>
          <w:color w:val="auto"/>
          <w:sz w:val="24"/>
          <w:szCs w:val="24"/>
          <w:highlight w:val="none"/>
          <w:u w:val="single"/>
        </w:rPr>
        <w:t xml:space="preserve">                    </w:t>
      </w:r>
      <w:r/>
    </w:p>
    <w:p>
      <w:pPr>
        <w:spacing w:line="360" w:lineRule="exact"/>
        <w:rPr>
          <w:rFonts w:hAnsi="宋体"/>
          <w:bCs/>
          <w:color w:val="auto"/>
          <w:sz w:val="24"/>
          <w:szCs w:val="24"/>
          <w:highlight w:val="none"/>
          <w:u w:val="single"/>
        </w:rPr>
      </w:pPr>
      <w:r/>
      <w:bookmarkStart w:id="15" w:name="五．合同条款"/>
      <w:r/>
      <w:bookmarkEnd w:id="15"/>
      <w:r>
        <w:rPr>
          <w:rFonts w:hint="eastAsia" w:hAnsi="宋体"/>
          <w:bCs/>
          <w:color w:val="auto"/>
          <w:sz w:val="24"/>
          <w:szCs w:val="24"/>
          <w:highlight w:val="none"/>
        </w:rPr>
        <w:t xml:space="preserve">见证方：</w:t>
      </w:r>
      <w:r>
        <w:rPr>
          <w:rFonts w:hint="eastAsia" w:hAnsi="宋体"/>
          <w:color w:val="auto"/>
          <w:sz w:val="24"/>
          <w:szCs w:val="24"/>
          <w:highlight w:val="none"/>
        </w:rPr>
        <w:t xml:space="preserve">                      </w:t>
      </w:r>
      <w:r>
        <w:rPr>
          <w:rFonts w:hint="eastAsia" w:hAnsi="宋体"/>
          <w:bCs/>
          <w:color w:val="auto"/>
          <w:sz w:val="24"/>
          <w:szCs w:val="24"/>
          <w:highlight w:val="none"/>
        </w:rPr>
        <w:t xml:space="preserve">（盖章）      </w:t>
      </w:r>
      <w:r/>
    </w:p>
    <w:p>
      <w:pPr>
        <w:spacing w:line="360" w:lineRule="exact"/>
        <w:rPr>
          <w:rFonts w:hAnsi="宋体"/>
          <w:bCs/>
          <w:color w:val="auto"/>
          <w:sz w:val="24"/>
          <w:szCs w:val="24"/>
          <w:highlight w:val="none"/>
        </w:rPr>
      </w:pPr>
      <w:r>
        <w:rPr>
          <w:rFonts w:hint="eastAsia" w:hAnsi="宋体"/>
          <w:bCs/>
          <w:color w:val="auto"/>
          <w:sz w:val="24"/>
          <w:szCs w:val="24"/>
          <w:highlight w:val="none"/>
        </w:rPr>
        <w:t xml:space="preserve">见证人：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r/>
    </w:p>
    <w:p>
      <w:pPr>
        <w:spacing w:line="360" w:lineRule="exact"/>
        <w:rPr>
          <w:rFonts w:ascii="黑体" w:eastAsia="黑体"/>
          <w:bCs/>
          <w:color w:val="auto"/>
          <w:sz w:val="28"/>
          <w:szCs w:val="28"/>
          <w:highlight w:val="none"/>
        </w:rPr>
      </w:pPr>
      <w:r>
        <w:rPr>
          <w:rFonts w:hint="eastAsia" w:hAnsi="宋体"/>
          <w:bCs/>
          <w:color w:val="auto"/>
          <w:sz w:val="24"/>
          <w:szCs w:val="24"/>
          <w:highlight w:val="none"/>
        </w:rPr>
        <w:t xml:space="preserve"> </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w:t>
      </w:r>
      <w:r>
        <w:rPr>
          <w:rFonts w:hint="eastAsia" w:ascii="黑体" w:eastAsia="黑体"/>
          <w:bCs/>
          <w:color w:val="auto"/>
          <w:sz w:val="28"/>
          <w:szCs w:val="28"/>
          <w:highlight w:val="none"/>
        </w:rPr>
        <w:t xml:space="preserve">  </w:t>
      </w:r>
      <w:bookmarkEnd w:id="14"/>
      <w:r/>
      <w:r/>
    </w:p>
    <w:p>
      <w:pPr>
        <w:jc w:val="center"/>
        <w:spacing w:line="44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4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4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40" w:lineRule="exact"/>
        <w:rPr>
          <w:rFonts w:eastAsia="黑体"/>
          <w:bCs/>
          <w:color w:val="auto"/>
          <w:sz w:val="28"/>
          <w:szCs w:val="28"/>
          <w:highlight w:val="none"/>
          <w:lang w:val="de-DE"/>
        </w:rPr>
      </w:pPr>
      <w:r>
        <w:rPr>
          <w:rFonts w:hint="eastAsia" w:ascii="黑体" w:eastAsia="黑体"/>
          <w:bCs/>
          <w:color w:val="auto"/>
          <w:sz w:val="28"/>
          <w:szCs w:val="28"/>
          <w:highlight w:val="none"/>
        </w:rPr>
        <w:t xml:space="preserve">合同条款</w:t>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根据磋商文件和该文件的成交通知书及乙方响应文件、</w:t>
      </w:r>
      <w:r>
        <w:rPr>
          <w:rFonts w:hint="eastAsia" w:hAnsi="宋体"/>
          <w:bCs/>
          <w:color w:val="auto"/>
          <w:sz w:val="24"/>
          <w:szCs w:val="24"/>
          <w:highlight w:val="none"/>
        </w:rPr>
        <w:t xml:space="preserve">乙方在报价、评审过程中所作其它有关承诺、声明、书面澄清等</w:t>
      </w:r>
      <w:r>
        <w:rPr>
          <w:rFonts w:hint="eastAsia" w:ascii="宋体" w:hAnsi="宋体" w:cs="宋体"/>
          <w:color w:val="auto"/>
          <w:sz w:val="24"/>
          <w:szCs w:val="24"/>
          <w:highlight w:val="none"/>
        </w:rPr>
        <w:t xml:space="preserve">，根据《中华人民共和国政府采购法》及相关法规、《中华人民共和国民法典》，遵循平等、自愿、公平和诚实信用的原则，甲乙双方就</w:t>
      </w:r>
      <w:r>
        <w:rPr>
          <w:rFonts w:hint="eastAsia" w:ascii="宋体" w:hAnsi="宋体" w:cs="宋体"/>
          <w:color w:val="auto"/>
          <w:sz w:val="24"/>
          <w:szCs w:val="24"/>
          <w:highlight w:val="none"/>
          <w:u w:val="single"/>
        </w:rPr>
        <w:t xml:space="preserve">   2026-2027年新安街道污水管网养护采购项目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）实施及有关事项协商一致，共同达成如下协议：</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一、合同内容：</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1.项目名称：2026-2027年新安街道污水管网养护采购项目</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2.服务内容：对采购范围内的新安街道污水管网及河道排口进行日常巡查、养护清通、问题排口溯源排查等（包括污水管线及污水检查井、问题雨水管线等），污水管道总长度约21345千米，污水井653座。</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3.质量要求：符合现行国家、地方强制性、行业性等相关规范及采购人要求。</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4.成交（中标）合同履行时间：（24个月，合同起始日期以实际养护开始日期为准），采取“1+1”模式，合同一年一签，若上一年度养护未达到甲方要求，甲方有权拒签下一年度养护合同。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本次合同履行期限：一年（2026年  月  日-2027年  月  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5.合同履行地点：甲方指定地点</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二、合同金额：</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1.合同价格形式：固定单价。</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2.成交（中标）金额：大写 </w:t>
      </w:r>
      <w:r>
        <w:rPr>
          <w:rFonts w:hint="eastAsia" w:ascii="宋体" w:hAnsi="宋体" w:cs="宋体"/>
          <w:color w:val="auto"/>
          <w:sz w:val="24"/>
          <w:highlight w:val="none"/>
          <w:u w:val="single"/>
        </w:rPr>
        <w:t xml:space="preserve">      /两年</w:t>
      </w:r>
      <w:r>
        <w:rPr>
          <w:rFonts w:hint="eastAsia" w:ascii="宋体" w:hAnsi="宋体" w:cs="宋体"/>
          <w:color w:val="auto"/>
          <w:sz w:val="24"/>
          <w:highlight w:val="none"/>
        </w:rPr>
        <w:t xml:space="preserve">；小写：¥ </w:t>
      </w:r>
      <w:r>
        <w:rPr>
          <w:rFonts w:hint="eastAsia" w:ascii="宋体" w:hAnsi="宋体" w:cs="宋体"/>
          <w:color w:val="auto"/>
          <w:sz w:val="24"/>
          <w:highlight w:val="none"/>
          <w:u w:val="single"/>
        </w:rPr>
        <w:t xml:space="preserve">     元/两年</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w:t>
      </w:r>
      <w:r>
        <w:rPr>
          <w:rFonts w:hint="eastAsia" w:ascii="宋体" w:hAnsi="宋体" w:cs="宋体"/>
          <w:color w:val="auto"/>
          <w:sz w:val="24"/>
          <w:highlight w:val="none"/>
        </w:rPr>
        <w:t xml:space="preserve">年度合同金额：大写</w:t>
      </w:r>
      <w:r>
        <w:rPr>
          <w:rFonts w:hint="eastAsia" w:ascii="宋体" w:hAnsi="宋体" w:cs="宋体"/>
          <w:color w:val="auto"/>
          <w:sz w:val="24"/>
          <w:highlight w:val="none"/>
          <w:u w:val="single"/>
        </w:rPr>
        <w:t xml:space="preserve">      /年</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元/年</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其中：</w:t>
      </w:r>
      <w:r>
        <w:rPr>
          <w:rFonts w:hint="eastAsia" w:ascii="宋体" w:hAnsi="宋体" w:cs="宋体"/>
          <w:color w:val="auto"/>
          <w:sz w:val="24"/>
          <w:highlight w:val="none"/>
          <w:u w:val="single"/>
        </w:rPr>
        <w:t xml:space="preserve">不可竞争费35万/年，为在养护期间内出现不可预计的管网抢修，甲方以任务单形式下达乙方，并与乙方签订抢修协议，工程量以甲方认可的工程签证单为准并按实审计。</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本</w:t>
      </w:r>
      <w:r>
        <w:rPr>
          <w:rFonts w:hint="eastAsia" w:ascii="宋体" w:hAnsi="宋体" w:cs="宋体"/>
          <w:color w:val="auto"/>
          <w:sz w:val="24"/>
          <w:highlight w:val="none"/>
        </w:rPr>
        <w:t xml:space="preserve">合同金额</w:t>
      </w:r>
      <w:r>
        <w:rPr>
          <w:rFonts w:ascii="宋体" w:hAnsi="宋体" w:cs="宋体"/>
          <w:color w:val="auto"/>
          <w:sz w:val="24"/>
          <w:highlight w:val="none"/>
        </w:rPr>
        <w:t xml:space="preserve">包含应包括雨污水管道、排水</w:t>
      </w:r>
      <w:r>
        <w:rPr>
          <w:rFonts w:ascii="宋体" w:hAnsi="宋体" w:cs="宋体"/>
          <w:color w:val="auto"/>
          <w:sz w:val="24"/>
          <w:highlight w:val="none"/>
        </w:rPr>
        <w:t xml:space="preserve">渠道日常巡查，排放口巡视、检查，雨污水管道、检查井、污水井疏通、清淤、外运（运距自定，堆场费用自理），缺损井盖、井圈更换修复，破损检查井、污水井修复，管道、管井的CCTV检测、QV检测，雨污水管网档案资料归档，以及人员费用（工资、福利、培训、社会保险等），服务所用设备、机械、车辆、工具购置及维修费用，服务所用材料消耗费用，管理费用、利润、税金、政策性文件规定的各项规费及合同包含的所有风险(包括但不限于遇最低工资调整、物价上涨、重大活动、检查、突发情况、税费调整等)等各项应有费；不可竞争费按实际需求按时结算。</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三、服务标准和要求：</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1.管网巡查、排查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1.1市政管线的巡查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（1）重点查看井盖丢失、违章占压、路面蹋陷、私接偷排、污水冒溢等情况，每周一次。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（2）在下雨前、后对主要市政管道内的污水水位进行检查，对存在高程差的节点处进行水位监测。</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（3）对改造路段的市政污水主干网进行监管（每天对施工段的水位监测），防止向井内偷倒垃圾。</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（4）查看市政管网倒虹管段河流内水质是否出现异常。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（5）乙方在日常巡查中未及时发现缺失或破损井盖、违章占压、路面塌陷、私接偷排、污水冒溢等情况的，由此造成的人员伤亡或其他事故，责任由乙方承担。</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1.2污水排放口排查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（1）沿污水管线，逐条路排查该区域污水排放口是否损坏、是否雨污合流。</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（2）对生活小区污水排放口进行监管，检查是否雨污合流。</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（3）对问题点周边区域管线逐条路沿污水管线排查，遇河道及支流沿河排查是否污染河道。</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（4）如遇特种废水排出的单位或排出企业内有暗管偷排现象的，立即上报甲方。</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2.管道及其附属设施的检查与养护要求</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2.1管道及其附属设施的检查与养护要求：</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（1）要求乙方应定期对污水管道及其附属设施进行检查、维护，确保污水管道始终保持良好的通水功能和结构状态。</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（2）巡查内容主要包括污水冒溢、井盖缺损、管道塌陷、违章占压、违章排放、私自接管、雨污混接以及影响管道排水的工程施工情况。</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2.2乙方应在事故发生或接到报障、保修、投诉后2小时到达现场，组织调查、抢修。重大事故应在12小时内向排水主管部门报告。</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2.3养护方式可采用机械作业与人工作业相结合，具体应根据管径、管材、施工工艺等不同区别对待。</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2.4乙方应严格按照下表规定对检查井、排放口、管道、倒虹管等进行检查，并建立相应的检查记录以备核查。</w:t>
      </w:r>
      <w:r/>
    </w:p>
    <w:p>
      <w:pPr>
        <w:ind w:firstLine="480"/>
        <w:jc w:val="center"/>
        <w:spacing w:line="360" w:lineRule="auto"/>
        <w:rPr>
          <w:rFonts w:ascii="宋体" w:hAnsi="宋体"/>
          <w:b/>
          <w:bCs/>
          <w:color w:val="auto"/>
          <w:sz w:val="24"/>
          <w:highlight w:val="none"/>
        </w:rPr>
      </w:pPr>
      <w:r>
        <w:rPr>
          <w:rFonts w:hint="eastAsia" w:ascii="宋体" w:hAnsi="宋体" w:cs="宋体"/>
          <w:b/>
          <w:bCs/>
          <w:color w:val="auto"/>
          <w:sz w:val="24"/>
          <w:highlight w:val="none"/>
        </w:rPr>
        <w:t xml:space="preserve"> </w:t>
      </w:r>
      <w:r>
        <w:rPr>
          <w:rFonts w:hint="eastAsia" w:ascii="宋体" w:hAnsi="宋体"/>
          <w:color w:val="auto"/>
          <w:sz w:val="24"/>
          <w:highlight w:val="none"/>
        </w:rPr>
        <w:t xml:space="preserve">管道及附属设施的检查要求表</w:t>
      </w:r>
      <w:r/>
    </w:p>
    <w:tbl>
      <w:tblPr>
        <w:tblStyle w:val="697"/>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4"/>
        <w:gridCol w:w="1336"/>
        <w:gridCol w:w="4790"/>
        <w:gridCol w:w="1008"/>
      </w:tblGrid>
      <w:tr>
        <w:trPr>
          <w:trHeight w:val="344"/>
        </w:trPr>
        <w:tc>
          <w:tcPr>
            <w:tcW w:w="178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设施种类</w:t>
            </w:r>
            <w:r/>
          </w:p>
        </w:tc>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检查方法</w:t>
            </w:r>
            <w:r/>
          </w:p>
        </w:tc>
        <w:tc>
          <w:tcPr>
            <w:tcW w:w="47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检查内容</w:t>
            </w:r>
            <w:r/>
          </w:p>
        </w:tc>
        <w:tc>
          <w:tcPr>
            <w:tcW w:w="100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检查周期</w:t>
            </w:r>
            <w:r/>
          </w:p>
        </w:tc>
      </w:tr>
      <w:tr>
        <w:trPr>
          <w:trHeight w:val="677"/>
        </w:trPr>
        <w:tc>
          <w:tcPr>
            <w:tcW w:w="178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检查井</w:t>
            </w:r>
            <w:r/>
          </w:p>
        </w:tc>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目测</w:t>
            </w:r>
            <w:r/>
          </w:p>
        </w:tc>
        <w:tc>
          <w:tcPr>
            <w:tcW w:w="47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违章占压、违章接管、井盖井座、梯蹬、井壁结垢、井底积泥、井身结构等</w:t>
            </w:r>
            <w:r/>
          </w:p>
        </w:tc>
        <w:tc>
          <w:tcPr>
            <w:tcW w:w="100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3个月</w:t>
            </w:r>
            <w:r/>
          </w:p>
        </w:tc>
      </w:tr>
      <w:tr>
        <w:trPr>
          <w:trHeight w:val="344"/>
        </w:trPr>
        <w:tc>
          <w:tcPr>
            <w:tcW w:w="1784" w:type="dxa"/>
            <w:vAlign w:val="center"/>
            <w:vMerge w:val="restart"/>
            <w:textDirection w:val="lrTb"/>
            <w:noWrap w:val="false"/>
          </w:tcPr>
          <w:p>
            <w:pPr>
              <w:jc w:val="center"/>
              <w:rPr>
                <w:rFonts w:ascii="宋体" w:hAnsi="宋体"/>
                <w:color w:val="auto"/>
                <w:highlight w:val="none"/>
              </w:rPr>
            </w:pPr>
            <w:r>
              <w:rPr>
                <w:rFonts w:hint="eastAsia" w:ascii="宋体" w:hAnsi="宋体"/>
                <w:color w:val="auto"/>
                <w:highlight w:val="none"/>
              </w:rPr>
              <w:t xml:space="preserve">管道</w:t>
            </w:r>
            <w:r/>
          </w:p>
        </w:tc>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目测</w:t>
            </w:r>
            <w:r/>
          </w:p>
        </w:tc>
        <w:tc>
          <w:tcPr>
            <w:tcW w:w="47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违章占压、地面塌陷、水位、水流、淤积情况等</w:t>
            </w:r>
            <w:r/>
          </w:p>
        </w:tc>
        <w:tc>
          <w:tcPr>
            <w:tcW w:w="100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3个月</w:t>
            </w:r>
            <w:r/>
          </w:p>
        </w:tc>
      </w:tr>
      <w:tr>
        <w:trPr>
          <w:trHeight w:val="729"/>
        </w:trPr>
        <w:tc>
          <w:tcPr>
            <w:tcW w:w="1784"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管道反光镜或电视检测</w:t>
            </w:r>
            <w:r/>
          </w:p>
        </w:tc>
        <w:tc>
          <w:tcPr>
            <w:tcW w:w="47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变形、腐蚀、渗漏、接口、结垢、错接等</w:t>
            </w:r>
            <w:r/>
          </w:p>
        </w:tc>
        <w:tc>
          <w:tcPr>
            <w:tcW w:w="100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2年</w:t>
            </w:r>
            <w:r/>
          </w:p>
        </w:tc>
      </w:tr>
      <w:tr>
        <w:trPr>
          <w:trHeight w:val="344"/>
        </w:trPr>
        <w:tc>
          <w:tcPr>
            <w:tcW w:w="1784" w:type="dxa"/>
            <w:vAlign w:val="center"/>
            <w:vMerge w:val="restart"/>
            <w:textDirection w:val="lrTb"/>
            <w:noWrap w:val="false"/>
          </w:tcPr>
          <w:p>
            <w:pPr>
              <w:jc w:val="center"/>
              <w:rPr>
                <w:rFonts w:ascii="宋体" w:hAnsi="宋体"/>
                <w:color w:val="auto"/>
                <w:highlight w:val="none"/>
              </w:rPr>
            </w:pPr>
            <w:r>
              <w:rPr>
                <w:rFonts w:hint="eastAsia" w:ascii="宋体" w:hAnsi="宋体"/>
                <w:color w:val="auto"/>
                <w:highlight w:val="none"/>
              </w:rPr>
              <w:t xml:space="preserve">倒虹管（一般是满水管，无法检查必须定期清淤）</w:t>
            </w:r>
            <w:r/>
          </w:p>
        </w:tc>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目测</w:t>
            </w:r>
            <w:r/>
          </w:p>
        </w:tc>
        <w:tc>
          <w:tcPr>
            <w:tcW w:w="47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标志牌、两端水位差、闸门等</w:t>
            </w:r>
            <w:r/>
          </w:p>
        </w:tc>
        <w:tc>
          <w:tcPr>
            <w:tcW w:w="100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6个月</w:t>
            </w:r>
            <w:r/>
          </w:p>
        </w:tc>
      </w:tr>
      <w:tr>
        <w:trPr>
          <w:trHeight w:val="667"/>
        </w:trPr>
        <w:tc>
          <w:tcPr>
            <w:tcW w:w="1784"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电视检测</w:t>
            </w:r>
            <w:r/>
          </w:p>
        </w:tc>
        <w:tc>
          <w:tcPr>
            <w:tcW w:w="47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淤积、腐蚀、接口渗漏、河床冲刷、管顶覆土等</w:t>
            </w:r>
            <w:r/>
          </w:p>
        </w:tc>
        <w:tc>
          <w:tcPr>
            <w:tcW w:w="100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1年</w:t>
            </w:r>
            <w:r/>
          </w:p>
        </w:tc>
      </w:tr>
      <w:tr>
        <w:trPr>
          <w:trHeight w:val="344"/>
        </w:trPr>
        <w:tc>
          <w:tcPr>
            <w:tcW w:w="178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三格式化粪池</w:t>
            </w:r>
            <w:r/>
          </w:p>
        </w:tc>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目测</w:t>
            </w:r>
            <w:r/>
          </w:p>
        </w:tc>
        <w:tc>
          <w:tcPr>
            <w:tcW w:w="47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违章占压、变形、结垢、渗漏、淤积情况等</w:t>
            </w:r>
            <w:r/>
          </w:p>
        </w:tc>
        <w:tc>
          <w:tcPr>
            <w:tcW w:w="100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3个月</w:t>
            </w:r>
            <w:r/>
          </w:p>
        </w:tc>
      </w:tr>
      <w:tr>
        <w:trPr>
          <w:trHeight w:val="355"/>
        </w:trPr>
        <w:tc>
          <w:tcPr>
            <w:tcW w:w="178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隔油池和捞毛设施</w:t>
            </w:r>
            <w:r/>
          </w:p>
        </w:tc>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目测</w:t>
            </w:r>
            <w:r/>
          </w:p>
        </w:tc>
        <w:tc>
          <w:tcPr>
            <w:tcW w:w="47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违章占压、变形、结垢、淤积情况等</w:t>
            </w:r>
            <w:r/>
          </w:p>
        </w:tc>
        <w:tc>
          <w:tcPr>
            <w:tcW w:w="100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2个月</w:t>
            </w:r>
            <w:r/>
          </w:p>
        </w:tc>
      </w:tr>
    </w:tbl>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2.5检查井日常巡查检查的内容应符合下表规定</w:t>
      </w:r>
      <w:r/>
    </w:p>
    <w:tbl>
      <w:tblPr>
        <w:tblStyle w:val="697"/>
        <w:tblW w:w="88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4"/>
        <w:gridCol w:w="1640"/>
        <w:gridCol w:w="1768"/>
        <w:gridCol w:w="2273"/>
        <w:gridCol w:w="1674"/>
      </w:tblGrid>
      <w:tr>
        <w:trPr>
          <w:trHeight w:val="365"/>
        </w:trPr>
        <w:tc>
          <w:tcPr>
            <w:tcW w:w="148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部位</w:t>
            </w:r>
            <w:r/>
          </w:p>
        </w:tc>
        <w:tc>
          <w:tcPr>
            <w:gridSpan w:val="2"/>
            <w:tcW w:w="340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外部巡查</w:t>
            </w:r>
            <w:r/>
          </w:p>
        </w:tc>
        <w:tc>
          <w:tcPr>
            <w:gridSpan w:val="2"/>
            <w:tcW w:w="394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内部检查</w:t>
            </w:r>
            <w:r/>
          </w:p>
        </w:tc>
      </w:tr>
      <w:tr>
        <w:trPr>
          <w:trHeight w:val="365"/>
        </w:trPr>
        <w:tc>
          <w:tcPr>
            <w:tcW w:w="1484" w:type="dxa"/>
            <w:vAlign w:val="center"/>
            <w:vMerge w:val="restart"/>
            <w:textDirection w:val="lrTb"/>
            <w:noWrap w:val="false"/>
          </w:tcPr>
          <w:p>
            <w:pPr>
              <w:jc w:val="center"/>
              <w:rPr>
                <w:rFonts w:ascii="宋体" w:hAnsi="宋体"/>
                <w:color w:val="auto"/>
                <w:highlight w:val="none"/>
              </w:rPr>
            </w:pPr>
            <w:r>
              <w:rPr>
                <w:rFonts w:hint="eastAsia" w:ascii="宋体" w:hAnsi="宋体"/>
                <w:color w:val="auto"/>
                <w:highlight w:val="none"/>
              </w:rPr>
              <w:t xml:space="preserve">内容</w:t>
            </w:r>
            <w:r/>
          </w:p>
        </w:tc>
        <w:tc>
          <w:tcPr>
            <w:tcW w:w="164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井的位置标识</w:t>
            </w:r>
            <w:r/>
          </w:p>
        </w:tc>
        <w:tc>
          <w:tcPr>
            <w:tcW w:w="176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盖、框高差</w:t>
            </w:r>
            <w:r/>
          </w:p>
        </w:tc>
        <w:tc>
          <w:tcPr>
            <w:tcW w:w="227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井位标高、井深的标识</w:t>
            </w:r>
            <w:r/>
          </w:p>
        </w:tc>
        <w:tc>
          <w:tcPr>
            <w:tcW w:w="167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管口孔洞</w:t>
            </w:r>
            <w:r/>
          </w:p>
        </w:tc>
      </w:tr>
      <w:tr>
        <w:trPr>
          <w:trHeight w:val="365"/>
        </w:trPr>
        <w:tc>
          <w:tcPr>
            <w:tcW w:w="1484"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64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井盖埋没</w:t>
            </w:r>
            <w:r/>
          </w:p>
        </w:tc>
        <w:tc>
          <w:tcPr>
            <w:tcW w:w="176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盖框突出或凹陷</w:t>
            </w:r>
            <w:r/>
          </w:p>
        </w:tc>
        <w:tc>
          <w:tcPr>
            <w:tcW w:w="227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爬梯松动、锈蚀或缺损</w:t>
            </w:r>
            <w:r/>
          </w:p>
        </w:tc>
        <w:tc>
          <w:tcPr>
            <w:tcW w:w="167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流槽破损</w:t>
            </w:r>
            <w:r/>
          </w:p>
        </w:tc>
      </w:tr>
      <w:tr>
        <w:trPr>
          <w:trHeight w:val="365"/>
        </w:trPr>
        <w:tc>
          <w:tcPr>
            <w:tcW w:w="1484"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64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井盖丢失</w:t>
            </w:r>
            <w:r/>
          </w:p>
        </w:tc>
        <w:tc>
          <w:tcPr>
            <w:tcW w:w="176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跳动和声响</w:t>
            </w:r>
            <w:r/>
          </w:p>
        </w:tc>
        <w:tc>
          <w:tcPr>
            <w:tcW w:w="227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井壁泥垢</w:t>
            </w:r>
            <w:r/>
          </w:p>
        </w:tc>
        <w:tc>
          <w:tcPr>
            <w:tcW w:w="167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井底积泥</w:t>
            </w:r>
            <w:r/>
          </w:p>
        </w:tc>
      </w:tr>
      <w:tr>
        <w:trPr>
          <w:trHeight w:val="365"/>
        </w:trPr>
        <w:tc>
          <w:tcPr>
            <w:tcW w:w="1484"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64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井盖破损</w:t>
            </w:r>
            <w:r/>
          </w:p>
        </w:tc>
        <w:tc>
          <w:tcPr>
            <w:tcW w:w="176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周边路面破损</w:t>
            </w:r>
            <w:r/>
          </w:p>
        </w:tc>
        <w:tc>
          <w:tcPr>
            <w:tcW w:w="227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井壁裂缝</w:t>
            </w:r>
            <w:r/>
          </w:p>
        </w:tc>
        <w:tc>
          <w:tcPr>
            <w:tcW w:w="167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水流不畅</w:t>
            </w:r>
            <w:r/>
          </w:p>
        </w:tc>
      </w:tr>
      <w:tr>
        <w:trPr>
          <w:trHeight w:val="365"/>
        </w:trPr>
        <w:tc>
          <w:tcPr>
            <w:tcW w:w="1484"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64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井框破损</w:t>
            </w:r>
            <w:r/>
          </w:p>
        </w:tc>
        <w:tc>
          <w:tcPr>
            <w:tcW w:w="176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井盖标识错误</w:t>
            </w:r>
            <w:r/>
          </w:p>
        </w:tc>
        <w:tc>
          <w:tcPr>
            <w:tcW w:w="227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井壁渗漏</w:t>
            </w:r>
            <w:r/>
          </w:p>
        </w:tc>
        <w:tc>
          <w:tcPr>
            <w:tcW w:w="167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浮渣</w:t>
            </w:r>
            <w:r/>
          </w:p>
        </w:tc>
      </w:tr>
      <w:tr>
        <w:trPr>
          <w:trHeight w:val="396"/>
        </w:trPr>
        <w:tc>
          <w:tcPr>
            <w:tcW w:w="1484"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64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盖、框间隙</w:t>
            </w:r>
            <w:r/>
          </w:p>
        </w:tc>
        <w:tc>
          <w:tcPr>
            <w:tcW w:w="176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27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抹面脱落</w:t>
            </w:r>
            <w:r/>
          </w:p>
        </w:tc>
        <w:tc>
          <w:tcPr>
            <w:tcW w:w="1674"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2.6井盖的选用应符合下表规定</w:t>
      </w:r>
      <w:r/>
    </w:p>
    <w:tbl>
      <w:tblPr>
        <w:tblStyle w:val="697"/>
        <w:tblW w:w="88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60"/>
        <w:gridCol w:w="3304"/>
        <w:gridCol w:w="2615"/>
      </w:tblGrid>
      <w:tr>
        <w:trPr>
          <w:trHeight w:val="337"/>
        </w:trPr>
        <w:tc>
          <w:tcPr>
            <w:tcW w:w="296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井盖种类</w:t>
            </w:r>
            <w:r/>
          </w:p>
        </w:tc>
        <w:tc>
          <w:tcPr>
            <w:tcW w:w="330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标准名称</w:t>
            </w:r>
            <w:r/>
          </w:p>
        </w:tc>
        <w:tc>
          <w:tcPr>
            <w:tcW w:w="261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标准标号</w:t>
            </w:r>
            <w:r/>
          </w:p>
        </w:tc>
      </w:tr>
      <w:tr>
        <w:trPr>
          <w:trHeight w:val="337"/>
        </w:trPr>
        <w:tc>
          <w:tcPr>
            <w:tcW w:w="296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铸铁井盖</w:t>
            </w:r>
            <w:r/>
          </w:p>
        </w:tc>
        <w:tc>
          <w:tcPr>
            <w:tcW w:w="330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《铸铁检查井盖》</w:t>
            </w:r>
            <w:r/>
          </w:p>
        </w:tc>
        <w:tc>
          <w:tcPr>
            <w:tcW w:w="261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CJ/T3012</w:t>
            </w:r>
            <w:r/>
          </w:p>
        </w:tc>
      </w:tr>
      <w:tr>
        <w:trPr>
          <w:trHeight w:val="337"/>
        </w:trPr>
        <w:tc>
          <w:tcPr>
            <w:tcW w:w="296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混凝土井盖</w:t>
            </w:r>
            <w:r/>
          </w:p>
        </w:tc>
        <w:tc>
          <w:tcPr>
            <w:tcW w:w="330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《钢纤维混凝土检查井盖》</w:t>
            </w:r>
            <w:r/>
          </w:p>
        </w:tc>
        <w:tc>
          <w:tcPr>
            <w:tcW w:w="261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JC889</w:t>
            </w:r>
            <w:r/>
          </w:p>
        </w:tc>
      </w:tr>
      <w:tr>
        <w:trPr>
          <w:trHeight w:val="337"/>
        </w:trPr>
        <w:tc>
          <w:tcPr>
            <w:tcW w:w="296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塑料树脂类井盖</w:t>
            </w:r>
            <w:r/>
          </w:p>
        </w:tc>
        <w:tc>
          <w:tcPr>
            <w:tcW w:w="330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《再生树脂复合材料检查井盖》</w:t>
            </w:r>
            <w:r/>
          </w:p>
        </w:tc>
        <w:tc>
          <w:tcPr>
            <w:tcW w:w="261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CJ/T 121</w:t>
            </w:r>
            <w:r/>
          </w:p>
        </w:tc>
      </w:tr>
      <w:tr>
        <w:trPr>
          <w:trHeight w:val="347"/>
        </w:trPr>
        <w:tc>
          <w:tcPr>
            <w:tcW w:w="296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塑料树脂类井箅</w:t>
            </w:r>
            <w:r/>
          </w:p>
        </w:tc>
        <w:tc>
          <w:tcPr>
            <w:tcW w:w="330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《再生树脂复合材料检查井箅》</w:t>
            </w:r>
            <w:r/>
          </w:p>
        </w:tc>
        <w:tc>
          <w:tcPr>
            <w:tcW w:w="261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CJ/T 130</w:t>
            </w:r>
            <w:r/>
          </w:p>
        </w:tc>
      </w:tr>
    </w:tbl>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2.7在车辆经过时，井盖不应出现跳动和声响。井盖与井框间允许误差应符合下表规定。</w:t>
      </w:r>
      <w:r/>
    </w:p>
    <w:p>
      <w:pPr>
        <w:ind w:firstLine="48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井盖与井框间允许误差（mm）</w:t>
      </w:r>
      <w:r/>
    </w:p>
    <w:tbl>
      <w:tblPr>
        <w:tblStyle w:val="697"/>
        <w:tblW w:w="88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5"/>
        <w:gridCol w:w="2205"/>
        <w:gridCol w:w="2205"/>
        <w:gridCol w:w="2205"/>
      </w:tblGrid>
      <w:tr>
        <w:trPr>
          <w:trHeight w:val="406"/>
        </w:trPr>
        <w:tc>
          <w:tcPr>
            <w:tcW w:w="220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设施种类</w:t>
            </w:r>
            <w:r/>
          </w:p>
        </w:tc>
        <w:tc>
          <w:tcPr>
            <w:tcW w:w="220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盖框间隙</w:t>
            </w:r>
            <w:r/>
          </w:p>
        </w:tc>
        <w:tc>
          <w:tcPr>
            <w:tcW w:w="220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井盖与井框高低差</w:t>
            </w:r>
            <w:r/>
          </w:p>
        </w:tc>
        <w:tc>
          <w:tcPr>
            <w:tcW w:w="220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井框与路面高低差</w:t>
            </w:r>
            <w:r/>
          </w:p>
        </w:tc>
      </w:tr>
      <w:tr>
        <w:trPr>
          <w:trHeight w:val="419"/>
        </w:trPr>
        <w:tc>
          <w:tcPr>
            <w:tcW w:w="220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检查井</w:t>
            </w:r>
            <w:r/>
          </w:p>
        </w:tc>
        <w:tc>
          <w:tcPr>
            <w:tcW w:w="220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＜8</w:t>
            </w:r>
            <w:r/>
          </w:p>
        </w:tc>
        <w:tc>
          <w:tcPr>
            <w:tcW w:w="220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+5，-10</w:t>
            </w:r>
            <w:r/>
          </w:p>
        </w:tc>
        <w:tc>
          <w:tcPr>
            <w:tcW w:w="220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+15，-15</w:t>
            </w:r>
            <w:r/>
          </w:p>
        </w:tc>
      </w:tr>
    </w:tbl>
    <w:p>
      <w:pPr>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2.8发现井盖缺失或损坏后，须及时安放护栏和警示标志，并在6小时内修复。</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2.9检查井的清掏宜采用吸泥车、抓泥车等机械设备。</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2.10管道检查项目可分为功能状况和结构状况两类，主要检查项目包括下表内容。</w:t>
      </w:r>
      <w:r/>
    </w:p>
    <w:p>
      <w:pPr>
        <w:ind w:firstLine="480"/>
        <w:jc w:val="center"/>
        <w:spacing w:line="360" w:lineRule="auto"/>
        <w:rPr>
          <w:rFonts w:ascii="宋体" w:hAnsi="宋体"/>
          <w:color w:val="auto"/>
          <w:sz w:val="24"/>
          <w:highlight w:val="none"/>
        </w:rPr>
      </w:pPr>
      <w:r>
        <w:rPr>
          <w:rFonts w:hint="eastAsia" w:ascii="宋体" w:hAnsi="宋体"/>
          <w:color w:val="auto"/>
          <w:sz w:val="24"/>
          <w:highlight w:val="none"/>
        </w:rPr>
        <w:t xml:space="preserve">管道状况主要检查项目</w:t>
      </w:r>
      <w:r/>
    </w:p>
    <w:tbl>
      <w:tblPr>
        <w:tblStyle w:val="697"/>
        <w:tblW w:w="88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6"/>
        <w:gridCol w:w="2946"/>
        <w:gridCol w:w="2946"/>
      </w:tblGrid>
      <w:tr>
        <w:trPr>
          <w:trHeight w:val="378"/>
        </w:trPr>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检查类别</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功能状况</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结构状况</w:t>
            </w:r>
            <w:r/>
          </w:p>
        </w:tc>
      </w:tr>
      <w:tr>
        <w:trPr>
          <w:trHeight w:val="373"/>
        </w:trPr>
        <w:tc>
          <w:tcPr>
            <w:tcW w:w="2946" w:type="dxa"/>
            <w:vAlign w:val="center"/>
            <w:vMerge w:val="restart"/>
            <w:textDirection w:val="lrTb"/>
            <w:noWrap w:val="false"/>
          </w:tcPr>
          <w:p>
            <w:pPr>
              <w:jc w:val="center"/>
              <w:rPr>
                <w:rFonts w:ascii="宋体" w:hAnsi="宋体"/>
                <w:color w:val="auto"/>
                <w:highlight w:val="none"/>
              </w:rPr>
            </w:pPr>
            <w:r>
              <w:rPr>
                <w:rFonts w:hint="eastAsia" w:ascii="宋体" w:hAnsi="宋体"/>
                <w:color w:val="auto"/>
                <w:highlight w:val="none"/>
              </w:rPr>
              <w:t xml:space="preserve">检查项目</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管道积泥</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裂缝</w:t>
            </w:r>
            <w:r/>
          </w:p>
        </w:tc>
      </w:tr>
      <w:tr>
        <w:trPr>
          <w:trHeight w:val="373"/>
        </w:trPr>
        <w:tc>
          <w:tcPr>
            <w:tcW w:w="2946"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检查井积泥</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变形</w:t>
            </w:r>
            <w:r/>
          </w:p>
        </w:tc>
      </w:tr>
      <w:tr>
        <w:trPr>
          <w:trHeight w:val="373"/>
        </w:trPr>
        <w:tc>
          <w:tcPr>
            <w:tcW w:w="2946"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排放口积泥</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错口</w:t>
            </w:r>
            <w:r/>
          </w:p>
        </w:tc>
      </w:tr>
      <w:tr>
        <w:trPr>
          <w:trHeight w:val="373"/>
        </w:trPr>
        <w:tc>
          <w:tcPr>
            <w:tcW w:w="2946"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泥垢和油脂</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脱节</w:t>
            </w:r>
            <w:r/>
          </w:p>
        </w:tc>
      </w:tr>
      <w:tr>
        <w:trPr>
          <w:trHeight w:val="373"/>
        </w:trPr>
        <w:tc>
          <w:tcPr>
            <w:tcW w:w="2946"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树根</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破损与孔洞</w:t>
            </w:r>
            <w:r/>
          </w:p>
        </w:tc>
      </w:tr>
      <w:tr>
        <w:trPr>
          <w:trHeight w:val="373"/>
        </w:trPr>
        <w:tc>
          <w:tcPr>
            <w:tcW w:w="2946"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水位和水流</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渗漏</w:t>
            </w:r>
            <w:r/>
          </w:p>
        </w:tc>
      </w:tr>
      <w:tr>
        <w:trPr>
          <w:trHeight w:val="396"/>
        </w:trPr>
        <w:tc>
          <w:tcPr>
            <w:tcW w:w="2946"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残墙、坝根</w:t>
            </w:r>
            <w:r/>
          </w:p>
        </w:tc>
        <w:tc>
          <w:tcPr>
            <w:tcW w:w="294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异管穿入</w:t>
            </w:r>
            <w:r/>
          </w:p>
        </w:tc>
      </w:tr>
    </w:tbl>
    <w:p>
      <w:pPr>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2.11管道养护应符合下列规定：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（1）定期巡视、及时发现和修理管道裂缝、腐蚀、沉降、变形、错口、脱节、破损、孔洞、异管穿入、渗漏、冒溢等情况。</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（2）压力管养护应采用满负荷开泵的方式进行水力冲洗，至少每3个月1次。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（3）定期开盖检查压力井盖板，发现盖板锈蚀、密封垫老化、井体裂缝、管内积泥等情况应及时维修和保养。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（4）管道和检查井内不得留有石块等阻碍排水的杂物。管道和检查井的最大积泥深度符合下表规定。</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管道和检查井的允许积泥深度</w:t>
      </w:r>
      <w:r/>
    </w:p>
    <w:tbl>
      <w:tblPr>
        <w:tblStyle w:val="697"/>
        <w:tblW w:w="859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1680"/>
        <w:gridCol w:w="4581"/>
      </w:tblGrid>
      <w:tr>
        <w:trPr>
          <w:trHeight w:val="382"/>
        </w:trPr>
        <w:tc>
          <w:tcPr>
            <w:gridSpan w:val="2"/>
            <w:tcW w:w="401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设施类别</w:t>
            </w:r>
            <w:r/>
          </w:p>
        </w:tc>
        <w:tc>
          <w:tcPr>
            <w:tcW w:w="458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允许积泥深度</w:t>
            </w:r>
            <w:r/>
          </w:p>
        </w:tc>
      </w:tr>
      <w:tr>
        <w:trPr>
          <w:trHeight w:val="382"/>
        </w:trPr>
        <w:tc>
          <w:tcPr>
            <w:gridSpan w:val="2"/>
            <w:tcW w:w="401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管道</w:t>
            </w:r>
            <w:r/>
          </w:p>
        </w:tc>
        <w:tc>
          <w:tcPr>
            <w:tcW w:w="458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管径的1/5</w:t>
            </w:r>
            <w:r/>
          </w:p>
        </w:tc>
      </w:tr>
      <w:tr>
        <w:trPr>
          <w:trHeight w:val="382"/>
        </w:trPr>
        <w:tc>
          <w:tcPr>
            <w:tcW w:w="2338" w:type="dxa"/>
            <w:vAlign w:val="center"/>
            <w:vMerge w:val="restart"/>
            <w:textDirection w:val="lrTb"/>
            <w:noWrap w:val="false"/>
          </w:tcPr>
          <w:p>
            <w:pPr>
              <w:jc w:val="center"/>
              <w:rPr>
                <w:rFonts w:ascii="宋体" w:hAnsi="宋体"/>
                <w:color w:val="auto"/>
                <w:highlight w:val="none"/>
              </w:rPr>
            </w:pPr>
            <w:r>
              <w:rPr>
                <w:rFonts w:hint="eastAsia" w:ascii="宋体" w:hAnsi="宋体"/>
                <w:color w:val="auto"/>
                <w:highlight w:val="none"/>
              </w:rPr>
              <w:t xml:space="preserve">检查井</w:t>
            </w:r>
            <w:r/>
          </w:p>
        </w:tc>
        <w:tc>
          <w:tcPr>
            <w:tcW w:w="168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有沉泥槽</w:t>
            </w:r>
            <w:r/>
          </w:p>
        </w:tc>
        <w:tc>
          <w:tcPr>
            <w:tcW w:w="458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管底以下50mm</w:t>
            </w:r>
            <w:r/>
          </w:p>
        </w:tc>
      </w:tr>
      <w:tr>
        <w:trPr>
          <w:trHeight w:val="405"/>
        </w:trPr>
        <w:tc>
          <w:tcPr>
            <w:tcW w:w="2338"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68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无沉泥槽</w:t>
            </w:r>
            <w:r/>
          </w:p>
        </w:tc>
        <w:tc>
          <w:tcPr>
            <w:tcW w:w="458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主管径的1/5</w:t>
            </w:r>
            <w:r/>
          </w:p>
        </w:tc>
      </w:tr>
    </w:tbl>
    <w:p>
      <w:pPr>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2.12倒虹管的养护应符合下列规定：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（1）倒虹管养护宜采用水力冲洗的方法，冲洗流速不宜小于1.2M/S。在建有双排倒虹管的地方，可采用关闭其中一条、集中水量冲洗另一条的方法。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（2）过河倒虹管的河床覆土不应小于0.5M。在河床受冲刷的地方，应每年检查1次倒虹管的覆土状况。</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（3）在通航河道上设置的倒虹管保护标志应定期检查和油漆，保持结构完好和字迹清晰。</w:t>
      </w:r>
      <w:r/>
    </w:p>
    <w:p>
      <w:pPr>
        <w:ind w:firstLine="480"/>
        <w:spacing w:line="360" w:lineRule="auto"/>
        <w:widowControl/>
        <w:rPr>
          <w:rFonts w:ascii="宋体" w:hAnsi="宋体"/>
          <w:color w:val="auto"/>
          <w:sz w:val="24"/>
          <w:highlight w:val="none"/>
        </w:rPr>
      </w:pPr>
      <w:r>
        <w:rPr>
          <w:rFonts w:hint="eastAsia" w:ascii="宋体" w:hAnsi="宋体" w:cs="宋体"/>
          <w:color w:val="auto"/>
          <w:sz w:val="24"/>
          <w:highlight w:val="none"/>
        </w:rPr>
        <w:t xml:space="preserve">（4）对过河倒虹管进行检修前，当需要抽空管道时，必须先进行抗浮验算。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3.污泥运输与处置</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3.1污泥盛器和车辆在街道上停放应设置安全标志，夜间应悬挂警示灯。疏通作业完毕后，应及时撤离现场。</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3.2污泥运输应符合下列规定：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（1）通沟污泥可采用罐车、自卸卡车或污泥拖斗运输，也可采用水陆联运。</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（2）在运输过程中，应做到污泥不落地、沿途无洒落。</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（3）污泥运输车辆应加盖，并定期清洗保持整洁。</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（4）污泥在长运输距离前宜进行脱水处理，脱水过程可在中转站进行或送污水处理厂处理。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3.3污泥处置应符合下列规定：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（1）污泥在送处置场前，宜进行脱水处理。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（2）污泥处置不得对环境造成污染。</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4.安全文明作业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4.1养护作业人员上岗前须接受必要的安全作业技术培训，掌握人工急救、防护用具、照明、通讯设备的是用方法及相关安全知识、经考核合格后持证上岗。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4.2检查井井盖开启后，须立即采取相应安全措施，如加盖安全网盖或设置安全护栏，白天加挂三角红旗，夜间加挂安全红灯或设置反光锥。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4.4在征得交管部门同意中断交通后，应在道路两端设置断绝交通的警示标志；在繁华地区作业时，应指派专人指挥交通、维护现场秩序。</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4.5下井作业应经过严格的审批手续，管道维护和检查严格执行现行相关行业标准。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4.6防毒面具应定期校验，下井作业前须再次校验，合格后方可使用。</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4.7养护人员应统一着装，作业时应按要求设置警示标志和安全护栏，无抛洒滴漏，工完场清，文明作业。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4.9巡查、养护、抢修车辆车况应经常保持良好状态，车容整洁，标志明显。</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4.10乙方应建立健全污水管道及其附属设施档案资料管理制度，配备专职档案资料管理人员。各项管网、设施维护台账健全，记录详细，装订规范。运营档案、资料实行计算机自动化管理。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4.11乙方应向社会公布服务承诺、投诉电话和电子信箱。</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5.不可预计的管网抢修</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对于不可预计的抢修，乙方先需将出现故障的管网点周围设置安全栅栏，并立即通知采购人查看现场，由采购人现场确认后下达施工任务单，并另签订该管线的抢修协议，所发生的工程量经采购人签字确认后，按实审计结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6.新安片区污水管网养护工作内容及要求</w:t>
      </w:r>
      <w:r/>
    </w:p>
    <w:tbl>
      <w:tblPr>
        <w:tblStyle w:val="697"/>
        <w:tblW w:w="4999" w:type="pct"/>
        <w:tblInd w:w="-15" w:type="dxa"/>
        <w:tblLayout w:type="autofit"/>
        <w:tblCellMar>
          <w:left w:w="15" w:type="dxa"/>
          <w:top w:w="15" w:type="dxa"/>
          <w:right w:w="15" w:type="dxa"/>
          <w:bottom w:w="0" w:type="dxa"/>
        </w:tblCellMar>
        <w:tblLook w:val="04A0" w:firstRow="1" w:lastRow="0" w:firstColumn="1" w:lastColumn="0" w:noHBand="0" w:noVBand="1"/>
      </w:tblPr>
      <w:tblGrid>
        <w:gridCol w:w="1461"/>
        <w:gridCol w:w="4161"/>
        <w:gridCol w:w="4152"/>
      </w:tblGrid>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工作内容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工程量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工作标准</w:t>
            </w:r>
            <w:r/>
          </w:p>
        </w:tc>
      </w:tr>
      <w:tr>
        <w:trPr>
          <w:trHeight w:val="21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排水设施巡查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每周不少于一次，汛期要按要求增加巡视次数，确保管井畅通，检查井框盖完好吻合，井内的积淤符合要求，井圈和井盖开裂、丢失应在24小时之内补装完整，并做好安全保护警示措施，以防发生意外事故。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熟悉管网运行现状，管线液位情况，确保排水设施正常运行，检查井、收水井框盖完好吻合。</w:t>
            </w: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错误标识井盖更换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对辖区内的井盖开展专项巡查至少一次，对发现的错盖井盖进行及时更换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在2个月内开展专项巡查，确保无错盖井盖，发现一处错盖的扣一千元</w:t>
            </w:r>
            <w:r/>
          </w:p>
        </w:tc>
      </w:tr>
      <w:tr>
        <w:trPr>
          <w:trHeight w:val="1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企业、小区、工地、河道雨水排放口巡查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对辖区内的河道雨水排口进行全覆盖检查，并开展问题排口溯源工作，查清问题。设置末端截留设施的排口，对截留设施工作情况进行日常巡查。配合有关部门对新增的工地、小区等单位的雨水排放口开展检查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及时发现雨污混排问题，查清污水来源，每半年提交工作报告</w:t>
            </w:r>
            <w:r/>
          </w:p>
        </w:tc>
      </w:tr>
      <w:tr>
        <w:trPr>
          <w:trHeight w:val="1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清掏疏浚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污水井每季度1次，DN600以下管道每年2次，DN600以上每年1次，对经常出现问题的管线、污水井加倍清理疏通频率。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确保管畅通，出水口正常</w:t>
            </w:r>
            <w:r/>
          </w:p>
        </w:tc>
      </w:tr>
      <w:tr>
        <w:trPr>
          <w:trHeight w:val="8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应急处置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制定应急处置预案，配齐应急排水设备，并报甲方审核备案，组织开展应急演练活动。接到甲方通知后，应在规定时间内赶到事发现场进行应急处置（排查、抽水、出具整改方案、封堵、修复等）、同时负责管道零星维修以及临时调水处置，按实结算（不含大修及改造工程费用），同时对河道水质保障工作进行配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当发现井圈和井盖缺失或损坏，必须及时安放护栏和警示标志，并应在6小时内恢复。河道水质出现突发恶化，在24小时内完成排查，其它出现的污水设施或排放问题，养护单位在接到通知（报障、报修、报诉）后，须在1小时内（恶劣天气情况下经甲方认可后顺延）赶到事发现场，修复任务应该在接到通知48小时内完成。紧急报修任务在接到通知8小时内完成，特殊紧急抢修任务接到通知后立即赶往现场修复。数字城管信息平台反馈、群众投诉、新闻媒体曝光、上级领导发现或批示的问题，应在规定时间内修复完善到位。</w:t>
            </w:r>
            <w:r/>
          </w:p>
        </w:tc>
      </w:tr>
      <w:tr>
        <w:trPr>
          <w:trHeight w:val="1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排水户检测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新建排水户管网视频检测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对新建的排水户的接管情况进行检查验收，发现存在问题的，及时上报，并提供视频检测资料</w:t>
            </w:r>
            <w:r/>
          </w:p>
        </w:tc>
      </w:tr>
      <w:tr>
        <w:trPr>
          <w:trHeight w:val="28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资料提交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在2个月内将完善的污水管线电子图纸（含管径、管长、管底标高、污水井等）上报发包方，未提供污水管线电子图纸的管段不予支付养护资金。同时，在每年4月底前，应递交养护标段内污水设施清通养护及完好率情况报告，并将10%污水管道视频检测抽查资料及现场清通养护影像资料作为附件上报。每季度向发包方提供管网养护的相关记录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管线图每缺失1%，扣除一万元，每缺失视频检测资料每少于1%，扣除一万元。若出现管道及井位的抢修，应上报发包方同意后方可实施，同时需提供前后视频检测资料和书面验收资料，作为结算依据。</w:t>
            </w:r>
            <w:r/>
          </w:p>
        </w:tc>
      </w:tr>
    </w:tbl>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7.场地、人员、设备要求：</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7.1在无锡范围内具备固定管养场所。</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维护期间乙方每天必须确保有5名工作人员到场备案，并上传每天的现场工作情况照片。一经发现有人缺席，每人每天罚款1000元，一旦被查三次，甲方有权要求乙方进行整顿，并对成交单位处以5000元罚金。若反复出现此类情况，甲方有权终止合同，并要求乙方弥补由此造成的损失。在现场服务管理中，技术管理人员必须佩戴工作证、安全帽、夜间施工必须穿反光衣，特殊工种人员必须持证上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7.3维护期间必须确保有抓泥车（抓斗清淤车）、吸泥车（吸污车）、下水道疏通车养护设备可以调配使用。</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乙方应建立有效的运行维护信息，按养护规范要求频率进行巡查。同时，每年对排水设施运行维护信息进行汇总。制作运行维护信息年报表。分别于每年12月底前报采购人，并配合采购人做好信息更新工作。巡视不到位、频率不满足要求、资料不齐全、不准确等，按《新安街道污水管网养护工作考核》处理。</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四、质量、技术标准：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1.质量验收标准：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A、依据《城镇排水管渠及泵站维护技术规范》（CJJ68-2016）和《新吴区公共雨污水管网（设施）养护作业参考标准》执行。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B、排水设施每日进行巡查，确保沟管畅通，检查井井框盖完好吻合，井内的积淤符合要求，井圈和井盖开裂、丢失应在6小时之内补装完整，并做好安全保护警示措施，以防发生意外事故，每周一次。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2.乙方必须严格按照《城镇排水管渠与泵站维护技术规程》（CJJ68-2016）、泵站的运行、维</w:t>
      </w:r>
      <w:r>
        <w:rPr>
          <w:rFonts w:hint="eastAsia" w:ascii="宋体" w:hAnsi="宋体" w:cs="宋体"/>
          <w:color w:val="auto"/>
          <w:sz w:val="24"/>
          <w:highlight w:val="none"/>
        </w:rPr>
        <w:t xml:space="preserve">护应符合国家现行《恶臭污染物排放标准》（GB14554）和《城市区域环境噪声标准》（GB3096）规定。管道维护必须执行国家现行标准《排水管道维护安全技术规程》（CJJ6）、《城市污水处理厂运行、维护及其安全技术规程》（CJJ60）和市、区有关养护作业标准等的规定。养护技术规范进行作业，针对病害维修要及时、规范，每月按时上报维修工作量、维修质量检查评定情况以及下月维修计划。并将自检评定资料于11月底前上报至采购人备案，甲方进行抽查复检单元设施综合完好率，如不及时交纳，按《新安街道污水管网养护工作考核》处理。</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五、项目验收及考核标准：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1.考核为100分制，按月考核。考核表详见《新安街道污水管网养护工作考核》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2.按月考得分向乙方支付运行维护经费。月考得分在90分以上（包括90分），则全额支付该月度运行维护费用。月考得分在85~90分（包括85分）则扣除当月养护经费的</w:t>
      </w:r>
      <w:r>
        <w:rPr>
          <w:rFonts w:hint="eastAsia" w:ascii="宋体" w:hAnsi="宋体" w:cs="宋体"/>
          <w:color w:val="auto"/>
          <w:sz w:val="24"/>
          <w:highlight w:val="none"/>
        </w:rPr>
        <w:t xml:space="preserve">10%；月考得分在80~85分（包括80分）则扣除当月养护经费的20%；考核分低于80分的则扣除当月养护经费的40%，或暂缓支付养护经费，待整改到位后支付。同时甲方有权无条件单方面终止该合同。如连续两个月考核未能达到九十分以上的，甲方有权终止合同，自合同终止之日起至甲方在确定新的养护单位期间，如甲方委托第三方进行养护的，所需费用均由乙方承担。乙方还须另行支付给甲方合同价款的百分之五作为违约金，并赔偿由此给甲方造成的一切经济损失。原已完成的工程量按实审计。年度考核达到九十分但仍需返修的，返修费用仍由乙方承担。</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（3）对于乙方养护质量不符合要求的，甲方先通知整改，乙方在两天内不整改的或整改效果不符合要求的，由甲方有权委托第三方进行整改，由此产生的费用甲方有权直接在乙方养护费中扣除。</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六、合同款项支付：</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1.本项目预付款为签订合同价中养护费的10%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污水管网养护服务为固定总价，先做后付，每季度支付一次，结合考核评分结果后支付，第一期支付款项=年养护费/4-考核罚款-其他罚款-预付款，第二期支付款项=年养护费/4-考核罚款-其他罚款，第三期.....以此类推。合同期结束付清余款。</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3.不可竞争费按照审计的相关规定自动让利，工程量按实计量签证确认，验收合格后经审计后支付。</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4.最终报结算审核时，年养护费一并计入结算价，审计结束后付清余款。</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5.付款时，成交单位应向采购人提供对应金额的增值税发票，否则采购人有权相应顺延付款而无需承担逾期付款责任。</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七、甲乙双方的责任和义务：</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（一）甲方责任与义务</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按照合同规定拨付</w:t>
      </w:r>
      <w:r>
        <w:rPr>
          <w:rFonts w:hint="eastAsia" w:ascii="宋体" w:hAnsi="宋体" w:cs="宋体"/>
          <w:color w:val="auto"/>
          <w:sz w:val="24"/>
          <w:highlight w:val="none"/>
        </w:rPr>
        <w:t xml:space="preserve">养护费用</w:t>
      </w:r>
      <w:r>
        <w:rPr>
          <w:rFonts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协助乙方处理与各排水区块所属单位、社区关系，以便于运行维护工作的顺利进行；</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负责对乙方运行维护质量进行月度考核和满意度测评工作；</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根据乙方日常巡查中发现的污水管网（设施）存在的问题及时组织整改。</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（二）乙方责任与义务</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乙方应就近设立办事处，接受市民来信来访，醒目标识单位名称、市民投诉接待人员、联系电话等，运行维护作业人员应统一着装；</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乙方须对承担运行维护的所有巡视员进行基础知识教育，做好巡视记录，明确责任到人。日常巡查中发现污水管网（设施）存在问题、缺陷，应当及时上报甲方；</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乙方应严格执行相关安全生产的规范条例，应对施工人员进行安全教育，在运行维护合同期内，不发生人身伤亡事故和安全生产事故。合同期内的安全事故及责任和经济损失均由乙方负责。 </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八、违约责任：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在合同有效期内，如乙方出现以下几种情况，甲方有权终止本合同的继续执行，乙方应退还已收全部款项并承担本合同总价款20%的违约金，若造成甲方损失的，还应承担甲方的全部损失（包括但不限于因乙方怠于履责而导致甲方聘请第三方代乙方履行职责而发生的费用、因乙方怠于履责而导致第三方向甲方要求赔偿发生的费用、甲方为维护自身权益而支出的律师费、诉讼费、担保费、鉴定费、差旅费等费用）：</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（1）因乙方巡查和养护作业不到位，造成安全生产责任事故（含人员坠井、交通事故、硫化氢中毒等伤亡事故）发生的；</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（2）因乙方养护不到位，造成路面大量积水车辆无法通行的；</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（3）乙方养护管理月度考核连续2个月得分低于80分的。</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（4）乙方存在其他违约情形导致合同无法继续履行的或合同目的无法实现的。</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本合同在履行过程中发生的争议，由双方当事人协商解决；协商调解不成的，双方约定向甲方所在地人民法院诉讼解决。</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乙方应确保其工作人员的人身安全，自费购买安全保险、安全防护设备等（该费用已包含在包干总价中，甲方无需额外支付），乙方工作人员如发生任何人身损害，由乙方承担全部责任及损失，如对甲方造成损失的，乙方应全额赔偿甲方损失。</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3.合同有效期内，甲乙双方均不得单方解除本合同，如单方解除本合同的，另一方方有权要求违约方支付本合同价款5%的违约金。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乙方不得转包成交（中标）的服务项目，未经甲方书面同意不得将成交（中标）的服务项目分包，一旦发现，甲方有权单方面解除合同，并由乙方应承担合同违约金合同价的5%且承担可能发生的一切法律责任和费用</w:t>
      </w:r>
      <w:r/>
    </w:p>
    <w:p>
      <w:pPr>
        <w:ind w:firstLine="480"/>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rPr>
        <w:t xml:space="preserve">5.乙方对于现场应当负有保护责任，在合同履行期内，严禁发生建筑垃圾、渣土等倾倒事件，如有发生，乙方应当承担原样恢复责任及相关费用。如果乙方因本合同履行之需要拆除部分围墙的，则乙方应当恢复围墙并承担相关费用。</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九、不可抗力：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1.除非合同另有约定，不可抗力系指甲方和乙方都不可预见、不可避免、不能克服的超出认识控制和防范能力的事件。这类事件使合同一方的履约已变得不可能。不可抗力可以包括(但不限于)下列情况：</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（1）战争、敌对行动(不论宣战与否)、入侵、外敌行动；</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（2）叛乱、革命、暴动或军事政变或篡夺政权，或内战；</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（3）暴乱、骚乱或混乱，但对于完全局限在乙方雇用人员内部并且是由于从事本项目而发生的事件除外；</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（4）离子辐射或放射性污染；</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（5）以音速或超音速飞行的飞机或其他飞行装置产生的压力波，飞行器坠落；</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（6）自然灾害(地震、洪水、海啸、飓风、超强台风、雷击)。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遇有不可抗力事件的一方因此影响合同执行时，应在不可抗力事件发生后立即以书面形式通知对方，并应在不可抗力事情发生后15天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3.因合同一方拖延履行合同后发生不可抗力的，不能免除拖延履行方的相应责任。</w:t>
      </w:r>
      <w:r/>
    </w:p>
    <w:p>
      <w:pPr>
        <w:ind w:firstLine="48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十、合同生效与其他</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1.本合同自各方法定代表人或者授权人签字且公司盖章，并经代理机构见证后生效。</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2.甲乙双方履行完毕本合同的全部责任及义务，本合同即告终止。</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3.本合同的权利及义务终止后，各方应当遵循诚实信用原则，履行通知、协助、保密等义务。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4.合同附件：报价一览表、明细报价表。</w:t>
      </w:r>
      <w:r/>
    </w:p>
    <w:p>
      <w:pPr>
        <w:ind w:firstLine="48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本合同一式伍份，甲乙双方各执贰份，</w:t>
      </w:r>
      <w:r>
        <w:rPr>
          <w:rFonts w:hint="eastAsia" w:ascii="宋体" w:hAnsi="宋体" w:cs="宋体"/>
          <w:color w:val="auto"/>
          <w:sz w:val="24"/>
          <w:highlight w:val="none"/>
        </w:rPr>
        <w:t xml:space="preserve">代理机构壹份，</w:t>
      </w:r>
      <w:r>
        <w:rPr>
          <w:rFonts w:hint="eastAsia" w:ascii="宋体" w:hAnsi="宋体" w:cs="宋体"/>
          <w:color w:val="auto"/>
          <w:sz w:val="24"/>
          <w:highlight w:val="none"/>
          <w:lang w:val="zh-CN"/>
        </w:rPr>
        <w:t xml:space="preserve">合同经见证后生效。</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甲方（盖章）：                                  乙方（盖章）：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甲方代表（签字）：                              乙方代表（签字）：</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日期： 年  月  日                                日期:  年  月  日</w:t>
      </w:r>
      <w:r/>
    </w:p>
    <w:p>
      <w:pPr>
        <w:rPr>
          <w:color w:val="auto"/>
          <w:highlight w:val="none"/>
        </w:rPr>
      </w:pPr>
      <w:r>
        <w:rPr>
          <w:color w:val="auto"/>
          <w:highlight w:val="none"/>
        </w:rPr>
      </w:r>
      <w:r/>
    </w:p>
    <w:p>
      <w:pPr>
        <w:pStyle w:val="965"/>
        <w:ind w:firstLine="0"/>
        <w:rPr>
          <w:rFonts w:ascii="宋体" w:hAnsi="宋体" w:cs="宋体"/>
          <w:color w:val="auto"/>
          <w:highlight w:val="none"/>
        </w:rPr>
      </w:pPr>
      <w:r>
        <w:rPr>
          <w:rFonts w:ascii="宋体" w:hAnsi="宋体" w:cs="宋体"/>
          <w:color w:val="auto"/>
          <w:highlight w:val="none"/>
        </w:rPr>
      </w:r>
      <w:r/>
    </w:p>
    <w:p>
      <w:pPr>
        <w:pStyle w:val="965"/>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见证单位（盖章）：</w:t>
      </w:r>
      <w:r/>
    </w:p>
    <w:p>
      <w:pPr>
        <w:pStyle w:val="965"/>
        <w:ind w:firstLine="480"/>
        <w:rPr>
          <w:color w:val="auto"/>
          <w:highlight w:val="none"/>
        </w:rPr>
      </w:pPr>
      <w:r>
        <w:rPr>
          <w:rFonts w:hint="eastAsia" w:ascii="宋体" w:hAnsi="宋体" w:cs="宋体"/>
          <w:color w:val="auto"/>
          <w:sz w:val="24"/>
          <w:szCs w:val="24"/>
          <w:highlight w:val="none"/>
        </w:rPr>
        <w:t xml:space="preserve">见证日期： 年  月  日 </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六、附件</w:t>
      </w:r>
      <w:bookmarkEnd w:id="12"/>
      <w:r/>
      <w:bookmarkEnd w:id="13"/>
      <w:r/>
      <w:r/>
    </w:p>
    <w:p>
      <w:pPr>
        <w:ind w:firstLine="480"/>
        <w:jc w:val="left"/>
        <w:spacing w:line="360" w:lineRule="auto"/>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附件一：评分标准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（一）评分项目及分值（总分100分）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2.投标供应商评价                               20分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3.技术文件                                     50分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（二）各项目评分标准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firstLine="482"/>
        <w:spacing w:line="360" w:lineRule="auto"/>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2.投标供应商评价（20分）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（1）作业能力（2分）：投标供应商具有</w:t>
      </w:r>
      <w:r>
        <w:rPr>
          <w:rFonts w:hint="eastAsia" w:ascii="宋体" w:hAnsi="宋体"/>
          <w:color w:val="auto"/>
          <w:sz w:val="24"/>
          <w:highlight w:val="none"/>
        </w:rPr>
        <w:t xml:space="preserve">有效期内的</w:t>
      </w:r>
      <w:r>
        <w:rPr>
          <w:rFonts w:hint="eastAsia" w:ascii="宋体" w:hAnsi="宋体" w:cs="宋体"/>
          <w:bCs/>
          <w:color w:val="auto"/>
          <w:sz w:val="24"/>
          <w:highlight w:val="none"/>
        </w:rPr>
        <w:t xml:space="preserve">《排水管道检测与评估作业能力等级证书》的得1分；</w:t>
      </w:r>
      <w:r>
        <w:rPr>
          <w:rFonts w:hint="eastAsia" w:ascii="宋体" w:hAnsi="宋体"/>
          <w:color w:val="auto"/>
          <w:sz w:val="24"/>
          <w:highlight w:val="none"/>
        </w:rPr>
        <w:t xml:space="preserve">具备有效期内的《排水管道更新与非开挖修复作业</w:t>
      </w:r>
      <w:r>
        <w:rPr>
          <w:rFonts w:hint="eastAsia" w:ascii="宋体" w:hAnsi="宋体"/>
          <w:color w:val="auto"/>
          <w:sz w:val="24"/>
          <w:highlight w:val="none"/>
        </w:rPr>
        <w:t xml:space="preserve">能力等级证书》或《地下管线运营维护作业证》的得1分；本项最高得2分。</w:t>
      </w:r>
      <w:r>
        <w:rPr>
          <w:rFonts w:hint="eastAsia" w:ascii="宋体" w:hAnsi="宋体" w:cs="宋体"/>
          <w:bCs/>
          <w:color w:val="auto"/>
          <w:sz w:val="24"/>
          <w:highlight w:val="none"/>
        </w:rPr>
        <w:t xml:space="preserve">【提供证书扫描件上传至电子投标文件，未按要求提供不得分】</w:t>
      </w:r>
      <w:r/>
    </w:p>
    <w:p>
      <w:pPr>
        <w:ind w:firstLine="480"/>
        <w:jc w:val="left"/>
        <w:spacing w:line="360" w:lineRule="auto"/>
        <w:rPr>
          <w:rFonts w:hAnsi="宋体" w:cs="宋体"/>
          <w:bCs/>
          <w:color w:val="auto"/>
          <w:sz w:val="24"/>
          <w:highlight w:val="none"/>
        </w:rPr>
      </w:pPr>
      <w:r>
        <w:rPr>
          <w:rFonts w:hint="eastAsia" w:hAnsi="宋体" w:cs="宋体"/>
          <w:bCs/>
          <w:color w:val="auto"/>
          <w:sz w:val="24"/>
          <w:highlight w:val="none"/>
        </w:rPr>
        <w:t xml:space="preserve">（2）业绩（3分）：</w:t>
      </w:r>
      <w:r/>
    </w:p>
    <w:p>
      <w:pPr>
        <w:ind w:firstLine="480"/>
        <w:jc w:val="left"/>
        <w:spacing w:line="360" w:lineRule="auto"/>
        <w:rPr>
          <w:rFonts w:hAnsi="宋体" w:cs="宋体"/>
          <w:bCs/>
          <w:color w:val="auto"/>
          <w:sz w:val="24"/>
          <w:highlight w:val="none"/>
        </w:rPr>
      </w:pPr>
      <w:r>
        <w:rPr>
          <w:rFonts w:hint="eastAsia" w:hAnsi="宋体" w:cs="宋体"/>
          <w:bCs/>
          <w:color w:val="auto"/>
          <w:sz w:val="24"/>
          <w:highlight w:val="none"/>
        </w:rPr>
        <w:t xml:space="preserve">①投标人2022年1月1日以来具有排水管网非开挖管内修复项目（指CIPP内衬修复法、紫外光固化法、短管内衬法、碎裂管法等，不含传统的牵引及顶管施工法）工作经验的，有1个得1分；</w:t>
      </w:r>
      <w:r/>
    </w:p>
    <w:p>
      <w:pPr>
        <w:ind w:firstLine="480"/>
        <w:jc w:val="left"/>
        <w:spacing w:line="360" w:lineRule="auto"/>
        <w:rPr>
          <w:rFonts w:hAnsi="宋体" w:cs="宋体"/>
          <w:bCs/>
          <w:color w:val="auto"/>
          <w:sz w:val="24"/>
          <w:highlight w:val="none"/>
        </w:rPr>
      </w:pPr>
      <w:r>
        <w:rPr>
          <w:rFonts w:hint="eastAsia" w:hAnsi="宋体" w:cs="宋体"/>
          <w:bCs/>
          <w:color w:val="auto"/>
          <w:sz w:val="24"/>
          <w:highlight w:val="none"/>
        </w:rPr>
        <w:t xml:space="preserve">②投标人2022年1月1日以来具有雨水管网养护服务业绩的，有1个得1分；</w:t>
      </w:r>
      <w:r/>
    </w:p>
    <w:p>
      <w:pPr>
        <w:ind w:left="881" w:hanging="360"/>
        <w:jc w:val="left"/>
        <w:spacing w:line="360" w:lineRule="auto"/>
        <w:rPr>
          <w:rFonts w:hAnsi="宋体" w:cs="宋体"/>
          <w:bCs/>
          <w:color w:val="auto"/>
          <w:sz w:val="24"/>
          <w:highlight w:val="none"/>
        </w:rPr>
      </w:pPr>
      <w:r>
        <w:rPr>
          <w:rFonts w:hint="eastAsia" w:ascii="宋体" w:hAnsi="宋体" w:cs="宋体"/>
          <w:bCs/>
          <w:color w:val="auto"/>
          <w:sz w:val="24"/>
          <w:highlight w:val="none"/>
        </w:rPr>
        <w:t xml:space="preserve">③</w:t>
      </w:r>
      <w:r>
        <w:rPr>
          <w:rFonts w:hint="eastAsia" w:hAnsi="宋体" w:cs="宋体"/>
          <w:bCs/>
          <w:color w:val="auto"/>
          <w:sz w:val="24"/>
          <w:highlight w:val="none"/>
        </w:rPr>
        <w:t xml:space="preserve">投标人2022年1月1日以来具有污水管网养护服务业绩的，有1个得1分；</w:t>
      </w:r>
      <w:r/>
    </w:p>
    <w:p>
      <w:pPr>
        <w:ind w:firstLine="480"/>
        <w:jc w:val="left"/>
        <w:spacing w:line="360" w:lineRule="auto"/>
        <w:rPr>
          <w:rFonts w:ascii="宋体" w:hAnsi="宋体" w:cs="宋体"/>
          <w:bCs/>
          <w:color w:val="auto"/>
          <w:sz w:val="24"/>
          <w:highlight w:val="none"/>
        </w:rPr>
      </w:pPr>
      <w:r>
        <w:rPr>
          <w:rFonts w:hint="eastAsia" w:hAnsi="宋体" w:cs="宋体"/>
          <w:bCs/>
          <w:color w:val="auto"/>
          <w:sz w:val="24"/>
          <w:highlight w:val="none"/>
        </w:rPr>
        <w:t xml:space="preserve">本项最高得3分。</w:t>
      </w:r>
      <w:r>
        <w:rPr>
          <w:rFonts w:hint="eastAsia" w:ascii="宋体" w:hAnsi="宋体"/>
          <w:color w:val="auto"/>
          <w:sz w:val="24"/>
          <w:highlight w:val="none"/>
        </w:rPr>
        <w:t xml:space="preserve">（需提供中标通知书（直接发包证明）、合同、</w:t>
      </w:r>
      <w:r>
        <w:rPr>
          <w:rFonts w:hint="eastAsia" w:hAnsi="宋体" w:cs="宋体"/>
          <w:bCs/>
          <w:color w:val="auto"/>
          <w:sz w:val="24"/>
          <w:highlight w:val="none"/>
        </w:rPr>
        <w:t xml:space="preserve">发票凭证等相关资料的原件扫描件，未提供或提供不全均不得分）。时间以合同签订</w:t>
      </w:r>
      <w:r>
        <w:rPr>
          <w:rFonts w:hint="eastAsia" w:ascii="宋体" w:hAnsi="宋体"/>
          <w:color w:val="auto"/>
          <w:sz w:val="24"/>
          <w:highlight w:val="none"/>
        </w:rPr>
        <w:t xml:space="preserve">时间为准。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（3）人员配备（7分）：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①项目负责人：项目负责人具有市政公用工程专业一级注册建造师证书的得1分；具有市政类相关专业高级工程师技术职称的得1分，本项最高得2分；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②项目组成员具有排水管道检测与评估高级工程师或管道CCTV检测高级工程师或地下管线检测评估高级工程师的，有1人得1分，最高得2分；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④项目组成员具有市政排水管道有限空间作业安全培训证书的，有1人得1分，最高得1分；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⑤项目组成员具有管道工高级及以上证书的，有1人得0.5分，最高得0.5分；</w:t>
      </w:r>
      <w:r/>
    </w:p>
    <w:p>
      <w:pPr>
        <w:ind w:firstLine="480"/>
        <w:jc w:val="left"/>
        <w:spacing w:line="360" w:lineRule="auto"/>
        <w:rPr>
          <w:rFonts w:ascii="宋体" w:hAnsi="宋体" w:cs="宋体"/>
          <w:bCs/>
          <w:color w:val="auto"/>
          <w:sz w:val="24"/>
          <w:highlight w:val="none"/>
        </w:rPr>
      </w:pPr>
      <w:r>
        <w:rPr>
          <w:rFonts w:hint="eastAsia" w:ascii="宋体" w:hAnsi="宋体"/>
          <w:color w:val="auto"/>
          <w:sz w:val="24"/>
          <w:szCs w:val="22"/>
          <w:highlight w:val="none"/>
        </w:rPr>
        <w:t xml:space="preserve">⑥</w:t>
      </w:r>
      <w:r>
        <w:rPr>
          <w:rFonts w:hint="eastAsia" w:ascii="宋体" w:hAnsi="宋体" w:cs="宋体"/>
          <w:bCs/>
          <w:color w:val="auto"/>
          <w:sz w:val="24"/>
          <w:highlight w:val="none"/>
        </w:rPr>
        <w:t xml:space="preserve">项目组成员具有下水道养护工中级及以上证书的，有1人得0.5分，最高得0.5分；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⑦项目组成员</w:t>
      </w:r>
      <w:r>
        <w:rPr>
          <w:rFonts w:hint="eastAsia" w:ascii="宋体" w:hAnsi="宋体"/>
          <w:color w:val="auto"/>
          <w:sz w:val="24"/>
          <w:szCs w:val="22"/>
          <w:highlight w:val="none"/>
        </w:rPr>
        <w:t xml:space="preserve">具有</w:t>
      </w:r>
      <w:r>
        <w:rPr>
          <w:rFonts w:hint="eastAsia" w:ascii="宋体" w:hAnsi="宋体"/>
          <w:color w:val="auto"/>
          <w:sz w:val="24"/>
          <w:szCs w:val="24"/>
          <w:highlight w:val="none"/>
        </w:rPr>
        <w:t xml:space="preserve">《预防硫化氢中毒安全作业培训证书》的</w:t>
      </w:r>
      <w:r>
        <w:rPr>
          <w:rFonts w:hint="eastAsia" w:ascii="宋体" w:hAnsi="宋体"/>
          <w:color w:val="auto"/>
          <w:sz w:val="24"/>
          <w:szCs w:val="22"/>
          <w:highlight w:val="none"/>
        </w:rPr>
        <w:t xml:space="preserve">，</w:t>
      </w:r>
      <w:r>
        <w:rPr>
          <w:rFonts w:hint="eastAsia" w:ascii="宋体" w:hAnsi="宋体" w:cs="宋体"/>
          <w:bCs/>
          <w:color w:val="auto"/>
          <w:sz w:val="24"/>
          <w:highlight w:val="none"/>
        </w:rPr>
        <w:t xml:space="preserve">有1人得1分，最高得1分</w:t>
      </w:r>
      <w:r>
        <w:rPr>
          <w:rFonts w:hint="eastAsia" w:ascii="宋体" w:hAnsi="宋体"/>
          <w:color w:val="auto"/>
          <w:sz w:val="24"/>
          <w:szCs w:val="22"/>
          <w:highlight w:val="none"/>
        </w:rPr>
        <w:t xml:space="preserve">。</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【注：以上同一人员的证书不重复得分，要求提供上述人员有效期内的证件原件扫描件及</w:t>
      </w:r>
      <w:r>
        <w:rPr>
          <w:rFonts w:hint="eastAsia" w:ascii="宋体" w:hAnsi="宋体"/>
          <w:bCs/>
          <w:color w:val="auto"/>
          <w:sz w:val="24"/>
          <w:szCs w:val="24"/>
          <w:highlight w:val="none"/>
        </w:rPr>
        <w:t xml:space="preserve">近一年中任意一个月份（不含投标当月）为其缴纳社保的证明</w:t>
      </w:r>
      <w:r>
        <w:rPr>
          <w:rFonts w:hint="eastAsia" w:ascii="宋体" w:hAnsi="宋体" w:cs="宋体"/>
          <w:bCs/>
          <w:color w:val="auto"/>
          <w:sz w:val="24"/>
          <w:highlight w:val="none"/>
        </w:rPr>
        <w:t xml:space="preserve">（如投标供应商成立时间迟于要求开始的时间，则时间要求为投标供应商成立时间至截止时间）上传至电子投标文件，未按要求提供的不得分】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（4）车辆配备（8分）：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①配置救险车或移动泵车（排水量≥1000m³/h），有1辆得1分，最高得1分；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②配置救险车或移动泵车（子母式，且排水量≥3500m³/h），有1辆得2分，本项最高得2分；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③配置高压下水道疏通车或清洗车，有1辆得1分，最高得1分；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④配置吸污车，有1辆得1分，最高得1分；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⑤配置自装卸式垃圾车（污泥自卸车或污泥抓斗车），有1辆得1分，最高得1分；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⑥配置静音发电机组（功率≥200kW），每台得1分，本项最高1分；</w:t>
      </w:r>
      <w:r/>
    </w:p>
    <w:p>
      <w:pPr>
        <w:ind w:left="881" w:hanging="36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⑦配置CCTV检测设备，每套得1分，本项最高1分。</w:t>
      </w:r>
      <w:r/>
    </w:p>
    <w:p>
      <w:pPr>
        <w:ind w:firstLine="482"/>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自有的需提供购置发票（发票抬头为投标单位）、车辆照片及行驶证原件扫描件；租赁的需提供租赁合同、租赁发票（发票抬头的单位为投标单位）、购置发票、车辆照片、行驶证原件扫描件，租赁期需涵盖本项目服务期；静音发电机组（功率≥200kW）和CCTV检测设备无须提供行驶证；其中车辆、设备涉及参数要求的应提供相应的证明材料。提供上述资料原件扫描件上传至投标文件，未按要求提供的不得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3.技术文件（50分）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（1）本项目排水管网现状实际情况摸底排查说明（</w:t>
      </w:r>
      <w:r>
        <w:rPr>
          <w:rFonts w:ascii="宋体" w:hAnsi="宋体" w:cs="宋体"/>
          <w:bCs/>
          <w:color w:val="auto"/>
          <w:sz w:val="24"/>
          <w:szCs w:val="24"/>
          <w:highlight w:val="none"/>
          <w:lang w:val="zh-CN"/>
        </w:rPr>
        <w:t xml:space="preserve">8</w:t>
      </w:r>
      <w:r>
        <w:rPr>
          <w:rFonts w:hint="eastAsia" w:ascii="宋体" w:hAnsi="宋体" w:cs="宋体"/>
          <w:bCs/>
          <w:color w:val="auto"/>
          <w:sz w:val="24"/>
          <w:szCs w:val="24"/>
          <w:highlight w:val="none"/>
          <w:lang w:val="zh-CN"/>
        </w:rPr>
        <w:t xml:space="preserve">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对本项目排水管网现状的了解掌握并分析。内容翔实、需求贴合度高且条理清晰的得</w:t>
      </w:r>
      <w:r>
        <w:rPr>
          <w:rFonts w:ascii="宋体" w:hAnsi="宋体" w:cs="宋体"/>
          <w:bCs/>
          <w:color w:val="auto"/>
          <w:sz w:val="24"/>
          <w:szCs w:val="24"/>
          <w:highlight w:val="none"/>
          <w:lang w:val="zh-CN"/>
        </w:rPr>
        <w:t xml:space="preserve">8</w:t>
      </w:r>
      <w:r>
        <w:rPr>
          <w:rFonts w:hint="eastAsia" w:ascii="宋体" w:hAnsi="宋体" w:cs="宋体"/>
          <w:bCs/>
          <w:color w:val="auto"/>
          <w:sz w:val="24"/>
          <w:szCs w:val="24"/>
          <w:highlight w:val="none"/>
          <w:lang w:val="zh-CN"/>
        </w:rPr>
        <w:t xml:space="preserve">分；内容较为简单、可行、细节有待完善得</w:t>
      </w:r>
      <w:r>
        <w:rPr>
          <w:rFonts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lang w:val="zh-CN"/>
        </w:rPr>
        <w:t xml:space="preserve">分；内容粗略、无针对性、基本满足采购需求得</w:t>
      </w:r>
      <w:r>
        <w:rPr>
          <w:rFonts w:ascii="宋体" w:hAnsi="宋体" w:cs="宋体"/>
          <w:bCs/>
          <w:color w:val="auto"/>
          <w:sz w:val="24"/>
          <w:szCs w:val="24"/>
          <w:highlight w:val="none"/>
          <w:lang w:val="zh-CN"/>
        </w:rPr>
        <w:t xml:space="preserve">4</w:t>
      </w:r>
      <w:r>
        <w:rPr>
          <w:rFonts w:hint="eastAsia" w:ascii="宋体" w:hAnsi="宋体" w:cs="宋体"/>
          <w:bCs/>
          <w:color w:val="auto"/>
          <w:sz w:val="24"/>
          <w:szCs w:val="24"/>
          <w:highlight w:val="none"/>
          <w:lang w:val="zh-CN"/>
        </w:rPr>
        <w:t xml:space="preserve">分。方案不能满足采购需求，或存在逻辑错误、前后矛盾，或存在违反现行相关规范的，该项不得分。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（2）本项目管网养护方案（</w:t>
      </w:r>
      <w:r>
        <w:rPr>
          <w:rFonts w:ascii="宋体" w:hAnsi="宋体" w:cs="宋体"/>
          <w:bCs/>
          <w:color w:val="auto"/>
          <w:sz w:val="24"/>
          <w:szCs w:val="24"/>
          <w:highlight w:val="none"/>
          <w:lang w:val="zh-CN"/>
        </w:rPr>
        <w:t xml:space="preserve">8</w:t>
      </w:r>
      <w:r>
        <w:rPr>
          <w:rFonts w:hint="eastAsia" w:ascii="宋体" w:hAnsi="宋体" w:cs="宋体"/>
          <w:bCs/>
          <w:color w:val="auto"/>
          <w:sz w:val="24"/>
          <w:szCs w:val="24"/>
          <w:highlight w:val="none"/>
          <w:lang w:val="zh-CN"/>
        </w:rPr>
        <w:t xml:space="preserve">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包括但不限于日常巡检、养护方案，清掏疏通方案，养护中产生的垃圾安全处置方案等；方案完整、科学、合理、全面，与采购需求贴合度高的得</w:t>
      </w:r>
      <w:r>
        <w:rPr>
          <w:rFonts w:ascii="宋体" w:hAnsi="宋体" w:cs="宋体"/>
          <w:bCs/>
          <w:color w:val="auto"/>
          <w:sz w:val="24"/>
          <w:szCs w:val="24"/>
          <w:highlight w:val="none"/>
          <w:lang w:val="zh-CN"/>
        </w:rPr>
        <w:t xml:space="preserve">8</w:t>
      </w:r>
      <w:r>
        <w:rPr>
          <w:rFonts w:hint="eastAsia" w:ascii="宋体" w:hAnsi="宋体" w:cs="宋体"/>
          <w:bCs/>
          <w:color w:val="auto"/>
          <w:sz w:val="24"/>
          <w:szCs w:val="24"/>
          <w:highlight w:val="none"/>
          <w:lang w:val="zh-CN"/>
        </w:rPr>
        <w:t xml:space="preserve">分；方案较完整、科学、合理、但稍有缺陷的得</w:t>
      </w:r>
      <w:r>
        <w:rPr>
          <w:rFonts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lang w:val="zh-CN"/>
        </w:rPr>
        <w:t xml:space="preserve">分；方案简略、基本满足采购需求且有逻辑性的得4分；方案不能满足采购需求，或存在逻辑错误、前后矛盾，或存在违反现行相关规范的，该项不得分。</w:t>
      </w:r>
      <w:r/>
    </w:p>
    <w:p>
      <w:pPr>
        <w:numPr>
          <w:ilvl w:val="2"/>
          <w:numId w:val="0"/>
        </w:numPr>
        <w:ind w:left="1140" w:hanging="720"/>
        <w:jc w:val="left"/>
        <w:spacing w:line="360" w:lineRule="auto"/>
        <w:rPr>
          <w:rFonts w:ascii="宋体" w:hAnsi="宋体" w:cs="宋体"/>
          <w:bCs/>
          <w:color w:val="auto"/>
          <w:sz w:val="24"/>
          <w:szCs w:val="24"/>
          <w:highlight w:val="none"/>
          <w:lang w:val="zh-CN"/>
        </w:rPr>
      </w:pP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w:t>
      </w:r>
      <w:r>
        <w:rPr>
          <w:rFonts w:hint="eastAsia" w:ascii="宋体" w:hAnsi="宋体" w:cs="宋体"/>
          <w:bCs/>
          <w:color w:val="auto"/>
          <w:sz w:val="24"/>
          <w:szCs w:val="24"/>
          <w:highlight w:val="none"/>
          <w:lang w:val="zh-CN"/>
        </w:rPr>
        <w:t xml:space="preserve">本项目养护应急处置方案（</w:t>
      </w:r>
      <w:r>
        <w:rPr>
          <w:rFonts w:ascii="宋体" w:hAnsi="宋体" w:cs="宋体"/>
          <w:bCs/>
          <w:color w:val="auto"/>
          <w:sz w:val="24"/>
          <w:szCs w:val="24"/>
          <w:highlight w:val="none"/>
          <w:lang w:val="zh-CN"/>
        </w:rPr>
        <w:t xml:space="preserve">8</w:t>
      </w:r>
      <w:r>
        <w:rPr>
          <w:rFonts w:hint="eastAsia" w:ascii="宋体" w:hAnsi="宋体" w:cs="宋体"/>
          <w:bCs/>
          <w:color w:val="auto"/>
          <w:sz w:val="24"/>
          <w:szCs w:val="24"/>
          <w:highlight w:val="none"/>
          <w:lang w:val="zh-CN"/>
        </w:rPr>
        <w:t xml:space="preserve">分）：</w:t>
      </w:r>
      <w:r/>
    </w:p>
    <w:p>
      <w:pPr>
        <w:numPr>
          <w:ilvl w:val="2"/>
          <w:numId w:val="0"/>
        </w:num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包括但不限于污水外溢、管道沉降损坏等各类应急处理方案；方案完整、科学、合理、全面，与采购需求贴合度高的得</w:t>
      </w:r>
      <w:r>
        <w:rPr>
          <w:rFonts w:ascii="宋体" w:hAnsi="宋体" w:cs="宋体"/>
          <w:bCs/>
          <w:color w:val="auto"/>
          <w:sz w:val="24"/>
          <w:szCs w:val="24"/>
          <w:highlight w:val="none"/>
          <w:lang w:val="zh-CN"/>
        </w:rPr>
        <w:t xml:space="preserve">8</w:t>
      </w:r>
      <w:r>
        <w:rPr>
          <w:rFonts w:hint="eastAsia" w:ascii="宋体" w:hAnsi="宋体" w:cs="宋体"/>
          <w:bCs/>
          <w:color w:val="auto"/>
          <w:sz w:val="24"/>
          <w:szCs w:val="24"/>
          <w:highlight w:val="none"/>
          <w:lang w:val="zh-CN"/>
        </w:rPr>
        <w:t xml:space="preserve">分；方案较完整、科学、合理、但稍有缺陷的得</w:t>
      </w:r>
      <w:r>
        <w:rPr>
          <w:rFonts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lang w:val="zh-CN"/>
        </w:rPr>
        <w:t xml:space="preserve">分；方案简略、基本满足采购需求且有逻辑性的得4分；方案不能满足采购需求，或存在逻辑错误、前后矛盾，或存在违反现行相关规范的，该项不得分。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（4）防汛抗台应急预案（6分）：</w:t>
      </w:r>
      <w:r/>
    </w:p>
    <w:p>
      <w:pPr>
        <w:ind w:firstLine="480"/>
        <w:jc w:val="left"/>
        <w:spacing w:line="360" w:lineRule="auto"/>
        <w:rPr>
          <w:color w:val="auto"/>
          <w:highlight w:val="none"/>
          <w:lang w:val="zh-CN"/>
        </w:rPr>
      </w:pPr>
      <w:r>
        <w:rPr>
          <w:rFonts w:hint="eastAsia" w:ascii="宋体" w:hAnsi="宋体" w:cs="宋体"/>
          <w:bCs/>
          <w:color w:val="auto"/>
          <w:sz w:val="24"/>
          <w:szCs w:val="24"/>
          <w:highlight w:val="none"/>
          <w:lang w:val="zh-CN"/>
        </w:rPr>
        <w:t xml:space="preserve">防汛抗台应急预案(包含但不限于如汛前清通检查、汛期加强巡查、防汛抢险队伍组成、</w:t>
      </w:r>
      <w:r>
        <w:rPr>
          <w:rFonts w:hint="eastAsia" w:ascii="宋体" w:hAnsi="宋体" w:cs="宋体"/>
          <w:bCs/>
          <w:color w:val="auto"/>
          <w:sz w:val="24"/>
          <w:szCs w:val="24"/>
          <w:highlight w:val="none"/>
          <w:lang w:val="zh-CN"/>
        </w:rPr>
        <w:t xml:space="preserve">应急响应与处置</w:t>
      </w:r>
      <w:r>
        <w:rPr>
          <w:rFonts w:hint="eastAsia" w:ascii="宋体" w:hAnsi="宋体" w:cs="宋体"/>
          <w:bCs/>
          <w:color w:val="auto"/>
          <w:sz w:val="24"/>
          <w:szCs w:val="24"/>
          <w:highlight w:val="none"/>
          <w:lang w:val="zh-CN"/>
        </w:rPr>
        <w:t xml:space="preserve">、防汛物资准备等）：1）考虑详尽完整，应急预案合理、可行、有效的得</w:t>
      </w:r>
      <w:r>
        <w:rPr>
          <w:rFonts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lang w:val="zh-CN"/>
        </w:rPr>
        <w:t xml:space="preserve">分；2）措施较合理、有效的得</w:t>
      </w:r>
      <w:r>
        <w:rPr>
          <w:rFonts w:ascii="宋体" w:hAnsi="宋体" w:cs="宋体"/>
          <w:bCs/>
          <w:color w:val="auto"/>
          <w:sz w:val="24"/>
          <w:szCs w:val="24"/>
          <w:highlight w:val="none"/>
          <w:lang w:val="zh-CN"/>
        </w:rPr>
        <w:t xml:space="preserve">4</w:t>
      </w:r>
      <w:r>
        <w:rPr>
          <w:rFonts w:hint="eastAsia" w:ascii="宋体" w:hAnsi="宋体" w:cs="宋体"/>
          <w:bCs/>
          <w:color w:val="auto"/>
          <w:sz w:val="24"/>
          <w:szCs w:val="24"/>
          <w:highlight w:val="none"/>
          <w:lang w:val="zh-CN"/>
        </w:rPr>
        <w:t xml:space="preserve">分；3）措施能满足采购需求的得</w:t>
      </w:r>
      <w:r>
        <w:rPr>
          <w:rFonts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lang w:val="zh-CN"/>
        </w:rPr>
        <w:t xml:space="preserve">分；4）措施不够具体、针对性不强的得</w:t>
      </w:r>
      <w:r>
        <w:rPr>
          <w:rFonts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lang w:val="zh-CN"/>
        </w:rPr>
        <w:t xml:space="preserve">分；5）未阐述或不可行或前后矛盾的，不得分。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w:t>
      </w:r>
      <w:r>
        <w:rPr>
          <w:rFonts w:hint="eastAsia" w:ascii="宋体" w:hAnsi="宋体" w:cs="宋体"/>
          <w:bCs/>
          <w:color w:val="auto"/>
          <w:sz w:val="24"/>
          <w:szCs w:val="24"/>
          <w:highlight w:val="none"/>
          <w:lang w:val="zh-CN"/>
        </w:rPr>
        <w:t xml:space="preserve">现场安全文明作业措施</w:t>
      </w:r>
      <w:r>
        <w:rPr>
          <w:rFonts w:hint="eastAsia" w:ascii="宋体" w:hAnsi="宋体" w:cs="宋体"/>
          <w:bCs/>
          <w:color w:val="auto"/>
          <w:sz w:val="24"/>
          <w:szCs w:val="24"/>
          <w:highlight w:val="none"/>
          <w:lang w:val="zh-CN"/>
        </w:rPr>
        <w:t xml:space="preserve">（</w:t>
      </w:r>
      <w:r>
        <w:rPr>
          <w:rFonts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lang w:val="zh-CN"/>
        </w:rPr>
        <w:t xml:space="preserve">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包括但不限于</w:t>
      </w:r>
      <w:r>
        <w:rPr>
          <w:rFonts w:hint="eastAsia" w:ascii="宋体" w:hAnsi="宋体" w:cs="宋体"/>
          <w:bCs/>
          <w:color w:val="auto"/>
          <w:sz w:val="24"/>
          <w:szCs w:val="24"/>
          <w:highlight w:val="none"/>
          <w:lang w:val="zh-CN"/>
        </w:rPr>
        <w:t xml:space="preserve">安全施工保证体系、养护作业安全保障措施、现场文明作业措施等</w:t>
      </w:r>
      <w:r>
        <w:rPr>
          <w:rFonts w:hint="eastAsia" w:ascii="宋体" w:hAnsi="宋体" w:cs="宋体"/>
          <w:bCs/>
          <w:color w:val="auto"/>
          <w:sz w:val="24"/>
          <w:szCs w:val="24"/>
          <w:highlight w:val="none"/>
          <w:lang w:val="zh-CN"/>
        </w:rPr>
        <w:t xml:space="preserve">；措施完整、科学、合理、全面，与采购需求贴合度高的得</w:t>
      </w:r>
      <w:r>
        <w:rPr>
          <w:rFonts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lang w:val="zh-CN"/>
        </w:rPr>
        <w:t xml:space="preserve">分；措施较完整、科学、合理、但稍有缺陷的得</w:t>
      </w:r>
      <w:r>
        <w:rPr>
          <w:rFonts w:ascii="宋体" w:hAnsi="宋体" w:cs="宋体"/>
          <w:bCs/>
          <w:color w:val="auto"/>
          <w:sz w:val="24"/>
          <w:szCs w:val="24"/>
          <w:highlight w:val="none"/>
          <w:lang w:val="zh-CN"/>
        </w:rPr>
        <w:t xml:space="preserve">4</w:t>
      </w:r>
      <w:r>
        <w:rPr>
          <w:rFonts w:hint="eastAsia" w:ascii="宋体" w:hAnsi="宋体" w:cs="宋体"/>
          <w:bCs/>
          <w:color w:val="auto"/>
          <w:sz w:val="24"/>
          <w:szCs w:val="24"/>
          <w:highlight w:val="none"/>
          <w:lang w:val="zh-CN"/>
        </w:rPr>
        <w:t xml:space="preserve">分；措施简略、基本满足采购需求且有逻辑性的得</w:t>
      </w:r>
      <w:r>
        <w:rPr>
          <w:rFonts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lang w:val="zh-CN"/>
        </w:rPr>
        <w:t xml:space="preserve">分；措施不能满足采购需求，或存在逻辑错误、前后矛盾，或存在违反现行相关规范的，该项不得分。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（6）管道检测方案（</w:t>
      </w:r>
      <w:r>
        <w:rPr>
          <w:rFonts w:ascii="宋体" w:hAnsi="宋体" w:cs="宋体"/>
          <w:bCs/>
          <w:color w:val="auto"/>
          <w:sz w:val="24"/>
          <w:szCs w:val="24"/>
          <w:highlight w:val="none"/>
          <w:lang w:val="zh-CN"/>
        </w:rPr>
        <w:t xml:space="preserve">8</w:t>
      </w:r>
      <w:r>
        <w:rPr>
          <w:rFonts w:hint="eastAsia" w:ascii="宋体" w:hAnsi="宋体" w:cs="宋体"/>
          <w:bCs/>
          <w:color w:val="auto"/>
          <w:sz w:val="24"/>
          <w:szCs w:val="24"/>
          <w:highlight w:val="none"/>
          <w:lang w:val="zh-CN"/>
        </w:rPr>
        <w:t xml:space="preserve">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管道检测方案（包含但不限于如CCTV管道机器人检测方案、QV 潜望镜检测方案等），方案阐述完整详细、检测方法、标准科学合理、配套设施齐全、可行性强的得8分；方案较完整、检测方法较合理、配套设施功能较齐全，可行性较强的得6分；方案完整、检测方法合理的得4分；方案不甚完整、检测方法有欠缺的得2分；不满足招标文件要求或未作说明的不得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（7）养护管理制度和养护台账管理（6分）：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养护管理制度和养护台账管理（包含但不限于如养护管理制度、日常养护管理方案、材料及设备管理、养护台账资料；安全管理方案等内容）；合理、可行、有效的得</w:t>
      </w:r>
      <w:r>
        <w:rPr>
          <w:rFonts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lang w:val="zh-CN"/>
        </w:rPr>
        <w:t xml:space="preserve">分；制度较合理、有效的得</w:t>
      </w:r>
      <w:r>
        <w:rPr>
          <w:rFonts w:ascii="宋体" w:hAnsi="宋体" w:cs="宋体"/>
          <w:bCs/>
          <w:color w:val="auto"/>
          <w:sz w:val="24"/>
          <w:szCs w:val="24"/>
          <w:highlight w:val="none"/>
          <w:lang w:val="zh-CN"/>
        </w:rPr>
        <w:t xml:space="preserve">4</w:t>
      </w:r>
      <w:r>
        <w:rPr>
          <w:rFonts w:hint="eastAsia" w:ascii="宋体" w:hAnsi="宋体" w:cs="宋体"/>
          <w:bCs/>
          <w:color w:val="auto"/>
          <w:sz w:val="24"/>
          <w:szCs w:val="24"/>
          <w:highlight w:val="none"/>
          <w:lang w:val="zh-CN"/>
        </w:rPr>
        <w:t xml:space="preserve">分；措施能满足采购需求的得</w:t>
      </w:r>
      <w:r>
        <w:rPr>
          <w:rFonts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lang w:val="zh-CN"/>
        </w:rPr>
        <w:t xml:space="preserve">分；措施不够具体、针对性不强的得</w:t>
      </w:r>
      <w:r>
        <w:rPr>
          <w:rFonts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lang w:val="zh-CN"/>
        </w:rPr>
        <w:t xml:space="preserve">分；无制度的，不得分。</w:t>
      </w:r>
      <w:r/>
    </w:p>
    <w:p>
      <w:pPr>
        <w:ind w:firstLine="480"/>
        <w:spacing w:line="360" w:lineRule="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技术方案应当合理编写内容，页数范围控制在300页内（但不得少于80页），不符合要求或超出该范围作无效标处理。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由评委独立评审。所有评委打分的平均值为各投标供应商最终得分。最终得分最高者将推荐为中标候选人。</w:t>
      </w:r>
      <w:r/>
    </w:p>
    <w:p>
      <w:pPr>
        <w:ind w:firstLine="480"/>
        <w:spacing w:line="360" w:lineRule="auto"/>
        <w:rPr>
          <w:rFonts w:ascii="等线" w:hAnsi="等线" w:eastAsia="等线"/>
          <w:color w:val="auto"/>
          <w:szCs w:val="22"/>
          <w:highlight w:val="none"/>
        </w:rPr>
      </w:pPr>
      <w:r>
        <w:rPr>
          <w:rFonts w:hint="eastAsia" w:ascii="宋体" w:hAnsi="宋体" w:cs="宋体"/>
          <w:b/>
          <w:bCs/>
          <w:color w:val="auto"/>
          <w:sz w:val="24"/>
          <w:szCs w:val="24"/>
          <w:highlight w:val="none"/>
          <w:shd w:val="clear" w:color="auto" w:fill="ffffff"/>
        </w:rPr>
        <w:t xml:space="preserve">未列入本评分细则的其他条件不作为评分内容。</w:t>
      </w:r>
      <w:r/>
    </w:p>
    <w:p>
      <w:pPr>
        <w:ind w:firstLine="482"/>
        <w:jc w:val="left"/>
        <w:spacing w:line="360" w:lineRule="auto"/>
        <w:tabs>
          <w:tab w:val="left" w:pos="1401" w:leader="none"/>
        </w:tabs>
        <w:rPr>
          <w:rFonts w:ascii="黑体" w:eastAsia="黑体"/>
          <w:bCs/>
          <w:color w:val="auto"/>
          <w:sz w:val="24"/>
          <w:szCs w:val="24"/>
          <w:highlight w:val="none"/>
        </w:rPr>
        <w:outlineLvl w:val="1"/>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698"/>
        <w:rPr>
          <w:rFonts w:ascii="黑体" w:eastAsia="黑体"/>
          <w:color w:val="auto"/>
          <w:sz w:val="32"/>
          <w:highlight w:val="none"/>
        </w:rPr>
      </w:pPr>
      <w:r>
        <w:rPr>
          <w:rFonts w:ascii="黑体" w:eastAsia="黑体"/>
          <w:color w:val="auto"/>
          <w:sz w:val="32"/>
          <w:highlight w:val="none"/>
        </w:rPr>
      </w:r>
      <w:r/>
    </w:p>
    <w:p>
      <w:pPr>
        <w:pStyle w:val="698"/>
        <w:rPr>
          <w:rFonts w:ascii="黑体" w:eastAsia="黑体"/>
          <w:color w:val="auto"/>
          <w:sz w:val="32"/>
          <w:highlight w:val="none"/>
        </w:rPr>
      </w:pPr>
      <w:r>
        <w:rPr>
          <w:rFonts w:ascii="黑体" w:eastAsia="黑体"/>
          <w:color w:val="auto"/>
          <w:sz w:val="32"/>
          <w:highlight w:val="none"/>
        </w:rPr>
      </w:r>
      <w:r/>
    </w:p>
    <w:p>
      <w:pPr>
        <w:pStyle w:val="698"/>
        <w:rPr>
          <w:rFonts w:ascii="黑体" w:eastAsia="黑体"/>
          <w:color w:val="auto"/>
          <w:sz w:val="32"/>
          <w:highlight w:val="none"/>
        </w:rPr>
      </w:pPr>
      <w:r>
        <w:rPr>
          <w:rFonts w:ascii="黑体" w:eastAsia="黑体"/>
          <w:color w:val="auto"/>
          <w:sz w:val="32"/>
          <w:highlight w:val="none"/>
        </w:rPr>
      </w:r>
      <w:r/>
    </w:p>
    <w:p>
      <w:pPr>
        <w:pStyle w:val="698"/>
        <w:rPr>
          <w:rFonts w:ascii="黑体" w:eastAsia="黑体"/>
          <w:color w:val="auto"/>
          <w:sz w:val="32"/>
          <w:highlight w:val="none"/>
        </w:rPr>
      </w:pPr>
      <w:r>
        <w:rPr>
          <w:rFonts w:ascii="黑体" w:eastAsia="黑体"/>
          <w:color w:val="auto"/>
          <w:sz w:val="32"/>
          <w:highlight w:val="none"/>
        </w:rPr>
      </w:r>
      <w:r/>
    </w:p>
    <w:p>
      <w:pPr>
        <w:pStyle w:val="698"/>
        <w:rPr>
          <w:rFonts w:ascii="黑体" w:eastAsia="黑体"/>
          <w:color w:val="auto"/>
          <w:sz w:val="32"/>
          <w:highlight w:val="none"/>
        </w:rPr>
      </w:pPr>
      <w:r>
        <w:rPr>
          <w:rFonts w:ascii="黑体" w:eastAsia="黑体"/>
          <w:color w:val="auto"/>
          <w:sz w:val="32"/>
          <w:highlight w:val="none"/>
        </w:rPr>
      </w:r>
      <w:r/>
    </w:p>
    <w:p>
      <w:pPr>
        <w:pStyle w:val="698"/>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JSZC-320214-JSZH-G2026-0020</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采购项目名称：2026-2027年新安街道污水管网养护采购项目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16" w:name="一．报价函（格式）"/>
      <w:r/>
      <w:bookmarkEnd w:id="16"/>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致无锡市新吴区人民政府新安街道办事处：</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JSZC-320214-JSZH-G2026-0020</w:t>
      </w:r>
      <w:r>
        <w:rPr>
          <w:rFonts w:hint="eastAsia" w:ascii="宋体" w:hAnsi="宋体"/>
          <w:bCs/>
          <w:color w:val="auto"/>
          <w:sz w:val="24"/>
          <w:szCs w:val="24"/>
          <w:highlight w:val="none"/>
        </w:rPr>
        <w:t xml:space="preserve">招标文件，经仔细阅读和研究，我方决定参加此项目的投标。</w:t>
      </w:r>
      <w:r/>
    </w:p>
    <w:p>
      <w:pPr>
        <w:numPr>
          <w:ilvl w:val="0"/>
          <w:numId w:val="18"/>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38"/>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7" w:name="报价方关于资格的声明函（格式）"/>
      <w:r/>
      <w:bookmarkEnd w:id="17"/>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无锡市新吴区人民政府新安街道办事处：</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JSZC-320214-JSZH-G2026-0020</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JSZC-320214-JSZH-G2026-0020</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无锡市新吴区人民政府新安街道办事处：</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JSZC-320214-JSZH-G2026-0020</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bookmarkStart w:id="18" w:name="_GoBack"/>
      <w:r/>
      <w:bookmarkEnd w:id="18"/>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JSZC-320214-JSZH-G2026-0020</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JSZC-320214-JSZH-G2026-0020</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39"/>
          <w:rFonts w:hint="eastAsia" w:ascii="宋体" w:hAnsi="宋体"/>
          <w:bCs/>
          <w:color w:val="auto"/>
          <w:sz w:val="24"/>
          <w:szCs w:val="24"/>
          <w:highlight w:val="none"/>
        </w:rPr>
        <w:t xml:space="preserve">www.creditchina.gov.cn</w:t>
      </w:r>
      <w:r>
        <w:rPr>
          <w:rStyle w:val="739"/>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投标人名称（盖章）采购项目编号：</w:t>
      </w:r>
      <w:r>
        <w:rPr>
          <w:rFonts w:hint="eastAsia" w:ascii="黑体" w:eastAsia="黑体"/>
          <w:bCs/>
          <w:color w:val="auto"/>
          <w:sz w:val="24"/>
          <w:szCs w:val="24"/>
          <w:highlight w:val="none"/>
          <w:lang w:eastAsia="zh-CN"/>
        </w:rPr>
        <w:t xml:space="preserve">JSZC-320214-JSZH-G2026-0020</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5282" w:type="dxa"/>
            <w:vAlign w:val="center"/>
            <w:textDirection w:val="lrTb"/>
            <w:noWrap/>
          </w:tcPr>
          <w:p>
            <w:pPr>
              <w:pStyle w:val="940"/>
              <w:jc w:val="center"/>
              <w:spacing w:line="400" w:lineRule="exact"/>
              <w:rPr>
                <w:rFonts w:hAnsi="宋体"/>
                <w:bCs/>
                <w:color w:val="auto"/>
                <w:szCs w:val="24"/>
                <w:highlight w:val="none"/>
              </w:rPr>
            </w:pPr>
            <w:r>
              <w:rPr>
                <w:rFonts w:hint="eastAsia" w:hAnsi="宋体"/>
                <w:bCs/>
                <w:color w:val="auto"/>
                <w:szCs w:val="24"/>
                <w:highlight w:val="none"/>
              </w:rPr>
              <w:t xml:space="preserve">2026-2027年新安街道污水管网养护采购项目</w:t>
            </w:r>
            <w:r/>
          </w:p>
        </w:tc>
        <w:tc>
          <w:tcPr>
            <w:tcW w:w="4798" w:type="dxa"/>
            <w:vAlign w:val="center"/>
            <w:textDirection w:val="lrTb"/>
            <w:noWrap/>
          </w:tcPr>
          <w:p>
            <w:pPr>
              <w:pStyle w:val="940"/>
              <w:spacing w:line="360" w:lineRule="auto"/>
              <w:rPr>
                <w:rFonts w:hAnsi="宋体"/>
                <w:bCs/>
                <w:color w:val="auto"/>
                <w:szCs w:val="24"/>
                <w:highlight w:val="none"/>
              </w:rPr>
            </w:pPr>
            <w:r>
              <w:rPr>
                <w:rFonts w:hint="eastAsia" w:hAnsi="宋体"/>
                <w:bCs/>
                <w:color w:val="auto"/>
                <w:szCs w:val="24"/>
                <w:highlight w:val="none"/>
              </w:rPr>
              <w:t xml:space="preserve">投标报价（小写）：         元　　　        </w:t>
            </w:r>
            <w:r/>
          </w:p>
          <w:p>
            <w:pPr>
              <w:pStyle w:val="940"/>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质量验收标准</w:t>
            </w:r>
            <w:r>
              <w:rPr>
                <w:rFonts w:hint="eastAsia" w:ascii="宋体" w:hAnsi="宋体" w:cs="宋体"/>
                <w:color w:val="auto"/>
                <w:sz w:val="24"/>
                <w:highlight w:val="none"/>
              </w:rPr>
              <w:t xml:space="preserve">：</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格式自拟</w:t>
      </w:r>
      <w:r/>
    </w:p>
    <w:p>
      <w:pPr>
        <w:pStyle w:val="742"/>
        <w:rPr>
          <w:color w:val="auto"/>
          <w:highlight w:val="none"/>
        </w:rPr>
      </w:pPr>
      <w:r>
        <w:rPr>
          <w:color w:val="auto"/>
          <w:highlight w:val="none"/>
        </w:rPr>
      </w:r>
      <w:r/>
    </w:p>
    <w:p>
      <w:pPr>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注：1、</w:t>
      </w:r>
      <w:r>
        <w:rPr>
          <w:rFonts w:hint="eastAsia" w:ascii="宋体" w:hAnsi="宋体"/>
          <w:bCs/>
          <w:color w:val="auto"/>
          <w:highlight w:val="none"/>
        </w:rPr>
        <w:t xml:space="preserve">投标人应当根据“三、项目技术要求和有关说明”的内容在上表中详细填写</w:t>
      </w:r>
      <w:r>
        <w:rPr>
          <w:rFonts w:hint="eastAsia" w:ascii="宋体" w:hAnsi="宋体" w:cs="宋体"/>
          <w:bCs/>
          <w:color w:val="auto"/>
          <w:sz w:val="24"/>
          <w:szCs w:val="24"/>
          <w:highlight w:val="none"/>
        </w:rPr>
        <w:t xml:space="preserve">。</w:t>
      </w:r>
      <w:r/>
    </w:p>
    <w:p>
      <w:pPr>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表格不够可自行延长。</w:t>
      </w:r>
      <w:r/>
    </w:p>
    <w:p>
      <w:pPr>
        <w:pStyle w:val="701"/>
        <w:ind w:firstLine="480"/>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bCs/>
          <w:color w:val="auto"/>
          <w:szCs w:val="20"/>
          <w:highlight w:val="none"/>
        </w:rPr>
        <w:t xml:space="preserve">不可竞争费35万/年，为在养护期间内出现不可预计的管网抢修，甲方以任务单形式下达乙方，并与乙方签订抢修协议，工程量以甲方认可的工程签证单为准并按实审计。</w:t>
      </w:r>
      <w:r/>
    </w:p>
    <w:p>
      <w:pPr>
        <w:pStyle w:val="701"/>
        <w:ind w:firstLine="480"/>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spacing w:line="480" w:lineRule="auto"/>
        <w:rPr>
          <w:rFonts w:ascii="宋体" w:hAnsi="宋体"/>
          <w:color w:val="auto"/>
          <w:sz w:val="24"/>
          <w:szCs w:val="24"/>
          <w:highlight w:val="none"/>
        </w:rPr>
      </w:pPr>
      <w:r>
        <w:rPr>
          <w:rFonts w:hint="eastAsia" w:ascii="宋体" w:hAnsi="宋体"/>
          <w:bCs/>
          <w:color w:val="auto"/>
          <w:sz w:val="24"/>
          <w:highlight w:val="none"/>
        </w:rPr>
        <w:t xml:space="preserve">日期：</w:t>
      </w:r>
      <w:r/>
    </w:p>
    <w:p>
      <w:pPr>
        <w:spacing w:line="480" w:lineRule="auto"/>
        <w:rPr>
          <w:rFonts w:ascii="黑体" w:eastAsia="黑体"/>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JSZC-320214-JSZH-G2026-0020</w:t>
      </w:r>
      <w:r/>
    </w:p>
    <w:tbl>
      <w:tblPr>
        <w:tblStyle w:val="697"/>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（十）项目人员配置清单（格式）</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项目人员配置清单</w:t>
      </w:r>
      <w:r/>
    </w:p>
    <w:p>
      <w:pPr>
        <w:pStyle w:val="731"/>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供应商名称（盖章）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项目编号： </w:t>
      </w:r>
      <w:r/>
    </w:p>
    <w:tbl>
      <w:tblPr>
        <w:tblStyle w:val="697"/>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891"/>
        <w:gridCol w:w="887"/>
        <w:gridCol w:w="887"/>
        <w:gridCol w:w="943"/>
        <w:gridCol w:w="887"/>
        <w:gridCol w:w="1037"/>
        <w:gridCol w:w="943"/>
        <w:gridCol w:w="1416"/>
        <w:gridCol w:w="1101"/>
      </w:tblGrid>
      <w:tr>
        <w:trPr/>
        <w:tc>
          <w:tcPr>
            <w:tcW w:w="496" w:type="dxa"/>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458" w:type="dxa"/>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姓名</w:t>
            </w:r>
            <w:r/>
          </w:p>
        </w:tc>
        <w:tc>
          <w:tcPr>
            <w:tcW w:w="404" w:type="dxa"/>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性别</w:t>
            </w:r>
            <w:r/>
          </w:p>
        </w:tc>
        <w:tc>
          <w:tcPr>
            <w:tcW w:w="40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485"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岗位</w:t>
            </w:r>
            <w:r/>
          </w:p>
        </w:tc>
        <w:tc>
          <w:tcPr>
            <w:tcW w:w="43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学历</w:t>
            </w:r>
            <w:r/>
          </w:p>
        </w:tc>
        <w:tc>
          <w:tcPr>
            <w:tcW w:w="533"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职称</w:t>
            </w:r>
            <w:r/>
          </w:p>
        </w:tc>
        <w:tc>
          <w:tcPr>
            <w:tcW w:w="485"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专业</w:t>
            </w:r>
            <w:r/>
          </w:p>
        </w:tc>
        <w:tc>
          <w:tcPr>
            <w:tcW w:w="728"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工作年限</w:t>
            </w:r>
            <w:r/>
          </w:p>
        </w:tc>
        <w:tc>
          <w:tcPr>
            <w:tcW w:w="566"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c>
          <w:tcPr>
            <w:tcW w:w="49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3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3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2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6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9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3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3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2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6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9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3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3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2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6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9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3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3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2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6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9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3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3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2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6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9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04"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3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3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2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56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pStyle w:val="742"/>
        <w:rPr>
          <w:color w:val="auto"/>
          <w:highlight w:val="none"/>
        </w:rPr>
      </w:pPr>
      <w:r>
        <w:rPr>
          <w:color w:val="auto"/>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注：1.上表可自行延长。</w:t>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2.提供项目人员相关证书。</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pStyle w:val="941"/>
        <w:rPr>
          <w:rFonts w:ascii="黑体" w:eastAsia="黑体"/>
          <w:bCs w:val="0"/>
          <w:color w:val="auto"/>
          <w:highlight w:val="none"/>
        </w:rPr>
      </w:pPr>
      <w:r>
        <w:rPr>
          <w:rFonts w:ascii="黑体" w:eastAsia="黑体"/>
          <w:bCs w:val="0"/>
          <w:color w:val="auto"/>
          <w:highlight w:val="none"/>
        </w:rPr>
      </w:r>
      <w:r/>
    </w:p>
    <w:p>
      <w:pPr>
        <w:pStyle w:val="941"/>
        <w:jc w:val="both"/>
        <w:rPr>
          <w:rFonts w:ascii="黑体" w:eastAsia="黑体"/>
          <w:bCs w:val="0"/>
          <w:color w:val="auto"/>
          <w:highlight w:val="none"/>
        </w:rPr>
      </w:pPr>
      <w:r>
        <w:rPr>
          <w:rFonts w:hint="eastAsia" w:ascii="黑体" w:eastAsia="黑体"/>
          <w:bCs w:val="0"/>
          <w:color w:val="auto"/>
          <w:highlight w:val="none"/>
        </w:rPr>
        <w:t xml:space="preserve">投标供应商名称（盖章）                             采购项目编号：</w:t>
      </w:r>
      <w:r/>
    </w:p>
    <w:tbl>
      <w:tblPr>
        <w:tblStyle w:val="69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701"/>
              <w:ind w:firstLine="0"/>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tcPr>
          <w:p>
            <w:pPr>
              <w:pStyle w:val="701"/>
              <w:ind w:firstLine="480"/>
              <w:jc w:val="center"/>
              <w:rPr>
                <w:rFonts w:ascii="宋体" w:hAnsi="宋体" w:cs="宋体"/>
                <w:color w:val="auto"/>
                <w:sz w:val="24"/>
                <w:highlight w:val="none"/>
              </w:rPr>
            </w:pPr>
            <w:r>
              <w:rPr>
                <w:rFonts w:ascii="宋体" w:hAnsi="宋体" w:cs="宋体"/>
                <w:color w:val="auto"/>
                <w:sz w:val="24"/>
                <w:highlight w:val="none"/>
              </w:rPr>
            </w:r>
            <w:r/>
          </w:p>
        </w:tc>
        <w:tc>
          <w:tcPr>
            <w:tcW w:w="1083" w:type="dxa"/>
            <w:vAlign w:val="center"/>
            <w:textDirection w:val="lrTb"/>
            <w:noWrap/>
          </w:tcPr>
          <w:p>
            <w:pPr>
              <w:pStyle w:val="701"/>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tcPr>
          <w:p>
            <w:pPr>
              <w:pStyle w:val="701"/>
              <w:ind w:firstLine="480"/>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701"/>
              <w:ind w:firstLine="0"/>
              <w:jc w:val="center"/>
              <w:rPr>
                <w:rFonts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tcPr>
          <w:p>
            <w:pPr>
              <w:pStyle w:val="701"/>
              <w:ind w:firstLine="480"/>
              <w:jc w:val="center"/>
              <w:rPr>
                <w:rFonts w:ascii="宋体" w:hAnsi="宋体" w:cs="宋体"/>
                <w:color w:val="auto"/>
                <w:sz w:val="24"/>
                <w:highlight w:val="none"/>
              </w:rPr>
            </w:pPr>
            <w:r>
              <w:rPr>
                <w:rFonts w:ascii="宋体" w:hAnsi="宋体" w:cs="宋体"/>
                <w:color w:val="auto"/>
                <w:sz w:val="24"/>
                <w:highlight w:val="none"/>
              </w:rPr>
            </w:r>
            <w:r/>
          </w:p>
        </w:tc>
        <w:tc>
          <w:tcPr>
            <w:tcW w:w="1254" w:type="dxa"/>
            <w:vAlign w:val="center"/>
            <w:textDirection w:val="lrTb"/>
            <w:noWrap/>
          </w:tcPr>
          <w:p>
            <w:pPr>
              <w:pStyle w:val="701"/>
              <w:ind w:firstLine="0"/>
              <w:jc w:val="center"/>
              <w:rPr>
                <w:rFonts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tcPr>
          <w:p>
            <w:pPr>
              <w:pStyle w:val="701"/>
              <w:ind w:firstLine="480"/>
              <w:jc w:val="center"/>
              <w:rPr>
                <w:rFonts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701"/>
              <w:ind w:firstLine="480"/>
              <w:jc w:val="center"/>
              <w:rPr>
                <w:rFonts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tcPr>
          <w:p>
            <w:pPr>
              <w:pStyle w:val="701"/>
              <w:ind w:firstLine="480"/>
              <w:jc w:val="left"/>
              <w:rPr>
                <w:rFonts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701"/>
              <w:ind w:firstLine="480"/>
              <w:jc w:val="left"/>
              <w:rPr>
                <w:rFonts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701"/>
              <w:ind w:firstLine="480"/>
              <w:jc w:val="left"/>
              <w:rPr>
                <w:rFonts w:ascii="宋体" w:hAnsi="宋体" w:cs="宋体"/>
                <w:color w:val="auto"/>
                <w:sz w:val="24"/>
                <w:highlight w:val="none"/>
              </w:rPr>
            </w:pPr>
            <w:r>
              <w:rPr>
                <w:rFonts w:hint="eastAsia" w:ascii="宋体" w:hAnsi="宋体" w:cs="宋体"/>
                <w:color w:val="auto"/>
                <w:sz w:val="24"/>
                <w:highlight w:val="none"/>
              </w:rPr>
              <w:t xml:space="preserve">曾获得关于本项服务方面的奖励情况：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tcPr>
          <w:p>
            <w:pPr>
              <w:pStyle w:val="701"/>
              <w:ind w:firstLine="480"/>
              <w:jc w:val="left"/>
              <w:rPr>
                <w:rFonts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701"/>
              <w:ind w:firstLine="480"/>
              <w:jc w:val="lef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01"/>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701"/>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701"/>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701"/>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5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lang w:val="en-US" w:eastAsia="zh-CN"/>
              </w:rPr>
              <w:t xml:space="preserve">2024</w:t>
            </w:r>
            <w:r>
              <w:rPr>
                <w:rFonts w:hint="eastAsia" w:ascii="宋体" w:hAnsi="宋体"/>
                <w:color w:val="auto"/>
                <w:sz w:val="24"/>
                <w:highlight w:val="none"/>
              </w:rPr>
              <w:t xml:space="preserve">年12月资产总额</w:t>
            </w:r>
            <w:r/>
          </w:p>
        </w:tc>
        <w:tc>
          <w:tcPr>
            <w:tcW w:w="21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年12月股东权益</w:t>
            </w:r>
            <w:r/>
          </w:p>
        </w:tc>
        <w:tc>
          <w:tcPr>
            <w:tcW w:w="21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20</w:t>
            </w:r>
            <w:r>
              <w:rPr>
                <w:rFonts w:hint="eastAsia" w:ascii="宋体" w:hAnsi="宋体"/>
                <w:color w:val="auto"/>
                <w:sz w:val="24"/>
                <w:highlight w:val="none"/>
                <w:lang w:val="en-US" w:eastAsia="zh-CN"/>
              </w:rPr>
              <w:t xml:space="preserve">24</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年实现利润</w:t>
            </w:r>
            <w:r/>
          </w:p>
        </w:tc>
        <w:tc>
          <w:tcPr>
            <w:tcW w:w="21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595"/>
        </w:trPr>
        <w:tc>
          <w:tcPr>
            <w:gridSpan w:val="2"/>
            <w:tcW w:w="4620" w:type="dxa"/>
            <w:vAlign w:val="center"/>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01"/>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965"/>
        </w:trPr>
        <w:tc>
          <w:tcPr>
            <w:gridSpan w:val="2"/>
            <w:tcW w:w="4620" w:type="dxa"/>
            <w:vAlign w:val="center"/>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701"/>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701"/>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701"/>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ind w:firstLine="480"/>
        <w:spacing w:line="360" w:lineRule="auto"/>
        <w:rPr>
          <w:rFonts w:ascii="黑体" w:hAnsi="宋体" w:eastAsia="黑体"/>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（十三）技术方案（格式自拟）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939"/>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939"/>
        <w:ind w:firstLine="0"/>
        <w:rPr>
          <w:color w:val="auto"/>
          <w:sz w:val="24"/>
          <w:highlight w:val="none"/>
        </w:rPr>
      </w:pPr>
      <w:r>
        <w:rPr>
          <w:color w:val="auto"/>
          <w:sz w:val="24"/>
          <w:highlight w:val="none"/>
        </w:rPr>
      </w:r>
      <w:r/>
    </w:p>
    <w:p>
      <w:pPr>
        <w:ind w:firstLine="482"/>
        <w:spacing w:line="360" w:lineRule="auto"/>
        <w:rPr>
          <w:rFonts w:ascii="宋体" w:hAnsi="宋体"/>
          <w:bCs/>
          <w:color w:val="auto"/>
          <w:sz w:val="24"/>
          <w:szCs w:val="24"/>
          <w:highlight w:val="none"/>
        </w:rPr>
      </w:pPr>
      <w:r>
        <w:rPr>
          <w:rFonts w:ascii="宋体" w:hAnsi="宋体"/>
          <w:bCs/>
          <w:color w:val="auto"/>
          <w:sz w:val="24"/>
          <w:szCs w:val="24"/>
          <w:highlight w:val="none"/>
        </w:rPr>
      </w:r>
      <w:r/>
    </w:p>
    <w:sectPr>
      <w:headerReference w:type="default" r:id="rId9"/>
      <w:headerReference w:type="first" r:id="rId10"/>
      <w:footerReference w:type="default" r:id="rId12"/>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Wingdings">
    <w:panose1 w:val="05000000000000000000"/>
  </w:font>
  <w:font w:name="Calibri">
    <w:panose1 w:val="020F0502020204030204"/>
  </w:font>
  <w:font w:name="新宋体">
    <w:panose1 w:val="02010609030101010101"/>
  </w:font>
  <w:font w:name="Symbol">
    <w:panose1 w:val="05050102010706020507"/>
  </w:font>
  <w:font w:name="Cambria Math">
    <w:panose1 w:val="02040503050406030204"/>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26</w:t>
    </w:r>
    <w:r>
      <w:fldChar w:fldCharType="end"/>
    </w:r>
    <w:r/>
  </w:p>
  <w:p>
    <w:pPr>
      <w:pStyle w:val="716"/>
      <w:tabs>
        <w:tab w:val="clear" w:pos="4153" w:leader="none"/>
        <w:tab w:val="center" w:pos="7143" w:leader="none"/>
        <w:tab w:val="clear"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44</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Pr>
        <w:rFonts w:hint="eastAsia" w:ascii="宋体" w:hAnsi="宋体"/>
        <w:lang w:eastAsia="zh-CN"/>
      </w:rPr>
      <w:t xml:space="preserve">JSZC-320214-JSZH-G2026-0020</w:t>
    </w:r>
    <w:r>
      <w:rPr>
        <w:rFonts w:hint="eastAsia" w:ascii="宋体" w:hAnsi="宋体"/>
      </w:rPr>
      <w:t xml:space="preserve">                             2026-2027年新安街道污水管网养护采购项目公开招标文件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Pr>
        <w:rFonts w:hint="eastAsia" w:ascii="宋体" w:hAnsi="宋体"/>
        <w:lang w:eastAsia="zh-CN"/>
      </w:rPr>
      <w:t xml:space="preserve">JSZC-320214-JSZH-G2026-0020</w:t>
    </w:r>
    <w:r>
      <w:rPr>
        <w:rFonts w:hint="eastAsia" w:ascii="宋体" w:hAnsi="宋体"/>
      </w:rPr>
      <w:t xml:space="preserve">2026-2027年新安街道污水管网养护采购项目公开招标文件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5">
    <w:multiLevelType w:val="hybridMultilevel"/>
    <w:lvl w:ilvl="0">
      <w:start w:val="1"/>
      <w:numFmt w:val="bullet"/>
      <w:pStyle w:val="69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upperLetter"/>
      <w:pStyle w:val="69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953"/>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6"/>
  </w:num>
  <w:num w:numId="2">
    <w:abstractNumId w:val="5"/>
  </w:num>
  <w:num w:numId="3">
    <w:abstractNumId w:val="15"/>
  </w:num>
  <w:num w:numId="4">
    <w:abstractNumId w:val="3"/>
  </w:num>
  <w:num w:numId="5">
    <w:abstractNumId w:val="2"/>
  </w:num>
  <w:num w:numId="6">
    <w:abstractNumId w:val="8"/>
  </w:num>
  <w:num w:numId="7">
    <w:abstractNumId w:val="10"/>
  </w:num>
  <w:num w:numId="8">
    <w:abstractNumId w:val="17"/>
  </w:num>
  <w:num w:numId="9">
    <w:abstractNumId w:val="7"/>
  </w:num>
  <w:num w:numId="10">
    <w:abstractNumId w:val="1"/>
  </w:num>
  <w:num w:numId="11">
    <w:abstractNumId w:val="11"/>
  </w:num>
  <w:num w:numId="12">
    <w:abstractNumId w:val="16"/>
  </w:num>
  <w:num w:numId="13">
    <w:abstractNumId w:val="4"/>
  </w:num>
  <w:num w:numId="14">
    <w:abstractNumId w:val="14"/>
  </w:num>
  <w:num w:numId="15">
    <w:abstractNumId w:val="9"/>
  </w:num>
  <w:num w:numId="16">
    <w:abstractNumId w:val="13"/>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2">
    <w:name w:val="Heading 6"/>
    <w:basedOn w:val="690"/>
    <w:next w:val="690"/>
    <w:link w:val="76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0"/>
    <w:next w:val="690"/>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0"/>
    <w:next w:val="690"/>
    <w:link w:val="76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0"/>
    <w:next w:val="690"/>
    <w:link w:val="767"/>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0" w:default="1">
    <w:name w:val="Normal"/>
    <w:next w:val="698"/>
    <w:uiPriority w:val="0"/>
    <w:qFormat/>
    <w:pPr>
      <w:jc w:val="both"/>
      <w:widowControl w:val="off"/>
    </w:pPr>
    <w:rPr>
      <w:rFonts w:ascii="Times New Roman" w:hAnsi="Times New Roman" w:eastAsia="宋体" w:cs="Times New Roman"/>
      <w:sz w:val="21"/>
      <w:lang w:val="en-US" w:eastAsia="zh-CN" w:bidi="ar-SA"/>
    </w:rPr>
  </w:style>
  <w:style w:type="paragraph" w:styleId="691">
    <w:name w:val="Heading 1"/>
    <w:basedOn w:val="690"/>
    <w:next w:val="690"/>
    <w:link w:val="909"/>
    <w:uiPriority w:val="99"/>
    <w:qFormat/>
    <w:pPr>
      <w:jc w:val="center"/>
      <w:keepNext/>
      <w:outlineLvl w:val="0"/>
    </w:pPr>
    <w:rPr>
      <w:rFonts w:ascii="楷体_GB2312" w:eastAsia="楷体_GB2312"/>
      <w:b/>
      <w:sz w:val="28"/>
    </w:rPr>
  </w:style>
  <w:style w:type="paragraph" w:styleId="692">
    <w:name w:val="Heading 2"/>
    <w:basedOn w:val="690"/>
    <w:next w:val="690"/>
    <w:link w:val="910"/>
    <w:uiPriority w:val="99"/>
    <w:qFormat/>
    <w:pPr>
      <w:jc w:val="center"/>
      <w:keepNext/>
      <w:outlineLvl w:val="1"/>
    </w:pPr>
    <w:rPr>
      <w:rFonts w:ascii="楷体_GB2312" w:eastAsia="楷体_GB2312"/>
      <w:b/>
      <w:bCs/>
      <w:sz w:val="18"/>
    </w:rPr>
  </w:style>
  <w:style w:type="paragraph" w:styleId="693">
    <w:name w:val="Heading 3"/>
    <w:basedOn w:val="690"/>
    <w:next w:val="690"/>
    <w:link w:val="911"/>
    <w:uiPriority w:val="99"/>
    <w:qFormat/>
    <w:pPr>
      <w:jc w:val="center"/>
      <w:keepNext/>
      <w:outlineLvl w:val="2"/>
    </w:pPr>
    <w:rPr>
      <w:rFonts w:eastAsia="楷体_GB2312"/>
      <w:b/>
      <w:bCs/>
      <w:sz w:val="15"/>
    </w:rPr>
  </w:style>
  <w:style w:type="paragraph" w:styleId="694">
    <w:name w:val="Heading 4"/>
    <w:basedOn w:val="690"/>
    <w:next w:val="690"/>
    <w:link w:val="912"/>
    <w:uiPriority w:val="99"/>
    <w:qFormat/>
    <w:pPr>
      <w:jc w:val="center"/>
      <w:keepNext/>
      <w:outlineLvl w:val="3"/>
    </w:pPr>
    <w:rPr>
      <w:rFonts w:eastAsia="楷体_GB2312"/>
      <w:b/>
      <w:bCs/>
      <w:sz w:val="13"/>
    </w:rPr>
  </w:style>
  <w:style w:type="paragraph" w:styleId="695">
    <w:name w:val="Heading 5"/>
    <w:basedOn w:val="690"/>
    <w:next w:val="690"/>
    <w:link w:val="913"/>
    <w:uiPriority w:val="99"/>
    <w:qFormat/>
    <w:pPr>
      <w:numPr>
        <w:ilvl w:val="0"/>
        <w:numId w:val="1"/>
      </w:numPr>
      <w:keepNext/>
      <w:outlineLvl w:val="4"/>
    </w:pPr>
    <w:rPr>
      <w:rFonts w:ascii="楷体_GB2312" w:eastAsia="楷体_GB2312"/>
      <w:bCs/>
      <w:sz w:val="28"/>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正文文本1"/>
    <w:basedOn w:val="690"/>
    <w:next w:val="699"/>
    <w:uiPriority w:val="0"/>
    <w:qFormat/>
    <w:rPr>
      <w:rFonts w:ascii="华文中宋" w:eastAsia="华文中宋"/>
      <w:bCs/>
      <w:sz w:val="28"/>
    </w:rPr>
  </w:style>
  <w:style w:type="paragraph" w:styleId="699" w:customStyle="1">
    <w:name w:val="列表1"/>
    <w:basedOn w:val="690"/>
    <w:uiPriority w:val="0"/>
    <w:qFormat/>
    <w:pPr>
      <w:numPr>
        <w:ilvl w:val="0"/>
        <w:numId w:val="2"/>
      </w:numPr>
      <w:spacing w:after="20" w:line="288" w:lineRule="auto"/>
    </w:pPr>
    <w:rPr>
      <w:lang w:val="en-GB"/>
    </w:rPr>
  </w:style>
  <w:style w:type="paragraph" w:styleId="700">
    <w:name w:val="toc 7"/>
    <w:basedOn w:val="690"/>
    <w:next w:val="690"/>
    <w:uiPriority w:val="39"/>
    <w:unhideWhenUsed/>
    <w:qFormat/>
    <w:pPr>
      <w:ind w:left="1701"/>
      <w:spacing w:after="57"/>
    </w:pPr>
  </w:style>
  <w:style w:type="paragraph" w:styleId="701">
    <w:name w:val="Normal Indent"/>
    <w:basedOn w:val="690"/>
    <w:link w:val="914"/>
    <w:uiPriority w:val="0"/>
    <w:unhideWhenUsed/>
    <w:qFormat/>
    <w:pPr>
      <w:ind w:firstLine="420"/>
    </w:pPr>
    <w:rPr>
      <w:szCs w:val="24"/>
    </w:rPr>
  </w:style>
  <w:style w:type="paragraph" w:styleId="702">
    <w:name w:val="index 5"/>
    <w:basedOn w:val="690"/>
    <w:next w:val="690"/>
    <w:uiPriority w:val="99"/>
    <w:unhideWhenUsed/>
    <w:qFormat/>
    <w:pPr>
      <w:ind w:left="800"/>
    </w:pPr>
  </w:style>
  <w:style w:type="paragraph" w:styleId="703">
    <w:name w:val="Document Map"/>
    <w:basedOn w:val="690"/>
    <w:next w:val="690"/>
    <w:link w:val="915"/>
    <w:uiPriority w:val="99"/>
    <w:semiHidden/>
    <w:qFormat/>
    <w:pPr>
      <w:shd w:val="clear" w:color="auto" w:fill="000080"/>
    </w:pPr>
    <w:rPr>
      <w:sz w:val="20"/>
    </w:rPr>
  </w:style>
  <w:style w:type="paragraph" w:styleId="704">
    <w:name w:val="annotation text"/>
    <w:basedOn w:val="690"/>
    <w:link w:val="916"/>
    <w:uiPriority w:val="0"/>
    <w:semiHidden/>
    <w:qFormat/>
    <w:pPr>
      <w:jc w:val="left"/>
    </w:pPr>
    <w:rPr>
      <w:sz w:val="20"/>
      <w:szCs w:val="24"/>
    </w:rPr>
  </w:style>
  <w:style w:type="paragraph" w:styleId="705">
    <w:name w:val="Body Text"/>
    <w:basedOn w:val="690"/>
    <w:next w:val="706"/>
    <w:link w:val="917"/>
    <w:uiPriority w:val="99"/>
    <w:qFormat/>
    <w:rPr>
      <w:rFonts w:ascii="华文中宋" w:eastAsia="华文中宋"/>
      <w:bCs/>
      <w:sz w:val="28"/>
    </w:rPr>
  </w:style>
  <w:style w:type="paragraph" w:styleId="706">
    <w:name w:val="List"/>
    <w:basedOn w:val="690"/>
    <w:uiPriority w:val="0"/>
    <w:qFormat/>
    <w:pPr>
      <w:ind w:left="420" w:hanging="420"/>
      <w:spacing w:after="20" w:line="288" w:lineRule="auto"/>
      <w:tabs>
        <w:tab w:val="left" w:pos="420" w:leader="none"/>
      </w:tabs>
    </w:pPr>
    <w:rPr>
      <w:lang w:val="en-GB"/>
    </w:rPr>
  </w:style>
  <w:style w:type="paragraph" w:styleId="707">
    <w:name w:val="Body Text Indent"/>
    <w:basedOn w:val="690"/>
    <w:next w:val="690"/>
    <w:link w:val="918"/>
    <w:uiPriority w:val="0"/>
    <w:qFormat/>
    <w:pPr>
      <w:ind w:firstLine="576"/>
    </w:pPr>
    <w:rPr>
      <w:b/>
      <w:sz w:val="30"/>
    </w:rPr>
  </w:style>
  <w:style w:type="paragraph" w:styleId="708">
    <w:name w:val="toc 5"/>
    <w:basedOn w:val="690"/>
    <w:next w:val="690"/>
    <w:uiPriority w:val="39"/>
    <w:unhideWhenUsed/>
    <w:qFormat/>
    <w:pPr>
      <w:ind w:left="1134"/>
      <w:spacing w:after="57"/>
    </w:pPr>
  </w:style>
  <w:style w:type="paragraph" w:styleId="709">
    <w:name w:val="toc 3"/>
    <w:basedOn w:val="690"/>
    <w:next w:val="690"/>
    <w:uiPriority w:val="39"/>
    <w:unhideWhenUsed/>
    <w:qFormat/>
    <w:pPr>
      <w:ind w:left="567"/>
      <w:spacing w:after="57"/>
    </w:pPr>
  </w:style>
  <w:style w:type="paragraph" w:styleId="710">
    <w:name w:val="Plain Text"/>
    <w:basedOn w:val="690"/>
    <w:link w:val="919"/>
    <w:uiPriority w:val="0"/>
    <w:qFormat/>
    <w:rPr>
      <w:rFonts w:ascii="宋体" w:hAnsi="Courier New"/>
      <w:szCs w:val="21"/>
    </w:rPr>
  </w:style>
  <w:style w:type="paragraph" w:styleId="711">
    <w:name w:val="toc 8"/>
    <w:basedOn w:val="690"/>
    <w:next w:val="690"/>
    <w:uiPriority w:val="39"/>
    <w:unhideWhenUsed/>
    <w:qFormat/>
    <w:pPr>
      <w:ind w:left="1984"/>
      <w:spacing w:after="57"/>
    </w:pPr>
  </w:style>
  <w:style w:type="paragraph" w:styleId="712">
    <w:name w:val="Date"/>
    <w:basedOn w:val="690"/>
    <w:next w:val="690"/>
    <w:link w:val="920"/>
    <w:uiPriority w:val="99"/>
    <w:qFormat/>
    <w:rPr>
      <w:rFonts w:eastAsia="黑体"/>
      <w:b/>
      <w:sz w:val="36"/>
    </w:rPr>
  </w:style>
  <w:style w:type="paragraph" w:styleId="713">
    <w:name w:val="Body Text Indent 2"/>
    <w:basedOn w:val="690"/>
    <w:link w:val="921"/>
    <w:uiPriority w:val="99"/>
    <w:qFormat/>
    <w:pPr>
      <w:ind w:left="900"/>
    </w:pPr>
    <w:rPr>
      <w:rFonts w:ascii="楷体_GB2312" w:eastAsia="楷体_GB2312"/>
      <w:b/>
      <w:sz w:val="28"/>
    </w:rPr>
  </w:style>
  <w:style w:type="paragraph" w:styleId="714">
    <w:name w:val="endnote text"/>
    <w:basedOn w:val="690"/>
    <w:link w:val="907"/>
    <w:uiPriority w:val="99"/>
    <w:semiHidden/>
    <w:unhideWhenUsed/>
    <w:qFormat/>
    <w:rPr>
      <w:sz w:val="20"/>
    </w:rPr>
  </w:style>
  <w:style w:type="paragraph" w:styleId="715">
    <w:name w:val="Balloon Text"/>
    <w:basedOn w:val="690"/>
    <w:link w:val="922"/>
    <w:uiPriority w:val="99"/>
    <w:unhideWhenUsed/>
    <w:qFormat/>
    <w:rPr>
      <w:sz w:val="18"/>
      <w:szCs w:val="18"/>
    </w:rPr>
  </w:style>
  <w:style w:type="paragraph" w:styleId="716">
    <w:name w:val="Footer"/>
    <w:basedOn w:val="690"/>
    <w:link w:val="923"/>
    <w:uiPriority w:val="99"/>
    <w:unhideWhenUsed/>
    <w:qFormat/>
    <w:pPr>
      <w:jc w:val="left"/>
      <w:tabs>
        <w:tab w:val="center" w:pos="4153" w:leader="none"/>
        <w:tab w:val="right" w:pos="8306" w:leader="none"/>
      </w:tabs>
    </w:pPr>
    <w:rPr>
      <w:sz w:val="18"/>
      <w:szCs w:val="18"/>
    </w:rPr>
  </w:style>
  <w:style w:type="paragraph" w:styleId="717">
    <w:name w:val="Header"/>
    <w:basedOn w:val="690"/>
    <w:link w:val="924"/>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18">
    <w:name w:val="toc 1"/>
    <w:basedOn w:val="690"/>
    <w:next w:val="690"/>
    <w:uiPriority w:val="39"/>
    <w:unhideWhenUsed/>
    <w:qFormat/>
    <w:pPr>
      <w:spacing w:after="57"/>
    </w:pPr>
  </w:style>
  <w:style w:type="paragraph" w:styleId="719">
    <w:name w:val="toc 4"/>
    <w:basedOn w:val="690"/>
    <w:next w:val="690"/>
    <w:uiPriority w:val="39"/>
    <w:unhideWhenUsed/>
    <w:qFormat/>
    <w:pPr>
      <w:ind w:left="850"/>
      <w:spacing w:after="57"/>
    </w:pPr>
  </w:style>
  <w:style w:type="paragraph" w:styleId="720">
    <w:name w:val="Subtitle"/>
    <w:basedOn w:val="690"/>
    <w:next w:val="690"/>
    <w:link w:val="770"/>
    <w:uiPriority w:val="11"/>
    <w:qFormat/>
    <w:pPr>
      <w:spacing w:before="200" w:after="200"/>
    </w:pPr>
    <w:rPr>
      <w:sz w:val="24"/>
      <w:szCs w:val="24"/>
    </w:rPr>
  </w:style>
  <w:style w:type="paragraph" w:styleId="721">
    <w:name w:val="footnote text"/>
    <w:basedOn w:val="690"/>
    <w:next w:val="702"/>
    <w:link w:val="925"/>
    <w:uiPriority w:val="0"/>
    <w:qFormat/>
    <w:pPr>
      <w:ind w:firstLine="425"/>
      <w:jc w:val="left"/>
      <w:spacing w:before="120" w:line="360" w:lineRule="auto"/>
    </w:pPr>
    <w:rPr>
      <w:sz w:val="18"/>
    </w:rPr>
  </w:style>
  <w:style w:type="paragraph" w:styleId="722">
    <w:name w:val="toc 6"/>
    <w:basedOn w:val="690"/>
    <w:next w:val="690"/>
    <w:uiPriority w:val="39"/>
    <w:unhideWhenUsed/>
    <w:qFormat/>
    <w:pPr>
      <w:ind w:left="1417"/>
      <w:spacing w:after="57"/>
    </w:pPr>
  </w:style>
  <w:style w:type="paragraph" w:styleId="723">
    <w:name w:val="Body Text Indent 3"/>
    <w:basedOn w:val="690"/>
    <w:link w:val="926"/>
    <w:uiPriority w:val="99"/>
    <w:qFormat/>
    <w:pPr>
      <w:ind w:left="359" w:firstLine="359"/>
    </w:pPr>
    <w:rPr>
      <w:sz w:val="20"/>
    </w:rPr>
  </w:style>
  <w:style w:type="paragraph" w:styleId="724">
    <w:name w:val="table of figures"/>
    <w:basedOn w:val="690"/>
    <w:next w:val="690"/>
    <w:uiPriority w:val="99"/>
    <w:unhideWhenUsed/>
    <w:qFormat/>
  </w:style>
  <w:style w:type="paragraph" w:styleId="725">
    <w:name w:val="toc 2"/>
    <w:basedOn w:val="690"/>
    <w:next w:val="690"/>
    <w:uiPriority w:val="39"/>
    <w:unhideWhenUsed/>
    <w:qFormat/>
    <w:pPr>
      <w:ind w:left="283"/>
      <w:spacing w:after="57"/>
    </w:pPr>
  </w:style>
  <w:style w:type="paragraph" w:styleId="726">
    <w:name w:val="toc 9"/>
    <w:basedOn w:val="690"/>
    <w:next w:val="690"/>
    <w:uiPriority w:val="39"/>
    <w:unhideWhenUsed/>
    <w:qFormat/>
    <w:pPr>
      <w:ind w:left="2268"/>
      <w:spacing w:after="57"/>
    </w:pPr>
  </w:style>
  <w:style w:type="paragraph" w:styleId="727">
    <w:name w:val="Body Text 2"/>
    <w:basedOn w:val="690"/>
    <w:link w:val="927"/>
    <w:uiPriority w:val="99"/>
    <w:qFormat/>
    <w:pPr>
      <w:spacing w:after="120" w:line="480" w:lineRule="auto"/>
    </w:pPr>
    <w:rPr>
      <w:sz w:val="20"/>
    </w:rPr>
  </w:style>
  <w:style w:type="paragraph" w:styleId="728">
    <w:name w:val="Normal (Web)"/>
    <w:basedOn w:val="690"/>
    <w:link w:val="928"/>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29">
    <w:name w:val="Title"/>
    <w:basedOn w:val="690"/>
    <w:next w:val="690"/>
    <w:link w:val="769"/>
    <w:uiPriority w:val="10"/>
    <w:qFormat/>
    <w:pPr>
      <w:contextualSpacing/>
      <w:spacing w:before="300" w:after="200"/>
    </w:pPr>
    <w:rPr>
      <w:sz w:val="48"/>
      <w:szCs w:val="48"/>
    </w:rPr>
  </w:style>
  <w:style w:type="paragraph" w:styleId="730">
    <w:name w:val="annotation subject"/>
    <w:basedOn w:val="704"/>
    <w:next w:val="704"/>
    <w:link w:val="929"/>
    <w:uiPriority w:val="0"/>
    <w:semiHidden/>
    <w:qFormat/>
    <w:rPr>
      <w:b/>
      <w:bCs/>
    </w:rPr>
  </w:style>
  <w:style w:type="paragraph" w:styleId="731">
    <w:name w:val="Body Text First Indent"/>
    <w:basedOn w:val="690"/>
    <w:link w:val="930"/>
    <w:uiPriority w:val="99"/>
    <w:unhideWhenUsed/>
    <w:qFormat/>
    <w:pPr>
      <w:ind w:firstLine="420"/>
      <w:spacing w:after="120"/>
    </w:pPr>
    <w:rPr>
      <w:rFonts w:eastAsia="华文中宋"/>
    </w:rPr>
  </w:style>
  <w:style w:type="paragraph" w:styleId="732">
    <w:name w:val="Body Text First Indent 2"/>
    <w:basedOn w:val="707"/>
    <w:uiPriority w:val="0"/>
    <w:qFormat/>
    <w:pPr>
      <w:ind w:left="420" w:firstLine="420"/>
      <w:spacing w:after="120"/>
    </w:pPr>
    <w:rPr>
      <w:rFonts w:ascii="Cambria" w:hAnsi="Cambria" w:eastAsia="华文细黑"/>
      <w:sz w:val="21"/>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uiPriority w:val="99"/>
    <w:qFormat/>
    <w:rPr>
      <w:rFonts w:cs="Times New Roman"/>
      <w:b/>
      <w:bCs/>
    </w:rPr>
  </w:style>
  <w:style w:type="character" w:styleId="735">
    <w:name w:val="endnote reference"/>
    <w:uiPriority w:val="99"/>
    <w:semiHidden/>
    <w:unhideWhenUsed/>
    <w:qFormat/>
    <w:rPr>
      <w:vertAlign w:val="superscript"/>
    </w:rPr>
  </w:style>
  <w:style w:type="character" w:styleId="736">
    <w:name w:val="page number"/>
    <w:uiPriority w:val="0"/>
    <w:qFormat/>
    <w:rPr>
      <w:rFonts w:cs="Times New Roman"/>
    </w:rPr>
  </w:style>
  <w:style w:type="character" w:styleId="737">
    <w:name w:val="FollowedHyperlink"/>
    <w:uiPriority w:val="99"/>
    <w:qFormat/>
    <w:rPr>
      <w:rFonts w:cs="Times New Roman"/>
      <w:color w:val="000000"/>
      <w:u w:val="none"/>
    </w:rPr>
  </w:style>
  <w:style w:type="character" w:styleId="738">
    <w:name w:val="HTML Typewriter"/>
    <w:uiPriority w:val="99"/>
    <w:qFormat/>
    <w:rPr>
      <w:rFonts w:ascii="宋体" w:hAnsi="宋体" w:eastAsia="宋体" w:cs="宋体"/>
      <w:sz w:val="24"/>
      <w:szCs w:val="24"/>
    </w:rPr>
  </w:style>
  <w:style w:type="character" w:styleId="739">
    <w:name w:val="Hyperlink"/>
    <w:uiPriority w:val="0"/>
    <w:qFormat/>
    <w:rPr>
      <w:color w:val="000000"/>
      <w:u w:val="none"/>
    </w:rPr>
  </w:style>
  <w:style w:type="character" w:styleId="740">
    <w:name w:val="annotation reference"/>
    <w:uiPriority w:val="0"/>
    <w:unhideWhenUsed/>
    <w:qFormat/>
    <w:rPr>
      <w:sz w:val="21"/>
      <w:szCs w:val="21"/>
    </w:rPr>
  </w:style>
  <w:style w:type="character" w:styleId="741">
    <w:name w:val="footnote reference"/>
    <w:uiPriority w:val="99"/>
    <w:unhideWhenUsed/>
    <w:qFormat/>
    <w:rPr>
      <w:vertAlign w:val="superscript"/>
    </w:rPr>
  </w:style>
  <w:style w:type="paragraph" w:styleId="742" w:customStyle="1">
    <w:name w:val="正文缩进11"/>
    <w:basedOn w:val="690"/>
    <w:uiPriority w:val="0"/>
    <w:qFormat/>
    <w:pPr>
      <w:ind w:firstLine="420"/>
      <w:jc w:val="left"/>
      <w:widowControl/>
    </w:pPr>
    <w:rPr>
      <w:sz w:val="20"/>
    </w:rPr>
  </w:style>
  <w:style w:type="paragraph" w:styleId="743" w:customStyle="1">
    <w:name w:val="_Style 1"/>
    <w:uiPriority w:val="0"/>
    <w:qFormat/>
    <w:pPr>
      <w:ind w:firstLine="420"/>
      <w:jc w:val="both"/>
      <w:spacing w:line="360" w:lineRule="auto"/>
      <w:widowControl w:val="off"/>
    </w:pPr>
    <w:rPr>
      <w:rFonts w:ascii="Times New Roman" w:hAnsi="Times New Roman" w:eastAsia="宋体" w:cs="Times New Roman"/>
      <w:sz w:val="24"/>
      <w:szCs w:val="24"/>
      <w:lang w:val="en-US" w:eastAsia="zh-CN" w:bidi="ar-SA"/>
    </w:rPr>
  </w:style>
  <w:style w:type="character" w:styleId="744" w:customStyle="1">
    <w:name w:val="Title Char"/>
    <w:basedOn w:val="696"/>
    <w:uiPriority w:val="10"/>
    <w:qFormat/>
    <w:rPr>
      <w:sz w:val="48"/>
      <w:szCs w:val="48"/>
    </w:rPr>
  </w:style>
  <w:style w:type="character" w:styleId="745" w:customStyle="1">
    <w:name w:val="Subtitle Char"/>
    <w:basedOn w:val="696"/>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character" w:styleId="748" w:customStyle="1">
    <w:name w:val="Endnote Text Char"/>
    <w:uiPriority w:val="99"/>
    <w:qFormat/>
    <w:rPr>
      <w:sz w:val="20"/>
    </w:rPr>
  </w:style>
  <w:style w:type="paragraph" w:styleId="749" w:customStyle="1">
    <w:name w:val="TOC 标题1"/>
    <w:uiPriority w:val="39"/>
    <w:unhideWhenUsed/>
    <w:qFormat/>
    <w:rPr>
      <w:rFonts w:ascii="Times New Roman" w:hAnsi="Times New Roman" w:eastAsia="宋体" w:cs="Times New Roman"/>
      <w:lang w:val="en-US" w:eastAsia="zh-CN" w:bidi="ar-SA"/>
    </w:rPr>
  </w:style>
  <w:style w:type="paragraph" w:styleId="750" w:customStyle="1">
    <w:name w:val="标题 11"/>
    <w:basedOn w:val="690"/>
    <w:next w:val="690"/>
    <w:link w:val="751"/>
    <w:uiPriority w:val="9"/>
    <w:qFormat/>
    <w:pPr>
      <w:keepLines/>
      <w:keepNext/>
      <w:spacing w:before="480" w:after="200"/>
      <w:outlineLvl w:val="0"/>
    </w:pPr>
    <w:rPr>
      <w:rFonts w:ascii="Arial" w:hAnsi="Arial" w:eastAsia="Arial" w:cs="Arial"/>
      <w:sz w:val="40"/>
      <w:szCs w:val="40"/>
    </w:rPr>
  </w:style>
  <w:style w:type="character" w:styleId="751" w:customStyle="1">
    <w:name w:val="Heading 1 Char"/>
    <w:link w:val="750"/>
    <w:uiPriority w:val="9"/>
    <w:qFormat/>
    <w:rPr>
      <w:rFonts w:ascii="Arial" w:hAnsi="Arial" w:eastAsia="Arial" w:cs="Arial"/>
      <w:sz w:val="40"/>
      <w:szCs w:val="40"/>
    </w:rPr>
  </w:style>
  <w:style w:type="paragraph" w:styleId="752" w:customStyle="1">
    <w:name w:val="标题 21"/>
    <w:basedOn w:val="690"/>
    <w:next w:val="690"/>
    <w:link w:val="753"/>
    <w:uiPriority w:val="9"/>
    <w:unhideWhenUsed/>
    <w:qFormat/>
    <w:pPr>
      <w:keepLines/>
      <w:keepNext/>
      <w:spacing w:before="360" w:after="200"/>
      <w:outlineLvl w:val="1"/>
    </w:pPr>
    <w:rPr>
      <w:rFonts w:ascii="Arial" w:hAnsi="Arial" w:eastAsia="Arial" w:cs="Arial"/>
      <w:sz w:val="34"/>
    </w:rPr>
  </w:style>
  <w:style w:type="character" w:styleId="753" w:customStyle="1">
    <w:name w:val="Heading 2 Char"/>
    <w:link w:val="752"/>
    <w:uiPriority w:val="9"/>
    <w:qFormat/>
    <w:rPr>
      <w:rFonts w:ascii="Arial" w:hAnsi="Arial" w:eastAsia="Arial" w:cs="Arial"/>
      <w:sz w:val="34"/>
    </w:rPr>
  </w:style>
  <w:style w:type="paragraph" w:styleId="754" w:customStyle="1">
    <w:name w:val="标题 31"/>
    <w:basedOn w:val="690"/>
    <w:next w:val="690"/>
    <w:link w:val="755"/>
    <w:uiPriority w:val="9"/>
    <w:unhideWhenUsed/>
    <w:qFormat/>
    <w:pPr>
      <w:keepLines/>
      <w:keepNext/>
      <w:spacing w:before="320" w:after="200"/>
      <w:outlineLvl w:val="2"/>
    </w:pPr>
    <w:rPr>
      <w:rFonts w:ascii="Arial" w:hAnsi="Arial" w:eastAsia="Arial" w:cs="Arial"/>
      <w:sz w:val="30"/>
      <w:szCs w:val="30"/>
    </w:rPr>
  </w:style>
  <w:style w:type="character" w:styleId="755" w:customStyle="1">
    <w:name w:val="Heading 3 Char"/>
    <w:link w:val="754"/>
    <w:uiPriority w:val="9"/>
    <w:qFormat/>
    <w:rPr>
      <w:rFonts w:ascii="Arial" w:hAnsi="Arial" w:eastAsia="Arial" w:cs="Arial"/>
      <w:sz w:val="30"/>
      <w:szCs w:val="30"/>
    </w:rPr>
  </w:style>
  <w:style w:type="paragraph" w:styleId="756" w:customStyle="1">
    <w:name w:val="标题 41"/>
    <w:basedOn w:val="690"/>
    <w:next w:val="690"/>
    <w:link w:val="757"/>
    <w:uiPriority w:val="9"/>
    <w:unhideWhenUsed/>
    <w:qFormat/>
    <w:pPr>
      <w:keepLines/>
      <w:keepNext/>
      <w:spacing w:before="320" w:after="200"/>
      <w:outlineLvl w:val="3"/>
    </w:pPr>
    <w:rPr>
      <w:rFonts w:ascii="Arial" w:hAnsi="Arial" w:eastAsia="Arial" w:cs="Arial"/>
      <w:b/>
      <w:bCs/>
      <w:sz w:val="26"/>
      <w:szCs w:val="26"/>
    </w:rPr>
  </w:style>
  <w:style w:type="character" w:styleId="757" w:customStyle="1">
    <w:name w:val="Heading 4 Char"/>
    <w:link w:val="756"/>
    <w:uiPriority w:val="9"/>
    <w:qFormat/>
    <w:rPr>
      <w:rFonts w:ascii="Arial" w:hAnsi="Arial" w:eastAsia="Arial" w:cs="Arial"/>
      <w:b/>
      <w:bCs/>
      <w:sz w:val="26"/>
      <w:szCs w:val="26"/>
    </w:rPr>
  </w:style>
  <w:style w:type="paragraph" w:styleId="758" w:customStyle="1">
    <w:name w:val="标题 51"/>
    <w:basedOn w:val="690"/>
    <w:next w:val="690"/>
    <w:link w:val="759"/>
    <w:uiPriority w:val="9"/>
    <w:unhideWhenUsed/>
    <w:qFormat/>
    <w:pPr>
      <w:keepLines/>
      <w:keepNext/>
      <w:spacing w:before="320" w:after="200"/>
      <w:outlineLvl w:val="4"/>
    </w:pPr>
    <w:rPr>
      <w:rFonts w:ascii="Arial" w:hAnsi="Arial" w:eastAsia="Arial" w:cs="Arial"/>
      <w:b/>
      <w:bCs/>
      <w:sz w:val="24"/>
      <w:szCs w:val="24"/>
    </w:rPr>
  </w:style>
  <w:style w:type="character" w:styleId="759" w:customStyle="1">
    <w:name w:val="Heading 5 Char"/>
    <w:link w:val="758"/>
    <w:uiPriority w:val="9"/>
    <w:qFormat/>
    <w:rPr>
      <w:rFonts w:ascii="Arial" w:hAnsi="Arial" w:eastAsia="Arial" w:cs="Arial"/>
      <w:b/>
      <w:bCs/>
      <w:sz w:val="24"/>
      <w:szCs w:val="24"/>
    </w:rPr>
  </w:style>
  <w:style w:type="paragraph" w:styleId="760" w:customStyle="1">
    <w:name w:val="标题 61"/>
    <w:basedOn w:val="690"/>
    <w:next w:val="690"/>
    <w:link w:val="761"/>
    <w:uiPriority w:val="9"/>
    <w:unhideWhenUsed/>
    <w:qFormat/>
    <w:pPr>
      <w:keepLines/>
      <w:keepNext/>
      <w:spacing w:before="320" w:after="200"/>
      <w:outlineLvl w:val="5"/>
    </w:pPr>
    <w:rPr>
      <w:rFonts w:ascii="Arial" w:hAnsi="Arial" w:eastAsia="Arial" w:cs="Arial"/>
      <w:b/>
      <w:bCs/>
      <w:sz w:val="22"/>
      <w:szCs w:val="22"/>
    </w:rPr>
  </w:style>
  <w:style w:type="character" w:styleId="761" w:customStyle="1">
    <w:name w:val="Heading 6 Char"/>
    <w:link w:val="760"/>
    <w:uiPriority w:val="9"/>
    <w:qFormat/>
    <w:rPr>
      <w:rFonts w:ascii="Arial" w:hAnsi="Arial" w:eastAsia="Arial" w:cs="Arial"/>
      <w:b/>
      <w:bCs/>
      <w:sz w:val="22"/>
      <w:szCs w:val="22"/>
    </w:rPr>
  </w:style>
  <w:style w:type="paragraph" w:styleId="762" w:customStyle="1">
    <w:name w:val="标题 71"/>
    <w:basedOn w:val="690"/>
    <w:next w:val="690"/>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customStyle="1">
    <w:name w:val="Heading 7 Char"/>
    <w:link w:val="762"/>
    <w:uiPriority w:val="9"/>
    <w:qFormat/>
    <w:rPr>
      <w:rFonts w:ascii="Arial" w:hAnsi="Arial" w:eastAsia="Arial" w:cs="Arial"/>
      <w:b/>
      <w:bCs/>
      <w:i/>
      <w:iCs/>
      <w:sz w:val="22"/>
      <w:szCs w:val="22"/>
    </w:rPr>
  </w:style>
  <w:style w:type="paragraph" w:styleId="764" w:customStyle="1">
    <w:name w:val="标题 81"/>
    <w:basedOn w:val="690"/>
    <w:next w:val="690"/>
    <w:link w:val="765"/>
    <w:uiPriority w:val="9"/>
    <w:unhideWhenUsed/>
    <w:qFormat/>
    <w:pPr>
      <w:keepLines/>
      <w:keepNext/>
      <w:spacing w:before="320" w:after="200"/>
      <w:outlineLvl w:val="7"/>
    </w:pPr>
    <w:rPr>
      <w:rFonts w:ascii="Arial" w:hAnsi="Arial" w:eastAsia="Arial" w:cs="Arial"/>
      <w:i/>
      <w:iCs/>
      <w:sz w:val="22"/>
      <w:szCs w:val="22"/>
    </w:rPr>
  </w:style>
  <w:style w:type="character" w:styleId="765" w:customStyle="1">
    <w:name w:val="Heading 8 Char"/>
    <w:link w:val="764"/>
    <w:uiPriority w:val="9"/>
    <w:qFormat/>
    <w:rPr>
      <w:rFonts w:ascii="Arial" w:hAnsi="Arial" w:eastAsia="Arial" w:cs="Arial"/>
      <w:i/>
      <w:iCs/>
      <w:sz w:val="22"/>
      <w:szCs w:val="22"/>
    </w:rPr>
  </w:style>
  <w:style w:type="paragraph" w:styleId="766" w:customStyle="1">
    <w:name w:val="标题 91"/>
    <w:basedOn w:val="690"/>
    <w:next w:val="690"/>
    <w:link w:val="767"/>
    <w:uiPriority w:val="9"/>
    <w:unhideWhenUsed/>
    <w:qFormat/>
    <w:pPr>
      <w:keepLines/>
      <w:keepNext/>
      <w:spacing w:before="320" w:after="200"/>
      <w:outlineLvl w:val="8"/>
    </w:pPr>
    <w:rPr>
      <w:rFonts w:ascii="Arial" w:hAnsi="Arial" w:eastAsia="Arial" w:cs="Arial"/>
      <w:i/>
      <w:iCs/>
      <w:szCs w:val="21"/>
    </w:rPr>
  </w:style>
  <w:style w:type="character" w:styleId="767" w:customStyle="1">
    <w:name w:val="Heading 9 Char"/>
    <w:link w:val="766"/>
    <w:uiPriority w:val="9"/>
    <w:qFormat/>
    <w:rPr>
      <w:rFonts w:ascii="Arial" w:hAnsi="Arial" w:eastAsia="Arial" w:cs="Arial"/>
      <w:i/>
      <w:iCs/>
      <w:sz w:val="21"/>
      <w:szCs w:val="21"/>
    </w:rPr>
  </w:style>
  <w:style w:type="paragraph" w:styleId="768">
    <w:name w:val="No Spacing"/>
    <w:uiPriority w:val="1"/>
    <w:qFormat/>
    <w:rPr>
      <w:rFonts w:ascii="Times New Roman" w:hAnsi="Times New Roman" w:eastAsia="宋体" w:cs="Times New Roman"/>
      <w:lang w:val="en-US" w:eastAsia="zh-CN" w:bidi="ar-SA"/>
    </w:rPr>
  </w:style>
  <w:style w:type="character" w:styleId="769" w:customStyle="1">
    <w:name w:val="标题 字符"/>
    <w:link w:val="729"/>
    <w:uiPriority w:val="10"/>
    <w:qFormat/>
    <w:rPr>
      <w:sz w:val="48"/>
      <w:szCs w:val="48"/>
    </w:rPr>
  </w:style>
  <w:style w:type="character" w:styleId="770" w:customStyle="1">
    <w:name w:val="副标题 字符"/>
    <w:link w:val="720"/>
    <w:uiPriority w:val="11"/>
    <w:qFormat/>
    <w:rPr>
      <w:sz w:val="24"/>
      <w:szCs w:val="24"/>
    </w:rPr>
  </w:style>
  <w:style w:type="paragraph" w:styleId="771">
    <w:name w:val="Quote"/>
    <w:basedOn w:val="690"/>
    <w:next w:val="690"/>
    <w:link w:val="772"/>
    <w:uiPriority w:val="29"/>
    <w:qFormat/>
    <w:pPr>
      <w:ind w:left="720" w:right="720"/>
    </w:pPr>
    <w:rPr>
      <w:i/>
    </w:rPr>
  </w:style>
  <w:style w:type="character" w:styleId="772" w:customStyle="1">
    <w:name w:val="引用 字符"/>
    <w:link w:val="771"/>
    <w:uiPriority w:val="29"/>
    <w:qFormat/>
    <w:rPr>
      <w:i/>
    </w:rPr>
  </w:style>
  <w:style w:type="paragraph" w:styleId="773">
    <w:name w:val="Intense Quote"/>
    <w:basedOn w:val="690"/>
    <w:next w:val="690"/>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字符"/>
    <w:link w:val="773"/>
    <w:uiPriority w:val="30"/>
    <w:qFormat/>
    <w:rPr>
      <w:i/>
    </w:rPr>
  </w:style>
  <w:style w:type="paragraph" w:styleId="775" w:customStyle="1">
    <w:name w:val="页眉1"/>
    <w:basedOn w:val="690"/>
    <w:link w:val="776"/>
    <w:uiPriority w:val="99"/>
    <w:unhideWhenUsed/>
    <w:qFormat/>
    <w:pPr>
      <w:tabs>
        <w:tab w:val="center" w:pos="7143" w:leader="none"/>
        <w:tab w:val="right" w:pos="14287" w:leader="none"/>
      </w:tabs>
    </w:pPr>
  </w:style>
  <w:style w:type="character" w:styleId="776" w:customStyle="1">
    <w:name w:val="Header Char"/>
    <w:link w:val="775"/>
    <w:uiPriority w:val="99"/>
    <w:qFormat/>
  </w:style>
  <w:style w:type="paragraph" w:styleId="777" w:customStyle="1">
    <w:name w:val="页脚1"/>
    <w:basedOn w:val="690"/>
    <w:link w:val="780"/>
    <w:uiPriority w:val="99"/>
    <w:unhideWhenUsed/>
    <w:qFormat/>
    <w:pPr>
      <w:tabs>
        <w:tab w:val="center" w:pos="7143" w:leader="none"/>
        <w:tab w:val="right" w:pos="14287" w:leader="none"/>
      </w:tabs>
    </w:pPr>
  </w:style>
  <w:style w:type="character" w:styleId="778" w:customStyle="1">
    <w:name w:val="Footer Char"/>
    <w:uiPriority w:val="99"/>
    <w:qFormat/>
  </w:style>
  <w:style w:type="paragraph" w:styleId="779" w:customStyle="1">
    <w:name w:val="题注1"/>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80" w:customStyle="1">
    <w:name w:val="Caption Char"/>
    <w:link w:val="777"/>
    <w:uiPriority w:val="99"/>
    <w:qFormat/>
  </w:style>
  <w:style w:type="table" w:styleId="7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uiPriority w:val="99"/>
    <w:qFormat/>
    <w:rPr>
      <w:sz w:val="18"/>
    </w:rPr>
  </w:style>
  <w:style w:type="character" w:styleId="907" w:customStyle="1">
    <w:name w:val="尾注文本 字符"/>
    <w:link w:val="714"/>
    <w:uiPriority w:val="99"/>
    <w:qFormat/>
    <w:rPr>
      <w:sz w:val="20"/>
    </w:rPr>
  </w:style>
  <w:style w:type="paragraph" w:styleId="908" w:customStyle="1">
    <w:name w:val="TOC 标题11"/>
    <w:uiPriority w:val="39"/>
    <w:unhideWhenUsed/>
    <w:qFormat/>
    <w:rPr>
      <w:rFonts w:ascii="Times New Roman" w:hAnsi="Times New Roman" w:eastAsia="宋体" w:cs="Times New Roman"/>
      <w:lang w:val="en-US" w:eastAsia="zh-CN" w:bidi="ar-SA"/>
    </w:rPr>
  </w:style>
  <w:style w:type="character" w:styleId="909" w:customStyle="1">
    <w:name w:val="标题 1 字符"/>
    <w:link w:val="691"/>
    <w:uiPriority w:val="99"/>
    <w:qFormat/>
    <w:rPr>
      <w:rFonts w:ascii="楷体_GB2312" w:hAnsi="Times New Roman" w:eastAsia="楷体_GB2312" w:cs="Times New Roman"/>
      <w:b/>
      <w:sz w:val="28"/>
      <w:szCs w:val="20"/>
    </w:rPr>
  </w:style>
  <w:style w:type="character" w:styleId="910" w:customStyle="1">
    <w:name w:val="标题 2 字符"/>
    <w:link w:val="692"/>
    <w:uiPriority w:val="99"/>
    <w:qFormat/>
    <w:rPr>
      <w:rFonts w:ascii="楷体_GB2312" w:hAnsi="Times New Roman" w:eastAsia="楷体_GB2312" w:cs="Times New Roman"/>
      <w:b/>
      <w:bCs/>
      <w:sz w:val="18"/>
      <w:szCs w:val="20"/>
    </w:rPr>
  </w:style>
  <w:style w:type="character" w:styleId="911" w:customStyle="1">
    <w:name w:val="标题 3 字符"/>
    <w:link w:val="693"/>
    <w:uiPriority w:val="99"/>
    <w:qFormat/>
    <w:rPr>
      <w:rFonts w:ascii="Times New Roman" w:hAnsi="Times New Roman" w:eastAsia="楷体_GB2312" w:cs="Times New Roman"/>
      <w:b/>
      <w:bCs/>
      <w:sz w:val="15"/>
      <w:szCs w:val="20"/>
    </w:rPr>
  </w:style>
  <w:style w:type="character" w:styleId="912" w:customStyle="1">
    <w:name w:val="标题 4 字符"/>
    <w:link w:val="694"/>
    <w:uiPriority w:val="99"/>
    <w:qFormat/>
    <w:rPr>
      <w:rFonts w:ascii="Times New Roman" w:hAnsi="Times New Roman" w:eastAsia="楷体_GB2312" w:cs="Times New Roman"/>
      <w:b/>
      <w:bCs/>
      <w:sz w:val="13"/>
      <w:szCs w:val="20"/>
    </w:rPr>
  </w:style>
  <w:style w:type="character" w:styleId="913" w:customStyle="1">
    <w:name w:val="标题 5 字符"/>
    <w:link w:val="695"/>
    <w:uiPriority w:val="99"/>
    <w:qFormat/>
    <w:rPr>
      <w:rFonts w:ascii="楷体_GB2312" w:hAnsi="Times New Roman" w:eastAsia="楷体_GB2312" w:cs="Times New Roman"/>
      <w:bCs/>
      <w:sz w:val="28"/>
      <w:szCs w:val="20"/>
    </w:rPr>
  </w:style>
  <w:style w:type="character" w:styleId="914" w:customStyle="1">
    <w:name w:val="正文缩进 字符"/>
    <w:link w:val="701"/>
    <w:uiPriority w:val="0"/>
    <w:qFormat/>
    <w:rPr>
      <w:rFonts w:ascii="Times New Roman" w:hAnsi="Times New Roman"/>
      <w:sz w:val="21"/>
      <w:szCs w:val="24"/>
    </w:rPr>
  </w:style>
  <w:style w:type="character" w:styleId="915" w:customStyle="1">
    <w:name w:val="文档结构图 字符"/>
    <w:link w:val="703"/>
    <w:uiPriority w:val="99"/>
    <w:semiHidden/>
    <w:qFormat/>
    <w:rPr>
      <w:rFonts w:ascii="Times New Roman" w:hAnsi="Times New Roman" w:eastAsia="宋体" w:cs="Times New Roman"/>
      <w:szCs w:val="20"/>
      <w:shd w:val="clear" w:color="auto" w:fill="000080"/>
    </w:rPr>
  </w:style>
  <w:style w:type="character" w:styleId="916" w:customStyle="1">
    <w:name w:val="批注文字 字符"/>
    <w:link w:val="704"/>
    <w:uiPriority w:val="0"/>
    <w:semiHidden/>
    <w:qFormat/>
    <w:rPr>
      <w:rFonts w:ascii="Times New Roman" w:hAnsi="Times New Roman" w:eastAsia="宋体" w:cs="Times New Roman"/>
      <w:szCs w:val="24"/>
    </w:rPr>
  </w:style>
  <w:style w:type="character" w:styleId="917" w:customStyle="1">
    <w:name w:val="正文文本 字符"/>
    <w:link w:val="705"/>
    <w:uiPriority w:val="99"/>
    <w:qFormat/>
    <w:rPr>
      <w:rFonts w:ascii="华文中宋" w:hAnsi="Times New Roman" w:eastAsia="华文中宋" w:cs="Times New Roman"/>
      <w:bCs/>
      <w:sz w:val="28"/>
      <w:szCs w:val="20"/>
    </w:rPr>
  </w:style>
  <w:style w:type="character" w:styleId="918" w:customStyle="1">
    <w:name w:val="正文文本缩进 字符"/>
    <w:link w:val="707"/>
    <w:uiPriority w:val="0"/>
    <w:qFormat/>
    <w:rPr>
      <w:rFonts w:ascii="Times New Roman" w:hAnsi="Times New Roman" w:eastAsia="宋体" w:cs="Times New Roman"/>
      <w:b/>
      <w:sz w:val="30"/>
      <w:szCs w:val="20"/>
    </w:rPr>
  </w:style>
  <w:style w:type="character" w:styleId="919" w:customStyle="1">
    <w:name w:val="纯文本 字符"/>
    <w:link w:val="710"/>
    <w:uiPriority w:val="0"/>
    <w:qFormat/>
    <w:rPr>
      <w:rFonts w:ascii="宋体" w:hAnsi="Courier New"/>
      <w:sz w:val="21"/>
      <w:szCs w:val="21"/>
    </w:rPr>
  </w:style>
  <w:style w:type="character" w:styleId="920" w:customStyle="1">
    <w:name w:val="日期 字符"/>
    <w:link w:val="712"/>
    <w:uiPriority w:val="99"/>
    <w:qFormat/>
    <w:rPr>
      <w:rFonts w:ascii="Times New Roman" w:hAnsi="Times New Roman" w:eastAsia="黑体" w:cs="Times New Roman"/>
      <w:b/>
      <w:sz w:val="36"/>
      <w:szCs w:val="20"/>
    </w:rPr>
  </w:style>
  <w:style w:type="character" w:styleId="921" w:customStyle="1">
    <w:name w:val="正文文本缩进 2 字符"/>
    <w:link w:val="713"/>
    <w:uiPriority w:val="99"/>
    <w:qFormat/>
    <w:rPr>
      <w:rFonts w:ascii="楷体_GB2312" w:hAnsi="Times New Roman" w:eastAsia="楷体_GB2312" w:cs="Times New Roman"/>
      <w:b/>
      <w:sz w:val="28"/>
      <w:szCs w:val="20"/>
    </w:rPr>
  </w:style>
  <w:style w:type="character" w:styleId="922" w:customStyle="1">
    <w:name w:val="批注框文本 字符"/>
    <w:link w:val="715"/>
    <w:uiPriority w:val="99"/>
    <w:semiHidden/>
    <w:qFormat/>
    <w:rPr>
      <w:rFonts w:ascii="Times New Roman" w:hAnsi="Times New Roman" w:eastAsia="宋体" w:cs="Times New Roman"/>
      <w:sz w:val="18"/>
      <w:szCs w:val="18"/>
    </w:rPr>
  </w:style>
  <w:style w:type="character" w:styleId="923" w:customStyle="1">
    <w:name w:val="页脚 字符"/>
    <w:link w:val="716"/>
    <w:uiPriority w:val="99"/>
    <w:qFormat/>
    <w:rPr>
      <w:sz w:val="18"/>
      <w:szCs w:val="18"/>
    </w:rPr>
  </w:style>
  <w:style w:type="character" w:styleId="924" w:customStyle="1">
    <w:name w:val="页眉 字符"/>
    <w:link w:val="717"/>
    <w:uiPriority w:val="0"/>
    <w:qFormat/>
    <w:rPr>
      <w:sz w:val="18"/>
      <w:szCs w:val="18"/>
    </w:rPr>
  </w:style>
  <w:style w:type="character" w:styleId="925" w:customStyle="1">
    <w:name w:val="脚注文本 字符"/>
    <w:link w:val="721"/>
    <w:uiPriority w:val="0"/>
    <w:qFormat/>
    <w:rPr>
      <w:rFonts w:ascii="Times New Roman" w:hAnsi="Times New Roman"/>
      <w:sz w:val="18"/>
    </w:rPr>
  </w:style>
  <w:style w:type="character" w:styleId="926" w:customStyle="1">
    <w:name w:val="正文文本缩进 3 字符"/>
    <w:link w:val="723"/>
    <w:uiPriority w:val="99"/>
    <w:qFormat/>
    <w:rPr>
      <w:rFonts w:ascii="Times New Roman" w:hAnsi="Times New Roman" w:eastAsia="宋体" w:cs="Times New Roman"/>
      <w:szCs w:val="20"/>
    </w:rPr>
  </w:style>
  <w:style w:type="character" w:styleId="927" w:customStyle="1">
    <w:name w:val="正文文本 2 字符"/>
    <w:link w:val="727"/>
    <w:uiPriority w:val="99"/>
    <w:qFormat/>
    <w:rPr>
      <w:rFonts w:ascii="Times New Roman" w:hAnsi="Times New Roman" w:eastAsia="宋体" w:cs="Times New Roman"/>
      <w:szCs w:val="20"/>
    </w:rPr>
  </w:style>
  <w:style w:type="character" w:styleId="928" w:customStyle="1">
    <w:name w:val="普通(网站) 字符"/>
    <w:link w:val="728"/>
    <w:uiPriority w:val="0"/>
    <w:qFormat/>
    <w:rPr>
      <w:rFonts w:ascii="宋体" w:hAnsi="宋体"/>
      <w:sz w:val="24"/>
      <w:szCs w:val="24"/>
    </w:rPr>
  </w:style>
  <w:style w:type="character" w:styleId="929" w:customStyle="1">
    <w:name w:val="批注主题 字符"/>
    <w:link w:val="730"/>
    <w:uiPriority w:val="0"/>
    <w:semiHidden/>
    <w:qFormat/>
    <w:rPr>
      <w:rFonts w:ascii="Times New Roman" w:hAnsi="Times New Roman" w:eastAsia="宋体" w:cs="Times New Roman"/>
      <w:b/>
      <w:bCs/>
      <w:szCs w:val="24"/>
    </w:rPr>
  </w:style>
  <w:style w:type="character" w:styleId="930" w:customStyle="1">
    <w:name w:val="正文首行缩进 字符"/>
    <w:link w:val="731"/>
    <w:uiPriority w:val="99"/>
    <w:semiHidden/>
    <w:qFormat/>
    <w:rPr>
      <w:rFonts w:ascii="Times New Roman" w:hAnsi="Times New Roman" w:eastAsia="华文中宋" w:cs="Times New Roman"/>
      <w:sz w:val="21"/>
      <w:szCs w:val="20"/>
    </w:rPr>
  </w:style>
  <w:style w:type="character" w:styleId="931" w:customStyle="1">
    <w:name w:val="批注框文本 Char1"/>
    <w:uiPriority w:val="99"/>
    <w:semiHidden/>
    <w:qFormat/>
    <w:rPr>
      <w:rFonts w:ascii="Times New Roman" w:hAnsi="Times New Roman" w:eastAsia="宋体" w:cs="Times New Roman"/>
      <w:sz w:val="18"/>
      <w:szCs w:val="18"/>
    </w:rPr>
  </w:style>
  <w:style w:type="character" w:styleId="932" w:customStyle="1">
    <w:name w:val="正文文本 2 Char1"/>
    <w:uiPriority w:val="99"/>
    <w:semiHidden/>
    <w:qFormat/>
    <w:rPr>
      <w:rFonts w:ascii="Times New Roman" w:hAnsi="Times New Roman" w:eastAsia="宋体" w:cs="Times New Roman"/>
      <w:szCs w:val="20"/>
    </w:rPr>
  </w:style>
  <w:style w:type="character" w:styleId="933" w:customStyle="1">
    <w:name w:val="文档结构图 Char1"/>
    <w:uiPriority w:val="99"/>
    <w:semiHidden/>
    <w:qFormat/>
    <w:rPr>
      <w:rFonts w:ascii="宋体" w:hAnsi="Times New Roman" w:eastAsia="宋体" w:cs="Times New Roman"/>
      <w:sz w:val="18"/>
      <w:szCs w:val="18"/>
    </w:rPr>
  </w:style>
  <w:style w:type="character" w:styleId="934" w:customStyle="1">
    <w:name w:val="正文文本缩进 Char1"/>
    <w:uiPriority w:val="99"/>
    <w:semiHidden/>
    <w:qFormat/>
    <w:rPr>
      <w:rFonts w:ascii="Times New Roman" w:hAnsi="Times New Roman" w:eastAsia="宋体" w:cs="Times New Roman"/>
      <w:szCs w:val="20"/>
    </w:rPr>
  </w:style>
  <w:style w:type="character" w:styleId="935" w:customStyle="1">
    <w:name w:val="15"/>
    <w:uiPriority w:val="0"/>
    <w:qFormat/>
    <w:rPr>
      <w:rFonts w:ascii="Times New Roman" w:hAnsi="Times New Roman" w:cs="Times New Roman"/>
    </w:rPr>
  </w:style>
  <w:style w:type="character" w:styleId="936" w:customStyle="1">
    <w:name w:val="正文文本缩进 2 Char1"/>
    <w:uiPriority w:val="99"/>
    <w:semiHidden/>
    <w:qFormat/>
    <w:rPr>
      <w:rFonts w:ascii="Times New Roman" w:hAnsi="Times New Roman" w:eastAsia="宋体" w:cs="Times New Roman"/>
      <w:szCs w:val="20"/>
    </w:rPr>
  </w:style>
  <w:style w:type="character" w:styleId="937" w:customStyle="1">
    <w:name w:val="日期 Char1"/>
    <w:uiPriority w:val="99"/>
    <w:semiHidden/>
    <w:qFormat/>
    <w:rPr>
      <w:rFonts w:ascii="Times New Roman" w:hAnsi="Times New Roman" w:eastAsia="宋体" w:cs="Times New Roman"/>
      <w:szCs w:val="20"/>
    </w:rPr>
  </w:style>
  <w:style w:type="character" w:styleId="938" w:customStyle="1">
    <w:name w:val="正文文本缩进 3 Char1"/>
    <w:uiPriority w:val="99"/>
    <w:semiHidden/>
    <w:qFormat/>
    <w:rPr>
      <w:rFonts w:ascii="Times New Roman" w:hAnsi="Times New Roman" w:eastAsia="宋体" w:cs="Times New Roman"/>
      <w:sz w:val="16"/>
      <w:szCs w:val="16"/>
    </w:rPr>
  </w:style>
  <w:style w:type="paragraph" w:styleId="939">
    <w:name w:val="List Paragraph"/>
    <w:basedOn w:val="690"/>
    <w:uiPriority w:val="0"/>
    <w:qFormat/>
    <w:pPr>
      <w:ind w:firstLine="420"/>
    </w:pPr>
    <w:rPr>
      <w:szCs w:val="21"/>
    </w:rPr>
  </w:style>
  <w:style w:type="paragraph" w:styleId="940" w:customStyle="1">
    <w:name w:val="普通文字"/>
    <w:basedOn w:val="690"/>
    <w:next w:val="690"/>
    <w:uiPriority w:val="0"/>
    <w:qFormat/>
    <w:rPr>
      <w:rFonts w:ascii="宋体"/>
      <w:sz w:val="24"/>
    </w:rPr>
  </w:style>
  <w:style w:type="paragraph" w:styleId="941" w:customStyle="1">
    <w:name w:val="样式 小四 段前: 5 磅 段后: 5 磅 首行缩进:  2 字符"/>
    <w:basedOn w:val="690"/>
    <w:uiPriority w:val="0"/>
    <w:qFormat/>
    <w:pPr>
      <w:jc w:val="center"/>
      <w:spacing w:line="360" w:lineRule="auto"/>
    </w:pPr>
    <w:rPr>
      <w:rFonts w:ascii="宋体" w:hAnsi="宋体"/>
      <w:bCs/>
      <w:color w:val="ff0000"/>
      <w:sz w:val="24"/>
      <w:szCs w:val="24"/>
    </w:rPr>
  </w:style>
  <w:style w:type="paragraph" w:styleId="942" w:customStyle="1">
    <w:name w:val="列出段落1"/>
    <w:basedOn w:val="690"/>
    <w:uiPriority w:val="0"/>
    <w:qFormat/>
    <w:pPr>
      <w:ind w:firstLine="420"/>
    </w:pPr>
    <w:rPr>
      <w:szCs w:val="24"/>
    </w:rPr>
  </w:style>
  <w:style w:type="paragraph" w:styleId="943" w:customStyle="1">
    <w:name w:val="段"/>
    <w:next w:val="690"/>
    <w:uiPriority w:val="0"/>
    <w:qFormat/>
    <w:pPr>
      <w:ind w:firstLine="200"/>
      <w:jc w:val="both"/>
    </w:pPr>
    <w:rPr>
      <w:rFonts w:ascii="宋体" w:hAnsi="Times New Roman" w:eastAsia="宋体" w:cs="Times New Roman"/>
      <w:sz w:val="21"/>
      <w:lang w:val="en-US" w:eastAsia="zh-CN" w:bidi="ar-SA"/>
    </w:rPr>
  </w:style>
  <w:style w:type="paragraph" w:styleId="94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4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46" w:customStyle="1">
    <w:name w:val="Other|1"/>
    <w:basedOn w:val="690"/>
    <w:uiPriority w:val="0"/>
    <w:qFormat/>
    <w:pPr>
      <w:ind w:firstLine="220"/>
    </w:pPr>
    <w:rPr>
      <w:rFonts w:ascii="宋体" w:hAnsi="宋体" w:cs="宋体"/>
      <w:sz w:val="20"/>
      <w:lang w:val="zh-TW" w:eastAsia="zh-TW" w:bidi="zh-TW"/>
    </w:rPr>
  </w:style>
  <w:style w:type="character" w:styleId="947" w:customStyle="1">
    <w:name w:val="font11"/>
    <w:uiPriority w:val="0"/>
    <w:qFormat/>
    <w:rPr>
      <w:rFonts w:hint="eastAsia" w:ascii="宋体" w:hAnsi="宋体" w:eastAsia="宋体" w:cs="宋体"/>
      <w:color w:val="333333"/>
      <w:sz w:val="20"/>
      <w:szCs w:val="20"/>
      <w:u w:val="none"/>
    </w:rPr>
  </w:style>
  <w:style w:type="paragraph" w:styleId="948" w:customStyle="1">
    <w:name w:val="纯文本1"/>
    <w:basedOn w:val="690"/>
    <w:uiPriority w:val="0"/>
    <w:qFormat/>
    <w:rPr>
      <w:rFonts w:ascii="宋体" w:hAnsi="Courier New" w:eastAsia="楷体_GB2312"/>
      <w:sz w:val="26"/>
    </w:rPr>
  </w:style>
  <w:style w:type="character" w:styleId="949" w:customStyle="1">
    <w:name w:val="font21"/>
    <w:uiPriority w:val="0"/>
    <w:qFormat/>
    <w:rPr>
      <w:rFonts w:hint="eastAsia" w:ascii="宋体" w:hAnsi="宋体" w:eastAsia="宋体" w:cs="宋体"/>
      <w:color w:val="000000"/>
      <w:sz w:val="20"/>
      <w:szCs w:val="20"/>
      <w:u w:val="none"/>
    </w:rPr>
  </w:style>
  <w:style w:type="character" w:styleId="950" w:customStyle="1">
    <w:name w:val="font01"/>
    <w:uiPriority w:val="0"/>
    <w:qFormat/>
    <w:rPr>
      <w:rFonts w:ascii="Tahoma" w:hAnsi="Tahoma" w:eastAsia="Tahoma" w:cs="Tahoma"/>
      <w:color w:val="333333"/>
      <w:sz w:val="20"/>
      <w:szCs w:val="20"/>
      <w:u w:val="none"/>
    </w:rPr>
  </w:style>
  <w:style w:type="paragraph" w:styleId="951" w:customStyle="1">
    <w:name w:val="列出段落2"/>
    <w:basedOn w:val="690"/>
    <w:uiPriority w:val="34"/>
    <w:qFormat/>
    <w:pPr>
      <w:ind w:firstLine="420"/>
    </w:pPr>
  </w:style>
  <w:style w:type="paragraph" w:styleId="952" w:customStyle="1">
    <w:name w:val="正文文本2"/>
    <w:basedOn w:val="690"/>
    <w:next w:val="953"/>
    <w:uiPriority w:val="0"/>
    <w:qFormat/>
    <w:rPr>
      <w:rFonts w:ascii="华文中宋" w:eastAsia="华文中宋"/>
      <w:bCs/>
      <w:sz w:val="28"/>
    </w:rPr>
  </w:style>
  <w:style w:type="paragraph" w:styleId="953" w:customStyle="1">
    <w:name w:val="列表2"/>
    <w:basedOn w:val="690"/>
    <w:uiPriority w:val="0"/>
    <w:qFormat/>
    <w:pPr>
      <w:numPr>
        <w:ilvl w:val="0"/>
        <w:numId w:val="3"/>
      </w:numPr>
      <w:spacing w:after="20" w:line="288" w:lineRule="auto"/>
    </w:pPr>
    <w:rPr>
      <w:lang w:val="en-GB"/>
    </w:rPr>
  </w:style>
  <w:style w:type="paragraph" w:styleId="954" w:customStyle="1">
    <w:name w:val="列表项目符号 51"/>
    <w:basedOn w:val="690"/>
    <w:uiPriority w:val="0"/>
    <w:qFormat/>
    <w:pPr>
      <w:ind w:left="2040" w:hanging="360"/>
      <w:spacing w:line="360" w:lineRule="exact"/>
      <w:widowControl/>
      <w:tabs>
        <w:tab w:val="left" w:pos="2040" w:leader="none"/>
      </w:tabs>
    </w:pPr>
    <w:rPr>
      <w:rFonts w:eastAsia="楷体_GB2312"/>
      <w:sz w:val="24"/>
    </w:rPr>
  </w:style>
  <w:style w:type="paragraph" w:styleId="955" w:customStyle="1">
    <w:name w:val="页脚11"/>
    <w:basedOn w:val="690"/>
    <w:next w:val="690"/>
    <w:uiPriority w:val="99"/>
    <w:unhideWhenUsed/>
    <w:qFormat/>
    <w:pPr>
      <w:jc w:val="left"/>
      <w:tabs>
        <w:tab w:val="center" w:pos="4153" w:leader="none"/>
        <w:tab w:val="right" w:pos="8306" w:leader="none"/>
      </w:tabs>
    </w:pPr>
    <w:rPr>
      <w:sz w:val="18"/>
      <w:szCs w:val="18"/>
    </w:rPr>
  </w:style>
  <w:style w:type="paragraph" w:styleId="956" w:customStyle="1">
    <w:name w:val="列出段落3"/>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957" w:customStyle="1">
    <w:name w:val="标题 311"/>
    <w:next w:val="958"/>
    <w:uiPriority w:val="0"/>
    <w:qFormat/>
    <w:pPr>
      <w:jc w:val="center"/>
      <w:keepNext/>
      <w:widowControl w:val="off"/>
      <w:outlineLvl w:val="2"/>
    </w:pPr>
    <w:rPr>
      <w:rFonts w:ascii="Times New Roman" w:hAnsi="Times New Roman" w:eastAsia="楷体_GB2312" w:cs="Times New Roman"/>
      <w:b/>
      <w:bCs/>
      <w:sz w:val="15"/>
      <w:lang w:val="en-US" w:eastAsia="zh-CN" w:bidi="ar-SA"/>
    </w:rPr>
  </w:style>
  <w:style w:type="paragraph" w:styleId="958" w:customStyle="1">
    <w:name w:val="正文缩进1"/>
    <w:uiPriority w:val="99"/>
    <w:qFormat/>
    <w:pPr>
      <w:ind w:firstLine="200"/>
      <w:spacing w:line="360" w:lineRule="auto"/>
    </w:pPr>
    <w:rPr>
      <w:rFonts w:ascii="Times New Roman" w:hAnsi="Times New Roman" w:eastAsia="华文细黑" w:cs="Times New Roman"/>
      <w:sz w:val="24"/>
      <w:szCs w:val="21"/>
      <w:lang w:val="en-US" w:eastAsia="zh-CN" w:bidi="ar-SA"/>
    </w:rPr>
  </w:style>
  <w:style w:type="paragraph" w:styleId="959" w:customStyle="1">
    <w:name w:val="正文首行缩进 21"/>
    <w:uiPriority w:val="0"/>
    <w:qFormat/>
    <w:pPr>
      <w:ind w:firstLine="210"/>
      <w:jc w:val="both"/>
      <w:spacing w:after="120"/>
      <w:widowControl w:val="off"/>
    </w:pPr>
    <w:rPr>
      <w:rFonts w:ascii="Cambria Math" w:hAnsi="新宋体" w:eastAsia="Cambria Math" w:cs="Times New Roman"/>
      <w:color w:val="000000"/>
      <w:spacing w:val="-8"/>
      <w:sz w:val="21"/>
      <w:lang w:val="en-US" w:eastAsia="zh-CN" w:bidi="ar-SA"/>
    </w:rPr>
  </w:style>
  <w:style w:type="paragraph" w:styleId="960" w:customStyle="1">
    <w:name w:val="正文文本缩进1"/>
    <w:next w:val="961"/>
    <w:uiPriority w:val="0"/>
    <w:qFormat/>
    <w:pPr>
      <w:ind w:firstLine="576"/>
      <w:jc w:val="both"/>
      <w:widowControl w:val="off"/>
    </w:pPr>
    <w:rPr>
      <w:rFonts w:ascii="Times New Roman" w:hAnsi="Times New Roman" w:eastAsia="宋体" w:cs="Times New Roman"/>
      <w:b/>
      <w:sz w:val="30"/>
      <w:lang w:val="en-US" w:eastAsia="zh-CN" w:bidi="ar-SA"/>
    </w:rPr>
  </w:style>
  <w:style w:type="paragraph" w:styleId="961" w:customStyle="1">
    <w:name w:val="寄信人地址1"/>
    <w:uiPriority w:val="99"/>
    <w:unhideWhenUsed/>
    <w:qFormat/>
    <w:pPr>
      <w:jc w:val="both"/>
      <w:widowControl w:val="off"/>
    </w:pPr>
    <w:rPr>
      <w:rFonts w:hint="eastAsia" w:ascii="Arial" w:hAnsi="Arial" w:eastAsia="宋体" w:cs="Times New Roman"/>
      <w:sz w:val="24"/>
      <w:szCs w:val="24"/>
      <w:lang w:val="en-US" w:eastAsia="zh-CN" w:bidi="ar-SA"/>
    </w:rPr>
  </w:style>
  <w:style w:type="paragraph" w:styleId="962" w:customStyle="1">
    <w:name w:val="文本块11"/>
    <w:uiPriority w:val="0"/>
    <w:qFormat/>
    <w:pPr>
      <w:ind w:left="420" w:right="33"/>
      <w:widowControl w:val="off"/>
    </w:pPr>
    <w:rPr>
      <w:rFonts w:ascii="Times New Roman" w:hAnsi="Times New Roman" w:eastAsia="宋体" w:cs="Times New Roman"/>
      <w:sz w:val="24"/>
      <w:lang w:val="en-US" w:eastAsia="zh-CN" w:bidi="ar-SA"/>
    </w:rPr>
  </w:style>
  <w:style w:type="paragraph" w:styleId="963" w:customStyle="1">
    <w:name w:val="正文缩进111"/>
    <w:uiPriority w:val="0"/>
    <w:qFormat/>
    <w:pPr>
      <w:ind w:firstLine="420"/>
    </w:pPr>
    <w:rPr>
      <w:rFonts w:ascii="Times New Roman" w:hAnsi="Times New Roman" w:eastAsia="宋体" w:cs="Times New Roman"/>
      <w:lang w:val="en-US" w:eastAsia="zh-CN" w:bidi="ar-SA"/>
    </w:rPr>
  </w:style>
  <w:style w:type="paragraph" w:styleId="964" w:customStyle="1">
    <w:name w:val="页眉11"/>
    <w:uiPriority w:val="99"/>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965" w:customStyle="1">
    <w:name w:val="正文首行缩进1"/>
    <w:basedOn w:val="952"/>
    <w:uiPriority w:val="99"/>
    <w:unhideWhenUsed/>
    <w:qFormat/>
    <w:pPr>
      <w:ind w:firstLine="420"/>
      <w:spacing w:after="120"/>
    </w:pPr>
    <w:rPr>
      <w:rFonts w:ascii="Times New Roman" w:hAnsi="Calibri" w:eastAsia="宋体"/>
      <w:bCs w:val="0"/>
      <w:sz w:val="20"/>
    </w:rPr>
  </w:style>
  <w:style w:type="numbering" w:styleId="126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b4a6f22a-bfbd-412e-a07d-dda9c50d81dc</errorID>
      <errorWord>并</errorWord>
      <group>L1_AI</group>
      <groupName>深度校对</groupName>
      <ability>L2_AI_Punc</ability>
      <abilityName>标点纠错</abilityName>
      <candidateList>
        <item>，并</item>
      </candidateList>
      <explain/>
      <paraID>23348ADC</paraID>
      <start>80</start>
      <end>81</end>
      <status>unmodified</status>
      <modifiedWord/>
      <trackRevisions>false</trackRevisions>
    </reviewItem>
    <reviewItem>
      <errorID>7785c052-d1fa-47d9-ba92-b5833a69482a</errorID>
      <errorWord>可以</errorWord>
      <group>L1_AI</group>
      <groupName>深度校对</groupName>
      <ability>L2_AI_Punc</ability>
      <abilityName>标点纠错</abilityName>
      <candidateList>
        <item>，可以</item>
      </candidateList>
      <explain/>
      <paraID>402BE034</paraID>
      <start>48</start>
      <end>50</end>
      <status>unmodified</status>
      <modifiedWord/>
      <trackRevisions>false</trackRevisions>
    </reviewItem>
    <reviewItem>
      <errorID>dbc8e13b-9213-42b3-beac-e7199e037cd7</errorID>
      <errorWord>方可</errorWord>
      <group>L1_AI</group>
      <groupName>深度校对</groupName>
      <ability>L2_AI_Punc</ability>
      <abilityName>标点纠错</abilityName>
      <candidateList>
        <item>，方可</item>
      </candidateList>
      <explain/>
      <paraID>671B9665</paraID>
      <start>13</start>
      <end>15</end>
      <status>unmodified</status>
      <modifiedWord/>
      <trackRevisions>false</trackRevisions>
    </reviewItem>
    <reviewItem>
      <errorID>5ea1c41f-d7bc-4c92-855c-7afecd252d3e</errorID>
      <errorWord>（</errorWord>
      <group>L1_Punc</group>
      <groupName>标点问题</groupName>
      <ability>L2_Punc</ability>
      <abilityName>标点符号检查</abilityName>
      <candidateList/>
      <explain>同一形式括号套用。</explain>
      <paraID> 298F3BA</paraID>
      <start>119</start>
      <end>120</end>
      <status>unmodified</status>
      <modifiedWord/>
      <trackRevisions>false</trackRevisions>
    </reviewItem>
    <reviewItem>
      <errorID>6cbe44bb-21c8-4e01-81ad-d2a732009686</errorID>
      <errorWord>）</errorWord>
      <group>L1_Punc</group>
      <groupName>标点问题</groupName>
      <ability>L2_Punc</ability>
      <abilityName>标点符号检查</abilityName>
      <candidateList/>
      <explain>同一形式括号套用。</explain>
      <paraID> 298F3BA</paraID>
      <start>123</start>
      <end>124</end>
      <status>unmodified</status>
      <modifiedWord/>
      <trackRevisions>false</trackRevisions>
    </reviewItem>
    <reviewItem>
      <errorID>62b6492e-76f8-4f06-bad1-e912bee9232b</errorID>
      <errorWord>可</errorWord>
      <group>L1_AI</group>
      <groupName>深度校对</groupName>
      <ability>L2_AI_Punc</ability>
      <abilityName>标点纠错</abilityName>
      <candidateList>
        <item>，可</item>
      </candidateList>
      <explain/>
      <paraID>40135BEF</paraID>
      <start>26</start>
      <end>27</end>
      <status>unmodified</status>
      <modifiedWord/>
      <trackRevisions>false</trackRevisions>
    </reviewItem>
    <reviewItem>
      <errorID>15304e7c-b80a-425d-9cd0-e43fdf8a3eee</errorID>
      <errorWord>－</errorWord>
      <group>L1_AI</group>
      <groupName>深度校对</groupName>
      <ability>L2_AI_Punc</ability>
      <abilityName>标点纠错</abilityName>
      <candidateList>
        <item>-</item>
      </candidateList>
      <explain/>
      <paraID>40135BEF</paraID>
      <start>37</start>
      <end>38</end>
      <status>unmodified</status>
      <modifiedWord/>
      <trackRevisions>false</trackRevisions>
    </reviewItem>
    <reviewItem>
      <errorID>3f895a05-0a00-437e-abb3-57fbdbf4c7f5</errorID>
      <errorWord>、</errorWord>
      <group>L1_AI</group>
      <groupName>深度校对</groupName>
      <ability>L2_AI_Word</ability>
      <abilityName>字词纠错</abilityName>
      <candidateList>
        <item>以及</item>
      </candidateList>
      <explain/>
      <paraID>3066837A</paraID>
      <start>3</start>
      <end>4</end>
      <status>unmodified</status>
      <modifiedWord/>
      <trackRevisions>false</trackRevisions>
    </reviewItem>
    <reviewItem>
      <errorID>dafef223-198e-414f-ace6-d83740a949ba</errorID>
      <errorWord>也请</errorWord>
      <group>L1_AI</group>
      <groupName>深度校对</groupName>
      <ability>L2_AI_Word</ability>
      <abilityName>字词纠错</abilityName>
      <candidateList>
        <item>同时</item>
      </candidateList>
      <explain/>
      <paraID>3066837A</paraID>
      <start>129</start>
      <end>131</end>
      <status>unmodified</status>
      <modifiedWord/>
      <trackRevisions>false</trackRevisions>
    </reviewItem>
    <reviewItem>
      <errorID>4a748205-dc60-4ad5-943a-0798358cf7c9</errorID>
      <errorWord>《</errorWord>
      <group>L1_AI</group>
      <groupName>深度校对</groupName>
      <ability>L2_AI_Punc</ability>
      <abilityName>标点纠错</abilityName>
      <candidateList>
        <item/>
      </candidateList>
      <explain/>
      <paraID>6F48D8EC</paraID>
      <start>6</start>
      <end>7</end>
      <status>unmodified</status>
      <modifiedWord/>
      <trackRevisions>false</trackRevisions>
    </reviewItem>
    <reviewItem>
      <errorID>3d7bdb7d-ed1e-4eb1-91d5-b7802dfdd16e</errorID>
      <errorWord>》</errorWord>
      <group>L1_AI</group>
      <groupName>深度校对</groupName>
      <ability>L2_AI_Punc</ability>
      <abilityName>标点纠错</abilityName>
      <candidateList>
        <item/>
      </candidateList>
      <explain/>
      <paraID>6F48D8EC</paraID>
      <start>21</start>
      <end>22</end>
      <status>unmodified</status>
      <modifiedWord/>
      <trackRevisions>false</trackRevisions>
    </reviewItem>
    <reviewItem>
      <errorID>81b3253c-30c6-402b-809b-3254cffa0364</errorID>
      <errorWord>：</errorWord>
      <group>L1_AI</group>
      <groupName>深度校对</groupName>
      <ability>L2_AI_Punc</ability>
      <abilityName>标点纠错</abilityName>
      <candidateList>
        <item/>
      </candidateList>
      <explain/>
      <paraID>12850734</paraID>
      <start>10</start>
      <end>11</end>
      <status>unmodified</status>
      <modifiedWord/>
      <trackRevisions>false</trackRevisions>
    </reviewItem>
    <reviewItem>
      <errorID>933ade4a-a595-449c-a59e-f8aa0a9132bf</errorID>
      <errorWord>：</errorWord>
      <group>L1_AI</group>
      <groupName>深度校对</groupName>
      <ability>L2_AI_Punc</ability>
      <abilityName>标点纠错</abilityName>
      <candidateList>
        <item/>
      </candidateList>
      <explain/>
      <paraID>4AFACA8B</paraID>
      <start>13</start>
      <end>14</end>
      <status>unmodified</status>
      <modifiedWord/>
      <trackRevisions>false</trackRevisions>
    </reviewItem>
    <reviewItem>
      <errorID>7841a90d-14f7-461a-b316-bea5d310df41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47490A9E</paraID>
      <start>31</start>
      <end>32</end>
      <status>unmodified</status>
      <modifiedWord/>
      <trackRevisions>false</trackRevisions>
    </reviewItem>
    <reviewItem>
      <errorID>35d60e5d-80cc-4d2c-9e8c-a95247f60639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582924E4</paraID>
      <start>33</start>
      <end>34</end>
      <status>unmodified</status>
      <modifiedWord/>
      <trackRevisions>false</trackRevisions>
    </reviewItem>
    <reviewItem>
      <errorID>50058254-d113-4f98-8a42-f1eb3fe708b5</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ECE5DBB</paraID>
      <start>48</start>
      <end>57</end>
      <status>unmodified</status>
      <modifiedWord/>
      <trackRevisions>false</trackRevisions>
    </reviewItem>
    <reviewItem>
      <errorID>c5bda672-3fbb-49bd-ba54-0ce11aa0eced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43A1B0F3</paraID>
      <start>147</start>
      <end>148</end>
      <status>unmodified</status>
      <modifiedWord/>
      <trackRevisions>false</trackRevisions>
    </reviewItem>
    <reviewItem>
      <errorID>7bfa571d-95c4-489b-9458-4d4e06b898b5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3F5A35AC</paraID>
      <start>0</start>
      <end>3</end>
      <status>modified</status>
      <modifiedWord>（1）</modifiedWord>
      <trackRevisions>false</trackRevisions>
    </reviewItem>
    <reviewItem>
      <errorID>62886b33-287b-4786-af97-b80c95d59c35</errorID>
      <errorWord>需具备</errorWord>
      <group>L1_Word</group>
      <groupName>字词问题</groupName>
      <ability>L2_Typo</ability>
      <abilityName>字词错误</abilityName>
      <candidateList>
        <item>须具备</item>
      </candidateList>
      <explain/>
      <paraID>3F5A35AC</paraID>
      <start>14</start>
      <end>17</end>
      <status>unmodified</status>
      <modifiedWord/>
      <trackRevisions>false</trackRevisions>
    </reviewItem>
    <reviewItem>
      <errorID>10b19c1e-ebb3-4ee4-aff8-189308a1f8c1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3190C6</paraID>
      <start>0</start>
      <end>3</end>
      <status>modified</status>
      <modifiedWord>（2）</modifiedWord>
      <trackRevisions>false</trackRevisions>
    </reviewItem>
    <reviewItem>
      <errorID>a887d3a1-1a84-4cec-a89b-966c044aa95a</errorID>
      <errorWord>需具备</errorWord>
      <group>L1_Word</group>
      <groupName>字词问题</groupName>
      <ability>L2_Typo</ability>
      <abilityName>字词错误</abilityName>
      <candidateList>
        <item>须具备</item>
      </candidateList>
      <explain/>
      <paraID>  3190C6</paraID>
      <start>12</start>
      <end>15</end>
      <status>unmodified</status>
      <modifiedWord/>
      <trackRevisions>false</trackRevisions>
    </reviewItem>
    <reviewItem>
      <errorID>a0260dca-8831-465b-8dc7-d525d7ee2856</errorID>
      <errorWord>共同协商</errorWord>
      <group>L1_Grammar</group>
      <groupName>语法问题</groupName>
      <ability>L2_Grammar</ability>
      <abilityName>语法错误</abilityName>
      <candidateList>
        <item>协商</item>
      </candidateList>
      <explain/>
      <paraID>5358455B</paraID>
      <start>50</start>
      <end>54</end>
      <status>unmodified</status>
      <modifiedWord/>
      <trackRevisions>false</trackRevisions>
    </reviewItem>
    <reviewItem>
      <errorID>3e47f1d8-1317-4ddc-bb13-84034e9b8b16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E48853E</paraID>
      <start>0</start>
      <end>3</end>
      <status>modified</status>
      <modifiedWord>（1）</modifiedWord>
      <trackRevisions>false</trackRevisions>
    </reviewItem>
    <reviewItem>
      <errorID>44787ca5-7b56-4dbc-b26b-fb6f8e81e321</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 E48853E</paraID>
      <start>8</start>
      <end>20</end>
      <status>modified</status>
      <modifiedWord>中华人民共和国网络安全法</modifiedWord>
      <trackRevisions>false</trackRevisions>
    </reviewItem>
    <reviewItem>
      <errorID>963156a5-0653-47d2-911a-f790e76480af</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 E48853E</paraID>
      <start>22</start>
      <end>34</end>
      <status>modified</status>
      <modifiedWord>中华人民共和国数据安全法</modifiedWord>
      <trackRevisions>false</trackRevisions>
    </reviewItem>
    <reviewItem>
      <errorID>4b9aa089-c6b4-4d43-9f2d-a8a792147195</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 E48853E</paraID>
      <start>36</start>
      <end>50</end>
      <status>modified</status>
      <modifiedWord>中华人民共和国个人信息保护法</modifiedWord>
      <trackRevisions>false</trackRevisions>
    </reviewItem>
    <reviewItem>
      <errorID>0f820857-0bc1-4407-8866-dc9222662507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6C030666</paraID>
      <start>0</start>
      <end>3</end>
      <status>modified</status>
      <modifiedWord>（2）</modifiedWord>
      <trackRevisions>false</trackRevisions>
    </reviewItem>
    <reviewItem>
      <errorID>0d6cb39c-0cdc-439c-b94d-4300ee1d21c5</errorID>
      <errorWord>》</errorWord>
      <group>L1_Word</group>
      <groupName>字词问题</groupName>
      <ability>L2_Typo</ability>
      <abilityName>字词错误</abilityName>
      <candidateList>
        <item>》以</item>
      </candidateList>
      <explain/>
      <paraID>6C030666</paraID>
      <start>32</start>
      <end>33</end>
      <status>unmodified</status>
      <modifiedWord/>
      <trackRevisions>false</trackRevisions>
    </reviewItem>
    <reviewItem>
      <errorID>36e6692e-5481-4bd6-8e2f-0558858be462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7AD530AC</paraID>
      <start>0</start>
      <end>3</end>
      <status>modified</status>
      <modifiedWord>（3）</modifiedWord>
      <trackRevisions>false</trackRevisions>
    </reviewItem>
    <reviewItem>
      <errorID>dca79adc-d40f-4304-9d4f-46fa129aef0f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486ACA33</paraID>
      <start>0</start>
      <end>3</end>
      <status>modified</status>
      <modifiedWord>（4）</modifiedWord>
      <trackRevisions>false</trackRevisions>
    </reviewItem>
    <reviewItem>
      <errorID>0163da5b-a8b4-40b1-bc5c-b80894f48c7f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5F37A3BC</paraID>
      <start>0</start>
      <end>3</end>
      <status>modified</status>
      <modifiedWord>（5）</modifiedWord>
      <trackRevisions>false</trackRevisions>
    </reviewItem>
    <reviewItem>
      <errorID>538ef78d-a315-4737-92f7-98667243fdb7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6DD44C3B</paraID>
      <start>0</start>
      <end>3</end>
      <status>modified</status>
      <modifiedWord>（6）</modifiedWord>
      <trackRevisions>false</trackRevisions>
    </reviewItem>
    <reviewItem>
      <errorID>f44842c3-e4f8-4d4f-bb33-5edb867e8f03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430489F5</paraID>
      <start>0</start>
      <end>3</end>
      <status>modified</status>
      <modifiedWord>（7）</modifiedWord>
      <trackRevisions>false</trackRevisions>
    </reviewItem>
    <reviewItem>
      <errorID>485b60bb-0121-41eb-aad7-91d8d8747669</errorID>
      <errorWord>获取到</errorWord>
      <group>L1_Word</group>
      <groupName>字词问题</groupName>
      <ability>L2_Typo</ability>
      <abilityName>字词错误</abilityName>
      <candidateList>
        <item>获取</item>
      </candidateList>
      <explain/>
      <paraID>469AFAB8</paraID>
      <start>31</start>
      <end>34</end>
      <status>unmodified</status>
      <modifiedWord/>
      <trackRevisions>false</trackRevisions>
    </reviewItem>
    <reviewItem>
      <errorID>99d9f5aa-94f7-424d-be48-b3d241692b06</errorID>
      <errorWord>目的是为了</errorWord>
      <group>L1_Word</group>
      <groupName>字词问题</groupName>
      <ability>L2_Typo</ability>
      <abilityName>字词错误</abilityName>
      <candidateList>
        <item>目的是</item>
      </candidateList>
      <explain/>
      <paraID>6C90940C</paraID>
      <start>9</start>
      <end>14</end>
      <status>unmodified</status>
      <modifiedWord/>
      <trackRevisions>false</trackRevisions>
    </reviewItem>
    <reviewItem>
      <errorID>b3864233-37b2-435b-8e1a-5a153ec753e5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2206FC6</paraID>
      <start>9</start>
      <end>12</end>
      <status>unmodified</status>
      <modifiedWord/>
      <trackRevisions>false</trackRevisions>
    </reviewItem>
    <reviewItem>
      <errorID>a7e0f98f-a0dc-4a2f-b16f-803fbb723630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2206FC6</paraID>
      <start>18</start>
      <end>21</end>
      <status>unmodified</status>
      <modifiedWord/>
      <trackRevisions>false</trackRevisions>
    </reviewItem>
    <reviewItem>
      <errorID>56807c08-d0c1-4a46-9b7d-d07f46889e0d</errorID>
      <errorWord>提高</errorWord>
      <group>L1_Grammar</group>
      <groupName>语法问题</groupName>
      <ability>L2_Grammar</ability>
      <abilityName>语法错误</abilityName>
      <candidateList>
        <item>增强</item>
      </candidateList>
      <explain>“提高～意识”搭配不当，建议修改为“增强～意识”。</explain>
      <paraID> 935871F</paraID>
      <start>11</start>
      <end>13</end>
      <status>unmodified</status>
      <modifiedWord/>
      <trackRevisions>false</trackRevisions>
    </reviewItem>
    <reviewItem>
      <errorID>53457981-a359-4571-8d14-fc02b91fbbdc</errorID>
      <errorWord>,</errorWord>
      <group>L1_Format</group>
      <groupName>格式问题</groupName>
      <ability>L2_HalfPunc</ability>
      <abilityName>全半角检查</abilityName>
      <candidateList>
        <item>，</item>
      </candidateList>
      <explain>文本全半角错误。</explain>
      <paraID>426F937D</paraID>
      <start>33</start>
      <end>34</end>
      <status>unmodified</status>
      <modifiedWord/>
      <trackRevisions>false</trackRevisions>
    </reviewItem>
    <reviewItem>
      <errorID>9cdf42ad-84c3-4530-a743-442feb16e4e2</errorID>
      <errorWord>要</errorWord>
      <group>L1_Word</group>
      <groupName>字词问题</groupName>
      <ability>L2_Typo</ability>
      <abilityName>字词错误</abilityName>
      <candidateList>
        <item>要在</item>
      </candidateList>
      <explain/>
      <paraID>62A825DE</paraID>
      <start>28</start>
      <end>29</end>
      <status>unmodified</status>
      <modifiedWord/>
      <trackRevisions>false</trackRevisions>
    </reviewItem>
    <reviewItem>
      <errorID>34935157-24ab-4969-a4dd-c1c71060e8d8</errorID>
      <errorWord>要</errorWord>
      <group>L1_Word</group>
      <groupName>字词问题</groupName>
      <ability>L2_Typo</ability>
      <abilityName>字词错误</abilityName>
      <candidateList>
        <item>要在</item>
      </candidateList>
      <explain/>
      <paraID>62A825DE</paraID>
      <start>63</start>
      <end>64</end>
      <status>unmodified</status>
      <modifiedWord/>
      <trackRevisions>false</trackRevisions>
    </reviewItem>
    <reviewItem>
      <errorID>109dd9e0-5b3c-4df0-92f4-244e9350e2b5</errorID>
      <errorWord>、以及</errorWord>
      <group>L1_Punc</group>
      <groupName>标点问题</groupName>
      <ability>L2_Punc</ability>
      <abilityName>标点符号检查</abilityName>
      <candidateList>
        <item>，以及</item>
      </candidateList>
      <explain>连接词前后不宜使用顿号，建议使用逗号。</explain>
      <paraID>54536953</paraID>
      <start>15</start>
      <end>18</end>
      <status>unmodified</status>
      <modifiedWord/>
      <trackRevisions>false</trackRevisions>
    </reviewItem>
    <reviewItem>
      <errorID>109dd9e0-5b3c-4df0-92f4-244e9350e2b5</errorID>
      <errorWord>、以及</errorWord>
      <group>L1_Punc</group>
      <groupName>标点问题</groupName>
      <ability>L2_Punc</ability>
      <abilityName>标点符号检查</abilityName>
      <candidateList>
        <item>，以及</item>
      </candidateList>
      <explain>连接词前后不宜使用顿号，建议使用逗号。</explain>
      <paraID>35995438</paraID>
      <start>15</start>
      <end>18</end>
      <status>unmodified</status>
      <modifiedWord/>
      <trackRevisions>false</trackRevisions>
    </reviewItem>
    <reviewItem>
      <errorID>b2c0f0fc-233b-4da6-acbb-7886e508cdbe</errorID>
      <errorWord>》</errorWord>
      <group>L1_Word</group>
      <groupName>字词问题</groupName>
      <ability>L2_Typo</ability>
      <abilityName>字词错误</abilityName>
      <candidateList>
        <item>》和</item>
      </candidateList>
      <explain/>
      <paraID> D3EBD97</paraID>
      <start>15</start>
      <end>16</end>
      <status>unmodified</status>
      <modifiedWord/>
      <trackRevisions>false</trackRevisions>
    </reviewItem>
    <reviewItem>
      <errorID>1d9f5711-82ce-48be-95ff-858c668f83cb</errorID>
      <errorWord>(</errorWord>
      <group>L1_Format</group>
      <groupName>格式问题</groupName>
      <ability>L2_HalfPunc</ability>
      <abilityName>全半角检查</abilityName>
      <candidateList>
        <item>（</item>
      </candidateList>
      <explain>文本全半角错误。</explain>
      <paraID>255DEDDB</paraID>
      <start>144</start>
      <end>145</end>
      <status>modified</status>
      <modifiedWord>（</modifiedWord>
      <trackRevisions>false</trackRevisions>
    </reviewItem>
    <reviewItem>
      <errorID>ad17f0dd-e5e5-449b-b72d-60890dcb1c68</errorID>
      <errorWord>)</errorWord>
      <group>L1_Format</group>
      <groupName>格式问题</groupName>
      <ability>L2_HalfPunc</ability>
      <abilityName>全半角检查</abilityName>
      <candidateList>
        <item>）</item>
      </candidateList>
      <explain>文本全半角错误。</explain>
      <paraID>255DEDDB</paraID>
      <start>151</start>
      <end>152</end>
      <status>modified</status>
      <modifiedWord>）</modifiedWord>
      <trackRevisions>false</trackRevisions>
    </reviewItem>
    <reviewItem>
      <errorID>01f4870c-81bf-4292-acac-e1c12f63827d</errorID>
      <errorWord>(</errorWord>
      <group>L1_Format</group>
      <groupName>格式问题</groupName>
      <ability>L2_HalfPunc</ability>
      <abilityName>全半角检查</abilityName>
      <candidateList>
        <item>（</item>
      </candidateList>
      <explain>文本全半角错误。</explain>
      <paraID>7DEEFDDF</paraID>
      <start>139</start>
      <end>140</end>
      <status>modified</status>
      <modifiedWord>（</modifiedWord>
      <trackRevisions>false</trackRevisions>
    </reviewItem>
    <reviewItem>
      <errorID>a76fda4a-4c08-468e-b53a-35104f78fc31</errorID>
      <errorWord>)</errorWord>
      <group>L1_Format</group>
      <groupName>格式问题</groupName>
      <ability>L2_HalfPunc</ability>
      <abilityName>全半角检查</abilityName>
      <candidateList>
        <item>）</item>
      </candidateList>
      <explain>文本全半角错误。</explain>
      <paraID>7DEEFDDF</paraID>
      <start>146</start>
      <end>147</end>
      <status>modified</status>
      <modifiedWord>）</modifiedWord>
      <trackRevisions>false</trackRevisions>
    </reviewItem>
    <reviewItem>
      <errorID>33b41694-849c-41b3-b1f5-96fccf1f7572</errorID>
      <errorWord>(</errorWord>
      <group>L1_Format</group>
      <groupName>格式问题</groupName>
      <ability>L2_HalfPunc</ability>
      <abilityName>全半角检查</abilityName>
      <candidateList>
        <item>（</item>
      </candidateList>
      <explain>文本全半角错误。</explain>
      <paraID>57DAC640</paraID>
      <start>141</start>
      <end>142</end>
      <status>modified</status>
      <modifiedWord>（</modifiedWord>
      <trackRevisions>false</trackRevisions>
    </reviewItem>
    <reviewItem>
      <errorID>e1cccf4f-3f83-4585-9371-74bfef5d7ff2</errorID>
      <errorWord>)</errorWord>
      <group>L1_Format</group>
      <groupName>格式问题</groupName>
      <ability>L2_HalfPunc</ability>
      <abilityName>全半角检查</abilityName>
      <candidateList>
        <item>）</item>
      </candidateList>
      <explain>文本全半角错误。</explain>
      <paraID>57DAC640</paraID>
      <start>148</start>
      <end>149</end>
      <status>modified</status>
      <modifiedWord>）</modifiedWord>
      <trackRevisions>false</trackRevisions>
    </reviewItem>
    <reviewItem>
      <errorID>fabf1afc-2fc1-4b9a-964b-738e5445c692</errorID>
      <errorWord>考察</errorWord>
      <group>L1_Word</group>
      <groupName>字词问题</groupName>
      <ability>L2_Typo</ability>
      <abilityName>字词错误</abilityName>
      <candidateList>
        <item>考查</item>
      </candidateList>
      <explain>〈动〉用一定的标准来检查衡量（行为、活动）：～学生的学业成绩。</explain>
      <paraID>5D1E022B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6D0DD3-423F-40DF-9E18-FC262091403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许居磊</cp:lastModifiedBy>
  <cp:revision>9</cp:revision>
  <dcterms:created xsi:type="dcterms:W3CDTF">2024-06-03T00:57:00Z</dcterms:created>
  <dcterms:modified xsi:type="dcterms:W3CDTF">2026-04-04T06:47:55Z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41147B56E22848CFAC83142CF45AE828_13</vt:lpwstr>
  </property>
  <property fmtid="{D5CDD505-2E9C-101B-9397-08002B2CF9AE}" pid="4" name="KSOTemplateDocerSaveRecord">
    <vt:lpwstr>eyJoZGlkIjoiYjkyZmNhZmMwYTRkMzdjNDc0ZDBiODA4ZTNmNjg2YzYiLCJ1c2VySWQiOiIyMjk3MzI2NjIifQ==</vt:lpwstr>
  </property>
</Properties>
</file>