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057CA20F">
      <w:pPr>
        <w:pStyle w:val="69"/>
      </w:pPr>
    </w:p>
    <w:p w14:paraId="1961C8F5">
      <w:pPr>
        <w:pStyle w:val="69"/>
        <w:jc w:val="center"/>
        <w:rPr>
          <w:rFonts w:hint="eastAsia" w:eastAsia="黑体"/>
          <w:sz w:val="24"/>
          <w:szCs w:val="28"/>
          <w:lang w:eastAsia="zh-CN"/>
        </w:rPr>
      </w:pPr>
      <w:r>
        <w:rPr>
          <w:rFonts w:hint="eastAsia" w:ascii="Arial" w:hAnsi="Arial" w:eastAsia="黑体" w:cs="Arial"/>
          <w:b/>
          <w:bCs/>
          <w:sz w:val="60"/>
          <w:szCs w:val="60"/>
          <w:lang w:eastAsia="zh-CN"/>
        </w:rPr>
        <w:t>南京医科大学蛋白定量试剂采购项目</w:t>
      </w:r>
    </w:p>
    <w:p w14:paraId="5767189F">
      <w:pPr>
        <w:widowControl/>
        <w:spacing w:line="360" w:lineRule="auto"/>
        <w:jc w:val="center"/>
        <w:rPr>
          <w:rFonts w:hint="eastAsia" w:ascii="Arial" w:hAnsi="宋体" w:cs="Arial"/>
          <w:b/>
          <w:kern w:val="0"/>
          <w:sz w:val="72"/>
          <w:szCs w:val="72"/>
        </w:rPr>
      </w:pPr>
    </w:p>
    <w:p w14:paraId="29287FC1">
      <w:pPr>
        <w:pStyle w:val="22"/>
        <w:ind w:left="1260"/>
      </w:pPr>
    </w:p>
    <w:p w14:paraId="11B9C97C">
      <w:pPr>
        <w:pStyle w:val="22"/>
        <w:ind w:left="1260"/>
      </w:pPr>
    </w:p>
    <w:p w14:paraId="1F7360A2"/>
    <w:p w14:paraId="284EDE60">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4B5D333">
      <w:pPr>
        <w:widowControl/>
        <w:spacing w:line="360" w:lineRule="auto"/>
        <w:jc w:val="center"/>
        <w:rPr>
          <w:rFonts w:ascii="Arial" w:hAnsi="Arial" w:cs="Arial"/>
          <w:b/>
          <w:kern w:val="0"/>
          <w:sz w:val="36"/>
          <w:szCs w:val="36"/>
        </w:rPr>
      </w:pPr>
    </w:p>
    <w:p w14:paraId="7E7452EB">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JSZC-320000-JCEC-G2026-0120</w:t>
      </w:r>
    </w:p>
    <w:p w14:paraId="4F9E0A44">
      <w:pPr>
        <w:widowControl/>
        <w:spacing w:line="360" w:lineRule="auto"/>
        <w:jc w:val="center"/>
        <w:rPr>
          <w:rFonts w:hint="eastAsia" w:ascii="Arial" w:hAnsi="宋体" w:cs="Arial"/>
          <w:b/>
          <w:kern w:val="0"/>
          <w:sz w:val="36"/>
          <w:szCs w:val="36"/>
        </w:rPr>
      </w:pPr>
    </w:p>
    <w:p w14:paraId="7CFCA725">
      <w:pPr>
        <w:widowControl/>
        <w:spacing w:line="360" w:lineRule="auto"/>
        <w:jc w:val="center"/>
        <w:rPr>
          <w:rFonts w:ascii="Arial" w:hAnsi="Arial" w:cs="Arial"/>
          <w:b/>
          <w:kern w:val="0"/>
          <w:sz w:val="28"/>
          <w:szCs w:val="28"/>
        </w:rPr>
      </w:pPr>
    </w:p>
    <w:p w14:paraId="03A52B7C">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7281DD08">
      <w:pPr>
        <w:pStyle w:val="22"/>
        <w:ind w:left="1260"/>
        <w:rPr>
          <w:rFonts w:ascii="Arial" w:hAnsi="Arial" w:cs="Arial"/>
          <w:kern w:val="0"/>
          <w:sz w:val="32"/>
          <w:szCs w:val="32"/>
        </w:rPr>
      </w:pPr>
    </w:p>
    <w:p w14:paraId="7B096374">
      <w:pPr>
        <w:pStyle w:val="22"/>
        <w:ind w:left="1260"/>
      </w:pPr>
    </w:p>
    <w:p w14:paraId="32395A8B">
      <w:pPr>
        <w:widowControl/>
        <w:spacing w:line="360" w:lineRule="auto"/>
        <w:jc w:val="center"/>
        <w:rPr>
          <w:rFonts w:ascii="Arial" w:hAnsi="Arial" w:cs="Arial"/>
          <w:b/>
          <w:kern w:val="0"/>
          <w:sz w:val="36"/>
          <w:szCs w:val="36"/>
        </w:rPr>
      </w:pPr>
    </w:p>
    <w:p w14:paraId="5D5354A5">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60E32916">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05AC2775">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2026年</w:t>
      </w:r>
      <w:r>
        <w:rPr>
          <w:rFonts w:hint="eastAsia" w:ascii="宋体" w:hAnsi="宋体" w:cs="宋体"/>
          <w:b/>
          <w:kern w:val="0"/>
          <w:sz w:val="32"/>
          <w:szCs w:val="32"/>
          <w:lang w:val="en-US" w:eastAsia="zh-CN"/>
        </w:rPr>
        <w:t>5</w:t>
      </w:r>
      <w:r>
        <w:rPr>
          <w:rFonts w:hint="eastAsia" w:ascii="宋体" w:hAnsi="宋体" w:cs="宋体"/>
          <w:b/>
          <w:kern w:val="0"/>
          <w:sz w:val="32"/>
          <w:szCs w:val="32"/>
        </w:rPr>
        <w:t>月</w:t>
      </w:r>
      <w:r>
        <w:rPr>
          <w:rFonts w:hint="eastAsia" w:ascii="宋体" w:hAnsi="宋体" w:cs="宋体"/>
          <w:b/>
          <w:kern w:val="0"/>
          <w:sz w:val="32"/>
          <w:szCs w:val="32"/>
          <w:lang w:val="en-US" w:eastAsia="zh-CN"/>
        </w:rPr>
        <w:t>7</w:t>
      </w:r>
      <w:r>
        <w:rPr>
          <w:rFonts w:hint="eastAsia" w:ascii="宋体" w:hAnsi="宋体" w:cs="宋体"/>
          <w:b/>
          <w:kern w:val="0"/>
          <w:sz w:val="32"/>
          <w:szCs w:val="32"/>
        </w:rPr>
        <w:t>日</w:t>
      </w:r>
    </w:p>
    <w:p w14:paraId="38726DA6">
      <w:pPr>
        <w:widowControl/>
        <w:shd w:val="clear" w:color="auto" w:fill="FFFFFF"/>
        <w:spacing w:line="360" w:lineRule="auto"/>
        <w:jc w:val="center"/>
        <w:rPr>
          <w:rFonts w:ascii="Arial" w:hAnsi="Arial" w:cs="Arial"/>
          <w:b/>
          <w:kern w:val="0"/>
          <w:sz w:val="32"/>
          <w:szCs w:val="32"/>
          <w:highlight w:val="yellow"/>
        </w:rPr>
      </w:pPr>
    </w:p>
    <w:p w14:paraId="18E55159">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306E8738">
      <w:pPr>
        <w:pStyle w:val="172"/>
        <w:jc w:val="center"/>
        <w:rPr>
          <w:rFonts w:ascii="Arial" w:hAnsi="Arial" w:cs="Arial"/>
          <w:color w:val="auto"/>
          <w:sz w:val="36"/>
          <w:szCs w:val="36"/>
        </w:rPr>
      </w:pPr>
      <w:r>
        <w:rPr>
          <w:rFonts w:ascii="Arial" w:hAnsi="宋体" w:cs="Arial"/>
          <w:color w:val="auto"/>
          <w:sz w:val="36"/>
          <w:szCs w:val="36"/>
          <w:lang w:val="zh-CN"/>
        </w:rPr>
        <w:t>目录</w:t>
      </w:r>
    </w:p>
    <w:p w14:paraId="1B46388D">
      <w:pPr>
        <w:pStyle w:val="33"/>
        <w:tabs>
          <w:tab w:val="right" w:leader="dot" w:pos="8296"/>
        </w:tabs>
        <w:rPr>
          <w:rFonts w:ascii="Arial" w:hAnsi="Arial" w:cs="Arial"/>
          <w:sz w:val="28"/>
          <w:szCs w:val="28"/>
        </w:rPr>
      </w:pPr>
    </w:p>
    <w:p w14:paraId="6FF43E74">
      <w:pPr>
        <w:pStyle w:val="33"/>
        <w:tabs>
          <w:tab w:val="right" w:leader="dot" w:pos="8299"/>
        </w:tabs>
        <w:spacing w:line="48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080CE20D">
      <w:pPr>
        <w:pStyle w:val="33"/>
        <w:tabs>
          <w:tab w:val="right" w:leader="dot" w:pos="8299"/>
        </w:tabs>
        <w:spacing w:line="480" w:lineRule="auto"/>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fldChar w:fldCharType="end"/>
      </w:r>
    </w:p>
    <w:p w14:paraId="7148D494">
      <w:pPr>
        <w:pStyle w:val="33"/>
        <w:tabs>
          <w:tab w:val="right" w:leader="dot" w:pos="8299"/>
        </w:tabs>
        <w:spacing w:line="480" w:lineRule="auto"/>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sz w:val="28"/>
          <w:szCs w:val="28"/>
        </w:rPr>
        <w:fldChar w:fldCharType="end"/>
      </w:r>
    </w:p>
    <w:p w14:paraId="12101307">
      <w:pPr>
        <w:pStyle w:val="33"/>
        <w:tabs>
          <w:tab w:val="right" w:leader="dot" w:pos="8299"/>
        </w:tabs>
        <w:spacing w:line="480" w:lineRule="auto"/>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0DB69E55">
      <w:pPr>
        <w:pStyle w:val="33"/>
        <w:tabs>
          <w:tab w:val="right" w:leader="dot" w:pos="8299"/>
        </w:tabs>
        <w:spacing w:line="480" w:lineRule="auto"/>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31E4CB7E">
      <w:pPr>
        <w:pStyle w:val="33"/>
        <w:tabs>
          <w:tab w:val="right" w:leader="dot" w:pos="8299"/>
        </w:tabs>
        <w:spacing w:line="480" w:lineRule="auto"/>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33</w:t>
      </w:r>
      <w:r>
        <w:rPr>
          <w:rFonts w:hint="eastAsia" w:ascii="宋体" w:hAnsi="宋体" w:cs="宋体"/>
          <w:sz w:val="28"/>
          <w:szCs w:val="28"/>
        </w:rPr>
        <w:fldChar w:fldCharType="end"/>
      </w:r>
      <w:r>
        <w:rPr>
          <w:rFonts w:hint="eastAsia" w:ascii="宋体" w:hAnsi="宋体" w:cs="宋体"/>
          <w:sz w:val="28"/>
          <w:szCs w:val="28"/>
        </w:rPr>
        <w:fldChar w:fldCharType="end"/>
      </w:r>
    </w:p>
    <w:p w14:paraId="315F657C">
      <w:pPr>
        <w:spacing w:line="480" w:lineRule="auto"/>
        <w:rPr>
          <w:rFonts w:ascii="Arial" w:hAnsi="Arial" w:cs="Arial"/>
          <w:sz w:val="52"/>
          <w:szCs w:val="52"/>
        </w:rPr>
      </w:pPr>
      <w:r>
        <w:rPr>
          <w:rFonts w:hint="eastAsia" w:ascii="宋体" w:hAnsi="宋体" w:cs="宋体"/>
          <w:sz w:val="28"/>
          <w:szCs w:val="28"/>
        </w:rPr>
        <w:fldChar w:fldCharType="end"/>
      </w:r>
    </w:p>
    <w:p w14:paraId="33C50F2E">
      <w:pPr>
        <w:widowControl/>
        <w:shd w:val="clear" w:color="auto" w:fill="FFFFFF"/>
        <w:spacing w:line="360" w:lineRule="auto"/>
        <w:jc w:val="center"/>
        <w:rPr>
          <w:rFonts w:ascii="Arial" w:hAnsi="Arial" w:cs="Arial"/>
          <w:b/>
          <w:kern w:val="0"/>
          <w:sz w:val="36"/>
          <w:szCs w:val="36"/>
        </w:rPr>
      </w:pPr>
    </w:p>
    <w:p w14:paraId="29E415FA">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6"/>
      <w:bookmarkStart w:id="6" w:name="OLE_LINK5"/>
      <w:bookmarkStart w:id="7" w:name="OLE_LINK7"/>
      <w:bookmarkStart w:id="8" w:name="OLE_LINK1"/>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2"/>
      <w:bookmarkStart w:id="12" w:name="OLE_LINK3"/>
      <w:bookmarkStart w:id="13" w:name="_Hlk74841176"/>
      <w:r>
        <w:rPr>
          <w:rFonts w:hint="eastAsia" w:ascii="Arial" w:hAnsi="Arial" w:cs="Arial"/>
          <w:spacing w:val="8"/>
          <w:kern w:val="0"/>
          <w:szCs w:val="21"/>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lang w:eastAsia="zh-CN"/>
        </w:rPr>
        <w:t>南京医科大学蛋白定量试剂采购项目</w:t>
      </w:r>
      <w:r>
        <w:rPr>
          <w:rFonts w:hint="eastAsia" w:ascii="宋体" w:hAnsi="宋体" w:cs="Arial"/>
          <w:kern w:val="0"/>
          <w:szCs w:val="21"/>
          <w:u w:val="single"/>
        </w:rPr>
        <w:t xml:space="preserve">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lang w:val="en-US" w:eastAsia="zh-CN"/>
        </w:rPr>
        <w:t>5</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28</w:t>
      </w:r>
      <w:r>
        <w:rPr>
          <w:rFonts w:ascii="宋体" w:hAnsi="宋体" w:cs="Arial"/>
          <w:color w:val="auto"/>
          <w:kern w:val="0"/>
          <w:szCs w:val="21"/>
          <w:u w:val="single"/>
        </w:rPr>
        <w:t>日</w:t>
      </w:r>
      <w:r>
        <w:rPr>
          <w:rFonts w:hint="eastAsia" w:ascii="宋体" w:hAnsi="宋体" w:cs="Arial"/>
          <w:color w:val="auto"/>
          <w:kern w:val="0"/>
          <w:szCs w:val="21"/>
          <w:u w:val="single"/>
          <w:lang w:val="en-US" w:eastAsia="zh-CN"/>
        </w:rPr>
        <w:t>09</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ascii="Arial" w:hAnsi="Arial" w:cs="Arial"/>
          <w:spacing w:val="8"/>
          <w:kern w:val="0"/>
          <w:szCs w:val="21"/>
        </w:rPr>
        <w:t>（北京时间）前递交投标文件。</w:t>
      </w:r>
    </w:p>
    <w:p w14:paraId="4C7AE605">
      <w:pPr>
        <w:pStyle w:val="72"/>
      </w:pPr>
    </w:p>
    <w:p w14:paraId="21D732F9"/>
    <w:p w14:paraId="57CB362C">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29EA2D46">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JSZC-320000-JCEC-G2026-0120</w:t>
      </w:r>
    </w:p>
    <w:p w14:paraId="17D79080">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1.2项目名称：</w:t>
      </w:r>
      <w:r>
        <w:rPr>
          <w:rFonts w:hint="eastAsia" w:ascii="Arial" w:hAnsi="Arial" w:cs="Arial"/>
          <w:spacing w:val="8"/>
          <w:kern w:val="0"/>
          <w:szCs w:val="21"/>
          <w:lang w:eastAsia="zh-CN"/>
        </w:rPr>
        <w:t>南京医科大学蛋白定量试剂采购项目</w:t>
      </w:r>
    </w:p>
    <w:p w14:paraId="43CF4F93">
      <w:pPr>
        <w:widowControl/>
        <w:shd w:val="clear" w:color="auto" w:fill="FFFFFF" w:themeFill="background1"/>
        <w:spacing w:line="360" w:lineRule="auto"/>
        <w:ind w:firstLine="452" w:firstLineChars="200"/>
        <w:rPr>
          <w:rFonts w:hint="default" w:ascii="Arial" w:hAnsi="Arial" w:eastAsia="宋体" w:cs="Arial"/>
          <w:spacing w:val="8"/>
          <w:kern w:val="0"/>
          <w:szCs w:val="21"/>
          <w:lang w:val="en-US" w:eastAsia="zh-CN"/>
        </w:rPr>
      </w:pPr>
      <w:r>
        <w:rPr>
          <w:rFonts w:ascii="Arial" w:hAnsi="Arial" w:cs="Arial"/>
          <w:spacing w:val="8"/>
          <w:kern w:val="0"/>
          <w:szCs w:val="21"/>
        </w:rPr>
        <w:t>1.3预算金额</w:t>
      </w:r>
      <w:r>
        <w:rPr>
          <w:rFonts w:hint="eastAsia" w:ascii="Arial" w:hAnsi="Arial" w:cs="Arial"/>
          <w:spacing w:val="8"/>
          <w:kern w:val="0"/>
          <w:szCs w:val="21"/>
        </w:rPr>
        <w:t>：人民币</w:t>
      </w:r>
      <w:r>
        <w:rPr>
          <w:rFonts w:hint="eastAsia" w:ascii="Arial" w:hAnsi="Arial" w:cs="Arial"/>
          <w:spacing w:val="8"/>
          <w:kern w:val="0"/>
          <w:szCs w:val="21"/>
          <w:lang w:val="en-US" w:eastAsia="zh-CN"/>
        </w:rPr>
        <w:t>290</w:t>
      </w:r>
      <w:r>
        <w:rPr>
          <w:rFonts w:hint="eastAsia" w:ascii="Arial" w:hAnsi="Arial" w:cs="Arial"/>
          <w:spacing w:val="8"/>
          <w:kern w:val="0"/>
          <w:szCs w:val="21"/>
        </w:rPr>
        <w:t>.00万元</w:t>
      </w:r>
    </w:p>
    <w:p w14:paraId="032C826A">
      <w:pPr>
        <w:widowControl/>
        <w:shd w:val="clear" w:color="auto" w:fill="FFFFFF" w:themeFill="background1"/>
        <w:spacing w:line="360" w:lineRule="auto"/>
        <w:ind w:firstLine="452" w:firstLineChars="200"/>
        <w:rPr>
          <w:rFonts w:hint="default" w:ascii="Arial" w:hAnsi="Arial" w:eastAsia="宋体" w:cs="Arial"/>
          <w:spacing w:val="8"/>
          <w:kern w:val="0"/>
          <w:szCs w:val="21"/>
          <w:lang w:val="en-US" w:eastAsia="zh-CN"/>
        </w:rPr>
      </w:pPr>
      <w:r>
        <w:rPr>
          <w:rFonts w:ascii="Arial" w:hAnsi="Arial" w:cs="Arial"/>
          <w:spacing w:val="8"/>
          <w:kern w:val="0"/>
          <w:szCs w:val="21"/>
        </w:rPr>
        <w:t>1.4最高限价：</w:t>
      </w:r>
      <w:r>
        <w:rPr>
          <w:rFonts w:hint="eastAsia" w:ascii="Arial" w:hAnsi="Arial" w:cs="Arial"/>
          <w:spacing w:val="8"/>
          <w:kern w:val="0"/>
          <w:szCs w:val="21"/>
        </w:rPr>
        <w:t>人民币</w:t>
      </w:r>
      <w:r>
        <w:rPr>
          <w:rFonts w:hint="eastAsia" w:ascii="Arial" w:hAnsi="Arial" w:cs="Arial"/>
          <w:spacing w:val="8"/>
          <w:kern w:val="0"/>
          <w:szCs w:val="21"/>
          <w:lang w:val="en-US" w:eastAsia="zh-CN"/>
        </w:rPr>
        <w:t>288</w:t>
      </w:r>
      <w:r>
        <w:rPr>
          <w:rFonts w:hint="eastAsia" w:ascii="Arial" w:hAnsi="Arial" w:cs="Arial"/>
          <w:spacing w:val="8"/>
          <w:kern w:val="0"/>
          <w:szCs w:val="21"/>
        </w:rPr>
        <w:t>.00万元</w:t>
      </w:r>
      <w:r>
        <w:rPr>
          <w:rFonts w:hint="eastAsia" w:ascii="Arial" w:hAnsi="Arial" w:cs="Arial"/>
          <w:spacing w:val="8"/>
          <w:kern w:val="0"/>
          <w:szCs w:val="21"/>
          <w:lang w:eastAsia="zh-CN"/>
        </w:rPr>
        <w:t>，单价限价：1867元/人份（注意：单价、总价均不可超出相应的最高限价）</w:t>
      </w:r>
    </w:p>
    <w:p w14:paraId="5D93BEF9">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南京医科大学为满足</w:t>
      </w:r>
      <w:r>
        <w:rPr>
          <w:rFonts w:hint="eastAsia" w:ascii="Arial" w:hAnsi="Arial" w:cs="Arial"/>
          <w:spacing w:val="8"/>
          <w:kern w:val="0"/>
          <w:szCs w:val="21"/>
          <w:lang w:val="en-US" w:eastAsia="zh-CN"/>
        </w:rPr>
        <w:t>科研项目</w:t>
      </w:r>
      <w:r>
        <w:rPr>
          <w:rFonts w:hint="eastAsia" w:ascii="Arial" w:hAnsi="Arial" w:cs="Arial"/>
          <w:spacing w:val="8"/>
          <w:kern w:val="0"/>
          <w:szCs w:val="21"/>
        </w:rPr>
        <w:t>需要。需采购</w:t>
      </w:r>
      <w:r>
        <w:rPr>
          <w:rFonts w:hint="eastAsia" w:ascii="Arial" w:hAnsi="Arial" w:cs="Arial"/>
          <w:spacing w:val="8"/>
          <w:kern w:val="0"/>
          <w:szCs w:val="21"/>
          <w:lang w:eastAsia="zh-CN"/>
        </w:rPr>
        <w:t>蛋白定量试剂</w:t>
      </w:r>
      <w:r>
        <w:rPr>
          <w:rFonts w:hint="eastAsia" w:ascii="Arial" w:hAnsi="Arial" w:cs="Arial"/>
          <w:spacing w:val="8"/>
          <w:kern w:val="0"/>
          <w:szCs w:val="21"/>
        </w:rPr>
        <w:t>。具体服务需求详见采购文件 第四章 采购需求。</w:t>
      </w:r>
    </w:p>
    <w:p w14:paraId="08124595">
      <w:pPr>
        <w:pStyle w:val="25"/>
        <w:spacing w:line="360" w:lineRule="auto"/>
        <w:ind w:firstLine="452" w:firstLineChars="200"/>
        <w:rPr>
          <w:rFonts w:hint="eastAsia" w:ascii="宋体" w:hAnsi="宋体" w:cs="宋体"/>
          <w:color w:val="000000" w:themeColor="text1"/>
          <w:szCs w:val="21"/>
          <w:highlight w:val="none"/>
          <w14:textFill>
            <w14:solidFill>
              <w14:schemeClr w14:val="tx1"/>
            </w14:solidFill>
          </w14:textFill>
        </w:rPr>
      </w:pPr>
      <w:r>
        <w:rPr>
          <w:rFonts w:ascii="Arial" w:hAnsi="Arial" w:cs="Arial"/>
          <w:spacing w:val="8"/>
          <w:kern w:val="0"/>
          <w:szCs w:val="21"/>
          <w:highlight w:val="none"/>
        </w:rPr>
        <w:t>1.6</w:t>
      </w:r>
      <w:r>
        <w:rPr>
          <w:rFonts w:hint="eastAsia" w:ascii="Arial" w:hAnsi="Arial" w:cs="Arial"/>
          <w:spacing w:val="8"/>
          <w:kern w:val="0"/>
          <w:szCs w:val="21"/>
          <w:highlight w:val="none"/>
        </w:rPr>
        <w:t>合同履行期限：</w:t>
      </w:r>
      <w:r>
        <w:rPr>
          <w:rFonts w:hint="eastAsia" w:ascii="宋体" w:hAnsi="宋体" w:cs="宋体"/>
          <w:szCs w:val="21"/>
          <w:highlight w:val="none"/>
        </w:rPr>
        <w:t>按照</w:t>
      </w:r>
      <w:r>
        <w:rPr>
          <w:rFonts w:hint="eastAsia" w:ascii="宋体" w:hAnsi="宋体" w:cs="宋体"/>
          <w:szCs w:val="21"/>
          <w:highlight w:val="none"/>
          <w:lang w:val="en-US" w:eastAsia="zh-CN"/>
        </w:rPr>
        <w:t>2</w:t>
      </w:r>
      <w:r>
        <w:rPr>
          <w:rFonts w:hint="eastAsia" w:ascii="宋体" w:hAnsi="宋体" w:cs="宋体"/>
          <w:szCs w:val="21"/>
          <w:highlight w:val="none"/>
        </w:rPr>
        <w:t>年执行，</w:t>
      </w:r>
      <w:r>
        <w:rPr>
          <w:rFonts w:hint="eastAsia" w:ascii="Arial" w:hAnsi="Arial" w:cs="Arial"/>
          <w:spacing w:val="8"/>
          <w:kern w:val="0"/>
          <w:szCs w:val="21"/>
          <w:highlight w:val="none"/>
        </w:rPr>
        <w:t>在合同签订生效后，按照</w:t>
      </w:r>
      <w:r>
        <w:rPr>
          <w:rFonts w:hint="eastAsia" w:ascii="Arial" w:hAnsi="Arial" w:cs="Arial"/>
          <w:spacing w:val="8"/>
          <w:kern w:val="0"/>
          <w:szCs w:val="21"/>
          <w:highlight w:val="none"/>
          <w:lang w:val="en-US" w:eastAsia="zh-CN"/>
        </w:rPr>
        <w:t>采购人</w:t>
      </w:r>
      <w:r>
        <w:rPr>
          <w:rFonts w:hint="eastAsia" w:ascii="Arial" w:hAnsi="Arial" w:cs="Arial"/>
          <w:spacing w:val="8"/>
          <w:kern w:val="0"/>
          <w:szCs w:val="21"/>
          <w:highlight w:val="none"/>
        </w:rPr>
        <w:t>要求分批次送货到位并安装调试结束。</w:t>
      </w:r>
    </w:p>
    <w:p w14:paraId="4004178E">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780885CA">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7A01831A">
      <w:pPr>
        <w:widowControl/>
        <w:shd w:val="clear" w:color="auto" w:fill="FFFFFF"/>
        <w:spacing w:line="360" w:lineRule="auto"/>
        <w:ind w:firstLine="452" w:firstLineChars="200"/>
        <w:rPr>
          <w:rFonts w:ascii="Arial" w:hAnsi="Arial" w:cs="Arial"/>
          <w:spacing w:val="8"/>
          <w:kern w:val="0"/>
          <w:szCs w:val="21"/>
          <w:highlight w:val="none"/>
        </w:rPr>
      </w:pPr>
      <w:r>
        <w:rPr>
          <w:rFonts w:hint="eastAsia" w:ascii="Arial" w:hAnsi="Arial" w:cs="Arial"/>
          <w:spacing w:val="8"/>
          <w:kern w:val="0"/>
          <w:szCs w:val="21"/>
          <w:highlight w:val="none"/>
        </w:rPr>
        <w:t>1.9本项目</w:t>
      </w:r>
      <w:r>
        <w:rPr>
          <w:rFonts w:hint="eastAsia" w:ascii="Arial" w:hAnsi="Arial" w:cs="Arial"/>
          <w:b/>
          <w:bCs/>
          <w:spacing w:val="8"/>
          <w:kern w:val="0"/>
          <w:szCs w:val="21"/>
          <w:highlight w:val="none"/>
        </w:rPr>
        <w:t>接受</w:t>
      </w:r>
      <w:r>
        <w:rPr>
          <w:rFonts w:hint="eastAsia" w:ascii="Arial" w:hAnsi="Arial" w:cs="Arial"/>
          <w:spacing w:val="8"/>
          <w:kern w:val="0"/>
          <w:szCs w:val="21"/>
          <w:highlight w:val="none"/>
        </w:rPr>
        <w:t>进口产品（注：本文件所称进口产品是指通过中国海关报关验放进入中国境内且产自关境外的产品）。</w:t>
      </w:r>
    </w:p>
    <w:p w14:paraId="270F6BDE">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15A9DB06">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30443193">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432E9750">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6D6FB9C4">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72368F02">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21934D7">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0C0CF25A">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67BA1CCB">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69EF7721">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22BA0F99">
      <w:pPr>
        <w:spacing w:line="360" w:lineRule="auto"/>
        <w:ind w:firstLine="454" w:firstLineChars="200"/>
        <w:rPr>
          <w:rFonts w:ascii="Arial" w:hAnsi="Arial" w:cs="Arial"/>
          <w:b/>
          <w:spacing w:val="8"/>
          <w:kern w:val="0"/>
          <w:szCs w:val="21"/>
          <w:highlight w:val="none"/>
        </w:rPr>
      </w:pPr>
      <w:r>
        <w:rPr>
          <w:rFonts w:ascii="Arial" w:hAnsi="Arial" w:cs="Arial"/>
          <w:b/>
          <w:spacing w:val="8"/>
          <w:kern w:val="0"/>
          <w:szCs w:val="21"/>
          <w:highlight w:val="none"/>
        </w:rPr>
        <w:t>2.3采购人根据采购项目的特殊要求规定的特定条件，并提供符合特殊要求的证明材料或者情况说明：</w:t>
      </w:r>
      <w:r>
        <w:rPr>
          <w:rFonts w:hint="eastAsia" w:ascii="Arial" w:hAnsi="Arial" w:cs="Arial"/>
          <w:b/>
          <w:spacing w:val="8"/>
          <w:kern w:val="0"/>
          <w:szCs w:val="21"/>
          <w:highlight w:val="none"/>
        </w:rPr>
        <w:t>代理商投标进口设备的，需提供所投产品制造商或其驻中国办事机构或制造商授权的中国境内最高级别代理机构的有效授权书（提供授权复印件加盖公章）。</w:t>
      </w:r>
    </w:p>
    <w:p w14:paraId="56F5158E">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1348D28A">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6BC1A576">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7EF59BF2">
      <w:pPr>
        <w:spacing w:line="360" w:lineRule="auto"/>
        <w:ind w:firstLine="424" w:firstLineChars="202"/>
        <w:rPr>
          <w:rFonts w:hint="eastAsia"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2F6C8B53">
      <w:pPr>
        <w:spacing w:line="360" w:lineRule="auto"/>
        <w:ind w:firstLine="424" w:firstLineChars="202"/>
        <w:rPr>
          <w:rFonts w:hint="eastAsia" w:ascii="宋体" w:hAnsi="宋体" w:cs="宋体"/>
          <w:bCs/>
          <w:szCs w:val="21"/>
        </w:rPr>
      </w:pPr>
      <w:r>
        <w:rPr>
          <w:rFonts w:hint="eastAsia" w:ascii="宋体" w:hAnsi="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7229C51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w:t>
      </w:r>
      <w:r>
        <w:rPr>
          <w:rFonts w:hint="eastAsia" w:ascii="宋体" w:hAnsi="宋体" w:cs="宋体"/>
          <w:b w:val="0"/>
          <w:bCs/>
          <w:color w:val="auto"/>
          <w:szCs w:val="21"/>
        </w:rPr>
        <w:t>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7CAB8C4A">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w:t>
      </w:r>
      <w:r>
        <w:rPr>
          <w:rFonts w:hint="eastAsia" w:ascii="宋体" w:hAnsi="宋体" w:cs="宋体"/>
          <w:spacing w:val="8"/>
          <w:kern w:val="0"/>
          <w:szCs w:val="21"/>
          <w:lang w:eastAsia="zh-CN"/>
        </w:rPr>
        <w:t>：</w:t>
      </w:r>
      <w:r>
        <w:rPr>
          <w:rFonts w:hint="eastAsia" w:ascii="宋体" w:hAnsi="宋体" w:cs="宋体"/>
          <w:spacing w:val="8"/>
          <w:kern w:val="0"/>
          <w:szCs w:val="21"/>
        </w:rPr>
        <w:t>0.00元</w:t>
      </w:r>
    </w:p>
    <w:p w14:paraId="5C31EE9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w:t>
      </w:r>
      <w:r>
        <w:rPr>
          <w:rFonts w:hint="eastAsia" w:ascii="宋体" w:hAnsi="宋体" w:cs="宋体"/>
          <w:b/>
          <w:spacing w:val="8"/>
          <w:kern w:val="0"/>
          <w:sz w:val="24"/>
        </w:rPr>
        <w:t>提交投标文件截止时间、开标时间和地点</w:t>
      </w:r>
    </w:p>
    <w:p w14:paraId="07189309">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w:t>
      </w:r>
      <w:r>
        <w:rPr>
          <w:rFonts w:hint="eastAsia" w:ascii="宋体" w:hAnsi="宋体" w:cs="宋体"/>
          <w:b/>
          <w:bCs/>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5</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28</w:t>
      </w:r>
      <w:r>
        <w:rPr>
          <w:rFonts w:hint="eastAsia" w:ascii="宋体" w:hAnsi="宋体" w:cs="宋体"/>
          <w:b/>
          <w:bCs/>
          <w:spacing w:val="8"/>
          <w:kern w:val="0"/>
          <w:szCs w:val="21"/>
          <w:highlight w:val="none"/>
        </w:rPr>
        <w:t>日</w:t>
      </w:r>
      <w:r>
        <w:rPr>
          <w:rFonts w:hint="eastAsia" w:ascii="宋体" w:hAnsi="宋体" w:cs="宋体"/>
          <w:b/>
          <w:bCs/>
          <w:highlight w:val="none"/>
          <w:lang w:val="en-US" w:eastAsia="zh-CN"/>
        </w:rPr>
        <w:t>09</w:t>
      </w:r>
      <w:r>
        <w:rPr>
          <w:rFonts w:hint="eastAsia" w:ascii="宋体" w:hAnsi="宋体" w:cs="宋体"/>
          <w:b/>
          <w:bCs/>
          <w:spacing w:val="8"/>
          <w:kern w:val="0"/>
          <w:szCs w:val="21"/>
          <w:highlight w:val="none"/>
        </w:rPr>
        <w:t>点</w:t>
      </w:r>
      <w:r>
        <w:rPr>
          <w:rFonts w:hint="eastAsia" w:ascii="宋体" w:hAnsi="宋体" w:cs="宋体"/>
          <w:b/>
          <w:bCs/>
          <w:highlight w:val="none"/>
        </w:rPr>
        <w:t>30</w:t>
      </w:r>
      <w:r>
        <w:rPr>
          <w:rFonts w:hint="eastAsia" w:ascii="宋体" w:hAnsi="宋体" w:cs="宋体"/>
          <w:b/>
          <w:bCs/>
          <w:spacing w:val="8"/>
          <w:kern w:val="0"/>
          <w:szCs w:val="21"/>
          <w:highlight w:val="none"/>
        </w:rPr>
        <w:t>分</w:t>
      </w:r>
      <w:r>
        <w:rPr>
          <w:rFonts w:hint="eastAsia" w:ascii="宋体" w:hAnsi="宋体" w:cs="宋体"/>
          <w:spacing w:val="8"/>
          <w:kern w:val="0"/>
          <w:szCs w:val="21"/>
        </w:rPr>
        <w:t>（北京时间）</w:t>
      </w:r>
    </w:p>
    <w:p w14:paraId="54CD8042">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71438AB6">
      <w:pPr>
        <w:spacing w:line="360" w:lineRule="auto"/>
        <w:ind w:firstLine="484" w:firstLineChars="202"/>
        <w:rPr>
          <w:rFonts w:ascii="Arial" w:hAnsi="Arial" w:cs="Arial"/>
          <w:bCs/>
          <w:szCs w:val="21"/>
        </w:rPr>
      </w:pPr>
      <w:r>
        <w:rPr>
          <w:rFonts w:hint="eastAsia"/>
          <w:spacing w:val="15"/>
          <w:sz w:val="21"/>
          <w:szCs w:val="21"/>
          <w:shd w:val="clear" w:color="auto" w:fill="FFFFFF"/>
        </w:rPr>
        <w:t>4.3开标地点：“苏采云”网上开标大厅。</w:t>
      </w:r>
    </w:p>
    <w:p w14:paraId="472D6DA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34D56A54">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7A5CE23E">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bookmarkStart w:id="36" w:name="_GoBack"/>
      <w:bookmarkEnd w:id="36"/>
    </w:p>
    <w:p w14:paraId="7B664341">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2F6CE80F">
      <w:pPr>
        <w:spacing w:line="360" w:lineRule="auto"/>
        <w:ind w:firstLine="424" w:firstLineChars="202"/>
        <w:rPr>
          <w:rFonts w:hint="eastAsia" w:ascii="Arial" w:hAnsi="Arial" w:cs="Arial"/>
          <w:bCs/>
          <w:szCs w:val="21"/>
        </w:rPr>
      </w:pPr>
      <w:r>
        <w:rPr>
          <w:rFonts w:hint="eastAsia" w:ascii="Arial" w:hAnsi="Arial" w:cs="Arial"/>
          <w:bCs/>
          <w:szCs w:val="21"/>
        </w:rPr>
        <w:t>6.2勘察现场或答疑地点：无。</w:t>
      </w:r>
    </w:p>
    <w:p w14:paraId="1769EC01">
      <w:pPr>
        <w:numPr>
          <w:ilvl w:val="0"/>
          <w:numId w:val="0"/>
        </w:numPr>
        <w:spacing w:line="360" w:lineRule="auto"/>
        <w:ind w:firstLine="424" w:firstLineChars="202"/>
        <w:rPr>
          <w:rFonts w:hint="eastAsia" w:ascii="Arial" w:hAnsi="Arial" w:cs="Arial"/>
          <w:bCs/>
          <w:szCs w:val="21"/>
          <w:lang w:val="en-US" w:eastAsia="zh-CN"/>
        </w:rPr>
      </w:pPr>
      <w:r>
        <w:rPr>
          <w:rFonts w:hint="eastAsia" w:ascii="Arial" w:hAnsi="Arial" w:cs="Arial"/>
          <w:bCs/>
          <w:szCs w:val="21"/>
        </w:rPr>
        <w:t>6.3</w:t>
      </w:r>
      <w:r>
        <w:rPr>
          <w:rFonts w:hint="eastAsia" w:ascii="Arial" w:hAnsi="Arial" w:cs="Arial"/>
          <w:bCs/>
          <w:szCs w:val="21"/>
          <w:lang w:val="en-US" w:eastAsia="zh-CN"/>
        </w:rPr>
        <w:t>获取招标文件方式补充：本项目采用网上注册登记方式。</w:t>
      </w:r>
    </w:p>
    <w:p w14:paraId="47447B94">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③“CA数字证书”的获取：</w:t>
      </w:r>
    </w:p>
    <w:p w14:paraId="331139FA">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⑥请潜在供应商提前安装相应的控件（详见《江苏省政府采购管理交易系统（苏采云）供应商操作手册》）并使用谷歌浏览器登录“苏采云”系统参与不见面开评标。</w:t>
      </w:r>
    </w:p>
    <w:p w14:paraId="174193A8">
      <w:pPr>
        <w:spacing w:line="360" w:lineRule="auto"/>
        <w:ind w:firstLine="424" w:firstLineChars="202"/>
        <w:rPr>
          <w:rFonts w:ascii="Arial" w:hAnsi="Arial" w:cs="Arial"/>
          <w:bCs/>
          <w:szCs w:val="21"/>
        </w:rPr>
      </w:pPr>
      <w:r>
        <w:rPr>
          <w:rFonts w:hint="eastAsia" w:ascii="Arial" w:hAnsi="Arial" w:cs="Arial"/>
          <w:bCs/>
          <w:szCs w:val="21"/>
          <w:lang w:val="en-US" w:eastAsia="zh-CN"/>
        </w:rPr>
        <w:t>注：如潜在供应商未按上述要求操作，将自行承担所产生的风险。</w:t>
      </w:r>
    </w:p>
    <w:p w14:paraId="49CA518C">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71A74691">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394B194B">
      <w:pPr>
        <w:spacing w:line="360" w:lineRule="auto"/>
        <w:ind w:firstLine="424" w:firstLineChars="202"/>
        <w:rPr>
          <w:rFonts w:ascii="Arial" w:hAnsi="Arial" w:cs="Arial"/>
          <w:bCs/>
          <w:szCs w:val="21"/>
          <w:lang w:val="zh-CN"/>
        </w:rPr>
      </w:pPr>
      <w:r>
        <w:rPr>
          <w:rFonts w:hint="eastAsia" w:ascii="Arial" w:hAnsi="Arial" w:cs="Arial"/>
          <w:bCs/>
          <w:szCs w:val="21"/>
          <w:lang w:val="zh-CN"/>
        </w:rPr>
        <w:t>名 称：南京医科大学</w:t>
      </w:r>
    </w:p>
    <w:p w14:paraId="11162C63">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地址：南京市江宁区龙眠大道101号</w:t>
      </w:r>
    </w:p>
    <w:p w14:paraId="1AB19926">
      <w:pPr>
        <w:spacing w:line="360" w:lineRule="auto"/>
        <w:ind w:firstLine="424" w:firstLineChars="202"/>
        <w:rPr>
          <w:rFonts w:ascii="Arial" w:hAnsi="Arial" w:cs="Arial"/>
          <w:bCs/>
          <w:szCs w:val="21"/>
          <w:lang w:val="zh-CN"/>
        </w:rPr>
      </w:pPr>
      <w:r>
        <w:rPr>
          <w:rFonts w:hint="eastAsia" w:ascii="Arial" w:hAnsi="Arial" w:cs="Arial"/>
          <w:bCs/>
          <w:szCs w:val="21"/>
          <w:lang w:val="zh-CN"/>
        </w:rPr>
        <w:t>联系方式：</w:t>
      </w:r>
      <w:r>
        <w:rPr>
          <w:rFonts w:hint="eastAsia" w:ascii="Arial" w:hAnsi="Arial" w:cs="Arial"/>
          <w:bCs/>
          <w:szCs w:val="21"/>
        </w:rPr>
        <w:t>陈</w:t>
      </w:r>
      <w:r>
        <w:rPr>
          <w:rFonts w:hint="eastAsia" w:ascii="Arial" w:hAnsi="Arial" w:cs="Arial"/>
          <w:bCs/>
          <w:szCs w:val="21"/>
          <w:lang w:val="zh-CN"/>
        </w:rPr>
        <w:t xml:space="preserve">老师 </w:t>
      </w:r>
      <w:r>
        <w:rPr>
          <w:rFonts w:hint="eastAsia" w:ascii="Arial" w:hAnsi="Arial" w:cs="Arial"/>
          <w:bCs/>
          <w:szCs w:val="21"/>
        </w:rPr>
        <w:t>025-86868572</w:t>
      </w:r>
    </w:p>
    <w:p w14:paraId="2A4D0FB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696088D7">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376E8423">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rPr>
        <w:t>1</w:t>
      </w:r>
      <w:r>
        <w:rPr>
          <w:rFonts w:hint="eastAsia" w:ascii="Arial" w:hAnsi="Arial" w:cs="Arial"/>
          <w:bCs/>
          <w:szCs w:val="21"/>
          <w:lang w:val="zh-CN"/>
        </w:rPr>
        <w:t>室</w:t>
      </w:r>
    </w:p>
    <w:p w14:paraId="25CFF900">
      <w:pPr>
        <w:spacing w:line="360" w:lineRule="auto"/>
        <w:ind w:firstLine="424" w:firstLineChars="202"/>
        <w:rPr>
          <w:rFonts w:ascii="Arial" w:hAnsi="Arial" w:cs="Arial"/>
          <w:bCs/>
          <w:szCs w:val="21"/>
        </w:rPr>
      </w:pPr>
      <w:r>
        <w:rPr>
          <w:rFonts w:hint="eastAsia" w:ascii="Arial" w:hAnsi="Arial" w:cs="Arial"/>
          <w:bCs/>
          <w:szCs w:val="21"/>
          <w:lang w:val="zh-CN"/>
        </w:rPr>
        <w:t>联系方式：</w:t>
      </w:r>
      <w:r>
        <w:rPr>
          <w:rFonts w:hint="eastAsia" w:ascii="Arial" w:hAnsi="Arial" w:cs="Arial"/>
          <w:bCs/>
          <w:szCs w:val="21"/>
        </w:rPr>
        <w:t>古南明</w:t>
      </w:r>
      <w:r>
        <w:rPr>
          <w:rFonts w:hint="eastAsia" w:ascii="Arial" w:hAnsi="Arial" w:cs="Arial"/>
          <w:bCs/>
          <w:szCs w:val="21"/>
          <w:lang w:val="zh-CN"/>
        </w:rPr>
        <w:t xml:space="preserve"> 025-</w:t>
      </w:r>
      <w:r>
        <w:rPr>
          <w:rFonts w:hint="eastAsia" w:ascii="Arial" w:hAnsi="Arial" w:cs="Arial"/>
          <w:bCs/>
          <w:szCs w:val="21"/>
        </w:rPr>
        <w:t>83306855</w:t>
      </w:r>
    </w:p>
    <w:p w14:paraId="36903703">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559B48E7">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rPr>
        <w:t>古南明</w:t>
      </w:r>
    </w:p>
    <w:p w14:paraId="4148A574">
      <w:pPr>
        <w:spacing w:line="360" w:lineRule="auto"/>
        <w:ind w:firstLine="424" w:firstLineChars="202"/>
        <w:rPr>
          <w:rFonts w:ascii="Arial" w:hAnsi="Arial" w:cs="Arial"/>
          <w:bCs/>
          <w:szCs w:val="21"/>
        </w:rPr>
      </w:pPr>
      <w:r>
        <w:rPr>
          <w:rFonts w:hint="eastAsia" w:ascii="Arial" w:hAnsi="Arial" w:cs="Arial"/>
          <w:bCs/>
          <w:szCs w:val="21"/>
          <w:lang w:val="zh-CN"/>
        </w:rPr>
        <w:t>电　话： 025-</w:t>
      </w:r>
      <w:r>
        <w:rPr>
          <w:rFonts w:hint="eastAsia" w:ascii="Arial" w:hAnsi="Arial" w:cs="Arial"/>
          <w:bCs/>
          <w:szCs w:val="21"/>
        </w:rPr>
        <w:t>83306855</w:t>
      </w:r>
    </w:p>
    <w:p w14:paraId="1B001D52">
      <w:pPr>
        <w:spacing w:line="360" w:lineRule="auto"/>
        <w:ind w:firstLine="424" w:firstLineChars="202"/>
        <w:rPr>
          <w:rFonts w:ascii="Arial" w:hAnsi="Arial" w:cs="Arial"/>
          <w:bCs/>
          <w:szCs w:val="21"/>
        </w:rPr>
      </w:pPr>
      <w:r>
        <w:rPr>
          <w:rFonts w:hint="eastAsia" w:ascii="Arial" w:hAnsi="Arial" w:cs="Arial"/>
          <w:bCs/>
          <w:szCs w:val="21"/>
        </w:rPr>
        <w:t>邮箱：gunm@jcec.cn</w:t>
      </w:r>
    </w:p>
    <w:bookmarkEnd w:id="4"/>
    <w:bookmarkEnd w:id="9"/>
    <w:bookmarkEnd w:id="13"/>
    <w:p w14:paraId="6E71A5E2">
      <w:pPr>
        <w:widowControl/>
        <w:jc w:val="left"/>
        <w:rPr>
          <w:rFonts w:ascii="Arial" w:hAnsi="Arial" w:cs="Arial"/>
          <w:szCs w:val="21"/>
        </w:rPr>
      </w:pPr>
      <w:r>
        <w:rPr>
          <w:rFonts w:ascii="Arial" w:hAnsi="Arial" w:cs="Arial"/>
          <w:szCs w:val="21"/>
        </w:rPr>
        <w:br w:type="page"/>
      </w:r>
    </w:p>
    <w:p w14:paraId="18F5B9CD">
      <w:pPr>
        <w:pStyle w:val="2"/>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25E5BA20">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7922307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2FAB4DEE">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078C05F1">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21CCA46D">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42CCB414">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2710E43A">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4E10533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6355767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56847D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4E496A4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35F2B88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B9E206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3C4F12CC">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4090F91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14B0F785">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64146F13">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lang w:val="en-US" w:eastAsia="zh-CN"/>
        </w:rPr>
        <w:t>包</w:t>
      </w:r>
      <w:r>
        <w:rPr>
          <w:rFonts w:ascii="Arial" w:hAnsi="宋体" w:cs="Arial"/>
          <w:kern w:val="0"/>
          <w:szCs w:val="21"/>
        </w:rPr>
        <w:t>。招标货物数量及技术要求中未分</w:t>
      </w:r>
      <w:r>
        <w:rPr>
          <w:rFonts w:hint="eastAsia" w:ascii="Arial" w:hAnsi="宋体" w:cs="Arial"/>
          <w:kern w:val="0"/>
          <w:szCs w:val="21"/>
          <w:lang w:val="en-US" w:eastAsia="zh-CN"/>
        </w:rPr>
        <w:t>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lang w:val="en-US" w:eastAsia="zh-CN"/>
        </w:rPr>
        <w:t>包</w:t>
      </w:r>
      <w:r>
        <w:rPr>
          <w:rFonts w:ascii="Arial" w:hAnsi="宋体" w:cs="Arial"/>
          <w:kern w:val="0"/>
          <w:szCs w:val="21"/>
        </w:rPr>
        <w:t>的，可以以</w:t>
      </w:r>
      <w:r>
        <w:rPr>
          <w:rFonts w:hint="eastAsia" w:ascii="Arial" w:hAnsi="宋体" w:cs="Arial"/>
          <w:kern w:val="0"/>
          <w:szCs w:val="21"/>
          <w:lang w:val="en-US" w:eastAsia="zh-CN"/>
        </w:rPr>
        <w:t>包</w:t>
      </w:r>
      <w:r>
        <w:rPr>
          <w:rFonts w:ascii="Arial" w:hAnsi="宋体" w:cs="Arial"/>
          <w:kern w:val="0"/>
          <w:szCs w:val="21"/>
        </w:rPr>
        <w:t>为单位投标。</w:t>
      </w:r>
    </w:p>
    <w:p w14:paraId="7EF609DC">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3FE5349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571F151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5E79E355">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5132001">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49BF7DF6">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525017A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65A8B1AB">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A9A8D86">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04ACE6BE">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781CABCF">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lang w:val="en-US" w:eastAsia="zh-CN"/>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11AA68F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5189382C">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183CE088">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77541F6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7145F228">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宋体" w:hAnsi="宋体" w:cs="宋体"/>
          <w:szCs w:val="21"/>
        </w:rPr>
        <w:t>★</w:t>
      </w:r>
      <w:r>
        <w:rPr>
          <w:rFonts w:ascii="Arial" w:hAnsi="Arial" w:cs="Arial"/>
          <w:b/>
          <w:bCs/>
          <w:kern w:val="0"/>
          <w:szCs w:val="21"/>
        </w:rPr>
        <w:t>”）的技术条款必须在投标文件中提供技术支持资料（如彩页、手册、检测报告等</w:t>
      </w:r>
      <w:r>
        <w:rPr>
          <w:rFonts w:hint="eastAsia" w:ascii="Arial" w:hAnsi="Arial" w:cs="Arial"/>
          <w:b/>
          <w:bCs/>
          <w:kern w:val="0"/>
          <w:szCs w:val="21"/>
        </w:rPr>
        <w:t>，具体详见技术参数要求</w:t>
      </w:r>
      <w:r>
        <w:rPr>
          <w:rFonts w:ascii="Arial" w:hAnsi="Arial" w:cs="Arial"/>
          <w:b/>
          <w:bCs/>
          <w:kern w:val="0"/>
          <w:szCs w:val="21"/>
        </w:rPr>
        <w:t>），未提供技术支持资料的，视为未对招标文件实质性要求作出响应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2367E1D8">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634FD1F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0835E66B">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lang w:val="en-US" w:eastAsia="zh-CN"/>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16D53E83">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DCBDE7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61214707">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54AEB74D">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4DBAE40E">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5CBDA2F">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487E0288">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53403D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5784CA57">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1C53470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41D8555F">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234FED16">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4C473B1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3B2898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5352749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D4F33A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027C3D2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3427AD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870B35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769C60B9">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lang w:val="en-US" w:eastAsia="zh-CN"/>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683796C9">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7A08758">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24750B25">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39394B8E">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11.6本项目预算为：详见第一章。</w:t>
      </w:r>
    </w:p>
    <w:p w14:paraId="66145A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5E0F17D">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738070A3">
      <w:pPr>
        <w:widowControl/>
        <w:shd w:val="clear"/>
        <w:autoSpaceDE w:val="0"/>
        <w:autoSpaceDN w:val="0"/>
        <w:spacing w:line="360" w:lineRule="auto"/>
        <w:ind w:firstLine="420"/>
        <w:rPr>
          <w:rFonts w:ascii="Arial" w:hAnsi="宋体" w:cs="Arial"/>
          <w:kern w:val="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lang w:val="en-US" w:eastAsia="zh-CN"/>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lang w:val="en-US" w:eastAsia="zh-CN"/>
        </w:rPr>
        <w:t>采购</w:t>
      </w:r>
      <w:r>
        <w:rPr>
          <w:rFonts w:hint="eastAsia" w:ascii="Arial" w:hAnsi="Arial"/>
          <w:color w:val="000000"/>
          <w:szCs w:val="21"/>
          <w:lang w:val="zh-CN"/>
        </w:rPr>
        <w:t>文件为准。</w:t>
      </w:r>
    </w:p>
    <w:p w14:paraId="119D0E1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513285B6">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1A406C8A">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2B62B6B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05075C6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067176F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9ED0857">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2565D70F">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4EF8320A">
      <w:pPr>
        <w:widowControl/>
        <w:shd w:val="clear" w:color="auto" w:fill="FFFFFF"/>
        <w:spacing w:line="360" w:lineRule="auto"/>
        <w:ind w:firstLine="420" w:firstLineChars="200"/>
        <w:rPr>
          <w:rFonts w:hint="eastAsia"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1E45D442">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5F1A5E8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17、投标文件的递交</w:t>
      </w:r>
    </w:p>
    <w:p w14:paraId="009CDA6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18、投标文件的解密</w:t>
      </w:r>
    </w:p>
    <w:p w14:paraId="2070B1A4">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19、投标文件的修改和撤回</w:t>
      </w:r>
    </w:p>
    <w:p w14:paraId="7E04D88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4B3528AC">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516638BB">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599B4D80">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256E5DC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2B757249">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widowControl/>
        <w:shd w:val="clear"/>
        <w:spacing w:line="360" w:lineRule="auto"/>
        <w:ind w:firstLine="420" w:firstLineChars="200"/>
        <w:rPr>
          <w:rFonts w:hint="eastAsia"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22、评标</w:t>
      </w:r>
    </w:p>
    <w:p w14:paraId="7925C65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22.1 评标委员会</w:t>
      </w:r>
    </w:p>
    <w:p w14:paraId="03D662A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22.1.1评标委员会负责具体评标事务，并独立履行下列职责：</w:t>
      </w:r>
    </w:p>
    <w:p w14:paraId="1372FBE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1459DAE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（二）要求投标人对投标文件有关事项作出澄清或者说明；</w:t>
      </w:r>
    </w:p>
    <w:p w14:paraId="2664E06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（三）对投标文件进行比较和评价；</w:t>
      </w:r>
    </w:p>
    <w:p w14:paraId="7E3E79D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（四）确定中标候选人名单，以及根据采购人委托直接确定中标人；</w:t>
      </w:r>
    </w:p>
    <w:p w14:paraId="3A8BA64C">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13A6096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  评标程序</w:t>
      </w:r>
    </w:p>
    <w:p w14:paraId="0DC2657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（1）同一投标人提交两个（含两个）以上不同的投标报价的；</w:t>
      </w:r>
    </w:p>
    <w:p w14:paraId="5E9C6CC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（2）投标文件未按照招标文件要求加盖电子公章的；</w:t>
      </w:r>
    </w:p>
    <w:p w14:paraId="35FE76F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（3）报价超过招标文件中规定的预算金额或者最高限价的；</w:t>
      </w:r>
    </w:p>
    <w:p w14:paraId="1BCFC10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（4）投标文件含有采购人不能接受的附加条件的；</w:t>
      </w:r>
    </w:p>
    <w:p w14:paraId="4C5CCAF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094E4A8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（6）现行法律、法规、规章和招标文件规定的其他无效情形。</w:t>
      </w:r>
    </w:p>
    <w:p w14:paraId="7748914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22.2.2.1 实质性要求是指本招标文件中用带星号（“*”）、“必须”或“应（应当）”等其他文字说明的商务和技术要求。</w:t>
      </w:r>
    </w:p>
    <w:p w14:paraId="6377D6C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22.2.2.3有下列情形之一的予以废标：</w:t>
      </w:r>
    </w:p>
    <w:p w14:paraId="2E76877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（2）出现影响采购公正的违法、违规行为的；</w:t>
      </w:r>
    </w:p>
    <w:p w14:paraId="096E2CC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（3）投标人的报价均超过了采购预算，采购人不能支付的；</w:t>
      </w:r>
    </w:p>
    <w:p w14:paraId="12F6712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（4）因苏采云系统故障造成开标不成功的；</w:t>
      </w:r>
    </w:p>
    <w:p w14:paraId="363F559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（5）因重大变故，采购任务取消的。</w:t>
      </w:r>
    </w:p>
    <w:p w14:paraId="5A5FFDD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22.2.3澄清有关问题。</w:t>
      </w:r>
    </w:p>
    <w:p w14:paraId="55F2886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评委会并非对每个投标人都做澄清要求。</w:t>
      </w:r>
    </w:p>
    <w:p w14:paraId="13C78D1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（2）大写金额和小写金额不一致的，以大写金额为准；</w:t>
      </w:r>
    </w:p>
    <w:p w14:paraId="391E934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7B17B7C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 评标方法和标准</w:t>
      </w:r>
    </w:p>
    <w:p w14:paraId="61B695E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评审因素，包括价格、技术、商务等。</w:t>
      </w:r>
    </w:p>
    <w:p w14:paraId="5BFD10F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评标总得分＝F1×A1＋F2×A2＋……＋Fn×An</w:t>
      </w:r>
    </w:p>
    <w:p w14:paraId="521B8BDC">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F1、F2……Fn分别为各项评审因素的得分；</w:t>
      </w:r>
    </w:p>
    <w:p w14:paraId="1259016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A1、A2、……An 分别为各项评审因素所占的权重(A1＋A2＋……＋An＝1)。</w:t>
      </w:r>
    </w:p>
    <w:p w14:paraId="2BA84BE7">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2FDC656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22.4 评标委员会启动异常低价投标审查的情形和具体要求</w:t>
      </w:r>
    </w:p>
    <w:p w14:paraId="76075FD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4439AB90">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（1）投标报价低于全部通过符合性审查投标人投标报价平均值50%的，即投标报价&lt;全部通过符合性审查投标人投标报价平均值×50%；</w:t>
      </w:r>
    </w:p>
    <w:p w14:paraId="046504D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（2）投标报价低于通过符合性审查的次低报价投标人投标报价50%的，即投标报价&lt;通过符合性审查的次低报价投标人投标报价×50%；</w:t>
      </w:r>
    </w:p>
    <w:p w14:paraId="60B2F144">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（3）投标报价低于本项目最高限价45%的，即投标报价&lt;本项目最高限价×45%；</w:t>
      </w:r>
    </w:p>
    <w:p w14:paraId="7DF9F8A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（4）评标委员会基于专业判断，认为投标人报价过低，有可能影响产品质量或者不能诚信履约的其他情形。</w:t>
      </w:r>
    </w:p>
    <w:p w14:paraId="582360F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33FBEAF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23、确定中标人</w:t>
      </w:r>
    </w:p>
    <w:p w14:paraId="336334B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23.5 所有投标文件不论中标与否，均不退回。</w:t>
      </w:r>
    </w:p>
    <w:p w14:paraId="13A1235C">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24、编写评标报告</w:t>
      </w:r>
    </w:p>
    <w:p w14:paraId="06DED83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25、评标过程的保密性</w:t>
      </w:r>
    </w:p>
    <w:p w14:paraId="58A0E35A">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六、签订合同</w:t>
      </w:r>
    </w:p>
    <w:p w14:paraId="72275F1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26、签订合同</w:t>
      </w:r>
    </w:p>
    <w:p w14:paraId="532586B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4A50BA7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26.6 采购人与中标人应当根据合同的约定依法履行合同义务。</w:t>
      </w:r>
    </w:p>
    <w:p w14:paraId="6707122F">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七、质疑和投诉</w:t>
      </w:r>
    </w:p>
    <w:p w14:paraId="2FC09545">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27、质疑</w:t>
      </w:r>
    </w:p>
    <w:p w14:paraId="4CD55E8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31D88B7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8DEDDA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E0A89B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0CA26DF6">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6399E39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（一）供应商的姓名或者名称、地址、邮编、联系人及联系电话；</w:t>
      </w:r>
    </w:p>
    <w:p w14:paraId="544FAA59">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（二）质疑项目的名称、编号；</w:t>
      </w:r>
    </w:p>
    <w:p w14:paraId="044BA182">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（三）具体、明确的质疑事项和与质疑事项相关的请求（具体条款）；</w:t>
      </w:r>
    </w:p>
    <w:p w14:paraId="47442B9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（四）事实依据（具体条款）；</w:t>
      </w:r>
    </w:p>
    <w:p w14:paraId="56F8AD7D">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（五）必要的法律依据（具体条款）；</w:t>
      </w:r>
    </w:p>
    <w:p w14:paraId="5782D88B">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（六）提出质疑的日期。</w:t>
      </w:r>
    </w:p>
    <w:p w14:paraId="45FA570E">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6926563">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4D946CE1">
      <w:pPr>
        <w:widowControl/>
        <w:shd w:val="clear" w:color="auto" w:fill="FFFFFF"/>
        <w:spacing w:line="360" w:lineRule="auto"/>
        <w:ind w:firstLine="420"/>
        <w:rPr>
          <w:rFonts w:hint="eastAsia" w:ascii="Arial" w:hAnsi="Arial" w:cs="Arial"/>
          <w:b/>
          <w:bCs/>
          <w:kern w:val="0"/>
          <w:szCs w:val="21"/>
        </w:rPr>
      </w:pPr>
      <w:r>
        <w:rPr>
          <w:rFonts w:hint="eastAsia" w:ascii="Arial" w:hAnsi="Arial" w:cs="Arial"/>
          <w:b/>
          <w:bCs/>
          <w:kern w:val="0"/>
          <w:szCs w:val="21"/>
        </w:rPr>
        <w:t>27.5质疑函应当现场提交至采购代理机构联系人处，提交时应出示有效身份证明。未按上述要求提交质疑函的，质疑不予受理。</w:t>
      </w:r>
    </w:p>
    <w:p w14:paraId="407D223F">
      <w:pPr>
        <w:widowControl/>
        <w:shd w:val="clear" w:color="auto" w:fill="FFFFFF"/>
        <w:spacing w:line="360" w:lineRule="auto"/>
        <w:ind w:firstLine="420"/>
        <w:rPr>
          <w:rFonts w:ascii="Arial" w:hAnsi="Arial" w:cs="Arial"/>
        </w:rPr>
      </w:pPr>
      <w:r>
        <w:rPr>
          <w:rFonts w:hint="eastAsia" w:ascii="Arial" w:hAnsi="Arial" w:cs="Arial"/>
          <w:b/>
          <w:bCs/>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25F235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297E6CB8">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7B73B383">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245D9C52">
      <w:pPr>
        <w:widowControl/>
        <w:shd w:val="clear" w:color="auto" w:fill="FFFFFF"/>
        <w:spacing w:line="360" w:lineRule="auto"/>
        <w:ind w:firstLine="420"/>
        <w:rPr>
          <w:rFonts w:ascii="Arial" w:hAnsi="Arial" w:cs="Arial"/>
          <w:kern w:val="0"/>
          <w:szCs w:val="21"/>
        </w:rPr>
      </w:pPr>
    </w:p>
    <w:p w14:paraId="3642BF5F">
      <w:pPr>
        <w:rPr>
          <w:rFonts w:ascii="Arial" w:hAnsi="Arial" w:cs="Arial"/>
          <w:kern w:val="0"/>
        </w:rPr>
      </w:pPr>
      <w:r>
        <w:rPr>
          <w:rFonts w:hint="eastAsia" w:ascii="Arial" w:hAnsi="Arial" w:cs="Arial"/>
          <w:kern w:val="0"/>
        </w:rPr>
        <w:br w:type="page"/>
      </w:r>
    </w:p>
    <w:p w14:paraId="39B46139">
      <w:pPr>
        <w:pStyle w:val="2"/>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5802AD02">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500"/>
        <w:gridCol w:w="7036"/>
        <w:gridCol w:w="648"/>
      </w:tblGrid>
      <w:tr w14:paraId="4141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334" w:type="pct"/>
            <w:tcBorders>
              <w:top w:val="single" w:color="auto" w:sz="4" w:space="0"/>
              <w:left w:val="single" w:color="auto" w:sz="4" w:space="0"/>
              <w:bottom w:val="single" w:color="auto" w:sz="4" w:space="0"/>
              <w:right w:val="single" w:color="auto" w:sz="4" w:space="0"/>
            </w:tcBorders>
            <w:vAlign w:val="center"/>
          </w:tcPr>
          <w:p w14:paraId="79B415BE">
            <w:pPr>
              <w:spacing w:line="400" w:lineRule="exact"/>
              <w:jc w:val="center"/>
              <w:rPr>
                <w:rFonts w:hint="eastAsia" w:ascii="宋体" w:hAnsi="宋体" w:cs="宋体"/>
                <w:b/>
                <w:bCs/>
                <w:szCs w:val="21"/>
              </w:rPr>
            </w:pPr>
            <w:r>
              <w:rPr>
                <w:rFonts w:hint="eastAsia" w:ascii="宋体" w:hAnsi="宋体" w:cs="宋体"/>
                <w:b/>
                <w:bCs/>
                <w:szCs w:val="21"/>
              </w:rPr>
              <w:br w:type="page"/>
            </w:r>
            <w:r>
              <w:rPr>
                <w:rFonts w:hint="eastAsia" w:ascii="宋体" w:hAnsi="宋体" w:cs="宋体"/>
                <w:b/>
                <w:bCs/>
                <w:szCs w:val="21"/>
              </w:rPr>
              <w:br w:type="page"/>
            </w:r>
            <w:r>
              <w:rPr>
                <w:rFonts w:hint="eastAsia" w:ascii="宋体" w:hAnsi="宋体" w:cs="宋体"/>
                <w:b/>
                <w:bCs/>
                <w:szCs w:val="21"/>
              </w:rPr>
              <w:t>序号</w:t>
            </w:r>
          </w:p>
        </w:tc>
        <w:tc>
          <w:tcPr>
            <w:tcW w:w="762" w:type="pct"/>
            <w:tcBorders>
              <w:top w:val="single" w:color="auto" w:sz="4" w:space="0"/>
              <w:left w:val="single" w:color="auto" w:sz="4" w:space="0"/>
              <w:bottom w:val="single" w:color="auto" w:sz="4" w:space="0"/>
              <w:right w:val="single" w:color="auto" w:sz="4" w:space="0"/>
            </w:tcBorders>
            <w:vAlign w:val="center"/>
          </w:tcPr>
          <w:p w14:paraId="0CB30912">
            <w:pPr>
              <w:spacing w:line="400" w:lineRule="exact"/>
              <w:jc w:val="center"/>
              <w:rPr>
                <w:rFonts w:hint="eastAsia" w:ascii="宋体" w:hAnsi="宋体" w:cs="宋体"/>
                <w:b/>
                <w:bCs/>
                <w:szCs w:val="21"/>
              </w:rPr>
            </w:pPr>
            <w:r>
              <w:rPr>
                <w:rFonts w:hint="eastAsia" w:ascii="宋体" w:hAnsi="宋体" w:cs="宋体"/>
                <w:b/>
                <w:bCs/>
                <w:szCs w:val="21"/>
              </w:rPr>
              <w:t>评分项目</w:t>
            </w:r>
          </w:p>
        </w:tc>
        <w:tc>
          <w:tcPr>
            <w:tcW w:w="3573" w:type="pct"/>
            <w:tcBorders>
              <w:top w:val="single" w:color="auto" w:sz="4" w:space="0"/>
              <w:left w:val="single" w:color="auto" w:sz="4" w:space="0"/>
              <w:bottom w:val="single" w:color="auto" w:sz="4" w:space="0"/>
              <w:right w:val="single" w:color="auto" w:sz="4" w:space="0"/>
            </w:tcBorders>
            <w:vAlign w:val="center"/>
          </w:tcPr>
          <w:p w14:paraId="4B6FB282">
            <w:pPr>
              <w:spacing w:line="400" w:lineRule="exact"/>
              <w:jc w:val="center"/>
              <w:rPr>
                <w:rFonts w:hint="eastAsia" w:ascii="宋体" w:hAnsi="宋体" w:cs="宋体"/>
                <w:b/>
                <w:bCs/>
                <w:szCs w:val="21"/>
              </w:rPr>
            </w:pPr>
            <w:r>
              <w:rPr>
                <w:rFonts w:hint="eastAsia" w:ascii="宋体" w:hAnsi="宋体" w:cs="宋体"/>
                <w:b/>
                <w:bCs/>
                <w:szCs w:val="21"/>
              </w:rPr>
              <w:t>评分标准及细则</w:t>
            </w:r>
          </w:p>
        </w:tc>
        <w:tc>
          <w:tcPr>
            <w:tcW w:w="329" w:type="pct"/>
            <w:tcBorders>
              <w:top w:val="single" w:color="auto" w:sz="4" w:space="0"/>
              <w:left w:val="single" w:color="auto" w:sz="4" w:space="0"/>
              <w:bottom w:val="single" w:color="auto" w:sz="4" w:space="0"/>
              <w:right w:val="single" w:color="auto" w:sz="4" w:space="0"/>
            </w:tcBorders>
            <w:vAlign w:val="center"/>
          </w:tcPr>
          <w:p w14:paraId="171FFD32">
            <w:pPr>
              <w:spacing w:line="400" w:lineRule="exact"/>
              <w:jc w:val="center"/>
              <w:rPr>
                <w:rFonts w:hint="eastAsia" w:ascii="宋体" w:hAnsi="宋体" w:cs="宋体"/>
                <w:b/>
                <w:bCs/>
                <w:szCs w:val="21"/>
              </w:rPr>
            </w:pPr>
            <w:r>
              <w:rPr>
                <w:rFonts w:hint="eastAsia" w:ascii="宋体" w:hAnsi="宋体" w:cs="宋体"/>
                <w:b/>
                <w:bCs/>
                <w:szCs w:val="21"/>
              </w:rPr>
              <w:t>分值</w:t>
            </w:r>
          </w:p>
        </w:tc>
      </w:tr>
      <w:tr w14:paraId="7DD1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34" w:type="pct"/>
            <w:tcBorders>
              <w:top w:val="single" w:color="auto" w:sz="4" w:space="0"/>
              <w:left w:val="single" w:color="auto" w:sz="4" w:space="0"/>
              <w:bottom w:val="single" w:color="auto" w:sz="4" w:space="0"/>
              <w:right w:val="single" w:color="auto" w:sz="4" w:space="0"/>
            </w:tcBorders>
            <w:vAlign w:val="center"/>
          </w:tcPr>
          <w:p w14:paraId="7B1206F4">
            <w:pPr>
              <w:spacing w:line="400" w:lineRule="exact"/>
              <w:jc w:val="center"/>
              <w:rPr>
                <w:rFonts w:hint="eastAsia" w:ascii="宋体" w:hAnsi="宋体" w:cs="宋体"/>
                <w:szCs w:val="21"/>
              </w:rPr>
            </w:pPr>
            <w:r>
              <w:rPr>
                <w:rFonts w:hint="eastAsia" w:ascii="宋体" w:hAnsi="宋体" w:cs="宋体"/>
                <w:szCs w:val="21"/>
              </w:rPr>
              <w:t>1</w:t>
            </w:r>
          </w:p>
        </w:tc>
        <w:tc>
          <w:tcPr>
            <w:tcW w:w="762" w:type="pct"/>
            <w:tcBorders>
              <w:top w:val="single" w:color="auto" w:sz="4" w:space="0"/>
              <w:left w:val="single" w:color="auto" w:sz="4" w:space="0"/>
              <w:bottom w:val="single" w:color="auto" w:sz="4" w:space="0"/>
              <w:right w:val="single" w:color="auto" w:sz="4" w:space="0"/>
            </w:tcBorders>
            <w:vAlign w:val="center"/>
          </w:tcPr>
          <w:p w14:paraId="7DA1A9DC">
            <w:pPr>
              <w:spacing w:line="400" w:lineRule="exact"/>
              <w:jc w:val="center"/>
              <w:textAlignment w:val="center"/>
              <w:rPr>
                <w:rFonts w:hint="eastAsia" w:ascii="宋体" w:hAnsi="宋体" w:cs="宋体"/>
                <w:szCs w:val="21"/>
              </w:rPr>
            </w:pPr>
            <w:r>
              <w:rPr>
                <w:rFonts w:hint="eastAsia" w:ascii="宋体" w:hAnsi="宋体" w:cs="宋体"/>
                <w:szCs w:val="21"/>
              </w:rPr>
              <w:t>价格分</w:t>
            </w:r>
          </w:p>
        </w:tc>
        <w:tc>
          <w:tcPr>
            <w:tcW w:w="3573" w:type="pct"/>
            <w:tcBorders>
              <w:top w:val="single" w:color="auto" w:sz="4" w:space="0"/>
              <w:left w:val="single" w:color="auto" w:sz="4" w:space="0"/>
              <w:bottom w:val="single" w:color="auto" w:sz="4" w:space="0"/>
              <w:right w:val="single" w:color="auto" w:sz="4" w:space="0"/>
            </w:tcBorders>
            <w:vAlign w:val="center"/>
          </w:tcPr>
          <w:p w14:paraId="3DFE5A6D">
            <w:pPr>
              <w:spacing w:line="400" w:lineRule="exact"/>
              <w:rPr>
                <w:rFonts w:hint="eastAsia" w:ascii="宋体" w:hAnsi="宋体" w:cs="宋体"/>
                <w:szCs w:val="21"/>
              </w:rPr>
            </w:pPr>
            <w:r>
              <w:rPr>
                <w:rFonts w:hint="eastAsia" w:ascii="宋体" w:hAnsi="宋体" w:cs="宋体"/>
                <w:szCs w:val="21"/>
              </w:rPr>
              <w:t>价格分采用低价优先法计算，即满足采购文件要求且报价最低的投标人的最终报价为评审基准价，其价格分为满分 30 分，其它投标人的价格分统一按照以下公式计算：</w:t>
            </w:r>
          </w:p>
          <w:p w14:paraId="61DFEB07">
            <w:pPr>
              <w:spacing w:line="400" w:lineRule="exact"/>
              <w:rPr>
                <w:rFonts w:hint="eastAsia" w:ascii="宋体" w:hAnsi="宋体" w:cs="宋体"/>
                <w:szCs w:val="21"/>
              </w:rPr>
            </w:pPr>
            <w:r>
              <w:rPr>
                <w:rFonts w:hint="eastAsia" w:ascii="宋体" w:hAnsi="宋体" w:cs="宋体"/>
                <w:szCs w:val="21"/>
              </w:rPr>
              <w:t>报价得分=(评审基准价/该投标人的报价)× 30分。</w:t>
            </w:r>
          </w:p>
        </w:tc>
        <w:tc>
          <w:tcPr>
            <w:tcW w:w="329" w:type="pct"/>
            <w:tcBorders>
              <w:top w:val="single" w:color="auto" w:sz="4" w:space="0"/>
              <w:left w:val="single" w:color="auto" w:sz="4" w:space="0"/>
              <w:bottom w:val="single" w:color="auto" w:sz="4" w:space="0"/>
              <w:right w:val="single" w:color="auto" w:sz="4" w:space="0"/>
            </w:tcBorders>
            <w:vAlign w:val="center"/>
          </w:tcPr>
          <w:p w14:paraId="664846CE">
            <w:pPr>
              <w:spacing w:line="400" w:lineRule="exact"/>
              <w:jc w:val="center"/>
              <w:textAlignment w:val="center"/>
              <w:rPr>
                <w:rFonts w:hint="eastAsia" w:ascii="宋体" w:hAnsi="宋体" w:cs="宋体"/>
                <w:szCs w:val="21"/>
              </w:rPr>
            </w:pPr>
            <w:r>
              <w:rPr>
                <w:rFonts w:hint="eastAsia" w:ascii="宋体" w:hAnsi="宋体" w:cs="宋体"/>
                <w:szCs w:val="21"/>
              </w:rPr>
              <w:t>30</w:t>
            </w:r>
          </w:p>
        </w:tc>
      </w:tr>
      <w:tr w14:paraId="0070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334" w:type="pct"/>
            <w:tcBorders>
              <w:left w:val="single" w:color="auto" w:sz="4" w:space="0"/>
              <w:right w:val="single" w:color="auto" w:sz="4" w:space="0"/>
            </w:tcBorders>
            <w:vAlign w:val="center"/>
          </w:tcPr>
          <w:p w14:paraId="5D243CBE">
            <w:pPr>
              <w:spacing w:line="400" w:lineRule="exact"/>
              <w:jc w:val="center"/>
              <w:rPr>
                <w:rFonts w:hint="eastAsia" w:ascii="宋体" w:hAnsi="宋体" w:cs="宋体"/>
                <w:szCs w:val="21"/>
              </w:rPr>
            </w:pPr>
            <w:r>
              <w:rPr>
                <w:rFonts w:hint="eastAsia" w:ascii="宋体" w:hAnsi="宋体" w:cs="宋体"/>
                <w:szCs w:val="21"/>
              </w:rPr>
              <w:t>2</w:t>
            </w:r>
          </w:p>
        </w:tc>
        <w:tc>
          <w:tcPr>
            <w:tcW w:w="762" w:type="pct"/>
            <w:tcBorders>
              <w:left w:val="single" w:color="auto" w:sz="4" w:space="0"/>
              <w:right w:val="single" w:color="auto" w:sz="4" w:space="0"/>
            </w:tcBorders>
            <w:vAlign w:val="center"/>
          </w:tcPr>
          <w:p w14:paraId="523B1A5E">
            <w:pPr>
              <w:spacing w:line="400" w:lineRule="exact"/>
              <w:jc w:val="center"/>
              <w:rPr>
                <w:rFonts w:hint="eastAsia" w:ascii="宋体" w:hAnsi="宋体" w:cs="宋体"/>
                <w:szCs w:val="21"/>
              </w:rPr>
            </w:pPr>
            <w:r>
              <w:rPr>
                <w:rFonts w:hint="eastAsia" w:ascii="宋体" w:hAnsi="宋体" w:cs="宋体"/>
                <w:szCs w:val="21"/>
              </w:rPr>
              <w:t>技术指标</w:t>
            </w:r>
          </w:p>
        </w:tc>
        <w:tc>
          <w:tcPr>
            <w:tcW w:w="3573" w:type="pct"/>
            <w:tcBorders>
              <w:top w:val="single" w:color="auto" w:sz="4" w:space="0"/>
              <w:left w:val="single" w:color="auto" w:sz="4" w:space="0"/>
              <w:bottom w:val="single" w:color="auto" w:sz="4" w:space="0"/>
              <w:right w:val="single" w:color="auto" w:sz="4" w:space="0"/>
            </w:tcBorders>
            <w:vAlign w:val="center"/>
          </w:tcPr>
          <w:p w14:paraId="406F5DB8">
            <w:pPr>
              <w:spacing w:line="400" w:lineRule="exact"/>
              <w:rPr>
                <w:rFonts w:hint="eastAsia" w:ascii="宋体" w:hAnsi="宋体" w:cs="宋体"/>
                <w:szCs w:val="21"/>
              </w:rPr>
            </w:pPr>
            <w:r>
              <w:rPr>
                <w:rFonts w:hint="eastAsia" w:ascii="宋体" w:hAnsi="宋体" w:cs="宋体"/>
                <w:szCs w:val="21"/>
              </w:rPr>
              <w:t>投标人对招标文件具体项目需求的响应程度：全部响应即满足招标文件的技术指标、参数及服务要求的得</w:t>
            </w:r>
            <w:r>
              <w:rPr>
                <w:rFonts w:hint="eastAsia" w:ascii="宋体" w:hAnsi="宋体" w:cs="宋体"/>
                <w:szCs w:val="21"/>
                <w:lang w:val="en-US" w:eastAsia="zh-CN"/>
              </w:rPr>
              <w:t>35</w:t>
            </w:r>
            <w:r>
              <w:rPr>
                <w:rFonts w:hint="eastAsia" w:ascii="宋体" w:hAnsi="宋体" w:cs="宋体"/>
                <w:szCs w:val="21"/>
              </w:rPr>
              <w:t>分，加“★”为实质性需求参数，有一项负偏离视为无效投标，其他参数每一条负偏离扣</w:t>
            </w:r>
            <w:r>
              <w:rPr>
                <w:rFonts w:hint="eastAsia" w:ascii="宋体" w:hAnsi="宋体" w:cs="宋体"/>
                <w:szCs w:val="21"/>
                <w:lang w:val="en-US" w:eastAsia="zh-CN"/>
              </w:rPr>
              <w:t>4</w:t>
            </w:r>
            <w:r>
              <w:rPr>
                <w:rFonts w:hint="eastAsia" w:ascii="宋体" w:hAnsi="宋体" w:cs="宋体"/>
                <w:szCs w:val="21"/>
              </w:rPr>
              <w:t>分扣完为止。</w:t>
            </w:r>
          </w:p>
          <w:p w14:paraId="0B6B1FF5">
            <w:pPr>
              <w:spacing w:line="400" w:lineRule="exact"/>
              <w:rPr>
                <w:rFonts w:hint="eastAsia" w:ascii="宋体" w:hAnsi="宋体" w:cs="宋体"/>
                <w:szCs w:val="21"/>
              </w:rPr>
            </w:pPr>
            <w:r>
              <w:rPr>
                <w:rFonts w:hint="eastAsia" w:ascii="宋体" w:hAnsi="宋体" w:cs="宋体"/>
                <w:b/>
                <w:bCs/>
                <w:szCs w:val="21"/>
              </w:rPr>
              <w:t>（评标委员会根据第六章投标文件格式【附件六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的技术参数响应需提供支撑资料</w:t>
            </w:r>
            <w:r>
              <w:rPr>
                <w:rFonts w:hint="eastAsia"/>
                <w:b/>
                <w:bCs/>
              </w:rPr>
              <w:t>（提供相关证明材料并加盖投标单位公章包括但不限于明确说明该技术内容的公开发行的产品彩页或产品说明书或第三方检测机构的检测报告等，自拟无效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），如未附有效支撑材料或者所附的支撑材料由评标委员会认为不能佐证技术指标的有效性的，则视为负偏离。）</w:t>
            </w:r>
          </w:p>
        </w:tc>
        <w:tc>
          <w:tcPr>
            <w:tcW w:w="329" w:type="pct"/>
            <w:tcBorders>
              <w:top w:val="single" w:color="auto" w:sz="4" w:space="0"/>
              <w:left w:val="single" w:color="auto" w:sz="4" w:space="0"/>
              <w:bottom w:val="single" w:color="auto" w:sz="4" w:space="0"/>
              <w:right w:val="single" w:color="auto" w:sz="4" w:space="0"/>
            </w:tcBorders>
            <w:vAlign w:val="center"/>
          </w:tcPr>
          <w:p w14:paraId="27B5B1C1">
            <w:pPr>
              <w:spacing w:line="400" w:lineRule="exact"/>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35</w:t>
            </w:r>
          </w:p>
        </w:tc>
      </w:tr>
      <w:tr w14:paraId="5543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08002538">
            <w:pPr>
              <w:spacing w:line="400" w:lineRule="exact"/>
              <w:jc w:val="center"/>
              <w:rPr>
                <w:rFonts w:hint="eastAsia" w:ascii="宋体" w:hAnsi="宋体" w:cs="宋体"/>
                <w:szCs w:val="21"/>
              </w:rPr>
            </w:pPr>
            <w:r>
              <w:rPr>
                <w:rFonts w:hint="eastAsia" w:ascii="宋体" w:hAnsi="宋体" w:cs="宋体"/>
                <w:szCs w:val="21"/>
              </w:rPr>
              <w:t>3</w:t>
            </w:r>
          </w:p>
        </w:tc>
        <w:tc>
          <w:tcPr>
            <w:tcW w:w="762" w:type="pct"/>
            <w:tcBorders>
              <w:left w:val="single" w:color="auto" w:sz="4" w:space="0"/>
              <w:right w:val="single" w:color="auto" w:sz="4" w:space="0"/>
            </w:tcBorders>
            <w:vAlign w:val="center"/>
          </w:tcPr>
          <w:p w14:paraId="08A09291">
            <w:pPr>
              <w:spacing w:line="400" w:lineRule="exact"/>
              <w:jc w:val="center"/>
              <w:rPr>
                <w:rFonts w:hint="eastAsia" w:ascii="宋体" w:hAnsi="宋体" w:cs="宋体"/>
                <w:szCs w:val="21"/>
              </w:rPr>
            </w:pPr>
            <w:r>
              <w:rPr>
                <w:rFonts w:hint="eastAsia" w:ascii="宋体" w:hAnsi="宋体" w:cs="宋体"/>
                <w:szCs w:val="21"/>
              </w:rPr>
              <w:t>业绩</w:t>
            </w:r>
          </w:p>
        </w:tc>
        <w:tc>
          <w:tcPr>
            <w:tcW w:w="3573" w:type="pct"/>
            <w:tcBorders>
              <w:top w:val="single" w:color="auto" w:sz="4" w:space="0"/>
              <w:left w:val="single" w:color="auto" w:sz="4" w:space="0"/>
              <w:bottom w:val="single" w:color="auto" w:sz="4" w:space="0"/>
              <w:right w:val="single" w:color="auto" w:sz="4" w:space="0"/>
            </w:tcBorders>
            <w:vAlign w:val="center"/>
          </w:tcPr>
          <w:p w14:paraId="703A47F1">
            <w:pPr>
              <w:pStyle w:val="17"/>
              <w:rPr>
                <w:rFonts w:hint="eastAsia" w:eastAsia="宋体"/>
                <w:color w:val="auto"/>
                <w:lang w:eastAsia="zh-CN"/>
              </w:rPr>
            </w:pPr>
            <w:r>
              <w:rPr>
                <w:rFonts w:hint="eastAsia" w:ascii="宋体" w:hAnsi="宋体" w:eastAsia="宋体" w:cs="宋体"/>
                <w:color w:val="auto"/>
                <w:kern w:val="2"/>
                <w:sz w:val="21"/>
                <w:szCs w:val="21"/>
                <w:highlight w:val="none"/>
                <w:lang w:val="en-US" w:eastAsia="zh-CN" w:bidi="ar-SA"/>
              </w:rPr>
              <w:t>根据所投同类产品近 3 年（2023 年 5 月 1 日至今）在国内的销售业绩，提供国内客户相关试剂合同，每提供 1 个业绩得 3 分，本项最多得 6 分。</w:t>
            </w:r>
            <w:r>
              <w:rPr>
                <w:rFonts w:hint="eastAsia" w:ascii="宋体" w:hAnsi="宋体" w:eastAsia="宋体" w:cs="宋体"/>
                <w:b/>
                <w:bCs/>
                <w:color w:val="auto"/>
                <w:kern w:val="2"/>
                <w:sz w:val="21"/>
                <w:szCs w:val="21"/>
                <w:highlight w:val="none"/>
                <w:lang w:val="en-US" w:eastAsia="zh-CN" w:bidi="ar-SA"/>
              </w:rPr>
              <w:t>（提供合同复印件，须包含签订时间、核心产品的品牌型号等要素，原件备查）</w:t>
            </w:r>
          </w:p>
        </w:tc>
        <w:tc>
          <w:tcPr>
            <w:tcW w:w="329" w:type="pct"/>
            <w:tcBorders>
              <w:top w:val="single" w:color="auto" w:sz="4" w:space="0"/>
              <w:left w:val="single" w:color="auto" w:sz="4" w:space="0"/>
              <w:bottom w:val="single" w:color="auto" w:sz="4" w:space="0"/>
              <w:right w:val="single" w:color="auto" w:sz="4" w:space="0"/>
            </w:tcBorders>
            <w:vAlign w:val="center"/>
          </w:tcPr>
          <w:p w14:paraId="510C05B1">
            <w:pPr>
              <w:spacing w:line="400" w:lineRule="exact"/>
              <w:jc w:val="center"/>
              <w:textAlignment w:val="center"/>
              <w:rPr>
                <w:rFonts w:hint="eastAsia" w:ascii="宋体" w:hAnsi="宋体" w:cs="宋体"/>
                <w:szCs w:val="21"/>
              </w:rPr>
            </w:pPr>
            <w:r>
              <w:rPr>
                <w:rFonts w:hint="eastAsia" w:ascii="宋体" w:hAnsi="宋体" w:cs="宋体"/>
                <w:szCs w:val="21"/>
              </w:rPr>
              <w:t>6</w:t>
            </w:r>
          </w:p>
        </w:tc>
      </w:tr>
      <w:tr w14:paraId="6F92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4" w:type="pct"/>
            <w:tcBorders>
              <w:left w:val="single" w:color="auto" w:sz="4" w:space="0"/>
              <w:right w:val="single" w:color="auto" w:sz="4" w:space="0"/>
            </w:tcBorders>
            <w:vAlign w:val="center"/>
          </w:tcPr>
          <w:p w14:paraId="23625189">
            <w:pPr>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762" w:type="pct"/>
            <w:tcBorders>
              <w:left w:val="single" w:color="auto" w:sz="4" w:space="0"/>
              <w:right w:val="single" w:color="auto" w:sz="4" w:space="0"/>
            </w:tcBorders>
            <w:vAlign w:val="center"/>
          </w:tcPr>
          <w:p w14:paraId="0DDEACBF">
            <w:pPr>
              <w:spacing w:line="300" w:lineRule="auto"/>
              <w:jc w:val="center"/>
              <w:rPr>
                <w:rFonts w:hint="eastAsia" w:ascii="宋体" w:hAnsi="宋体" w:cs="宋体"/>
                <w:szCs w:val="21"/>
              </w:rPr>
            </w:pPr>
            <w:r>
              <w:rPr>
                <w:rFonts w:hint="eastAsia" w:ascii="宋体" w:hAnsi="宋体" w:cs="宋体"/>
                <w:szCs w:val="21"/>
              </w:rPr>
              <w:t>实施方案</w:t>
            </w:r>
          </w:p>
        </w:tc>
        <w:tc>
          <w:tcPr>
            <w:tcW w:w="3573" w:type="pct"/>
            <w:tcBorders>
              <w:top w:val="single" w:color="auto" w:sz="4" w:space="0"/>
              <w:left w:val="single" w:color="auto" w:sz="4" w:space="0"/>
              <w:bottom w:val="single" w:color="auto" w:sz="4" w:space="0"/>
              <w:right w:val="single" w:color="auto" w:sz="4" w:space="0"/>
            </w:tcBorders>
            <w:vAlign w:val="center"/>
          </w:tcPr>
          <w:p w14:paraId="3295C2CD">
            <w:pPr>
              <w:spacing w:line="300" w:lineRule="auto"/>
              <w:rPr>
                <w:rFonts w:hint="eastAsia" w:ascii="宋体" w:hAnsi="宋体" w:cs="宋体"/>
                <w:b/>
                <w:bCs/>
                <w:szCs w:val="21"/>
              </w:rPr>
            </w:pPr>
            <w:r>
              <w:rPr>
                <w:rFonts w:hint="eastAsia" w:ascii="宋体" w:hAnsi="宋体" w:cs="宋体"/>
                <w:b/>
                <w:bCs/>
                <w:szCs w:val="21"/>
              </w:rPr>
              <w:t>提供完善的项目实施计划和实施方案（包含验收等），根据投标单位项目组织实施管理方案的合理性、人员安排、现场应急处理方案等方面进行综合评审：</w:t>
            </w:r>
          </w:p>
          <w:p w14:paraId="365EFAC8">
            <w:pPr>
              <w:spacing w:line="300" w:lineRule="auto"/>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方案全面，可操作性强的得</w:t>
            </w:r>
            <w:r>
              <w:rPr>
                <w:rFonts w:hint="eastAsia" w:ascii="宋体" w:hAnsi="宋体" w:cs="宋体"/>
                <w:szCs w:val="21"/>
                <w:lang w:val="en-US" w:eastAsia="zh-CN"/>
              </w:rPr>
              <w:t>8</w:t>
            </w:r>
            <w:r>
              <w:rPr>
                <w:rFonts w:hint="eastAsia" w:ascii="宋体" w:hAnsi="宋体" w:cs="宋体"/>
                <w:szCs w:val="21"/>
              </w:rPr>
              <w:t>分；</w:t>
            </w:r>
          </w:p>
          <w:p w14:paraId="74C788FE">
            <w:pPr>
              <w:spacing w:line="300" w:lineRule="auto"/>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方案可行，具有可操作性的得</w:t>
            </w:r>
            <w:r>
              <w:rPr>
                <w:rFonts w:hint="eastAsia" w:ascii="宋体" w:hAnsi="宋体" w:cs="宋体"/>
                <w:szCs w:val="21"/>
                <w:lang w:val="en-US" w:eastAsia="zh-CN"/>
              </w:rPr>
              <w:t>5</w:t>
            </w:r>
            <w:r>
              <w:rPr>
                <w:rFonts w:hint="eastAsia" w:ascii="宋体" w:hAnsi="宋体" w:cs="宋体"/>
                <w:szCs w:val="21"/>
              </w:rPr>
              <w:t>分；</w:t>
            </w:r>
          </w:p>
          <w:p w14:paraId="25DF7D46">
            <w:pPr>
              <w:spacing w:line="30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方案无实质性内容、服务响应及时性较差没有可操作性得</w:t>
            </w:r>
            <w:r>
              <w:rPr>
                <w:rFonts w:hint="eastAsia" w:ascii="宋体" w:hAnsi="宋体" w:cs="宋体"/>
                <w:szCs w:val="21"/>
                <w:lang w:val="en-US" w:eastAsia="zh-CN"/>
              </w:rPr>
              <w:t>2</w:t>
            </w:r>
            <w:r>
              <w:rPr>
                <w:rFonts w:hint="eastAsia" w:ascii="宋体" w:hAnsi="宋体" w:cs="宋体"/>
                <w:szCs w:val="21"/>
              </w:rPr>
              <w:t>分；</w:t>
            </w:r>
          </w:p>
          <w:p w14:paraId="09D5A9CB">
            <w:pPr>
              <w:spacing w:line="30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64DF8F89">
            <w:pPr>
              <w:spacing w:line="300" w:lineRule="auto"/>
              <w:jc w:val="center"/>
              <w:rPr>
                <w:rFonts w:hint="eastAsia" w:ascii="宋体" w:hAnsi="宋体" w:eastAsia="宋体" w:cs="宋体"/>
                <w:szCs w:val="21"/>
                <w:lang w:eastAsia="zh-CN"/>
              </w:rPr>
            </w:pPr>
            <w:r>
              <w:rPr>
                <w:rFonts w:hint="eastAsia" w:ascii="宋体" w:hAnsi="宋体" w:cs="宋体"/>
                <w:szCs w:val="21"/>
                <w:lang w:val="en-US" w:eastAsia="zh-CN"/>
              </w:rPr>
              <w:t>8</w:t>
            </w:r>
          </w:p>
        </w:tc>
      </w:tr>
      <w:tr w14:paraId="46F4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5D00E81E">
            <w:pPr>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5</w:t>
            </w:r>
          </w:p>
        </w:tc>
        <w:tc>
          <w:tcPr>
            <w:tcW w:w="762" w:type="pct"/>
            <w:tcBorders>
              <w:left w:val="single" w:color="auto" w:sz="4" w:space="0"/>
              <w:right w:val="single" w:color="auto" w:sz="4" w:space="0"/>
            </w:tcBorders>
            <w:vAlign w:val="center"/>
          </w:tcPr>
          <w:p w14:paraId="06D5A756">
            <w:pPr>
              <w:spacing w:line="300" w:lineRule="auto"/>
              <w:jc w:val="center"/>
              <w:rPr>
                <w:rFonts w:hint="eastAsia" w:ascii="宋体" w:hAnsi="宋体" w:cs="宋体"/>
                <w:szCs w:val="21"/>
              </w:rPr>
            </w:pPr>
            <w:r>
              <w:rPr>
                <w:rFonts w:hint="eastAsia" w:ascii="宋体" w:hAnsi="宋体" w:cs="宋体"/>
                <w:szCs w:val="21"/>
              </w:rPr>
              <w:t>供货计划及方案</w:t>
            </w:r>
          </w:p>
        </w:tc>
        <w:tc>
          <w:tcPr>
            <w:tcW w:w="3573" w:type="pct"/>
            <w:tcBorders>
              <w:top w:val="single" w:color="auto" w:sz="4" w:space="0"/>
              <w:left w:val="single" w:color="auto" w:sz="4" w:space="0"/>
              <w:bottom w:val="single" w:color="auto" w:sz="4" w:space="0"/>
              <w:right w:val="single" w:color="auto" w:sz="4" w:space="0"/>
            </w:tcBorders>
            <w:vAlign w:val="center"/>
          </w:tcPr>
          <w:p w14:paraId="4D8138F3">
            <w:pPr>
              <w:spacing w:line="300" w:lineRule="auto"/>
              <w:rPr>
                <w:rFonts w:hint="eastAsia" w:ascii="宋体" w:hAnsi="宋体" w:cs="宋体"/>
                <w:b/>
                <w:bCs/>
                <w:szCs w:val="21"/>
              </w:rPr>
            </w:pPr>
            <w:r>
              <w:rPr>
                <w:rFonts w:hint="eastAsia" w:ascii="宋体" w:hAnsi="宋体" w:cs="宋体"/>
                <w:b/>
                <w:bCs/>
                <w:szCs w:val="21"/>
              </w:rPr>
              <w:t>提供完善的项目供货计划和供货方案，根据投标单位项目组织实施管理方案的合理性、人员安排、供货期等方面进行综合评审：</w:t>
            </w:r>
          </w:p>
          <w:p w14:paraId="7172B0A5">
            <w:pPr>
              <w:spacing w:line="300" w:lineRule="auto"/>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方案全面、服务响应快，可操作性强的得</w:t>
            </w:r>
            <w:r>
              <w:rPr>
                <w:rFonts w:hint="eastAsia" w:ascii="宋体" w:hAnsi="宋体" w:cs="宋体"/>
                <w:szCs w:val="21"/>
                <w:lang w:val="en-US" w:eastAsia="zh-CN"/>
              </w:rPr>
              <w:t>7</w:t>
            </w:r>
            <w:r>
              <w:rPr>
                <w:rFonts w:hint="eastAsia" w:ascii="宋体" w:hAnsi="宋体" w:cs="宋体"/>
                <w:szCs w:val="21"/>
              </w:rPr>
              <w:t>分；</w:t>
            </w:r>
          </w:p>
          <w:p w14:paraId="57EF9922">
            <w:pPr>
              <w:spacing w:line="300" w:lineRule="auto"/>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方案一般、服务响应一般，可操作性一般的得</w:t>
            </w:r>
            <w:r>
              <w:rPr>
                <w:rFonts w:hint="eastAsia" w:ascii="宋体" w:hAnsi="宋体" w:cs="宋体"/>
                <w:szCs w:val="21"/>
                <w:lang w:val="en-US" w:eastAsia="zh-CN"/>
              </w:rPr>
              <w:t>4</w:t>
            </w:r>
            <w:r>
              <w:rPr>
                <w:rFonts w:hint="eastAsia" w:ascii="宋体" w:hAnsi="宋体" w:cs="宋体"/>
                <w:szCs w:val="21"/>
              </w:rPr>
              <w:t>分；</w:t>
            </w:r>
          </w:p>
          <w:p w14:paraId="1DD29C79">
            <w:pPr>
              <w:spacing w:line="30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方案无实质性内容、服务响应及时性较差得</w:t>
            </w:r>
            <w:r>
              <w:rPr>
                <w:rFonts w:hint="eastAsia" w:ascii="宋体" w:hAnsi="宋体" w:cs="宋体"/>
                <w:szCs w:val="21"/>
                <w:lang w:val="en-US" w:eastAsia="zh-CN"/>
              </w:rPr>
              <w:t>1</w:t>
            </w:r>
            <w:r>
              <w:rPr>
                <w:rFonts w:hint="eastAsia" w:ascii="宋体" w:hAnsi="宋体" w:cs="宋体"/>
                <w:szCs w:val="21"/>
              </w:rPr>
              <w:t>分；</w:t>
            </w:r>
          </w:p>
          <w:p w14:paraId="33C98FBF">
            <w:pPr>
              <w:spacing w:line="30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没有可操作性或未提供的得0分。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569C584B">
            <w:pPr>
              <w:spacing w:line="300" w:lineRule="auto"/>
              <w:jc w:val="center"/>
              <w:rPr>
                <w:rFonts w:hint="eastAsia" w:ascii="宋体" w:hAnsi="宋体" w:eastAsia="宋体" w:cs="宋体"/>
                <w:szCs w:val="21"/>
                <w:lang w:eastAsia="zh-CN"/>
              </w:rPr>
            </w:pPr>
            <w:r>
              <w:rPr>
                <w:rFonts w:hint="eastAsia" w:ascii="宋体" w:hAnsi="宋体" w:cs="宋体"/>
                <w:szCs w:val="21"/>
                <w:lang w:val="en-US" w:eastAsia="zh-CN"/>
              </w:rPr>
              <w:t>7</w:t>
            </w:r>
          </w:p>
        </w:tc>
      </w:tr>
      <w:tr w14:paraId="5DE8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1EA85180">
            <w:pPr>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762" w:type="pct"/>
            <w:tcBorders>
              <w:left w:val="single" w:color="auto" w:sz="4" w:space="0"/>
              <w:right w:val="single" w:color="auto" w:sz="4" w:space="0"/>
            </w:tcBorders>
            <w:vAlign w:val="center"/>
          </w:tcPr>
          <w:p w14:paraId="3A4B52CC">
            <w:pPr>
              <w:spacing w:line="300" w:lineRule="auto"/>
              <w:jc w:val="center"/>
              <w:rPr>
                <w:rFonts w:hint="eastAsia" w:ascii="宋体" w:hAnsi="宋体" w:cs="宋体"/>
                <w:szCs w:val="21"/>
              </w:rPr>
            </w:pPr>
            <w:r>
              <w:rPr>
                <w:rFonts w:hint="eastAsia" w:ascii="宋体" w:hAnsi="宋体" w:cs="宋体"/>
                <w:szCs w:val="21"/>
              </w:rPr>
              <w:t>技术性能</w:t>
            </w:r>
          </w:p>
        </w:tc>
        <w:tc>
          <w:tcPr>
            <w:tcW w:w="3573" w:type="pct"/>
            <w:tcBorders>
              <w:top w:val="single" w:color="auto" w:sz="4" w:space="0"/>
              <w:left w:val="single" w:color="auto" w:sz="4" w:space="0"/>
              <w:bottom w:val="single" w:color="auto" w:sz="4" w:space="0"/>
              <w:right w:val="single" w:color="auto" w:sz="4" w:space="0"/>
            </w:tcBorders>
            <w:vAlign w:val="center"/>
          </w:tcPr>
          <w:p w14:paraId="76B437E5">
            <w:pPr>
              <w:spacing w:line="300" w:lineRule="auto"/>
              <w:rPr>
                <w:rFonts w:hint="eastAsia" w:ascii="宋体" w:hAnsi="宋体" w:cs="宋体"/>
                <w:b/>
                <w:bCs/>
                <w:szCs w:val="21"/>
              </w:rPr>
            </w:pPr>
            <w:r>
              <w:rPr>
                <w:rFonts w:hint="eastAsia" w:ascii="宋体" w:hAnsi="宋体" w:cs="宋体"/>
                <w:b/>
                <w:bCs/>
                <w:szCs w:val="21"/>
              </w:rPr>
              <w:t>对产品选型、规格、设计的科学性、合理性、材质选用、制造工艺水平等进行综合评审：</w:t>
            </w:r>
          </w:p>
          <w:p w14:paraId="7AD13995">
            <w:pPr>
              <w:spacing w:line="300" w:lineRule="auto"/>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 xml:space="preserve">选型、规格高、设计方案清楚合理可操作性强、材质选用、制造工艺水平高，得 </w:t>
            </w:r>
            <w:r>
              <w:rPr>
                <w:rFonts w:hint="eastAsia" w:ascii="宋体" w:hAnsi="宋体" w:cs="宋体"/>
                <w:szCs w:val="21"/>
                <w:lang w:val="en-US" w:eastAsia="zh-CN"/>
              </w:rPr>
              <w:t>7</w:t>
            </w:r>
            <w:r>
              <w:rPr>
                <w:rFonts w:hint="eastAsia" w:ascii="宋体" w:hAnsi="宋体" w:cs="宋体"/>
                <w:szCs w:val="21"/>
              </w:rPr>
              <w:t>分；</w:t>
            </w:r>
          </w:p>
          <w:p w14:paraId="479B10D3">
            <w:pPr>
              <w:spacing w:line="300" w:lineRule="auto"/>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选型、规格一般、设计方案基本清楚合理可操作性一般、材质选用、制造工艺水平一般，得</w:t>
            </w:r>
            <w:r>
              <w:rPr>
                <w:rFonts w:hint="eastAsia" w:ascii="宋体" w:hAnsi="宋体" w:cs="宋体"/>
                <w:szCs w:val="21"/>
                <w:lang w:val="en-US" w:eastAsia="zh-CN"/>
              </w:rPr>
              <w:t>4</w:t>
            </w:r>
            <w:r>
              <w:rPr>
                <w:rFonts w:hint="eastAsia" w:ascii="宋体" w:hAnsi="宋体" w:cs="宋体"/>
                <w:szCs w:val="21"/>
              </w:rPr>
              <w:t>分；</w:t>
            </w:r>
          </w:p>
          <w:p w14:paraId="22E146B2">
            <w:pPr>
              <w:spacing w:line="30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选型、规格差、设计方案不清楚不合理可操作性差、材质选用、制造工艺水平差得</w:t>
            </w:r>
            <w:r>
              <w:rPr>
                <w:rFonts w:hint="eastAsia" w:ascii="宋体" w:hAnsi="宋体" w:cs="宋体"/>
                <w:szCs w:val="21"/>
                <w:lang w:val="en-US" w:eastAsia="zh-CN"/>
              </w:rPr>
              <w:t>1</w:t>
            </w:r>
            <w:r>
              <w:rPr>
                <w:rFonts w:hint="eastAsia" w:ascii="宋体" w:hAnsi="宋体" w:cs="宋体"/>
                <w:szCs w:val="21"/>
              </w:rPr>
              <w:t>分；</w:t>
            </w:r>
          </w:p>
          <w:p w14:paraId="3761DE8D">
            <w:pPr>
              <w:spacing w:line="30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未提供得0分。</w:t>
            </w:r>
          </w:p>
        </w:tc>
        <w:tc>
          <w:tcPr>
            <w:tcW w:w="329" w:type="pct"/>
            <w:tcBorders>
              <w:top w:val="single" w:color="auto" w:sz="4" w:space="0"/>
              <w:left w:val="single" w:color="auto" w:sz="4" w:space="0"/>
              <w:bottom w:val="single" w:color="auto" w:sz="4" w:space="0"/>
              <w:right w:val="single" w:color="auto" w:sz="4" w:space="0"/>
            </w:tcBorders>
            <w:vAlign w:val="center"/>
          </w:tcPr>
          <w:p w14:paraId="40A3906E">
            <w:pPr>
              <w:spacing w:line="300" w:lineRule="auto"/>
              <w:jc w:val="center"/>
              <w:rPr>
                <w:rFonts w:hint="eastAsia" w:ascii="宋体" w:hAnsi="宋体" w:eastAsia="宋体" w:cs="宋体"/>
                <w:szCs w:val="21"/>
                <w:lang w:eastAsia="zh-CN"/>
              </w:rPr>
            </w:pPr>
            <w:r>
              <w:rPr>
                <w:rFonts w:hint="eastAsia" w:ascii="宋体" w:hAnsi="宋体" w:cs="宋体"/>
                <w:szCs w:val="21"/>
                <w:lang w:val="en-US" w:eastAsia="zh-CN"/>
              </w:rPr>
              <w:t>7</w:t>
            </w:r>
          </w:p>
        </w:tc>
      </w:tr>
      <w:tr w14:paraId="170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334" w:type="pct"/>
            <w:tcBorders>
              <w:left w:val="single" w:color="auto" w:sz="4" w:space="0"/>
              <w:right w:val="single" w:color="auto" w:sz="4" w:space="0"/>
            </w:tcBorders>
            <w:vAlign w:val="center"/>
          </w:tcPr>
          <w:p w14:paraId="3E16FEB6">
            <w:pPr>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762" w:type="pct"/>
            <w:tcBorders>
              <w:left w:val="single" w:color="auto" w:sz="4" w:space="0"/>
              <w:right w:val="single" w:color="auto" w:sz="4" w:space="0"/>
            </w:tcBorders>
            <w:vAlign w:val="center"/>
          </w:tcPr>
          <w:p w14:paraId="133653E7">
            <w:pPr>
              <w:spacing w:line="300" w:lineRule="auto"/>
              <w:jc w:val="center"/>
              <w:rPr>
                <w:rFonts w:hint="eastAsia" w:ascii="宋体" w:hAnsi="宋体" w:cs="宋体"/>
                <w:szCs w:val="21"/>
              </w:rPr>
            </w:pPr>
            <w:r>
              <w:rPr>
                <w:rFonts w:hint="eastAsia" w:ascii="宋体" w:hAnsi="宋体" w:cs="宋体"/>
                <w:szCs w:val="21"/>
              </w:rPr>
              <w:t>售后服务方案</w:t>
            </w:r>
          </w:p>
          <w:p w14:paraId="263D78D8">
            <w:pPr>
              <w:spacing w:line="300" w:lineRule="auto"/>
              <w:jc w:val="center"/>
              <w:rPr>
                <w:rFonts w:hint="eastAsia" w:ascii="宋体" w:hAnsi="宋体" w:cs="宋体"/>
                <w:szCs w:val="21"/>
              </w:rPr>
            </w:pPr>
          </w:p>
        </w:tc>
        <w:tc>
          <w:tcPr>
            <w:tcW w:w="3573" w:type="pct"/>
            <w:tcBorders>
              <w:top w:val="single" w:color="auto" w:sz="4" w:space="0"/>
              <w:left w:val="single" w:color="auto" w:sz="4" w:space="0"/>
              <w:bottom w:val="single" w:color="auto" w:sz="4" w:space="0"/>
              <w:right w:val="single" w:color="auto" w:sz="4" w:space="0"/>
            </w:tcBorders>
            <w:vAlign w:val="center"/>
          </w:tcPr>
          <w:p w14:paraId="1F51CB97">
            <w:pPr>
              <w:spacing w:line="300" w:lineRule="auto"/>
              <w:rPr>
                <w:rFonts w:hint="eastAsia" w:ascii="宋体" w:hAnsi="宋体" w:cs="宋体"/>
                <w:b/>
                <w:bCs/>
                <w:szCs w:val="21"/>
              </w:rPr>
            </w:pPr>
            <w:r>
              <w:rPr>
                <w:rFonts w:hint="eastAsia" w:ascii="宋体" w:hAnsi="宋体" w:cs="宋体"/>
                <w:b/>
                <w:bCs/>
                <w:szCs w:val="21"/>
              </w:rPr>
              <w:t>根据投标人针对本项目提供的售后服务方案（包括但不限于售后服务人员的配备、服务响应时间、质保期后服务等）进行综合评审：</w:t>
            </w:r>
          </w:p>
          <w:p w14:paraId="1FFC2085">
            <w:pPr>
              <w:spacing w:line="300" w:lineRule="auto"/>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服务方案全面，细致，有针对性，且售后服务、质保期后服务等合理，得</w:t>
            </w:r>
            <w:r>
              <w:rPr>
                <w:rFonts w:hint="eastAsia" w:ascii="宋体" w:hAnsi="宋体" w:cs="宋体"/>
                <w:szCs w:val="21"/>
                <w:lang w:val="en-US" w:eastAsia="zh-CN"/>
              </w:rPr>
              <w:t>7</w:t>
            </w:r>
            <w:r>
              <w:rPr>
                <w:rFonts w:hint="eastAsia" w:ascii="宋体" w:hAnsi="宋体" w:cs="宋体"/>
                <w:szCs w:val="21"/>
              </w:rPr>
              <w:t>分；</w:t>
            </w:r>
          </w:p>
          <w:p w14:paraId="26785ECB">
            <w:pPr>
              <w:spacing w:line="300" w:lineRule="auto"/>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服务方案不够全面，无针对性，且售后服务、质保期后服务等较为合理的，得</w:t>
            </w:r>
            <w:r>
              <w:rPr>
                <w:rFonts w:hint="eastAsia" w:ascii="宋体" w:hAnsi="宋体" w:cs="宋体"/>
                <w:szCs w:val="21"/>
                <w:lang w:val="en-US" w:eastAsia="zh-CN"/>
              </w:rPr>
              <w:t>4</w:t>
            </w:r>
            <w:r>
              <w:rPr>
                <w:rFonts w:hint="eastAsia" w:ascii="宋体" w:hAnsi="宋体" w:cs="宋体"/>
                <w:szCs w:val="21"/>
              </w:rPr>
              <w:t>分；</w:t>
            </w:r>
          </w:p>
          <w:p w14:paraId="72D9485E">
            <w:pPr>
              <w:spacing w:line="300" w:lineRule="auto"/>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方案无实质性内容、没有可操作性</w:t>
            </w:r>
            <w:r>
              <w:rPr>
                <w:rFonts w:hint="eastAsia" w:ascii="宋体" w:hAnsi="宋体" w:cs="宋体"/>
                <w:szCs w:val="21"/>
                <w:lang w:val="en-US" w:eastAsia="zh-CN"/>
              </w:rPr>
              <w:t>且</w:t>
            </w:r>
            <w:r>
              <w:rPr>
                <w:rFonts w:hint="eastAsia" w:ascii="宋体" w:hAnsi="宋体" w:cs="宋体"/>
                <w:szCs w:val="21"/>
              </w:rPr>
              <w:t>不太合理得</w:t>
            </w:r>
            <w:r>
              <w:rPr>
                <w:rFonts w:hint="eastAsia" w:ascii="宋体" w:hAnsi="宋体" w:cs="宋体"/>
                <w:szCs w:val="21"/>
                <w:lang w:val="en-US" w:eastAsia="zh-CN"/>
              </w:rPr>
              <w:t>1</w:t>
            </w:r>
            <w:r>
              <w:rPr>
                <w:rFonts w:hint="eastAsia" w:ascii="宋体" w:hAnsi="宋体" w:cs="宋体"/>
                <w:szCs w:val="21"/>
              </w:rPr>
              <w:t>分；</w:t>
            </w:r>
          </w:p>
          <w:p w14:paraId="14BA27F3">
            <w:pPr>
              <w:spacing w:line="30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449B5B09">
            <w:pPr>
              <w:spacing w:line="300" w:lineRule="auto"/>
              <w:jc w:val="center"/>
              <w:rPr>
                <w:rFonts w:hint="eastAsia" w:ascii="宋体" w:hAnsi="宋体" w:eastAsia="宋体" w:cs="宋体"/>
                <w:szCs w:val="21"/>
                <w:lang w:eastAsia="zh-CN"/>
              </w:rPr>
            </w:pPr>
            <w:r>
              <w:rPr>
                <w:rFonts w:hint="eastAsia" w:ascii="宋体" w:hAnsi="宋体" w:cs="宋体"/>
                <w:szCs w:val="21"/>
                <w:lang w:val="en-US" w:eastAsia="zh-CN"/>
              </w:rPr>
              <w:t>7</w:t>
            </w:r>
          </w:p>
        </w:tc>
      </w:tr>
      <w:tr w14:paraId="6031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34" w:type="pct"/>
            <w:tcBorders>
              <w:left w:val="single" w:color="auto" w:sz="4" w:space="0"/>
              <w:right w:val="single" w:color="auto" w:sz="4" w:space="0"/>
            </w:tcBorders>
            <w:vAlign w:val="center"/>
          </w:tcPr>
          <w:p w14:paraId="009316BC">
            <w:pPr>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8</w:t>
            </w:r>
          </w:p>
        </w:tc>
        <w:tc>
          <w:tcPr>
            <w:tcW w:w="4336" w:type="pct"/>
            <w:gridSpan w:val="2"/>
            <w:tcBorders>
              <w:left w:val="single" w:color="auto" w:sz="4" w:space="0"/>
              <w:right w:val="single" w:color="auto" w:sz="4" w:space="0"/>
            </w:tcBorders>
            <w:vAlign w:val="center"/>
          </w:tcPr>
          <w:p w14:paraId="25DBE0D9">
            <w:pPr>
              <w:spacing w:line="400" w:lineRule="exact"/>
              <w:jc w:val="center"/>
              <w:rPr>
                <w:rFonts w:hint="eastAsia" w:ascii="宋体" w:hAnsi="宋体" w:cs="宋体"/>
                <w:szCs w:val="21"/>
              </w:rPr>
            </w:pPr>
            <w:r>
              <w:rPr>
                <w:rFonts w:hint="eastAsia" w:ascii="宋体" w:hAnsi="宋体" w:cs="宋体"/>
                <w:szCs w:val="21"/>
              </w:rPr>
              <w:t>合计</w:t>
            </w:r>
          </w:p>
        </w:tc>
        <w:tc>
          <w:tcPr>
            <w:tcW w:w="329" w:type="pct"/>
            <w:tcBorders>
              <w:left w:val="single" w:color="auto" w:sz="4" w:space="0"/>
              <w:right w:val="single" w:color="auto" w:sz="4" w:space="0"/>
            </w:tcBorders>
            <w:vAlign w:val="center"/>
          </w:tcPr>
          <w:p w14:paraId="7F4DA14C">
            <w:pPr>
              <w:spacing w:line="400" w:lineRule="exact"/>
              <w:jc w:val="center"/>
              <w:rPr>
                <w:rFonts w:hint="eastAsia" w:ascii="宋体" w:hAnsi="宋体" w:cs="宋体"/>
                <w:szCs w:val="21"/>
              </w:rPr>
            </w:pPr>
            <w:r>
              <w:rPr>
                <w:rFonts w:hint="eastAsia" w:ascii="宋体" w:hAnsi="宋体" w:cs="宋体"/>
                <w:szCs w:val="21"/>
              </w:rPr>
              <w:t>100</w:t>
            </w:r>
          </w:p>
        </w:tc>
      </w:tr>
    </w:tbl>
    <w:p w14:paraId="73DF54F7">
      <w:pPr>
        <w:tabs>
          <w:tab w:val="left" w:pos="960"/>
        </w:tabs>
        <w:adjustRightInd w:val="0"/>
        <w:snapToGrid w:val="0"/>
        <w:spacing w:line="360" w:lineRule="auto"/>
        <w:ind w:left="420" w:firstLine="420" w:firstLineChars="200"/>
        <w:rPr>
          <w:rFonts w:ascii="Arial" w:hAnsi="Arial" w:cs="Arial"/>
        </w:rPr>
      </w:pPr>
    </w:p>
    <w:p w14:paraId="59CB73A0">
      <w:pPr>
        <w:ind w:firstLine="422" w:firstLineChars="200"/>
        <w:rPr>
          <w:rFonts w:hint="eastAsia" w:ascii="宋体" w:hAnsi="宋体" w:cs="宋体"/>
          <w:b/>
          <w:szCs w:val="21"/>
        </w:rPr>
      </w:pPr>
      <w:r>
        <w:rPr>
          <w:rFonts w:hint="eastAsia" w:ascii="宋体" w:hAnsi="宋体" w:cs="宋体"/>
          <w:b/>
          <w:szCs w:val="21"/>
        </w:rPr>
        <w:t>说明：1.所有认证、证明和业绩均以有效清晰的证明文件的复印件为依据，原件备查。</w:t>
      </w:r>
    </w:p>
    <w:p w14:paraId="6D1FB08A">
      <w:pPr>
        <w:spacing w:line="360" w:lineRule="auto"/>
        <w:ind w:firstLine="422" w:firstLineChars="200"/>
        <w:rPr>
          <w:rFonts w:hint="eastAsia" w:ascii="宋体" w:hAnsi="宋体" w:cs="宋体"/>
          <w:b/>
          <w:szCs w:val="21"/>
        </w:rPr>
      </w:pPr>
      <w:r>
        <w:rPr>
          <w:rFonts w:hint="eastAsia" w:ascii="宋体" w:hAnsi="宋体" w:cs="宋体"/>
          <w:b/>
          <w:szCs w:val="21"/>
        </w:rPr>
        <w:t>2.小微企业价格扣除</w:t>
      </w:r>
    </w:p>
    <w:p w14:paraId="73C4A227">
      <w:pPr>
        <w:spacing w:line="360" w:lineRule="auto"/>
        <w:ind w:firstLine="422" w:firstLineChars="200"/>
        <w:rPr>
          <w:rFonts w:hint="eastAsia"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598DB478">
      <w:pPr>
        <w:spacing w:line="360" w:lineRule="auto"/>
        <w:ind w:firstLine="422" w:firstLineChars="200"/>
        <w:rPr>
          <w:rFonts w:hint="eastAsia"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spacing w:line="360" w:lineRule="auto"/>
        <w:ind w:firstLine="422" w:firstLineChars="200"/>
        <w:rPr>
          <w:rFonts w:hint="eastAsia" w:ascii="宋体" w:hAnsi="宋体" w:cs="宋体"/>
          <w:b/>
          <w:szCs w:val="21"/>
        </w:rPr>
      </w:pPr>
      <w:r>
        <w:rPr>
          <w:rFonts w:hint="eastAsia" w:ascii="宋体" w:hAnsi="宋体" w:cs="宋体"/>
          <w:b/>
          <w:szCs w:val="21"/>
        </w:rPr>
        <w:t>3.监狱和戒毒企业的价格扣除</w:t>
      </w:r>
    </w:p>
    <w:p w14:paraId="425D3146">
      <w:pPr>
        <w:spacing w:line="360" w:lineRule="auto"/>
        <w:ind w:firstLine="422" w:firstLineChars="200"/>
        <w:rPr>
          <w:rFonts w:hint="eastAsia" w:ascii="宋体" w:hAnsi="宋体" w:cs="宋体"/>
          <w:b/>
          <w:szCs w:val="21"/>
        </w:rPr>
      </w:pPr>
      <w:r>
        <w:rPr>
          <w:rFonts w:hint="eastAsia" w:ascii="宋体" w:hAnsi="宋体" w:cs="宋体"/>
          <w:b/>
          <w:szCs w:val="21"/>
        </w:rPr>
        <w:t>3.1 本项目对监狱和戒毒企业，给予10%的价格扣除，用扣除后的价格参与评审。</w:t>
      </w:r>
    </w:p>
    <w:p w14:paraId="0C381F07">
      <w:pPr>
        <w:spacing w:line="360" w:lineRule="auto"/>
        <w:ind w:firstLine="422" w:firstLineChars="200"/>
        <w:rPr>
          <w:rFonts w:hint="eastAsia"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600B05CA">
      <w:pPr>
        <w:spacing w:line="360" w:lineRule="auto"/>
        <w:ind w:firstLine="422" w:firstLineChars="200"/>
        <w:rPr>
          <w:rFonts w:hint="eastAsia"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21EA03B5">
      <w:pPr>
        <w:spacing w:line="360" w:lineRule="auto"/>
        <w:ind w:firstLine="422" w:firstLineChars="200"/>
        <w:rPr>
          <w:rFonts w:hint="eastAsia" w:ascii="宋体" w:hAnsi="宋体" w:cs="宋体"/>
          <w:b/>
          <w:szCs w:val="21"/>
        </w:rPr>
      </w:pPr>
      <w:r>
        <w:rPr>
          <w:rFonts w:hint="eastAsia" w:ascii="宋体" w:hAnsi="宋体" w:cs="宋体"/>
          <w:b/>
          <w:szCs w:val="21"/>
        </w:rPr>
        <w:t>4.残疾人福利性单位的价格扣除</w:t>
      </w:r>
    </w:p>
    <w:p w14:paraId="299CEAC1">
      <w:pPr>
        <w:spacing w:line="360" w:lineRule="auto"/>
        <w:ind w:firstLine="422" w:firstLineChars="200"/>
        <w:rPr>
          <w:rFonts w:hint="eastAsia" w:ascii="宋体" w:hAnsi="宋体" w:cs="宋体"/>
          <w:b/>
          <w:szCs w:val="21"/>
        </w:rPr>
      </w:pPr>
      <w:r>
        <w:rPr>
          <w:rFonts w:hint="eastAsia" w:ascii="宋体" w:hAnsi="宋体" w:cs="宋体"/>
          <w:b/>
          <w:szCs w:val="21"/>
        </w:rPr>
        <w:t>4.1 本项目对残疾人福利性单位，给予10%的价格扣除，用扣除后的价格参与评审。</w:t>
      </w:r>
    </w:p>
    <w:p w14:paraId="03E6CA34">
      <w:pPr>
        <w:spacing w:line="360" w:lineRule="auto"/>
        <w:ind w:firstLine="422" w:firstLineChars="200"/>
        <w:rPr>
          <w:rFonts w:hint="eastAsia" w:ascii="宋体" w:hAnsi="宋体" w:cs="宋体"/>
          <w:b/>
          <w:szCs w:val="21"/>
        </w:rPr>
      </w:pPr>
      <w:r>
        <w:rPr>
          <w:rFonts w:hint="eastAsia" w:ascii="宋体" w:hAnsi="宋体" w:cs="宋体"/>
          <w:b/>
          <w:szCs w:val="21"/>
        </w:rPr>
        <w:t>4.2 残疾人福利性单位需提供《残疾人福利性单位声明函》</w:t>
      </w:r>
    </w:p>
    <w:p w14:paraId="47E7E96F">
      <w:pPr>
        <w:spacing w:line="360" w:lineRule="auto"/>
        <w:ind w:firstLine="422" w:firstLineChars="200"/>
        <w:rPr>
          <w:rFonts w:hint="eastAsia"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26F3182C">
      <w:pPr>
        <w:spacing w:line="360" w:lineRule="auto"/>
        <w:ind w:firstLine="422" w:firstLineChars="200"/>
        <w:rPr>
          <w:rFonts w:hint="eastAsia" w:ascii="宋体" w:hAnsi="宋体" w:cs="宋体"/>
          <w:b/>
          <w:szCs w:val="21"/>
        </w:rPr>
      </w:pPr>
      <w:r>
        <w:rPr>
          <w:rFonts w:hint="eastAsia" w:ascii="宋体" w:hAnsi="宋体" w:cs="宋体"/>
          <w:b/>
          <w:szCs w:val="21"/>
        </w:rPr>
        <w:t>5. 监狱企业、残疾人福利性单位属于小型、微型企业的，不重复享受政策。</w:t>
      </w:r>
    </w:p>
    <w:p w14:paraId="56F32973">
      <w:pPr>
        <w:spacing w:line="360" w:lineRule="auto"/>
        <w:ind w:firstLine="422" w:firstLineChars="200"/>
        <w:rPr>
          <w:rFonts w:hint="eastAsia" w:ascii="宋体" w:hAnsi="宋体" w:cs="宋体"/>
          <w:b/>
          <w:szCs w:val="21"/>
        </w:rPr>
      </w:pPr>
      <w:r>
        <w:rPr>
          <w:rFonts w:hint="eastAsia" w:ascii="宋体" w:hAnsi="宋体" w:cs="宋体"/>
          <w:b/>
          <w:szCs w:val="21"/>
        </w:rPr>
        <w:t>6.本国产品的价格扣除</w:t>
      </w:r>
    </w:p>
    <w:p w14:paraId="4989F5F8">
      <w:pPr>
        <w:spacing w:line="360" w:lineRule="auto"/>
        <w:ind w:firstLine="422" w:firstLineChars="200"/>
        <w:rPr>
          <w:rFonts w:hint="eastAsia"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4CAE1917">
      <w:pPr>
        <w:spacing w:line="360" w:lineRule="auto"/>
        <w:ind w:firstLine="422" w:firstLineChars="200"/>
        <w:rPr>
          <w:rFonts w:hint="eastAsia"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4E0553B5">
      <w:pPr>
        <w:spacing w:line="360" w:lineRule="auto"/>
        <w:ind w:firstLine="422" w:firstLineChars="200"/>
        <w:rPr>
          <w:rFonts w:hint="eastAsia"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ECE022">
      <w:pPr>
        <w:rPr>
          <w:rFonts w:ascii="Arial" w:hAnsi="Arial" w:cs="Arial"/>
          <w:kern w:val="0"/>
        </w:rPr>
      </w:pPr>
      <w:bookmarkStart w:id="19" w:name="_Toc26668"/>
      <w:r>
        <w:rPr>
          <w:rFonts w:ascii="Arial" w:hAnsi="Arial" w:cs="Arial"/>
          <w:kern w:val="0"/>
        </w:rPr>
        <w:br w:type="page"/>
      </w:r>
    </w:p>
    <w:p w14:paraId="3D69241D">
      <w:pPr>
        <w:pStyle w:val="2"/>
        <w:numPr>
          <w:ilvl w:val="0"/>
          <w:numId w:val="0"/>
        </w:numPr>
        <w:rPr>
          <w:rFonts w:ascii="Arial" w:hAnsi="Arial" w:cs="Arial"/>
          <w:kern w:val="0"/>
          <w:highlight w:val="green"/>
        </w:rPr>
      </w:pPr>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059B52D1">
      <w:pPr>
        <w:spacing w:line="360" w:lineRule="auto"/>
        <w:ind w:firstLine="422" w:firstLineChars="200"/>
        <w:rPr>
          <w:rFonts w:hint="eastAsia"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2119"/>
      <w:bookmarkStart w:id="24" w:name="_Toc311"/>
      <w:bookmarkStart w:id="25" w:name="_Toc4968"/>
      <w:bookmarkStart w:id="26" w:name="_Toc18449"/>
    </w:p>
    <w:p w14:paraId="32C4CD14">
      <w:pPr>
        <w:pStyle w:val="7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南京医科大学为满足</w:t>
      </w:r>
      <w:r>
        <w:rPr>
          <w:rFonts w:hint="eastAsia" w:ascii="宋体" w:hAnsi="宋体" w:cs="宋体"/>
          <w:color w:val="000000" w:themeColor="text1"/>
          <w:szCs w:val="21"/>
          <w:lang w:val="en-US" w:eastAsia="zh-CN"/>
          <w14:textFill>
            <w14:solidFill>
              <w14:schemeClr w14:val="tx1"/>
            </w14:solidFill>
          </w14:textFill>
        </w:rPr>
        <w:t>科研项目</w:t>
      </w:r>
      <w:r>
        <w:rPr>
          <w:rFonts w:hint="eastAsia" w:ascii="宋体" w:hAnsi="宋体" w:cs="宋体"/>
          <w:color w:val="000000" w:themeColor="text1"/>
          <w:szCs w:val="21"/>
          <w14:textFill>
            <w14:solidFill>
              <w14:schemeClr w14:val="tx1"/>
            </w14:solidFill>
          </w14:textFill>
        </w:rPr>
        <w:t>需要。需采购蛋白定量检测试剂。本项目拟采购不少于1500人份蛋白定量检测试剂。</w:t>
      </w:r>
    </w:p>
    <w:bookmarkEnd w:id="23"/>
    <w:bookmarkEnd w:id="24"/>
    <w:p w14:paraId="515612D2">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bookmarkStart w:id="27" w:name="OLE_LINK12"/>
    </w:p>
    <w:p w14:paraId="6E1CF274">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2652"/>
      <w:bookmarkStart w:id="29" w:name="_Toc29315"/>
      <w:bookmarkStart w:id="30" w:name="_Toc9991"/>
    </w:p>
    <w:bookmarkEnd w:id="27"/>
    <w:p w14:paraId="678E491E">
      <w:pPr>
        <w:spacing w:line="360" w:lineRule="auto"/>
        <w:ind w:firstLine="422" w:firstLineChars="200"/>
        <w:rPr>
          <w:rFonts w:hint="eastAsia" w:ascii="宋体" w:hAnsi="宋体" w:cs="宋体"/>
          <w:b/>
          <w:bCs/>
          <w:szCs w:val="21"/>
        </w:rPr>
      </w:pPr>
      <w:r>
        <w:rPr>
          <w:rFonts w:hint="eastAsia" w:ascii="宋体" w:hAnsi="宋体" w:cs="宋体"/>
          <w:b/>
          <w:bCs/>
          <w:szCs w:val="21"/>
        </w:rPr>
        <w:t>用★标注为实质性需求，如不满足视为未实质性</w:t>
      </w:r>
      <w:r>
        <w:rPr>
          <w:rFonts w:hint="eastAsia" w:ascii="宋体" w:hAnsi="宋体" w:cs="宋体"/>
          <w:b/>
          <w:bCs/>
          <w:szCs w:val="21"/>
          <w:lang w:val="en-US" w:eastAsia="zh-CN"/>
        </w:rPr>
        <w:t>响应</w:t>
      </w:r>
      <w:r>
        <w:rPr>
          <w:rFonts w:hint="eastAsia" w:ascii="宋体" w:hAnsi="宋体" w:cs="宋体"/>
          <w:b/>
          <w:bCs/>
          <w:szCs w:val="21"/>
        </w:rPr>
        <w:t>，则为无效投标。</w:t>
      </w:r>
    </w:p>
    <w:p w14:paraId="0D82D5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★1.1 检测灵敏度：可以实现优于10</w:t>
      </w:r>
      <w:r>
        <w:rPr>
          <w:rFonts w:hint="eastAsia" w:ascii="宋体" w:hAnsi="宋体" w:cs="宋体"/>
          <w:szCs w:val="21"/>
          <w:lang w:val="en-US" w:eastAsia="zh-CN"/>
        </w:rPr>
        <w:t>0</w:t>
      </w:r>
      <w:r>
        <w:rPr>
          <w:rFonts w:hint="eastAsia" w:ascii="宋体" w:hAnsi="宋体" w:cs="宋体"/>
          <w:szCs w:val="21"/>
        </w:rPr>
        <w:t>fg/mL的检测灵敏度，以检测经血脑屏障进入外周循环系统的低丰度神经系统疾病相关蛋白，以及IL-2，IL-4，IL-5和IL-13等低丰度细胞因子。</w:t>
      </w:r>
    </w:p>
    <w:p w14:paraId="4ECC73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★1.2 超多重检测能力：单次实验在每个生物体液样本中可定量检测大于200种以上蛋白标志物。</w:t>
      </w:r>
    </w:p>
    <w:p w14:paraId="3238C3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1.3 靶向Panel对于核心指标的覆盖度：覆盖CRP，Aβ40，Aβ42， p-Tau181，p-Tau 217，p-Tau 231，NfL/NEFL和GFAP等重要指标中的5个以上。</w:t>
      </w:r>
      <w:r>
        <w:rPr>
          <w:rFonts w:hint="eastAsia" w:ascii="宋体" w:hAnsi="宋体" w:cs="宋体"/>
          <w:szCs w:val="21"/>
          <w:lang w:val="en-US" w:eastAsia="zh-CN"/>
        </w:rPr>
        <w:t>并</w:t>
      </w:r>
      <w:r>
        <w:rPr>
          <w:rFonts w:hint="eastAsia" w:ascii="宋体" w:hAnsi="宋体" w:cs="宋体"/>
          <w:szCs w:val="21"/>
        </w:rPr>
        <w:t>提供试剂盒官方标注证明</w:t>
      </w:r>
      <w:r>
        <w:rPr>
          <w:rFonts w:hint="eastAsia" w:ascii="宋体" w:hAnsi="宋体" w:cs="宋体"/>
          <w:szCs w:val="21"/>
          <w:lang w:eastAsia="zh-CN"/>
        </w:rPr>
        <w:t>。</w:t>
      </w:r>
    </w:p>
    <w:p w14:paraId="79FD14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1.4 动态范围：单次实验，可以覆盖大于10个log的蛋白浓度动态范围。</w:t>
      </w:r>
    </w:p>
    <w:p w14:paraId="73B8DDB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1.5 自动化程度：装载试剂耗材和待测样本后，一键启动即可，所需人工操作少于30分钟。可以做到“样本进，结果出”。</w:t>
      </w:r>
    </w:p>
    <w:p w14:paraId="76F774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1.6 样本通量：单次运行可处理1至3块96孔板（相当于单次不少于200个样本）。</w:t>
      </w:r>
    </w:p>
    <w:p w14:paraId="4B35DD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1.7 灵活度：支持多任务并行，支持客户的自定义抗体定制开发及实验检测。</w:t>
      </w:r>
    </w:p>
    <w:p w14:paraId="1318D71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1.8 温度控制：试剂和样本装载仓具备4度制冷能力，保证样本及试剂稳定。</w:t>
      </w:r>
    </w:p>
    <w:p w14:paraId="48A337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1.9 试剂格式：为稳定的冻干形态，便于运输和储存。</w:t>
      </w:r>
    </w:p>
    <w:p w14:paraId="6CE458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1.10 方案集成度：通过一台整合型自动化工作站，总占地面积不大于1.5平方米。</w:t>
      </w:r>
    </w:p>
    <w:p w14:paraId="68C935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Cs w:val="21"/>
        </w:rPr>
      </w:pPr>
      <w:r>
        <w:rPr>
          <w:rFonts w:hint="eastAsia" w:ascii="宋体" w:hAnsi="宋体" w:cs="宋体"/>
          <w:szCs w:val="21"/>
        </w:rPr>
        <w:t>1.11 质量体系：设备和试剂的生产均得到ISO13485质量体系认证。</w:t>
      </w:r>
    </w:p>
    <w:p w14:paraId="0A06F593">
      <w:pPr>
        <w:spacing w:line="360" w:lineRule="auto"/>
        <w:ind w:firstLine="420" w:firstLineChars="200"/>
        <w:rPr>
          <w:rFonts w:hint="eastAsia" w:ascii="宋体" w:hAnsi="宋体" w:cs="宋体"/>
          <w:szCs w:val="21"/>
        </w:rPr>
      </w:pPr>
    </w:p>
    <w:p w14:paraId="6AAB84D3">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bookmarkEnd w:id="28"/>
      <w:bookmarkEnd w:id="29"/>
      <w:bookmarkEnd w:id="30"/>
    </w:p>
    <w:p w14:paraId="72F09B87">
      <w:pPr>
        <w:spacing w:line="360" w:lineRule="auto"/>
        <w:ind w:firstLine="420" w:firstLineChars="200"/>
        <w:rPr>
          <w:rFonts w:hint="eastAsia" w:ascii="宋体" w:hAnsi="宋体" w:cs="宋体"/>
          <w:szCs w:val="21"/>
        </w:rPr>
      </w:pPr>
      <w:bookmarkStart w:id="31" w:name="OLE_LINK40"/>
      <w:bookmarkStart w:id="32" w:name="OLE_LINK27"/>
      <w:r>
        <w:rPr>
          <w:rFonts w:hint="eastAsia" w:ascii="宋体" w:hAnsi="宋体" w:cs="宋体"/>
          <w:szCs w:val="21"/>
          <w:highlight w:val="none"/>
        </w:rPr>
        <w:t>（1）</w:t>
      </w:r>
      <w:r>
        <w:rPr>
          <w:rFonts w:hint="eastAsia" w:ascii="宋体" w:hAnsi="宋体" w:cs="宋体"/>
          <w:szCs w:val="21"/>
          <w:lang w:val="en-US" w:eastAsia="zh-CN"/>
        </w:rPr>
        <w:t>免费质保</w:t>
      </w:r>
      <w:r>
        <w:rPr>
          <w:rFonts w:hint="eastAsia" w:ascii="宋体" w:hAnsi="宋体" w:cs="宋体"/>
          <w:szCs w:val="21"/>
        </w:rPr>
        <w:t>期：免费质保期（试剂有效期）≥6个月。</w:t>
      </w:r>
    </w:p>
    <w:p w14:paraId="138B74F8">
      <w:pPr>
        <w:spacing w:line="360" w:lineRule="auto"/>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售后技术服务要求：自验收合格之日起算。在产品质保期内，一旦发生质量问题，供应商需在2小时内响应，并保证在接到通知工作日的4小时内到进行更换或退货，费用由供应商负责。如供应商在接到通知工作日的24小时内没有答复或处理问题，则视为供应商承认质量问题并承担由此而发生的一切费用。</w:t>
      </w:r>
    </w:p>
    <w:bookmarkEnd w:id="31"/>
    <w:bookmarkEnd w:id="32"/>
    <w:p w14:paraId="6813095C">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703CDF90">
      <w:pPr>
        <w:pStyle w:val="25"/>
        <w:spacing w:line="360" w:lineRule="auto"/>
        <w:ind w:firstLine="454"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四、</w:t>
      </w:r>
      <w:r>
        <w:rPr>
          <w:rFonts w:hint="eastAsia" w:ascii="宋体" w:hAnsi="宋体" w:cs="宋体"/>
          <w:b/>
          <w:bCs/>
          <w:color w:val="000000" w:themeColor="text1"/>
          <w:szCs w:val="21"/>
          <w14:textFill>
            <w14:solidFill>
              <w14:schemeClr w14:val="tx1"/>
            </w14:solidFill>
          </w14:textFill>
        </w:rPr>
        <w:t>交货期、交货方式及交货地点</w:t>
      </w:r>
    </w:p>
    <w:p w14:paraId="6A599C62">
      <w:pPr>
        <w:spacing w:line="360" w:lineRule="auto"/>
        <w:ind w:firstLine="420" w:firstLineChars="200"/>
        <w:rPr>
          <w:rFonts w:hint="default" w:ascii="宋体" w:hAnsi="宋体" w:eastAsia="宋体" w:cs="宋体"/>
          <w:szCs w:val="21"/>
          <w:lang w:val="en-US" w:eastAsia="zh-CN"/>
        </w:rPr>
      </w:pPr>
      <w:r>
        <w:rPr>
          <w:rFonts w:hint="eastAsia" w:ascii="宋体" w:hAnsi="宋体" w:cs="宋体"/>
          <w:szCs w:val="21"/>
          <w:lang w:val="zh-CN"/>
        </w:rPr>
        <w:t>1. 交货期：按照2年执行，在合同签订生效后，按照采购人要求分批次送货到位并安装调试结束。</w:t>
      </w:r>
    </w:p>
    <w:p w14:paraId="0AD14C39">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2、交货方式：供应商在采购人指定地点交货，并完成安装、调试。</w:t>
      </w:r>
    </w:p>
    <w:p w14:paraId="1A65DA69">
      <w:pPr>
        <w:spacing w:line="360" w:lineRule="auto"/>
        <w:ind w:firstLine="420" w:firstLineChars="200"/>
        <w:rPr>
          <w:rFonts w:hint="eastAsia" w:ascii="宋体" w:hAnsi="宋体" w:cs="宋体"/>
          <w:szCs w:val="21"/>
          <w:lang w:val="zh-CN"/>
        </w:rPr>
      </w:pPr>
      <w:r>
        <w:rPr>
          <w:rFonts w:hint="eastAsia" w:ascii="宋体" w:hAnsi="宋体" w:cs="宋体"/>
          <w:szCs w:val="21"/>
          <w:lang w:val="zh-CN"/>
        </w:rPr>
        <w:t>3、交货地点：南京医科大学指定地点。</w:t>
      </w:r>
    </w:p>
    <w:p w14:paraId="5078AE5B">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40C5CC73">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lang w:val="en-US" w:eastAsia="zh-CN"/>
          <w14:textFill>
            <w14:solidFill>
              <w14:schemeClr w14:val="tx1"/>
            </w14:solidFill>
          </w14:textFill>
        </w:rPr>
        <w:t>五</w:t>
      </w:r>
      <w:r>
        <w:rPr>
          <w:rFonts w:hint="eastAsia" w:ascii="宋体" w:hAnsi="宋体" w:cs="宋体"/>
          <w:b/>
          <w:bCs/>
          <w:color w:val="000000" w:themeColor="text1"/>
          <w:spacing w:val="8"/>
          <w:kern w:val="0"/>
          <w:szCs w:val="21"/>
          <w14:textFill>
            <w14:solidFill>
              <w14:schemeClr w14:val="tx1"/>
            </w14:solidFill>
          </w14:textFill>
        </w:rPr>
        <w:t>、其他技术服务要求</w:t>
      </w:r>
    </w:p>
    <w:p w14:paraId="7F41271F">
      <w:pPr>
        <w:spacing w:line="360" w:lineRule="auto"/>
        <w:ind w:firstLine="420" w:firstLineChars="200"/>
        <w:rPr>
          <w:rFonts w:hint="eastAsia"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0186DE2E">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2E063F63">
      <w:pPr>
        <w:spacing w:line="360" w:lineRule="auto"/>
        <w:ind w:firstLine="420" w:firstLineChars="200"/>
        <w:rPr>
          <w:rFonts w:hint="eastAsia" w:ascii="宋体" w:hAnsi="宋体" w:cs="宋体"/>
          <w:szCs w:val="21"/>
          <w:lang w:val="zh-CN"/>
        </w:rPr>
      </w:pPr>
    </w:p>
    <w:p w14:paraId="40BA870B">
      <w:pPr>
        <w:spacing w:line="360" w:lineRule="auto"/>
        <w:ind w:firstLine="422"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六</w:t>
      </w:r>
      <w:r>
        <w:rPr>
          <w:rFonts w:hint="eastAsia" w:ascii="宋体" w:hAnsi="宋体" w:cs="宋体"/>
          <w:b/>
          <w:color w:val="000000" w:themeColor="text1"/>
          <w:szCs w:val="21"/>
          <w14:textFill>
            <w14:solidFill>
              <w14:schemeClr w14:val="tx1"/>
            </w14:solidFill>
          </w14:textFill>
        </w:rPr>
        <w:t>、</w:t>
      </w:r>
      <w:r>
        <w:rPr>
          <w:rFonts w:hint="eastAsia" w:ascii="宋体" w:hAnsi="宋体" w:cs="宋体"/>
          <w:b/>
          <w:bCs/>
          <w:color w:val="000000" w:themeColor="text1"/>
          <w:spacing w:val="8"/>
          <w:kern w:val="0"/>
          <w:szCs w:val="21"/>
          <w14:textFill>
            <w14:solidFill>
              <w14:schemeClr w14:val="tx1"/>
            </w14:solidFill>
          </w14:textFill>
        </w:rPr>
        <w:t>货款支付</w:t>
      </w:r>
    </w:p>
    <w:p w14:paraId="4EDB7A50">
      <w:pPr>
        <w:spacing w:line="360" w:lineRule="auto"/>
        <w:ind w:firstLine="420" w:firstLineChars="200"/>
        <w:rPr>
          <w:rFonts w:hint="default" w:ascii="宋体" w:hAnsi="宋体" w:eastAsia="宋体"/>
          <w:bCs/>
          <w:color w:val="000000" w:themeColor="text1"/>
          <w:szCs w:val="21"/>
          <w:lang w:val="en-US" w:eastAsia="zh-CN"/>
          <w14:textFill>
            <w14:solidFill>
              <w14:schemeClr w14:val="tx1"/>
            </w14:solidFill>
          </w14:textFill>
        </w:rPr>
      </w:pPr>
      <w:bookmarkStart w:id="33" w:name="OLE_LINK11"/>
      <w:r>
        <w:rPr>
          <w:rFonts w:hint="eastAsia" w:ascii="宋体" w:hAnsi="宋体"/>
          <w:bCs/>
          <w:color w:val="000000" w:themeColor="text1"/>
          <w:szCs w:val="21"/>
          <w14:textFill>
            <w14:solidFill>
              <w14:schemeClr w14:val="tx1"/>
            </w14:solidFill>
          </w14:textFill>
        </w:rPr>
        <w:t>A【国产设备及进口设备（非免税）】：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r>
        <w:rPr>
          <w:rFonts w:hint="eastAsia" w:ascii="宋体" w:hAnsi="宋体"/>
          <w:bCs/>
          <w:color w:val="000000" w:themeColor="text1"/>
          <w:szCs w:val="21"/>
          <w:lang w:eastAsia="zh-CN"/>
          <w14:textFill>
            <w14:solidFill>
              <w14:schemeClr w14:val="tx1"/>
            </w14:solidFill>
          </w14:textFill>
        </w:rPr>
        <w:t>。</w:t>
      </w:r>
    </w:p>
    <w:p w14:paraId="1DB9C7F2">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B【进口设备（免税）】：</w:t>
      </w:r>
      <w:r>
        <w:rPr>
          <w:rFonts w:ascii="宋体" w:hAnsi="宋体"/>
          <w:bCs/>
          <w:color w:val="000000" w:themeColor="text1"/>
          <w:szCs w:val="21"/>
          <w14:textFill>
            <w14:solidFill>
              <w14:schemeClr w14:val="tx1"/>
            </w14:solidFill>
          </w14:textFill>
        </w:rPr>
        <w:t>根据委托代理进口协议，甲方与外贸代理公司进行结算。货物交付、安装、调试且通过验收后一周内（遇寒暑假和法定节假日顺延）甲方支付合同总金额的90%，付款之前需收到乙方开具的合法有效的相应金额发票</w:t>
      </w:r>
      <w:r>
        <w:rPr>
          <w:rFonts w:hint="eastAsia" w:ascii="宋体" w:hAnsi="宋体"/>
          <w:bCs/>
          <w:color w:val="000000" w:themeColor="text1"/>
          <w:szCs w:val="21"/>
          <w14:textFill>
            <w14:solidFill>
              <w14:schemeClr w14:val="tx1"/>
            </w14:solidFill>
          </w14:textFill>
        </w:rPr>
        <w:t>；自设备安装调试且验收合格的次日起、</w:t>
      </w:r>
      <w:r>
        <w:rPr>
          <w:rFonts w:hint="eastAsia" w:ascii="宋体" w:hAnsi="宋体"/>
          <w:bCs/>
          <w:color w:val="000000"/>
          <w:szCs w:val="21"/>
        </w:rPr>
        <w:t>甲方</w:t>
      </w:r>
      <w:r>
        <w:rPr>
          <w:rFonts w:hint="eastAsia" w:ascii="宋体" w:hAnsi="宋体"/>
          <w:bCs/>
          <w:color w:val="000000" w:themeColor="text1"/>
          <w:szCs w:val="21"/>
          <w14:textFill>
            <w14:solidFill>
              <w14:schemeClr w14:val="tx1"/>
            </w14:solidFill>
          </w14:textFill>
        </w:rPr>
        <w:t>正常使用满一年后的一周内，支付剩余合同总金额的10%（无息）。</w:t>
      </w:r>
    </w:p>
    <w:p w14:paraId="7B384203">
      <w:pPr>
        <w:spacing w:line="360" w:lineRule="auto"/>
        <w:rPr>
          <w:rFonts w:hint="eastAsia" w:ascii="宋体" w:hAnsi="宋体"/>
          <w:bCs/>
          <w:color w:val="000000" w:themeColor="text1"/>
          <w:szCs w:val="21"/>
          <w14:textFill>
            <w14:solidFill>
              <w14:schemeClr w14:val="tx1"/>
            </w14:solidFill>
          </w14:textFill>
        </w:rPr>
      </w:pPr>
    </w:p>
    <w:bookmarkEnd w:id="33"/>
    <w:p w14:paraId="384968A6">
      <w:pPr>
        <w:numPr>
          <w:ilvl w:val="0"/>
          <w:numId w:val="0"/>
        </w:numPr>
        <w:spacing w:line="360" w:lineRule="auto"/>
        <w:ind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 w:val="21"/>
          <w:szCs w:val="21"/>
          <w:lang w:val="en-US" w:eastAsia="zh-CN" w:bidi="ar-SA"/>
          <w14:textFill>
            <w14:solidFill>
              <w14:schemeClr w14:val="tx1"/>
            </w14:solidFill>
          </w14:textFill>
        </w:rPr>
        <w:t>七</w:t>
      </w:r>
      <w:r>
        <w:rPr>
          <w:rFonts w:hint="eastAsia" w:ascii="宋体" w:hAnsi="宋体" w:eastAsia="宋体" w:cs="宋体"/>
          <w:b/>
          <w:bCs/>
          <w:color w:val="000000" w:themeColor="text1"/>
          <w:spacing w:val="8"/>
          <w:kern w:val="0"/>
          <w:sz w:val="21"/>
          <w:szCs w:val="21"/>
          <w:lang w:val="en-US" w:eastAsia="zh-CN" w:bidi="ar-SA"/>
          <w14:textFill>
            <w14:solidFill>
              <w14:schemeClr w14:val="tx1"/>
            </w14:solidFill>
          </w14:textFill>
        </w:rPr>
        <w:t>、</w:t>
      </w:r>
      <w:r>
        <w:rPr>
          <w:rFonts w:hint="eastAsia" w:ascii="宋体" w:hAnsi="宋体" w:cs="宋体"/>
          <w:b/>
          <w:bCs/>
          <w:color w:val="000000" w:themeColor="text1"/>
          <w:spacing w:val="8"/>
          <w:kern w:val="0"/>
          <w:szCs w:val="21"/>
          <w14:textFill>
            <w14:solidFill>
              <w14:schemeClr w14:val="tx1"/>
            </w14:solidFill>
          </w14:textFill>
        </w:rPr>
        <w:t>报价要求</w:t>
      </w:r>
    </w:p>
    <w:p w14:paraId="73407002">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w:t>
      </w:r>
      <w:r>
        <w:rPr>
          <w:rFonts w:hint="eastAsia" w:ascii="宋体" w:hAnsi="宋体"/>
          <w:bCs/>
          <w:color w:val="000000" w:themeColor="text1"/>
          <w:szCs w:val="21"/>
          <w:lang w:val="en-US" w:eastAsia="zh-CN"/>
          <w14:textFill>
            <w14:solidFill>
              <w14:schemeClr w14:val="tx1"/>
            </w14:solidFill>
          </w14:textFill>
        </w:rPr>
        <w:t>.</w:t>
      </w:r>
      <w:r>
        <w:rPr>
          <w:rFonts w:hint="eastAsia" w:ascii="宋体" w:hAnsi="宋体"/>
          <w:bCs/>
          <w:color w:val="000000" w:themeColor="text1"/>
          <w:szCs w:val="21"/>
          <w14:textFill>
            <w14:solidFill>
              <w14:schemeClr w14:val="tx1"/>
            </w14:solidFill>
          </w14:textFill>
        </w:rPr>
        <w:t>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p>
    <w:p w14:paraId="0A15F66A">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如进口免税货物在国务院税委会公告的加征关税商品清单中，加征的关税应包含在投标总价中，即采购人在按照政府采购合同规定的付款方式和金额支付完货款后，不承担任何其他的或后续的费用。</w:t>
      </w:r>
    </w:p>
    <w:p w14:paraId="079AF363">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w:t>
      </w:r>
      <w:r>
        <w:rPr>
          <w:rFonts w:hint="eastAsia" w:ascii="宋体" w:hAnsi="宋体"/>
          <w:bCs/>
          <w:color w:val="000000" w:themeColor="text1"/>
          <w:szCs w:val="21"/>
          <w:lang w:val="en-US" w:eastAsia="zh-CN"/>
          <w14:textFill>
            <w14:solidFill>
              <w14:schemeClr w14:val="tx1"/>
            </w14:solidFill>
          </w14:textFill>
        </w:rPr>
        <w:t>.</w:t>
      </w:r>
      <w:r>
        <w:rPr>
          <w:rFonts w:hint="eastAsia" w:ascii="宋体" w:hAnsi="宋体"/>
          <w:bCs/>
          <w:color w:val="000000" w:themeColor="text1"/>
          <w:szCs w:val="21"/>
          <w14:textFill>
            <w14:solidFill>
              <w14:schemeClr w14:val="tx1"/>
            </w14:solidFill>
          </w14:textFill>
        </w:rPr>
        <w:t>报价时应充分考虑所有可能影响到报价的因素，一旦评审结束最终成交，如发生漏、缺、少项都将被认为是成交供应商的报价让利行为，损失自负。</w:t>
      </w:r>
    </w:p>
    <w:p w14:paraId="5E77DD40">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w:t>
      </w:r>
      <w:r>
        <w:rPr>
          <w:rFonts w:hint="eastAsia" w:ascii="宋体" w:hAnsi="宋体"/>
          <w:bCs/>
          <w:color w:val="000000" w:themeColor="text1"/>
          <w:szCs w:val="21"/>
          <w:lang w:val="en-US" w:eastAsia="zh-CN"/>
          <w14:textFill>
            <w14:solidFill>
              <w14:schemeClr w14:val="tx1"/>
            </w14:solidFill>
          </w14:textFill>
        </w:rPr>
        <w:t>.</w:t>
      </w:r>
      <w:r>
        <w:rPr>
          <w:rFonts w:hint="eastAsia" w:ascii="宋体" w:hAnsi="宋体"/>
          <w:bCs/>
          <w:color w:val="000000" w:themeColor="text1"/>
          <w:szCs w:val="21"/>
          <w14:textFill>
            <w14:solidFill>
              <w14:schemeClr w14:val="tx1"/>
            </w14:solidFill>
          </w14:textFill>
        </w:rPr>
        <w:t>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p>
    <w:p w14:paraId="376FDA9C">
      <w:pPr>
        <w:pStyle w:val="22"/>
        <w:spacing w:line="360" w:lineRule="auto"/>
        <w:ind w:left="0" w:leftChars="0"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0977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9225DE6">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1679287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4112CE0D">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每段代理费率</w:t>
            </w:r>
          </w:p>
        </w:tc>
      </w:tr>
      <w:tr w14:paraId="58CE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C738DB1">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080FA788">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5B9AB2EB">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0.13</w:t>
            </w:r>
          </w:p>
        </w:tc>
      </w:tr>
      <w:tr w14:paraId="310A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007803D">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0ACF57F0">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4F6D595E">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0.11</w:t>
            </w:r>
          </w:p>
        </w:tc>
      </w:tr>
      <w:tr w14:paraId="094B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53B8A98">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0840CD40">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390ED69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0.07</w:t>
            </w:r>
          </w:p>
        </w:tc>
      </w:tr>
      <w:tr w14:paraId="0ED9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002C85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45CD5154">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70B5F089">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0.05</w:t>
            </w:r>
          </w:p>
        </w:tc>
      </w:tr>
      <w:tr w14:paraId="3FFE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D5A6C7B">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21009A07">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2F21D53D">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0.04</w:t>
            </w:r>
          </w:p>
        </w:tc>
      </w:tr>
      <w:tr w14:paraId="1923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17B86C6A">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合同价为20万美元及以上的，代理费率不高于上述代理费中最低一档。</w:t>
            </w:r>
          </w:p>
        </w:tc>
      </w:tr>
    </w:tbl>
    <w:p w14:paraId="0FE20F36">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如潜在供应商所投产品为进口产品，请自行综合考虑外贸代理费等报价事宜。</w:t>
      </w:r>
    </w:p>
    <w:p w14:paraId="5AC6090C">
      <w:pPr>
        <w:rPr>
          <w:rFonts w:hint="eastAsia" w:ascii="Arial" w:hAnsi="Arial" w:cs="Arial"/>
          <w:b/>
          <w:bCs/>
          <w:kern w:val="0"/>
          <w:sz w:val="32"/>
          <w:szCs w:val="44"/>
        </w:rPr>
      </w:pPr>
      <w:bookmarkStart w:id="34" w:name="_Toc30691"/>
      <w:r>
        <w:rPr>
          <w:rFonts w:hint="eastAsia" w:ascii="Arial" w:hAnsi="Arial" w:cs="Arial"/>
          <w:b/>
          <w:bCs/>
          <w:kern w:val="0"/>
          <w:sz w:val="32"/>
          <w:szCs w:val="44"/>
        </w:rPr>
        <w:br w:type="page"/>
      </w:r>
    </w:p>
    <w:p w14:paraId="17734355">
      <w:pPr>
        <w:spacing w:line="360" w:lineRule="auto"/>
        <w:ind w:firstLine="0" w:firstLineChars="0"/>
        <w:jc w:val="center"/>
      </w:pPr>
      <w:r>
        <w:rPr>
          <w:rFonts w:hint="eastAsia" w:ascii="Arial" w:hAnsi="Arial" w:cs="Arial"/>
          <w:b/>
          <w:bCs/>
          <w:kern w:val="0"/>
          <w:sz w:val="32"/>
          <w:szCs w:val="44"/>
        </w:rPr>
        <w:t xml:space="preserve">第五章 </w:t>
      </w:r>
      <w:r>
        <w:rPr>
          <w:rFonts w:ascii="Arial" w:hAnsi="Arial" w:cs="Arial"/>
          <w:b/>
          <w:bCs/>
          <w:kern w:val="0"/>
          <w:sz w:val="32"/>
          <w:szCs w:val="44"/>
        </w:rPr>
        <w:t>合同主要条款及格式</w:t>
      </w:r>
      <w:bookmarkEnd w:id="22"/>
      <w:bookmarkEnd w:id="34"/>
    </w:p>
    <w:p w14:paraId="3BEACCC0">
      <w:pPr>
        <w:jc w:val="center"/>
        <w:rPr>
          <w:rFonts w:hint="eastAsia" w:ascii="宋体" w:hAnsi="宋体" w:cs="宋体"/>
          <w:b/>
          <w:bCs/>
          <w:sz w:val="32"/>
          <w:szCs w:val="32"/>
        </w:rPr>
      </w:pPr>
      <w:r>
        <w:rPr>
          <w:rFonts w:hint="eastAsia" w:ascii="宋体" w:hAnsi="宋体" w:cs="宋体"/>
          <w:b/>
          <w:bCs/>
          <w:sz w:val="32"/>
          <w:szCs w:val="32"/>
        </w:rPr>
        <w:t> </w:t>
      </w:r>
    </w:p>
    <w:p w14:paraId="39BDB66B">
      <w:pPr>
        <w:jc w:val="center"/>
        <w:rPr>
          <w:rFonts w:hint="eastAsia" w:ascii="宋体" w:hAnsi="宋体" w:cs="宋体"/>
          <w:b/>
          <w:bCs/>
          <w:sz w:val="24"/>
          <w:u w:val="single"/>
        </w:rPr>
      </w:pPr>
      <w:r>
        <w:rPr>
          <w:rFonts w:hint="eastAsia" w:ascii="宋体" w:hAnsi="宋体" w:cs="宋体"/>
          <w:b/>
          <w:bCs/>
          <w:sz w:val="32"/>
          <w:szCs w:val="32"/>
          <w:lang w:eastAsia="zh-CN"/>
        </w:rPr>
        <w:t>南京医科大学蛋白定量试剂采购项目</w:t>
      </w:r>
      <w:r>
        <w:rPr>
          <w:rFonts w:hint="eastAsia" w:ascii="宋体" w:hAnsi="宋体" w:cs="宋体"/>
          <w:b/>
          <w:bCs/>
          <w:sz w:val="32"/>
          <w:szCs w:val="32"/>
        </w:rPr>
        <w:t xml:space="preserve">合同 </w:t>
      </w:r>
    </w:p>
    <w:p w14:paraId="3E0C0A74">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 xml:space="preserve">甲方：（买方）_________         乙方：（卖方）_________ </w:t>
      </w:r>
    </w:p>
    <w:p w14:paraId="6EF9C6F9">
      <w:pPr>
        <w:pStyle w:val="25"/>
        <w:spacing w:before="120" w:after="120" w:line="360" w:lineRule="auto"/>
        <w:ind w:firstLine="420" w:firstLineChars="200"/>
        <w:rPr>
          <w:rFonts w:hint="eastAsia" w:ascii="宋体" w:hAnsi="宋体" w:cs="宋体"/>
          <w:szCs w:val="21"/>
          <w:u w:val="single"/>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p>
    <w:p w14:paraId="7F533F8E">
      <w:pPr>
        <w:pStyle w:val="25"/>
        <w:spacing w:before="120" w:after="120" w:line="360" w:lineRule="auto"/>
        <w:ind w:firstLine="420" w:firstLineChars="200"/>
        <w:rPr>
          <w:rFonts w:hint="eastAsia" w:ascii="宋体" w:hAnsi="宋体" w:cs="宋体"/>
          <w:szCs w:val="21"/>
          <w:u w:val="single"/>
        </w:rPr>
      </w:pPr>
      <w:r>
        <w:rPr>
          <w:rFonts w:hint="eastAsia" w:ascii="宋体" w:hAnsi="宋体" w:cs="宋体"/>
          <w:szCs w:val="21"/>
        </w:rPr>
        <w:t>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p>
    <w:p w14:paraId="37BA2997">
      <w:pPr>
        <w:pStyle w:val="25"/>
        <w:spacing w:before="120" w:after="120" w:line="360" w:lineRule="auto"/>
        <w:ind w:firstLine="420" w:firstLineChars="200"/>
        <w:rPr>
          <w:rFonts w:hint="eastAsia" w:ascii="宋体" w:hAnsi="宋体" w:cs="宋体"/>
          <w:szCs w:val="21"/>
          <w:u w:val="single"/>
        </w:rPr>
      </w:pP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p>
    <w:p w14:paraId="7BDA5B32">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p>
    <w:p w14:paraId="02E98919">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甲、乙双方根据</w:t>
      </w:r>
      <w:r>
        <w:rPr>
          <w:rFonts w:hint="eastAsia" w:ascii="宋体" w:hAnsi="宋体" w:cs="宋体"/>
          <w:szCs w:val="21"/>
          <w:u w:val="single"/>
          <w:lang w:eastAsia="zh-CN"/>
        </w:rPr>
        <w:t>南京医科大学蛋白定量试剂采购项目</w:t>
      </w:r>
      <w:r>
        <w:rPr>
          <w:rFonts w:hint="eastAsia" w:ascii="宋体" w:hAnsi="宋体" w:cs="宋体"/>
          <w:szCs w:val="21"/>
        </w:rPr>
        <w:t>公开招标的结果，本着自愿及平等互利的原则，就甲方向乙方购买本合同约定的货物事宜，签署本合同。</w:t>
      </w:r>
    </w:p>
    <w:p w14:paraId="543D4857">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262"/>
        <w:gridCol w:w="889"/>
        <w:gridCol w:w="889"/>
        <w:gridCol w:w="889"/>
        <w:gridCol w:w="896"/>
        <w:gridCol w:w="1402"/>
        <w:gridCol w:w="1407"/>
      </w:tblGrid>
      <w:tr w14:paraId="7283A76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518" w:type="pct"/>
            <w:tcBorders>
              <w:top w:val="single" w:color="auto" w:sz="12" w:space="0"/>
              <w:left w:val="single" w:color="auto" w:sz="12" w:space="0"/>
              <w:bottom w:val="single" w:color="auto" w:sz="4" w:space="0"/>
              <w:right w:val="single" w:color="auto" w:sz="4" w:space="0"/>
            </w:tcBorders>
            <w:shd w:val="pct10" w:color="auto" w:fill="FFFFFF"/>
            <w:vAlign w:val="center"/>
          </w:tcPr>
          <w:p w14:paraId="4E0D1DA7">
            <w:pPr>
              <w:snapToGrid w:val="0"/>
              <w:spacing w:line="240" w:lineRule="atLeast"/>
              <w:jc w:val="center"/>
              <w:rPr>
                <w:rFonts w:hint="eastAsia" w:ascii="宋体" w:hAnsi="宋体" w:cs="宋体"/>
                <w:b/>
                <w:szCs w:val="21"/>
              </w:rPr>
            </w:pPr>
            <w:r>
              <w:rPr>
                <w:rFonts w:hint="eastAsia" w:ascii="宋体" w:hAnsi="宋体" w:cs="宋体"/>
                <w:b/>
                <w:szCs w:val="21"/>
              </w:rPr>
              <w:t>编号</w:t>
            </w:r>
          </w:p>
        </w:tc>
        <w:tc>
          <w:tcPr>
            <w:tcW w:w="741" w:type="pct"/>
            <w:tcBorders>
              <w:top w:val="single" w:color="auto" w:sz="12" w:space="0"/>
              <w:left w:val="single" w:color="auto" w:sz="4" w:space="0"/>
              <w:bottom w:val="single" w:color="auto" w:sz="4" w:space="0"/>
              <w:right w:val="single" w:color="auto" w:sz="4" w:space="0"/>
            </w:tcBorders>
            <w:shd w:val="pct10" w:color="auto" w:fill="FFFFFF"/>
            <w:vAlign w:val="center"/>
          </w:tcPr>
          <w:p w14:paraId="68377DA9">
            <w:pPr>
              <w:snapToGrid w:val="0"/>
              <w:spacing w:line="240" w:lineRule="atLeast"/>
              <w:jc w:val="center"/>
              <w:rPr>
                <w:rFonts w:hint="eastAsia" w:ascii="宋体" w:hAnsi="宋体" w:cs="宋体"/>
                <w:b/>
                <w:szCs w:val="21"/>
              </w:rPr>
            </w:pPr>
            <w:r>
              <w:rPr>
                <w:rFonts w:hint="eastAsia" w:ascii="宋体" w:hAnsi="宋体" w:cs="宋体"/>
                <w:b/>
                <w:szCs w:val="21"/>
              </w:rPr>
              <w:t>货物名称</w:t>
            </w:r>
          </w:p>
        </w:tc>
        <w:tc>
          <w:tcPr>
            <w:tcW w:w="522" w:type="pct"/>
            <w:tcBorders>
              <w:top w:val="single" w:color="auto" w:sz="12" w:space="0"/>
              <w:left w:val="single" w:color="auto" w:sz="4" w:space="0"/>
              <w:bottom w:val="single" w:color="auto" w:sz="4" w:space="0"/>
              <w:right w:val="single" w:color="auto" w:sz="4" w:space="0"/>
            </w:tcBorders>
            <w:shd w:val="pct10" w:color="auto" w:fill="FFFFFF"/>
            <w:vAlign w:val="center"/>
          </w:tcPr>
          <w:p w14:paraId="33DCAF1C">
            <w:pPr>
              <w:snapToGrid w:val="0"/>
              <w:spacing w:line="240" w:lineRule="atLeast"/>
              <w:jc w:val="center"/>
              <w:rPr>
                <w:rFonts w:hint="eastAsia" w:ascii="宋体" w:hAnsi="宋体" w:cs="宋体"/>
                <w:b/>
                <w:szCs w:val="21"/>
              </w:rPr>
            </w:pPr>
            <w:r>
              <w:rPr>
                <w:rFonts w:hint="eastAsia" w:ascii="宋体" w:hAnsi="宋体" w:cs="宋体"/>
                <w:b/>
                <w:szCs w:val="21"/>
              </w:rPr>
              <w:t>品牌</w:t>
            </w:r>
          </w:p>
        </w:tc>
        <w:tc>
          <w:tcPr>
            <w:tcW w:w="522" w:type="pct"/>
            <w:tcBorders>
              <w:top w:val="single" w:color="auto" w:sz="12" w:space="0"/>
              <w:left w:val="single" w:color="auto" w:sz="4" w:space="0"/>
              <w:bottom w:val="single" w:color="auto" w:sz="4" w:space="0"/>
              <w:right w:val="single" w:color="auto" w:sz="4" w:space="0"/>
            </w:tcBorders>
            <w:shd w:val="pct10" w:color="auto" w:fill="FFFFFF"/>
            <w:vAlign w:val="center"/>
          </w:tcPr>
          <w:p w14:paraId="3436A289">
            <w:pPr>
              <w:snapToGrid w:val="0"/>
              <w:spacing w:line="240" w:lineRule="atLeast"/>
              <w:jc w:val="center"/>
              <w:rPr>
                <w:rFonts w:hint="eastAsia" w:ascii="宋体" w:hAnsi="宋体" w:cs="宋体"/>
                <w:b/>
                <w:szCs w:val="21"/>
              </w:rPr>
            </w:pPr>
            <w:r>
              <w:rPr>
                <w:rFonts w:hint="eastAsia" w:ascii="宋体" w:hAnsi="宋体" w:cs="宋体"/>
                <w:b/>
                <w:szCs w:val="21"/>
              </w:rPr>
              <w:t>型号</w:t>
            </w:r>
          </w:p>
        </w:tc>
        <w:tc>
          <w:tcPr>
            <w:tcW w:w="522" w:type="pct"/>
            <w:tcBorders>
              <w:top w:val="single" w:color="auto" w:sz="12" w:space="0"/>
              <w:left w:val="single" w:color="auto" w:sz="4" w:space="0"/>
              <w:bottom w:val="single" w:color="auto" w:sz="4" w:space="0"/>
              <w:right w:val="single" w:color="auto" w:sz="4" w:space="0"/>
            </w:tcBorders>
            <w:shd w:val="pct10" w:color="auto" w:fill="FFFFFF"/>
            <w:vAlign w:val="center"/>
          </w:tcPr>
          <w:p w14:paraId="2F0621AF">
            <w:pPr>
              <w:snapToGrid w:val="0"/>
              <w:spacing w:line="240" w:lineRule="atLeast"/>
              <w:jc w:val="center"/>
              <w:rPr>
                <w:rFonts w:hint="eastAsia" w:ascii="宋体" w:hAnsi="宋体" w:cs="宋体"/>
                <w:b/>
                <w:szCs w:val="21"/>
              </w:rPr>
            </w:pPr>
            <w:r>
              <w:rPr>
                <w:rFonts w:hint="eastAsia" w:ascii="宋体" w:hAnsi="宋体" w:cs="宋体"/>
                <w:b/>
                <w:szCs w:val="21"/>
              </w:rPr>
              <w:t>制造商和国别</w:t>
            </w:r>
          </w:p>
        </w:tc>
        <w:tc>
          <w:tcPr>
            <w:tcW w:w="526" w:type="pct"/>
            <w:tcBorders>
              <w:top w:val="single" w:color="auto" w:sz="12" w:space="0"/>
              <w:left w:val="single" w:color="auto" w:sz="4" w:space="0"/>
              <w:bottom w:val="single" w:color="auto" w:sz="4" w:space="0"/>
              <w:right w:val="single" w:color="auto" w:sz="4" w:space="0"/>
            </w:tcBorders>
            <w:shd w:val="pct10" w:color="auto" w:fill="FFFFFF"/>
            <w:vAlign w:val="center"/>
          </w:tcPr>
          <w:p w14:paraId="19470E18">
            <w:pPr>
              <w:snapToGrid w:val="0"/>
              <w:spacing w:line="240" w:lineRule="atLeast"/>
              <w:jc w:val="center"/>
              <w:rPr>
                <w:rFonts w:hint="eastAsia" w:ascii="宋体" w:hAnsi="宋体" w:cs="宋体"/>
                <w:b/>
                <w:szCs w:val="21"/>
              </w:rPr>
            </w:pPr>
            <w:r>
              <w:rPr>
                <w:rFonts w:hint="eastAsia" w:ascii="宋体" w:hAnsi="宋体" w:cs="宋体"/>
                <w:b/>
                <w:szCs w:val="21"/>
              </w:rPr>
              <w:t>数量</w:t>
            </w:r>
          </w:p>
        </w:tc>
        <w:tc>
          <w:tcPr>
            <w:tcW w:w="823" w:type="pct"/>
            <w:tcBorders>
              <w:top w:val="single" w:color="auto" w:sz="12" w:space="0"/>
              <w:left w:val="single" w:color="auto" w:sz="4" w:space="0"/>
              <w:bottom w:val="single" w:color="auto" w:sz="4" w:space="0"/>
              <w:right w:val="single" w:color="auto" w:sz="4" w:space="0"/>
            </w:tcBorders>
            <w:shd w:val="pct10" w:color="auto" w:fill="FFFFFF"/>
            <w:vAlign w:val="center"/>
          </w:tcPr>
          <w:p w14:paraId="55F46830">
            <w:pPr>
              <w:snapToGrid w:val="0"/>
              <w:spacing w:line="240" w:lineRule="atLeast"/>
              <w:jc w:val="center"/>
              <w:rPr>
                <w:rFonts w:hint="eastAsia" w:ascii="宋体" w:hAnsi="宋体" w:cs="宋体"/>
                <w:b/>
                <w:szCs w:val="21"/>
              </w:rPr>
            </w:pPr>
            <w:r>
              <w:rPr>
                <w:rFonts w:hint="eastAsia" w:ascii="宋体" w:hAnsi="宋体" w:cs="宋体"/>
                <w:b/>
                <w:szCs w:val="21"/>
              </w:rPr>
              <w:t>单价（元）</w:t>
            </w:r>
          </w:p>
        </w:tc>
        <w:tc>
          <w:tcPr>
            <w:tcW w:w="823" w:type="pct"/>
            <w:tcBorders>
              <w:top w:val="single" w:color="auto" w:sz="12" w:space="0"/>
              <w:left w:val="single" w:color="auto" w:sz="4" w:space="0"/>
              <w:bottom w:val="single" w:color="auto" w:sz="4" w:space="0"/>
              <w:right w:val="single" w:color="auto" w:sz="12" w:space="0"/>
            </w:tcBorders>
            <w:shd w:val="pct10" w:color="auto" w:fill="FFFFFF"/>
            <w:vAlign w:val="center"/>
          </w:tcPr>
          <w:p w14:paraId="1C4DDF7E">
            <w:pPr>
              <w:snapToGrid w:val="0"/>
              <w:rPr>
                <w:rFonts w:hint="eastAsia" w:ascii="宋体" w:hAnsi="宋体" w:cs="宋体"/>
                <w:b/>
                <w:szCs w:val="21"/>
              </w:rPr>
            </w:pPr>
            <w:r>
              <w:rPr>
                <w:rFonts w:hint="eastAsia" w:ascii="宋体" w:hAnsi="宋体" w:cs="宋体"/>
                <w:b/>
                <w:szCs w:val="21"/>
              </w:rPr>
              <w:t>总价（元）</w:t>
            </w:r>
          </w:p>
        </w:tc>
      </w:tr>
      <w:tr w14:paraId="0AE22B8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518" w:type="pct"/>
            <w:tcBorders>
              <w:top w:val="single" w:color="auto" w:sz="4" w:space="0"/>
              <w:left w:val="single" w:color="auto" w:sz="12" w:space="0"/>
              <w:bottom w:val="single" w:color="auto" w:sz="4" w:space="0"/>
              <w:right w:val="single" w:color="auto" w:sz="4" w:space="0"/>
            </w:tcBorders>
            <w:vAlign w:val="center"/>
          </w:tcPr>
          <w:p w14:paraId="3FB946CC">
            <w:pPr>
              <w:snapToGrid w:val="0"/>
              <w:spacing w:line="600" w:lineRule="atLeast"/>
              <w:jc w:val="center"/>
              <w:rPr>
                <w:rFonts w:hint="eastAsia" w:ascii="宋体" w:hAnsi="宋体" w:cs="宋体"/>
                <w:b/>
                <w:szCs w:val="21"/>
              </w:rPr>
            </w:pPr>
            <w:r>
              <w:rPr>
                <w:rFonts w:hint="eastAsia" w:ascii="宋体" w:hAnsi="宋体" w:cs="宋体"/>
                <w:b/>
                <w:szCs w:val="21"/>
              </w:rPr>
              <w:t>1</w:t>
            </w:r>
          </w:p>
        </w:tc>
        <w:tc>
          <w:tcPr>
            <w:tcW w:w="741" w:type="pct"/>
            <w:tcBorders>
              <w:top w:val="single" w:color="auto" w:sz="4" w:space="0"/>
              <w:left w:val="single" w:color="auto" w:sz="4" w:space="0"/>
              <w:bottom w:val="single" w:color="auto" w:sz="4" w:space="0"/>
              <w:right w:val="single" w:color="auto" w:sz="4" w:space="0"/>
            </w:tcBorders>
            <w:vAlign w:val="center"/>
          </w:tcPr>
          <w:p w14:paraId="41DDE50A">
            <w:pPr>
              <w:snapToGrid w:val="0"/>
              <w:spacing w:line="600" w:lineRule="atLeast"/>
              <w:jc w:val="center"/>
              <w:rPr>
                <w:rFonts w:hint="eastAsia" w:ascii="宋体" w:hAnsi="宋体" w:cs="宋体"/>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78A87DCE">
            <w:pPr>
              <w:snapToGrid w:val="0"/>
              <w:spacing w:line="360" w:lineRule="auto"/>
              <w:jc w:val="center"/>
              <w:rPr>
                <w:rFonts w:hint="eastAsia" w:ascii="宋体" w:hAnsi="宋体" w:cs="宋体"/>
                <w:color w:val="000000"/>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72EF4B7B">
            <w:pPr>
              <w:snapToGrid w:val="0"/>
              <w:spacing w:line="600" w:lineRule="atLeast"/>
              <w:ind w:firstLine="103" w:firstLineChars="49"/>
              <w:jc w:val="center"/>
              <w:rPr>
                <w:rFonts w:hint="eastAsia" w:ascii="宋体" w:hAnsi="宋体" w:cs="宋体"/>
                <w:b/>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612FB36E">
            <w:pPr>
              <w:snapToGrid w:val="0"/>
              <w:spacing w:line="240" w:lineRule="atLeast"/>
              <w:jc w:val="center"/>
              <w:rPr>
                <w:rFonts w:hint="eastAsia" w:ascii="宋体" w:hAnsi="宋体" w:cs="宋体"/>
                <w:b/>
                <w:szCs w:val="21"/>
              </w:rPr>
            </w:pPr>
          </w:p>
        </w:tc>
        <w:tc>
          <w:tcPr>
            <w:tcW w:w="526" w:type="pct"/>
            <w:tcBorders>
              <w:top w:val="single" w:color="auto" w:sz="4" w:space="0"/>
              <w:left w:val="single" w:color="auto" w:sz="4" w:space="0"/>
              <w:bottom w:val="single" w:color="auto" w:sz="4" w:space="0"/>
              <w:right w:val="single" w:color="auto" w:sz="4" w:space="0"/>
            </w:tcBorders>
            <w:vAlign w:val="center"/>
          </w:tcPr>
          <w:p w14:paraId="7E0365A3">
            <w:pPr>
              <w:snapToGrid w:val="0"/>
              <w:spacing w:line="360" w:lineRule="auto"/>
              <w:jc w:val="center"/>
              <w:rPr>
                <w:rFonts w:hint="eastAsia" w:ascii="宋体" w:hAnsi="宋体" w:cs="宋体"/>
                <w:szCs w:val="21"/>
              </w:rPr>
            </w:pPr>
          </w:p>
        </w:tc>
        <w:tc>
          <w:tcPr>
            <w:tcW w:w="823" w:type="pct"/>
            <w:tcBorders>
              <w:top w:val="single" w:color="auto" w:sz="4" w:space="0"/>
              <w:left w:val="single" w:color="auto" w:sz="4" w:space="0"/>
              <w:bottom w:val="single" w:color="auto" w:sz="4" w:space="0"/>
              <w:right w:val="single" w:color="auto" w:sz="4" w:space="0"/>
            </w:tcBorders>
            <w:vAlign w:val="center"/>
          </w:tcPr>
          <w:p w14:paraId="635F26E2">
            <w:pPr>
              <w:snapToGrid w:val="0"/>
              <w:spacing w:line="360" w:lineRule="auto"/>
              <w:jc w:val="center"/>
              <w:rPr>
                <w:rFonts w:hint="eastAsia" w:ascii="宋体" w:hAnsi="宋体" w:cs="宋体"/>
                <w:szCs w:val="21"/>
              </w:rPr>
            </w:pPr>
          </w:p>
        </w:tc>
        <w:tc>
          <w:tcPr>
            <w:tcW w:w="823" w:type="pct"/>
            <w:tcBorders>
              <w:top w:val="single" w:color="auto" w:sz="4" w:space="0"/>
              <w:left w:val="single" w:color="auto" w:sz="4" w:space="0"/>
              <w:bottom w:val="single" w:color="auto" w:sz="4" w:space="0"/>
              <w:right w:val="single" w:color="auto" w:sz="12" w:space="0"/>
            </w:tcBorders>
            <w:vAlign w:val="center"/>
          </w:tcPr>
          <w:p w14:paraId="546391EE">
            <w:pPr>
              <w:snapToGrid w:val="0"/>
              <w:spacing w:line="360" w:lineRule="auto"/>
              <w:jc w:val="center"/>
              <w:rPr>
                <w:rFonts w:hint="eastAsia" w:ascii="宋体" w:hAnsi="宋体" w:cs="宋体"/>
                <w:szCs w:val="21"/>
              </w:rPr>
            </w:pPr>
          </w:p>
        </w:tc>
      </w:tr>
      <w:tr w14:paraId="082EE1A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518" w:type="pct"/>
            <w:tcBorders>
              <w:top w:val="single" w:color="auto" w:sz="4" w:space="0"/>
              <w:left w:val="single" w:color="auto" w:sz="12" w:space="0"/>
              <w:bottom w:val="single" w:color="auto" w:sz="4" w:space="0"/>
              <w:right w:val="single" w:color="auto" w:sz="4" w:space="0"/>
            </w:tcBorders>
            <w:vAlign w:val="center"/>
          </w:tcPr>
          <w:p w14:paraId="21ACD29B">
            <w:pPr>
              <w:snapToGrid w:val="0"/>
              <w:spacing w:line="600" w:lineRule="atLeast"/>
              <w:jc w:val="center"/>
              <w:rPr>
                <w:rFonts w:hint="eastAsia" w:ascii="宋体" w:hAnsi="宋体" w:cs="宋体"/>
                <w:b/>
                <w:szCs w:val="21"/>
              </w:rPr>
            </w:pPr>
            <w:r>
              <w:rPr>
                <w:rFonts w:hint="eastAsia" w:ascii="宋体" w:hAnsi="宋体" w:cs="宋体"/>
                <w:b/>
                <w:szCs w:val="21"/>
              </w:rPr>
              <w:t>2</w:t>
            </w:r>
          </w:p>
        </w:tc>
        <w:tc>
          <w:tcPr>
            <w:tcW w:w="741" w:type="pct"/>
            <w:tcBorders>
              <w:top w:val="single" w:color="auto" w:sz="4" w:space="0"/>
              <w:left w:val="single" w:color="auto" w:sz="4" w:space="0"/>
              <w:bottom w:val="single" w:color="auto" w:sz="4" w:space="0"/>
              <w:right w:val="single" w:color="auto" w:sz="4" w:space="0"/>
            </w:tcBorders>
            <w:vAlign w:val="center"/>
          </w:tcPr>
          <w:p w14:paraId="7E1841BF">
            <w:pPr>
              <w:snapToGrid w:val="0"/>
              <w:spacing w:line="600" w:lineRule="atLeast"/>
              <w:jc w:val="center"/>
              <w:rPr>
                <w:rFonts w:hint="eastAsia" w:ascii="宋体" w:hAnsi="宋体" w:cs="宋体"/>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039F3A7F">
            <w:pPr>
              <w:snapToGrid w:val="0"/>
              <w:spacing w:line="360" w:lineRule="auto"/>
              <w:jc w:val="center"/>
              <w:rPr>
                <w:rFonts w:hint="eastAsia" w:ascii="宋体" w:hAnsi="宋体" w:cs="宋体"/>
                <w:color w:val="000000"/>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0E93C23A">
            <w:pPr>
              <w:snapToGrid w:val="0"/>
              <w:spacing w:line="600" w:lineRule="atLeast"/>
              <w:ind w:firstLine="103" w:firstLineChars="49"/>
              <w:jc w:val="center"/>
              <w:rPr>
                <w:rFonts w:hint="eastAsia" w:ascii="宋体" w:hAnsi="宋体" w:cs="宋体"/>
                <w:b/>
                <w:szCs w:val="21"/>
              </w:rPr>
            </w:pPr>
          </w:p>
        </w:tc>
        <w:tc>
          <w:tcPr>
            <w:tcW w:w="522" w:type="pct"/>
            <w:tcBorders>
              <w:top w:val="single" w:color="auto" w:sz="4" w:space="0"/>
              <w:left w:val="single" w:color="auto" w:sz="4" w:space="0"/>
              <w:bottom w:val="single" w:color="auto" w:sz="4" w:space="0"/>
              <w:right w:val="single" w:color="auto" w:sz="4" w:space="0"/>
            </w:tcBorders>
            <w:vAlign w:val="center"/>
          </w:tcPr>
          <w:p w14:paraId="558EE55D">
            <w:pPr>
              <w:snapToGrid w:val="0"/>
              <w:spacing w:line="240" w:lineRule="atLeast"/>
              <w:jc w:val="center"/>
              <w:rPr>
                <w:rFonts w:hint="eastAsia" w:ascii="宋体" w:hAnsi="宋体" w:cs="宋体"/>
                <w:b/>
                <w:szCs w:val="21"/>
              </w:rPr>
            </w:pPr>
          </w:p>
        </w:tc>
        <w:tc>
          <w:tcPr>
            <w:tcW w:w="526" w:type="pct"/>
            <w:tcBorders>
              <w:top w:val="single" w:color="auto" w:sz="4" w:space="0"/>
              <w:left w:val="single" w:color="auto" w:sz="4" w:space="0"/>
              <w:bottom w:val="single" w:color="auto" w:sz="4" w:space="0"/>
              <w:right w:val="single" w:color="auto" w:sz="4" w:space="0"/>
            </w:tcBorders>
            <w:vAlign w:val="center"/>
          </w:tcPr>
          <w:p w14:paraId="660206C3">
            <w:pPr>
              <w:snapToGrid w:val="0"/>
              <w:spacing w:line="360" w:lineRule="auto"/>
              <w:jc w:val="center"/>
              <w:rPr>
                <w:rFonts w:hint="eastAsia" w:ascii="宋体" w:hAnsi="宋体" w:cs="宋体"/>
                <w:szCs w:val="21"/>
              </w:rPr>
            </w:pPr>
          </w:p>
        </w:tc>
        <w:tc>
          <w:tcPr>
            <w:tcW w:w="823" w:type="pct"/>
            <w:tcBorders>
              <w:top w:val="single" w:color="auto" w:sz="4" w:space="0"/>
              <w:left w:val="single" w:color="auto" w:sz="4" w:space="0"/>
              <w:bottom w:val="single" w:color="auto" w:sz="4" w:space="0"/>
              <w:right w:val="single" w:color="auto" w:sz="4" w:space="0"/>
            </w:tcBorders>
            <w:vAlign w:val="center"/>
          </w:tcPr>
          <w:p w14:paraId="76CA48D8">
            <w:pPr>
              <w:snapToGrid w:val="0"/>
              <w:spacing w:line="360" w:lineRule="auto"/>
              <w:jc w:val="center"/>
              <w:rPr>
                <w:rFonts w:hint="eastAsia" w:ascii="宋体" w:hAnsi="宋体" w:cs="宋体"/>
                <w:szCs w:val="21"/>
              </w:rPr>
            </w:pPr>
          </w:p>
        </w:tc>
        <w:tc>
          <w:tcPr>
            <w:tcW w:w="823" w:type="pct"/>
            <w:tcBorders>
              <w:top w:val="single" w:color="auto" w:sz="4" w:space="0"/>
              <w:left w:val="single" w:color="auto" w:sz="4" w:space="0"/>
              <w:bottom w:val="single" w:color="auto" w:sz="4" w:space="0"/>
              <w:right w:val="single" w:color="auto" w:sz="12" w:space="0"/>
            </w:tcBorders>
            <w:vAlign w:val="center"/>
          </w:tcPr>
          <w:p w14:paraId="495976C9">
            <w:pPr>
              <w:snapToGrid w:val="0"/>
              <w:spacing w:line="360" w:lineRule="auto"/>
              <w:jc w:val="center"/>
              <w:rPr>
                <w:rFonts w:hint="eastAsia" w:ascii="宋体" w:hAnsi="宋体" w:cs="宋体"/>
                <w:szCs w:val="21"/>
              </w:rPr>
            </w:pPr>
          </w:p>
        </w:tc>
      </w:tr>
      <w:tr w14:paraId="59346B1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5000" w:type="pct"/>
            <w:gridSpan w:val="8"/>
            <w:tcBorders>
              <w:top w:val="single" w:color="auto" w:sz="4" w:space="0"/>
              <w:left w:val="single" w:color="auto" w:sz="12" w:space="0"/>
              <w:bottom w:val="single" w:color="auto" w:sz="4" w:space="0"/>
              <w:right w:val="single" w:color="auto" w:sz="12" w:space="0"/>
            </w:tcBorders>
            <w:vAlign w:val="center"/>
          </w:tcPr>
          <w:p w14:paraId="099374F9">
            <w:pPr>
              <w:snapToGrid w:val="0"/>
              <w:spacing w:line="300" w:lineRule="exact"/>
              <w:jc w:val="lef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合计（小写）：</w:t>
            </w:r>
          </w:p>
          <w:p w14:paraId="78FB3BDC">
            <w:pPr>
              <w:snapToGrid w:val="0"/>
              <w:spacing w:line="300" w:lineRule="exact"/>
              <w:jc w:val="center"/>
              <w:rPr>
                <w:rFonts w:hint="eastAsia" w:ascii="宋体" w:hAnsi="宋体" w:cs="宋体"/>
                <w:color w:val="000000"/>
                <w:szCs w:val="21"/>
              </w:rPr>
            </w:pPr>
          </w:p>
        </w:tc>
      </w:tr>
      <w:tr w14:paraId="753D07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tcBorders>
              <w:top w:val="single" w:color="auto" w:sz="4" w:space="0"/>
              <w:left w:val="single" w:color="auto" w:sz="12" w:space="0"/>
              <w:bottom w:val="single" w:color="auto" w:sz="12" w:space="0"/>
              <w:right w:val="single" w:color="auto" w:sz="12" w:space="0"/>
            </w:tcBorders>
            <w:vAlign w:val="center"/>
          </w:tcPr>
          <w:p w14:paraId="4AFD6171">
            <w:pPr>
              <w:snapToGrid w:val="0"/>
              <w:spacing w:line="300" w:lineRule="exact"/>
              <w:rPr>
                <w:rFonts w:hint="eastAsia" w:ascii="宋体" w:hAnsi="宋体" w:cs="宋体"/>
                <w:color w:val="000000"/>
                <w:szCs w:val="21"/>
              </w:rPr>
            </w:pPr>
            <w:r>
              <w:rPr>
                <w:rFonts w:hint="eastAsia" w:ascii="宋体" w:hAnsi="宋体" w:cs="宋体"/>
                <w:color w:val="000000"/>
                <w:szCs w:val="21"/>
              </w:rPr>
              <w:t>说明：</w:t>
            </w:r>
          </w:p>
          <w:p w14:paraId="75901133">
            <w:pPr>
              <w:snapToGrid w:val="0"/>
              <w:spacing w:line="300" w:lineRule="exact"/>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w:t>
            </w:r>
            <w:r>
              <w:rPr>
                <w:rFonts w:hint="eastAsia" w:ascii="宋体" w:hAnsi="宋体" w:cs="宋体"/>
                <w:color w:val="000000"/>
                <w:szCs w:val="21"/>
              </w:rPr>
              <w:t>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32F0D9F9">
            <w:pPr>
              <w:snapToGrid w:val="0"/>
              <w:spacing w:line="300" w:lineRule="exact"/>
              <w:rPr>
                <w:rFonts w:hint="eastAsia" w:ascii="宋体" w:hAnsi="宋体" w:cs="宋体"/>
                <w:color w:val="000000"/>
                <w:szCs w:val="21"/>
              </w:rPr>
            </w:pPr>
            <w:r>
              <w:rPr>
                <w:rFonts w:hint="eastAsia" w:ascii="宋体" w:hAnsi="宋体" w:cs="宋体"/>
                <w:color w:val="000000"/>
                <w:szCs w:val="21"/>
              </w:rPr>
              <w:t>此外，</w:t>
            </w:r>
          </w:p>
          <w:p w14:paraId="5CE6F674">
            <w:pPr>
              <w:snapToGrid w:val="0"/>
              <w:spacing w:line="300" w:lineRule="exact"/>
              <w:rPr>
                <w:rFonts w:hint="eastAsia" w:ascii="宋体" w:hAnsi="宋体" w:cs="宋体"/>
                <w:color w:val="000000"/>
                <w:szCs w:val="21"/>
              </w:rPr>
            </w:pPr>
            <w:r>
              <w:rPr>
                <w:rFonts w:hint="eastAsia" w:ascii="宋体" w:hAnsi="宋体" w:cs="宋体"/>
                <w:color w:val="000000"/>
                <w:szCs w:val="21"/>
              </w:rPr>
              <w:t>（1）若合同在履行过程中因国家政策调整，不在进口货物免税清单内，加征的关税亦包含在本合同总价款中。</w:t>
            </w:r>
          </w:p>
          <w:p w14:paraId="2389A78B">
            <w:pPr>
              <w:snapToGrid w:val="0"/>
              <w:spacing w:line="300" w:lineRule="exact"/>
              <w:rPr>
                <w:rFonts w:hint="eastAsia" w:ascii="宋体" w:hAnsi="宋体" w:cs="宋体"/>
                <w:color w:val="000000"/>
                <w:szCs w:val="21"/>
              </w:rPr>
            </w:pPr>
            <w:r>
              <w:rPr>
                <w:rFonts w:hint="eastAsia" w:ascii="宋体" w:hAnsi="宋体" w:cs="宋体"/>
                <w:color w:val="000000"/>
                <w:szCs w:val="21"/>
              </w:rPr>
              <w:t>（2）进口免税货物且在国务院关税税则委员会公告的加征关税商品清单范围内，加征的关税亦包含在本合同总价款中。</w:t>
            </w:r>
          </w:p>
          <w:p w14:paraId="72ED4C72">
            <w:pPr>
              <w:snapToGrid w:val="0"/>
              <w:spacing w:line="300" w:lineRule="exact"/>
              <w:rPr>
                <w:rFonts w:hint="eastAsia" w:ascii="宋体" w:hAnsi="宋体" w:cs="宋体"/>
                <w:color w:val="000000"/>
                <w:szCs w:val="21"/>
              </w:rPr>
            </w:pPr>
            <w:r>
              <w:rPr>
                <w:rFonts w:hint="eastAsia" w:ascii="宋体" w:hAnsi="宋体" w:cs="宋体"/>
                <w:color w:val="000000"/>
                <w:szCs w:val="21"/>
              </w:rPr>
              <w:t>以上两种情况，甲方按照采购合同约定的付款方式支付给委托的外贸公司后，甲方即完成向乙方付款义务，乙方不得再向甲方追索本项目款项。</w:t>
            </w:r>
          </w:p>
          <w:p w14:paraId="149AA029">
            <w:pPr>
              <w:snapToGrid w:val="0"/>
              <w:spacing w:line="300" w:lineRule="exact"/>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color w:val="000000"/>
                <w:szCs w:val="21"/>
                <w:lang w:val="en-US" w:eastAsia="zh-CN"/>
              </w:rPr>
              <w:t>.</w:t>
            </w:r>
            <w:r>
              <w:rPr>
                <w:rFonts w:hint="eastAsia" w:ascii="宋体" w:hAnsi="宋体" w:cs="宋体"/>
                <w:color w:val="000000"/>
                <w:szCs w:val="21"/>
              </w:rPr>
              <w:t>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AFF0A5B">
            <w:pPr>
              <w:snapToGrid w:val="0"/>
              <w:spacing w:line="300" w:lineRule="exact"/>
              <w:rPr>
                <w:rFonts w:hint="eastAsia" w:ascii="宋体" w:hAnsi="宋体" w:cs="宋体"/>
                <w:color w:val="000000"/>
                <w:szCs w:val="21"/>
              </w:rPr>
            </w:pPr>
            <w:r>
              <w:rPr>
                <w:rFonts w:hint="eastAsia" w:ascii="宋体" w:hAnsi="宋体" w:cs="宋体"/>
                <w:color w:val="000000"/>
                <w:szCs w:val="21"/>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4147F839">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二、结算方式</w:t>
      </w:r>
    </w:p>
    <w:p w14:paraId="010A7E33">
      <w:pPr>
        <w:spacing w:line="360" w:lineRule="auto"/>
        <w:ind w:firstLine="420" w:firstLineChars="200"/>
        <w:rPr>
          <w:rFonts w:hint="eastAsia" w:ascii="宋体" w:hAnsi="宋体"/>
          <w:bCs/>
          <w:color w:val="000000"/>
          <w:szCs w:val="21"/>
          <w:u w:val="single"/>
        </w:rPr>
      </w:pPr>
      <w:r>
        <w:rPr>
          <w:rFonts w:hint="eastAsia" w:ascii="宋体" w:hAnsi="宋体" w:cs="宋体"/>
          <w:szCs w:val="21"/>
        </w:rPr>
        <w:t>2.1结算方式：</w:t>
      </w:r>
      <w:r>
        <w:rPr>
          <w:rFonts w:hint="eastAsia" w:ascii="宋体" w:hAnsi="宋体"/>
          <w:bCs/>
          <w:color w:val="000000"/>
          <w:szCs w:val="21"/>
        </w:rPr>
        <w:t>A【国产设备】：</w:t>
      </w:r>
      <w:r>
        <w:rPr>
          <w:rFonts w:hint="eastAsia" w:ascii="宋体" w:hAnsi="宋体"/>
          <w:bCs/>
          <w:color w:val="000000"/>
          <w:szCs w:val="21"/>
          <w:u w:val="single"/>
        </w:rPr>
        <w:t>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p>
    <w:p w14:paraId="0A9815B1">
      <w:pPr>
        <w:spacing w:line="360" w:lineRule="auto"/>
        <w:ind w:firstLine="420" w:firstLineChars="200"/>
        <w:rPr>
          <w:rFonts w:hint="eastAsia" w:ascii="宋体" w:hAnsi="宋体" w:cs="宋体"/>
          <w:szCs w:val="21"/>
          <w:u w:val="single"/>
        </w:rPr>
      </w:pPr>
      <w:r>
        <w:rPr>
          <w:rFonts w:hint="eastAsia" w:ascii="宋体" w:hAnsi="宋体"/>
          <w:bCs/>
          <w:color w:val="000000"/>
          <w:szCs w:val="21"/>
        </w:rPr>
        <w:t>B【进口设备】：</w:t>
      </w:r>
      <w:r>
        <w:rPr>
          <w:rFonts w:ascii="宋体" w:hAnsi="宋体"/>
          <w:bCs/>
          <w:color w:val="000000"/>
          <w:szCs w:val="21"/>
          <w:u w:val="single"/>
        </w:rPr>
        <w:t>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无息）</w:t>
      </w:r>
      <w:r>
        <w:rPr>
          <w:rFonts w:hint="eastAsia" w:ascii="宋体" w:hAnsi="宋体"/>
          <w:bCs/>
          <w:color w:val="000000"/>
          <w:szCs w:val="21"/>
          <w:u w:val="single"/>
        </w:rPr>
        <w:t>。</w:t>
      </w:r>
    </w:p>
    <w:p w14:paraId="0784CC65">
      <w:pPr>
        <w:pStyle w:val="25"/>
        <w:spacing w:line="360" w:lineRule="auto"/>
        <w:ind w:firstLine="420" w:firstLineChars="200"/>
        <w:rPr>
          <w:rFonts w:hint="eastAsia" w:ascii="宋体" w:hAnsi="宋体" w:cs="宋体"/>
          <w:szCs w:val="21"/>
        </w:rPr>
      </w:pPr>
      <w:r>
        <w:rPr>
          <w:rFonts w:hint="eastAsia" w:ascii="宋体" w:hAnsi="宋体" w:cs="宋体"/>
          <w:szCs w:val="21"/>
        </w:rPr>
        <w:t>2.2当采购数量与实际使用数量不一致时，乙方应根据实际使用量供货，合同的最终结算金额按实际使用量乘以本合同约定的成交单价进行计算。</w:t>
      </w:r>
    </w:p>
    <w:p w14:paraId="0CA1FA4D">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2.3乙方指定账户信息：</w:t>
      </w:r>
    </w:p>
    <w:p w14:paraId="3D0C0F43">
      <w:pPr>
        <w:pStyle w:val="25"/>
        <w:spacing w:before="120" w:after="120" w:line="360" w:lineRule="auto"/>
        <w:ind w:left="420" w:leftChars="200"/>
        <w:jc w:val="left"/>
        <w:rPr>
          <w:rFonts w:hint="eastAsia" w:ascii="宋体" w:hAnsi="宋体" w:cs="宋体"/>
          <w:szCs w:val="21"/>
        </w:rPr>
      </w:pPr>
      <w:r>
        <w:rPr>
          <w:rFonts w:hint="eastAsia" w:ascii="宋体" w:hAnsi="宋体" w:cs="宋体"/>
          <w:szCs w:val="21"/>
        </w:rPr>
        <w:t>开户行：</w:t>
      </w:r>
    </w:p>
    <w:p w14:paraId="12B250C7">
      <w:pPr>
        <w:pStyle w:val="25"/>
        <w:spacing w:before="120" w:after="120" w:line="360" w:lineRule="auto"/>
        <w:ind w:left="420" w:leftChars="200"/>
        <w:jc w:val="left"/>
        <w:rPr>
          <w:rFonts w:hint="eastAsia" w:ascii="宋体" w:hAnsi="宋体" w:cs="宋体"/>
          <w:szCs w:val="21"/>
        </w:rPr>
      </w:pPr>
      <w:r>
        <w:rPr>
          <w:rFonts w:hint="eastAsia" w:ascii="宋体" w:hAnsi="宋体" w:cs="宋体"/>
          <w:szCs w:val="21"/>
        </w:rPr>
        <w:t>户名：</w:t>
      </w:r>
    </w:p>
    <w:p w14:paraId="5DD18C67">
      <w:pPr>
        <w:pStyle w:val="25"/>
        <w:spacing w:before="120" w:after="120" w:line="360" w:lineRule="auto"/>
        <w:ind w:left="420" w:leftChars="200"/>
        <w:jc w:val="left"/>
        <w:rPr>
          <w:rFonts w:hint="eastAsia" w:ascii="宋体" w:hAnsi="宋体" w:cs="宋体"/>
          <w:szCs w:val="21"/>
        </w:rPr>
      </w:pPr>
      <w:r>
        <w:rPr>
          <w:rFonts w:hint="eastAsia" w:ascii="宋体" w:hAnsi="宋体" w:cs="宋体"/>
          <w:szCs w:val="21"/>
        </w:rPr>
        <w:t>账号：</w:t>
      </w:r>
    </w:p>
    <w:p w14:paraId="4B042867">
      <w:pPr>
        <w:pStyle w:val="25"/>
        <w:spacing w:before="120" w:after="120" w:line="360" w:lineRule="auto"/>
        <w:ind w:left="420" w:leftChars="200"/>
        <w:jc w:val="left"/>
        <w:rPr>
          <w:rFonts w:hint="eastAsia" w:ascii="宋体" w:hAnsi="宋体" w:cs="宋体"/>
          <w:szCs w:val="21"/>
          <w:u w:val="single"/>
        </w:rPr>
      </w:pPr>
      <w:r>
        <w:rPr>
          <w:rFonts w:hint="eastAsia" w:ascii="宋体" w:hAnsi="宋体" w:cs="宋体"/>
          <w:szCs w:val="21"/>
        </w:rPr>
        <w:t>上述账户信息，如有变更，乙方应在变更前3日内书面通知甲方。否则，由此产生的后果由乙方承担。</w:t>
      </w:r>
    </w:p>
    <w:p w14:paraId="798EE137">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三、交付方式、时间及地点</w:t>
      </w:r>
    </w:p>
    <w:p w14:paraId="7962E719">
      <w:pPr>
        <w:pStyle w:val="25"/>
        <w:snapToGrid w:val="0"/>
        <w:spacing w:before="120" w:after="120" w:line="360" w:lineRule="auto"/>
        <w:ind w:firstLine="420" w:firstLineChars="200"/>
        <w:jc w:val="left"/>
        <w:rPr>
          <w:rFonts w:hint="eastAsia" w:ascii="宋体" w:hAnsi="宋体" w:cs="宋体"/>
          <w:szCs w:val="21"/>
          <w:u w:val="single"/>
        </w:rPr>
      </w:pPr>
      <w:r>
        <w:rPr>
          <w:rFonts w:hint="eastAsia" w:ascii="宋体" w:hAnsi="宋体" w:cs="宋体"/>
          <w:szCs w:val="21"/>
        </w:rPr>
        <w:t>3.1交付方式：</w:t>
      </w:r>
      <w:r>
        <w:rPr>
          <w:rFonts w:hint="eastAsia" w:ascii="宋体" w:hAnsi="宋体" w:cs="宋体"/>
          <w:szCs w:val="21"/>
          <w:u w:val="single"/>
        </w:rPr>
        <w:t>按照2年执行，在合同签订生效后，按照</w:t>
      </w:r>
      <w:r>
        <w:rPr>
          <w:rFonts w:hint="eastAsia" w:ascii="宋体" w:hAnsi="宋体" w:cs="宋体"/>
          <w:szCs w:val="21"/>
          <w:u w:val="single"/>
          <w:lang w:val="en-US" w:eastAsia="zh-CN"/>
        </w:rPr>
        <w:t>甲方</w:t>
      </w:r>
      <w:r>
        <w:rPr>
          <w:rFonts w:hint="eastAsia" w:ascii="宋体" w:hAnsi="宋体" w:cs="宋体"/>
          <w:szCs w:val="21"/>
          <w:u w:val="single"/>
        </w:rPr>
        <w:t xml:space="preserve">要求分批次送货到位并安装调试结束。 </w:t>
      </w:r>
    </w:p>
    <w:p w14:paraId="6248AE7B">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3.1交付时间：___________________</w:t>
      </w:r>
    </w:p>
    <w:p w14:paraId="195A7D07">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3.2交付地点：___________________</w:t>
      </w:r>
    </w:p>
    <w:p w14:paraId="3F7B2EF0">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四、货物包装、发运及运输</w:t>
      </w:r>
    </w:p>
    <w:p w14:paraId="73C48C45">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4.1 乙方应在货物发运前根据运输距离、防潮、防震、防锈和防破损装卸等要求进行相应的包装，以保证货物安全运达甲方指定地点。</w:t>
      </w:r>
    </w:p>
    <w:p w14:paraId="56462029">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4.2 使用说明书、质量检验证明书、随配附件和工具以及清单一并附于货物内。</w:t>
      </w:r>
    </w:p>
    <w:p w14:paraId="5B4CB0B7">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4.3 乙方在货物发运手续办理完毕后24小时内或货到甲方48小时前通知甲方，以准备接货。</w:t>
      </w:r>
    </w:p>
    <w:p w14:paraId="282444EF">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4.4 货物在交付甲方前发生的风险均由乙方负责。</w:t>
      </w:r>
    </w:p>
    <w:p w14:paraId="1275403F">
      <w:pPr>
        <w:pStyle w:val="25"/>
        <w:spacing w:before="120" w:after="120" w:line="360" w:lineRule="auto"/>
        <w:ind w:firstLine="422" w:firstLineChars="200"/>
        <w:rPr>
          <w:rFonts w:hint="eastAsia" w:ascii="宋体" w:hAnsi="宋体" w:cs="宋体"/>
          <w:b/>
          <w:bCs/>
          <w:szCs w:val="21"/>
        </w:rPr>
      </w:pPr>
      <w:r>
        <w:rPr>
          <w:rFonts w:hint="eastAsia" w:ascii="宋体" w:hAnsi="宋体" w:cs="宋体"/>
          <w:b/>
          <w:bCs/>
          <w:szCs w:val="21"/>
        </w:rPr>
        <w:t>五、质量保证及售后服务</w:t>
      </w:r>
    </w:p>
    <w:p w14:paraId="372E65F0">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0A0972BF">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2783B299">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5.3上述货物的质保期</w:t>
      </w:r>
      <w:r>
        <w:rPr>
          <w:rFonts w:hint="eastAsia" w:ascii="宋体" w:hAnsi="宋体" w:cs="宋体"/>
          <w:szCs w:val="21"/>
          <w:u w:val="single"/>
        </w:rPr>
        <w:t xml:space="preserve">      </w:t>
      </w:r>
      <w:r>
        <w:rPr>
          <w:rFonts w:hint="eastAsia" w:ascii="宋体" w:hAnsi="宋体" w:cs="宋体"/>
          <w:szCs w:val="21"/>
        </w:rPr>
        <w:t>年。（自交货验收合格次日起计算），因人为因素出现的故障不在免费保修范围内。</w:t>
      </w:r>
    </w:p>
    <w:p w14:paraId="02676DAE">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5.4在质保期内，如在使用过程中发生质量问题，乙方在接到甲方通知后在_________小时内响应，并在</w:t>
      </w:r>
      <w:r>
        <w:rPr>
          <w:rFonts w:hint="eastAsia" w:ascii="宋体" w:hAnsi="宋体" w:cs="宋体"/>
          <w:szCs w:val="21"/>
          <w:u w:val="single"/>
        </w:rPr>
        <w:t xml:space="preserve">      </w:t>
      </w:r>
      <w:r>
        <w:rPr>
          <w:rFonts w:hint="eastAsia" w:ascii="宋体" w:hAnsi="宋体" w:cs="宋体"/>
          <w:szCs w:val="21"/>
        </w:rPr>
        <w:t>小时内赶到甲方现场，免费予以排除故障、修复或者更换零部件。如未及时维修的，甲方委托他人维修，维修费从合同尾款中扣除或由乙方承担。</w:t>
      </w:r>
    </w:p>
    <w:p w14:paraId="54E7545F">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5.5 在质保期内，乙方应对货物出现的质量及安全问题负责处理解决并承担一切费用。</w:t>
      </w:r>
    </w:p>
    <w:p w14:paraId="499CA824">
      <w:pPr>
        <w:pStyle w:val="25"/>
        <w:spacing w:before="120" w:after="120" w:line="360" w:lineRule="auto"/>
        <w:ind w:firstLine="315" w:firstLineChars="150"/>
        <w:rPr>
          <w:rFonts w:hint="eastAsia" w:ascii="宋体" w:hAnsi="宋体" w:cs="宋体"/>
          <w:szCs w:val="21"/>
        </w:rPr>
      </w:pPr>
      <w:r>
        <w:rPr>
          <w:rFonts w:hint="eastAsia" w:ascii="宋体" w:hAnsi="宋体" w:cs="宋体"/>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19EB3F94">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六、调试和验收</w:t>
      </w:r>
    </w:p>
    <w:p w14:paraId="70F2C3B7">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6.1 乙方交货前应对货物全面检查并对验收文件进行整理，列出清单提交甲方，检验的结果亦应随货物交甲方。</w:t>
      </w:r>
    </w:p>
    <w:p w14:paraId="2C4B311A">
      <w:pPr>
        <w:pStyle w:val="25"/>
        <w:spacing w:before="120" w:after="120" w:line="360" w:lineRule="auto"/>
        <w:ind w:firstLine="420" w:firstLineChars="200"/>
        <w:rPr>
          <w:rFonts w:hint="eastAsia" w:ascii="宋体" w:hAnsi="宋体" w:cs="宋体"/>
          <w:szCs w:val="21"/>
          <w:u w:val="single"/>
        </w:rPr>
      </w:pPr>
      <w:r>
        <w:rPr>
          <w:rFonts w:hint="eastAsia" w:ascii="宋体" w:hAnsi="宋体" w:cs="宋体"/>
          <w:szCs w:val="21"/>
        </w:rPr>
        <w:t>6.2 甲方对乙方提供的货物在使用前进行调试时，乙方需负责安装并培训甲方的使用操作人员，并协助甲方一起调试，直到符合技术要求。</w:t>
      </w:r>
    </w:p>
    <w:p w14:paraId="5BA78264">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6.3 在安装、调试和验收过程中，如发现有漏件、缺件，乙方应无条件、无偿补齐，所发生的一切费用，视为已包含在投标时的投标报价中，且并不因此而影响交付甲方使用的时间。</w:t>
      </w:r>
    </w:p>
    <w:p w14:paraId="44422F43">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p>
    <w:p w14:paraId="3A1BFDA0">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6.5 设备、材料安装、调试结束，甲、乙双方派员共同验收，达到验收标准则验收合格。验收完毕后出具验收结果报告并经双方签字确认；验收相关费用由乙方承担。</w:t>
      </w:r>
    </w:p>
    <w:p w14:paraId="5EDDA642">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78402896">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七、技术资料</w:t>
      </w:r>
    </w:p>
    <w:p w14:paraId="5061F0F0">
      <w:pPr>
        <w:pStyle w:val="25"/>
        <w:spacing w:before="120" w:after="120" w:line="360" w:lineRule="auto"/>
        <w:ind w:firstLine="420" w:firstLineChars="200"/>
        <w:rPr>
          <w:rFonts w:hint="eastAsia" w:ascii="宋体" w:hAnsi="宋体" w:cs="宋体"/>
          <w:b/>
          <w:szCs w:val="21"/>
        </w:rPr>
      </w:pPr>
      <w:r>
        <w:rPr>
          <w:rFonts w:hint="eastAsia" w:ascii="宋体" w:hAnsi="宋体" w:cs="宋体"/>
          <w:szCs w:val="21"/>
        </w:rPr>
        <w:t>7.1乙方应按招标文件规定的时间向甲方提供使用货物的有关技术资料。</w:t>
      </w:r>
    </w:p>
    <w:p w14:paraId="5864F723">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3469CC49">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八、知识产权</w:t>
      </w:r>
    </w:p>
    <w:p w14:paraId="59CEECCD">
      <w:pPr>
        <w:spacing w:line="360" w:lineRule="auto"/>
        <w:ind w:firstLine="420" w:firstLineChars="200"/>
        <w:rPr>
          <w:rFonts w:hint="eastAsia" w:ascii="宋体" w:hAnsi="宋体" w:cs="宋体"/>
          <w:szCs w:val="21"/>
        </w:rPr>
      </w:pPr>
      <w:r>
        <w:rPr>
          <w:rFonts w:hint="eastAsia" w:ascii="宋体" w:hAnsi="宋体" w:cs="宋体"/>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725F5DF8">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九、违约责任</w:t>
      </w:r>
    </w:p>
    <w:p w14:paraId="4FA4E9B4">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9.1 乙方履约的前提下，甲方无正当理由拒收货物的，甲方向乙方偿付拒收货款总值的万分之五违约金。甲方未按合同规定的时间和要求向乙方提供相关安装条件，乙方交付时间顺延。</w:t>
      </w:r>
    </w:p>
    <w:p w14:paraId="04A68CEA">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9.2 乙方履约的前提下，甲方无故迟延支付货款的,甲方应按逾期付款总额每日万分之五向乙方支付违约金。</w:t>
      </w:r>
    </w:p>
    <w:p w14:paraId="04789D6A">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223BAC06">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664324B7">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8E465B6">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2D1EB9CE">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0ECAE0A4">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9.8 乙方履行义务不符合合同约定时，甲方有权扣减本合同总金额的10%的货款，尾款不足10%的，乙方应当补足。</w:t>
      </w:r>
    </w:p>
    <w:p w14:paraId="1818AE06">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十、不可抗力事件处理</w:t>
      </w:r>
    </w:p>
    <w:p w14:paraId="05D8E9BC">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10.1 在合同有效期内，任何一方因不可抗力事件导致不能履行合同，则合同履行期可延长，其延长期与不可抗力影响期相同。</w:t>
      </w:r>
    </w:p>
    <w:p w14:paraId="6D8B84B2">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10.2 不可抗力事件发生后，应立即通知对方，并寄送有关权威机构出具的证明。</w:t>
      </w:r>
    </w:p>
    <w:p w14:paraId="1C6E91BC">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10.3 不可抗力事件延续30天以上，双方应通过友好协商，确定是否继续履行合同。</w:t>
      </w:r>
    </w:p>
    <w:p w14:paraId="58D99085">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十一、诉讼</w:t>
      </w:r>
    </w:p>
    <w:p w14:paraId="2D8A1323">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250CF0DF">
      <w:pPr>
        <w:pStyle w:val="25"/>
        <w:spacing w:before="120" w:after="120" w:line="360" w:lineRule="auto"/>
        <w:ind w:firstLine="422" w:firstLineChars="200"/>
        <w:rPr>
          <w:rFonts w:hint="eastAsia" w:ascii="宋体" w:hAnsi="宋体" w:cs="宋体"/>
          <w:b/>
          <w:szCs w:val="21"/>
        </w:rPr>
      </w:pPr>
      <w:r>
        <w:rPr>
          <w:rFonts w:hint="eastAsia" w:ascii="宋体" w:hAnsi="宋体" w:cs="宋体"/>
          <w:b/>
          <w:szCs w:val="21"/>
        </w:rPr>
        <w:t>十二、合同生效及其它</w:t>
      </w:r>
    </w:p>
    <w:p w14:paraId="7C81559A">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12.1招投标文件、中标通知书作为合同的附件，与本合同具有同等法律效力。合同经双方法定代表人或授权委托代表人签字、盖章后生效。</w:t>
      </w:r>
    </w:p>
    <w:p w14:paraId="08BDF6CD">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12.2本合同未尽事宜，遵照《中华人民共和国民法典》有关条文执行。</w:t>
      </w:r>
    </w:p>
    <w:p w14:paraId="7AB1C1B4">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12.3 本合同正本一式</w:t>
      </w:r>
      <w:r>
        <w:rPr>
          <w:rFonts w:hint="eastAsia" w:ascii="宋体" w:hAnsi="宋体" w:cs="宋体"/>
          <w:szCs w:val="21"/>
          <w:u w:val="single"/>
        </w:rPr>
        <w:t xml:space="preserve">     </w:t>
      </w:r>
      <w:r>
        <w:rPr>
          <w:rFonts w:hint="eastAsia" w:ascii="宋体" w:hAnsi="宋体" w:cs="宋体"/>
          <w:szCs w:val="21"/>
        </w:rPr>
        <w:t>份，甲方</w:t>
      </w:r>
      <w:r>
        <w:rPr>
          <w:rFonts w:hint="eastAsia" w:ascii="宋体" w:hAnsi="宋体" w:cs="宋体"/>
          <w:szCs w:val="21"/>
          <w:u w:val="single"/>
        </w:rPr>
        <w:t xml:space="preserve">     </w:t>
      </w:r>
      <w:r>
        <w:rPr>
          <w:rFonts w:hint="eastAsia" w:ascii="宋体" w:hAnsi="宋体" w:cs="宋体"/>
          <w:szCs w:val="21"/>
        </w:rPr>
        <w:t>份，乙方</w:t>
      </w:r>
      <w:r>
        <w:rPr>
          <w:rFonts w:hint="eastAsia" w:ascii="宋体" w:hAnsi="宋体" w:cs="宋体"/>
          <w:szCs w:val="21"/>
          <w:u w:val="single"/>
        </w:rPr>
        <w:t xml:space="preserve">    </w:t>
      </w:r>
      <w:r>
        <w:rPr>
          <w:rFonts w:hint="eastAsia" w:ascii="宋体" w:hAnsi="宋体" w:cs="宋体"/>
          <w:szCs w:val="21"/>
        </w:rPr>
        <w:t>份，具有同等法律效力。</w:t>
      </w:r>
    </w:p>
    <w:p w14:paraId="10610F2E">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12.4 其他：</w:t>
      </w:r>
      <w:r>
        <w:rPr>
          <w:rFonts w:hint="eastAsia" w:ascii="宋体" w:hAnsi="宋体" w:cs="宋体"/>
          <w:szCs w:val="21"/>
          <w:u w:val="single"/>
        </w:rPr>
        <w:t xml:space="preserve">                                              </w:t>
      </w:r>
      <w:r>
        <w:rPr>
          <w:rFonts w:hint="eastAsia" w:ascii="宋体" w:hAnsi="宋体" w:cs="宋体"/>
          <w:szCs w:val="21"/>
        </w:rPr>
        <w:t xml:space="preserve">。 </w:t>
      </w:r>
    </w:p>
    <w:p w14:paraId="769003B1">
      <w:pPr>
        <w:pStyle w:val="25"/>
        <w:spacing w:before="120" w:after="120" w:line="400" w:lineRule="exact"/>
        <w:ind w:firstLine="420" w:firstLineChars="200"/>
        <w:rPr>
          <w:rFonts w:hint="eastAsia" w:ascii="宋体" w:hAnsi="宋体" w:cs="宋体"/>
          <w:szCs w:val="21"/>
        </w:rPr>
      </w:pPr>
      <w:r>
        <w:rPr>
          <w:rFonts w:hint="eastAsia" w:ascii="宋体" w:hAnsi="宋体" w:cs="宋体"/>
          <w:szCs w:val="21"/>
        </w:rPr>
        <w:t>（以下无正文，为签字盖章处）</w:t>
      </w:r>
    </w:p>
    <w:p w14:paraId="0DEA8F0C">
      <w:pPr>
        <w:pStyle w:val="25"/>
        <w:spacing w:before="120" w:after="120" w:line="360" w:lineRule="auto"/>
        <w:ind w:firstLine="420" w:firstLineChars="200"/>
        <w:rPr>
          <w:rFonts w:hint="eastAsia" w:ascii="宋体" w:hAnsi="宋体" w:cs="宋体"/>
          <w:szCs w:val="21"/>
        </w:rPr>
      </w:pPr>
      <w:r>
        <w:rPr>
          <w:rFonts w:hint="eastAsia" w:ascii="宋体" w:hAnsi="宋体" w:cs="宋体"/>
          <w:szCs w:val="21"/>
        </w:rPr>
        <w:t xml:space="preserve">   </w:t>
      </w:r>
    </w:p>
    <w:p w14:paraId="7A7E68A4">
      <w:pPr>
        <w:pStyle w:val="25"/>
        <w:spacing w:before="120" w:after="120" w:line="240" w:lineRule="atLeast"/>
        <w:rPr>
          <w:rFonts w:hint="eastAsia" w:ascii="宋体" w:hAnsi="宋体" w:cs="宋体"/>
          <w:szCs w:val="21"/>
        </w:rPr>
      </w:pPr>
    </w:p>
    <w:p w14:paraId="5E815F00">
      <w:pPr>
        <w:pStyle w:val="25"/>
        <w:spacing w:before="120" w:after="120" w:line="300" w:lineRule="auto"/>
        <w:rPr>
          <w:rFonts w:hint="eastAsia" w:ascii="宋体" w:hAnsi="宋体" w:cs="宋体"/>
          <w:szCs w:val="21"/>
        </w:rPr>
      </w:pPr>
      <w:r>
        <w:rPr>
          <w:rFonts w:hint="eastAsia" w:ascii="宋体" w:hAnsi="宋体" w:cs="宋体"/>
          <w:szCs w:val="21"/>
        </w:rPr>
        <w:t>甲方： 南京医科大学（盖章）                 乙方： （盖章）</w:t>
      </w:r>
    </w:p>
    <w:p w14:paraId="242673EB">
      <w:pPr>
        <w:pStyle w:val="25"/>
        <w:spacing w:before="120" w:after="120" w:line="300" w:lineRule="auto"/>
        <w:rPr>
          <w:rFonts w:hint="eastAsia" w:ascii="宋体" w:hAnsi="宋体" w:cs="宋体"/>
          <w:szCs w:val="21"/>
        </w:rPr>
      </w:pPr>
      <w:r>
        <w:rPr>
          <w:rFonts w:hint="eastAsia" w:ascii="宋体" w:hAnsi="宋体" w:cs="宋体"/>
          <w:szCs w:val="21"/>
        </w:rPr>
        <w:t xml:space="preserve">地址：南京市江宁区龙眠大道101号            地址： </w:t>
      </w:r>
    </w:p>
    <w:p w14:paraId="7239CDF1">
      <w:pPr>
        <w:pStyle w:val="25"/>
        <w:spacing w:before="120" w:after="120" w:line="300" w:lineRule="auto"/>
        <w:rPr>
          <w:rFonts w:hint="eastAsia" w:ascii="宋体" w:hAnsi="宋体" w:cs="宋体"/>
          <w:szCs w:val="21"/>
        </w:rPr>
      </w:pPr>
      <w:r>
        <w:rPr>
          <w:rFonts w:hint="eastAsia" w:ascii="宋体" w:hAnsi="宋体" w:cs="宋体"/>
          <w:szCs w:val="21"/>
        </w:rPr>
        <w:t>法定代表人/授权代表：（签字）               法定代表人/授权代表：（签字）</w:t>
      </w:r>
    </w:p>
    <w:p w14:paraId="2E9E9302">
      <w:pPr>
        <w:pStyle w:val="25"/>
        <w:spacing w:before="120" w:after="120" w:line="300" w:lineRule="auto"/>
        <w:rPr>
          <w:rFonts w:hint="eastAsia" w:ascii="宋体" w:hAnsi="宋体" w:cs="宋体"/>
          <w:szCs w:val="21"/>
        </w:rPr>
      </w:pPr>
      <w:r>
        <w:rPr>
          <w:rFonts w:hint="eastAsia" w:ascii="宋体" w:hAnsi="宋体" w:cs="宋体"/>
          <w:szCs w:val="21"/>
        </w:rPr>
        <w:t>签订日期：   年    月    日                 签订日期：   年    月    日</w:t>
      </w:r>
    </w:p>
    <w:p w14:paraId="147A8254">
      <w:pPr>
        <w:pStyle w:val="25"/>
        <w:spacing w:before="120" w:after="120" w:line="300" w:lineRule="auto"/>
        <w:rPr>
          <w:rFonts w:hint="eastAsia" w:ascii="宋体" w:hAnsi="宋体" w:cs="宋体"/>
          <w:szCs w:val="21"/>
        </w:rPr>
      </w:pPr>
    </w:p>
    <w:p w14:paraId="3AE698BF">
      <w:pPr>
        <w:widowControl/>
        <w:shd w:val="clear" w:color="auto" w:fill="FFFFFF"/>
        <w:spacing w:line="360" w:lineRule="auto"/>
        <w:jc w:val="left"/>
        <w:rPr>
          <w:rFonts w:hint="eastAsia" w:ascii="宋体" w:hAnsi="宋体"/>
          <w:szCs w:val="21"/>
          <w:lang w:val="zh-CN"/>
        </w:rPr>
      </w:pPr>
      <w:r>
        <w:rPr>
          <w:rFonts w:hint="eastAsia" w:ascii="宋体" w:hAnsi="宋体"/>
          <w:szCs w:val="21"/>
        </w:rPr>
        <w:t>附件1：</w:t>
      </w:r>
      <w:r>
        <w:rPr>
          <w:rFonts w:hint="eastAsia" w:ascii="宋体" w:hAnsi="宋体"/>
          <w:szCs w:val="21"/>
          <w:lang w:val="zh-CN"/>
        </w:rPr>
        <w:t>分项报价表</w:t>
      </w:r>
    </w:p>
    <w:tbl>
      <w:tblPr>
        <w:tblStyle w:val="4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78"/>
        <w:gridCol w:w="953"/>
        <w:gridCol w:w="887"/>
        <w:gridCol w:w="758"/>
        <w:gridCol w:w="968"/>
        <w:gridCol w:w="935"/>
        <w:gridCol w:w="1178"/>
        <w:gridCol w:w="1128"/>
      </w:tblGrid>
      <w:tr w14:paraId="4348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3B7EB51F">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F74905">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57B907BA">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706A4C46">
            <w:pPr>
              <w:jc w:val="center"/>
            </w:pPr>
            <w:r>
              <w:rPr>
                <w:rFonts w:hint="eastAsia"/>
              </w:rPr>
              <w:t>单位</w:t>
            </w:r>
          </w:p>
        </w:tc>
        <w:tc>
          <w:tcPr>
            <w:tcW w:w="758" w:type="dxa"/>
            <w:tcBorders>
              <w:top w:val="single" w:color="auto" w:sz="4" w:space="0"/>
              <w:left w:val="single" w:color="auto" w:sz="4" w:space="0"/>
              <w:bottom w:val="single" w:color="auto" w:sz="4" w:space="0"/>
              <w:right w:val="single" w:color="auto" w:sz="4" w:space="0"/>
            </w:tcBorders>
            <w:vAlign w:val="center"/>
          </w:tcPr>
          <w:p w14:paraId="38FD143D">
            <w:pPr>
              <w:jc w:val="center"/>
            </w:pPr>
            <w:r>
              <w:rPr>
                <w:rFonts w:hint="eastAsia"/>
              </w:rPr>
              <w:t>品牌</w:t>
            </w:r>
          </w:p>
        </w:tc>
        <w:tc>
          <w:tcPr>
            <w:tcW w:w="968" w:type="dxa"/>
            <w:tcBorders>
              <w:top w:val="single" w:color="auto" w:sz="4" w:space="0"/>
              <w:left w:val="single" w:color="auto" w:sz="4" w:space="0"/>
              <w:bottom w:val="single" w:color="auto" w:sz="4" w:space="0"/>
              <w:right w:val="single" w:color="auto" w:sz="4" w:space="0"/>
            </w:tcBorders>
            <w:vAlign w:val="center"/>
          </w:tcPr>
          <w:p w14:paraId="5FFE36E8">
            <w:pPr>
              <w:jc w:val="center"/>
            </w:pPr>
            <w:r>
              <w:rPr>
                <w:rFonts w:hint="eastAsia"/>
              </w:rPr>
              <w:t>规格型号</w:t>
            </w:r>
          </w:p>
        </w:tc>
        <w:tc>
          <w:tcPr>
            <w:tcW w:w="935" w:type="dxa"/>
            <w:tcBorders>
              <w:top w:val="single" w:color="auto" w:sz="4" w:space="0"/>
              <w:left w:val="single" w:color="auto" w:sz="4" w:space="0"/>
              <w:bottom w:val="single" w:color="auto" w:sz="4" w:space="0"/>
              <w:right w:val="single" w:color="auto" w:sz="4" w:space="0"/>
            </w:tcBorders>
            <w:vAlign w:val="center"/>
          </w:tcPr>
          <w:p w14:paraId="368D5ED0">
            <w:pPr>
              <w:jc w:val="center"/>
            </w:pPr>
            <w:r>
              <w:rPr>
                <w:rFonts w:hint="eastAsia"/>
              </w:rPr>
              <w:t>制造商和国别</w:t>
            </w:r>
          </w:p>
        </w:tc>
        <w:tc>
          <w:tcPr>
            <w:tcW w:w="1178" w:type="dxa"/>
            <w:tcBorders>
              <w:top w:val="single" w:color="auto" w:sz="4" w:space="0"/>
              <w:left w:val="single" w:color="auto" w:sz="4" w:space="0"/>
              <w:bottom w:val="single" w:color="auto" w:sz="4" w:space="0"/>
              <w:right w:val="single" w:color="auto" w:sz="4" w:space="0"/>
            </w:tcBorders>
            <w:vAlign w:val="center"/>
          </w:tcPr>
          <w:p w14:paraId="687B270E">
            <w:pPr>
              <w:jc w:val="center"/>
            </w:pPr>
            <w:r>
              <w:rPr>
                <w:rFonts w:hint="eastAsia"/>
              </w:rPr>
              <w:t>单价</w:t>
            </w:r>
          </w:p>
          <w:p w14:paraId="57962797">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3679AE16">
            <w:pPr>
              <w:jc w:val="center"/>
            </w:pPr>
            <w:r>
              <w:rPr>
                <w:rFonts w:hint="eastAsia"/>
              </w:rPr>
              <w:t>总价</w:t>
            </w:r>
          </w:p>
          <w:p w14:paraId="751860D9">
            <w:pPr>
              <w:jc w:val="center"/>
            </w:pPr>
            <w:r>
              <w:rPr>
                <w:rFonts w:hint="eastAsia"/>
              </w:rPr>
              <w:t>（万元）</w:t>
            </w:r>
          </w:p>
        </w:tc>
      </w:tr>
      <w:tr w14:paraId="4D4C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4B199EDC">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30F04C38">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0DA8C236">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1E2F3822">
            <w:pPr>
              <w:spacing w:line="360" w:lineRule="auto"/>
              <w:jc w:val="center"/>
            </w:pPr>
          </w:p>
        </w:tc>
        <w:tc>
          <w:tcPr>
            <w:tcW w:w="758" w:type="dxa"/>
            <w:tcBorders>
              <w:top w:val="single" w:color="auto" w:sz="4" w:space="0"/>
              <w:left w:val="single" w:color="auto" w:sz="4" w:space="0"/>
              <w:bottom w:val="single" w:color="auto" w:sz="4" w:space="0"/>
              <w:right w:val="single" w:color="auto" w:sz="4" w:space="0"/>
            </w:tcBorders>
            <w:vAlign w:val="center"/>
          </w:tcPr>
          <w:p w14:paraId="148931C4">
            <w:pPr>
              <w:spacing w:line="360" w:lineRule="auto"/>
              <w:jc w:val="center"/>
            </w:pPr>
          </w:p>
        </w:tc>
        <w:tc>
          <w:tcPr>
            <w:tcW w:w="968" w:type="dxa"/>
            <w:tcBorders>
              <w:top w:val="single" w:color="auto" w:sz="4" w:space="0"/>
              <w:left w:val="single" w:color="auto" w:sz="4" w:space="0"/>
              <w:bottom w:val="single" w:color="auto" w:sz="4" w:space="0"/>
              <w:right w:val="single" w:color="auto" w:sz="4" w:space="0"/>
            </w:tcBorders>
            <w:vAlign w:val="center"/>
          </w:tcPr>
          <w:p w14:paraId="6E46F5A1">
            <w:pPr>
              <w:spacing w:line="360" w:lineRule="auto"/>
              <w:jc w:val="center"/>
            </w:pPr>
          </w:p>
        </w:tc>
        <w:tc>
          <w:tcPr>
            <w:tcW w:w="935" w:type="dxa"/>
            <w:tcBorders>
              <w:top w:val="single" w:color="auto" w:sz="4" w:space="0"/>
              <w:left w:val="single" w:color="auto" w:sz="4" w:space="0"/>
              <w:bottom w:val="single" w:color="auto" w:sz="4" w:space="0"/>
              <w:right w:val="single" w:color="auto" w:sz="4" w:space="0"/>
            </w:tcBorders>
            <w:vAlign w:val="center"/>
          </w:tcPr>
          <w:p w14:paraId="334A21FE">
            <w:pPr>
              <w:spacing w:line="360" w:lineRule="auto"/>
              <w:jc w:val="center"/>
            </w:pPr>
          </w:p>
        </w:tc>
        <w:tc>
          <w:tcPr>
            <w:tcW w:w="1178" w:type="dxa"/>
            <w:tcBorders>
              <w:top w:val="single" w:color="auto" w:sz="4" w:space="0"/>
              <w:left w:val="single" w:color="auto" w:sz="4" w:space="0"/>
              <w:bottom w:val="single" w:color="auto" w:sz="4" w:space="0"/>
              <w:right w:val="single" w:color="auto" w:sz="4" w:space="0"/>
            </w:tcBorders>
            <w:vAlign w:val="center"/>
          </w:tcPr>
          <w:p w14:paraId="3E06D488">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27143548">
            <w:pPr>
              <w:jc w:val="center"/>
              <w:rPr>
                <w:highlight w:val="green"/>
              </w:rPr>
            </w:pPr>
          </w:p>
        </w:tc>
      </w:tr>
      <w:tr w14:paraId="2B1E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383" w:type="dxa"/>
            <w:gridSpan w:val="8"/>
            <w:tcBorders>
              <w:top w:val="single" w:color="auto" w:sz="4" w:space="0"/>
              <w:left w:val="single" w:color="auto" w:sz="4" w:space="0"/>
              <w:bottom w:val="single" w:color="auto" w:sz="4" w:space="0"/>
              <w:right w:val="single" w:color="auto" w:sz="4" w:space="0"/>
            </w:tcBorders>
            <w:vAlign w:val="center"/>
          </w:tcPr>
          <w:p w14:paraId="17D7B4E2">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494304DD">
            <w:pPr>
              <w:jc w:val="center"/>
              <w:rPr>
                <w:highlight w:val="green"/>
              </w:rPr>
            </w:pPr>
          </w:p>
        </w:tc>
      </w:tr>
    </w:tbl>
    <w:p w14:paraId="483E03C6"/>
    <w:p w14:paraId="0E2390DC">
      <w:r>
        <w:rPr>
          <w:rFonts w:hint="eastAsia"/>
        </w:rPr>
        <w:t>附件2：货物配置清单</w:t>
      </w:r>
    </w:p>
    <w:p w14:paraId="0578F7CE">
      <w:pPr>
        <w:rPr>
          <w:rFonts w:hint="eastAsia" w:ascii="宋体" w:hAnsi="宋体" w:cs="宋体"/>
          <w:sz w:val="24"/>
        </w:rPr>
      </w:pPr>
      <w:r>
        <w:rPr>
          <w:rFonts w:hint="eastAsia" w:ascii="宋体" w:hAnsi="宋体" w:cs="宋体"/>
          <w:sz w:val="24"/>
        </w:rPr>
        <w:br w:type="page"/>
      </w:r>
    </w:p>
    <w:p w14:paraId="0CC74FF0">
      <w:pPr>
        <w:pStyle w:val="2"/>
        <w:numPr>
          <w:ilvl w:val="0"/>
          <w:numId w:val="0"/>
        </w:numPr>
        <w:rPr>
          <w:rFonts w:ascii="Arial" w:hAnsi="Arial" w:cs="Arial"/>
        </w:rPr>
      </w:pPr>
      <w:bookmarkStart w:id="35" w:name="_Toc28523"/>
      <w:r>
        <w:rPr>
          <w:rFonts w:ascii="Arial" w:hAnsi="Arial" w:cs="Arial"/>
        </w:rPr>
        <w:t>第六章</w:t>
      </w:r>
      <w:r>
        <w:rPr>
          <w:rFonts w:hint="eastAsia" w:ascii="Arial" w:hAnsi="Arial" w:cs="Arial"/>
        </w:rPr>
        <w:t xml:space="preserve"> </w:t>
      </w:r>
      <w:r>
        <w:rPr>
          <w:rFonts w:ascii="Arial" w:hAnsi="Arial" w:cs="Arial"/>
        </w:rPr>
        <w:t>附件</w:t>
      </w:r>
      <w:bookmarkEnd w:id="35"/>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bookmarkEnd w:id="0"/>
    <w:p w14:paraId="234A048B">
      <w:pPr>
        <w:jc w:val="center"/>
        <w:rPr>
          <w:rFonts w:hint="eastAsia" w:ascii="宋体" w:hAnsi="宋体" w:cs="宋体"/>
          <w:sz w:val="52"/>
          <w:szCs w:val="52"/>
        </w:rPr>
      </w:pPr>
      <w:r>
        <w:rPr>
          <w:rFonts w:hint="eastAsia" w:ascii="宋体" w:hAnsi="宋体" w:cs="宋体"/>
          <w:sz w:val="52"/>
          <w:szCs w:val="52"/>
        </w:rPr>
        <w:t>投标文件</w:t>
      </w:r>
    </w:p>
    <w:p w14:paraId="699D0423">
      <w:pPr>
        <w:rPr>
          <w:rFonts w:hint="eastAsia" w:ascii="宋体" w:hAnsi="宋体" w:cs="宋体"/>
          <w:sz w:val="36"/>
          <w:szCs w:val="36"/>
        </w:rPr>
      </w:pPr>
    </w:p>
    <w:p w14:paraId="47B4A308">
      <w:pPr>
        <w:rPr>
          <w:rFonts w:hint="eastAsia" w:ascii="宋体" w:hAnsi="宋体" w:cs="宋体"/>
          <w:sz w:val="36"/>
          <w:szCs w:val="36"/>
        </w:rPr>
      </w:pPr>
    </w:p>
    <w:p w14:paraId="77DF4E75">
      <w:pPr>
        <w:rPr>
          <w:rFonts w:hint="eastAsia" w:ascii="宋体" w:hAnsi="宋体" w:cs="宋体"/>
          <w:sz w:val="36"/>
          <w:szCs w:val="36"/>
        </w:rPr>
      </w:pPr>
    </w:p>
    <w:p w14:paraId="4CD1D591">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项目名称：</w:t>
      </w:r>
    </w:p>
    <w:p w14:paraId="14740758">
      <w:pPr>
        <w:ind w:firstLine="720" w:firstLineChars="200"/>
        <w:rPr>
          <w:rFonts w:hint="eastAsia" w:ascii="宋体" w:hAnsi="宋体" w:cs="宋体"/>
          <w:sz w:val="36"/>
          <w:szCs w:val="36"/>
          <w:lang w:val="en-US" w:eastAsia="zh-CN"/>
        </w:rPr>
      </w:pPr>
      <w:r>
        <w:rPr>
          <w:rFonts w:hint="eastAsia" w:ascii="宋体" w:hAnsi="宋体" w:cs="宋体"/>
          <w:sz w:val="36"/>
          <w:szCs w:val="36"/>
          <w:lang w:val="en-US" w:eastAsia="zh-CN"/>
        </w:rPr>
        <w:t>招标编号：</w:t>
      </w:r>
    </w:p>
    <w:p w14:paraId="3C877333">
      <w:pPr>
        <w:ind w:firstLine="720" w:firstLineChars="200"/>
        <w:jc w:val="both"/>
        <w:rPr>
          <w:rFonts w:hint="eastAsia" w:ascii="宋体" w:hAnsi="宋体" w:cs="宋体"/>
          <w:sz w:val="36"/>
          <w:szCs w:val="36"/>
          <w:u w:val="single"/>
        </w:rPr>
      </w:pPr>
      <w:r>
        <w:rPr>
          <w:rFonts w:hint="eastAsia" w:ascii="宋体" w:hAnsi="宋体" w:cs="宋体"/>
          <w:sz w:val="36"/>
          <w:szCs w:val="36"/>
        </w:rPr>
        <w:t>投标人</w:t>
      </w:r>
      <w:r>
        <w:rPr>
          <w:rFonts w:hint="eastAsia" w:ascii="宋体" w:hAnsi="宋体" w:cs="宋体"/>
          <w:sz w:val="36"/>
          <w:szCs w:val="36"/>
          <w:lang w:val="en-US" w:eastAsia="zh-CN"/>
        </w:rPr>
        <w:t>名称</w:t>
      </w:r>
      <w:r>
        <w:rPr>
          <w:rFonts w:hint="eastAsia" w:ascii="宋体" w:hAnsi="宋体" w:cs="宋体"/>
          <w:sz w:val="36"/>
          <w:szCs w:val="36"/>
        </w:rPr>
        <w:t>：（加盖电子公章）</w:t>
      </w:r>
    </w:p>
    <w:p w14:paraId="751F035A">
      <w:pPr>
        <w:widowControl/>
        <w:ind w:firstLine="720" w:firstLineChars="200"/>
        <w:jc w:val="left"/>
        <w:rPr>
          <w:rFonts w:hint="eastAsia" w:ascii="宋体" w:hAnsi="宋体" w:cs="宋体"/>
          <w:sz w:val="28"/>
          <w:szCs w:val="28"/>
        </w:rPr>
      </w:pPr>
      <w:r>
        <w:rPr>
          <w:rFonts w:hint="eastAsia" w:ascii="宋体" w:hAnsi="宋体" w:cs="宋体"/>
          <w:sz w:val="36"/>
          <w:szCs w:val="36"/>
          <w:lang w:val="en-US" w:eastAsia="zh-CN"/>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3FB572">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p>
    <w:p w14:paraId="1EB13DA4">
      <w:pPr>
        <w:widowControl/>
        <w:shd w:val="clear" w:color="auto" w:fill="FFFFFF"/>
        <w:spacing w:line="360" w:lineRule="auto"/>
        <w:jc w:val="center"/>
        <w:rPr>
          <w:rFonts w:ascii="Arial" w:hAnsi="Arial" w:cs="Arial"/>
          <w:kern w:val="0"/>
          <w:sz w:val="24"/>
        </w:rPr>
      </w:pPr>
    </w:p>
    <w:p w14:paraId="10968556">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BF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606759CF">
            <w:pPr>
              <w:pStyle w:val="14"/>
              <w:spacing w:line="440" w:lineRule="exact"/>
              <w:ind w:firstLine="0"/>
              <w:jc w:val="center"/>
              <w:rPr>
                <w:rFonts w:ascii="Arial" w:hAnsi="Arial" w:cs="Arial"/>
                <w:sz w:val="21"/>
                <w:szCs w:val="21"/>
              </w:rPr>
            </w:pPr>
            <w:r>
              <w:rPr>
                <w:rFonts w:ascii="Arial" w:hAnsi="Arial" w:cs="Arial"/>
                <w:sz w:val="21"/>
                <w:szCs w:val="21"/>
              </w:rPr>
              <w:t>投标保证金</w:t>
            </w:r>
          </w:p>
        </w:tc>
        <w:tc>
          <w:tcPr>
            <w:tcW w:w="5131" w:type="dxa"/>
            <w:vAlign w:val="center"/>
          </w:tcPr>
          <w:p w14:paraId="571D2039">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358FA18A">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5E76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0" w:hRule="atLeast"/>
          <w:jc w:val="center"/>
        </w:trPr>
        <w:tc>
          <w:tcPr>
            <w:tcW w:w="1870" w:type="dxa"/>
            <w:vAlign w:val="center"/>
          </w:tcPr>
          <w:p w14:paraId="1165CD93">
            <w:pPr>
              <w:pStyle w:val="14"/>
              <w:spacing w:line="440" w:lineRule="exact"/>
              <w:ind w:firstLine="0"/>
              <w:jc w:val="center"/>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04D52E1E">
            <w:pPr>
              <w:pStyle w:val="14"/>
              <w:spacing w:line="440" w:lineRule="exact"/>
              <w:ind w:firstLine="0"/>
              <w:rPr>
                <w:rFonts w:hint="eastAsia" w:ascii="Arial" w:hAnsi="Arial" w:cs="Arial"/>
                <w:sz w:val="21"/>
                <w:szCs w:val="21"/>
                <w:lang w:eastAsia="zh-CN"/>
              </w:rPr>
            </w:pPr>
            <w:r>
              <w:rPr>
                <w:rFonts w:ascii="Arial" w:hAnsi="Arial" w:cs="Arial"/>
                <w:sz w:val="21"/>
                <w:szCs w:val="21"/>
              </w:rPr>
              <w:t>小写：人民币</w:t>
            </w:r>
            <w:r>
              <w:rPr>
                <w:rFonts w:hint="eastAsia" w:ascii="Arial" w:hAnsi="Arial" w:cs="Arial"/>
                <w:sz w:val="21"/>
                <w:szCs w:val="21"/>
              </w:rPr>
              <w:t>：</w:t>
            </w:r>
            <w:r>
              <w:rPr>
                <w:rFonts w:hint="eastAsia" w:ascii="Arial" w:hAnsi="Arial" w:cs="Arial"/>
                <w:sz w:val="21"/>
                <w:szCs w:val="21"/>
                <w:u w:val="single"/>
                <w:lang w:val="en-US" w:eastAsia="zh-CN"/>
              </w:rPr>
              <w:t xml:space="preserve">       </w:t>
            </w:r>
            <w:r>
              <w:rPr>
                <w:rFonts w:hint="eastAsia" w:ascii="Arial" w:hAnsi="Arial" w:cs="Arial"/>
                <w:sz w:val="21"/>
                <w:szCs w:val="21"/>
              </w:rPr>
              <w:t>元</w:t>
            </w:r>
          </w:p>
          <w:p w14:paraId="0F7C28C0">
            <w:pPr>
              <w:pStyle w:val="14"/>
              <w:spacing w:line="440" w:lineRule="exact"/>
              <w:ind w:left="0" w:leftChars="0" w:firstLine="0" w:firstLineChars="0"/>
              <w:rPr>
                <w:rFonts w:hint="eastAsia" w:ascii="Arial" w:hAnsi="Arial" w:eastAsia="宋体" w:cs="Arial"/>
                <w:sz w:val="21"/>
                <w:szCs w:val="21"/>
                <w:lang w:val="en-US" w:eastAsia="zh-CN"/>
              </w:rPr>
            </w:pPr>
            <w:r>
              <w:rPr>
                <w:rFonts w:ascii="Arial" w:hAnsi="Arial" w:cs="Arial"/>
                <w:sz w:val="21"/>
                <w:szCs w:val="21"/>
              </w:rPr>
              <w:t>大写：人民币</w:t>
            </w:r>
            <w:r>
              <w:rPr>
                <w:rFonts w:hint="eastAsia" w:ascii="Arial" w:hAnsi="Arial" w:cs="Arial"/>
                <w:sz w:val="21"/>
                <w:szCs w:val="21"/>
              </w:rPr>
              <w:t>：</w:t>
            </w:r>
            <w:r>
              <w:rPr>
                <w:rFonts w:hint="eastAsia" w:ascii="Arial" w:hAnsi="Arial" w:cs="Arial"/>
                <w:sz w:val="21"/>
                <w:szCs w:val="21"/>
                <w:u w:val="single"/>
                <w:lang w:val="en-US" w:eastAsia="zh-CN"/>
              </w:rPr>
              <w:t xml:space="preserve">       </w:t>
            </w:r>
            <w:r>
              <w:rPr>
                <w:rFonts w:hint="eastAsia" w:ascii="Arial" w:hAnsi="Arial" w:cs="Arial"/>
                <w:sz w:val="21"/>
                <w:szCs w:val="21"/>
              </w:rPr>
              <w:t xml:space="preserve">  </w:t>
            </w:r>
          </w:p>
        </w:tc>
        <w:tc>
          <w:tcPr>
            <w:tcW w:w="1639" w:type="dxa"/>
            <w:vAlign w:val="center"/>
          </w:tcPr>
          <w:p w14:paraId="2F0FCD6B">
            <w:pPr>
              <w:pStyle w:val="14"/>
              <w:spacing w:line="440" w:lineRule="exact"/>
              <w:ind w:firstLine="0"/>
              <w:rPr>
                <w:rFonts w:ascii="Arial" w:hAnsi="Arial" w:cs="Arial"/>
                <w:bCs/>
                <w:sz w:val="21"/>
                <w:szCs w:val="21"/>
              </w:rPr>
            </w:pPr>
            <w:r>
              <w:rPr>
                <w:rFonts w:hint="eastAsia" w:ascii="Arial" w:hAnsi="Arial" w:cs="Arial"/>
                <w:sz w:val="21"/>
                <w:szCs w:val="21"/>
                <w:lang w:val="en-US" w:eastAsia="zh-CN"/>
              </w:rPr>
              <w:t>具体</w:t>
            </w:r>
            <w:r>
              <w:rPr>
                <w:rFonts w:hint="eastAsia" w:ascii="Arial" w:hAnsi="Arial" w:cs="Arial"/>
                <w:sz w:val="21"/>
                <w:szCs w:val="21"/>
              </w:rPr>
              <w:t>详见苏采云系统</w:t>
            </w:r>
          </w:p>
          <w:p w14:paraId="544CF8C6">
            <w:pPr>
              <w:pStyle w:val="14"/>
              <w:spacing w:line="440" w:lineRule="exact"/>
              <w:ind w:firstLine="0"/>
              <w:rPr>
                <w:rFonts w:ascii="Arial" w:hAnsi="Arial" w:cs="Arial"/>
                <w:sz w:val="21"/>
                <w:szCs w:val="21"/>
              </w:rPr>
            </w:pPr>
          </w:p>
        </w:tc>
      </w:tr>
      <w:tr w14:paraId="3079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701ADADC">
            <w:pPr>
              <w:pStyle w:val="14"/>
              <w:spacing w:line="440" w:lineRule="exact"/>
              <w:ind w:firstLine="0"/>
              <w:jc w:val="center"/>
              <w:rPr>
                <w:rFonts w:ascii="Arial" w:hAnsi="Arial" w:cs="Arial"/>
                <w:sz w:val="21"/>
                <w:szCs w:val="21"/>
              </w:rPr>
            </w:pPr>
            <w:r>
              <w:rPr>
                <w:rFonts w:hint="eastAsia" w:ascii="Arial" w:hAnsi="Arial" w:cs="Arial"/>
                <w:sz w:val="21"/>
                <w:szCs w:val="21"/>
              </w:rPr>
              <w:t>合同履行时间</w:t>
            </w:r>
          </w:p>
        </w:tc>
        <w:tc>
          <w:tcPr>
            <w:tcW w:w="5131" w:type="dxa"/>
            <w:vAlign w:val="center"/>
          </w:tcPr>
          <w:p w14:paraId="2C72D38B">
            <w:pPr>
              <w:pStyle w:val="14"/>
              <w:tabs>
                <w:tab w:val="left" w:pos="3624"/>
              </w:tabs>
              <w:spacing w:line="440" w:lineRule="exact"/>
              <w:ind w:firstLine="0" w:firstLineChars="0"/>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7CF9BF06">
            <w:pPr>
              <w:pStyle w:val="14"/>
              <w:spacing w:line="440" w:lineRule="exact"/>
              <w:ind w:firstLine="474" w:firstLineChars="225"/>
              <w:rPr>
                <w:rFonts w:ascii="Arial" w:hAnsi="Arial" w:cs="Arial"/>
                <w:sz w:val="21"/>
                <w:szCs w:val="21"/>
              </w:rPr>
            </w:pPr>
          </w:p>
          <w:p w14:paraId="3EC7B6E8">
            <w:pPr>
              <w:pStyle w:val="14"/>
              <w:spacing w:line="440" w:lineRule="exact"/>
              <w:ind w:firstLine="474" w:firstLineChars="225"/>
              <w:rPr>
                <w:rFonts w:ascii="Arial" w:hAnsi="Arial" w:cs="Arial"/>
                <w:sz w:val="21"/>
                <w:szCs w:val="21"/>
              </w:rPr>
            </w:pPr>
          </w:p>
        </w:tc>
      </w:tr>
      <w:tr w14:paraId="50E3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vAlign w:val="center"/>
          </w:tcPr>
          <w:p w14:paraId="0933157C">
            <w:pPr>
              <w:pStyle w:val="14"/>
              <w:ind w:firstLine="0"/>
              <w:jc w:val="center"/>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4C4C0FF6">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3AA2FC2B">
            <w:pPr>
              <w:pStyle w:val="14"/>
              <w:ind w:firstLine="474" w:firstLineChars="225"/>
              <w:rPr>
                <w:rFonts w:ascii="Arial" w:hAnsi="Arial" w:cs="Arial"/>
                <w:sz w:val="21"/>
                <w:szCs w:val="21"/>
              </w:rPr>
            </w:pPr>
          </w:p>
        </w:tc>
      </w:tr>
    </w:tbl>
    <w:p w14:paraId="6D554FA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ED9B4B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0F5F346">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3F194570">
      <w:pPr>
        <w:pStyle w:val="19"/>
        <w:rPr>
          <w:lang w:val="zh-CN"/>
        </w:rPr>
      </w:pP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4789A4C4">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82CD32">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6306B068">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2AA7D4C">
            <w:pPr>
              <w:jc w:val="center"/>
            </w:pPr>
            <w:r>
              <w:rPr>
                <w:rFonts w:hint="eastAsia"/>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31957539">
            <w:pPr>
              <w:jc w:val="center"/>
            </w:pPr>
            <w:r>
              <w:rPr>
                <w:rFonts w:hint="eastAsia"/>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4DBED06A">
            <w:pPr>
              <w:jc w:val="center"/>
            </w:pPr>
            <w:r>
              <w:rPr>
                <w:rFonts w:hint="eastAsia"/>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2C4E6201">
            <w:pPr>
              <w:jc w:val="center"/>
            </w:pPr>
            <w:r>
              <w:rPr>
                <w:rFonts w:hint="eastAsia"/>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56127EA1">
            <w:pPr>
              <w:jc w:val="center"/>
            </w:pPr>
            <w:r>
              <w:rPr>
                <w:rFonts w:hint="eastAsia"/>
              </w:rPr>
              <w:t>单价</w:t>
            </w:r>
          </w:p>
          <w:p w14:paraId="1E90BE28">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31DBCBF0">
            <w:pPr>
              <w:jc w:val="center"/>
            </w:pPr>
            <w:r>
              <w:rPr>
                <w:rFonts w:hint="eastAsia"/>
              </w:rPr>
              <w:t>总价</w:t>
            </w:r>
          </w:p>
          <w:p w14:paraId="582B93FF">
            <w:pPr>
              <w:jc w:val="center"/>
            </w:pPr>
            <w:r>
              <w:rPr>
                <w:rFonts w:hint="eastAsia"/>
              </w:rPr>
              <w:t>（万元）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62AB994">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01E1E7C">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E844BF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4634987">
            <w:pPr>
              <w:spacing w:line="360" w:lineRule="auto"/>
              <w:jc w:val="center"/>
            </w:pPr>
          </w:p>
        </w:tc>
        <w:tc>
          <w:tcPr>
            <w:tcW w:w="68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pPr>
          </w:p>
        </w:tc>
        <w:tc>
          <w:tcPr>
            <w:tcW w:w="1183"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pPr>
          </w:p>
        </w:tc>
        <w:tc>
          <w:tcPr>
            <w:tcW w:w="982"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pPr>
          </w:p>
        </w:tc>
        <w:tc>
          <w:tcPr>
            <w:tcW w:w="989" w:type="dxa"/>
            <w:tcBorders>
              <w:top w:val="single" w:color="auto" w:sz="4" w:space="0"/>
              <w:left w:val="single" w:color="auto" w:sz="4" w:space="0"/>
              <w:bottom w:val="single" w:color="auto" w:sz="4" w:space="0"/>
              <w:right w:val="single" w:color="auto" w:sz="4" w:space="0"/>
            </w:tcBorders>
            <w:vAlign w:val="center"/>
          </w:tcPr>
          <w:p w14:paraId="49F6254A">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301700A">
            <w:pPr>
              <w:jc w:val="center"/>
              <w:rPr>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6F799F2">
            <w:pPr>
              <w:jc w:val="center"/>
              <w:rPr>
                <w:highlight w:val="green"/>
              </w:rPr>
            </w:pPr>
          </w:p>
        </w:tc>
      </w:tr>
    </w:tbl>
    <w:p w14:paraId="22F37F5C">
      <w:pPr>
        <w:widowControl/>
        <w:shd w:val="clear" w:color="auto" w:fill="FFFFFF"/>
        <w:spacing w:line="360" w:lineRule="auto"/>
        <w:jc w:val="left"/>
        <w:rPr>
          <w:rFonts w:hint="eastAsia" w:ascii="宋体" w:hAnsi="宋体" w:cs="宋体"/>
          <w:kern w:val="0"/>
          <w:szCs w:val="21"/>
        </w:rPr>
      </w:pPr>
    </w:p>
    <w:p w14:paraId="63B885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DCF73F2">
      <w:pPr>
        <w:pStyle w:val="69"/>
        <w:rPr>
          <w:rFonts w:ascii="Arial" w:hAnsi="Arial" w:cs="Arial"/>
          <w:kern w:val="0"/>
          <w:szCs w:val="21"/>
        </w:rPr>
      </w:pPr>
    </w:p>
    <w:p w14:paraId="10786F1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749932C">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CA0016F">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0163E24F">
      <w:pPr>
        <w:widowControl/>
        <w:shd w:val="clear" w:color="auto" w:fill="FFFFFF"/>
        <w:spacing w:line="360" w:lineRule="auto"/>
        <w:jc w:val="left"/>
        <w:rPr>
          <w:rFonts w:ascii="Arial" w:hAnsi="Arial" w:cs="Arial"/>
          <w:kern w:val="0"/>
          <w:szCs w:val="21"/>
        </w:rPr>
      </w:pPr>
    </w:p>
    <w:p w14:paraId="6FEDA226">
      <w:pPr>
        <w:widowControl/>
        <w:shd w:val="clear" w:color="auto" w:fill="FFFFFF"/>
        <w:spacing w:line="360" w:lineRule="auto"/>
        <w:jc w:val="left"/>
        <w:rPr>
          <w:rFonts w:ascii="Arial" w:hAnsi="Arial" w:cs="Arial"/>
          <w:kern w:val="0"/>
          <w:szCs w:val="21"/>
        </w:rPr>
      </w:pPr>
    </w:p>
    <w:p w14:paraId="0A72878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60EF7F9E">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5EFFC2A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DBCDAD">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2"/>
        <w:gridCol w:w="1865"/>
        <w:gridCol w:w="2146"/>
        <w:gridCol w:w="2426"/>
        <w:gridCol w:w="1167"/>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ascii="Arial" w:hAnsi="Arial" w:cs="Arial"/>
                <w:b/>
                <w:kern w:val="0"/>
                <w:szCs w:val="21"/>
              </w:rPr>
            </w:pPr>
            <w:r>
              <w:rPr>
                <w:rFonts w:ascii="Arial" w:hAnsi="Arial" w:cs="Arial"/>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ascii="Arial" w:hAnsi="Arial" w:cs="Arial"/>
                <w:b/>
                <w:kern w:val="0"/>
                <w:szCs w:val="21"/>
              </w:rPr>
            </w:pPr>
            <w:r>
              <w:rPr>
                <w:rFonts w:ascii="Arial" w:hAnsi="Arial" w:cs="Arial"/>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ascii="Arial" w:hAnsi="Arial" w:cs="Arial"/>
                <w:b/>
                <w:kern w:val="0"/>
                <w:szCs w:val="21"/>
              </w:rPr>
            </w:pPr>
            <w:r>
              <w:rPr>
                <w:rFonts w:ascii="Arial" w:hAnsi="Arial" w:cs="Arial"/>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ascii="Arial" w:hAnsi="Arial" w:cs="Arial"/>
                <w:kern w:val="0"/>
                <w:szCs w:val="21"/>
              </w:rPr>
            </w:pPr>
            <w:r>
              <w:rPr>
                <w:rFonts w:ascii="Arial" w:hAnsi="Arial" w:cs="Arial"/>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ascii="Arial" w:hAnsi="Arial" w:cs="Arial"/>
                <w:kern w:val="0"/>
                <w:szCs w:val="21"/>
              </w:rPr>
            </w:pPr>
            <w:r>
              <w:rPr>
                <w:rFonts w:ascii="Arial" w:hAnsi="Arial" w:cs="Arial"/>
                <w:kern w:val="0"/>
                <w:szCs w:val="21"/>
              </w:rPr>
              <w:t> </w:t>
            </w:r>
          </w:p>
        </w:tc>
      </w:tr>
      <w:tr w14:paraId="5258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CD96A67">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BD3B1B6">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535540BF">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8A1D0FB">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42DAEEBF">
            <w:pPr>
              <w:widowControl/>
              <w:spacing w:line="360" w:lineRule="auto"/>
              <w:jc w:val="center"/>
              <w:rPr>
                <w:rFonts w:ascii="Arial" w:hAnsi="Arial" w:cs="Arial"/>
                <w:kern w:val="0"/>
                <w:szCs w:val="21"/>
              </w:rPr>
            </w:pPr>
            <w:r>
              <w:rPr>
                <w:rFonts w:ascii="Arial" w:hAnsi="Arial" w:cs="Arial"/>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ascii="Arial" w:hAnsi="Arial" w:cs="Arial"/>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77F7FE6B">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ascii="Arial" w:hAnsi="Arial" w:cs="Arial"/>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54AE6062">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0B467A5">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63F8E8D3">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5F08D638">
            <w:pPr>
              <w:widowControl/>
              <w:spacing w:line="360" w:lineRule="auto"/>
              <w:jc w:val="center"/>
              <w:rPr>
                <w:rFonts w:ascii="Arial" w:hAnsi="Arial" w:cs="Arial"/>
                <w:kern w:val="0"/>
                <w:szCs w:val="21"/>
              </w:rPr>
            </w:pPr>
          </w:p>
        </w:tc>
      </w:tr>
    </w:tbl>
    <w:p w14:paraId="540848F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CE3007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B94E66A">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A58318B">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w:t>
      </w:r>
      <w:r>
        <w:rPr>
          <w:rFonts w:hint="eastAsia" w:ascii="Arial" w:hAnsi="Arial" w:cs="Arial"/>
          <w:kern w:val="0"/>
          <w:szCs w:val="21"/>
          <w:lang w:val="en-US" w:eastAsia="zh-CN"/>
        </w:rPr>
        <w:t>招标</w:t>
      </w:r>
      <w:r>
        <w:rPr>
          <w:rFonts w:hint="eastAsia" w:ascii="Arial" w:hAnsi="Arial" w:cs="Arial"/>
          <w:kern w:val="0"/>
          <w:szCs w:val="21"/>
        </w:rPr>
        <w:t>文件要求，无偏离。如果行数不够，请自行增加。</w:t>
      </w:r>
    </w:p>
    <w:p w14:paraId="547194CF">
      <w:pPr>
        <w:widowControl/>
        <w:shd w:val="clear" w:color="auto" w:fill="FFFFFF"/>
        <w:spacing w:line="360" w:lineRule="auto"/>
        <w:jc w:val="left"/>
        <w:rPr>
          <w:rFonts w:ascii="Arial" w:hAnsi="Arial" w:cs="Arial"/>
          <w:kern w:val="0"/>
          <w:szCs w:val="21"/>
        </w:rPr>
      </w:pPr>
    </w:p>
    <w:p w14:paraId="238B8C2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5FC593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334327D0">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325B28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E207F50">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6FC118C5">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DE02F62">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ascii="Arial" w:hAnsi="Arial" w:cs="Arial"/>
                <w:b/>
                <w:kern w:val="0"/>
                <w:szCs w:val="21"/>
              </w:rPr>
            </w:pPr>
            <w:r>
              <w:rPr>
                <w:rFonts w:ascii="Arial" w:hAnsi="Arial" w:cs="Arial"/>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ascii="Arial" w:hAnsi="Arial" w:cs="Arial"/>
                <w:kern w:val="0"/>
                <w:szCs w:val="21"/>
              </w:rPr>
            </w:pPr>
            <w:r>
              <w:rPr>
                <w:rFonts w:ascii="Arial" w:hAnsi="Arial" w:cs="Arial"/>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ascii="Arial" w:hAnsi="Arial" w:cs="Arial"/>
                <w:kern w:val="0"/>
                <w:szCs w:val="21"/>
              </w:rPr>
            </w:pPr>
            <w:r>
              <w:rPr>
                <w:rFonts w:ascii="Arial" w:hAnsi="Arial" w:cs="Arial"/>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ascii="Arial" w:hAnsi="Arial" w:cs="Arial"/>
                <w:kern w:val="0"/>
                <w:szCs w:val="21"/>
              </w:rPr>
            </w:pPr>
            <w:r>
              <w:rPr>
                <w:rFonts w:ascii="Arial" w:hAnsi="Arial" w:cs="Arial"/>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ascii="Arial" w:hAnsi="Arial" w:cs="Arial"/>
                <w:kern w:val="0"/>
                <w:szCs w:val="21"/>
              </w:rPr>
            </w:pPr>
            <w:r>
              <w:rPr>
                <w:rFonts w:ascii="Arial" w:hAnsi="Arial" w:cs="Arial"/>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ascii="Arial" w:hAnsi="Arial" w:cs="Arial"/>
                <w:kern w:val="0"/>
                <w:szCs w:val="21"/>
              </w:rPr>
            </w:pPr>
            <w:r>
              <w:rPr>
                <w:rFonts w:ascii="Arial" w:hAnsi="Arial" w:cs="Arial"/>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ascii="Arial" w:hAnsi="Arial" w:cs="Arial"/>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ascii="Arial" w:hAnsi="Arial" w:cs="Arial"/>
                <w:kern w:val="0"/>
                <w:szCs w:val="21"/>
              </w:rPr>
            </w:pPr>
          </w:p>
        </w:tc>
      </w:tr>
    </w:tbl>
    <w:p w14:paraId="0C876C6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57892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3336A605">
      <w:pPr>
        <w:widowControl/>
        <w:shd w:val="clear" w:color="auto" w:fill="FFFFFF"/>
        <w:spacing w:line="360" w:lineRule="auto"/>
        <w:jc w:val="left"/>
        <w:rPr>
          <w:rFonts w:hint="eastAsia" w:ascii="Arial" w:hAnsi="Arial" w:eastAsia="宋体" w:cs="Arial"/>
          <w:kern w:val="0"/>
          <w:szCs w:val="21"/>
          <w:lang w:val="en-US" w:eastAsia="zh-CN"/>
        </w:rPr>
      </w:pPr>
      <w:r>
        <w:rPr>
          <w:rFonts w:hint="eastAsia" w:ascii="Arial" w:hAnsi="Arial" w:cs="Arial"/>
          <w:kern w:val="0"/>
          <w:szCs w:val="21"/>
          <w:lang w:val="en-US" w:eastAsia="zh-CN"/>
        </w:rPr>
        <w:t>2、内容响应存在正偏离或无偏离或负偏离的，请在本表中逐条列出。未列出的，也视为响应招标文件要求，无偏离。如果行数不够，请自行增加。</w:t>
      </w:r>
    </w:p>
    <w:p w14:paraId="528BCE67">
      <w:pPr>
        <w:widowControl/>
        <w:shd w:val="clear" w:color="auto" w:fill="FFFFFF"/>
        <w:spacing w:line="360" w:lineRule="auto"/>
        <w:jc w:val="left"/>
        <w:rPr>
          <w:rFonts w:ascii="Arial" w:hAnsi="Arial" w:cs="Arial"/>
          <w:kern w:val="0"/>
          <w:szCs w:val="21"/>
        </w:rPr>
      </w:pPr>
    </w:p>
    <w:p w14:paraId="7EC4C5A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F274FC9">
      <w:pPr>
        <w:widowControl/>
        <w:shd w:val="clear" w:color="auto" w:fill="FFFFFF"/>
        <w:spacing w:line="360" w:lineRule="auto"/>
        <w:jc w:val="left"/>
        <w:rPr>
          <w:rFonts w:ascii="Arial" w:hAnsi="Arial" w:cs="Arial"/>
          <w:kern w:val="0"/>
          <w:szCs w:val="21"/>
        </w:rPr>
      </w:pPr>
    </w:p>
    <w:p w14:paraId="1E05838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492B810">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BAC339A">
      <w:pPr>
        <w:widowControl/>
        <w:shd w:val="clear" w:color="auto" w:fill="FFFFFF"/>
        <w:spacing w:line="360" w:lineRule="auto"/>
        <w:jc w:val="left"/>
        <w:rPr>
          <w:rFonts w:ascii="Arial" w:hAnsi="Arial" w:cs="Arial"/>
          <w:kern w:val="0"/>
          <w:szCs w:val="21"/>
        </w:rPr>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7"/>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7"/>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7AA45F0A">
      <w:pPr>
        <w:widowControl/>
        <w:adjustRightInd w:val="0"/>
        <w:spacing w:line="460" w:lineRule="atLeast"/>
        <w:rPr>
          <w:rFonts w:ascii="Arial" w:hAnsi="Arial" w:cs="Arial"/>
          <w:b/>
          <w:bCs/>
          <w:kern w:val="0"/>
          <w:sz w:val="24"/>
        </w:rPr>
      </w:pPr>
    </w:p>
    <w:p w14:paraId="0EDEF68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lang w:val="en-US" w:eastAsia="zh-CN"/>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B82C85">
      <w:pPr>
        <w:widowControl/>
        <w:adjustRightInd w:val="0"/>
        <w:rPr>
          <w:rFonts w:ascii="Arial" w:hAnsi="Arial" w:cs="Arial"/>
          <w:kern w:val="0"/>
          <w:szCs w:val="21"/>
        </w:rPr>
      </w:pP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2B0AA7">
      <w:pPr>
        <w:widowControl/>
        <w:adjustRightInd w:val="0"/>
        <w:spacing w:line="360" w:lineRule="auto"/>
        <w:jc w:val="center"/>
        <w:rPr>
          <w:rFonts w:ascii="Arial" w:hAnsi="Arial" w:cs="Arial"/>
          <w:b/>
          <w:bCs/>
          <w:kern w:val="0"/>
          <w:sz w:val="24"/>
        </w:rPr>
      </w:pPr>
    </w:p>
    <w:p w14:paraId="02444F8F">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77AE4A1">
      <w:pPr>
        <w:spacing w:line="360" w:lineRule="auto"/>
        <w:jc w:val="center"/>
        <w:rPr>
          <w:rFonts w:ascii="Arial" w:hAnsi="Arial" w:cs="Arial"/>
          <w:b/>
          <w:bCs/>
          <w:sz w:val="28"/>
        </w:rPr>
      </w:pPr>
      <w:r>
        <w:rPr>
          <w:rFonts w:hint="eastAsia" w:ascii="Arial" w:hAnsi="Arial" w:cs="Arial"/>
          <w:b/>
          <w:bCs/>
          <w:sz w:val="28"/>
        </w:rPr>
        <w:t>中小企业声明函（工程、服务）</w:t>
      </w:r>
    </w:p>
    <w:p w14:paraId="30A1B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46C0BFD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6B8D893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2FD57C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C201BD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w:t>
      </w:r>
    </w:p>
    <w:p w14:paraId="66D88FC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1D1161A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13BCB17E">
      <w:pPr>
        <w:widowControl/>
        <w:shd w:val="clear" w:color="auto" w:fill="FFFFFF"/>
        <w:spacing w:line="360" w:lineRule="auto"/>
        <w:rPr>
          <w:rFonts w:hint="eastAsia" w:ascii="宋体" w:hAnsi="宋体" w:cs="宋体"/>
          <w:snapToGrid w:val="0"/>
          <w:kern w:val="0"/>
          <w:szCs w:val="21"/>
        </w:rPr>
      </w:pPr>
    </w:p>
    <w:p w14:paraId="66823307">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highlight w:val="none"/>
        </w:rPr>
        <w:t>（加盖电子公章）</w:t>
      </w:r>
      <w:r>
        <w:rPr>
          <w:rFonts w:hint="eastAsia" w:ascii="宋体" w:hAnsi="宋体" w:cs="宋体"/>
          <w:snapToGrid w:val="0"/>
          <w:kern w:val="0"/>
          <w:szCs w:val="21"/>
        </w:rPr>
        <w:t>：</w:t>
      </w:r>
    </w:p>
    <w:p w14:paraId="3EDBDD4B">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13C564BC">
      <w:pPr>
        <w:rPr>
          <w:rFonts w:ascii="Arial" w:hAnsi="Arial" w:cs="Arial"/>
          <w:b/>
          <w:bCs/>
          <w:sz w:val="28"/>
        </w:rPr>
      </w:pPr>
      <w:r>
        <w:rPr>
          <w:rFonts w:hint="eastAsia" w:ascii="Arial" w:hAnsi="Arial" w:cs="Arial"/>
          <w:b/>
          <w:bCs/>
          <w:sz w:val="28"/>
        </w:rPr>
        <w:br w:type="page"/>
      </w:r>
    </w:p>
    <w:p w14:paraId="05EFBDE3">
      <w:pPr>
        <w:spacing w:line="560" w:lineRule="exact"/>
        <w:ind w:firstLine="240"/>
        <w:jc w:val="center"/>
        <w:rPr>
          <w:rFonts w:hint="eastAsia" w:ascii="宋体" w:hAnsi="宋体"/>
          <w:b/>
          <w:sz w:val="24"/>
          <w:szCs w:val="21"/>
        </w:rPr>
      </w:pPr>
      <w:r>
        <w:rPr>
          <w:rFonts w:hint="eastAsia" w:ascii="宋体" w:hAnsi="宋体"/>
          <w:b/>
          <w:sz w:val="24"/>
          <w:szCs w:val="21"/>
        </w:rPr>
        <w:t>中小微企业声明函（货物类项目）</w:t>
      </w:r>
    </w:p>
    <w:p w14:paraId="6F74E894">
      <w:pPr>
        <w:spacing w:line="560" w:lineRule="exact"/>
        <w:ind w:firstLine="240"/>
        <w:jc w:val="center"/>
        <w:rPr>
          <w:rFonts w:hint="eastAsia" w:ascii="宋体" w:hAnsi="宋体"/>
          <w:b/>
          <w:sz w:val="24"/>
          <w:szCs w:val="21"/>
        </w:rPr>
      </w:pPr>
    </w:p>
    <w:p w14:paraId="6FF1EB76">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的采购活动，提供的货物全部由符合政策要求的中小微企业制造。相关企业（含联合体中的中小微企业、签订采购包意向协议的中小微企业）的具体情况如下：</w:t>
      </w:r>
    </w:p>
    <w:p w14:paraId="0E12AB2B">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微型企业）；</w:t>
      </w:r>
    </w:p>
    <w:p w14:paraId="03313591">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 □小型企业 □微型企业）；</w:t>
      </w:r>
    </w:p>
    <w:p w14:paraId="691B6BE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w:t>
      </w:r>
    </w:p>
    <w:p w14:paraId="28685CF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BEFE741">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D752AB8">
      <w:pPr>
        <w:spacing w:line="360" w:lineRule="auto"/>
        <w:ind w:right="720"/>
        <w:rPr>
          <w:rFonts w:hint="eastAsia" w:ascii="宋体" w:hAnsi="宋体" w:eastAsia="宋体" w:cs="宋体"/>
          <w:sz w:val="21"/>
          <w:szCs w:val="21"/>
        </w:rPr>
      </w:pPr>
    </w:p>
    <w:p w14:paraId="7507AD40">
      <w:pPr>
        <w:spacing w:line="360" w:lineRule="auto"/>
        <w:ind w:right="180" w:firstLine="360"/>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企业名称（加盖CA电子公章）：</w:t>
      </w:r>
    </w:p>
    <w:p w14:paraId="1E8DB78A">
      <w:pPr>
        <w:spacing w:line="360" w:lineRule="auto"/>
        <w:ind w:right="480" w:firstLine="4560"/>
        <w:rPr>
          <w:rFonts w:hint="eastAsia" w:ascii="宋体" w:hAnsi="宋体" w:eastAsia="宋体" w:cs="宋体"/>
          <w:sz w:val="21"/>
          <w:szCs w:val="21"/>
        </w:rPr>
      </w:pP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p>
    <w:p w14:paraId="3E269B19">
      <w:pPr>
        <w:spacing w:line="400" w:lineRule="exact"/>
        <w:rPr>
          <w:rFonts w:hint="eastAsia" w:ascii="宋体" w:hAnsi="宋体" w:eastAsia="宋体" w:cs="宋体"/>
          <w:sz w:val="21"/>
          <w:szCs w:val="21"/>
        </w:rPr>
      </w:pPr>
    </w:p>
    <w:p w14:paraId="2F83CB1D">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备注：</w:t>
      </w:r>
    </w:p>
    <w:p w14:paraId="067317C9">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11995835">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2.专门面向中小微型企业采购的项目，供应商如不提供此声明函，则不能通过资格审查；非专门面向中小微型企业采购的项目，供应商如不提供此声明函，价格将不做相应扣除。</w:t>
      </w:r>
    </w:p>
    <w:p w14:paraId="235155E9">
      <w:pPr>
        <w:spacing w:line="400" w:lineRule="exact"/>
        <w:ind w:left="540" w:hanging="120"/>
        <w:rPr>
          <w:rFonts w:hint="eastAsia" w:ascii="宋体" w:hAnsi="宋体" w:eastAsia="宋体" w:cs="宋体"/>
          <w:sz w:val="21"/>
          <w:szCs w:val="21"/>
        </w:rPr>
      </w:pPr>
      <w:r>
        <w:rPr>
          <w:rFonts w:hint="eastAsia" w:ascii="宋体" w:hAnsi="宋体" w:eastAsia="宋体" w:cs="宋体"/>
          <w:sz w:val="21"/>
          <w:szCs w:val="21"/>
        </w:rPr>
        <w:t>3.供应商应对照《工业和信息化部、国家统计局、国家发展和改革委员会、</w:t>
      </w:r>
    </w:p>
    <w:p w14:paraId="7FEDB33C">
      <w:pPr>
        <w:rPr>
          <w:rFonts w:hint="eastAsia" w:ascii="宋体" w:hAnsi="宋体" w:eastAsia="宋体" w:cs="宋体"/>
          <w:sz w:val="21"/>
          <w:szCs w:val="21"/>
        </w:rPr>
      </w:pPr>
      <w:r>
        <w:rPr>
          <w:rFonts w:hint="eastAsia" w:ascii="宋体" w:hAnsi="宋体" w:eastAsia="宋体" w:cs="宋体"/>
          <w:sz w:val="21"/>
          <w:szCs w:val="21"/>
        </w:rPr>
        <w:t>财政部关于印发中小企业划型标准规定的通知》(工信部联企业〔2011〕300号)《国家统计局关于印发〈统计上大中小微型企业划分办法（2017）〉的通知》（国统字〔2017〕213号）的规定，自行勾选制造商的企业规模类型。</w:t>
      </w:r>
    </w:p>
    <w:p w14:paraId="118C318A">
      <w:pPr>
        <w:pageBreakBefore w:val="0"/>
        <w:kinsoku/>
        <w:wordWrap/>
        <w:overflowPunct/>
        <w:topLinePunct w:val="0"/>
        <w:autoSpaceDE/>
        <w:autoSpaceDN/>
        <w:bidi w:val="0"/>
        <w:adjustRightInd/>
        <w:snapToGrid/>
        <w:spacing w:line="360" w:lineRule="auto"/>
        <w:ind w:left="840" w:hanging="210"/>
        <w:textAlignment w:val="auto"/>
        <w:outlineLvl w:val="9"/>
        <w:rPr>
          <w:rFonts w:hint="eastAsia" w:ascii="宋体" w:hAnsi="宋体" w:cs="宋体"/>
          <w:kern w:val="0"/>
          <w:lang w:val="zh-CN"/>
        </w:rPr>
      </w:pPr>
    </w:p>
    <w:p w14:paraId="1B1D8C8E">
      <w:pPr>
        <w:pageBreakBefore w:val="0"/>
        <w:kinsoku/>
        <w:wordWrap/>
        <w:overflowPunct/>
        <w:topLinePunct w:val="0"/>
        <w:autoSpaceDE/>
        <w:autoSpaceDN/>
        <w:bidi w:val="0"/>
        <w:adjustRightInd/>
        <w:snapToGrid/>
        <w:textAlignment w:val="auto"/>
        <w:outlineLvl w:val="9"/>
        <w:rPr>
          <w:rFonts w:hint="eastAsia" w:ascii="宋体" w:hAnsi="宋体"/>
          <w:b/>
          <w:kern w:val="0"/>
        </w:rPr>
      </w:pPr>
      <w:r>
        <w:rPr>
          <w:rFonts w:hint="eastAsia" w:ascii="宋体" w:hAnsi="宋体"/>
          <w:b/>
          <w:kern w:val="0"/>
        </w:rPr>
        <w:br w:type="page"/>
      </w:r>
    </w:p>
    <w:p w14:paraId="57A5E359">
      <w:pPr>
        <w:pageBreakBefore w:val="0"/>
        <w:kinsoku/>
        <w:wordWrap/>
        <w:overflowPunct/>
        <w:topLinePunct w:val="0"/>
        <w:autoSpaceDE/>
        <w:autoSpaceDN/>
        <w:bidi w:val="0"/>
        <w:adjustRightInd/>
        <w:snapToGrid/>
        <w:textAlignment w:val="auto"/>
        <w:outlineLvl w:val="9"/>
        <w:rPr>
          <w:rFonts w:hint="eastAsia" w:ascii="宋体" w:hAnsi="宋体"/>
          <w:b/>
          <w:kern w:val="0"/>
        </w:rPr>
      </w:pPr>
      <w:r>
        <w:rPr>
          <w:rFonts w:hint="eastAsia" w:ascii="宋体" w:hAnsi="宋体"/>
          <w:b/>
          <w:kern w:val="0"/>
        </w:rPr>
        <w:t>附：中小企业划型标准规定</w:t>
      </w:r>
    </w:p>
    <w:p w14:paraId="120FBD47">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pageBreakBefore w:val="0"/>
        <w:kinsoku/>
        <w:wordWrap/>
        <w:overflowPunct/>
        <w:topLinePunct w:val="0"/>
        <w:autoSpaceDE/>
        <w:autoSpaceDN/>
        <w:bidi w:val="0"/>
        <w:adjustRightInd/>
        <w:snapToGrid/>
        <w:ind w:firstLine="422"/>
        <w:textAlignment w:val="auto"/>
        <w:outlineLvl w:val="9"/>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pageBreakBefore w:val="0"/>
        <w:widowControl/>
        <w:kinsoku/>
        <w:wordWrap/>
        <w:overflowPunct/>
        <w:topLinePunct w:val="0"/>
        <w:autoSpaceDE/>
        <w:autoSpaceDN/>
        <w:bidi w:val="0"/>
        <w:adjustRightInd/>
        <w:snapToGrid/>
        <w:jc w:val="left"/>
        <w:textAlignment w:val="auto"/>
        <w:outlineLvl w:val="9"/>
        <w:rPr>
          <w:rFonts w:ascii="Arial" w:hAnsi="Arial" w:cs="Arial"/>
          <w:snapToGrid w:val="0"/>
          <w:kern w:val="0"/>
          <w:szCs w:val="21"/>
        </w:rPr>
      </w:pPr>
    </w:p>
    <w:p w14:paraId="16AA761E">
      <w:pPr>
        <w:pageBreakBefore w:val="0"/>
        <w:kinsoku/>
        <w:wordWrap/>
        <w:overflowPunct/>
        <w:topLinePunct w:val="0"/>
        <w:autoSpaceDE/>
        <w:autoSpaceDN/>
        <w:bidi w:val="0"/>
        <w:adjustRightInd/>
        <w:snapToGrid/>
        <w:spacing w:line="360" w:lineRule="auto"/>
        <w:jc w:val="center"/>
        <w:textAlignment w:val="auto"/>
        <w:outlineLvl w:val="9"/>
        <w:rPr>
          <w:rFonts w:ascii="Arial" w:hAnsi="Arial" w:cs="Arial"/>
          <w:snapToGrid w:val="0"/>
          <w:kern w:val="0"/>
          <w:szCs w:val="21"/>
        </w:rPr>
      </w:pPr>
    </w:p>
    <w:p w14:paraId="24821373">
      <w:pPr>
        <w:spacing w:line="360" w:lineRule="auto"/>
        <w:jc w:val="center"/>
        <w:rPr>
          <w:rFonts w:ascii="Arial" w:hAnsi="Arial" w:cs="Arial"/>
          <w:b/>
          <w:bCs/>
          <w:sz w:val="28"/>
        </w:rPr>
      </w:pPr>
    </w:p>
    <w:p w14:paraId="2D30DF3F">
      <w:pPr>
        <w:rPr>
          <w:rFonts w:ascii="Arial" w:hAnsi="Arial" w:cs="Arial"/>
          <w:b/>
          <w:bCs/>
          <w:sz w:val="28"/>
        </w:rPr>
      </w:pPr>
      <w:r>
        <w:rPr>
          <w:rFonts w:ascii="Arial" w:hAnsi="Arial" w:cs="Arial"/>
          <w:b/>
          <w:bCs/>
          <w:sz w:val="28"/>
        </w:rPr>
        <w:br w:type="page"/>
      </w:r>
    </w:p>
    <w:p w14:paraId="1523242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0"/>
        <w:jc w:val="center"/>
        <w:rPr>
          <w:rFonts w:hint="eastAsia" w:ascii="宋体" w:hAnsi="宋体" w:eastAsia="宋体" w:cs="宋体"/>
          <w:i w:val="0"/>
          <w:iCs w:val="0"/>
          <w:caps w:val="0"/>
          <w:color w:val="333333"/>
          <w:spacing w:val="0"/>
          <w:sz w:val="30"/>
          <w:szCs w:val="30"/>
        </w:rPr>
      </w:pPr>
      <w:r>
        <w:rPr>
          <w:rStyle w:val="50"/>
          <w:rFonts w:hint="eastAsia" w:ascii="宋体" w:hAnsi="宋体" w:eastAsia="宋体" w:cs="宋体"/>
          <w:i w:val="0"/>
          <w:iCs w:val="0"/>
          <w:caps w:val="0"/>
          <w:color w:val="333333"/>
          <w:spacing w:val="0"/>
          <w:sz w:val="30"/>
          <w:szCs w:val="30"/>
          <w:shd w:val="clear" w:color="auto" w:fill="FFFFFF"/>
        </w:rPr>
        <w:t>关于符合本国产品标准的声明函</w:t>
      </w:r>
    </w:p>
    <w:p w14:paraId="3CB294F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420"/>
        <w:rPr>
          <w:rFonts w:hint="eastAsia" w:ascii="宋体" w:hAnsi="宋体" w:eastAsia="宋体" w:cs="宋体"/>
          <w:i w:val="0"/>
          <w:iCs w:val="0"/>
          <w:caps w:val="0"/>
          <w:color w:val="333333"/>
          <w:spacing w:val="0"/>
          <w:sz w:val="12"/>
          <w:szCs w:val="12"/>
        </w:rPr>
      </w:pPr>
    </w:p>
    <w:p w14:paraId="6B8D789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8D4930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（产品名称1）</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72309A7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2</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32EE604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p>
    <w:p w14:paraId="243576A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本公司（单位）对上述声明内容的真实性负责。如有虚假，愿承担相应法律责任。</w:t>
      </w:r>
    </w:p>
    <w:p w14:paraId="226CC9E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rPr>
          <w:rFonts w:hint="eastAsia" w:ascii="宋体" w:hAnsi="宋体" w:eastAsia="宋体" w:cs="宋体"/>
          <w:i w:val="0"/>
          <w:iCs w:val="0"/>
          <w:caps w:val="0"/>
          <w:color w:val="000000" w:themeColor="text1"/>
          <w:spacing w:val="0"/>
          <w:sz w:val="21"/>
          <w:szCs w:val="21"/>
          <w14:textFill>
            <w14:solidFill>
              <w14:schemeClr w14:val="tx1"/>
            </w14:solidFill>
          </w14:textFill>
        </w:rPr>
      </w:pPr>
    </w:p>
    <w:p w14:paraId="1249B5BF">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righ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w:t>
      </w:r>
    </w:p>
    <w:p w14:paraId="00603F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日期：　     年　  月　  日         </w:t>
      </w:r>
    </w:p>
    <w:p w14:paraId="4C75C81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8B1C3C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19CEC9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_________________</w:t>
      </w:r>
    </w:p>
    <w:p w14:paraId="2562E580">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1.产品如有型号，请在“产品名称”栏一并填写。</w:t>
      </w:r>
    </w:p>
    <w:p w14:paraId="094A654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2.生产厂名与厂址应与生产厂营业执照载明的相关信息保持一致。</w:t>
      </w:r>
    </w:p>
    <w:p w14:paraId="6293C24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3.该产品的中国境内生产的组件成本占比相关要求实施前，“规定比例”栏可不填，下同。</w:t>
      </w:r>
    </w:p>
    <w:p w14:paraId="510A31D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4.该产品的关键组件要求实施前，“关键组件”栏可不填，下同。</w:t>
      </w:r>
    </w:p>
    <w:p w14:paraId="26759943">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5.该产品的关键工序要求实施前，“关键工序”栏可不填，下同。</w:t>
      </w:r>
    </w:p>
    <w:p w14:paraId="63385206">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”的地方无需填写。</w:t>
      </w:r>
    </w:p>
    <w:p w14:paraId="449A4973"/>
    <w:p w14:paraId="1CBBA162">
      <w:pPr>
        <w:rPr>
          <w:rFonts w:ascii="Arial" w:hAnsi="Arial" w:cs="Arial"/>
          <w:b/>
          <w:bCs/>
          <w:sz w:val="28"/>
        </w:rPr>
      </w:pPr>
      <w:r>
        <w:rPr>
          <w:rFonts w:ascii="Arial" w:hAnsi="Arial" w:cs="Arial"/>
          <w:b/>
          <w:bCs/>
          <w:sz w:val="28"/>
        </w:rPr>
        <w:br w:type="page"/>
      </w:r>
    </w:p>
    <w:p w14:paraId="34C14731">
      <w:pPr>
        <w:spacing w:line="360" w:lineRule="auto"/>
        <w:jc w:val="center"/>
        <w:rPr>
          <w:rFonts w:hint="eastAsia" w:ascii="宋体" w:hAnsi="宋体"/>
          <w:b/>
          <w:sz w:val="24"/>
          <w:szCs w:val="24"/>
        </w:rPr>
      </w:pPr>
      <w:r>
        <w:rPr>
          <w:rFonts w:hint="eastAsia" w:ascii="宋体" w:hAnsi="宋体"/>
          <w:b/>
          <w:sz w:val="24"/>
          <w:szCs w:val="24"/>
        </w:rPr>
        <w:t>残疾人福利性单位声明函（货物类项目）</w:t>
      </w:r>
    </w:p>
    <w:p w14:paraId="1FA58878">
      <w:pPr>
        <w:spacing w:line="360" w:lineRule="auto"/>
        <w:jc w:val="center"/>
        <w:rPr>
          <w:rFonts w:hint="eastAsia" w:ascii="宋体" w:hAnsi="宋体"/>
          <w:b/>
          <w:sz w:val="24"/>
          <w:szCs w:val="24"/>
        </w:rPr>
      </w:pPr>
    </w:p>
    <w:p w14:paraId="7ECCE79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采购活动提供本单位制造的货物，或者提供其他残疾人福利性单位制造的货物（不包括使用非残疾人福利性单位注册商标的货物）。</w:t>
      </w:r>
    </w:p>
    <w:p w14:paraId="6FD339C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29A99F55">
      <w:pPr>
        <w:spacing w:line="360" w:lineRule="auto"/>
        <w:ind w:firstLine="480"/>
        <w:rPr>
          <w:rFonts w:hint="eastAsia" w:ascii="宋体" w:hAnsi="宋体" w:eastAsia="宋体" w:cs="宋体"/>
          <w:sz w:val="21"/>
          <w:szCs w:val="21"/>
        </w:rPr>
      </w:pPr>
    </w:p>
    <w:p w14:paraId="1BF1899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备注：</w:t>
      </w:r>
    </w:p>
    <w:p w14:paraId="0596445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1.专门面向中小微型企业采购的项目，供应商为残疾人福利性单位并提供本单位制造的货物，或者提供其他残疾人福利性单位制造的货物，必须提供此声明函，否则将不能通过资格审查。</w:t>
      </w:r>
    </w:p>
    <w:p w14:paraId="6B6C6F8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 非专门面向中小微型企业采购的项目，供应商如不提供此声明函，价格将不做相应扣除。</w:t>
      </w:r>
    </w:p>
    <w:p w14:paraId="37AB25E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3.中标/成交供应商为残疾人福利性单位的，此声明函将随中标/成交结果同时公告，接受社会监督。</w:t>
      </w:r>
    </w:p>
    <w:p w14:paraId="34D5295A">
      <w:pPr>
        <w:spacing w:line="360" w:lineRule="auto"/>
        <w:ind w:firstLine="624"/>
        <w:rPr>
          <w:rFonts w:hint="eastAsia" w:ascii="宋体" w:hAnsi="宋体" w:eastAsia="宋体" w:cs="宋体"/>
          <w:spacing w:val="6"/>
          <w:sz w:val="21"/>
          <w:szCs w:val="21"/>
        </w:rPr>
      </w:pPr>
    </w:p>
    <w:p w14:paraId="7A658935">
      <w:pPr>
        <w:tabs>
          <w:tab w:val="left" w:pos="4860"/>
        </w:tabs>
        <w:spacing w:line="360" w:lineRule="auto"/>
        <w:ind w:right="1559" w:firstLine="624"/>
        <w:jc w:val="center"/>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供应商全称（加盖CA电子公章）：</w:t>
      </w:r>
    </w:p>
    <w:p w14:paraId="59197D69">
      <w:pPr>
        <w:tabs>
          <w:tab w:val="left" w:pos="4860"/>
        </w:tabs>
        <w:spacing w:line="360" w:lineRule="auto"/>
        <w:ind w:right="1559" w:firstLine="480"/>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r>
        <w:rPr>
          <w:rFonts w:hint="eastAsia" w:ascii="宋体" w:hAnsi="宋体" w:eastAsia="宋体" w:cs="宋体"/>
          <w:i w:val="0"/>
          <w:iCs w:val="0"/>
          <w:caps w:val="0"/>
          <w:color w:val="auto"/>
          <w:spacing w:val="0"/>
          <w:sz w:val="21"/>
          <w:szCs w:val="21"/>
          <w:shd w:val="clear" w:color="auto" w:fill="FFFFFF"/>
        </w:rPr>
        <w:t> </w:t>
      </w:r>
    </w:p>
    <w:p w14:paraId="75617AD9">
      <w:pPr>
        <w:spacing w:line="360" w:lineRule="auto"/>
        <w:rPr>
          <w:rFonts w:ascii="Arial" w:hAnsi="Arial" w:cs="Arial"/>
          <w:b/>
          <w:bCs/>
        </w:rPr>
      </w:pPr>
    </w:p>
    <w:p w14:paraId="430D41E2">
      <w:pPr>
        <w:spacing w:line="360" w:lineRule="auto"/>
        <w:rPr>
          <w:rFonts w:ascii="Arial" w:hAnsi="Arial" w:cs="Arial"/>
          <w:b/>
          <w:bCs/>
        </w:rPr>
      </w:pPr>
    </w:p>
    <w:p w14:paraId="6EA541E8">
      <w:pPr>
        <w:spacing w:line="360" w:lineRule="auto"/>
        <w:rPr>
          <w:rFonts w:ascii="Arial" w:hAnsi="Arial" w:cs="Arial"/>
          <w:b/>
          <w:bCs/>
        </w:rPr>
      </w:pPr>
    </w:p>
    <w:p w14:paraId="6B2386E2">
      <w:pPr>
        <w:rPr>
          <w:rFonts w:ascii="Arial" w:hAnsi="Arial" w:cs="Arial"/>
          <w:b/>
          <w:bCs/>
          <w:sz w:val="28"/>
        </w:rPr>
      </w:pPr>
      <w:r>
        <w:rPr>
          <w:rFonts w:ascii="Arial" w:hAnsi="Arial" w:cs="Arial"/>
          <w:b/>
          <w:bCs/>
          <w:sz w:val="28"/>
        </w:rPr>
        <w:br w:type="page"/>
      </w:r>
    </w:p>
    <w:p w14:paraId="54DE5412">
      <w:pPr>
        <w:spacing w:line="360" w:lineRule="auto"/>
        <w:jc w:val="center"/>
        <w:rPr>
          <w:rFonts w:ascii="Arial" w:hAnsi="Arial" w:cs="Arial"/>
          <w:b/>
          <w:bCs/>
          <w:sz w:val="28"/>
        </w:rPr>
      </w:pPr>
      <w:r>
        <w:rPr>
          <w:rFonts w:ascii="Arial" w:hAnsi="Arial" w:cs="Arial"/>
          <w:b/>
          <w:bCs/>
          <w:sz w:val="28"/>
        </w:rPr>
        <w:t>属于监狱企业的证明文件</w:t>
      </w:r>
    </w:p>
    <w:p w14:paraId="704C1ADE">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2AF98CE">
      <w:pPr>
        <w:spacing w:line="360" w:lineRule="auto"/>
        <w:rPr>
          <w:rFonts w:ascii="Arial" w:hAnsi="Arial" w:cs="Arial"/>
          <w:b/>
          <w:bCs/>
        </w:rPr>
      </w:pPr>
    </w:p>
    <w:p w14:paraId="1585EEE1">
      <w:pPr>
        <w:spacing w:line="360" w:lineRule="auto"/>
        <w:rPr>
          <w:rFonts w:ascii="Arial" w:hAnsi="Arial" w:cs="Arial"/>
          <w:b/>
          <w:bCs/>
        </w:rPr>
      </w:pPr>
    </w:p>
    <w:p w14:paraId="4E29F19F">
      <w:pPr>
        <w:spacing w:line="360" w:lineRule="auto"/>
        <w:rPr>
          <w:rFonts w:ascii="Arial" w:hAnsi="Arial" w:cs="Arial"/>
          <w:b/>
          <w:bCs/>
        </w:rPr>
      </w:pPr>
    </w:p>
    <w:p w14:paraId="3A275055">
      <w:pPr>
        <w:spacing w:line="360" w:lineRule="auto"/>
        <w:rPr>
          <w:rFonts w:ascii="Arial" w:hAnsi="Arial" w:cs="Arial"/>
          <w:b/>
          <w:bCs/>
        </w:rPr>
      </w:pPr>
    </w:p>
    <w:p w14:paraId="1141921E">
      <w:pPr>
        <w:spacing w:line="360" w:lineRule="auto"/>
        <w:rPr>
          <w:rFonts w:ascii="Arial" w:hAnsi="Arial" w:cs="Arial"/>
          <w:b/>
          <w:bCs/>
        </w:rPr>
      </w:pPr>
    </w:p>
    <w:p w14:paraId="1B8F3615">
      <w:pPr>
        <w:spacing w:line="360" w:lineRule="auto"/>
        <w:jc w:val="center"/>
        <w:rPr>
          <w:rFonts w:ascii="Arial" w:hAnsi="Arial" w:cs="Arial"/>
          <w:b/>
          <w:bCs/>
        </w:rPr>
      </w:pPr>
      <w:r>
        <w:rPr>
          <w:rFonts w:ascii="Arial" w:hAnsi="Arial" w:cs="Arial"/>
          <w:b/>
          <w:bCs/>
          <w:sz w:val="28"/>
        </w:rPr>
        <w:t>节能产品认证证书</w:t>
      </w:r>
    </w:p>
    <w:p w14:paraId="2D736DA2">
      <w:pPr>
        <w:spacing w:line="360" w:lineRule="auto"/>
        <w:rPr>
          <w:rFonts w:ascii="Arial" w:hAnsi="Arial" w:cs="Arial"/>
          <w:b/>
          <w:bCs/>
          <w:sz w:val="28"/>
        </w:rPr>
      </w:pPr>
      <w:r>
        <w:rPr>
          <w:rFonts w:ascii="Arial" w:hAnsi="Arial" w:cs="Arial"/>
          <w:bCs/>
        </w:rPr>
        <w:t>（提供国家确定的认证机构出具的、处于有效期之内的产品认证证书）</w:t>
      </w:r>
    </w:p>
    <w:p w14:paraId="08809885">
      <w:pPr>
        <w:spacing w:line="360" w:lineRule="auto"/>
        <w:jc w:val="center"/>
        <w:rPr>
          <w:rFonts w:ascii="Arial" w:hAnsi="Arial" w:cs="Arial"/>
          <w:b/>
          <w:bCs/>
          <w:sz w:val="28"/>
        </w:rPr>
      </w:pPr>
    </w:p>
    <w:p w14:paraId="429C9556">
      <w:pPr>
        <w:spacing w:line="360" w:lineRule="auto"/>
        <w:jc w:val="center"/>
        <w:rPr>
          <w:rFonts w:ascii="Arial" w:hAnsi="Arial" w:cs="Arial"/>
          <w:b/>
          <w:bCs/>
          <w:sz w:val="28"/>
        </w:rPr>
      </w:pPr>
    </w:p>
    <w:p w14:paraId="10890EAE">
      <w:pPr>
        <w:spacing w:line="360" w:lineRule="auto"/>
        <w:jc w:val="center"/>
        <w:rPr>
          <w:rFonts w:ascii="Arial" w:hAnsi="Arial" w:cs="Arial"/>
          <w:b/>
          <w:bCs/>
          <w:sz w:val="28"/>
        </w:rPr>
      </w:pPr>
    </w:p>
    <w:p w14:paraId="62E6CB47">
      <w:pPr>
        <w:spacing w:line="360" w:lineRule="auto"/>
        <w:jc w:val="center"/>
        <w:rPr>
          <w:rFonts w:ascii="Arial" w:hAnsi="Arial" w:cs="Arial"/>
          <w:b/>
          <w:bCs/>
          <w:sz w:val="28"/>
        </w:rPr>
      </w:pPr>
    </w:p>
    <w:p w14:paraId="4041A5FC">
      <w:pPr>
        <w:spacing w:line="360" w:lineRule="auto"/>
        <w:jc w:val="center"/>
        <w:rPr>
          <w:rFonts w:ascii="Arial" w:hAnsi="Arial" w:cs="Arial"/>
          <w:b/>
          <w:bCs/>
        </w:rPr>
      </w:pPr>
      <w:r>
        <w:rPr>
          <w:rFonts w:ascii="Arial" w:hAnsi="Arial" w:cs="Arial"/>
          <w:b/>
          <w:bCs/>
          <w:sz w:val="28"/>
        </w:rPr>
        <w:t>环境标志产品认证证书</w:t>
      </w:r>
    </w:p>
    <w:p w14:paraId="31898EFD">
      <w:pPr>
        <w:spacing w:line="360" w:lineRule="auto"/>
        <w:rPr>
          <w:rFonts w:ascii="Arial" w:hAnsi="Arial" w:cs="Arial"/>
        </w:rPr>
      </w:pPr>
      <w:r>
        <w:rPr>
          <w:rFonts w:ascii="Arial" w:hAnsi="Arial" w:cs="Arial"/>
          <w:bCs/>
        </w:rPr>
        <w:t>（提供国家确定的认证机构出具的、处于有效期之内的产品认证证书）</w:t>
      </w:r>
    </w:p>
    <w:p w14:paraId="053F3C9B">
      <w:pPr>
        <w:spacing w:line="360" w:lineRule="auto"/>
        <w:rPr>
          <w:rFonts w:ascii="Arial" w:hAnsi="Arial" w:cs="Arial"/>
          <w:b/>
          <w:bCs/>
        </w:rPr>
      </w:pPr>
    </w:p>
    <w:p w14:paraId="6604BEBA">
      <w:pPr>
        <w:spacing w:line="360" w:lineRule="auto"/>
        <w:rPr>
          <w:rFonts w:ascii="Arial" w:hAnsi="Arial" w:cs="Arial"/>
          <w:b/>
          <w:bCs/>
        </w:rPr>
      </w:pPr>
    </w:p>
    <w:p w14:paraId="5F15DD27">
      <w:pPr>
        <w:spacing w:line="360" w:lineRule="auto"/>
        <w:rPr>
          <w:rFonts w:ascii="Arial" w:hAnsi="Arial" w:cs="Arial"/>
          <w:b/>
          <w:bCs/>
        </w:rPr>
      </w:pPr>
    </w:p>
    <w:p w14:paraId="64D21D79">
      <w:pPr>
        <w:spacing w:line="360" w:lineRule="auto"/>
        <w:rPr>
          <w:rFonts w:ascii="Arial" w:hAnsi="Arial" w:cs="Arial"/>
          <w:b/>
          <w:bCs/>
        </w:rPr>
      </w:pPr>
    </w:p>
    <w:p w14:paraId="6BC191E8">
      <w:pPr>
        <w:spacing w:line="360" w:lineRule="auto"/>
        <w:rPr>
          <w:rFonts w:ascii="Arial" w:hAnsi="Arial" w:cs="Arial"/>
          <w:b/>
          <w:bCs/>
        </w:rPr>
      </w:pPr>
    </w:p>
    <w:p w14:paraId="7C076125">
      <w:pPr>
        <w:spacing w:line="360" w:lineRule="auto"/>
        <w:jc w:val="center"/>
        <w:rPr>
          <w:rFonts w:ascii="Arial" w:hAnsi="Arial" w:cs="Arial"/>
          <w:b/>
          <w:bCs/>
          <w:sz w:val="28"/>
        </w:rPr>
      </w:pPr>
      <w:r>
        <w:rPr>
          <w:rFonts w:ascii="Arial" w:hAnsi="Arial" w:cs="Arial"/>
          <w:b/>
          <w:bCs/>
          <w:sz w:val="28"/>
        </w:rPr>
        <w:t>进口产品转让技术、消化吸收再创新方案</w:t>
      </w:r>
    </w:p>
    <w:p w14:paraId="4226CFFD">
      <w:pPr>
        <w:spacing w:line="360" w:lineRule="auto"/>
        <w:rPr>
          <w:rFonts w:ascii="Arial" w:hAnsi="Arial" w:cs="Arial"/>
          <w:bCs/>
        </w:rPr>
      </w:pPr>
      <w:r>
        <w:rPr>
          <w:rFonts w:ascii="Arial" w:hAnsi="Arial" w:cs="Arial"/>
          <w:bCs/>
        </w:rPr>
        <w:t>（对于允许进口产品参加的项目）</w:t>
      </w: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3B2C2C96">
      <w:pPr>
        <w:spacing w:line="240" w:lineRule="atLeast"/>
        <w:jc w:val="center"/>
        <w:rPr>
          <w:rFonts w:ascii="Arial" w:hAnsi="Arial" w:eastAsia="黑体" w:cs="Arial"/>
          <w:sz w:val="28"/>
          <w:szCs w:val="36"/>
        </w:rPr>
      </w:pPr>
    </w:p>
    <w:p w14:paraId="28B742C5">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ascii="Arial" w:hAnsi="Arial" w:cs="Arial"/>
          <w:szCs w:val="21"/>
        </w:rPr>
        <w:t>江苏省设备成套股份有限公司：</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2D527448">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highlight w:val="none"/>
        </w:rPr>
        <w:t>加盖电子公章</w:t>
      </w:r>
      <w:r>
        <w:rPr>
          <w:rFonts w:ascii="Arial" w:hAnsi="Arial" w:cs="Arial"/>
        </w:rPr>
        <w:t>）</w:t>
      </w:r>
    </w:p>
    <w:p w14:paraId="74E983FD">
      <w:pPr>
        <w:autoSpaceDE w:val="0"/>
        <w:autoSpaceDN w:val="0"/>
        <w:adjustRightInd w:val="0"/>
        <w:spacing w:line="360" w:lineRule="auto"/>
        <w:ind w:firstLine="5250" w:firstLineChars="25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7877F16C">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2C75A848">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55DF707">
      <w:pPr>
        <w:rPr>
          <w:rFonts w:ascii="Arial" w:hAnsi="Arial" w:cs="Arial"/>
          <w:b/>
        </w:rPr>
      </w:pPr>
      <w:r>
        <w:rPr>
          <w:rFonts w:ascii="Arial" w:hAnsi="Arial" w:cs="Arial"/>
          <w:b/>
        </w:rPr>
        <w:br w:type="page"/>
      </w:r>
    </w:p>
    <w:p w14:paraId="20DA8849">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AAB0998">
      <w:pPr>
        <w:widowControl/>
        <w:jc w:val="left"/>
        <w:rPr>
          <w:rFonts w:ascii="Arial" w:hAnsi="Arial" w:cs="Arial"/>
          <w:b/>
        </w:rPr>
      </w:pPr>
    </w:p>
    <w:p w14:paraId="0E9C0B73">
      <w:pPr>
        <w:widowControl/>
        <w:shd w:val="clear" w:color="auto" w:fill="FFFFFF"/>
        <w:spacing w:line="360" w:lineRule="auto"/>
        <w:jc w:val="left"/>
        <w:rPr>
          <w:rFonts w:hint="eastAsia" w:ascii="宋体" w:hAnsi="宋体"/>
          <w:b/>
          <w:bCs/>
          <w:kern w:val="0"/>
          <w:szCs w:val="21"/>
          <w:lang w:val="zh-CN"/>
        </w:rPr>
      </w:pPr>
    </w:p>
    <w:p w14:paraId="136FFEBE">
      <w:pPr>
        <w:spacing w:before="317" w:beforeLines="100" w:after="317" w:afterLines="100"/>
        <w:jc w:val="center"/>
        <w:rPr>
          <w:rFonts w:hint="eastAsia" w:ascii="宋体" w:hAnsi="宋体"/>
          <w:b/>
          <w:bCs/>
          <w:kern w:val="0"/>
          <w:szCs w:val="21"/>
          <w:lang w:val="zh-CN"/>
        </w:rPr>
      </w:pPr>
    </w:p>
    <w:bookmarkEnd w:id="1"/>
    <w:p w14:paraId="4A8C68D5">
      <w:pPr>
        <w:spacing w:line="440" w:lineRule="exact"/>
        <w:rPr>
          <w:rFonts w:hint="eastAsia"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B5608"/>
    <w:rsid w:val="014F1B49"/>
    <w:rsid w:val="015360F5"/>
    <w:rsid w:val="0161201C"/>
    <w:rsid w:val="01674AD8"/>
    <w:rsid w:val="017A1879"/>
    <w:rsid w:val="017B15F7"/>
    <w:rsid w:val="018502B5"/>
    <w:rsid w:val="018B0123"/>
    <w:rsid w:val="0194102D"/>
    <w:rsid w:val="019B2A51"/>
    <w:rsid w:val="01BB069A"/>
    <w:rsid w:val="01BB3CD7"/>
    <w:rsid w:val="01BD17FD"/>
    <w:rsid w:val="01CA09D6"/>
    <w:rsid w:val="01E4322D"/>
    <w:rsid w:val="01EE6DBE"/>
    <w:rsid w:val="020C008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9566F"/>
    <w:rsid w:val="041E1308"/>
    <w:rsid w:val="042747BE"/>
    <w:rsid w:val="043A5387"/>
    <w:rsid w:val="04473247"/>
    <w:rsid w:val="044D2B93"/>
    <w:rsid w:val="04833676"/>
    <w:rsid w:val="04930DBB"/>
    <w:rsid w:val="04954308"/>
    <w:rsid w:val="049F77B2"/>
    <w:rsid w:val="04A1730E"/>
    <w:rsid w:val="04A2371F"/>
    <w:rsid w:val="04A53BA4"/>
    <w:rsid w:val="04AA1834"/>
    <w:rsid w:val="04D17C83"/>
    <w:rsid w:val="04E374DE"/>
    <w:rsid w:val="04FF00EB"/>
    <w:rsid w:val="050140F6"/>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20D22"/>
    <w:rsid w:val="09363D16"/>
    <w:rsid w:val="095A2C6D"/>
    <w:rsid w:val="09835B7C"/>
    <w:rsid w:val="09CA0506"/>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AB206E"/>
    <w:rsid w:val="0AB44EF5"/>
    <w:rsid w:val="0ABD33E4"/>
    <w:rsid w:val="0AC159A6"/>
    <w:rsid w:val="0AC736EC"/>
    <w:rsid w:val="0AD41965"/>
    <w:rsid w:val="0AE34BB1"/>
    <w:rsid w:val="0AEC3153"/>
    <w:rsid w:val="0AED0B6E"/>
    <w:rsid w:val="0AF3003D"/>
    <w:rsid w:val="0AF50259"/>
    <w:rsid w:val="0B27258E"/>
    <w:rsid w:val="0B305355"/>
    <w:rsid w:val="0B3771AD"/>
    <w:rsid w:val="0B3C5E11"/>
    <w:rsid w:val="0B462EC8"/>
    <w:rsid w:val="0B493559"/>
    <w:rsid w:val="0B4B7099"/>
    <w:rsid w:val="0B53165C"/>
    <w:rsid w:val="0B747542"/>
    <w:rsid w:val="0B807D10"/>
    <w:rsid w:val="0B974E6D"/>
    <w:rsid w:val="0B9E1A60"/>
    <w:rsid w:val="0BA825A3"/>
    <w:rsid w:val="0BAD70EA"/>
    <w:rsid w:val="0BE60C5C"/>
    <w:rsid w:val="0C296CAE"/>
    <w:rsid w:val="0C365370"/>
    <w:rsid w:val="0C41127C"/>
    <w:rsid w:val="0C442C80"/>
    <w:rsid w:val="0C4B30F1"/>
    <w:rsid w:val="0C7376A8"/>
    <w:rsid w:val="0C801F53"/>
    <w:rsid w:val="0C8076E1"/>
    <w:rsid w:val="0C923562"/>
    <w:rsid w:val="0CA97841"/>
    <w:rsid w:val="0CCC6A62"/>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533426"/>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126C7"/>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D3CC0"/>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D18D0"/>
    <w:rsid w:val="148F7029"/>
    <w:rsid w:val="14A05CEA"/>
    <w:rsid w:val="14AA450A"/>
    <w:rsid w:val="14B60A59"/>
    <w:rsid w:val="14BA7BD0"/>
    <w:rsid w:val="14BE0DA8"/>
    <w:rsid w:val="14C10F31"/>
    <w:rsid w:val="14C81165"/>
    <w:rsid w:val="14DF2DE8"/>
    <w:rsid w:val="14E20E88"/>
    <w:rsid w:val="14E71B9C"/>
    <w:rsid w:val="14ED24C4"/>
    <w:rsid w:val="14FE6E45"/>
    <w:rsid w:val="15030DD2"/>
    <w:rsid w:val="151246C1"/>
    <w:rsid w:val="15155054"/>
    <w:rsid w:val="15190BB8"/>
    <w:rsid w:val="15300534"/>
    <w:rsid w:val="153D4CD7"/>
    <w:rsid w:val="15430081"/>
    <w:rsid w:val="1549179A"/>
    <w:rsid w:val="155855A0"/>
    <w:rsid w:val="15760A82"/>
    <w:rsid w:val="15885993"/>
    <w:rsid w:val="158A3C94"/>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85DE3"/>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AE21D3"/>
    <w:rsid w:val="1ABF7F3C"/>
    <w:rsid w:val="1AC77FED"/>
    <w:rsid w:val="1AC8028B"/>
    <w:rsid w:val="1AC90DBB"/>
    <w:rsid w:val="1AE133EF"/>
    <w:rsid w:val="1AEF4DAE"/>
    <w:rsid w:val="1AF5395E"/>
    <w:rsid w:val="1AF77FAB"/>
    <w:rsid w:val="1AFB020E"/>
    <w:rsid w:val="1AFC6661"/>
    <w:rsid w:val="1B324BB2"/>
    <w:rsid w:val="1B46240B"/>
    <w:rsid w:val="1B492FF3"/>
    <w:rsid w:val="1B4950A4"/>
    <w:rsid w:val="1B556620"/>
    <w:rsid w:val="1B6D5BEA"/>
    <w:rsid w:val="1B703F63"/>
    <w:rsid w:val="1B734B45"/>
    <w:rsid w:val="1B924A70"/>
    <w:rsid w:val="1BA324C2"/>
    <w:rsid w:val="1BA61267"/>
    <w:rsid w:val="1BA710FC"/>
    <w:rsid w:val="1BAF2B44"/>
    <w:rsid w:val="1BB43819"/>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13456F"/>
    <w:rsid w:val="1D1A4F19"/>
    <w:rsid w:val="1D2A3966"/>
    <w:rsid w:val="1D325942"/>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461C3"/>
    <w:rsid w:val="1EE95587"/>
    <w:rsid w:val="1F06438B"/>
    <w:rsid w:val="1F0C725C"/>
    <w:rsid w:val="1F3507CD"/>
    <w:rsid w:val="1F491A48"/>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FD3792"/>
    <w:rsid w:val="22110DF7"/>
    <w:rsid w:val="22136A87"/>
    <w:rsid w:val="222C0C93"/>
    <w:rsid w:val="222F1E4B"/>
    <w:rsid w:val="22427CC5"/>
    <w:rsid w:val="224A3FC7"/>
    <w:rsid w:val="224B3D5F"/>
    <w:rsid w:val="2258252F"/>
    <w:rsid w:val="225E4F1E"/>
    <w:rsid w:val="22785BA0"/>
    <w:rsid w:val="228F63A9"/>
    <w:rsid w:val="22A177E6"/>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6F3379"/>
    <w:rsid w:val="257239B5"/>
    <w:rsid w:val="2573525C"/>
    <w:rsid w:val="2573603F"/>
    <w:rsid w:val="25781413"/>
    <w:rsid w:val="257A3E03"/>
    <w:rsid w:val="258C3DF5"/>
    <w:rsid w:val="25A36BFD"/>
    <w:rsid w:val="25E1786F"/>
    <w:rsid w:val="25E83AD3"/>
    <w:rsid w:val="25EB11E1"/>
    <w:rsid w:val="25F252DE"/>
    <w:rsid w:val="25F453F1"/>
    <w:rsid w:val="25F574EA"/>
    <w:rsid w:val="260B280F"/>
    <w:rsid w:val="261C6242"/>
    <w:rsid w:val="263F3EBB"/>
    <w:rsid w:val="26574DB8"/>
    <w:rsid w:val="26693330"/>
    <w:rsid w:val="266A3CEA"/>
    <w:rsid w:val="266E1364"/>
    <w:rsid w:val="268E2249"/>
    <w:rsid w:val="269229A8"/>
    <w:rsid w:val="26A67D94"/>
    <w:rsid w:val="26C52C94"/>
    <w:rsid w:val="26D703BB"/>
    <w:rsid w:val="26E51871"/>
    <w:rsid w:val="26E56F7C"/>
    <w:rsid w:val="26EC52C4"/>
    <w:rsid w:val="26F7280B"/>
    <w:rsid w:val="26FD1062"/>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AD2EF5"/>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6101E"/>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9FC5C1D"/>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AF06EE"/>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84BF3"/>
    <w:rsid w:val="2EDC447A"/>
    <w:rsid w:val="2EDE45E5"/>
    <w:rsid w:val="2EE5733A"/>
    <w:rsid w:val="2EEE11AC"/>
    <w:rsid w:val="2EF22236"/>
    <w:rsid w:val="2EFC1307"/>
    <w:rsid w:val="2EFE35E8"/>
    <w:rsid w:val="2F0A451D"/>
    <w:rsid w:val="2F0C6ACF"/>
    <w:rsid w:val="2F29621C"/>
    <w:rsid w:val="2F315682"/>
    <w:rsid w:val="2F4E6128"/>
    <w:rsid w:val="2F513423"/>
    <w:rsid w:val="2F593497"/>
    <w:rsid w:val="2F80221D"/>
    <w:rsid w:val="2F805A94"/>
    <w:rsid w:val="2FA6202F"/>
    <w:rsid w:val="2FBE1AB6"/>
    <w:rsid w:val="2FDB47FA"/>
    <w:rsid w:val="2FEC4ED7"/>
    <w:rsid w:val="2FFB4CA4"/>
    <w:rsid w:val="30222090"/>
    <w:rsid w:val="302C79CA"/>
    <w:rsid w:val="303F08C7"/>
    <w:rsid w:val="30412492"/>
    <w:rsid w:val="304704C5"/>
    <w:rsid w:val="305A4537"/>
    <w:rsid w:val="30615FED"/>
    <w:rsid w:val="306B04F2"/>
    <w:rsid w:val="30717AD3"/>
    <w:rsid w:val="3086532C"/>
    <w:rsid w:val="308F3CE9"/>
    <w:rsid w:val="30933F17"/>
    <w:rsid w:val="309713C6"/>
    <w:rsid w:val="30981D7F"/>
    <w:rsid w:val="309B5A24"/>
    <w:rsid w:val="30A232E4"/>
    <w:rsid w:val="30B11567"/>
    <w:rsid w:val="30C50C66"/>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E0453"/>
    <w:rsid w:val="319F465C"/>
    <w:rsid w:val="31C32FA3"/>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76B80"/>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4FD25A1"/>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684010"/>
    <w:rsid w:val="398656D3"/>
    <w:rsid w:val="399027B5"/>
    <w:rsid w:val="39933B19"/>
    <w:rsid w:val="39A33CED"/>
    <w:rsid w:val="39A44A75"/>
    <w:rsid w:val="39B34CB8"/>
    <w:rsid w:val="39B63F14"/>
    <w:rsid w:val="39BB11C0"/>
    <w:rsid w:val="39BE1D8D"/>
    <w:rsid w:val="39C236BE"/>
    <w:rsid w:val="39C306DF"/>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9460F"/>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DA369D"/>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B1093"/>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40402F"/>
    <w:rsid w:val="47454177"/>
    <w:rsid w:val="474B6530"/>
    <w:rsid w:val="474D4ED2"/>
    <w:rsid w:val="474F15D8"/>
    <w:rsid w:val="475278BE"/>
    <w:rsid w:val="4754049B"/>
    <w:rsid w:val="475E7C0D"/>
    <w:rsid w:val="476415D8"/>
    <w:rsid w:val="47701558"/>
    <w:rsid w:val="47710A73"/>
    <w:rsid w:val="477426A5"/>
    <w:rsid w:val="47857C94"/>
    <w:rsid w:val="47873BD6"/>
    <w:rsid w:val="47B03AF7"/>
    <w:rsid w:val="47B2336A"/>
    <w:rsid w:val="47BA4F6E"/>
    <w:rsid w:val="47D7366E"/>
    <w:rsid w:val="47E12DA0"/>
    <w:rsid w:val="47E26E94"/>
    <w:rsid w:val="48057437"/>
    <w:rsid w:val="48084421"/>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10375"/>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3051A"/>
    <w:rsid w:val="4C885B30"/>
    <w:rsid w:val="4C955322"/>
    <w:rsid w:val="4C987A51"/>
    <w:rsid w:val="4C993ABE"/>
    <w:rsid w:val="4CAA2DCE"/>
    <w:rsid w:val="4CB37051"/>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1FF8"/>
    <w:rsid w:val="4F0048E8"/>
    <w:rsid w:val="4F0C760F"/>
    <w:rsid w:val="4F15188C"/>
    <w:rsid w:val="4F1B712F"/>
    <w:rsid w:val="4F255836"/>
    <w:rsid w:val="4F29165C"/>
    <w:rsid w:val="4F3F24FD"/>
    <w:rsid w:val="4F4F67C3"/>
    <w:rsid w:val="4F580453"/>
    <w:rsid w:val="4F6178F6"/>
    <w:rsid w:val="4F647CAE"/>
    <w:rsid w:val="4F694BCC"/>
    <w:rsid w:val="4F7F4759"/>
    <w:rsid w:val="4F8A3560"/>
    <w:rsid w:val="4F8A6E9D"/>
    <w:rsid w:val="4FA00EA1"/>
    <w:rsid w:val="4FA7410F"/>
    <w:rsid w:val="4FAD422B"/>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17AA6"/>
    <w:rsid w:val="50D40C4B"/>
    <w:rsid w:val="50D43A3A"/>
    <w:rsid w:val="50DB0910"/>
    <w:rsid w:val="50E46F54"/>
    <w:rsid w:val="5100482F"/>
    <w:rsid w:val="51070C7A"/>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8D6949"/>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750BE"/>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8E46830"/>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A4BBC"/>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83540"/>
    <w:rsid w:val="5D6B14A2"/>
    <w:rsid w:val="5D6F7055"/>
    <w:rsid w:val="5D9B0E6A"/>
    <w:rsid w:val="5D9E1AED"/>
    <w:rsid w:val="5D9E4E16"/>
    <w:rsid w:val="5D9E7178"/>
    <w:rsid w:val="5DB03139"/>
    <w:rsid w:val="5DB83D3A"/>
    <w:rsid w:val="5DBA0135"/>
    <w:rsid w:val="5DCD5DE5"/>
    <w:rsid w:val="5DD437EF"/>
    <w:rsid w:val="5DF16302"/>
    <w:rsid w:val="5DF94AE0"/>
    <w:rsid w:val="5DF954D4"/>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895ABF"/>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743838"/>
    <w:rsid w:val="637455EF"/>
    <w:rsid w:val="637509AF"/>
    <w:rsid w:val="638F4A5D"/>
    <w:rsid w:val="639859D5"/>
    <w:rsid w:val="63A1155A"/>
    <w:rsid w:val="63A23228"/>
    <w:rsid w:val="63AB5D44"/>
    <w:rsid w:val="63B04CF8"/>
    <w:rsid w:val="63BA7188"/>
    <w:rsid w:val="63DF59C2"/>
    <w:rsid w:val="63E6136F"/>
    <w:rsid w:val="63EA625B"/>
    <w:rsid w:val="63ED5BB1"/>
    <w:rsid w:val="63FC6F31"/>
    <w:rsid w:val="641B0AB8"/>
    <w:rsid w:val="642B2B02"/>
    <w:rsid w:val="642E4F72"/>
    <w:rsid w:val="643B3BCB"/>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2C12F7"/>
    <w:rsid w:val="653B5A04"/>
    <w:rsid w:val="654E476E"/>
    <w:rsid w:val="654E74BF"/>
    <w:rsid w:val="65640A91"/>
    <w:rsid w:val="656A1091"/>
    <w:rsid w:val="657A4758"/>
    <w:rsid w:val="657B11CD"/>
    <w:rsid w:val="6582705D"/>
    <w:rsid w:val="658A6BCD"/>
    <w:rsid w:val="65942372"/>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74C82"/>
    <w:rsid w:val="67A95111"/>
    <w:rsid w:val="67B90A82"/>
    <w:rsid w:val="67BD1F65"/>
    <w:rsid w:val="67C365BF"/>
    <w:rsid w:val="67D8341E"/>
    <w:rsid w:val="67E46FF5"/>
    <w:rsid w:val="67ED6C16"/>
    <w:rsid w:val="680A6C82"/>
    <w:rsid w:val="6810315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C77525"/>
    <w:rsid w:val="69DC6CE6"/>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981494"/>
    <w:rsid w:val="6BA240C1"/>
    <w:rsid w:val="6BA3123F"/>
    <w:rsid w:val="6BB6063D"/>
    <w:rsid w:val="6BC8334A"/>
    <w:rsid w:val="6BD61A98"/>
    <w:rsid w:val="6BF54B38"/>
    <w:rsid w:val="6BF77F96"/>
    <w:rsid w:val="6BFE19E1"/>
    <w:rsid w:val="6C050A47"/>
    <w:rsid w:val="6C0B1A74"/>
    <w:rsid w:val="6C16659B"/>
    <w:rsid w:val="6C253932"/>
    <w:rsid w:val="6C27235B"/>
    <w:rsid w:val="6C3311BD"/>
    <w:rsid w:val="6C3342D8"/>
    <w:rsid w:val="6C394A8B"/>
    <w:rsid w:val="6C420156"/>
    <w:rsid w:val="6C44161C"/>
    <w:rsid w:val="6C494D21"/>
    <w:rsid w:val="6C5142B7"/>
    <w:rsid w:val="6C5E4626"/>
    <w:rsid w:val="6C6658B0"/>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744B2B"/>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54026"/>
    <w:rsid w:val="717C2078"/>
    <w:rsid w:val="718176C8"/>
    <w:rsid w:val="718B2F22"/>
    <w:rsid w:val="71B51326"/>
    <w:rsid w:val="71BB1264"/>
    <w:rsid w:val="71C14470"/>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F48D7"/>
    <w:rsid w:val="73253B84"/>
    <w:rsid w:val="7332361C"/>
    <w:rsid w:val="733D0BED"/>
    <w:rsid w:val="73555EB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1E6A3A"/>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3A3D47"/>
    <w:rsid w:val="77580A66"/>
    <w:rsid w:val="77737259"/>
    <w:rsid w:val="778D01FE"/>
    <w:rsid w:val="77A3436B"/>
    <w:rsid w:val="77AD1CF3"/>
    <w:rsid w:val="77B86288"/>
    <w:rsid w:val="77C76754"/>
    <w:rsid w:val="77F437B1"/>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1B5CC7"/>
    <w:rsid w:val="7922596C"/>
    <w:rsid w:val="792F01A6"/>
    <w:rsid w:val="79330A4E"/>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0D7A1D"/>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BFE4AD0"/>
    <w:rsid w:val="7C1060A4"/>
    <w:rsid w:val="7C212B16"/>
    <w:rsid w:val="7C2C55ED"/>
    <w:rsid w:val="7C344D27"/>
    <w:rsid w:val="7C5F7DAC"/>
    <w:rsid w:val="7C6034EF"/>
    <w:rsid w:val="7C605FFE"/>
    <w:rsid w:val="7C6929D9"/>
    <w:rsid w:val="7C8F3841"/>
    <w:rsid w:val="7C927737"/>
    <w:rsid w:val="7CA03619"/>
    <w:rsid w:val="7CCA16C9"/>
    <w:rsid w:val="7CE055BA"/>
    <w:rsid w:val="7CE72D65"/>
    <w:rsid w:val="7CEB12A8"/>
    <w:rsid w:val="7CF12392"/>
    <w:rsid w:val="7CFC1051"/>
    <w:rsid w:val="7CFF4DE5"/>
    <w:rsid w:val="7D095941"/>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12F4A"/>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B73C1"/>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link w:val="8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2"/>
    <w:unhideWhenUsed/>
    <w:qFormat/>
    <w:uiPriority w:val="0"/>
  </w:style>
  <w:style w:type="paragraph" w:styleId="28">
    <w:name w:val="Body Text Indent 2"/>
    <w:basedOn w:val="1"/>
    <w:link w:val="124"/>
    <w:unhideWhenUsed/>
    <w:qFormat/>
    <w:uiPriority w:val="99"/>
    <w:pPr>
      <w:spacing w:line="420" w:lineRule="exact"/>
      <w:ind w:firstLine="525"/>
    </w:pPr>
    <w:rPr>
      <w:rFonts w:ascii="宋体"/>
      <w:kern w:val="0"/>
      <w:sz w:val="20"/>
      <w:szCs w:val="20"/>
    </w:rPr>
  </w:style>
  <w:style w:type="paragraph" w:styleId="29">
    <w:name w:val="Balloon Text"/>
    <w:basedOn w:val="1"/>
    <w:link w:val="147"/>
    <w:qFormat/>
    <w:uiPriority w:val="0"/>
    <w:rPr>
      <w:sz w:val="18"/>
      <w:szCs w:val="18"/>
    </w:rPr>
  </w:style>
  <w:style w:type="paragraph" w:styleId="30">
    <w:name w:val="footer"/>
    <w:basedOn w:val="1"/>
    <w:link w:val="137"/>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5"/>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2"/>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5"/>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7"/>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5"/>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8"/>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0"/>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2"/>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7"/>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29"/>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表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53</Pages>
  <Words>10069</Words>
  <Characters>10724</Characters>
  <Lines>238</Lines>
  <Paragraphs>67</Paragraphs>
  <TotalTime>11</TotalTime>
  <ScaleCrop>false</ScaleCrop>
  <LinksUpToDate>false</LinksUpToDate>
  <CharactersWithSpaces>10794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2026-03-10T11:13:00Z</dcterms:created>
  <dc:creator>Lenovo User</dc:creator>
  <cp:lastModifiedBy>古南明</cp:lastModifiedBy>
  <cp:lastPrinted>2022-07-08T08:06:00Z</cp:lastPrinted>
  <dcterms:modified xsi:type="dcterms:W3CDTF">2026-05-07T06:00:10Z</dcterms:modified>
  <dc:title>公开招标文件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D4EF9BA78A254286917BD172327439C8_13</vt:lpwstr>
  </property>
  <property fmtid="{D5CDD505-2E9C-101B-9397-08002B2CF9AE}" pid="4" name="KSOTemplateDocerSaveRecord">
    <vt:lpwstr>eyJoZGlkIjoiMzI1ZTM3YmM5M2ZmZmZlMmVkMTMzNzRlMzg5OGU0YzgiLCJ1c2VySWQiOiI2MjA1NjI3NjEifQ==</vt:lpwstr>
  </property>
</Properties>
</file>