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6"/>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66"/>
        <w:ind w:left="0" w:firstLine="320"/>
        <w:jc w:val="both"/>
        <w:spacing w:line="24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灌云县技工学校技能实训基地二期</w:t>
      </w:r>
      <w:r>
        <w:rPr>
          <w:rFonts w:hint="eastAsia" w:ascii="Arial" w:hAnsi="Arial" w:eastAsia="宋体" w:cs="Times New Roman"/>
          <w:b/>
          <w:bCs/>
          <w:color w:val="000000"/>
          <w:sz w:val="32"/>
          <w:szCs w:val="24"/>
          <w:lang w:eastAsia="zh-CN"/>
        </w:rPr>
      </w:r>
      <w:r/>
    </w:p>
    <w:p>
      <w:pPr>
        <w:pStyle w:val="766"/>
        <w:ind w:left="2876" w:hanging="1600"/>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lang w:eastAsia="zh-CN"/>
        </w:rPr>
        <w:t xml:space="preserve">建设项目</w:t>
      </w:r>
      <w:r>
        <w:rPr>
          <w:rFonts w:hint="eastAsia" w:ascii="Arial" w:hAnsi="Arial" w:eastAsia="宋体" w:cs="Times New Roman"/>
          <w:b/>
          <w:bCs/>
          <w:color w:val="000000"/>
          <w:sz w:val="32"/>
          <w:szCs w:val="24"/>
          <w:lang w:eastAsia="zh-CN"/>
        </w:rPr>
        <w:t xml:space="preserve">(专门面向中小企业)</w:t>
      </w:r>
      <w:r>
        <w:rPr>
          <w:rFonts w:hint="eastAsia" w:ascii="黑体" w:hAnsi="Arial" w:eastAsia="宋体" w:cs="Times New Roman"/>
          <w:b/>
          <w:color w:val="000000"/>
          <w:sz w:val="44"/>
          <w:szCs w:val="21"/>
          <w:lang w:eastAsia="zh-CN"/>
        </w:rPr>
      </w:r>
      <w:r/>
    </w:p>
    <w:p>
      <w:pPr>
        <w:pStyle w:val="766"/>
        <w:ind w:left="0" w:firstLine="0"/>
        <w:jc w:val="center"/>
        <w:spacing w:line="240" w:lineRule="auto"/>
        <w:rPr>
          <w:rFonts w:hint="eastAsia"/>
        </w:rPr>
      </w:pPr>
      <w:r>
        <w:rPr>
          <w:rFonts w:hint="eastAsia"/>
        </w:rPr>
      </w:r>
      <w:r/>
    </w:p>
    <w:p>
      <w:pPr>
        <w:pStyle w:val="766"/>
        <w:ind w:firstLine="320"/>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项目编号：JSZC-320723-JZCG-G2026-0007</w:t>
      </w:r>
      <w:r>
        <w:rPr>
          <w:rFonts w:hint="eastAsia" w:ascii="Arial" w:hAnsi="Arial" w:eastAsia="宋体" w:cs="Times New Roman"/>
          <w:b/>
          <w:bCs/>
          <w:color w:val="000000"/>
          <w:sz w:val="32"/>
          <w:szCs w:val="24"/>
          <w:lang w:val="en-US" w:eastAsia="zh-CN"/>
        </w:rPr>
      </w:r>
      <w:r/>
    </w:p>
    <w:p>
      <w:pPr>
        <w:pStyle w:val="766"/>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766"/>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766"/>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76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66"/>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66"/>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766"/>
        <w:jc w:val="both"/>
        <w:spacing w:line="480" w:lineRule="auto"/>
        <w:rPr>
          <w:rFonts w:ascii="Times New Roman" w:hAnsi="Times New Roman"/>
          <w:color w:val="000000"/>
          <w:szCs w:val="21"/>
        </w:r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Pr>
          <w:rFonts w:ascii="Times New Roman" w:hAnsi="Times New Roman"/>
          <w:color w:val="000000"/>
          <w:szCs w:val="21"/>
        </w:rPr>
      </w:r>
      <w:r/>
    </w:p>
    <w:p>
      <w:pPr>
        <w:pStyle w:val="766"/>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76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66"/>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rPr>
          <w:rFonts w:hint="eastAsia" w:ascii="Times New Roman" w:hAnsi="Times New Roman"/>
          <w:color w:val="000000"/>
          <w:szCs w:val="21"/>
        </w:rPr>
      </w:pPr>
      <w:r>
        <w:rPr>
          <w:rFonts w:hint="eastAsia" w:ascii="Times New Roman" w:hAnsi="Times New Roman"/>
          <w:color w:val="000000"/>
          <w:szCs w:val="21"/>
        </w:rPr>
      </w:r>
      <w:r/>
    </w:p>
    <w:p>
      <w:pPr>
        <w:pStyle w:val="766"/>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766"/>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66"/>
        <w:ind w:firstLine="480"/>
        <w:jc w:val="left"/>
        <w:pageBreakBefore w:val="0"/>
        <w:spacing w:line="500" w:lineRule="exact"/>
        <w:widowControl w:val="off"/>
        <w:rPr>
          <w:rFonts w:hint="eastAsia" w:ascii="Calibri" w:hAnsi="Calibri" w:eastAsia="宋体" w:cs="Times New Roman"/>
          <w:sz w:val="24"/>
          <w:szCs w:val="24"/>
        </w:rPr>
      </w:pPr>
      <w:r/>
      <w:bookmarkStart w:id="6" w:name="_Toc28359085"/>
      <w:r/>
      <w:bookmarkStart w:id="7" w:name="_Toc38985269"/>
      <w:r/>
      <w:bookmarkStart w:id="8" w:name="_Toc35393627"/>
      <w:r/>
      <w:bookmarkStart w:id="9" w:name="_Toc28359008"/>
      <w:r/>
      <w:bookmarkStart w:id="10" w:name="_Toc35393796"/>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灌云县技工学校技能实训基地二期建设项目(专门面向中小企业)</w:t>
      </w:r>
      <w:r>
        <w:rPr>
          <w:rFonts w:hint="eastAsia" w:ascii="Calibri" w:hAnsi="Calibri" w:eastAsia="宋体" w:cs="Times New Roman"/>
          <w:sz w:val="24"/>
          <w:szCs w:val="24"/>
        </w:rPr>
        <w:t xml:space="preserve">(项目编号JSZC-320723-JZCG-G2026-0007</w:t>
      </w:r>
      <w:r>
        <w:rPr>
          <w:rFonts w:hint="eastAsia" w:ascii="Calibri" w:hAnsi="Calibri" w:eastAsia="宋体" w:cs="Times New Roman"/>
          <w:sz w:val="24"/>
          <w:szCs w:val="24"/>
          <w:lang w:val="en-US" w:eastAsia="zh-CN"/>
        </w:rPr>
        <w:t xml:space="preserve"> </w:t>
      </w:r>
      <w:r>
        <w:rPr>
          <w:rFonts w:hint="eastAsia" w:ascii="Calibri" w:hAnsi="Calibri" w:eastAsia="宋体" w:cs="Times New Roman"/>
          <w:sz w:val="24"/>
          <w:szCs w:val="24"/>
        </w:rPr>
        <w:t xml:space="preserve">)进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66"/>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灌云县技工学校技能实训基地二期建设项目(专门面向中小企业）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19</w:t>
      </w:r>
      <w:r>
        <w:rPr>
          <w:rFonts w:hint="eastAsia" w:ascii="宋体" w:hAnsi="宋体"/>
          <w:bCs/>
          <w:color w:val="000000"/>
          <w:sz w:val="24"/>
          <w:szCs w:val="24"/>
          <w:highlight w:val="none"/>
          <w:u w:val="single"/>
        </w:rPr>
        <w:t xml:space="preserve">日10点00分</w:t>
      </w:r>
      <w:r>
        <w:rPr>
          <w:rFonts w:hint="eastAsia"/>
          <w:sz w:val="24"/>
          <w:szCs w:val="24"/>
        </w:rPr>
        <w:t xml:space="preserve">（北京时间）前递交（上传）投标文件。</w:t>
      </w:r>
      <w:r>
        <w:rPr>
          <w:rFonts w:ascii="宋体" w:hAnsi="宋体"/>
          <w:color w:val="000000"/>
          <w:sz w:val="24"/>
          <w:szCs w:val="24"/>
          <w:highlight w:val="none"/>
        </w:rPr>
      </w:r>
      <w:r/>
    </w:p>
    <w:p>
      <w:pPr>
        <w:pStyle w:val="769"/>
        <w:ind w:firstLine="496"/>
        <w:pageBreakBefore w:val="0"/>
        <w:spacing w:before="145" w:after="145" w:line="500" w:lineRule="exact"/>
        <w:widowControl w:val="off"/>
        <w:rPr>
          <w:color w:val="000000"/>
          <w:highlight w:val="none"/>
        </w:rPr>
      </w:pPr>
      <w:r/>
      <w:bookmarkStart w:id="11" w:name="_Toc28359079"/>
      <w:r/>
      <w:bookmarkStart w:id="12" w:name="_Toc35393621"/>
      <w:r/>
      <w:bookmarkStart w:id="13" w:name="_Toc38985263"/>
      <w:r/>
      <w:bookmarkStart w:id="14" w:name="_Toc28359002"/>
      <w:r/>
      <w:bookmarkStart w:id="15" w:name="_Hlk24379207"/>
      <w:r/>
      <w:bookmarkStart w:id="16" w:name="_Toc35393790"/>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1.项目编号：JSZC-320723-JZCG-G2026-0007</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2.项目名称：灌云县技工学校技能实训基地二期建设项目(专门面向中小企业）</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766"/>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766"/>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rPr>
        <w:t xml:space="preserve">进一步改善提升实训条件，满足学校日常教学与竞赛需求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灌云县技工学校技能实训基地建设项目二期帮扶资金186万元，用来增添工业机器人、氩弧焊机、气保焊机、线切割机、锯床、数控技能综合实训考核平台、全新发动机秃机总成（含翻转架）、前轮制动器总成(含工作台）、无大盘免撬棍轮胎拆装机、380V超薄小剪、机械加工技术技能考点等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766"/>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50日历天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66"/>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769"/>
        <w:ind w:firstLine="496"/>
        <w:pageBreakBefore w:val="0"/>
        <w:spacing w:before="145" w:after="145" w:line="500" w:lineRule="exact"/>
        <w:widowControl w:val="off"/>
        <w:rPr>
          <w:rFonts w:hint="eastAsia" w:eastAsia="宋体"/>
          <w:color w:val="000000"/>
          <w:highlight w:val="none"/>
          <w:lang w:eastAsia="zh-CN"/>
        </w:rPr>
      </w:pPr>
      <w:r/>
      <w:bookmarkStart w:id="17" w:name="_Toc38985264"/>
      <w:r/>
      <w:bookmarkStart w:id="18" w:name="_Toc28359080"/>
      <w:r/>
      <w:bookmarkStart w:id="19" w:name="_Toc35393791"/>
      <w:r/>
      <w:bookmarkStart w:id="20" w:name="_Toc35393622"/>
      <w:r/>
      <w:bookmarkStart w:id="21" w:name="_Toc28359003"/>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766"/>
        <w:ind w:firstLine="480"/>
        <w:jc w:val="left"/>
        <w:spacing w:line="500" w:lineRule="exact"/>
        <w:rPr>
          <w:rFonts w:ascii="Calibri" w:hAnsi="Calibri" w:eastAsia="宋体" w:cs="Times New Roman"/>
          <w:sz w:val="24"/>
          <w:szCs w:val="24"/>
        </w:rPr>
      </w:pPr>
      <w:r/>
      <w:bookmarkStart w:id="22" w:name="_Toc28359081"/>
      <w:r/>
      <w:bookmarkStart w:id="23" w:name="_Toc35393792"/>
      <w:r/>
      <w:bookmarkStart w:id="24" w:name="_Toc38985265"/>
      <w:r/>
      <w:bookmarkStart w:id="25" w:name="_Toc35393623"/>
      <w:r/>
      <w:bookmarkStart w:id="26" w:name="_Toc28359004"/>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highlight w:val="none"/>
        </w:rPr>
        <w:t xml:space="preserve">（提供法人或者其他组织的营业执照等证明文件）；</w:t>
      </w:r>
      <w:r>
        <w:rPr>
          <w:rFonts w:hint="eastAsia" w:ascii="宋体" w:hAnsi="宋体" w:eastAsia="宋体" w:cs="Times New Roman"/>
          <w:color w:val="000000"/>
          <w:sz w:val="24"/>
          <w:szCs w:val="24"/>
          <w:highlight w:val="none"/>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)法律、行政法规规定的其他条件。</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w:t>
      </w:r>
      <w:r>
        <w:rPr>
          <w:rFonts w:hint="eastAsia" w:ascii="宋体" w:hAnsi="宋体" w:eastAsia="宋体" w:cs="Times New Roman"/>
          <w:sz w:val="24"/>
          <w:szCs w:val="24"/>
          <w:lang w:eastAsia="zh-CN"/>
        </w:rPr>
        <w:t xml:space="preserve">招标文件</w:t>
      </w:r>
      <w:r>
        <w:rPr>
          <w:rFonts w:hint="eastAsia" w:ascii="宋体" w:hAnsi="宋体" w:eastAsia="宋体" w:cs="Times New Roman"/>
          <w:sz w:val="24"/>
          <w:szCs w:val="24"/>
        </w:rPr>
        <w:t xml:space="preserve">投标文件格式。</w:t>
      </w:r>
      <w:r>
        <w:rPr>
          <w:rFonts w:hint="eastAsia" w:ascii="宋体" w:hAnsi="宋体" w:eastAsia="宋体" w:cs="Times New Roman"/>
          <w:sz w:val="24"/>
          <w:szCs w:val="24"/>
        </w:rPr>
      </w:r>
      <w:r/>
    </w:p>
    <w:p>
      <w:pPr>
        <w:pStyle w:val="766"/>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，拒绝其参与政府采购活动（采购人或</w:t>
      </w:r>
      <w:r>
        <w:rPr>
          <w:rFonts w:hint="eastAsia" w:ascii="宋体" w:hAnsi="宋体" w:eastAsia="宋体" w:cs="Times New Roman"/>
          <w:sz w:val="24"/>
          <w:szCs w:val="24"/>
          <w:lang w:eastAsia="zh-CN"/>
        </w:rPr>
        <w:t xml:space="preserve">灌云县政府采购中心将</w:t>
      </w:r>
      <w:r>
        <w:rPr>
          <w:rFonts w:hint="eastAsia" w:ascii="宋体" w:hAnsi="宋体" w:eastAsia="宋体" w:cs="Times New Roman"/>
          <w:sz w:val="24"/>
          <w:szCs w:val="24"/>
        </w:rPr>
        <w:t xml:space="preserve">通过信用中国网站（www.creditchina.gov.cn）、中国政府采购网（www.ccgp.gov.cn），对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sz w:val="24"/>
          <w:szCs w:val="24"/>
        </w:rPr>
        <w:t xml:space="preserve">（二）落实政府采购政策需满足的资格要求：</w:t>
      </w:r>
      <w:r>
        <w:rPr>
          <w:rFonts w:hint="eastAsia" w:ascii="Calibri" w:hAnsi="Calibri" w:eastAsia="宋体" w:cs="Times New Roman"/>
          <w:b/>
          <w:color w:val="000000"/>
          <w:sz w:val="24"/>
          <w:szCs w:val="24"/>
          <w:highlight w:val="none"/>
        </w:rPr>
        <w:t xml:space="preserve">本项目专门面向中型企业、小型企业、微型企业、残疾人福利性单位、监狱企业采购，符合要求的投标人须提供《中小企业声明函》（详见第六章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投标文件格式）或《残疾人福利性单位声明函》（详见第六章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投标文件格式）或属于监狱企业的证明文件，否则投标无效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766"/>
        <w:ind w:firstLine="480"/>
        <w:jc w:val="left"/>
        <w:spacing w:line="500" w:lineRule="exact"/>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769"/>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766"/>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8985266"/>
      <w:r/>
      <w:bookmarkStart w:id="28" w:name="_Toc35393624"/>
      <w:r/>
      <w:bookmarkStart w:id="29" w:name="_Toc35393793"/>
      <w:r/>
      <w:bookmarkStart w:id="30" w:name="_Toc28359005"/>
      <w:r/>
      <w:bookmarkStart w:id="31" w:name="_Toc28359082"/>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日至20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08</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766"/>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766"/>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766"/>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769"/>
        <w:ind w:firstLine="496"/>
        <w:pageBreakBefore w:val="0"/>
        <w:spacing w:before="145" w:after="145" w:line="500" w:lineRule="exact"/>
        <w:widowControl w:val="off"/>
      </w:pPr>
      <w:r>
        <w:rPr>
          <w:rFonts w:hint="eastAsia"/>
        </w:rPr>
        <w:t xml:space="preserve">四、提交投标文</w:t>
      </w:r>
      <w:r>
        <w:rPr>
          <w:rFonts w:hint="eastAsia"/>
          <w:lang w:val="en-US" w:eastAsia="zh-CN"/>
        </w:rPr>
        <w:t xml:space="preserve">5</w:t>
      </w:r>
      <w:r>
        <w:rPr>
          <w:rFonts w:hint="eastAsia"/>
        </w:rPr>
        <w:t xml:space="preserve">件</w:t>
      </w:r>
      <w:bookmarkEnd w:id="30"/>
      <w:r/>
      <w:bookmarkEnd w:id="31"/>
      <w:r>
        <w:rPr>
          <w:rFonts w:hint="eastAsia"/>
        </w:rPr>
        <w:t xml:space="preserve">截止时间、开标时间和地点</w:t>
      </w:r>
      <w:bookmarkEnd w:id="27"/>
      <w:r/>
      <w:bookmarkEnd w:id="28"/>
      <w:r/>
      <w:bookmarkEnd w:id="29"/>
      <w:r/>
      <w:r/>
    </w:p>
    <w:p>
      <w:pPr>
        <w:pStyle w:val="766"/>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5393794"/>
      <w:r/>
      <w:bookmarkStart w:id="33" w:name="_Toc35393625"/>
      <w:r/>
      <w:bookmarkStart w:id="34" w:name="_Toc28359084"/>
      <w:r/>
      <w:bookmarkStart w:id="35" w:name="_Toc28359007"/>
      <w:r/>
      <w:bookmarkStart w:id="36" w:name="_Toc38985267"/>
      <w:r>
        <w:rPr>
          <w:rFonts w:ascii="宋体" w:hAnsi="宋体" w:cs="宋体"/>
          <w:color w:val="000000"/>
          <w:sz w:val="24"/>
          <w:szCs w:val="24"/>
        </w:rPr>
        <w:t xml:space="preserve">时间</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06</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15</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时00分（北京时间）；</w:t>
      </w:r>
      <w:r>
        <w:rPr>
          <w:color w:val="000000"/>
          <w:szCs w:val="24"/>
          <w:highlight w:val="none"/>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769"/>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766"/>
        <w:ind w:firstLine="480"/>
        <w:pageBreakBefore w:val="0"/>
        <w:spacing w:line="500" w:lineRule="exact"/>
        <w:widowControl w:val="off"/>
        <w:rPr>
          <w:rFonts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769"/>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766"/>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766"/>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一</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766"/>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766"/>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766"/>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66"/>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灌云中等专业学校</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766"/>
        <w:ind w:left="1079" w:hanging="300"/>
        <w:jc w:val="left"/>
        <w:keepLines w:val="0"/>
        <w:keepNext w:val="0"/>
        <w:pageBreakBefore w:val="0"/>
        <w:spacing w:line="5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highlight w:val="none"/>
          <w:u w:val="single"/>
          <w:lang w:val="en-US" w:eastAsia="zh-CN"/>
        </w:rPr>
        <w:t xml:space="preserve"> </w:t>
      </w:r>
      <w:r>
        <w:rPr>
          <w:rFonts w:ascii="宋体" w:hAnsi="宋体"/>
          <w:color w:val="000000"/>
          <w:sz w:val="24"/>
          <w:szCs w:val="24"/>
          <w:highlight w:val="none"/>
          <w:lang w:val="en-US"/>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胡主任</w:t>
      </w:r>
      <w:r>
        <w:rPr>
          <w:rFonts w:ascii="宋体" w:hAnsi="宋体" w:eastAsia="宋体"/>
          <w:color w:val="000000"/>
          <w:sz w:val="24"/>
          <w:szCs w:val="24"/>
          <w:highlight w:val="none"/>
          <w:lang w:val="en-US" w:eastAsia="zh-CN"/>
        </w:rPr>
      </w:r>
      <w:r/>
    </w:p>
    <w:p>
      <w:pPr>
        <w:pStyle w:val="766"/>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u w:val="single"/>
          <w:lang w:val="en-US" w:eastAsia="zh-CN"/>
        </w:rPr>
        <w:t xml:space="preserve"> 13605121803 </w:t>
      </w:r>
      <w:r>
        <w:rPr>
          <w:rFonts w:ascii="宋体" w:hAnsi="宋体" w:eastAsia="宋体"/>
          <w:color w:val="000000"/>
          <w:sz w:val="24"/>
          <w:szCs w:val="24"/>
          <w:highlight w:val="none"/>
          <w:u w:val="single"/>
          <w:lang w:val="en-US" w:eastAsia="zh-CN"/>
        </w:rPr>
      </w:r>
      <w:r/>
    </w:p>
    <w:p>
      <w:pPr>
        <w:pStyle w:val="766"/>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766"/>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766"/>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rPr>
          <w:rFonts w:ascii="宋体" w:hAnsi="宋体"/>
          <w:color w:val="000000"/>
          <w:sz w:val="24"/>
          <w:szCs w:val="24"/>
        </w:rPr>
      </w:r>
      <w:r/>
    </w:p>
    <w:p>
      <w:pPr>
        <w:pStyle w:val="766"/>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焦工              </w:t>
      </w:r>
      <w:r>
        <w:rPr>
          <w:rFonts w:ascii="宋体" w:hAnsi="宋体" w:eastAsia="宋体"/>
          <w:color w:val="000000"/>
          <w:sz w:val="24"/>
          <w:szCs w:val="24"/>
          <w:lang w:val="en-US" w:eastAsia="zh-CN"/>
        </w:rPr>
      </w:r>
      <w:r/>
    </w:p>
    <w:p>
      <w:pPr>
        <w:pStyle w:val="766"/>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10"/>
      <w:r/>
      <w:bookmarkStart w:id="43" w:name="_Toc28359087"/>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766"/>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66"/>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66"/>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766"/>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766"/>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766"/>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20823275"/>
      <w:r/>
      <w:bookmarkStart w:id="51" w:name="_Toc16938519"/>
      <w:r/>
      <w:bookmarkStart w:id="52" w:name="_Toc513029203"/>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513029205"/>
      <w:r/>
      <w:bookmarkStart w:id="59" w:name="_Toc20823277"/>
      <w:r/>
      <w:bookmarkStart w:id="60" w:name="_Toc16938521"/>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766"/>
        <w:ind w:firstLine="480"/>
        <w:jc w:val="left"/>
        <w:spacing w:line="500" w:lineRule="exact"/>
        <w:rPr>
          <w:rFonts w:ascii="Calibri" w:hAnsi="Calibri" w:eastAsia="宋体" w:cs="Times New Roman"/>
          <w:sz w:val="24"/>
          <w:szCs w:val="24"/>
        </w:rPr>
      </w:pPr>
      <w:r/>
      <w:bookmarkStart w:id="61" w:name="_Toc513029206"/>
      <w:r/>
      <w:bookmarkStart w:id="62" w:name="_Toc20823278"/>
      <w:r/>
      <w:bookmarkStart w:id="63" w:name="_Toc16938522"/>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462564067"/>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766"/>
        <w:ind w:firstLine="480"/>
        <w:pageBreakBefore w:val="0"/>
        <w:spacing w:line="500" w:lineRule="exact"/>
        <w:rPr>
          <w:rFonts w:hint="eastAsia"/>
          <w:sz w:val="24"/>
          <w:szCs w:val="24"/>
        </w:rPr>
      </w:pPr>
      <w:r>
        <w:rPr>
          <w:rFonts w:hint="eastAsia" w:ascii="宋体" w:hAnsi="宋体"/>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其他国有资源（资产）有偿使用费15000元，由中标人支付，投标人在报价时综合考虑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rPr>
      </w:r>
      <w:r/>
    </w:p>
    <w:p>
      <w:pPr>
        <w:pStyle w:val="766"/>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766"/>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513029209"/>
      <w:r/>
      <w:bookmarkStart w:id="69" w:name="_Toc120614215"/>
      <w:r/>
      <w:bookmarkStart w:id="70" w:name="_Toc16938525"/>
      <w:r/>
      <w:bookmarkStart w:id="71" w:name="_Toc20823281"/>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66"/>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66"/>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5" w:name="_Toc16938527"/>
      <w:r/>
      <w:bookmarkStart w:id="76" w:name="_Toc20823283"/>
      <w:r/>
      <w:bookmarkStart w:id="77" w:name="_Toc462564070"/>
      <w:r/>
      <w:bookmarkStart w:id="78" w:name="_Toc513029211"/>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766"/>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16938528"/>
      <w:r/>
      <w:bookmarkStart w:id="81" w:name="_Toc20823284"/>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766"/>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513029213"/>
      <w:r/>
      <w:bookmarkStart w:id="84" w:name="_Toc120614216"/>
      <w:r/>
      <w:bookmarkStart w:id="85" w:name="_Toc462564072"/>
      <w:r/>
      <w:bookmarkStart w:id="86" w:name="_Toc16938529"/>
      <w:r/>
      <w:bookmarkStart w:id="87" w:name="_Toc20823285"/>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462564074"/>
      <w:r/>
      <w:bookmarkStart w:id="89" w:name="_Toc16938531"/>
      <w:r/>
      <w:bookmarkStart w:id="90" w:name="_Toc513029215"/>
      <w:r/>
      <w:bookmarkStart w:id="91" w:name="_Toc20823287"/>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670360"/>
      <w:r/>
      <w:bookmarkEnd w:id="92"/>
      <w:r/>
      <w:bookmarkStart w:id="93" w:name="_Hlt26954838"/>
      <w:r/>
      <w:bookmarkEnd w:id="93"/>
      <w:r/>
      <w:bookmarkStart w:id="94" w:name="_Hlt26668975"/>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bookmarkStart w:id="101" w:name="_Toc14577355"/>
      <w:r/>
      <w:bookmarkStart w:id="102" w:name="_Toc49090508"/>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766"/>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766"/>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670486"/>
      <w:r/>
      <w:bookmarkEnd w:id="103"/>
      <w:r/>
      <w:bookmarkStart w:id="104" w:name="_Hlt26670482"/>
      <w:r/>
      <w:bookmarkEnd w:id="104"/>
      <w:r/>
      <w:bookmarkStart w:id="105" w:name="_Hlt26954848"/>
      <w:r/>
      <w:bookmarkEnd w:id="105"/>
      <w:r/>
      <w:bookmarkStart w:id="106" w:name="_Hlt26954731"/>
      <w:r/>
      <w:bookmarkEnd w:id="106"/>
      <w:r/>
      <w:bookmarkStart w:id="107" w:name="_Hlt26954846"/>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852"/>
      <w:r/>
      <w:bookmarkEnd w:id="108"/>
      <w:r/>
      <w:bookmarkStart w:id="109" w:name="_Hlt26954739"/>
      <w:r/>
      <w:bookmarkEnd w:id="109"/>
      <w:r/>
      <w:bookmarkStart w:id="110" w:name="_Toc16938540"/>
      <w:r/>
      <w:bookmarkStart w:id="111" w:name="_Toc20823296"/>
      <w:r/>
      <w:bookmarkStart w:id="112" w:name="_Toc120614217"/>
      <w:r/>
      <w:bookmarkStart w:id="113" w:name="_Toc513029224"/>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bookmarkStart w:id="114" w:name="_Toc462564084"/>
      <w:r/>
      <w:bookmarkStart w:id="115" w:name="_Toc513029225"/>
      <w:r/>
      <w:bookmarkStart w:id="116" w:name="_Toc20823297"/>
      <w:r/>
      <w:bookmarkStart w:id="117"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66"/>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513029226"/>
      <w:r/>
      <w:bookmarkStart w:id="119" w:name="_Toc20823298"/>
      <w:r/>
      <w:bookmarkStart w:id="120" w:name="_Toc16938542"/>
      <w:r>
        <w:rPr>
          <w:rFonts w:ascii="宋体" w:hAnsi="宋体"/>
          <w:bCs/>
          <w:color w:val="000000"/>
          <w:sz w:val="24"/>
          <w:szCs w:val="21"/>
        </w:rPr>
      </w:r>
      <w:r/>
    </w:p>
    <w:p>
      <w:pPr>
        <w:pStyle w:val="766"/>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766"/>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1" w:name="_Toc16938543"/>
      <w:r/>
      <w:bookmarkStart w:id="122" w:name="_Toc513029227"/>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24" w:name="_Toc16938544"/>
      <w:r/>
      <w:bookmarkStart w:id="125" w:name="_Toc20823300"/>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513029229"/>
      <w:r/>
      <w:bookmarkStart w:id="128" w:name="_Toc20823301"/>
      <w:r/>
      <w:bookmarkStart w:id="129" w:name="_Toc120614218"/>
      <w:r/>
      <w:bookmarkStart w:id="130" w:name="_Toc16938545"/>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20823302"/>
      <w:r/>
      <w:bookmarkStart w:id="133" w:name="_Toc513029230"/>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766"/>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766"/>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4" w:name="_Toc513029231"/>
      <w:r/>
      <w:bookmarkStart w:id="135" w:name="_Toc20823303"/>
      <w:r/>
      <w:bookmarkStart w:id="136"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66"/>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766"/>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66"/>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bookmarkStart w:id="137" w:name="_Toc513029232"/>
      <w:r/>
      <w:bookmarkStart w:id="138" w:name="_Toc20823304"/>
      <w:r/>
      <w:bookmarkStart w:id="139"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color w:val="000000"/>
          <w:sz w:val="24"/>
          <w:szCs w:val="24"/>
        </w:rPr>
      </w:pPr>
      <w:r/>
      <w:bookmarkStart w:id="140" w:name="_Toc20823305"/>
      <w:r/>
      <w:bookmarkStart w:id="141" w:name="_Toc16938549"/>
      <w:r/>
      <w:bookmarkStart w:id="142"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66"/>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66"/>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66"/>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766"/>
        <w:ind w:firstLine="480"/>
        <w:pageBreakBefore w:val="0"/>
        <w:spacing w:line="500" w:lineRule="exact"/>
        <w:rPr>
          <w:rFonts w:ascii="宋体" w:hAnsi="宋体"/>
          <w:color w:val="000000"/>
          <w:sz w:val="24"/>
          <w:szCs w:val="21"/>
        </w:rPr>
      </w:pPr>
      <w:r/>
      <w:bookmarkStart w:id="143" w:name="_Toc20823306"/>
      <w:r/>
      <w:bookmarkStart w:id="144" w:name="_Toc513029234"/>
      <w:r/>
      <w:bookmarkStart w:id="14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766"/>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66"/>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66"/>
        <w:ind w:left="478"/>
        <w:pageBreakBefore w:val="0"/>
        <w:spacing w:line="500" w:lineRule="exact"/>
        <w:rPr>
          <w:rFonts w:hint="eastAsia" w:ascii="宋体" w:hAnsi="宋体"/>
          <w:bCs/>
          <w:color w:val="000000"/>
          <w:sz w:val="24"/>
          <w:szCs w:val="21"/>
        </w:rPr>
      </w:pPr>
      <w:r/>
      <w:bookmarkStart w:id="146" w:name="_Toc16938551"/>
      <w:r/>
      <w:bookmarkStart w:id="147" w:name="_Toc20823307"/>
      <w:r/>
      <w:bookmarkStart w:id="148"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66"/>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766"/>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766"/>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766"/>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66"/>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766"/>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766"/>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66"/>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66"/>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479757207"/>
      <w:r/>
      <w:bookmarkStart w:id="155" w:name="_Toc16938558"/>
      <w:r/>
      <w:bookmarkStart w:id="156" w:name="_Toc513029242"/>
      <w:r/>
      <w:bookmarkStart w:id="157" w:name="_Toc120614221"/>
      <w:r/>
      <w:bookmarkStart w:id="158" w:name="_Toc20823314"/>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766"/>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766"/>
        <w:ind w:firstLine="480"/>
        <w:jc w:val="left"/>
        <w:pageBreakBefore w:val="0"/>
        <w:spacing w:line="44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hint="eastAsia" w:ascii="Calibri" w:hAnsi="Calibri" w:eastAsia="宋体" w:cs="Times New Roman"/>
          <w:sz w:val="24"/>
          <w:szCs w:val="24"/>
        </w:rPr>
      </w:r>
      <w:r/>
    </w:p>
    <w:p>
      <w:pPr>
        <w:pStyle w:val="766"/>
        <w:ind w:firstLine="480"/>
        <w:jc w:val="left"/>
        <w:pageBreakBefore w:val="0"/>
        <w:spacing w:line="44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766"/>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Calibri" w:hAnsi="Calibri" w:eastAsia="宋体" w:cs="Times New Roman"/>
          <w:sz w:val="24"/>
          <w:szCs w:val="24"/>
        </w:rPr>
        <w:t xml:space="preserve">专门面向中型企业、小型企业、微型企业、残疾人福利性单位、监狱企业采购。</w:t>
      </w:r>
      <w:r>
        <w:rPr>
          <w:rFonts w:ascii="Calibri" w:hAnsi="Calibri" w:eastAsia="宋体" w:cs="Times New Roman"/>
          <w:sz w:val="24"/>
          <w:szCs w:val="24"/>
        </w:rPr>
      </w:r>
      <w:r/>
    </w:p>
    <w:p>
      <w:pPr>
        <w:pStyle w:val="766"/>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参加本项目政府采购活动的供应商应当提供的材料：</w:t>
      </w:r>
      <w:r>
        <w:rPr>
          <w:rFonts w:hint="eastAsia" w:ascii="Calibri" w:hAnsi="Calibri" w:eastAsia="宋体" w:cs="Times New Roman"/>
          <w:sz w:val="24"/>
          <w:szCs w:val="24"/>
          <w:lang w:eastAsia="zh-CN"/>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投标人提供的货物全部由中型企业、小型企业、微型企业制造的，提供《中小企业声明函》（第六章 投标文件格式）。</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66"/>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66"/>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69"/>
        <w:ind w:left="0" w:right="0" w:firstLine="562"/>
        <w:jc w:val="left"/>
        <w:pageBreakBefore w:val="0"/>
        <w:spacing w:before="0" w:after="0" w:line="480" w:lineRule="exact"/>
        <w:widowControl w:val="off"/>
        <w:rPr>
          <w:rFonts w:hint="eastAsia" w:ascii="Calibri" w:hAnsi="Calibri" w:eastAsia="宋体" w:cs="Times New Roman"/>
          <w:b w:val="0"/>
          <w:bCs w:val="0"/>
          <w:sz w:val="24"/>
          <w:szCs w:val="24"/>
          <w:lang w:val="en-US" w:eastAsia="zh-CN" w:bidi="ar-SA"/>
        </w:rPr>
      </w:pPr>
      <w:r>
        <w:rPr>
          <w:rFonts w:hint="eastAsia" w:ascii="Calibri" w:hAnsi="Calibri" w:eastAsia="宋体" w:cs="Times New Roman"/>
          <w:b w:val="0"/>
          <w:bCs w:val="0"/>
          <w:sz w:val="24"/>
          <w:szCs w:val="24"/>
          <w:lang w:val="en-US" w:eastAsia="zh-CN" w:bidi="ar-SA"/>
        </w:rPr>
        <w:t xml:space="preserve">40.1本项目执行《绿色数据中心政府采购需求</w:t>
      </w:r>
      <w:r>
        <w:rPr>
          <w:rFonts w:hint="eastAsia" w:ascii="Calibri" w:hAnsi="Calibri" w:eastAsia="宋体" w:cs="Times New Roman"/>
          <w:b w:val="0"/>
          <w:bCs w:val="0"/>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eastAsia="宋体" w:cs="Times New Roman"/>
          <w:b w:val="0"/>
          <w:bCs w:val="0"/>
          <w:sz w:val="24"/>
          <w:szCs w:val="24"/>
          <w:lang w:val="en-US" w:eastAsia="zh-CN" w:bidi="ar-SA"/>
        </w:rPr>
      </w:r>
      <w:r/>
    </w:p>
    <w:p>
      <w:pPr>
        <w:pStyle w:val="769"/>
        <w:ind w:left="0" w:right="0" w:firstLine="562"/>
        <w:jc w:val="left"/>
        <w:pageBreakBefore w:val="0"/>
        <w:spacing w:before="0" w:after="0" w:line="480" w:lineRule="exact"/>
        <w:widowControl w:val="off"/>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41</w:t>
      </w:r>
      <w:r>
        <w:rPr>
          <w:rFonts w:hint="eastAsia" w:ascii="宋体" w:hAnsi="宋体" w:eastAsia="宋体" w:cs="宋体"/>
          <w:b/>
          <w:bCs/>
          <w:color w:val="000000"/>
          <w:sz w:val="28"/>
          <w:szCs w:val="28"/>
          <w:lang w:val="en-US" w:eastAsia="zh-CN"/>
        </w:rPr>
        <w:t xml:space="preserve">、采购本国产品的支持政策</w:t>
      </w:r>
      <w:r>
        <w:rPr>
          <w:rFonts w:hint="eastAsia" w:ascii="宋体" w:hAnsi="宋体" w:eastAsia="宋体" w:cs="宋体"/>
          <w:b/>
          <w:bCs/>
          <w:color w:val="000000"/>
          <w:sz w:val="28"/>
          <w:szCs w:val="28"/>
          <w:lang w:val="en-US" w:eastAsia="zh-CN"/>
        </w:rPr>
      </w:r>
      <w:r/>
    </w:p>
    <w:p>
      <w:pPr>
        <w:pStyle w:val="766"/>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66"/>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color w:val="000000"/>
          <w:sz w:val="24"/>
          <w:szCs w:val="24"/>
          <w:highlight w:val="none"/>
          <w:lang w:val="en-US" w:eastAsia="zh-CN" w:bidi="ar-SA"/>
        </w:rPr>
      </w:r>
      <w:r/>
    </w:p>
    <w:p>
      <w:pPr>
        <w:pStyle w:val="766"/>
        <w:ind w:firstLine="480"/>
        <w:jc w:val="left"/>
        <w:spacing w:line="500" w:lineRule="exact"/>
        <w:rPr>
          <w:rFonts w:ascii="Calibri" w:hAnsi="Calibri" w:eastAsia="宋体" w:cs="Times New Roman"/>
          <w:color w:val="c00000"/>
          <w:sz w:val="24"/>
          <w:szCs w:val="24"/>
        </w:rPr>
      </w:pPr>
      <w:r>
        <w:rPr>
          <w:rFonts w:ascii="Calibri" w:hAnsi="Calibri" w:eastAsia="宋体" w:cs="Times New Roman"/>
          <w:color w:val="c00000"/>
          <w:sz w:val="24"/>
          <w:szCs w:val="24"/>
        </w:rPr>
      </w:r>
      <w:r/>
    </w:p>
    <w:p>
      <w:pPr>
        <w:pStyle w:val="766"/>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66"/>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66"/>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66"/>
        <w:ind w:firstLine="482"/>
        <w:jc w:val="left"/>
        <w:spacing w:line="500" w:lineRule="exact"/>
        <w:rPr>
          <w:rFonts w:hint="eastAsia"/>
          <w:b/>
          <w:bCs/>
          <w:sz w:val="24"/>
          <w:szCs w:val="24"/>
          <w:lang w:val="en-US" w:eastAsia="zh-CN"/>
        </w:rPr>
      </w:pPr>
      <w:r>
        <w:rPr>
          <w:rFonts w:hint="eastAsia" w:ascii="Calibri" w:eastAsia="宋体"/>
          <w:b/>
          <w:bCs/>
          <w:sz w:val="24"/>
          <w:szCs w:val="24"/>
          <w:lang w:val="en-US" w:eastAsia="zh-CN"/>
        </w:rPr>
        <w:t xml:space="preserve">特别提醒：</w:t>
      </w:r>
      <w:r>
        <w:rPr>
          <w:rFonts w:hint="eastAsia"/>
          <w:b/>
          <w:bCs/>
          <w:sz w:val="24"/>
          <w:szCs w:val="24"/>
          <w:lang w:val="en-US" w:eastAsia="zh-CN"/>
        </w:rPr>
      </w:r>
      <w:r/>
    </w:p>
    <w:p>
      <w:pPr>
        <w:pStyle w:val="766"/>
        <w:ind w:firstLine="480"/>
        <w:jc w:val="left"/>
        <w:spacing w:line="500" w:lineRule="exact"/>
        <w:rPr>
          <w:rFonts w:hint="eastAsia"/>
          <w:color w:val="000000"/>
          <w:sz w:val="24"/>
          <w:szCs w:val="24"/>
          <w:lang w:val="en-US" w:eastAsia="zh-CN"/>
        </w:rPr>
      </w:pPr>
      <w:r>
        <w:rPr>
          <w:rFonts w:hint="eastAsia" w:ascii="Times New Roman" w:eastAsia="宋体"/>
          <w:sz w:val="24"/>
          <w:szCs w:val="24"/>
          <w:lang w:val="en-US" w:eastAsia="zh-CN"/>
        </w:rPr>
        <w:t xml:space="preserve">根据《关于推动解决政府采购异常低价问题的通知》（财库〔2026〕2号）规定，政府采购</w:t>
      </w:r>
      <w:r>
        <w:rPr>
          <w:rFonts w:hint="eastAsia" w:ascii="Calibri" w:eastAsia="宋体"/>
          <w:sz w:val="24"/>
          <w:szCs w:val="24"/>
          <w:lang w:val="en-US" w:eastAsia="zh-CN"/>
        </w:rPr>
        <w:t xml:space="preserve">评审过程中出现下列情形之一的，</w:t>
      </w:r>
      <w:r>
        <w:rPr>
          <w:rFonts w:hint="eastAsia"/>
          <w:sz w:val="24"/>
          <w:szCs w:val="24"/>
          <w:lang w:val="en-US" w:eastAsia="zh-CN"/>
        </w:rPr>
        <w:t xml:space="preserve">评审委员会</w:t>
      </w:r>
      <w:r>
        <w:rPr>
          <w:rFonts w:hint="eastAsia" w:ascii="Calibri" w:eastAsia="宋体"/>
          <w:sz w:val="24"/>
          <w:szCs w:val="24"/>
          <w:lang w:val="en-US" w:eastAsia="zh-CN"/>
        </w:rPr>
        <w:t xml:space="preserve">应当启动异常低价投标审查程序:</w:t>
      </w:r>
      <w:r>
        <w:rPr>
          <w:rFonts w:hint="eastAsia"/>
          <w:color w:val="000000"/>
          <w:sz w:val="24"/>
          <w:szCs w:val="24"/>
          <w:lang w:val="en-US" w:eastAsia="zh-CN"/>
        </w:rPr>
      </w:r>
      <w:r/>
    </w:p>
    <w:p>
      <w:pPr>
        <w:pStyle w:val="766"/>
        <w:ind w:firstLine="480"/>
        <w:jc w:val="left"/>
        <w:spacing w:line="50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1.投标报价低于全部通过符合性审查供应商投标报价平均值65%的，即投标报价&lt;全部通过符合性审查供应商投标报价平均值×65%；</w:t>
      </w:r>
      <w:r>
        <w:rPr>
          <w:rFonts w:hint="eastAsia"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3.投标报价低于采购项目最高限价65%的，即投标报价&lt;采购项目最高限价×65%；</w:t>
      </w:r>
      <w:r>
        <w:rPr>
          <w:rFonts w:ascii="Times New Roman" w:hAnsi="Times New Roman" w:eastAsia="宋体" w:cs="Times New Roman"/>
          <w:sz w:val="24"/>
          <w:szCs w:val="24"/>
          <w:lang w:val="en-US" w:eastAsia="zh-CN"/>
        </w:rPr>
      </w:r>
      <w:r/>
    </w:p>
    <w:p>
      <w:pPr>
        <w:pStyle w:val="766"/>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宋体" w:cs="Times New Roman"/>
          <w:sz w:val="24"/>
          <w:szCs w:val="24"/>
          <w:lang w:val="en-US" w:eastAsia="zh-CN"/>
        </w:rPr>
      </w:r>
      <w:r/>
    </w:p>
    <w:p>
      <w:pPr>
        <w:pStyle w:val="766"/>
        <w:ind w:firstLine="480"/>
        <w:jc w:val="left"/>
        <w:spacing w:line="500" w:lineRule="exact"/>
        <w:rPr>
          <w:rFonts w:ascii="Calibri" w:hAnsi="Calibri" w:cs="Calibri"/>
          <w:i w:val="0"/>
          <w:iCs w:val="0"/>
          <w:caps w:val="0"/>
          <w:color w:val="383838"/>
          <w:spacing w:val="0"/>
          <w:sz w:val="21"/>
          <w:szCs w:val="21"/>
          <w:highlight w:val="none"/>
        </w:rPr>
      </w:pPr>
      <w:r>
        <w:rPr>
          <w:rFonts w:hint="eastAsia" w:ascii="Times New Roman" w:hAnsi="Times New Roman" w:eastAsia="宋体" w:cs="Times New Roman"/>
          <w:sz w:val="24"/>
          <w:szCs w:val="24"/>
          <w:lang w:val="en-US" w:eastAsia="zh-CN"/>
        </w:rPr>
        <w:t xml:space="preserve">相关法律法规对供应商报价有规</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定的，从其规定。</w:t>
      </w:r>
      <w:r>
        <w:rPr>
          <w:rFonts w:ascii="Calibri" w:hAnsi="Calibri" w:cs="Calibri"/>
          <w:i w:val="0"/>
          <w:iCs w:val="0"/>
          <w:caps w:val="0"/>
          <w:color w:val="383838"/>
          <w:spacing w:val="0"/>
          <w:sz w:val="21"/>
          <w:szCs w:val="21"/>
          <w:highlight w:val="none"/>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i w:val="0"/>
          <w:iCs w:val="0"/>
          <w:caps w:val="0"/>
          <w:color w:val="383838"/>
          <w:spacing w:val="0"/>
          <w:sz w:val="21"/>
          <w:szCs w:val="21"/>
        </w:rPr>
      </w:r>
      <w:r/>
    </w:p>
    <w:p>
      <w:pPr>
        <w:pStyle w:val="766"/>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cs="Calibri"/>
          <w:i w:val="0"/>
          <w:iCs w:val="0"/>
          <w:caps w:val="0"/>
          <w:color w:val="383838"/>
          <w:spacing w:val="0"/>
          <w:sz w:val="21"/>
          <w:szCs w:val="21"/>
        </w:rPr>
      </w:r>
      <w:r/>
    </w:p>
    <w:p>
      <w:pPr>
        <w:pStyle w:val="766"/>
        <w:pageBreakBefore w:val="0"/>
        <w:spacing w:line="500" w:lineRule="exact"/>
        <w:rPr>
          <w:rFonts w:hint="eastAsia" w:ascii="宋体" w:hAnsi="宋体"/>
          <w:szCs w:val="20"/>
        </w:rPr>
      </w:pPr>
      <w:r>
        <w:rPr>
          <w:rFonts w:hint="eastAsia" w:ascii="宋体" w:hAnsi="宋体"/>
          <w:szCs w:val="20"/>
        </w:rPr>
      </w:r>
      <w:r/>
    </w:p>
    <w:p>
      <w:pPr>
        <w:pStyle w:val="766"/>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66"/>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766"/>
        <w:ind w:firstLine="480"/>
        <w:pageBreakBefore w:val="0"/>
        <w:spacing w:line="500" w:lineRule="exact"/>
        <w:rPr>
          <w:rFonts w:hint="eastAsia" w:ascii="宋体" w:hAnsi="宋体"/>
          <w:bCs/>
          <w:color w:val="000000"/>
          <w:sz w:val="24"/>
          <w:szCs w:val="21"/>
          <w:highlight w:val="none"/>
        </w:rPr>
      </w:pPr>
      <w:r/>
      <w:bookmarkStart w:id="159" w:name="_Toc20823315"/>
      <w:r/>
      <w:bookmarkStart w:id="160" w:name="_Toc513029243"/>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766"/>
        <w:ind w:firstLine="1320"/>
        <w:rPr>
          <w:rFonts w:hint="eastAsia" w:ascii="宋体" w:hAnsi="宋体" w:eastAsia="宋体" w:cs="宋体"/>
          <w:b/>
          <w:bCs/>
          <w:spacing w:val="-20"/>
          <w:sz w:val="48"/>
          <w:szCs w:val="48"/>
          <w:highlight w:val="none"/>
          <w:lang w:eastAsia="zh-CN"/>
        </w:rPr>
      </w:pPr>
      <w:r/>
      <w:bookmarkEnd w:id="159"/>
      <w:r/>
      <w:bookmarkEnd w:id="160"/>
      <w:r/>
      <w:bookmarkEnd w:id="161"/>
      <w:r/>
      <w:bookmarkStart w:id="162" w:name="_Toc20823346"/>
      <w:r/>
      <w:bookmarkStart w:id="163" w:name="_Toc120614244"/>
      <w:r/>
      <w:bookmarkStart w:id="164" w:name="_Toc479757211"/>
      <w:r/>
      <w:bookmarkStart w:id="165" w:name="_Toc462564139"/>
      <w:r/>
      <w:bookmarkStart w:id="166" w:name="_Hlt16619350"/>
      <w:r/>
      <w:bookmarkStart w:id="167" w:name="_Toc16938590"/>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766"/>
        <w:ind w:firstLine="1320"/>
        <w:rPr>
          <w:rFonts w:ascii="宋体" w:hAnsi="宋体" w:eastAsia="Arial" w:cs="宋体"/>
          <w:b/>
          <w:bCs/>
          <w:spacing w:val="-20"/>
          <w:sz w:val="40"/>
          <w:szCs w:val="40"/>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Arial" w:cs="宋体"/>
          <w:b/>
          <w:bCs/>
          <w:spacing w:val="-20"/>
          <w:sz w:val="40"/>
          <w:szCs w:val="40"/>
          <w:highlight w:val="none"/>
        </w:rPr>
      </w:r>
      <w:r/>
    </w:p>
    <w:p>
      <w:pPr>
        <w:pStyle w:val="766"/>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66"/>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766"/>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766"/>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766"/>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766"/>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766"/>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766"/>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766"/>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766"/>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766"/>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766"/>
        <w:ind w:left="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（1）采购项目名称：</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420"/>
        <w:jc w:val="left"/>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766"/>
        <w:ind w:firstLine="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（3）项目内容：</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766"/>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766"/>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766"/>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766"/>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766"/>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766"/>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766"/>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766"/>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766"/>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付款方式:</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w:t>
      </w:r>
      <w:r>
        <w:rPr>
          <w:rFonts w:hint="eastAsia" w:ascii="宋体" w:hAnsi="宋体" w:eastAsia="宋体" w:cs="Times New Roman"/>
          <w:szCs w:val="21"/>
          <w:highlight w:val="none"/>
          <w:u w:val="single"/>
          <w:lang w:val="en-US" w:eastAsia="zh-CN"/>
        </w:rPr>
        <w:t xml:space="preserve">货款</w:t>
      </w:r>
      <w:r>
        <w:rPr>
          <w:rFonts w:hint="eastAsia" w:ascii="宋体" w:hAnsi="宋体" w:eastAsia="宋体" w:cs="Times New Roman"/>
          <w:szCs w:val="21"/>
          <w:highlight w:val="none"/>
          <w:u w:val="single"/>
        </w:rPr>
        <w:t xml:space="preserve">在免费质保期满后一次性付清。</w:t>
      </w:r>
      <w:r>
        <w:rPr>
          <w:rFonts w:hint="eastAsia" w:ascii="宋体" w:hAnsi="宋体" w:eastAsia="宋体" w:cs="Times New Roman"/>
          <w:szCs w:val="21"/>
          <w:highlight w:val="none"/>
          <w:u w:val="single"/>
        </w:rPr>
      </w:r>
      <w:r/>
    </w:p>
    <w:p>
      <w:pPr>
        <w:pStyle w:val="766"/>
        <w:ind w:firstLine="945"/>
        <w:jc w:val="left"/>
        <w:spacing w:line="400" w:lineRule="exact"/>
        <w:rPr>
          <w:rFonts w:hint="eastAsia" w:ascii="宋体" w:hAnsi="宋体" w:eastAsia="宋体" w:cs="Times New Roman"/>
          <w:szCs w:val="21"/>
          <w:highlight w:val="none"/>
          <w:u w:val="single"/>
          <w:lang w:eastAsia="zh-CN"/>
        </w:rPr>
      </w:pPr>
      <w:r>
        <w:rPr>
          <w:rFonts w:hint="eastAsia" w:ascii="宋体" w:hAnsi="宋体" w:eastAsia="宋体" w:cs="Times New Roman"/>
          <w:szCs w:val="21"/>
          <w:highlight w:val="none"/>
          <w:u w:val="single"/>
          <w:lang w:eastAsia="zh-CN"/>
        </w:rPr>
      </w:r>
      <w:r/>
    </w:p>
    <w:p>
      <w:pPr>
        <w:pStyle w:val="766"/>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江苏省</w:t>
      </w:r>
      <w:r>
        <w:rPr>
          <w:rFonts w:hint="eastAsia" w:ascii="宋体" w:hAnsi="宋体" w:eastAsia="宋体" w:cs="宋体"/>
          <w:bCs/>
          <w:szCs w:val="21"/>
          <w:highlight w:val="none"/>
          <w:lang w:eastAsia="zh-CN"/>
        </w:rPr>
        <w:t xml:space="preserve">灌云中等专业学校</w:t>
      </w:r>
      <w:r>
        <w:rPr>
          <w:rFonts w:ascii="宋体" w:hAnsi="宋体" w:eastAsia="宋体" w:cs="宋体"/>
          <w:szCs w:val="21"/>
          <w:highlight w:val="none"/>
          <w:u w:val="single"/>
        </w:rPr>
      </w:r>
      <w:r/>
    </w:p>
    <w:p>
      <w:pPr>
        <w:pStyle w:val="766"/>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766"/>
        <w:ind w:firstLine="945"/>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收取履约保证金形式：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支票、汇票、本票或者金融机构、担保机构出具的保函等非现金形式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766"/>
        <w:ind w:firstLine="84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766"/>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766"/>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766"/>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766"/>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766"/>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766"/>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766"/>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766"/>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766"/>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766"/>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766"/>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66"/>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66"/>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766"/>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766"/>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766"/>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66"/>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766"/>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66"/>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766"/>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766"/>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766"/>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766"/>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766"/>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766"/>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766"/>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766"/>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766"/>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766"/>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766"/>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766"/>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766"/>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766"/>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766"/>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766"/>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766"/>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766"/>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766"/>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766"/>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766"/>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766"/>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766"/>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766"/>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766"/>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766"/>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宋体" w:cs="Times New Roman"/>
                <w:szCs w:val="21"/>
                <w:highlight w:val="none"/>
                <w:lang w:val="en-US" w:eastAsia="zh-CN"/>
              </w:rPr>
            </w:pPr>
            <w:r>
              <w:rPr>
                <w:rFonts w:hint="eastAsia" w:ascii="宋体" w:hAnsi="宋体" w:eastAsia="宋体" w:cs="Times New Roman"/>
                <w:szCs w:val="21"/>
              </w:rPr>
              <w:t xml:space="preserve">不接受联合体</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乙方送达安装调试后，申请验收，验收合格后甲方支付合同款项。</w:t>
            </w: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宋体" w:hAnsi="宋体" w:eastAsia="宋体" w:cs="宋体"/>
                <w:sz w:val="21"/>
                <w:szCs w:val="21"/>
                <w:lang w:val="en-US" w:eastAsia="zh-CN"/>
              </w:rPr>
              <w:t xml:space="preserve">绿色环保</w:t>
            </w:r>
            <w:r>
              <w:rPr>
                <w:rFonts w:hint="eastAsia" w:ascii="Calibri" w:hAnsi="Calibri" w:eastAsia="宋体" w:cs="Times New Roman"/>
                <w:highlight w:val="none"/>
                <w:lang w:val="en-US" w:eastAsia="zh-CN"/>
              </w:rPr>
            </w:r>
            <w:r/>
          </w:p>
        </w:tc>
      </w:tr>
      <w:tr>
        <w:trPr>
          <w:trHeight w:val="667"/>
        </w:trPr>
        <w:tc>
          <w:tcPr>
            <w:tcW w:w="1607" w:type="dxa"/>
            <w:vAlign w:val="center"/>
            <w:vMerge w:val="continue"/>
            <w:textDirection w:val="lrTb"/>
            <w:noWrap w:val="false"/>
          </w:tcPr>
          <w:p>
            <w:pPr>
              <w:pStyle w:val="766"/>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766"/>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w:t>
            </w:r>
            <w:r>
              <w:rPr>
                <w:rFonts w:hint="eastAsia" w:ascii="Calibri" w:hAnsi="Calibri" w:eastAsia="宋体" w:cs="Times New Roman"/>
                <w:highlight w:val="none"/>
                <w:lang w:val="en-US" w:eastAsia="zh-CN"/>
              </w:rPr>
            </w:r>
            <w:r/>
          </w:p>
        </w:tc>
      </w:tr>
      <w:tr>
        <w:trPr>
          <w:trHeight w:val="66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766"/>
              <w:rPr>
                <w:rFonts w:hint="eastAsia" w:ascii="Calibri" w:hAnsi="Calibri" w:eastAsia="宋体" w:cs="Times New Roman"/>
                <w:highlight w:val="none"/>
                <w:lang w:val="en-US" w:eastAsia="zh-CN"/>
              </w:rPr>
            </w:pPr>
            <w:r>
              <w:rPr>
                <w:rFonts w:hint="eastAsia" w:eastAsia="宋体" w:cs="Times New Roman"/>
              </w:rPr>
              <w:t xml:space="preserve">由乙方自行办理并承担费用。</w:t>
            </w:r>
            <w:r>
              <w:rPr>
                <w:rFonts w:hint="eastAsia" w:ascii="Calibri" w:hAnsi="Calibri" w:eastAsia="宋体" w:cs="Times New Roman"/>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766"/>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按照成交供应商承诺时间要求执行。</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766"/>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hint="eastAsia" w:ascii="宋体" w:hAnsi="宋体" w:eastAsia="宋体" w:cs="Times New Roman"/>
                <w:szCs w:val="21"/>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766"/>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766"/>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66"/>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766"/>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766"/>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766"/>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6"/>
      <w:r>
        <w:rPr>
          <w:rFonts w:hint="eastAsia" w:ascii="黑体" w:hAnsi="Courier New" w:eastAsia="黑体" w:cs="Courier New"/>
          <w:bCs/>
          <w:color w:val="000000"/>
          <w:sz w:val="44"/>
          <w:szCs w:val="21"/>
        </w:rPr>
        <w:t xml:space="preserve">四章采购需求</w:t>
      </w:r>
      <w:bookmarkEnd w:id="162"/>
      <w:r/>
      <w:bookmarkEnd w:id="163"/>
      <w:r/>
      <w:bookmarkEnd w:id="167"/>
      <w:r>
        <w:rPr>
          <w:rFonts w:hint="eastAsia" w:ascii="宋体" w:hAnsi="宋体" w:cs="Courier New"/>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rPr>
      </w:pPr>
      <w:r/>
      <w:bookmarkStart w:id="172" w:name="_Toc49090575"/>
      <w:r/>
      <w:bookmarkStart w:id="173" w:name="_Toc26554093"/>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66"/>
        <w:pageBreakBefore w:val="0"/>
        <w:spacing w:before="120" w:after="120" w:line="500" w:lineRule="exact"/>
        <w:rPr>
          <w:rFonts w:hint="eastAsia" w:ascii="宋体" w:hAnsi="宋体" w:eastAsia="宋体" w:cs="Courier New"/>
          <w:b/>
          <w:bCs/>
          <w:color w:val="000000"/>
          <w:sz w:val="24"/>
          <w:szCs w:val="24"/>
          <w:highlight w:val="red"/>
          <w:lang w:val="en-US" w:eastAsia="zh-CN"/>
        </w:rPr>
      </w:pPr>
      <w:r>
        <w:rPr>
          <w:rFonts w:hint="eastAsia" w:ascii="宋体" w:hAnsi="宋体" w:eastAsia="宋体" w:cs="Courier New"/>
          <w:b/>
          <w:bCs/>
          <w:color w:val="000000"/>
          <w:sz w:val="24"/>
          <w:szCs w:val="24"/>
          <w:highlight w:val="none"/>
        </w:rPr>
        <w:t xml:space="preserve">核心产品：工业机器人考核装置</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rPr>
        <w:t xml:space="preserve">工业机器人装调实训装置</w:t>
      </w:r>
      <w:r>
        <w:rPr>
          <w:rFonts w:hint="eastAsia" w:ascii="宋体" w:hAnsi="宋体" w:eastAsia="宋体" w:cs="Courier New"/>
          <w:b/>
          <w:bCs/>
          <w:color w:val="000000"/>
          <w:sz w:val="24"/>
          <w:szCs w:val="24"/>
          <w:highlight w:val="red"/>
          <w:lang w:val="en-US" w:eastAsia="zh-CN"/>
        </w:rPr>
      </w:r>
      <w:r/>
    </w:p>
    <w:p>
      <w:pPr>
        <w:pStyle w:val="766"/>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，投标人须逐条明确作出满足实质性要求和条件的响应并按要求提供相关证明，否则将按无效投标处理。</w:t>
      </w:r>
      <w:r>
        <w:rPr>
          <w:rFonts w:hint="eastAsia" w:ascii="Calibri" w:hAnsi="Calibri" w:eastAsia="Arial" w:cs="Times New Roman"/>
          <w:sz w:val="24"/>
          <w:szCs w:val="24"/>
        </w:rPr>
      </w:r>
      <w:r/>
    </w:p>
    <w:p>
      <w:pPr>
        <w:pStyle w:val="766"/>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66"/>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766"/>
        <w:numPr>
          <w:ilvl w:val="0"/>
          <w:numId w:val="12"/>
        </w:numPr>
        <w:ind w:left="0" w:firstLine="0"/>
        <w:keepLines w:val="0"/>
        <w:keepNext w:val="0"/>
        <w:pageBreakBefore w:val="0"/>
        <w:spacing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采购清单及技术参数要求</w:t>
      </w:r>
      <w:r>
        <w:rPr>
          <w:rFonts w:hint="eastAsia" w:ascii="宋体" w:hAnsi="宋体" w:eastAsia="宋体" w:cs="Times New Roman"/>
          <w:bCs/>
          <w:color w:val="000000"/>
          <w:sz w:val="24"/>
          <w:szCs w:val="24"/>
        </w:rPr>
      </w:r>
      <w:r/>
    </w:p>
    <w:tbl>
      <w:tblPr>
        <w:tblStyle w:val="837"/>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263"/>
        <w:gridCol w:w="5300"/>
        <w:gridCol w:w="748"/>
        <w:gridCol w:w="923"/>
      </w:tblGrid>
      <w:tr>
        <w:trPr>
          <w:trHeight w:val="566"/>
        </w:trPr>
        <w:tc>
          <w:tcPr>
            <w:tcW w:w="6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设备名称</w:t>
            </w:r>
            <w:r>
              <w:rPr>
                <w:rFonts w:ascii="Times New Roman" w:hAnsi="Times New Roman" w:eastAsia="宋体" w:cs="Times New Roman"/>
                <w:b/>
                <w:bCs/>
                <w:sz w:val="24"/>
                <w:szCs w:val="24"/>
              </w:rPr>
            </w:r>
            <w:r/>
          </w:p>
        </w:tc>
        <w:tc>
          <w:tcPr>
            <w:tcW w:w="5300"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型号及参数要求</w:t>
            </w:r>
            <w:r>
              <w:rPr>
                <w:rFonts w:ascii="Times New Roman" w:hAnsi="Times New Roman" w:eastAsia="宋体" w:cs="Times New Roman"/>
                <w:b/>
                <w:bCs/>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数量</w:t>
            </w:r>
            <w:r>
              <w:rPr>
                <w:rFonts w:ascii="Times New Roman" w:hAnsi="Times New Roman" w:eastAsia="宋体" w:cs="Times New Roman"/>
                <w:b/>
                <w:bCs/>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单位</w:t>
            </w:r>
            <w:r>
              <w:rPr>
                <w:rFonts w:ascii="Times New Roman" w:hAnsi="Times New Roman" w:eastAsia="宋体" w:cs="Times New Roman"/>
                <w:b/>
                <w:bCs/>
                <w:sz w:val="24"/>
                <w:szCs w:val="24"/>
              </w:rPr>
            </w:r>
            <w:r/>
          </w:p>
        </w:tc>
      </w:tr>
      <w:tr>
        <w:trPr>
          <w:trHeight w:val="794"/>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工业机器人考核装置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1）总体要求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设备满足工业机器人应用编程职业技能等级标准初级、中级训练及考核要求。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产品采用实训平台加功能模块的组合式结构。</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台体尺寸不小于1560×900×850（长×宽×高㎜），要求带有水平调节脚轮。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功能模块需包含PLC及驱动模块、快速安装系统模块。模块的安装要求采用便捷安装的要求，能够不借助工具即可完成所有模块的拆卸和更换。投标文件中需以文字或图片方式说明快捷安装的实现方式。</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工业机器人实训系统电气部分采用网孔架单独安装，方便学生操作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2）工业机器人</w:t>
            </w:r>
            <w:r>
              <w:rPr>
                <w:rFonts w:hint="eastAsia" w:ascii="宋体" w:hAnsi="宋体" w:eastAsia="宋体" w:cs="Times New Roman"/>
                <w:sz w:val="24"/>
                <w:szCs w:val="24"/>
                <w:lang w:val="en-US" w:eastAsia="zh-CN"/>
              </w:rPr>
              <w:t xml:space="preserve">技术指标</w:t>
            </w:r>
            <w:r>
              <w:rPr>
                <w:rFonts w:ascii="宋体" w:hAnsi="宋体" w:eastAsia="宋体" w:cs="Times New Roman"/>
                <w:sz w:val="24"/>
                <w:szCs w:val="24"/>
                <w:lang w:val="en-US" w:eastAsia="zh-CN"/>
              </w:rPr>
            </w:r>
            <w:r/>
          </w:p>
          <w:p>
            <w:pPr>
              <w:pStyle w:val="766"/>
              <w:jc w:val="left"/>
              <w:spacing w:after="0" w:line="280" w:lineRule="exact"/>
              <w:rPr>
                <w:rFonts w:hint="eastAsia"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1.1工作范围: 不少于703mm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1.2有效荷重: 不低于7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1.3手臂荷重: 不低于0.3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1.4集成信号源:手腕设不少于10路信号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1.5集成气源:手腕设不少于4路空气（5 bar）</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1.6重复定位精度:不低于0.02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1.7防护等级:</w:t>
            </w:r>
            <w:r>
              <w:rPr>
                <w:rFonts w:hint="eastAsia" w:ascii="宋体" w:hAnsi="宋体" w:eastAsia="宋体" w:cs="Times New Roman"/>
                <w:sz w:val="24"/>
                <w:szCs w:val="24"/>
                <w:lang w:val="en-US" w:eastAsia="zh-CN"/>
              </w:rPr>
              <w:t xml:space="preserve">不低于</w:t>
            </w:r>
            <w:r>
              <w:rPr>
                <w:rFonts w:hint="eastAsia" w:ascii="宋体" w:hAnsi="宋体" w:eastAsia="宋体" w:cs="Times New Roman"/>
                <w:sz w:val="24"/>
                <w:szCs w:val="24"/>
              </w:rPr>
              <w:t xml:space="preserve">IP40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1.8噪音水平</w:t>
            </w:r>
            <w:r>
              <w:rPr>
                <w:rFonts w:hint="eastAsia" w:ascii="宋体" w:hAnsi="宋体" w:eastAsia="宋体" w:cs="Times New Roman"/>
                <w:sz w:val="24"/>
                <w:szCs w:val="24"/>
                <w:lang w:val="en-US" w:eastAsia="zh-CN"/>
              </w:rPr>
              <w:t xml:space="preserve">不高于</w:t>
            </w:r>
            <w:r>
              <w:rPr>
                <w:rFonts w:hint="eastAsia"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1.9各轴运动参数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轴运动         工作范围           最大速度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轴1旋转     +170°~ -170°        288°/s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轴2手臂     +135°~ -100°        240°/s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轴3手臂     +70° ~ -200°        300°/s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轴4手腕     +270°~ -270°        400°/s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轴5弯曲     +130°~ -130°        405°/s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轴6翻转      +360°~ -360°       600°/s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1.10 TCP1 kg拾料性能：TCP最大速度不低于7.3 m/s、最大加速度不低于35 m/s2、加速时间0-1 m/s 不超过0.06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1.11安全性:安全停、紧急停、2通道安全回路监测、3位启动装置;12）1.12辐射: EMC/EMI屏蔽;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1.13机器人底座尺寸不超过210×210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2.机器人功能要求：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ab/>
            </w:r>
            <w:r>
              <w:rPr>
                <w:rFonts w:hint="eastAsia" w:ascii="宋体" w:hAnsi="宋体" w:eastAsia="宋体" w:cs="Times New Roman"/>
                <w:sz w:val="24"/>
                <w:szCs w:val="24"/>
              </w:rPr>
              <w:t xml:space="preserve">可就机器人使用寿命内，使用机器人离线软件进行实时程序，IO，机器人3D动态动作监控。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ab/>
            </w:r>
            <w:r>
              <w:rPr>
                <w:rFonts w:hint="eastAsia" w:ascii="宋体" w:hAnsi="宋体" w:eastAsia="宋体" w:cs="Times New Roman"/>
                <w:sz w:val="24"/>
                <w:szCs w:val="24"/>
              </w:rPr>
              <w:t xml:space="preserve">远程机器人系统备份与恢复功能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ab/>
            </w:r>
            <w:r>
              <w:rPr>
                <w:rFonts w:hint="eastAsia" w:ascii="宋体" w:hAnsi="宋体" w:eastAsia="宋体" w:cs="Times New Roman"/>
                <w:sz w:val="24"/>
                <w:szCs w:val="24"/>
              </w:rPr>
              <w:t xml:space="preserve">提供基于VB的二次开发功能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机器人全寿命保养自动维护检测系统功能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机器人运动轨迹实时微调功能。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2.7.</w:t>
            </w:r>
            <w:r>
              <w:rPr>
                <w:rFonts w:hint="eastAsia" w:ascii="宋体" w:hAnsi="宋体" w:eastAsia="宋体" w:cs="Times New Roman"/>
                <w:sz w:val="24"/>
                <w:szCs w:val="24"/>
              </w:rPr>
              <w:tab/>
            </w:r>
            <w:r>
              <w:rPr>
                <w:rFonts w:hint="eastAsia" w:ascii="宋体" w:hAnsi="宋体" w:eastAsia="宋体" w:cs="Times New Roman"/>
                <w:sz w:val="24"/>
                <w:szCs w:val="24"/>
              </w:rPr>
              <w:t xml:space="preserve">自带I</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2.8.</w:t>
            </w:r>
            <w:r>
              <w:rPr>
                <w:rFonts w:hint="eastAsia" w:ascii="宋体" w:hAnsi="宋体" w:eastAsia="宋体" w:cs="Times New Roman"/>
                <w:sz w:val="24"/>
                <w:szCs w:val="24"/>
              </w:rPr>
              <w:tab/>
            </w:r>
            <w:r>
              <w:rPr>
                <w:rFonts w:hint="eastAsia" w:ascii="宋体" w:hAnsi="宋体" w:eastAsia="宋体" w:cs="Times New Roman"/>
                <w:sz w:val="24"/>
                <w:szCs w:val="24"/>
              </w:rPr>
              <w:t xml:space="preserve">3D实时舒适摇杆手动操作系统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2.9.</w:t>
            </w:r>
            <w:r>
              <w:rPr>
                <w:rFonts w:hint="eastAsia"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终身机器人系统功能升级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2.11.</w:t>
            </w:r>
            <w:r>
              <w:rPr>
                <w:rFonts w:hint="eastAsia" w:ascii="宋体" w:hAnsi="宋体" w:eastAsia="宋体" w:cs="Times New Roman"/>
                <w:sz w:val="24"/>
                <w:szCs w:val="24"/>
              </w:rPr>
              <w:tab/>
            </w:r>
            <w:r>
              <w:rPr>
                <w:rFonts w:hint="eastAsia" w:ascii="宋体" w:hAnsi="宋体" w:eastAsia="宋体" w:cs="Times New Roman"/>
                <w:sz w:val="24"/>
                <w:szCs w:val="24"/>
              </w:rPr>
              <w:t xml:space="preserve">支持RAPID编程语言规范，并直接解释执行。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2.12.不少于1G的固态CF硬盘</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2.13.机器人控制系统软件必须基于WINCE平台，以便基于机器人的二次开发。</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2.14.机器人控制系统原配固态存储器容量不得低于1G，并支持USB扩展为副存储器。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highlight w:val="none"/>
              </w:rPr>
              <w:t xml:space="preserve">3.工业机器人需满足以下标准：</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3.3.</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3.4.</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3.5.</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3.6.</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3.7.</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3.8.</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3.9.</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3.10. EN IEC 61000-6-4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3.12. EN IEC 60974-1iii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3.13. EN IEC 60974-10iii</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3.14. EN IEC 60204-1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3.15. IEC 60529</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3.16. EN 614-1</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3.17. EN 574</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3.18. EN 953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3.19. ANSI/RIA R15.06</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3.20. ANSI/UL 1740</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3.21. CAN/CSA Z 434-03</w:t>
            </w:r>
            <w:r>
              <w:rPr>
                <w:rFonts w:ascii="宋体" w:hAnsi="宋体" w:eastAsia="宋体" w:cs="Times New Roman"/>
                <w:sz w:val="24"/>
                <w:szCs w:val="24"/>
                <w:highlight w:val="none"/>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3）搬运单元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本模块由供料单元、托盘、等零部件组成，结构紧凑，布局合理，配合仓储模块及工业机器人可以完成料块的搬运、仓储等实训内容；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4）装配单元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本模块由伺服电机、电感及转盘等零部件组成，配合涂胶供料模块与工业机器人可模拟完成汽车玻璃的供料、涂胶、装配等实训内容；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5）码垛单元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本模块由圆柱体、正方体等零部件组成，配合工业机器人完成零件搬运、码垛、示教等机器人基础实训内容；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6）涂胶单元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本模块由磁耦式无杆气缸、光电及点胶枪等零部件组成，配合涂胶装配模块与工业机器人可模拟完成供料、涂胶、装配等实训内容；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7）焊接单元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本模块由步进电机、转盘、虚拟焊接板等零部件组成，配合工业机器人完成焊接、仿真等实训内容；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8）打磨单元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本模块由电动磨头、打磨工件组成，可实现工业机器人打磨抛光应用；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9）雕刻单元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本模块由机械雕刻及激光雕刻模块组成，可通过离线编程软件完成木板的激光雕刻及机械雕刻；</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10）视觉单元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本模块由工业相机等零部件组成，配合工业机器人与其他模块，完成视觉等在工业生产中的物料识别、定位等实训内容。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11）RFID智能仓储单元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由仓库单元、rfid模块组成，仓库主体由铝型材搭建，库位容量不低于9个。配合WMS系统，可实现智能仓储管理。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12）供料输送单元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本模块由供料桶、气缸、传输线、传感器等组成，能够实现出料、输送等，可配合RFID模块及视觉模块，实现物料的分拣；</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13）监控单元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由无线网络摄像头及安装支架、监控软件组成，可全程录制工作台工作过程。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14）快换工具单元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以上单元投标时需提供实物照片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15）电气控制单元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电气控制单元包含所有驱动及电源、PLC和触摸屏。PLC性能不低于西门子S7-1200/FX3U系列，具体规格按产品应用设计选用，保留至少20%的输入输出点余量。触摸屏采用不小于7寸真彩主流品牌产品，驱动装置采用主流品牌产品，至少要包含伺服和步进驱动。PLC及驱动模块的所有输出和输入通过快速连接插头与外围模块及机器人连接，模块内部采用安全插孔和专用安全导线快速连接，动力插孔和控制插孔需采用特别措施，避免误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投标时提供详细的配置清单。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通过控制系统，学生能够快速掌握工业机器人外部接口配置，了解如何配置一台工业机器人。同时能够使工业机器人与PLC、继电器、传感器、视觉等模块相连。使学生完全掌握工业机器人外部电气控制连接。</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16）离线编程及仿真单元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由电脑桌、电脑、离线编程仿真软件组成，离线编程仿真软件需与工业机器人配套，能够实现离线编程仿真；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17）触摸屏单元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本模块由触摸屏等零部件组成，配合工业机器人与其他模块，完成控制过程的启动、停止、状态显示灯实训内容。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18）基础平台模块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基础平台为所有控制模块与训练模块的载体。平台基体为工业铝型材结构，带有25mm的槽间隙，配合快换结构-槽板式插拔系统，保证可以在任何地方安装任何控制模块与实训模块。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19）三色灯模块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w:t>
            </w:r>
            <w:r>
              <w:rPr>
                <w:rFonts w:ascii="宋体" w:hAnsi="宋体" w:eastAsia="宋体" w:cs="Times New Roman"/>
                <w:sz w:val="24"/>
                <w:szCs w:val="24"/>
              </w:rPr>
              <w:t xml:space="preserve">由三色灯组成，</w:t>
            </w:r>
            <w:r>
              <w:rPr>
                <w:rFonts w:hint="eastAsia" w:ascii="宋体" w:hAnsi="宋体" w:eastAsia="宋体" w:cs="Times New Roman"/>
                <w:sz w:val="24"/>
                <w:szCs w:val="24"/>
              </w:rPr>
              <w:t xml:space="preserve">配合控制模块</w:t>
            </w:r>
            <w:r>
              <w:rPr>
                <w:rFonts w:ascii="宋体" w:hAnsi="宋体" w:eastAsia="宋体" w:cs="Times New Roman"/>
                <w:sz w:val="24"/>
                <w:szCs w:val="24"/>
              </w:rPr>
              <w:t xml:space="preserve">完成实验过程中的状态显示</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20）喷涂模块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  由颜料供应装置、气源、喷嘴及工件组成，可完成工件的喷涂；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21）电磁阀模块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本模块由电磁阀、气动二联体等零部件组成，配合其他气动执行部件，完成气动执行部件的控制等实训内容。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22）工业机器人自动考核系统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提供基于android/win8/win10系统的工业机器人实训系统app，系统可就工业机器人画笔单元展开相应的实训，实训内容包括：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在线画笔实训：软件自动提供图形，学生根据要求利用机器人电容笔工装在线走轨迹；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在线绘图实训：软件自动提供技术要求，要求学生根据要求在线绘图；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在线码垛实训：软件在线提供码垛工位及工件，要求学生根据需要进行模拟码垛训练；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在线搬运实训：软件提供工件及工位，要求学生根据要求进行模拟搬运训练；</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在线焊接训练：软件提供焊接工件，要求学生根据要求进行模拟焊接训练，软件采用三维效果的方式展现学生焊接内容；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系统相应功能界面截图。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23）工业机器人仿真软件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1.采用VRML技术加载不同机器人数据的三维模型；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2.可切换不同的视图来以相应的视角进行显示三维模型；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3.可显示运动的轨迹；</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4.运行机器人的运动轴测试功能；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5.建立、查看、编辑示教任务；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6.具有指令编辑功能（如JMOVE、LMOVE、DELAY、HOME1）；</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7.运动方式分为单步运动和连续运动；</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8.示教点可在关节坐标或笛卡尔坐标采用操控方式或直接输入位置的形式进行记录；</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9.在编写完示教任务后，可通过轨迹计算，以查看示教是否符合规划要求；</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10.界面包括两大部分，操作界面和显示界面，操作界面与显示界面分开，作为两个独立的对话框；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11.显示界面主界面包括菜单栏、工具栏和3D显示栏；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12.菜单栏包括文件、视图、显示模式、运动仿真、帮助等；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13.工具栏包括打开文件（后缀为ZHM格式）；</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14.显示模式：包括显示顶点、线段、光滑曲面、平坦曲面、增加线框、光照、平台显示、坐标显示、运动轨迹、参数设置等；</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15.视图模式：包括透视投影、正投影、前面、后面、左边、右边、顶部、底部、观察位置、颜色设置；</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16.运动仿真：包括运动、Test；</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17.操作界面包括文件、系统参数、轨迹计算、单步执行、连续运动、HOME1、HOME2；</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18.操作界面能够显示序号、指令、参数、速度；</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19.程序运行速度百分比、示教速度可自由调整；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20.系统能够收缩数据列表，列表可自由显示六个轴的坐标；</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21.系统可以增加、插入、删除JMOVE、 LMOVE、 DELAY、 JAPPRO、 LAPPRO、 JDEPART、 LDEPART、 HOME1、 HOME2、DRIVE 、DRAW、TDRAW、ALIGN、CIRC、OUT、PAUSE、CONTINUE、END J000 P000；</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22.工业机器人姿态可进行选择，具体包括：FRONT、 BACK、 LEFT 、RIGHT 、UP、 DOWN；</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23.界面可以单独操作工业机器人六个轴；</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软件相应功能界面截图。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24）工业机器人工作站生产管理系统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结合工业机器人工作站模拟工厂生产要求，提供生产管理系统。主要体现企业的生产流程，可结合看板系统和实际生产线系统，建立涵盖销售、计划、生产、车间管理、采购、库存、质量、财务等八大职能120多个功能模块，各模块之间高度集成，具备可操作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1.基础数据包括系统建立在的公司的基本信息，是系统运行的基础，包括公司信息，工厂信息，仓库信息，物料信息，产品结构，工艺路线信息，企业生产的基础信息，也是系统运行的必备信息。</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销售子系统主要包括从接受到市场信息，发布销售订单开始，到进行销售发货，最后进行结算等一系列功能。销售子系统是整体物流系统的驱动来源，计划子系统，生产子系统，采购子系统，都是以销售为业务驱动进行运作的。</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3.计划子系统主要是把销售需求转为企业内部可执行的命令，并协调企业内部物流各系统的运行；计划子系统主要根据企业的销售订单转为生产、采购执行的命令。主要包括订货点计划，物料需求计划。</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4.生产子系统主要是执行企业的生产指令，安排生产任务，进行生产领料，生产入库处理业务，是企业内部物流的主体。</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5.车间管理子系统是对生产现场的管理，包括车间作业计划，工票反馈，是生产线管理的基本。</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6.采购业务是企业物流的一个重要环节，包括订单，进货，检验，入库等程序。本系统中体现了采购订单，采购收货，采购结算。</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7.库存业务是企业物流的核心，包库出入库业务，库存盘点等业务，与采购、生产等业务有较强的关联性。</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8.质量子系统是库存业务的检验环节，是对企业物流的把关，是对企业物料的质量保证。</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9.财务子系统是对整体业务的归总核算，体现物流的成本，形成企业的物流价值链。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10.投标企业提供所投ERP管理软件对应的模块框图及相互关系图，以及相应的操作流程图及软件界面。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25）PLC三维考核系统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26）工业机器人3D仿真软件系统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w:t>
            </w:r>
            <w:r>
              <w:rPr>
                <w:rFonts w:ascii="宋体" w:hAnsi="宋体" w:eastAsia="宋体" w:cs="Times New Roman"/>
                <w:sz w:val="24"/>
                <w:szCs w:val="24"/>
              </w:rPr>
              <w:t xml:space="preserve">win10</w:t>
            </w:r>
            <w:r>
              <w:rPr>
                <w:rFonts w:hint="eastAsia" w:ascii="宋体" w:hAnsi="宋体" w:eastAsia="宋体" w:cs="Times New Roman"/>
                <w:sz w:val="24"/>
                <w:szCs w:val="24"/>
              </w:rPr>
              <w:t xml:space="preserve">电脑，投影仪</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ind w:firstLine="24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ind w:firstLine="24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textDirection w:val="lrTb"/>
            <w:noWrap w:val="false"/>
          </w:tcPr>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工业机器人装调实训装置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 .六自由度工业机器人</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lang w:eastAsia="zh-CN"/>
              </w:rPr>
            </w:r>
            <w:r/>
          </w:p>
          <w:p>
            <w:pPr>
              <w:pStyle w:val="766"/>
              <w:jc w:val="left"/>
              <w:spacing w:after="0" w:line="280" w:lineRule="exact"/>
              <w:rPr>
                <w:rFonts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none"/>
              </w:rPr>
              <w:t xml:space="preserve">1）工业机器人</w:t>
            </w:r>
            <w:r>
              <w:rPr>
                <w:rFonts w:hint="eastAsia" w:ascii="宋体" w:hAnsi="宋体" w:eastAsia="宋体" w:cs="Times New Roman"/>
                <w:sz w:val="24"/>
                <w:szCs w:val="24"/>
                <w:highlight w:val="none"/>
                <w:lang w:val="en-US" w:eastAsia="zh-CN"/>
              </w:rPr>
              <w:t xml:space="preserve">技术指标</w:t>
            </w:r>
            <w:r>
              <w:rPr>
                <w:rFonts w:hint="eastAsia" w:ascii="宋体" w:hAnsi="宋体" w:eastAsia="宋体" w:cs="Times New Roman"/>
                <w:sz w:val="24"/>
                <w:szCs w:val="24"/>
                <w:highlight w:val="none"/>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工作范围</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不少于703</w:t>
            </w:r>
            <w:r>
              <w:rPr>
                <w:rFonts w:ascii="宋体" w:hAnsi="宋体" w:eastAsia="宋体" w:cs="Times New Roman"/>
                <w:sz w:val="24"/>
                <w:szCs w:val="24"/>
              </w:rPr>
              <w:t xml:space="preserve">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有效荷重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不低于7</w:t>
            </w:r>
            <w:r>
              <w:rPr>
                <w:rFonts w:ascii="宋体" w:hAnsi="宋体" w:eastAsia="宋体" w:cs="Times New Roman"/>
                <w:sz w:val="24"/>
                <w:szCs w:val="24"/>
              </w:rPr>
              <w:t xml:space="preserve">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手臂荷重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0.3 kg</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集成信号源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10</w:t>
            </w:r>
            <w:r>
              <w:rPr>
                <w:rFonts w:hint="eastAsia" w:ascii="宋体" w:hAnsi="宋体" w:eastAsia="宋体" w:cs="Times New Roman"/>
                <w:sz w:val="24"/>
                <w:szCs w:val="24"/>
              </w:rPr>
              <w:t xml:space="preserve">路信号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集成气源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路空气（</w:t>
            </w:r>
            <w:r>
              <w:rPr>
                <w:rFonts w:ascii="宋体" w:hAnsi="宋体" w:eastAsia="宋体" w:cs="Times New Roman"/>
                <w:sz w:val="24"/>
                <w:szCs w:val="24"/>
              </w:rPr>
              <w:t xml:space="preserve">5 bar</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重复定位精度</w:t>
            </w:r>
            <w:r>
              <w:rPr>
                <w:rFonts w:ascii="宋体" w:hAnsi="宋体" w:eastAsia="宋体" w:cs="Times New Roman"/>
                <w:sz w:val="24"/>
                <w:szCs w:val="24"/>
              </w:rPr>
              <w:t xml:space="preserve">:</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0.01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防护等级</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不低于</w:t>
            </w:r>
            <w:r>
              <w:rPr>
                <w:rFonts w:ascii="宋体" w:hAnsi="宋体" w:eastAsia="宋体" w:cs="Times New Roman"/>
                <w:sz w:val="24"/>
                <w:szCs w:val="24"/>
              </w:rPr>
              <w:t xml:space="preserve">IP</w:t>
            </w: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TCP1 kg</w:t>
            </w:r>
            <w:r>
              <w:rPr>
                <w:rFonts w:hint="eastAsia" w:ascii="宋体" w:hAnsi="宋体" w:eastAsia="宋体" w:cs="Times New Roman"/>
                <w:sz w:val="24"/>
                <w:szCs w:val="24"/>
              </w:rPr>
              <w:t xml:space="preserve">拾料性能：</w:t>
            </w:r>
            <w:r>
              <w:rPr>
                <w:rFonts w:ascii="宋体" w:hAnsi="宋体" w:eastAsia="宋体" w:cs="Times New Roman"/>
                <w:sz w:val="24"/>
                <w:szCs w:val="24"/>
              </w:rPr>
              <w:t xml:space="preserve">TCP</w:t>
            </w:r>
            <w:r>
              <w:rPr>
                <w:rFonts w:hint="eastAsia" w:ascii="宋体" w:hAnsi="宋体" w:eastAsia="宋体" w:cs="Times New Roman"/>
                <w:sz w:val="24"/>
                <w:szCs w:val="24"/>
              </w:rPr>
              <w:t xml:space="preserve">最大速度不低于7.3</w:t>
            </w:r>
            <w:r>
              <w:rPr>
                <w:rFonts w:ascii="宋体" w:hAnsi="宋体" w:eastAsia="宋体" w:cs="Times New Roman"/>
                <w:sz w:val="24"/>
                <w:szCs w:val="24"/>
              </w:rPr>
              <w:t xml:space="preserve"> m/s</w:t>
            </w:r>
            <w:r>
              <w:rPr>
                <w:rFonts w:hint="eastAsia" w:ascii="宋体" w:hAnsi="宋体" w:eastAsia="宋体" w:cs="Times New Roman"/>
                <w:sz w:val="24"/>
                <w:szCs w:val="24"/>
              </w:rPr>
              <w:t xml:space="preserve">、最大加速度不低于35</w:t>
            </w:r>
            <w:r>
              <w:rPr>
                <w:rFonts w:ascii="宋体" w:hAnsi="宋体" w:eastAsia="宋体" w:cs="Times New Roman"/>
                <w:sz w:val="24"/>
                <w:szCs w:val="24"/>
              </w:rPr>
              <w:t xml:space="preserve"> m/s2</w:t>
            </w:r>
            <w:r>
              <w:rPr>
                <w:rFonts w:hint="eastAsia" w:ascii="宋体" w:hAnsi="宋体" w:eastAsia="宋体" w:cs="Times New Roman"/>
                <w:sz w:val="24"/>
                <w:szCs w:val="24"/>
              </w:rPr>
              <w:t xml:space="preserve">、加速时间</w:t>
            </w:r>
            <w:r>
              <w:rPr>
                <w:rFonts w:ascii="宋体" w:hAnsi="宋体" w:eastAsia="宋体" w:cs="Times New Roman"/>
                <w:sz w:val="24"/>
                <w:szCs w:val="24"/>
              </w:rPr>
              <w:t xml:space="preserve">0-1 m/s </w:t>
            </w:r>
            <w:r>
              <w:rPr>
                <w:rFonts w:hint="eastAsia" w:ascii="宋体" w:hAnsi="宋体" w:eastAsia="宋体" w:cs="Times New Roman"/>
                <w:sz w:val="24"/>
                <w:szCs w:val="24"/>
              </w:rPr>
              <w:t xml:space="preserve">不超过</w:t>
            </w:r>
            <w:r>
              <w:rPr>
                <w:rFonts w:ascii="宋体" w:hAnsi="宋体" w:eastAsia="宋体" w:cs="Times New Roman"/>
                <w:sz w:val="24"/>
                <w:szCs w:val="24"/>
              </w:rPr>
              <w:t xml:space="preserve">0.0</w:t>
            </w:r>
            <w:r>
              <w:rPr>
                <w:rFonts w:hint="eastAsia" w:ascii="宋体" w:hAnsi="宋体" w:eastAsia="宋体" w:cs="Times New Roman"/>
                <w:sz w:val="24"/>
                <w:szCs w:val="24"/>
              </w:rPr>
              <w:t xml:space="preserve">6</w:t>
            </w:r>
            <w:r>
              <w:rPr>
                <w:rFonts w:ascii="宋体" w:hAnsi="宋体" w:eastAsia="宋体" w:cs="Times New Roman"/>
                <w:sz w:val="24"/>
                <w:szCs w:val="24"/>
              </w:rPr>
              <w:t xml:space="preserve"> s</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噪音水平</w:t>
            </w:r>
            <w:r>
              <w:rPr>
                <w:rFonts w:hint="eastAsia" w:ascii="宋体" w:hAnsi="宋体" w:eastAsia="宋体" w:cs="Times New Roman"/>
                <w:sz w:val="24"/>
                <w:szCs w:val="24"/>
                <w:lang w:val="en-US" w:eastAsia="zh-CN"/>
              </w:rPr>
              <w:t xml:space="preserve">不高于</w:t>
            </w:r>
            <w:r>
              <w:rPr>
                <w:rFonts w:ascii="宋体" w:hAnsi="宋体" w:eastAsia="宋体" w:cs="Times New Roman"/>
                <w:sz w:val="24"/>
                <w:szCs w:val="24"/>
              </w:rPr>
              <w:t xml:space="preserve">70 dB (A)</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w:t>
            </w:r>
            <w:r>
              <w:rPr>
                <w:rFonts w:ascii="宋体" w:hAnsi="宋体" w:eastAsia="宋体" w:cs="Times New Roman"/>
                <w:sz w:val="24"/>
                <w:szCs w:val="24"/>
              </w:rPr>
              <w:t xml:space="preserve">:</w:t>
            </w:r>
            <w:r>
              <w:rPr>
                <w:rFonts w:hint="eastAsia" w:ascii="宋体" w:hAnsi="宋体" w:eastAsia="宋体" w:cs="Times New Roman"/>
                <w:sz w:val="24"/>
                <w:szCs w:val="24"/>
              </w:rPr>
              <w:t xml:space="preserve">安全停、紧急停、</w:t>
            </w:r>
            <w:r>
              <w:rPr>
                <w:rFonts w:ascii="宋体" w:hAnsi="宋体" w:eastAsia="宋体" w:cs="Times New Roman"/>
                <w:sz w:val="24"/>
                <w:szCs w:val="24"/>
              </w:rPr>
              <w:t xml:space="preserve">2</w:t>
            </w:r>
            <w:r>
              <w:rPr>
                <w:rFonts w:hint="eastAsia" w:ascii="宋体" w:hAnsi="宋体" w:eastAsia="宋体" w:cs="Times New Roman"/>
                <w:sz w:val="24"/>
                <w:szCs w:val="24"/>
              </w:rPr>
              <w:t xml:space="preserve">通道安全回路监测、</w:t>
            </w:r>
            <w:r>
              <w:rPr>
                <w:rFonts w:ascii="宋体" w:hAnsi="宋体" w:eastAsia="宋体" w:cs="Times New Roman"/>
                <w:sz w:val="24"/>
                <w:szCs w:val="24"/>
              </w:rPr>
              <w:t xml:space="preserve">3</w:t>
            </w:r>
            <w:r>
              <w:rPr>
                <w:rFonts w:hint="eastAsia" w:ascii="宋体" w:hAnsi="宋体" w:eastAsia="宋体" w:cs="Times New Roman"/>
                <w:sz w:val="24"/>
                <w:szCs w:val="24"/>
              </w:rPr>
              <w:t xml:space="preserve">位启动装置</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辐射</w:t>
            </w:r>
            <w:r>
              <w:rPr>
                <w:rFonts w:ascii="宋体" w:hAnsi="宋体" w:eastAsia="宋体" w:cs="Times New Roman"/>
                <w:sz w:val="24"/>
                <w:szCs w:val="24"/>
              </w:rPr>
              <w:t xml:space="preserve">:EMC/EMI</w:t>
            </w:r>
            <w:r>
              <w:rPr>
                <w:rFonts w:hint="eastAsia" w:ascii="宋体" w:hAnsi="宋体" w:eastAsia="宋体" w:cs="Times New Roman"/>
                <w:sz w:val="24"/>
                <w:szCs w:val="24"/>
              </w:rPr>
              <w:t xml:space="preserve">屏蔽</w:t>
            </w:r>
            <w:r>
              <w:rPr>
                <w:rFonts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底座尺寸不超过21</w:t>
            </w:r>
            <w:r>
              <w:rPr>
                <w:rFonts w:ascii="宋体" w:hAnsi="宋体" w:eastAsia="宋体" w:cs="Times New Roman"/>
                <w:sz w:val="24"/>
                <w:szCs w:val="24"/>
              </w:rPr>
              <w:t xml:space="preserve">0×</w:t>
            </w:r>
            <w:r>
              <w:rPr>
                <w:rFonts w:hint="eastAsia" w:ascii="宋体" w:hAnsi="宋体" w:eastAsia="宋体" w:cs="Times New Roman"/>
                <w:sz w:val="24"/>
                <w:szCs w:val="24"/>
              </w:rPr>
              <w:t xml:space="preserve">21</w:t>
            </w:r>
            <w:r>
              <w:rPr>
                <w:rFonts w:ascii="宋体" w:hAnsi="宋体" w:eastAsia="宋体" w:cs="Times New Roman"/>
                <w:sz w:val="24"/>
                <w:szCs w:val="24"/>
              </w:rPr>
              <w:t xml:space="preserve">0 mm</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高度不超过</w:t>
            </w:r>
            <w:r>
              <w:rPr>
                <w:rFonts w:ascii="宋体" w:hAnsi="宋体" w:eastAsia="宋体" w:cs="Times New Roman"/>
                <w:sz w:val="24"/>
                <w:szCs w:val="24"/>
              </w:rPr>
              <w:t xml:space="preserve">700 mm</w:t>
            </w:r>
            <w:r>
              <w:rPr>
                <w:rFonts w:ascii="宋体" w:hAnsi="宋体" w:eastAsia="宋体" w:cs="Times New Roman"/>
                <w:sz w:val="24"/>
                <w:szCs w:val="24"/>
              </w:rPr>
            </w:r>
            <w:r/>
          </w:p>
          <w:p>
            <w:pPr>
              <w:pStyle w:val="766"/>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（2）机器人功能要求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能够使用离线软件进行实时程序，</w:t>
            </w:r>
            <w:r>
              <w:rPr>
                <w:rFonts w:ascii="宋体" w:hAnsi="宋体" w:eastAsia="宋体" w:cs="Times New Roman"/>
                <w:sz w:val="24"/>
                <w:szCs w:val="24"/>
              </w:rPr>
              <w:t xml:space="preserve">IO</w:t>
            </w:r>
            <w:r>
              <w:rPr>
                <w:rFonts w:hint="eastAsia" w:ascii="宋体" w:hAnsi="宋体" w:eastAsia="宋体" w:cs="Times New Roman"/>
                <w:sz w:val="24"/>
                <w:szCs w:val="24"/>
              </w:rPr>
              <w:t xml:space="preserve">，</w:t>
            </w:r>
            <w:r>
              <w:rPr>
                <w:rFonts w:ascii="宋体" w:hAnsi="宋体" w:eastAsia="宋体" w:cs="Times New Roman"/>
                <w:sz w:val="24"/>
                <w:szCs w:val="24"/>
              </w:rPr>
              <w:t xml:space="preserve">3D</w:t>
            </w:r>
            <w:r>
              <w:rPr>
                <w:rFonts w:hint="eastAsia" w:ascii="宋体" w:hAnsi="宋体" w:eastAsia="宋体" w:cs="Times New Roman"/>
                <w:sz w:val="24"/>
                <w:szCs w:val="24"/>
              </w:rPr>
              <w:t xml:space="preserve">动态动作监控。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具备远程系统备份与恢复功能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提供基于</w:t>
            </w:r>
            <w:r>
              <w:rPr>
                <w:rFonts w:ascii="宋体" w:hAnsi="宋体" w:eastAsia="宋体" w:cs="Times New Roman"/>
                <w:sz w:val="24"/>
                <w:szCs w:val="24"/>
              </w:rPr>
              <w:t xml:space="preserve">VB</w:t>
            </w:r>
            <w:r>
              <w:rPr>
                <w:rFonts w:hint="eastAsia" w:ascii="宋体" w:hAnsi="宋体" w:eastAsia="宋体" w:cs="Times New Roman"/>
                <w:sz w:val="24"/>
                <w:szCs w:val="24"/>
              </w:rPr>
              <w:t xml:space="preserve">的二次开发功能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全寿命保养自动维护检测系统功能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运动轨迹实时微调功能。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自带</w:t>
            </w:r>
            <w:r>
              <w:rPr>
                <w:rFonts w:ascii="宋体" w:hAnsi="宋体" w:eastAsia="宋体" w:cs="Times New Roman"/>
                <w:sz w:val="24"/>
                <w:szCs w:val="24"/>
              </w:rPr>
              <w:t xml:space="preserve">IO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3D</w:t>
            </w:r>
            <w:r>
              <w:rPr>
                <w:rFonts w:hint="eastAsia" w:ascii="宋体" w:hAnsi="宋体" w:eastAsia="宋体" w:cs="Times New Roman"/>
                <w:sz w:val="24"/>
                <w:szCs w:val="24"/>
              </w:rPr>
              <w:t xml:space="preserve">实时舒适摇杆手动操作系统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终身系统功能升级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支持</w:t>
            </w:r>
            <w:r>
              <w:rPr>
                <w:rFonts w:ascii="宋体" w:hAnsi="宋体" w:eastAsia="宋体" w:cs="Times New Roman"/>
                <w:sz w:val="24"/>
                <w:szCs w:val="24"/>
              </w:rPr>
              <w:t xml:space="preserve">RAPID</w:t>
            </w:r>
            <w:r>
              <w:rPr>
                <w:rFonts w:hint="eastAsia" w:ascii="宋体" w:hAnsi="宋体" w:eastAsia="宋体" w:cs="Times New Roman"/>
                <w:sz w:val="24"/>
                <w:szCs w:val="24"/>
              </w:rPr>
              <w:t xml:space="preserve">编程语言规范，并直接解释执行。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不少于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的固态</w:t>
            </w:r>
            <w:r>
              <w:rPr>
                <w:rFonts w:ascii="宋体" w:hAnsi="宋体" w:eastAsia="宋体" w:cs="Times New Roman"/>
                <w:sz w:val="24"/>
                <w:szCs w:val="24"/>
              </w:rPr>
              <w:t xml:space="preserve">CF</w:t>
            </w:r>
            <w:r>
              <w:rPr>
                <w:rFonts w:hint="eastAsia" w:ascii="宋体" w:hAnsi="宋体" w:eastAsia="宋体" w:cs="Times New Roman"/>
                <w:sz w:val="24"/>
                <w:szCs w:val="24"/>
              </w:rPr>
              <w:t xml:space="preserve">硬盘</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控制系统软件基于</w:t>
            </w:r>
            <w:r>
              <w:rPr>
                <w:rFonts w:ascii="宋体" w:hAnsi="宋体" w:eastAsia="宋体" w:cs="Times New Roman"/>
                <w:sz w:val="24"/>
                <w:szCs w:val="24"/>
              </w:rPr>
              <w:t xml:space="preserve">WINCE</w:t>
            </w:r>
            <w:r>
              <w:rPr>
                <w:rFonts w:hint="eastAsia" w:ascii="宋体" w:hAnsi="宋体" w:eastAsia="宋体" w:cs="Times New Roman"/>
                <w:sz w:val="24"/>
                <w:szCs w:val="24"/>
              </w:rPr>
              <w:t xml:space="preserve">平台，以便基于机器人的二次开发。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控制系统原配固态存储器容量不得低于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，并支持</w:t>
            </w:r>
            <w:r>
              <w:rPr>
                <w:rFonts w:ascii="宋体" w:hAnsi="宋体" w:eastAsia="宋体" w:cs="Times New Roman"/>
                <w:sz w:val="24"/>
                <w:szCs w:val="24"/>
              </w:rPr>
              <w:t xml:space="preserve">USB</w:t>
            </w:r>
            <w:r>
              <w:rPr>
                <w:rFonts w:hint="eastAsia" w:ascii="宋体" w:hAnsi="宋体" w:eastAsia="宋体" w:cs="Times New Roman"/>
                <w:sz w:val="24"/>
                <w:szCs w:val="24"/>
              </w:rPr>
              <w:t xml:space="preserve">扩展为副存储器。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工业机器人需满足以下</w:t>
            </w:r>
            <w:r>
              <w:rPr>
                <w:rFonts w:hint="eastAsia" w:ascii="宋体" w:hAnsi="宋体" w:eastAsia="宋体" w:cs="Times New Roman"/>
                <w:sz w:val="24"/>
                <w:szCs w:val="24"/>
                <w:highlight w:val="none"/>
                <w:lang w:val="en-US" w:eastAsia="zh-CN"/>
              </w:rPr>
              <w:t xml:space="preserve">技术</w:t>
            </w:r>
            <w:r>
              <w:rPr>
                <w:rFonts w:hint="eastAsia" w:ascii="宋体" w:hAnsi="宋体" w:eastAsia="宋体" w:cs="Times New Roman"/>
                <w:sz w:val="24"/>
                <w:szCs w:val="24"/>
                <w:highlight w:val="none"/>
              </w:rPr>
              <w:t xml:space="preserve">标准：</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60974-10iii</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60204-1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IEC 60529</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614-1</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574</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953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ANSI/RIA R15.06</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ANSI/UL 1740</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CAN/CSA Z 434-03</w:t>
            </w:r>
            <w:r>
              <w:rPr>
                <w:rFonts w:ascii="宋体" w:hAnsi="宋体" w:eastAsia="宋体" w:cs="Times New Roman"/>
                <w:sz w:val="24"/>
                <w:szCs w:val="24"/>
                <w:highlight w:val="none"/>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2.搬运工作站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w:t>
            </w:r>
            <w:r>
              <w:rPr>
                <w:rFonts w:ascii="宋体" w:hAnsi="宋体" w:eastAsia="宋体" w:cs="Times New Roman"/>
                <w:sz w:val="24"/>
                <w:szCs w:val="24"/>
              </w:rPr>
              <w:t xml:space="preserve">4×4</w:t>
            </w:r>
            <w:r>
              <w:rPr>
                <w:rFonts w:hint="eastAsia" w:ascii="宋体" w:hAnsi="宋体" w:eastAsia="宋体" w:cs="Times New Roman"/>
                <w:sz w:val="24"/>
                <w:szCs w:val="24"/>
              </w:rPr>
              <w:t xml:space="preserve">仓库、皮带机、工件和母体工装和子工装等组成。</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仓库主体由铝型材搭建，库位容量不低于</w:t>
            </w:r>
            <w:r>
              <w:rPr>
                <w:rFonts w:ascii="宋体" w:hAnsi="宋体" w:eastAsia="宋体" w:cs="Times New Roman"/>
                <w:sz w:val="24"/>
                <w:szCs w:val="24"/>
              </w:rPr>
              <w:t xml:space="preserve">16</w:t>
            </w:r>
            <w:r>
              <w:rPr>
                <w:rFonts w:hint="eastAsia" w:ascii="宋体" w:hAnsi="宋体" w:eastAsia="宋体" w:cs="Times New Roman"/>
                <w:sz w:val="24"/>
                <w:szCs w:val="24"/>
              </w:rPr>
              <w:t xml:space="preserve">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3.码垛工作站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能够实现两种不同工件的码垛，要能实现不</w:t>
            </w:r>
            <w:r>
              <w:rPr>
                <w:rFonts w:hint="eastAsia" w:ascii="宋体" w:hAnsi="宋体" w:eastAsia="宋体" w:cs="Times New Roman"/>
                <w:sz w:val="24"/>
                <w:szCs w:val="24"/>
                <w:lang w:val="en-US" w:eastAsia="zh-CN"/>
              </w:rPr>
              <w:t xml:space="preserve">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种码垛方式的案例。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码垛平台上提供网格，便于码垛参照。</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4.轨迹绘制工作站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该单元由画板、画笔工装等组成。能实现手爪在该单元的模拟轨迹绘图。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5.打磨抛光工作站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该单元由抛光机构、打磨抛光工装等组成。能够实现手爪在该单元的模拟打磨抛光。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该单元抛光工件采用塑料</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打印产品，打印产品可自行创新设计，通过三维制图以及模型转换生成</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打印程序，打印多样化工业零件，用于最基础智慧制造单元实训。固定台主体采用铝型材制作，方便安装多样化工件。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6.模拟焊接工作站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该单元由二极管发生器机构、模拟焊接工装、模拟焊接工作台等组成。实现手爪在该单元的模拟轨迹绘制。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7.自动换装工作站</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8.电气控制系统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电气控制系统包括可编程控制器、空开、直流电源、光幕、线槽、电线、接线端子、接近开关、传感器等。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每个实训区的工作站与总控</w:t>
            </w:r>
            <w:r>
              <w:rPr>
                <w:rFonts w:ascii="宋体" w:hAnsi="宋体" w:eastAsia="宋体" w:cs="Times New Roman"/>
                <w:sz w:val="24"/>
                <w:szCs w:val="24"/>
              </w:rPr>
              <w:t xml:space="preserve">PLC</w:t>
            </w:r>
            <w:r>
              <w:rPr>
                <w:rFonts w:hint="eastAsia" w:ascii="宋体" w:hAnsi="宋体" w:eastAsia="宋体" w:cs="Times New Roman"/>
                <w:sz w:val="24"/>
                <w:szCs w:val="24"/>
              </w:rPr>
              <w:t xml:space="preserve">连接。工作站更换时，学生可以自己编写程序和连线。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具有接地保护、断电保护、漏电保护功能，安全性符合相关的国标标准。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9.气动系统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气动系统包括静音气泵、电磁阀、气抓、气缸、油水分离器、气管、接头、节流阀等。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安全性符合相关的国标标准。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10.工作台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主要由铝型材和贴面板搭建，工作台主体铝型材框架采用工业</w:t>
            </w:r>
            <w:r>
              <w:rPr>
                <w:rFonts w:ascii="宋体" w:hAnsi="宋体" w:eastAsia="宋体" w:cs="Times New Roman"/>
                <w:sz w:val="24"/>
                <w:szCs w:val="24"/>
              </w:rPr>
              <w:t xml:space="preserve">40×40</w:t>
            </w:r>
            <w:r>
              <w:rPr>
                <w:rFonts w:hint="eastAsia" w:ascii="宋体" w:hAnsi="宋体" w:eastAsia="宋体" w:cs="Times New Roman"/>
                <w:sz w:val="24"/>
                <w:szCs w:val="24"/>
              </w:rPr>
              <w:t xml:space="preserve">铝型材，下部安装有脚轮；</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单个工作台外形尺寸为：长≥</w:t>
            </w:r>
            <w:r>
              <w:rPr>
                <w:rFonts w:ascii="宋体" w:hAnsi="宋体" w:eastAsia="宋体" w:cs="Times New Roman"/>
                <w:sz w:val="24"/>
                <w:szCs w:val="24"/>
              </w:rPr>
              <w:t xml:space="preserve">1400</w:t>
            </w:r>
            <w:r>
              <w:rPr>
                <w:rFonts w:hint="eastAsia" w:ascii="宋体" w:hAnsi="宋体" w:eastAsia="宋体" w:cs="Times New Roman"/>
                <w:sz w:val="24"/>
                <w:szCs w:val="24"/>
              </w:rPr>
              <w:t xml:space="preserve">、宽≥</w:t>
            </w:r>
            <w:r>
              <w:rPr>
                <w:rFonts w:ascii="宋体" w:hAnsi="宋体" w:eastAsia="宋体" w:cs="Times New Roman"/>
                <w:sz w:val="24"/>
                <w:szCs w:val="24"/>
              </w:rPr>
              <w:t xml:space="preserve">1260</w:t>
            </w:r>
            <w:r>
              <w:rPr>
                <w:rFonts w:hint="eastAsia" w:ascii="宋体" w:hAnsi="宋体" w:eastAsia="宋体" w:cs="Times New Roman"/>
                <w:sz w:val="24"/>
                <w:szCs w:val="24"/>
              </w:rPr>
              <w:t xml:space="preserve">、高≥</w:t>
            </w:r>
            <w:r>
              <w:rPr>
                <w:rFonts w:ascii="宋体" w:hAnsi="宋体" w:eastAsia="宋体" w:cs="Times New Roman"/>
                <w:sz w:val="24"/>
                <w:szCs w:val="24"/>
              </w:rPr>
              <w:t xml:space="preserve">800mm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机器人安装底板采用铝板阳极氧化或者钢板喷塑处理，厚度≥</w:t>
            </w:r>
            <w:r>
              <w:rPr>
                <w:rFonts w:ascii="宋体" w:hAnsi="宋体" w:eastAsia="宋体" w:cs="Times New Roman"/>
                <w:sz w:val="24"/>
                <w:szCs w:val="24"/>
              </w:rPr>
              <w:t xml:space="preserve">5mm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以上投标文件中需提供三维效果图或产品实际使用场景照片。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11.实验项目开发</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企业必须提供相应的课程实验指导书，实验内容至少包含：离线编程实验、自动搬运码垛实验、自动打磨实验、机自动焊接实验、自动绘图实验、双机协作实验等；指导书内容包含各项实验具体内容和操作步骤。</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w:t>
            </w:r>
            <w:r>
              <w:rPr>
                <w:rFonts w:ascii="宋体" w:hAnsi="宋体" w:eastAsia="宋体" w:cs="Times New Roman"/>
                <w:sz w:val="24"/>
                <w:szCs w:val="24"/>
              </w:rPr>
              <w:t xml:space="preserve">课程实验指导书</w:t>
            </w:r>
            <w:r>
              <w:rPr>
                <w:rFonts w:hint="eastAsia" w:ascii="宋体" w:hAnsi="宋体" w:eastAsia="宋体" w:cs="Times New Roman"/>
                <w:sz w:val="24"/>
                <w:szCs w:val="24"/>
              </w:rPr>
              <w:t xml:space="preserve">实物</w:t>
            </w:r>
            <w:r>
              <w:rPr>
                <w:rFonts w:ascii="宋体" w:hAnsi="宋体" w:eastAsia="宋体" w:cs="Times New Roman"/>
                <w:sz w:val="24"/>
                <w:szCs w:val="24"/>
              </w:rPr>
              <w:t xml:space="preserve">照片。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12.数字孪生智慧制造基础工作站虚拟仿真软件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提供数字孪生智慧制造基础工作站虚拟仿真软件，软件能够实现以下功能；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虚拟智慧制造基础工作站与实物一致，包含工作台、多关节机器人执行系统、搬运工作站、码垛工作站、轨迹绘制工作站、模拟焊接工作站、打磨抛光工作站、自动换装工作站等；</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机器人可通过界面按钮进行六关节单独运动及气爪运动；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机器人在运动过程中，可实时显示每个轴运动坐标；</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虚拟智慧制造基础工作站接机器人示教器可进行示教编程运行（支持固高及KEBA控制器）；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投标时提供相关软件界面截图</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13.虚拟智慧工厂</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可根据需求在虚拟场景里自由搭建智慧制造生产线；</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系统提供不少于</w:t>
            </w:r>
            <w:r>
              <w:rPr>
                <w:rFonts w:ascii="宋体" w:hAnsi="宋体" w:eastAsia="宋体" w:cs="Times New Roman"/>
                <w:sz w:val="24"/>
                <w:szCs w:val="24"/>
              </w:rPr>
              <w:t xml:space="preserve">36</w:t>
            </w:r>
            <w:r>
              <w:rPr>
                <w:rFonts w:hint="eastAsia" w:ascii="宋体" w:hAnsi="宋体" w:eastAsia="宋体" w:cs="Times New Roman"/>
                <w:sz w:val="24"/>
                <w:szCs w:val="24"/>
              </w:rPr>
              <w:t xml:space="preserve">种模块，模块包含工业机器人、行走六自由度工业机器人、传感器、数控车床、加工中心、</w:t>
            </w:r>
            <w:r>
              <w:rPr>
                <w:rFonts w:ascii="宋体" w:hAnsi="宋体" w:eastAsia="宋体" w:cs="Times New Roman"/>
                <w:sz w:val="24"/>
                <w:szCs w:val="24"/>
              </w:rPr>
              <w:t xml:space="preserve">4m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皮带线、传输线阻挡机构、摄像头、</w:t>
            </w:r>
            <w:r>
              <w:rPr>
                <w:rFonts w:ascii="宋体" w:hAnsi="宋体" w:eastAsia="宋体" w:cs="Times New Roman"/>
                <w:sz w:val="24"/>
                <w:szCs w:val="24"/>
              </w:rPr>
              <w:t xml:space="preserve">2m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滚筒线、安全围栏、机器人控制柜、</w:t>
            </w:r>
            <w:r>
              <w:rPr>
                <w:rFonts w:ascii="宋体" w:hAnsi="宋体" w:eastAsia="宋体" w:cs="Times New Roman"/>
                <w:sz w:val="24"/>
                <w:szCs w:val="24"/>
              </w:rPr>
              <w:t xml:space="preserve">3kg</w:t>
            </w:r>
            <w:r>
              <w:rPr>
                <w:rFonts w:hint="eastAsia" w:ascii="宋体" w:hAnsi="宋体" w:eastAsia="宋体" w:cs="Times New Roman"/>
                <w:sz w:val="24"/>
                <w:szCs w:val="24"/>
              </w:rPr>
              <w:t xml:space="preserve">六自由度工业机器人、</w:t>
            </w:r>
            <w:r>
              <w:rPr>
                <w:rFonts w:ascii="宋体" w:hAnsi="宋体" w:eastAsia="宋体" w:cs="Times New Roman"/>
                <w:sz w:val="24"/>
                <w:szCs w:val="24"/>
              </w:rPr>
              <w:t xml:space="preserve">4</w:t>
            </w:r>
            <w:r>
              <w:rPr>
                <w:rFonts w:hint="eastAsia" w:ascii="宋体" w:hAnsi="宋体" w:eastAsia="宋体" w:cs="Times New Roman"/>
                <w:sz w:val="24"/>
                <w:szCs w:val="24"/>
              </w:rPr>
              <w:t xml:space="preserve">轴码垛机器人、立体货架、焊接机器人及变位机、</w:t>
            </w:r>
            <w:r>
              <w:rPr>
                <w:rFonts w:ascii="宋体" w:hAnsi="宋体" w:eastAsia="宋体" w:cs="Times New Roman"/>
                <w:sz w:val="24"/>
                <w:szCs w:val="24"/>
              </w:rPr>
              <w:t xml:space="preserve">scara</w:t>
            </w:r>
            <w:r>
              <w:rPr>
                <w:rFonts w:hint="eastAsia" w:ascii="宋体" w:hAnsi="宋体" w:eastAsia="宋体" w:cs="Times New Roman"/>
                <w:sz w:val="24"/>
                <w:szCs w:val="24"/>
              </w:rPr>
              <w:t xml:space="preserve">机器人、变位机、机器人及数控机床上下料单元、下料、出料等；</w:t>
            </w:r>
            <w:r>
              <w:rPr>
                <w:rFonts w:ascii="宋体" w:hAnsi="宋体" w:eastAsia="宋体" w:cs="Times New Roman"/>
                <w:sz w:val="24"/>
                <w:szCs w:val="24"/>
              </w:rPr>
              <w:t xml:space="preserve"> </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系统支持六自由度工业机器人编程，支持</w:t>
            </w:r>
            <w:r>
              <w:rPr>
                <w:rFonts w:ascii="宋体" w:hAnsi="宋体" w:eastAsia="宋体" w:cs="Times New Roman"/>
                <w:sz w:val="24"/>
                <w:szCs w:val="24"/>
              </w:rPr>
              <w:t xml:space="preserve">KEBA</w:t>
            </w:r>
            <w:r>
              <w:rPr>
                <w:rFonts w:hint="eastAsia" w:ascii="宋体" w:hAnsi="宋体" w:eastAsia="宋体" w:cs="Times New Roman"/>
                <w:sz w:val="24"/>
                <w:szCs w:val="24"/>
              </w:rPr>
              <w:t xml:space="preserve">示教器；</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系统支持不同型号</w:t>
            </w:r>
            <w:r>
              <w:rPr>
                <w:rFonts w:ascii="宋体" w:hAnsi="宋体" w:eastAsia="宋体" w:cs="Times New Roman"/>
                <w:sz w:val="24"/>
                <w:szCs w:val="24"/>
              </w:rPr>
              <w:t xml:space="preserve">PLC</w:t>
            </w:r>
            <w:r>
              <w:rPr>
                <w:rFonts w:hint="eastAsia" w:ascii="宋体" w:hAnsi="宋体" w:eastAsia="宋体" w:cs="Times New Roman"/>
                <w:sz w:val="24"/>
                <w:szCs w:val="24"/>
              </w:rPr>
              <w:t xml:space="preserve">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投标时提供详细界面及操作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14.</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15.工业机器人3D仿真软件系统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可投影至电脑，投影仪</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66"/>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66"/>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p>
            <w:pPr>
              <w:pStyle w:val="766"/>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hint="eastAsia"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配套</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大屏系统</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70寸显示系统和落地支架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工业除湿机（带水箱）</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日除湿量30升/天以上，水箱容量4.5升以上，适用面积50㎡以上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空气净化器</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适用</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颗粒物CADR值210m³/h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气体CADR值（甲醛) 50m³/h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颗粒物CCM值P3</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桌椅购置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.两个实训室多媒体讲台</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.实训室课桌</w:t>
            </w:r>
            <w:r>
              <w:rPr>
                <w:rFonts w:hint="eastAsia" w:ascii="Times New Roman" w:hAnsi="Times New Roman" w:eastAsia="宋体" w:cs="Times New Roman"/>
                <w:sz w:val="24"/>
                <w:szCs w:val="24"/>
              </w:rPr>
              <w:t xml:space="preserve">带轮培训桌，可拼接双人桌，桌面尺寸不少于1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0cm*40cm；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.实训室椅子</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培训椅</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带写字板</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可折叠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50*57*86</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文化布置</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两个实训室：包括实训室门牌、房间内宣传图片、设备注意事项、5S管理、实验室规章制度、环境布置等；（出示方案和效果图）</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仿真软件</w:t>
            </w:r>
            <w:r>
              <w:rPr>
                <w:rFonts w:ascii="Times New Roman" w:hAnsi="Times New Roman" w:eastAsia="宋体" w:cs="Times New Roman"/>
                <w:sz w:val="24"/>
                <w:szCs w:val="24"/>
              </w:rPr>
            </w:r>
            <w:r/>
          </w:p>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及教学资源</w:t>
            </w:r>
            <w:r>
              <w:rPr>
                <w:rFonts w:ascii="Times New Roman" w:hAnsi="Times New Roman" w:eastAsia="宋体" w:cs="Times New Roman"/>
                <w:sz w:val="24"/>
                <w:szCs w:val="24"/>
              </w:rPr>
            </w:r>
            <w:r/>
          </w:p>
        </w:tc>
        <w:tc>
          <w:tcPr>
            <w:tcW w:w="5300" w:type="dxa"/>
            <w:vAlign w:val="center"/>
            <w:textDirection w:val="lrTb"/>
            <w:noWrap w:val="false"/>
          </w:tcPr>
          <w:p>
            <w:pPr>
              <w:pStyle w:val="766"/>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工业机器人配套离线编程软件</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点位</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氩弧焊机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IGBT逆变技术；工作电压范围宽3相 266~456V 50~60Hz；具有多种氩弧操作方式高频引弧；绝缘等级F，外壳保护等级IP23S；数显表显示并具备一元化旋钮精确预设焊接参数；输出电流调节范围5A-410A；引弧时间0.01S-1S；</w:t>
            </w:r>
            <w:r>
              <w:rPr>
                <w:rFonts w:ascii="Times New Roman" w:hAnsi="Times New Roman" w:eastAsia="宋体" w:cs="Times New Roman"/>
                <w:b/>
                <w:bCs/>
                <w:sz w:val="24"/>
                <w:szCs w:val="24"/>
              </w:rPr>
              <w:t xml:space="preserve">上下坡时间0.1S-99.9S（</w:t>
            </w:r>
            <w:r>
              <w:rPr>
                <w:rFonts w:ascii="Times New Roman" w:hAnsi="Times New Roman" w:eastAsia="宋体" w:cs="Times New Roman"/>
                <w:sz w:val="24"/>
                <w:szCs w:val="24"/>
              </w:rPr>
              <w:t xml:space="preserve">可以但不限于网站参数截图，技术参考手册，等相关证明材料）</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提前送气0S-13S，滞后停气0.1S-50S；普通手工焊起弧时，具有长时间短路不烧焊条功能；DSP数字化焊机；具有RS-485通讯接口可与RC-6、RC-7遥控器通讯；具有通讯TWPM V3管理系统与计算机通讯实现远程设定和监理功能；注塑壳体；配置（氩弧焊枪，地线，电焊钳，地线夹，快速插头）。</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气保焊机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widowControl/>
              <w:rPr>
                <w:rFonts w:ascii="Times New Roman" w:hAnsi="Times New Roman" w:eastAsia="宋体" w:cs="Times New Roman"/>
                <w:color w:val="365f91"/>
                <w:sz w:val="24"/>
                <w:szCs w:val="24"/>
                <w:lang w:val="zh-CN" w:bidi="zh-CN"/>
              </w:rPr>
            </w:pPr>
            <w:r>
              <w:rPr>
                <w:rFonts w:ascii="Times New Roman" w:hAnsi="Times New Roman" w:eastAsia="宋体" w:cs="Times New Roman"/>
                <w:color w:val="000000"/>
                <w:sz w:val="24"/>
                <w:szCs w:val="24"/>
                <w:lang w:val="zh-CN" w:bidi="zh-CN"/>
              </w:rPr>
              <w:t xml:space="preserve">IGBT逆变技术；电源电压适应范围宽3相 380V±10% 50~60Hz；焊接操作方式分二步/四步；数字精准显示焊接电压，焊接电流20A-350A；慢送丝启动，提高引弧成功率；送丝机构为双轮驱动，送丝平稳；引弧容易，具有收弧去小球功能；采用单片机控制，采用波形控制</w:t>
            </w:r>
            <w:r>
              <w:rPr>
                <w:rFonts w:ascii="Times New Roman" w:hAnsi="Times New Roman" w:eastAsia="宋体" w:cs="Times New Roman"/>
                <w:color w:val="000000"/>
                <w:sz w:val="24"/>
                <w:szCs w:val="24"/>
                <w:lang w:val="zh-CN" w:bidi="ar"/>
              </w:rPr>
              <w:t xml:space="preserve">（提供</w:t>
            </w:r>
            <w:r>
              <w:rPr>
                <w:rFonts w:ascii="Times New Roman" w:hAnsi="Times New Roman" w:eastAsia="宋体" w:cs="Times New Roman"/>
                <w:color w:val="000000"/>
                <w:sz w:val="24"/>
                <w:szCs w:val="24"/>
                <w:lang w:val="zh-CN" w:bidi="zh-CN"/>
              </w:rPr>
              <w:t xml:space="preserve">产品样本或网站参数截图）；电源动态品质优异，焊接全过程实时波控；具有预设焊接电压、送丝速度及焊丝直径选择等功能；调节范围15V-40V；送丝速度2-25M/min；焊丝直径0.8mm/1.0mm/1.2mm可选；</w:t>
            </w:r>
            <w:r>
              <w:rPr>
                <w:rFonts w:ascii="Times New Roman" w:hAnsi="Times New Roman" w:eastAsia="宋体" w:cs="Times New Roman"/>
                <w:color w:val="000000"/>
                <w:sz w:val="24"/>
                <w:szCs w:val="24"/>
                <w:lang w:val="zh-CN" w:bidi="ar"/>
              </w:rPr>
              <w:t xml:space="preserve">散热设计合理，保护功能完善；绝缘等级F,外壳保护等级IP23</w:t>
            </w:r>
            <w:r>
              <w:rPr>
                <w:rFonts w:ascii="Times New Roman" w:hAnsi="Times New Roman" w:eastAsia="宋体" w:cs="Times New Roman"/>
                <w:color w:val="000000"/>
                <w:sz w:val="24"/>
                <w:szCs w:val="24"/>
                <w:lang w:val="zh-CN" w:bidi="zh-CN"/>
              </w:rPr>
              <w:t xml:space="preserve">；</w:t>
            </w:r>
            <w:r>
              <w:rPr>
                <w:rFonts w:ascii="Times New Roman" w:hAnsi="Times New Roman" w:eastAsia="宋体" w:cs="Times New Roman"/>
                <w:color w:val="000000"/>
                <w:sz w:val="24"/>
                <w:szCs w:val="24"/>
                <w:lang w:val="zh-CN" w:bidi="ar"/>
              </w:rPr>
              <w:t xml:space="preserve">具有通讯TWPM V3管理系统与计算机通讯实现远程设定和监理功能；注塑壳体；配置（气保焊枪，地线，地线夹，快速插头，CO2流量计）。</w:t>
            </w:r>
            <w:r>
              <w:rPr>
                <w:rFonts w:ascii="Times New Roman" w:hAnsi="Times New Roman" w:eastAsia="宋体" w:cs="Times New Roman"/>
                <w:color w:val="365f91"/>
                <w:sz w:val="24"/>
                <w:szCs w:val="24"/>
                <w:lang w:val="zh-CN" w:bidi="zh-CN"/>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75"/>
        </w:trPr>
        <w:tc>
          <w:tcPr>
            <w:tcW w:w="600"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1263" w:type="dxa"/>
            <w:vAlign w:val="center"/>
            <w:vMerge w:val="restart"/>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切割机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输入电压220v/380v 50Hz,电流调节范围20-100A，持续负载率60%，绝缘等级F,防护登记IP215，适合板材：碳钢、不锈钢、镀锌板、铜等。起弧方式:非接触式起弧。重量不低于30kg,外形尺寸不低于529*295*405.</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金属带锯床：切削范围：0°时300*300MM,45°时280*300m.锯带线速度30、45、69m/MIN.锯条规格：4030*34*1.1MM,工作夹紧方式：液压自动，主电机功率：3KW,油泵电机功率0.5kw，三相水泵：40W.外形尺寸：1900*1500*1300MM,重量950KG.</w:t>
            </w:r>
            <w:r>
              <w:rPr>
                <w:rFonts w:ascii="等线" w:hAnsi="等线" w:eastAsia="等线" w:cs="Times New Roman"/>
                <w:color w:val="000000"/>
                <w:sz w:val="22"/>
                <w:szCs w:val="22"/>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信息化综合实训平台（数控技能综合实训考核平台）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lang w:bidi="zh-CN"/>
              </w:rPr>
              <w:t xml:space="preserve">CPU主频3.7GHz，双核，三级缓存3MB。支持虚拟化技术，可以稳定进行云虚拟化运算，8G以上内存，采用最新DDR4系列高频内存，120G以上固态硬盘SATA3接口，数据传输率达到读出：540MB/s，写入：490MB/s，操作系统盘剩余空间：100G以上，支持分辨率：1366×768，色彩：增强32位色以上的显示器。</w:t>
            </w:r>
            <w:r>
              <w:rPr>
                <w:rFonts w:ascii="Times New Roman" w:hAnsi="Times New Roman" w:eastAsia="宋体" w:cs="Times New Roman"/>
                <w:sz w:val="24"/>
                <w:szCs w:val="24"/>
              </w:rPr>
              <w:t xml:space="preserve">平台具体功能：</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b/>
                <w:bCs/>
                <w:sz w:val="24"/>
                <w:szCs w:val="24"/>
                <w:lang w:val="en-US" w:eastAsia="zh-CN"/>
              </w:rPr>
            </w:pPr>
            <w:r>
              <w:rPr>
                <w:rFonts w:ascii="Times New Roman" w:hAnsi="Times New Roman" w:eastAsia="宋体" w:cs="Times New Roman"/>
                <w:sz w:val="24"/>
                <w:szCs w:val="24"/>
              </w:rPr>
              <w:t xml:space="preserve">1、平台至少可仿真Fanuc 0iMD 和 Fanuc 0iTD 数控系统，</w:t>
            </w:r>
            <w:r>
              <w:rPr>
                <w:rFonts w:hint="eastAsia" w:ascii="Times New Roman" w:hAnsi="Times New Roman" w:eastAsia="宋体" w:cs="Times New Roman"/>
                <w:sz w:val="24"/>
                <w:szCs w:val="24"/>
                <w:lang w:val="en-US" w:eastAsia="zh-CN"/>
              </w:rPr>
              <w:t xml:space="preserve">与现有一期采购平台兼容适配。</w:t>
            </w:r>
            <w:r>
              <w:rPr>
                <w:rFonts w:hint="eastAsia" w:ascii="Times New Roman" w:hAnsi="Times New Roman" w:eastAsia="宋体" w:cs="Times New Roman"/>
                <w:b/>
                <w:bCs/>
                <w:sz w:val="24"/>
                <w:szCs w:val="24"/>
                <w:lang w:val="en-US" w:eastAsia="zh-CN"/>
              </w:rPr>
              <w:t xml:space="preserve">（接受电话咨询或现场勘察）</w:t>
            </w:r>
            <w:r>
              <w:rPr>
                <w:rFonts w:ascii="Times New Roman" w:hAnsi="Times New Roman" w:eastAsia="宋体" w:cs="Times New Roman"/>
                <w:b/>
                <w:bCs/>
                <w:sz w:val="24"/>
                <w:szCs w:val="24"/>
                <w:lang w:val="en-US" w:eastAsia="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数控机床类型包括车床（前置刀架车床及后置刀架车床,四工位、八工位、十二工位刀架、十六工位刀架）、铣床、加工中心（包含换刀机械手），刀架可设置为立式刀架、卧式刀架，换刀速度可调。包括多种机床型号（Doosan、WIA、DISCOVERY、HardinGe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▲3.可设置非单步运行程序的时候有关闭机床门的报警提示信息，保证程序保护开关可调整设置。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▲4.加工速度方面：可调节加工的步长，加工图形显示加速，模型的显示精度。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▲5.每一把刀具加工刀路轨迹的颜色可进行修改，每把刀具加工后的工件显示颜色可进行修改以区别不同的刀具加工不同的区域，方便用户查看加工效果。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▲6.能够显示模式切换，在加工完工件后突出整体加工的零件，方便用户查看完整的三维零件模型。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▲7.能够快速模拟出加工程序，模拟过程中不需要刀具进行进给，直接显现出工件按照程序切削后的模型。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▲8.可保存工程文件，工程文件信息包括工件信息、NC程序信息、刀具信息、刀补信息、夹具信息等，也可以单独保存各个所需信息。</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▲9.可仿真数控机床操作的整个过程例如：毛坯定义（支持导入CAD模型），工件装夹，百分表校正工装、压板安装，基准对刀，安装刀具，机床手动操作等。</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10.选择毛坯可以选择</w:t>
            </w:r>
            <w:r>
              <w:rPr>
                <w:rFonts w:hint="eastAsia" w:ascii="Times New Roman" w:hAnsi="Times New Roman" w:eastAsia="宋体" w:cs="Times New Roman"/>
                <w:sz w:val="24"/>
                <w:szCs w:val="24"/>
                <w:lang w:val="en-US" w:eastAsia="zh-CN"/>
              </w:rPr>
              <w:t xml:space="preserve">多种</w:t>
            </w:r>
            <w:r>
              <w:rPr>
                <w:rFonts w:ascii="Times New Roman" w:hAnsi="Times New Roman" w:eastAsia="宋体" w:cs="Times New Roman"/>
                <w:sz w:val="24"/>
                <w:szCs w:val="24"/>
              </w:rPr>
              <w:t xml:space="preserve">不同的材料，并且可以定义毛坯的颜色。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11.可以定义刀具轨迹的颜色，定义每把刀具完成加工后的工件颜色。</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12.车床工件可以进行掉头加工，铣床加工中心工件可以多次翻转多次装夹进行加工。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▲13.支持与实际机床对刀方式一致的手动对刀功能；铣床以及加工中心具有基准芯棒和寻边器对刀功能并支持使用对刀仪对刀;车床对刀为直径测量法；支持定位快速对刀方便程序模拟。</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▲14.加工特点：可实时显示零件加工过程、冷却液、加工声效、铁屑等，并且</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车床具有中心架、尾座辅助加工；车刀可以旋转安装角度进行切削加工；加工中心具有加工过程中碰撞断刀效果；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软件支持ISO-1056准备功能码（G代码）、辅助功能码（M代码）及其它指令代码，同时支持各系统自定义代码以及固定循环。如FANUC的G50.3预置工件坐标系指令，镜像G51，旋转G68\G69，多头螺纹加工G78指令；SINUMRIK的模态指令；软件支持AB类宏程序，如SINUMRIK的R参数编程，FANUC、HNC、GSK、KND等系统大赛类宏程序的嵌套循环编程；支持脉冲编程方式、英制显示界面及英制尺寸编程。</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软件采用数据库统一管理的刀具材料、特性参数库；含数百种不同材料、类型和形状的车刀、铣刀，如梯形螺纹刀、端面槽刀、丝锥、燕尾铣刀、螺纹铣刀、精镗刀、键槽铣刀等；支持用户自定义刀具及相关特性参数。</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可以导入各种CAD/CAM软件生成或自行编辑的数控程序，如PRO-E、UG、CAXA-ME、MASTCAM等；数控程序的编辑、输入(支持键盘输入)、输出；可实现数控程序预检验和运行中的动态检查以及生成刀具轨迹线，同时提供可视化数控代码调试工具，能够对照轨迹线和程序进行检查来修改程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测量：基于剖面图的铣床工件自动测量，可实现对零件模型的三维测量功能。采用游标卡尺和螺旋测微器的车床工件智能测量。可以对加工工件的直径、长度、圆弧半径、距离、螺纹等进行精准测量，车床铣床可精确至0.001mm，基于刀具切削参数零件表面粗糙度的测量。</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手动、自动加工等模式下的实时碰撞检测；包括刀柄、卡盘、刀架、刀具、夹具、工作台等之间的碰撞检查，机床行程越界，主轴不转时刀柄刀具与工件等的碰撞，并且支持设置评分标准并对错误信息进行实时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▲20.模拟加工后，可以生成包含工件信息、NC程序、加工零件、操作过程以及操作评价情况。</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21.实现工艺分配：加工中心可导入车削仿真后的零件模型进行铣削加工。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22.考试系统：包括题库管理、试卷管理、考试过程的管理、自动保存、灾难恢复以及试卷自动评分；也可以根据事先设定的评分标准对考试的操作过程及工件尺寸进行自动评分。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23.课堂练习需要能够把习题发送给学生机，学生做完习题再回发给教师机，形成课堂的师生互动。</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24.学生在自测的时候可以自行修改评分标准。</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25.软件自带AVI文件的录制和回放、Windows系统的宏录制和回放。</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▲26.支持插补过程模拟，支持多语言实时切换，支持双屏显示。</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632"/>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全新发动机秃机总成（含翻转架）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一、产品组成</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本产品由原厂</w:t>
            </w:r>
            <w:r>
              <w:rPr>
                <w:rFonts w:ascii="Times New Roman" w:hAnsi="Times New Roman" w:eastAsia="宋体" w:cs="Times New Roman"/>
                <w:sz w:val="24"/>
                <w:szCs w:val="24"/>
                <w:highlight w:val="none"/>
              </w:rPr>
              <w:t xml:space="preserve">全新1.6电控汽</w:t>
            </w:r>
            <w:r>
              <w:rPr>
                <w:rFonts w:ascii="Times New Roman" w:hAnsi="Times New Roman" w:eastAsia="宋体" w:cs="Times New Roman"/>
                <w:sz w:val="24"/>
                <w:szCs w:val="24"/>
              </w:rPr>
              <w:t xml:space="preserve">油发动机总成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sz w:val="24"/>
                <w:szCs w:val="24"/>
              </w:rPr>
              <w:t xml:space="preserve">、传感器、进排气系统、节气门、点火系统、发电机、减速机、翻转架、接油盘、移动脚轮等组成并组装在专用发动机拆装翻转架上。尺寸：长*宽*高）约：1090*713*935（mm）。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二、翻转架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1.采用减速翻转机构，可使发动机任意角度旋转，并能任意位置锁止，可以从不同的角度进行拆卸和装配，配备旋转手柄，采用机械传动，操作轻便。</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2.底部放置大面积接油盘，便于小零件或螺丝的集中存放，尺寸</w:t>
            </w:r>
            <w:r>
              <w:rPr>
                <w:rFonts w:hint="eastAsia" w:ascii="Times New Roman" w:hAnsi="Times New Roman" w:eastAsia="宋体" w:cs="Times New Roman"/>
                <w:sz w:val="24"/>
                <w:szCs w:val="24"/>
                <w:lang w:val="en-US" w:eastAsia="zh-CN"/>
              </w:rPr>
              <w:t xml:space="preserve">约</w:t>
            </w:r>
            <w:r>
              <w:rPr>
                <w:rFonts w:ascii="Times New Roman" w:hAnsi="Times New Roman" w:eastAsia="宋体" w:cs="Times New Roman"/>
                <w:sz w:val="24"/>
                <w:szCs w:val="24"/>
              </w:rPr>
              <w:t xml:space="preserve">：814*470*36（mm）。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3.拆装翻转架采用高强度钢结构焊接，采用雾面喷涂工艺，底部带有自锁脚轮装置，可移动式。</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41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前轮制动器总成(含工作台）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1.包含移动台架、牛腿、前轮轴承、前轮壳、前刹车盘、前分泵、轮胎螺丝、前刹车片等配件。</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2.双层台面，搁板采用</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1.5MM 不锈钢板（钢板折边，边角及下面固定）、桌面铺设</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 3MM 厚防油胶皮，耐酸、耐碱、耐油橡胶皮。</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3.台架材料为优质4040加厚工业铝合金材料制作。</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4.台架四周安装有万向自锁脚轮，方便移动和固定，设有不锈钢工作台面。</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51"/>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无大盘免撬棍轮胎拆装机（380V)</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1.电压≥380V；</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2.电机功率≥0.75Kw/1.1Kw；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3.大气缸推拉力≥2500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4.适用轮辋直径 13-28"；</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5.最大轮胎直径≥1100mm；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6.最大轮胎宽度≥350mm；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7.工作气压8-10 bar；</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8.工作噪音</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70db；</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9.大盘转速≥6-12 rpm；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10.毛/净重≥432Kg/380 Kg；</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11.外箱尺寸138*113*184cm。</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380V超薄小剪</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b/>
                <w:bCs/>
                <w:sz w:val="24"/>
                <w:szCs w:val="24"/>
                <w:lang w:bidi="zh-CN"/>
              </w:rPr>
            </w:pPr>
            <w:r>
              <w:rPr>
                <w:rFonts w:ascii="Times New Roman" w:hAnsi="Times New Roman" w:eastAsia="宋体" w:cs="Times New Roman"/>
                <w:sz w:val="24"/>
                <w:szCs w:val="24"/>
                <w:lang w:bidi="zh-CN"/>
              </w:rPr>
              <w:t xml:space="preserve">1</w:t>
            </w:r>
            <w:r>
              <w:rPr>
                <w:rFonts w:ascii="Times New Roman" w:hAnsi="Times New Roman" w:eastAsia="宋体" w:cs="Times New Roman"/>
                <w:sz w:val="24"/>
                <w:szCs w:val="24"/>
              </w:rPr>
              <w:t xml:space="preserve">.额定举升重量：≥3.6T ；</w:t>
            </w:r>
            <w:r>
              <w:rPr>
                <w:rFonts w:ascii="Times New Roman" w:hAnsi="Times New Roman" w:eastAsia="宋体" w:cs="Times New Roman"/>
                <w:b/>
                <w:bCs/>
                <w:sz w:val="24"/>
                <w:szCs w:val="24"/>
                <w:lang w:bidi="zh-CN"/>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2.举升最低位：≥120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3.举升最高位：≤1880 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4.平台宽度：≥630mm；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5.平台长度：1480-2090mm；</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6.解锁方式：气动机械解锁；</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7.控制系统：微电子／耐高低温／时间控制/万次级/三防 PCB集成电路板控制,下降警报；</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8.电机参数：3 KW；</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9.底板采用整体折弯，提高强度；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10.助力臂优化设计，最低位置满载平稳举升；满载下降到200mm高度时，平稳下降；</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11.补油阀，密封性好，不易渗油；</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12.最低高度110mm，爬坡角度小，方便上车；</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13.电子检测保险打开状态，避免下降过程中保险未完全打开造成的安全隐患；</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14.机械液压双重保险；</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15.铝合金外壳电机，散热快 ；</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16.3KW大电机，降低电机负荷率；</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17.支撑板上仰设计，确保负载后支撑板水平；</w:t>
            </w:r>
            <w:r>
              <w:rPr>
                <w:rFonts w:ascii="Times New Roman" w:hAnsi="Times New Roman" w:eastAsia="宋体" w:cs="Times New Roman"/>
                <w:sz w:val="24"/>
                <w:szCs w:val="24"/>
              </w:rPr>
            </w:r>
            <w:r/>
          </w:p>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18.24V安全电压控制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tc>
        <w:tc>
          <w:tcPr>
            <w:tcW w:w="748"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高清SIP转发管理三合一平台（身份识别系统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1.▲所投产品符合GB/T 15211-2013安全防范报警设备环境适应性要求和试验方法、符合GB/T 36449-2018电子考场系统通用要求、符合《国家教育考试网上巡查系统视频标准技术规范（2017版）》技术要求； （该条参数需提供第三方检测报告证明）；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2.▲设备支持国产嵌入式CPU、单颗CPU核心数≥8核，支持开源操作系统等；（该条参数需提供第三方检测报告证明）；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3.▲设备具备多张网卡，根据不同的网络环境可选择单线路或多线路的接入方式，支持网络链路聚合功能；（该条参数需提供第三方检测报告证明）；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4.支持标准SIP2.0；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5.支持系统管理员用户分组，可对平台设置多个管理员，对每个管理员赋予不同的管理权限，如添加删除设备、帐号权限，查看权限、设置权限等；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6.支持多转发分布式部署协同工作，满足大路数高清视频流的转发需求，转发吞吐量在600Mbps以上（千兆网络条件下）；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根据组网模式、上下级机构拓扑关系生成可视化3D拓扑结构图，支持以3D形式展示系统实时运行状态，SIP工作状态、转发工作状态、平台间SIP注册状态、数据流状态等（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8.支持根据网络情况和使用需求，动态调整视频分辨率；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9.▲支持管理本地摄像机，可实时查看视频截图、OSD标签、在线状态等信息（该条参数需提供第三方检测报告证明）；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10.支持核心数据库的备份；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11.采用基于B/S架构的管理模式；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12.支持查看系统内设备的在线信息；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13.支持SIP向上级的主动注册与多级注册管理；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14.支持IPV4/IPV6、UDP、TCP、SIP、SSH、RTSP、NTP、RTP、RTCP 等网络协议；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15.支持媒体流分发，支持点播、组播、广播；</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16.视频转发格式需支持MPEG4、H.264、H.265，其中H.264需支持BP、EP、MP、HP画质级别中的至少三种，转发需支持PS、TS流封装；</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17.支持通过web端无需安装任何播放插件的情况下直接播放实时音视频图像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19.支持网络拥塞控制等功能；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20.支持视频路由控制；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21.▲支持手机 APP登录巡查管理平台；支持跨平台(Android/windows)播放本级、下级实时视频图像;（该条参数需提供第三方检测报告证明）；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22.▲支持与北向系统(综合考务平台)提供数据接口，包括提供设备资源数据接口、视频调用接口、SIP资源接口。（该条参数需提供第三方检测报告证明）；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23.支持图形化机构拓扑呈现、设备拓扑呈现；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24.支持生成设备清单报表；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25.支持查看上级实时拉流列表，并支持一键上墙上级拉流列表；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26.支持远程运维功能；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27.支持外接USB设备，支持≥2个 RJ-45 千兆以太网口；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28.产品性能：CPU处理器性能相当于Intel四核主频3.0GHz及以上，内存≥16G DDR4；</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作弊防控管理平台</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作弊信号查看：可对考点作弊信号信息进行查看和回放。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作弊信号展示：可统计本次考试作弊信号频点分布情况并进行展示。</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设备状态查看：可对系统设备的运行状态、开关状态、网络情况等信息进行查看。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日志管理：可记录和管理关键日志，提供日志查询、浏览等管理功能。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黑白名单：在专业作弊信号频段内，可任意设置黑白名单频点/频段。在黑名单频点/频段上作弊信号出现时优先发射阻断信号。在白名单频点/频段上不主动发射阻断信号，不干扰其正常通信。</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黑白名单同步：各级管理平台之间和黑白名单能够进行同步。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考试计划：可设置考试计划，在考试计划时间开始时系统自动进入工作状态，考试计划时间结束时系统自动停止工作，提供考前、考中及考后自动工作模式，实现无人值守式管理。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考试计划同步：考试计划能够集中管理，各级管理平台之间考试计划能够进行同步。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系统自检：可检测当前所辖设备的工作状态并输出自检结果信息。</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设备升级：可通过平台对侦测服务器、高科技屏蔽终端和作弊防控管理平台相关软件进行集中升级。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安全加密：作弊信号答案文件存储和传输时均经过加密处理，文件脱离本系统后采用通用播放工具无法正确播放，保证涉密数据安全。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集中控制：支持对系统设备进行集中调试、查看和管理。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远程控制：支持侦测服务器和高科技屏蔽终端进行远程控制。支持集中、分组、单台等多种方式对高科技屏蔽终端进行远程控制。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输出报告：支持考试后自动生成系统工作报告。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▲系统备份：支持对系统关键信息进行备份。（该条参数需提供第三方检测报告证明）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与上级对接：可根据上级管理平台（如省级管理平台）的要求，开发数据接口，自动下载考试计划、黑白名单等，并上传作弊信号信息结果。</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数据接口：RJ-45接口，支持与侦测服务器及高科技屏蔽终端组网。</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网上巡查管理软件</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符合《国家教育考试网上巡查系统视频标准技术规范（2017版）》相关技术规范；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状态展示：实时码流信息、实时通道信息、实时录像状态、实时音频状态、系统时间、资源占用显示等；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常规列表：非考试期间查看所有监控点列表信息，考试期间自动切换到对应考试列表；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订制列表：支持手动自定义列表，可更改已添加通道的OSD标签；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 5.静态列表：可根据历史记录，快速调取巡查列表；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搜索功能：对其展开的节点列表可以进行模糊搜索、精准定位；</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视频预览功能：支持本地多窗口实时预览，支持本地录像抓图；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智能传输：根据前端与后端网络情况，智能选择最佳网络路径进行拉流传输；</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本级中心可根据网络带宽条件，可主动选择调取主辅码流的音视频图像；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根据网络使用环境及解码性能，可自动切换为相应码率的音视频图像。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11.场景预案：支持按分屏模式进行设置场景预案、保存预案，调用预案；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超时锁屏：支持超时屏幕自动锁屏，以增加帐号安全性和隐私性；</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红外高清半球摄像机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采用高性能两百万像素1/3英寸或以上CMOS图像传感器，低照度效果好，图像清晰度高；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支持H.265编码，压缩比高，超低码流；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▲支持通过回访功能中按智能分析行为检索（该条参数需提供第三方检测报告证明）；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6.最大红外监控距离30米；</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▲支持智能红外功能：当开启红外灯光功能后，能根据所射目标距离自动调节红外辐射功率，红外距离≥50米（该条参数需提供第三方检测报告证明）；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▲支持根据热度信息生成热度图，并支持热度图导出（该条参数需提供第三方检测报告证明）；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支持ROI，SMART H.264/H.265，灵活编码，适用不同带宽和存储环境；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支持多类报警：无SD卡、SD卡空间不足、SD卡出错、网络断开、IP冲突、移动检测、视频遮挡、非法访问、安全异常、外部报警等；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13.▲在IE浏览器下,具有感兴趣区域(ROI)设置选项，可设置4块感兴趣区域、6个图像质量等级。（该条参数需提供第三方检测报告证明）；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14.支持插拔128G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15.支持DC12V/POE供电方式，支持DC12V电源返送；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16.支持IP66防护等级；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拾音器</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1.拾音距离5-120平方米，专用电位器，有效距离可手动调节；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2.采用高灵敏度全指向性电容咪头，全面拾音，保真度高，回放的语音清晰、干净、低噪音；咪头经过防潮技术处理，寿命更长；</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3.信号处理电路ALC自动电平控制，DSP数字降噪，AGC自动增益控制，保护电路30KVAircontactESD、雷击保护、电源极性反接保护、ESD静电防护；</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自适应动态降噪处理，内置高速DSP数字信号处理器，有效防止语音信号失真及衰减。内置自动识别噪声模块，最大限度降低环境噪音。自动抑制高强度声音，可靠保护后端音频监控设备。符合RoHS标准，在结构上不含有欧盟禁用的危害性物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5.符合最高检同步录音录像系统建设规范；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6.具有3C认证，通过ISO9001管理体系认证。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7.▲具备环境声场检测软件证书；符合最高检同步录音录像系统建设规范；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网络时钟</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红外枪机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2.采用高性能两百万像素1/2.8英寸CMOS图像传感器，低照度效果好，图像清晰度高；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4.支持H.265编码，压缩比高，超低码流；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5.最大红外监控距离50米；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6.▲当调整焦距使监视画面不清晰时，可通过客户端软件给出报警提示并上传FTP、发送邮件及联动录像、自动聚焦（该条参数需提供第三方检测报告证明）；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8.▲支持PS系统流和TS传输流的封装（该条参数需提供第三方检测报告证明）；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9.支持ROI，SMART H.264/H.265，灵活编码，适用不同带宽和存储环境；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10.无SD卡；SD卡空间不足；SD卡出错；网络断开；IP冲突；移动检测；视频遮挡；区域入侵；绊线入侵；场景变更；音频异常侦测；非法访问；电压检测；安全异常；外部报警；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11.支持报警2进2出，音频1进1出，256G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12.▲支持在DC（12±25%）V的供电条件下正常工作，支持POE供电；（该条参数需提供第三方检测报告证明）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13.支持IP66防护等级；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15.▲在IE浏览器下,具有感兴趣区域(ROI)设置选项，可设置4块感兴趣区域、6个图像质量等级。（该条参数需提供第三方检测报告证明）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19考点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高科技屏蔽终端</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阻断工作频率范围：50MHz-5850MHz；</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侦测引导阻断频率范围：无缝覆盖50MHz-1800MHz（支持扩展）；（该条参数需提供第三方检测报告证明）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手机信号屏蔽：能够屏蔽电信、移动、联通的2G/3G/4G/5G手机信号(视当地环境手机基站＞300米时，可有效屏蔽)；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蓝牙/WIFI信号屏蔽：能够屏蔽2400MHz-2483.5MHz（2.4G）蓝牙信号以及2400MHz-2483.5MHz（2.4G）、5725MHz-5850MHz（5.8G）WIFI信号；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阻断方式：对侦测引导阻断频率范围内的专业作弊信号，采用侦测引导阻断方式，对专业作弊信号实现点对点的精准阻断；对2G/3G/4G各种制式的手机信号和蓝牙/WIFI信号采用直接阻断方式；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▲并发阻断：专业作弊信号（手机信号/WIFI/蓝牙信号通道除外）支持不少于22路并发阻断；（该条参数需提供第三方检测报告证明）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点频阻断：支持对专业作弊信号采用瞄准式点频精准阻断方式，阻断信号3dB带宽≤200KHz；（该条参数需提供第三方检测报告证明）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▲预设频点模式：无需侦测引导，可预置22路专业作弊干扰频点（手机信号/WIFI/蓝牙信号除外）进行实时阻断；（该条参数需提供第三方检测报告证明）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专业作弊阻断效果：具备数传作弊设备接收答案的远程清除功能；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批量升级：支持通过考点级管理平台对高科技屏蔽终端软件进行一键式集中批量升级；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温度监控：支持远程对设备的工作温度进行监控；（需要检测报告佐证）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远程管理：支持通过考点级管理平台实现远程集中控制，可根据需要实现分组、单台设备的远程开关控制；可远程对工作模块进行开关控制；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状态上报：可向考点级管理平台上报设备工作状态、故障状态等信息；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扩展机制：设备具备扩展模块插槽，通过扩展模块可对系统功能和性能进行扩展升级；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▲一体化设计：天线和电源内置，避免触电、烫伤等风险；（该条参数需提供第三方检测报告证明）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 ▲状态显示：前面板有工作指示灯，可直观指示设备上电、模块开关、网络连通等状态；（需要检测报告佐证）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 隐藏式接口设计：设备开关、电源接口、网络接口均采用隐蔽式设计，设备安装完成后可视表面无任何接口、开关，避免学生误动设备对系统造成影响；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 数据接口：RJ-45接口，支持与考点级管理平台及侦测服务器组网；</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 可靠性：MTBF≥3000小时；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 ▲符合国家《电磁环境控制限值(GB8702-2014)》标准；（该条参数需提供第三方检测报告证明）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 ▲符合国家《声环境质量标准（GB3096-2008）》中的零类标准。（该条参数需提供第三方检测报告证明）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2547"/>
        </w:trPr>
        <w:tc>
          <w:tcPr>
            <w:tcW w:w="6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千兆8口交换机</w:t>
            </w:r>
            <w:r>
              <w:rPr>
                <w:rFonts w:ascii="Times New Roman" w:hAnsi="Times New Roman" w:eastAsia="宋体" w:cs="Times New Roman"/>
                <w:sz w:val="24"/>
                <w:szCs w:val="24"/>
              </w:rPr>
            </w:r>
            <w:r/>
          </w:p>
        </w:tc>
        <w:tc>
          <w:tcPr>
            <w:tcW w:w="5300"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交换容量16Gbps，转发能力11.9Mpps，8个10/100/1000M以太网端口</w:t>
            </w:r>
            <w:r>
              <w:rPr>
                <w:rFonts w:ascii="Times New Roman" w:hAnsi="Times New Roman" w:eastAsia="宋体" w:cs="Times New Roman"/>
                <w:sz w:val="24"/>
                <w:szCs w:val="24"/>
              </w:rPr>
            </w:r>
            <w:r/>
          </w:p>
        </w:tc>
        <w:tc>
          <w:tcPr>
            <w:tcW w:w="748"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ascii="Times New Roman" w:hAnsi="Times New Roman" w:eastAsia="宋体" w:cs="Times New Roman"/>
                <w:sz w:val="24"/>
                <w:szCs w:val="24"/>
              </w:rPr>
            </w:r>
            <w:r/>
          </w:p>
        </w:tc>
        <w:tc>
          <w:tcPr>
            <w:tcW w:w="923" w:type="dxa"/>
            <w:vAlign w:val="center"/>
            <w:textDirection w:val="lrTb"/>
            <w:noWrap w:val="false"/>
          </w:tcPr>
          <w:p>
            <w:pPr>
              <w:pStyle w:val="766"/>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bl>
    <w:p>
      <w:pPr>
        <w:pStyle w:val="766"/>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66"/>
        <w:spacing w:line="560" w:lineRule="exact"/>
        <w:rPr>
          <w:rFonts w:hint="eastAsia" w:ascii="宋体" w:hAnsi="宋体" w:eastAsia="宋体"/>
          <w:b/>
          <w:color w:val="000000"/>
          <w:highlight w:val="none"/>
        </w:rPr>
      </w:pPr>
      <w:r>
        <w:rPr>
          <w:rFonts w:hint="eastAsia" w:ascii="宋体" w:hAnsi="宋体" w:eastAsia="宋体"/>
          <w:b/>
          <w:color w:val="000000"/>
          <w:highlight w:val="none"/>
        </w:rPr>
      </w:r>
      <w:r/>
    </w:p>
    <w:p>
      <w:pPr>
        <w:pStyle w:val="766"/>
        <w:spacing w:line="560" w:lineRule="exact"/>
        <w:rPr>
          <w:rFonts w:hint="eastAsia" w:ascii="宋体" w:hAnsi="宋体" w:eastAsia="宋体"/>
          <w:bCs/>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bCs/>
          <w:color w:val="000000"/>
          <w:highlight w:val="none"/>
          <w:lang w:val="en-US" w:eastAsia="zh-CN"/>
        </w:rPr>
      </w:r>
      <w:r/>
    </w:p>
    <w:p>
      <w:pPr>
        <w:pStyle w:val="766"/>
        <w:numPr>
          <w:ilvl w:val="0"/>
          <w:numId w:val="12"/>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50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766"/>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highlight w:val="none"/>
          <w:lang w:val="en-US" w:eastAsia="zh-CN"/>
        </w:rPr>
      </w:r>
      <w:r/>
    </w:p>
    <w:p>
      <w:pPr>
        <w:pStyle w:val="766"/>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766"/>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766"/>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剩余3%货款在免费质保期满后一次性付清。</w:t>
      </w:r>
      <w:r>
        <w:rPr>
          <w:rFonts w:hint="eastAsia" w:ascii="宋体" w:hAnsi="宋体" w:eastAsia="宋体" w:cs="Times New Roman"/>
          <w:szCs w:val="21"/>
          <w:highlight w:val="none"/>
          <w:u w:val="single"/>
        </w:rPr>
      </w:r>
      <w:r/>
    </w:p>
    <w:p>
      <w:pPr>
        <w:pStyle w:val="766"/>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766"/>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766"/>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766"/>
        <w:rPr>
          <w:color w:val="000000"/>
          <w:highlight w:val="none"/>
        </w:rPr>
      </w:pPr>
      <w:r>
        <w:rPr>
          <w:color w:val="000000"/>
          <w:highlight w:val="none"/>
        </w:rPr>
      </w:r>
      <w:r/>
    </w:p>
    <w:p>
      <w:pPr>
        <w:pStyle w:val="766"/>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66"/>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66"/>
        <w:jc w:val="center"/>
        <w:keepNext/>
        <w:rPr>
          <w:rFonts w:hint="eastAsia" w:ascii="黑体" w:hAnsi="Times New Roman" w:eastAsia="黑体"/>
          <w:bCs/>
          <w:color w:val="000000"/>
          <w:sz w:val="21"/>
          <w:szCs w:val="21"/>
        </w:rPr>
        <w:outlineLvl w:val="0"/>
      </w:pPr>
      <w:r/>
      <w:bookmarkStart w:id="174" w:name="_Toc120614281"/>
      <w:r>
        <w:rPr>
          <w:rFonts w:hint="eastAsia" w:ascii="黑体" w:hAnsi="Times New Roman" w:eastAsia="黑体"/>
          <w:bCs/>
          <w:color w:val="000000"/>
          <w:sz w:val="21"/>
          <w:szCs w:val="21"/>
        </w:rPr>
      </w:r>
      <w:r/>
    </w:p>
    <w:p>
      <w:pPr>
        <w:pStyle w:val="766"/>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804"/>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66"/>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828"/>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tbl>
      <w:tblPr>
        <w:tblpPr w:horzAnchor="page" w:tblpX="467" w:vertAnchor="text" w:tblpY="1338" w:leftFromText="180" w:topFromText="0" w:rightFromText="180" w:bottomFromText="0"/>
        <w:tblW w:w="6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795"/>
        <w:gridCol w:w="1005"/>
        <w:gridCol w:w="8517"/>
      </w:tblGrid>
      <w:tr>
        <w:trPr>
          <w:trHeight w:val="401"/>
          <w:tblHeader/>
        </w:trPr>
        <w:tc>
          <w:tcPr>
            <w:tcW w:w="93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序号</w:t>
            </w:r>
            <w:r>
              <w:rPr>
                <w:rFonts w:ascii="宋体" w:hAnsi="宋体" w:cs="宋体"/>
                <w:b/>
                <w:color w:val="000000"/>
                <w:szCs w:val="21"/>
              </w:rPr>
            </w:r>
            <w:r/>
          </w:p>
        </w:tc>
        <w:tc>
          <w:tcPr>
            <w:gridSpan w:val="2"/>
            <w:tcW w:w="1800"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评审项目</w:t>
            </w:r>
            <w:r>
              <w:rPr>
                <w:rFonts w:ascii="宋体" w:hAnsi="宋体" w:cs="宋体"/>
                <w:b/>
                <w:color w:val="000000"/>
                <w:szCs w:val="21"/>
              </w:rPr>
            </w:r>
            <w:r/>
          </w:p>
        </w:tc>
        <w:tc>
          <w:tcPr>
            <w:tcW w:w="8517" w:type="dxa"/>
            <w:vAlign w:val="center"/>
            <w:textDirection w:val="lrTb"/>
            <w:noWrap w:val="false"/>
          </w:tcPr>
          <w:p>
            <w:pPr>
              <w:pStyle w:val="766"/>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评分标准</w:t>
            </w:r>
            <w:r>
              <w:rPr>
                <w:rFonts w:ascii="宋体" w:hAnsi="宋体" w:cs="宋体"/>
                <w:b/>
                <w:color w:val="000000"/>
                <w:szCs w:val="21"/>
              </w:rPr>
            </w:r>
            <w:r/>
          </w:p>
        </w:tc>
      </w:tr>
      <w:tr>
        <w:trPr>
          <w:trHeight w:val="1170"/>
        </w:trPr>
        <w:tc>
          <w:tcPr>
            <w:tcW w:w="93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一</w:t>
            </w:r>
            <w:r>
              <w:rPr>
                <w:rFonts w:ascii="宋体" w:hAnsi="宋体" w:cs="宋体"/>
                <w:color w:val="000000"/>
                <w:szCs w:val="21"/>
              </w:rPr>
            </w:r>
            <w:r/>
          </w:p>
        </w:tc>
        <w:tc>
          <w:tcPr>
            <w:gridSpan w:val="2"/>
            <w:tcW w:w="1800" w:type="dxa"/>
            <w:vAlign w:val="center"/>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8517" w:type="dxa"/>
            <w:vAlign w:val="center"/>
            <w:textDirection w:val="lrTb"/>
            <w:noWrap w:val="false"/>
          </w:tcPr>
          <w:p>
            <w:pPr>
              <w:pStyle w:val="766"/>
              <w:ind w:firstLine="420"/>
              <w:jc w:val="left"/>
              <w:spacing w:line="360" w:lineRule="auto"/>
              <w:widowControl/>
              <w:rPr>
                <w:color w:val="000000"/>
                <w:szCs w:val="21"/>
              </w:rPr>
              <w:framePr w:vAnchor="text" w:hAnchor="page" w:x="467" w:y="1338"/>
            </w:pPr>
            <w:r>
              <w:rPr>
                <w:rFonts w:hint="eastAsia" w:ascii="宋体" w:hAnsi="宋体" w:cs="宋体"/>
                <w:color w:val="000000"/>
                <w:szCs w:val="21"/>
              </w:rPr>
              <w:t xml:space="preserve">采用低价优先法计算，即满足</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要求且投标价格最低的投标报价为评标基准价，其价格分为满分30分。其他</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的价格分统一按照下列公式计算：投标报价得分=(评标基准价／投标报价)×30（按四舍五入取至小数点后两位）。</w:t>
            </w:r>
            <w:r>
              <w:rPr>
                <w:color w:val="000000"/>
                <w:szCs w:val="21"/>
              </w:rPr>
            </w:r>
            <w:r/>
          </w:p>
        </w:tc>
      </w:tr>
      <w:tr>
        <w:trPr>
          <w:trHeight w:val="2495"/>
        </w:trPr>
        <w:tc>
          <w:tcPr>
            <w:tcW w:w="930" w:type="dxa"/>
            <w:vAlign w:val="center"/>
            <w:vMerge w:val="restart"/>
            <w:textDirection w:val="lrTb"/>
            <w:noWrap w:val="false"/>
          </w:tcPr>
          <w:p>
            <w:pPr>
              <w:pStyle w:val="766"/>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二</w:t>
            </w:r>
            <w:r>
              <w:rPr>
                <w:rFonts w:ascii="宋体" w:hAnsi="宋体" w:cs="宋体"/>
                <w:color w:val="000000"/>
                <w:szCs w:val="21"/>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(46分)</w:t>
            </w:r>
            <w:r>
              <w:rPr>
                <w:rFonts w:ascii="宋体" w:hAnsi="宋体" w:cs="宋体"/>
                <w:color w:val="000000"/>
                <w:szCs w:val="21"/>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467" w:y="133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分）</w:t>
            </w:r>
            <w:r>
              <w:rPr>
                <w:rFonts w:hint="eastAsia" w:ascii="宋体" w:hAnsi="宋体" w:eastAsia="宋体" w:cs="宋体"/>
                <w:highlight w:val="none"/>
              </w:rPr>
            </w:r>
            <w:r/>
          </w:p>
        </w:tc>
        <w:tc>
          <w:tcPr>
            <w:tcW w:w="8517" w:type="dxa"/>
            <w:vAlign w:val="center"/>
            <w:textDirection w:val="lrTb"/>
            <w:noWrap w:val="false"/>
          </w:tcPr>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lang w:val="en-US" w:eastAsia="zh-CN"/>
              </w:rPr>
              <w:framePr w:vAnchor="text" w:hAnchor="page" w:x="467" w:y="1338"/>
            </w:pPr>
            <w:r>
              <w:rPr>
                <w:rFonts w:hint="eastAsia" w:ascii="宋体" w:hAnsi="宋体" w:eastAsia="宋体" w:cs="宋体"/>
                <w:szCs w:val="24"/>
                <w:highlight w:val="none"/>
                <w:lang w:val="en-US" w:eastAsia="zh-CN"/>
              </w:rPr>
              <w:t xml:space="preserve">按招标文件的技术参数要求进行评审；</w:t>
            </w:r>
            <w:r>
              <w:rPr>
                <w:rFonts w:hint="eastAsia" w:ascii="宋体" w:hAnsi="宋体" w:eastAsia="宋体" w:cs="宋体"/>
                <w:szCs w:val="24"/>
                <w:highlight w:val="none"/>
                <w:lang w:val="en-US" w:eastAsia="zh-CN"/>
              </w:rPr>
            </w:r>
            <w:r/>
          </w:p>
          <w:p>
            <w:pPr>
              <w:pStyle w:val="766"/>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rPr>
              <w:framePr w:vAnchor="text" w:hAnchor="page" w:x="467" w:y="1338"/>
            </w:pPr>
            <w:r>
              <w:rPr>
                <w:rFonts w:hint="eastAsia" w:ascii="宋体" w:hAnsi="宋体" w:eastAsia="宋体" w:cs="宋体"/>
                <w:szCs w:val="24"/>
                <w:highlight w:val="none"/>
              </w:rPr>
              <w:t xml:space="preserve">打★号指标为必须满足项，如有负偏离将作为无效投标；</w:t>
            </w:r>
            <w:r>
              <w:rPr>
                <w:rFonts w:hint="eastAsia" w:ascii="宋体" w:hAnsi="宋体" w:eastAsia="宋体" w:cs="宋体"/>
                <w:szCs w:val="24"/>
                <w:highlight w:val="none"/>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0.2</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ascii="Calibri" w:hAnsi="Calibri" w:eastAsia="宋体" w:cs="Times New Roman"/>
                <w:szCs w:val="24"/>
                <w:lang w:eastAsia="zh-CN"/>
              </w:rPr>
              <w:t xml:space="preserve">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安装调试方案（6分）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方案内容完整，措施科学合理，可实施性强的得6分；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方案内容较完整，措施较科学合理，实施性较强的，得4分；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方案有缺项，未完全包含相关内容，科学性、合理性一般，可实施性一般的，得2分。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rPr>
              <w:t xml:space="preserve">该项未见阐述不得分。</w:t>
            </w:r>
            <w:r>
              <w:rPr>
                <w:rFonts w:ascii="宋体" w:hAnsi="宋体" w:eastAsia="宋体" w:cs="宋体"/>
                <w:highlight w:val="none"/>
                <w:lang w:val="en-US" w:eastAsia="zh-CN"/>
              </w:rPr>
            </w:r>
            <w:r/>
          </w:p>
        </w:tc>
      </w:tr>
      <w:tr>
        <w:trPr>
          <w:trHeight w:val="2887"/>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售后服务及培训方案（7分）</w:t>
            </w:r>
            <w:r>
              <w:rPr>
                <w:rFonts w:hint="eastAsia" w:ascii="宋体" w:hAnsi="宋体" w:eastAsia="宋体" w:cs="宋体"/>
                <w:highlight w:val="none"/>
                <w:lang w:val="en-US" w:eastAsia="zh-CN"/>
              </w:rPr>
            </w:r>
            <w:r/>
          </w:p>
        </w:tc>
        <w:tc>
          <w:tcPr>
            <w:tcW w:w="8517" w:type="dxa"/>
            <w:vAlign w:val="top"/>
            <w:textDirection w:val="lrTb"/>
            <w:noWrap w:val="false"/>
          </w:tcPr>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投标人提供售后服务及培训方案：</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售后服务及培训方案完善，技术支持能力强，服务响应快，培训方案科学合理，可实施性强，响应程度高，且优于其他投标人的，得7分；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售后服务及培训方案完善，技术支持能力较强，服务响应较快，培训方案科学合理，可实施性较强，优于招标文件要求的，得5分；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售后服务及培训方案一般，仅符合招标文件要求的，得3分。</w:t>
            </w:r>
            <w:r>
              <w:rPr>
                <w:rFonts w:hint="eastAsia" w:ascii="宋体" w:hAnsi="宋体" w:eastAsia="宋体" w:cs="宋体"/>
                <w:highlight w:val="none"/>
                <w:lang w:val="en-US" w:eastAsia="zh-CN"/>
              </w:rPr>
            </w:r>
            <w:r/>
          </w:p>
          <w:p>
            <w:pPr>
              <w:pStyle w:val="766"/>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eastAsia="zh-CN"/>
              </w:rPr>
              <w:t xml:space="preserve">该项未见阐述不得分。</w:t>
            </w:r>
            <w:r>
              <w:rPr>
                <w:rFonts w:ascii="宋体" w:hAnsi="宋体" w:eastAsia="宋体" w:cs="宋体"/>
                <w:highlight w:val="none"/>
                <w:lang w:val="en-US" w:eastAsia="zh-CN"/>
              </w:rPr>
            </w:r>
            <w:r/>
          </w:p>
        </w:tc>
      </w:tr>
      <w:tr>
        <w:trPr>
          <w:trHeight w:val="3875"/>
        </w:trPr>
        <w:tc>
          <w:tcPr>
            <w:tcW w:w="930" w:type="dxa"/>
            <w:vAlign w:val="center"/>
            <w:vMerge w:val="restart"/>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95" w:type="dxa"/>
            <w:vAlign w:val="center"/>
            <w:vMerge w:val="restart"/>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(24分)</w:t>
            </w:r>
            <w:r>
              <w:rPr>
                <w:rFonts w:ascii="宋体" w:hAnsi="宋体" w:cs="宋体"/>
                <w:color w:val="000000"/>
                <w:szCs w:val="21"/>
                <w:highlight w:val="none"/>
              </w:rPr>
            </w:r>
            <w:r/>
          </w:p>
        </w:tc>
        <w:tc>
          <w:tcPr>
            <w:tcW w:w="1005" w:type="dxa"/>
            <w:vAlign w:val="center"/>
            <w:textDirection w:val="lrTb"/>
            <w:noWrap w:val="false"/>
          </w:tcPr>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项目</w:t>
            </w:r>
            <w:r>
              <w:rPr>
                <w:rStyle w:val="884"/>
                <w:rFonts w:hint="eastAsia" w:ascii="宋体" w:hAnsi="宋体" w:cs="宋体"/>
                <w:szCs w:val="21"/>
              </w:rPr>
            </w:r>
            <w:r/>
          </w:p>
          <w:p>
            <w:pPr>
              <w:pStyle w:val="766"/>
              <w:jc w:val="center"/>
              <w:spacing w:line="340" w:lineRule="exact"/>
              <w:rPr>
                <w:rStyle w:val="884"/>
                <w:rFonts w:hint="eastAsia" w:ascii="宋体" w:hAnsi="宋体" w:cs="宋体"/>
                <w:szCs w:val="21"/>
              </w:rPr>
              <w:framePr w:vAnchor="text" w:hAnchor="page" w:x="467" w:y="1338"/>
            </w:pPr>
            <w:r>
              <w:rPr>
                <w:rStyle w:val="884"/>
                <w:rFonts w:hint="eastAsia" w:ascii="宋体" w:hAnsi="宋体" w:cs="宋体"/>
                <w:szCs w:val="21"/>
              </w:rPr>
              <w:t xml:space="preserve">团队</w:t>
            </w:r>
            <w:r>
              <w:rPr>
                <w:rStyle w:val="884"/>
                <w:rFonts w:hint="eastAsia" w:ascii="宋体" w:hAnsi="宋体" w:cs="宋体"/>
                <w:szCs w:val="21"/>
              </w:rPr>
            </w:r>
            <w:r/>
          </w:p>
          <w:p>
            <w:pPr>
              <w:pStyle w:val="766"/>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top"/>
            <w:textDirection w:val="lrTb"/>
            <w:noWrap w:val="false"/>
          </w:tcPr>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（1）投标人项目技术负责人具有高级或以上职称的得3分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t xml:space="preserve">本</w:t>
            </w:r>
            <w:r>
              <w:rPr>
                <w:rFonts w:hint="eastAsia" w:ascii="Times New Roman" w:hAnsi="Times New Roman" w:eastAsia="宋体" w:cs="Times New Roman"/>
                <w:lang w:val="en-US" w:eastAsia="zh-CN"/>
              </w:rPr>
              <w:t xml:space="preserve">项</w:t>
            </w:r>
            <w:r>
              <w:rPr>
                <w:rFonts w:hint="eastAsia" w:ascii="Times New Roman" w:hAnsi="Times New Roman" w:eastAsia="宋体" w:cs="Times New Roman"/>
                <w:lang w:val="en-US" w:eastAsia="zh-CN"/>
              </w:rPr>
              <w:t xml:space="preserve">最高</w:t>
            </w:r>
            <w:r>
              <w:rPr>
                <w:rFonts w:hint="eastAsia" w:ascii="Times New Roman" w:hAnsi="Times New Roman" w:eastAsia="宋体" w:cs="Times New Roman"/>
                <w:lang w:val="en-US" w:eastAsia="zh-CN"/>
              </w:rPr>
              <w:t xml:space="preserve">得3</w:t>
            </w:r>
            <w:r>
              <w:rPr>
                <w:rFonts w:hint="eastAsia" w:ascii="Times New Roman" w:hAnsi="Times New Roman" w:eastAsia="宋体" w:cs="Times New Roman"/>
                <w:lang w:val="en-US" w:eastAsia="zh-CN"/>
              </w:rPr>
              <w:t xml:space="preserve">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766"/>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2）项目组成员具有工业机器人系统运维员、工业机器人系统操作员、数控设备维修工、电气设备安装工等相关中高级国家职业技能证书或电气工程师国家职业资格证书、通信专业技术人员国家职业资格证书、计算机技术与软件专业技术国家职业资格证书等，每提供一个得2分（一人同时具有多个证书或者同一个证书多人有的，均只认可其中一个）</w:t>
            </w:r>
            <w:r>
              <w:rPr>
                <w:rFonts w:hint="eastAsia" w:ascii="宋体" w:hAnsi="宋体" w:eastAsia="宋体" w:cs="Times New Roman"/>
                <w:b w:val="0"/>
                <w:color w:val="000000"/>
                <w:spacing w:val="0"/>
                <w:sz w:val="21"/>
                <w:szCs w:val="24"/>
                <w:highlight w:val="none"/>
                <w:lang w:val="en-US" w:eastAsia="zh-CN" w:bidi="ar-SA"/>
              </w:rPr>
              <w:t xml:space="preserve">本项最高得6分</w:t>
            </w:r>
            <w:r>
              <w:rPr>
                <w:rFonts w:hint="eastAsia" w:ascii="Times New Roman" w:hAnsi="Times New Roman" w:eastAsia="宋体" w:cs="Times New Roman"/>
                <w:lang w:val="en-US" w:eastAsia="zh-CN"/>
              </w:rPr>
              <w:t xml:space="preserve">；</w:t>
            </w:r>
            <w:r>
              <w:rPr>
                <w:rFonts w:hint="eastAsia" w:ascii="Times New Roman" w:hAnsi="Times New Roman" w:eastAsia="宋体" w:cs="Times New Roman"/>
                <w:lang w:val="en-US" w:eastAsia="zh-CN"/>
              </w:rPr>
            </w:r>
            <w:r/>
          </w:p>
          <w:p>
            <w:pPr>
              <w:pStyle w:val="766"/>
              <w:spacing w:line="360" w:lineRule="auto"/>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Times New Roman" w:hAnsi="Times New Roman" w:eastAsia="宋体" w:cs="Times New Roman"/>
                <w:lang w:val="en-US" w:eastAsia="zh-CN"/>
              </w:rPr>
              <w:t xml:space="preserve">注：上述人员必须为投标人单位正式职工，提供证书及2026年1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930" w:type="dxa"/>
            <w:vAlign w:val="center"/>
            <w:vMerge w:val="continue"/>
            <w:textDirection w:val="lrTb"/>
            <w:noWrap w:val="false"/>
          </w:tcPr>
          <w:p>
            <w:pPr>
              <w:pStyle w:val="766"/>
              <w:jc w:val="center"/>
              <w:spacing w:line="360" w:lineRule="auto"/>
              <w:widowControl/>
              <w:rPr>
                <w:rFonts w:ascii="宋体" w:hAnsi="宋体" w:eastAsia="宋体" w:cs="宋体"/>
                <w:color w:val="000000"/>
                <w:szCs w:val="21"/>
                <w:lang w:val="en-US" w:eastAsia="zh-CN"/>
              </w:rPr>
              <w:framePr w:vAnchor="text" w:hAnchor="page" w:x="467" w:y="1338"/>
            </w:pPr>
            <w:r>
              <w:rPr>
                <w:rFonts w:ascii="宋体" w:hAnsi="宋体" w:eastAsia="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ascii="宋体" w:hAnsi="宋体" w:cs="宋体"/>
                <w:color w:val="000000"/>
                <w:szCs w:val="21"/>
                <w:highlight w:val="none"/>
              </w:rPr>
              <w:framePr w:vAnchor="text" w:hAnchor="page" w:x="467" w:y="1338"/>
            </w:pPr>
            <w:r>
              <w:rPr>
                <w:rFonts w:ascii="宋体" w:hAnsi="宋体" w:cs="宋体"/>
                <w:color w:val="000000"/>
                <w:szCs w:val="21"/>
                <w:highlight w:val="none"/>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自2020年1月1日以来，投标人承接过类似的业绩，每有一个得3分，本项最高得9分。</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rFonts w:hint="eastAsia" w:ascii="宋体" w:hAnsi="宋体" w:eastAsia="宋体" w:cs="Times New Roman"/>
                <w:b w:val="0"/>
                <w:color w:val="000000"/>
                <w:spacing w:val="0"/>
                <w:sz w:val="21"/>
                <w:szCs w:val="24"/>
                <w:highlight w:val="none"/>
                <w:lang w:val="zh-CN"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rHeight w:val="1310"/>
        </w:trPr>
        <w:tc>
          <w:tcPr>
            <w:tcW w:w="930" w:type="dxa"/>
            <w:vAlign w:val="center"/>
            <w:vMerge w:val="continue"/>
            <w:textDirection w:val="lrTb"/>
            <w:noWrap w:val="false"/>
          </w:tcPr>
          <w:p>
            <w:pPr>
              <w:pStyle w:val="766"/>
              <w:jc w:val="center"/>
              <w:spacing w:line="360" w:lineRule="auto"/>
              <w:widowControl/>
              <w:rPr>
                <w:rFonts w:hint="eastAsia" w:ascii="宋体" w:hAnsi="宋体" w:cs="宋体"/>
                <w:color w:val="000000"/>
                <w:szCs w:val="21"/>
                <w:lang w:val="en-US" w:eastAsia="zh-CN"/>
              </w:rPr>
              <w:framePr w:vAnchor="text" w:hAnchor="page" w:x="467" w:y="1338"/>
            </w:pPr>
            <w:r>
              <w:rPr>
                <w:rFonts w:hint="eastAsia" w:ascii="宋体" w:hAnsi="宋体" w:cs="宋体"/>
                <w:color w:val="000000"/>
                <w:szCs w:val="21"/>
                <w:lang w:val="en-US" w:eastAsia="zh-CN"/>
              </w:rPr>
            </w:r>
            <w:r/>
          </w:p>
        </w:tc>
        <w:tc>
          <w:tcPr>
            <w:tcW w:w="795" w:type="dxa"/>
            <w:vAlign w:val="center"/>
            <w:vMerge w:val="continue"/>
            <w:textDirection w:val="lrTb"/>
            <w:noWrap w:val="false"/>
          </w:tcPr>
          <w:p>
            <w:pPr>
              <w:pStyle w:val="766"/>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97"/>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97"/>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797"/>
              <w:spacing w:line="440" w:lineRule="exact"/>
              <w:rPr>
                <w:lang w:val="en-US" w:eastAsia="zh-CN"/>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lang w:val="en-US" w:eastAsia="zh-CN"/>
              </w:rPr>
            </w:r>
            <w:r/>
          </w:p>
        </w:tc>
      </w:tr>
    </w:tbl>
    <w:p>
      <w:pPr>
        <w:pStyle w:val="766"/>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766"/>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66"/>
        <w:jc w:val="center"/>
        <w:rPr>
          <w:rFonts w:hint="eastAsia" w:ascii="宋体" w:hAnsi="宋体"/>
          <w:b/>
          <w:color w:val="000000"/>
          <w:sz w:val="72"/>
          <w:szCs w:val="21"/>
        </w:rPr>
      </w:pPr>
      <w:r/>
      <w:bookmarkStart w:id="175" w:name="_Hlt26955039"/>
      <w:r/>
      <w:bookmarkEnd w:id="175"/>
      <w:r/>
      <w:bookmarkStart w:id="176" w:name="_Hlt26671244"/>
      <w:r/>
      <w:bookmarkEnd w:id="176"/>
      <w:r/>
      <w:bookmarkStart w:id="177" w:name="_Toc26554094"/>
      <w:r/>
      <w:bookmarkStart w:id="178" w:name="_Toc49090576"/>
      <w:r/>
      <w:bookmarkStart w:id="179" w:name="_Toc120614282"/>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72"/>
          <w:szCs w:val="21"/>
        </w:rPr>
      </w:pPr>
      <w:r>
        <w:rPr>
          <w:rFonts w:hint="eastAsia" w:ascii="宋体" w:hAnsi="宋体"/>
          <w:b/>
          <w:color w:val="000000"/>
          <w:sz w:val="72"/>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jc w:val="center"/>
        <w:rPr>
          <w:rFonts w:hint="eastAsia" w:ascii="宋体" w:hAnsi="宋体"/>
          <w:b/>
          <w:color w:val="000000"/>
          <w:sz w:val="36"/>
          <w:szCs w:val="21"/>
        </w:rPr>
      </w:pPr>
      <w:r>
        <w:rPr>
          <w:rFonts w:hint="eastAsia" w:ascii="宋体" w:hAnsi="宋体"/>
          <w:b/>
          <w:color w:val="000000"/>
          <w:sz w:val="36"/>
          <w:szCs w:val="21"/>
        </w:rPr>
      </w:r>
      <w:r/>
    </w:p>
    <w:p>
      <w:pPr>
        <w:pStyle w:val="766"/>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766"/>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66"/>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76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66"/>
        <w:spacing w:line="440" w:lineRule="exact"/>
        <w:rPr>
          <w:rFonts w:ascii="宋体" w:hAnsi="宋体"/>
          <w:color w:val="000000"/>
          <w:szCs w:val="21"/>
        </w:rPr>
      </w:pPr>
      <w:r>
        <w:rPr>
          <w:rFonts w:ascii="宋体" w:hAnsi="宋体"/>
          <w:color w:val="000000"/>
          <w:szCs w:val="21"/>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b/>
          <w:color w:val="000000"/>
          <w:sz w:val="36"/>
          <w:szCs w:val="21"/>
          <w:u w:val="single"/>
        </w:rPr>
        <w:br w:type="page" w:clear="all"/>
      </w:r>
      <w:bookmarkEnd w:id="164"/>
      <w:r/>
      <w:bookmarkEnd w:id="165"/>
      <w:r/>
      <w:bookmarkEnd w:id="177"/>
      <w:r/>
      <w:bookmarkEnd w:id="178"/>
      <w:r/>
      <w:bookmarkEnd w:id="179"/>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766"/>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766"/>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766"/>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66"/>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66"/>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66"/>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66"/>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66"/>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766"/>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766"/>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766"/>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766"/>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66"/>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766"/>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766"/>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sz w:val="36"/>
        </w:rPr>
      </w:pPr>
      <w:r>
        <w:rPr>
          <w:rFonts w:hint="eastAsia" w:ascii="宋体" w:hAnsi="宋体" w:eastAsia="宋体" w:cs="宋体"/>
          <w:sz w:val="36"/>
        </w:rPr>
        <w:br w:type="page" w:clear="all"/>
      </w:r>
      <w:r>
        <w:rPr>
          <w:rFonts w:hint="eastAsia" w:ascii="宋体" w:hAnsi="宋体" w:eastAsia="宋体" w:cs="宋体"/>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66"/>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766"/>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766"/>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766"/>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766"/>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766"/>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66"/>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766"/>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66"/>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66"/>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66"/>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766"/>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766"/>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766"/>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66"/>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66"/>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66"/>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
          <w:iCs/>
          <w:sz w:val="36"/>
          <w:u w:val="single"/>
        </w:rPr>
      </w:pPr>
      <w:r/>
      <w:bookmarkStart w:id="180" w:name="_Hlt26955054"/>
      <w:r/>
      <w:bookmarkEnd w:id="180"/>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bookmarkStart w:id="181" w:name="_Hlt26671343"/>
            <w:r/>
            <w:bookmarkEnd w:id="181"/>
            <w:r/>
            <w:bookmarkStart w:id="182" w:name="_Hlt24879081"/>
            <w:r/>
            <w:bookmarkEnd w:id="182"/>
            <w:r/>
            <w:bookmarkStart w:id="183" w:name="_Hlt26955056"/>
            <w:r/>
            <w:bookmarkEnd w:id="183"/>
            <w:r/>
            <w:bookmarkStart w:id="184" w:name="_Hlt26671372"/>
            <w:r/>
            <w:bookmarkEnd w:id="184"/>
            <w:r/>
            <w:bookmarkStart w:id="185" w:name="_Hlt26609391"/>
            <w:r/>
            <w:bookmarkEnd w:id="185"/>
            <w:r/>
            <w:bookmarkStart w:id="186" w:name="_Hlt26580838"/>
            <w:r/>
            <w:bookmarkEnd w:id="186"/>
            <w:r/>
            <w:bookmarkStart w:id="187" w:name="_Hlt26955064"/>
            <w:r/>
            <w:bookmarkEnd w:id="187"/>
            <w:r/>
            <w:bookmarkStart w:id="188" w:name="_Hlt26782999"/>
            <w:r/>
            <w:bookmarkEnd w:id="188"/>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bookmarkStart w:id="189" w:name="_Hlt26955066"/>
      <w:r/>
      <w:bookmarkEnd w:id="189"/>
      <w:r/>
      <w:bookmarkStart w:id="190" w:name="_Hlt26609389"/>
      <w:r/>
      <w:bookmarkEnd w:id="190"/>
      <w:r/>
      <w:bookmarkStart w:id="191" w:name="_格式2__法定代表人授权书"/>
      <w:r/>
      <w:bookmarkEnd w:id="191"/>
      <w:r/>
      <w:bookmarkStart w:id="192" w:name="_Hlt26671374"/>
      <w:r/>
      <w:bookmarkEnd w:id="192"/>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766"/>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66"/>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766"/>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66"/>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66"/>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66"/>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66"/>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66"/>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bCs/>
          <w:i/>
          <w:color w:val="000000"/>
          <w:sz w:val="36"/>
          <w:szCs w:val="36"/>
          <w:u w:val="single"/>
        </w:rPr>
      </w:r>
      <w:r/>
    </w:p>
    <w:p>
      <w:pPr>
        <w:pStyle w:val="766"/>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766"/>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766"/>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766"/>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66"/>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766"/>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766"/>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766"/>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66"/>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66"/>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766"/>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766"/>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766"/>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766"/>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rPr>
                        <w:rStyle w:val="839"/>
                        <w:rFonts w:ascii="宋体" w:hAnsi="宋体"/>
                      </w:rPr>
                    </w:pPr>
                    <w:r>
                      <w:rPr>
                        <w:rFonts w:ascii="宋体" w:hAnsi="宋体"/>
                      </w:rPr>
                      <w:fldChar w:fldCharType="begin"/>
                    </w:r>
                    <w:r>
                      <w:rPr>
                        <w:rStyle w:val="839"/>
                        <w:rFonts w:ascii="宋体" w:hAnsi="宋体"/>
                      </w:rPr>
                      <w:instrText xml:space="preserve">PAGE  </w:instrText>
                    </w:r>
                    <w:r>
                      <w:rPr>
                        <w:rFonts w:ascii="宋体" w:hAnsi="宋体"/>
                      </w:rPr>
                      <w:fldChar w:fldCharType="separate"/>
                    </w:r>
                    <w:r>
                      <w:rPr>
                        <w:rStyle w:val="839"/>
                        <w:rFonts w:ascii="宋体" w:hAnsi="宋体"/>
                      </w:rPr>
                      <w:t xml:space="preserve">４２</w:t>
                    </w:r>
                    <w:r>
                      <w:rPr>
                        <w:rFonts w:ascii="宋体" w:hAnsi="宋体"/>
                      </w:rPr>
                      <w:fldChar w:fldCharType="end"/>
                    </w:r>
                    <w:r>
                      <w:rPr>
                        <w:rStyle w:val="839"/>
                        <w:rFonts w:ascii="宋体" w:hAnsi="宋体"/>
                      </w:rPr>
                    </w:r>
                    <w:r/>
                  </w:p>
                  <w:p>
                    <w:pPr>
                      <w:pStyle w:val="766"/>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rPr>
        <w:rStyle w:val="839"/>
      </w:rPr>
    </w:r>
    <w:r/>
  </w:p>
  <w:p>
    <w:pPr>
      <w:pStyle w:val="81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pStyle w:val="76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45"/>
      <w:isLgl w:val="false"/>
      <w:suff w:val="tab"/>
      <w:lvlText w:val="附录%1."/>
      <w:lvlJc w:val="left"/>
      <w:pPr>
        <w:pStyle w:val="7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pStyle w:val="766"/>
        <w:ind w:left="709" w:hanging="709"/>
        <w:tabs>
          <w:tab w:val="num" w:pos="709" w:leader="none"/>
        </w:tabs>
      </w:pPr>
      <w:rPr>
        <w:rFonts w:hint="eastAsia"/>
      </w:rPr>
    </w:lvl>
    <w:lvl w:ilvl="1">
      <w:start w:val="1"/>
      <w:numFmt w:val="decimal"/>
      <w:isLgl w:val="false"/>
      <w:suff w:val="tab"/>
      <w:lvlText w:val="%1.%2"/>
      <w:lvlJc w:val="left"/>
      <w:pPr>
        <w:pStyle w:val="766"/>
        <w:ind w:left="709" w:hanging="709"/>
        <w:tabs>
          <w:tab w:val="num" w:pos="709" w:leader="none"/>
        </w:tabs>
      </w:pPr>
      <w:rPr>
        <w:rFonts w:hint="eastAsia"/>
      </w:rPr>
    </w:lvl>
    <w:lvl w:ilvl="2">
      <w:start w:val="1"/>
      <w:numFmt w:val="decimal"/>
      <w:isLgl w:val="false"/>
      <w:suff w:val="tab"/>
      <w:lvlText w:val="%1.%2.%3."/>
      <w:lvlJc w:val="left"/>
      <w:pPr>
        <w:pStyle w:val="766"/>
        <w:ind w:left="425" w:hanging="425"/>
        <w:tabs>
          <w:tab w:val="num" w:pos="425" w:leader="none"/>
        </w:tabs>
      </w:pPr>
      <w:rPr>
        <w:rFonts w:hint="eastAsia"/>
      </w:rPr>
    </w:lvl>
    <w:lvl w:ilvl="3">
      <w:start w:val="1"/>
      <w:numFmt w:val="decimal"/>
      <w:isLgl w:val="false"/>
      <w:suff w:val="tab"/>
      <w:lvlText w:val="%1.%2.%3.%4."/>
      <w:lvlJc w:val="left"/>
      <w:pPr>
        <w:pStyle w:val="766"/>
        <w:ind w:left="851" w:hanging="851"/>
        <w:tabs>
          <w:tab w:val="num" w:pos="851" w:leader="none"/>
        </w:tabs>
      </w:pPr>
      <w:rPr>
        <w:rFonts w:hint="eastAsia"/>
      </w:rPr>
    </w:lvl>
    <w:lvl w:ilvl="4">
      <w:start w:val="1"/>
      <w:numFmt w:val="decimal"/>
      <w:isLgl w:val="false"/>
      <w:suff w:val="tab"/>
      <w:lvlText w:val="%1.%2.%3.%4.%5."/>
      <w:lvlJc w:val="left"/>
      <w:pPr>
        <w:pStyle w:val="766"/>
        <w:ind w:left="992" w:hanging="992"/>
        <w:tabs>
          <w:tab w:val="num" w:pos="992" w:leader="none"/>
        </w:tabs>
      </w:pPr>
      <w:rPr>
        <w:rFonts w:hint="eastAsia"/>
      </w:rPr>
    </w:lvl>
    <w:lvl w:ilvl="5">
      <w:start w:val="1"/>
      <w:numFmt w:val="decimal"/>
      <w:isLgl w:val="false"/>
      <w:suff w:val="tab"/>
      <w:lvlText w:val="%1.%2.%3.%4.%5.%6."/>
      <w:lvlJc w:val="left"/>
      <w:pPr>
        <w:pStyle w:val="766"/>
        <w:ind w:left="1134" w:hanging="1134"/>
        <w:tabs>
          <w:tab w:val="num" w:pos="1134" w:leader="none"/>
        </w:tabs>
      </w:pPr>
      <w:rPr>
        <w:rFonts w:hint="eastAsia"/>
      </w:rPr>
    </w:lvl>
    <w:lvl w:ilvl="6">
      <w:start w:val="1"/>
      <w:numFmt w:val="decimal"/>
      <w:isLgl w:val="false"/>
      <w:suff w:val="tab"/>
      <w:lvlText w:val="%1.%2.%3.%4.%5.%6.%7."/>
      <w:lvlJc w:val="left"/>
      <w:pPr>
        <w:pStyle w:val="766"/>
        <w:ind w:left="1276" w:hanging="1276"/>
        <w:tabs>
          <w:tab w:val="num" w:pos="1276" w:leader="none"/>
        </w:tabs>
      </w:pPr>
      <w:rPr>
        <w:rFonts w:hint="eastAsia"/>
      </w:rPr>
    </w:lvl>
    <w:lvl w:ilvl="7">
      <w:start w:val="1"/>
      <w:numFmt w:val="decimal"/>
      <w:isLgl w:val="false"/>
      <w:suff w:val="tab"/>
      <w:lvlText w:val="%1.%2.%3.%4.%5.%6.%7.%8."/>
      <w:lvlJc w:val="left"/>
      <w:pPr>
        <w:pStyle w:val="766"/>
        <w:ind w:left="1418" w:hanging="1418"/>
        <w:tabs>
          <w:tab w:val="num" w:pos="1418" w:leader="none"/>
        </w:tabs>
      </w:pPr>
      <w:rPr>
        <w:rFonts w:hint="eastAsia"/>
      </w:rPr>
    </w:lvl>
    <w:lvl w:ilvl="8">
      <w:start w:val="1"/>
      <w:numFmt w:val="decimal"/>
      <w:isLgl w:val="false"/>
      <w:suff w:val="tab"/>
      <w:lvlText w:val="%1.%2.%3.%4.%5.%6.%7.%8.%9."/>
      <w:lvlJc w:val="left"/>
      <w:pPr>
        <w:pStyle w:val="766"/>
        <w:ind w:left="1559" w:hanging="1559"/>
        <w:tabs>
          <w:tab w:val="num" w:pos="1559" w:leader="none"/>
        </w:tabs>
      </w:pPr>
      <w:rPr>
        <w:rFonts w:hint="eastAsia"/>
      </w:rPr>
    </w:lvl>
  </w:abstractNum>
  <w:abstractNum w:abstractNumId="6">
    <w:multiLevelType w:val="hybridMultilevel"/>
    <w:lvl w:ilvl="0">
      <w:start w:val="23"/>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766"/>
        <w:ind w:left="0" w:firstLine="0"/>
      </w:pPr>
      <w:rPr>
        <w:rFonts w:hint="eastAsia"/>
      </w:rPr>
    </w:lvl>
    <w:lvl w:ilvl="1">
      <w:start w:val="1"/>
      <w:numFmt w:val="decimal"/>
      <w:isLgl w:val="false"/>
      <w:suff w:val="nothing"/>
      <w:lvlText w:val="%2、"/>
      <w:lvlJc w:val="left"/>
      <w:pPr>
        <w:pStyle w:val="766"/>
        <w:ind w:left="0" w:firstLine="0"/>
      </w:pPr>
      <w:rPr>
        <w:rFonts w:hint="eastAsia"/>
      </w:rPr>
    </w:lvl>
    <w:lvl w:ilvl="2">
      <w:start w:val="1"/>
      <w:numFmt w:val="decimal"/>
      <w:isLgl w:val="false"/>
      <w:suff w:val="nothing"/>
      <w:lvlText w:val="%2.%3 "/>
      <w:lvlJc w:val="left"/>
      <w:pPr>
        <w:pStyle w:val="766"/>
        <w:ind w:left="0" w:firstLine="0"/>
      </w:pPr>
      <w:rPr>
        <w:rFonts w:hint="eastAsia"/>
      </w:rPr>
    </w:lvl>
    <w:lvl w:ilvl="3">
      <w:start w:val="1"/>
      <w:numFmt w:val="decimal"/>
      <w:isLgl w:val="false"/>
      <w:suff w:val="nothing"/>
      <w:lvlText w:val="%2.%3.%4 "/>
      <w:lvlJc w:val="left"/>
      <w:pPr>
        <w:pStyle w:val="766"/>
        <w:ind w:left="0" w:firstLine="0"/>
      </w:pPr>
      <w:rPr>
        <w:rFonts w:hint="eastAsia"/>
      </w:rPr>
    </w:lvl>
    <w:lvl w:ilvl="4">
      <w:start w:val="1"/>
      <w:numFmt w:val="decimal"/>
      <w:isLgl w:val="false"/>
      <w:suff w:val="nothing"/>
      <w:lvlText w:val="%2.%3.%4.%5 "/>
      <w:lvlJc w:val="left"/>
      <w:pPr>
        <w:pStyle w:val="766"/>
        <w:ind w:left="0" w:firstLine="0"/>
      </w:pPr>
      <w:rPr>
        <w:rFonts w:hint="eastAsia"/>
      </w:rPr>
    </w:lvl>
    <w:lvl w:ilvl="5">
      <w:start w:val="1"/>
      <w:numFmt w:val="decimal"/>
      <w:pStyle w:val="772"/>
      <w:isLgl w:val="false"/>
      <w:suff w:val="nothing"/>
      <w:lvlText w:val=""/>
      <w:lvlJc w:val="left"/>
      <w:pPr>
        <w:pStyle w:val="766"/>
        <w:ind w:left="0" w:firstLine="0"/>
      </w:pPr>
      <w:rPr>
        <w:rFonts w:hint="eastAsia"/>
      </w:rPr>
    </w:lvl>
    <w:lvl w:ilvl="6">
      <w:start w:val="1"/>
      <w:numFmt w:val="decimal"/>
      <w:pStyle w:val="773"/>
      <w:isLgl w:val="false"/>
      <w:suff w:val="nothing"/>
      <w:lvlText w:val=""/>
      <w:lvlJc w:val="left"/>
      <w:pPr>
        <w:pStyle w:val="766"/>
        <w:ind w:left="0" w:firstLine="0"/>
      </w:pPr>
      <w:rPr>
        <w:rFonts w:hint="eastAsia"/>
      </w:rPr>
    </w:lvl>
    <w:lvl w:ilvl="7">
      <w:start w:val="1"/>
      <w:numFmt w:val="decimal"/>
      <w:pStyle w:val="774"/>
      <w:isLgl w:val="false"/>
      <w:suff w:val="nothing"/>
      <w:lvlText w:val=""/>
      <w:lvlJc w:val="left"/>
      <w:pPr>
        <w:pStyle w:val="766"/>
        <w:ind w:left="0" w:firstLine="0"/>
      </w:pPr>
      <w:rPr>
        <w:rFonts w:hint="eastAsia"/>
      </w:rPr>
    </w:lvl>
    <w:lvl w:ilvl="8">
      <w:start w:val="1"/>
      <w:numFmt w:val="decimal"/>
      <w:pStyle w:val="775"/>
      <w:isLgl w:val="false"/>
      <w:suff w:val="nothing"/>
      <w:lvlText w:val=""/>
      <w:lvlJc w:val="left"/>
      <w:pPr>
        <w:pStyle w:val="766"/>
        <w:ind w:left="0" w:firstLine="0"/>
      </w:pPr>
      <w:rPr>
        <w:rFonts w:hint="eastAsia"/>
      </w:rPr>
    </w:lvl>
  </w:abstractNum>
  <w:abstractNum w:abstractNumId="9">
    <w:multiLevelType w:val="hybridMultilevel"/>
    <w:lvl w:ilvl="0">
      <w:start w:val="6"/>
      <w:numFmt w:val="decimal"/>
      <w:isLgl w:val="false"/>
      <w:suff w:val="space"/>
      <w:lvlText w:val="%1."/>
      <w:lvlJc w:val="left"/>
      <w:pPr>
        <w:pStyle w:val="766"/>
      </w:pPr>
    </w:lvl>
    <w:lvl w:ilvl="1">
      <w:start w:val="1"/>
      <w:numFmt w:val="bullet"/>
      <w:isLgl w:val="false"/>
      <w:suff w:val="tab"/>
      <w:lvlText w:val="o"/>
      <w:lvlJc w:val="left"/>
      <w:pPr>
        <w:pStyle w:val="766"/>
        <w:ind w:left="1440" w:hanging="360"/>
      </w:pPr>
      <w:rPr>
        <w:rFonts w:ascii="Courier New" w:hAnsi="Courier New" w:eastAsia="Courier New" w:cs="Courier New"/>
      </w:rPr>
    </w:lvl>
    <w:lvl w:ilvl="2">
      <w:start w:val="1"/>
      <w:numFmt w:val="bullet"/>
      <w:isLgl w:val="false"/>
      <w:suff w:val="tab"/>
      <w:lvlText w:val="§"/>
      <w:lvlJc w:val="left"/>
      <w:pPr>
        <w:pStyle w:val="766"/>
        <w:ind w:left="2160" w:hanging="360"/>
      </w:pPr>
      <w:rPr>
        <w:rFonts w:ascii="Wingdings" w:hAnsi="Wingdings" w:eastAsia="Wingdings" w:cs="Wingdings"/>
      </w:rPr>
    </w:lvl>
    <w:lvl w:ilvl="3">
      <w:start w:val="1"/>
      <w:numFmt w:val="bullet"/>
      <w:isLgl w:val="false"/>
      <w:suff w:val="tab"/>
      <w:lvlText w:val="·"/>
      <w:lvlJc w:val="left"/>
      <w:pPr>
        <w:pStyle w:val="766"/>
        <w:ind w:left="2880" w:hanging="360"/>
      </w:pPr>
      <w:rPr>
        <w:rFonts w:ascii="Symbol" w:hAnsi="Symbol" w:eastAsia="Symbol" w:cs="Symbol"/>
      </w:rPr>
    </w:lvl>
    <w:lvl w:ilvl="4">
      <w:start w:val="1"/>
      <w:numFmt w:val="bullet"/>
      <w:isLgl w:val="false"/>
      <w:suff w:val="tab"/>
      <w:lvlText w:val="o"/>
      <w:lvlJc w:val="left"/>
      <w:pPr>
        <w:pStyle w:val="766"/>
        <w:ind w:left="3600" w:hanging="360"/>
      </w:pPr>
      <w:rPr>
        <w:rFonts w:ascii="Courier New" w:hAnsi="Courier New" w:eastAsia="Courier New" w:cs="Courier New"/>
      </w:rPr>
    </w:lvl>
    <w:lvl w:ilvl="5">
      <w:start w:val="1"/>
      <w:numFmt w:val="bullet"/>
      <w:isLgl w:val="false"/>
      <w:suff w:val="tab"/>
      <w:lvlText w:val="§"/>
      <w:lvlJc w:val="left"/>
      <w:pPr>
        <w:pStyle w:val="766"/>
        <w:ind w:left="4320" w:hanging="360"/>
      </w:pPr>
      <w:rPr>
        <w:rFonts w:ascii="Wingdings" w:hAnsi="Wingdings" w:eastAsia="Wingdings" w:cs="Wingdings"/>
      </w:rPr>
    </w:lvl>
    <w:lvl w:ilvl="6">
      <w:start w:val="1"/>
      <w:numFmt w:val="bullet"/>
      <w:isLgl w:val="false"/>
      <w:suff w:val="tab"/>
      <w:lvlText w:val="·"/>
      <w:lvlJc w:val="left"/>
      <w:pPr>
        <w:pStyle w:val="766"/>
        <w:ind w:left="5040" w:hanging="360"/>
      </w:pPr>
      <w:rPr>
        <w:rFonts w:ascii="Symbol" w:hAnsi="Symbol" w:eastAsia="Symbol" w:cs="Symbol"/>
      </w:rPr>
    </w:lvl>
    <w:lvl w:ilvl="7">
      <w:start w:val="1"/>
      <w:numFmt w:val="bullet"/>
      <w:isLgl w:val="false"/>
      <w:suff w:val="tab"/>
      <w:lvlText w:val="o"/>
      <w:lvlJc w:val="left"/>
      <w:pPr>
        <w:pStyle w:val="766"/>
        <w:ind w:left="5760" w:hanging="360"/>
      </w:pPr>
      <w:rPr>
        <w:rFonts w:ascii="Courier New" w:hAnsi="Courier New" w:eastAsia="Courier New" w:cs="Courier New"/>
      </w:rPr>
    </w:lvl>
    <w:lvl w:ilvl="8">
      <w:start w:val="1"/>
      <w:numFmt w:val="bullet"/>
      <w:isLgl w:val="false"/>
      <w:suff w:val="tab"/>
      <w:lvlText w:val="§"/>
      <w:lvlJc w:val="left"/>
      <w:pPr>
        <w:pStyle w:val="766"/>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66"/>
        <w:ind w:left="0" w:firstLine="0"/>
      </w:pPr>
      <w:rPr>
        <w:rFonts w:hint="eastAsia" w:ascii="宋体" w:hAnsi="宋体" w:eastAsia="宋体"/>
      </w:rPr>
    </w:lvl>
    <w:lvl w:ilvl="1">
      <w:start w:val="1"/>
      <w:numFmt w:val="decimal"/>
      <w:isLgl w:val="false"/>
      <w:suff w:val="tab"/>
      <w:lvlText w:val="%2."/>
      <w:lvlJc w:val="left"/>
      <w:pPr>
        <w:pStyle w:val="766"/>
        <w:ind w:left="1440" w:hanging="360"/>
        <w:tabs>
          <w:tab w:val="num" w:pos="1440" w:leader="none"/>
        </w:tabs>
      </w:pPr>
    </w:lvl>
    <w:lvl w:ilvl="2">
      <w:start w:val="1"/>
      <w:numFmt w:val="decimal"/>
      <w:isLgl w:val="false"/>
      <w:suff w:val="tab"/>
      <w:lvlText w:val="%3."/>
      <w:lvlJc w:val="left"/>
      <w:pPr>
        <w:pStyle w:val="766"/>
        <w:ind w:left="2160" w:hanging="360"/>
        <w:tabs>
          <w:tab w:val="num" w:pos="2160" w:leader="none"/>
        </w:tabs>
      </w:pPr>
    </w:lvl>
    <w:lvl w:ilvl="3">
      <w:start w:val="1"/>
      <w:numFmt w:val="decimal"/>
      <w:isLgl w:val="false"/>
      <w:suff w:val="tab"/>
      <w:lvlText w:val="%4."/>
      <w:lvlJc w:val="left"/>
      <w:pPr>
        <w:pStyle w:val="766"/>
        <w:ind w:left="2880" w:hanging="360"/>
        <w:tabs>
          <w:tab w:val="num" w:pos="2880" w:leader="none"/>
        </w:tabs>
      </w:pPr>
    </w:lvl>
    <w:lvl w:ilvl="4">
      <w:start w:val="1"/>
      <w:numFmt w:val="decimal"/>
      <w:isLgl w:val="false"/>
      <w:suff w:val="tab"/>
      <w:lvlText w:val="%5."/>
      <w:lvlJc w:val="left"/>
      <w:pPr>
        <w:pStyle w:val="766"/>
        <w:ind w:left="3600" w:hanging="360"/>
        <w:tabs>
          <w:tab w:val="num" w:pos="3600" w:leader="none"/>
        </w:tabs>
      </w:pPr>
    </w:lvl>
    <w:lvl w:ilvl="5">
      <w:start w:val="1"/>
      <w:numFmt w:val="decimal"/>
      <w:isLgl w:val="false"/>
      <w:suff w:val="tab"/>
      <w:lvlText w:val="%6."/>
      <w:lvlJc w:val="left"/>
      <w:pPr>
        <w:pStyle w:val="766"/>
        <w:ind w:left="4320" w:hanging="360"/>
        <w:tabs>
          <w:tab w:val="num" w:pos="4320" w:leader="none"/>
        </w:tabs>
      </w:pPr>
    </w:lvl>
    <w:lvl w:ilvl="6">
      <w:start w:val="1"/>
      <w:numFmt w:val="decimal"/>
      <w:isLgl w:val="false"/>
      <w:suff w:val="tab"/>
      <w:lvlText w:val="%7."/>
      <w:lvlJc w:val="left"/>
      <w:pPr>
        <w:pStyle w:val="766"/>
        <w:ind w:left="5040" w:hanging="360"/>
        <w:tabs>
          <w:tab w:val="num" w:pos="5040" w:leader="none"/>
        </w:tabs>
      </w:pPr>
    </w:lvl>
    <w:lvl w:ilvl="7">
      <w:start w:val="1"/>
      <w:numFmt w:val="decimal"/>
      <w:isLgl w:val="false"/>
      <w:suff w:val="tab"/>
      <w:lvlText w:val="%8."/>
      <w:lvlJc w:val="left"/>
      <w:pPr>
        <w:pStyle w:val="766"/>
        <w:ind w:left="5760" w:hanging="360"/>
        <w:tabs>
          <w:tab w:val="num" w:pos="5760" w:leader="none"/>
        </w:tabs>
      </w:pPr>
    </w:lvl>
    <w:lvl w:ilvl="8">
      <w:start w:val="1"/>
      <w:numFmt w:val="decimal"/>
      <w:isLgl w:val="false"/>
      <w:suff w:val="tab"/>
      <w:lvlText w:val="%9."/>
      <w:lvlJc w:val="left"/>
      <w:pPr>
        <w:pStyle w:val="766"/>
        <w:ind w:left="6480" w:hanging="360"/>
        <w:tabs>
          <w:tab w:val="num" w:pos="6480" w:leader="none"/>
        </w:tabs>
      </w:pPr>
    </w:lvl>
  </w:abstractNum>
  <w:abstractNum w:abstractNumId="11">
    <w:multiLevelType w:val="hybridMultilevel"/>
    <w:lvl w:ilvl="0">
      <w:start w:val="1"/>
      <w:numFmt w:val="japaneseCounting"/>
      <w:isLgl w:val="false"/>
      <w:suff w:val="tab"/>
      <w:lvlText w:val="第%1章"/>
      <w:lvlJc w:val="left"/>
      <w:pPr>
        <w:pStyle w:val="76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1"/>
  </w:num>
  <w:num w:numId="6">
    <w:abstractNumId w:val="2"/>
  </w:num>
  <w:num w:numId="7">
    <w:abstractNumId w:val="0"/>
  </w:num>
  <w:num w:numId="8">
    <w:abstractNumId w:val="7"/>
  </w:num>
  <w:num w:numId="9">
    <w:abstractNumId w:val="9"/>
  </w:num>
  <w:num w:numId="10">
    <w:abstractNumId w:val="4"/>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6"/>
    <w:next w:val="7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6"/>
    <w:next w:val="7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6"/>
    <w:next w:val="7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6"/>
    <w:next w:val="7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6"/>
    <w:next w:val="7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6"/>
    <w:next w:val="7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6"/>
    <w:next w:val="7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6"/>
    <w:next w:val="7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6"/>
    <w:next w:val="7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6"/>
    <w:next w:val="7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6"/>
    <w:next w:val="7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6"/>
    <w:next w:val="7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6"/>
    <w:next w:val="766"/>
    <w:uiPriority w:val="39"/>
    <w:unhideWhenUsed/>
    <w:pPr>
      <w:ind w:left="0" w:right="0" w:firstLine="0"/>
      <w:spacing w:after="57"/>
    </w:pPr>
  </w:style>
  <w:style w:type="paragraph" w:styleId="181">
    <w:name w:val="toc 2"/>
    <w:basedOn w:val="766"/>
    <w:next w:val="766"/>
    <w:uiPriority w:val="39"/>
    <w:unhideWhenUsed/>
    <w:pPr>
      <w:ind w:left="283" w:right="0" w:firstLine="0"/>
      <w:spacing w:after="57"/>
    </w:pPr>
  </w:style>
  <w:style w:type="paragraph" w:styleId="182">
    <w:name w:val="toc 3"/>
    <w:basedOn w:val="766"/>
    <w:next w:val="766"/>
    <w:uiPriority w:val="39"/>
    <w:unhideWhenUsed/>
    <w:pPr>
      <w:ind w:left="567" w:right="0" w:firstLine="0"/>
      <w:spacing w:after="57"/>
    </w:pPr>
  </w:style>
  <w:style w:type="paragraph" w:styleId="183">
    <w:name w:val="toc 4"/>
    <w:basedOn w:val="766"/>
    <w:next w:val="766"/>
    <w:uiPriority w:val="39"/>
    <w:unhideWhenUsed/>
    <w:pPr>
      <w:ind w:left="850" w:right="0" w:firstLine="0"/>
      <w:spacing w:after="57"/>
    </w:pPr>
  </w:style>
  <w:style w:type="paragraph" w:styleId="184">
    <w:name w:val="toc 5"/>
    <w:basedOn w:val="766"/>
    <w:next w:val="766"/>
    <w:uiPriority w:val="39"/>
    <w:unhideWhenUsed/>
    <w:pPr>
      <w:ind w:left="1134" w:right="0" w:firstLine="0"/>
      <w:spacing w:after="57"/>
    </w:pPr>
  </w:style>
  <w:style w:type="paragraph" w:styleId="185">
    <w:name w:val="toc 6"/>
    <w:basedOn w:val="766"/>
    <w:next w:val="766"/>
    <w:uiPriority w:val="39"/>
    <w:unhideWhenUsed/>
    <w:pPr>
      <w:ind w:left="1417" w:right="0" w:firstLine="0"/>
      <w:spacing w:after="57"/>
    </w:pPr>
  </w:style>
  <w:style w:type="paragraph" w:styleId="186">
    <w:name w:val="toc 7"/>
    <w:basedOn w:val="766"/>
    <w:next w:val="766"/>
    <w:uiPriority w:val="39"/>
    <w:unhideWhenUsed/>
    <w:pPr>
      <w:ind w:left="1701" w:right="0" w:firstLine="0"/>
      <w:spacing w:after="57"/>
    </w:pPr>
  </w:style>
  <w:style w:type="paragraph" w:styleId="187">
    <w:name w:val="toc 8"/>
    <w:basedOn w:val="766"/>
    <w:next w:val="766"/>
    <w:uiPriority w:val="39"/>
    <w:unhideWhenUsed/>
    <w:pPr>
      <w:ind w:left="1984" w:right="0" w:firstLine="0"/>
      <w:spacing w:after="57"/>
    </w:pPr>
  </w:style>
  <w:style w:type="paragraph" w:styleId="188">
    <w:name w:val="toc 9"/>
    <w:basedOn w:val="766"/>
    <w:next w:val="76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6"/>
    <w:next w:val="766"/>
    <w:uiPriority w:val="99"/>
    <w:unhideWhenUsed/>
    <w:pPr>
      <w:spacing w:after="0" w:afterAutospacing="0"/>
    </w:pPr>
  </w:style>
  <w:style w:type="paragraph" w:styleId="766" w:default="1">
    <w:name w:val="Normal"/>
    <w:next w:val="766"/>
    <w:link w:val="766"/>
    <w:qFormat/>
    <w:pPr>
      <w:jc w:val="both"/>
      <w:widowControl w:val="off"/>
    </w:pPr>
    <w:rPr>
      <w:sz w:val="21"/>
      <w:szCs w:val="22"/>
      <w:lang w:val="en-US" w:eastAsia="zh-CN" w:bidi="ar-SA"/>
    </w:rPr>
  </w:style>
  <w:style w:type="paragraph" w:styleId="767">
    <w:name w:val="标题 1"/>
    <w:basedOn w:val="766"/>
    <w:next w:val="766"/>
    <w:link w:val="778"/>
    <w:qFormat/>
    <w:pPr>
      <w:jc w:val="center"/>
      <w:keepNext/>
      <w:outlineLvl w:val="0"/>
    </w:pPr>
    <w:rPr>
      <w:rFonts w:ascii="楷体_GB2312" w:hAnsi="Times New Roman" w:eastAsia="楷体_GB2312" w:cs="Times New Roman"/>
      <w:sz w:val="28"/>
      <w:szCs w:val="28"/>
    </w:rPr>
  </w:style>
  <w:style w:type="paragraph" w:styleId="768">
    <w:name w:val="标题 2"/>
    <w:basedOn w:val="766"/>
    <w:next w:val="780"/>
    <w:link w:val="779"/>
    <w:qFormat/>
    <w:pPr>
      <w:jc w:val="center"/>
      <w:keepLines/>
      <w:keepNext/>
      <w:spacing w:before="260" w:after="260" w:line="416" w:lineRule="auto"/>
      <w:outlineLvl w:val="1"/>
    </w:pPr>
    <w:rPr>
      <w:rFonts w:ascii="Arial" w:hAnsi="Arial" w:eastAsia="幼圆" w:cs="Arial"/>
      <w:b/>
      <w:bCs/>
      <w:sz w:val="44"/>
      <w:szCs w:val="44"/>
    </w:rPr>
  </w:style>
  <w:style w:type="paragraph" w:styleId="769">
    <w:name w:val="标题 3"/>
    <w:basedOn w:val="766"/>
    <w:next w:val="766"/>
    <w:link w:val="78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70">
    <w:name w:val="标题 4"/>
    <w:basedOn w:val="766"/>
    <w:next w:val="780"/>
    <w:link w:val="783"/>
    <w:qFormat/>
    <w:pPr>
      <w:keepLines/>
      <w:keepNext/>
      <w:spacing w:before="280" w:after="290" w:line="376" w:lineRule="auto"/>
      <w:outlineLvl w:val="3"/>
    </w:pPr>
    <w:rPr>
      <w:rFonts w:ascii="Arial" w:hAnsi="Arial" w:eastAsia="黑体" w:cs="Arial"/>
      <w:b/>
      <w:bCs/>
      <w:sz w:val="28"/>
      <w:szCs w:val="28"/>
    </w:rPr>
  </w:style>
  <w:style w:type="paragraph" w:styleId="771">
    <w:name w:val="标题 5"/>
    <w:basedOn w:val="766"/>
    <w:next w:val="766"/>
    <w:link w:val="784"/>
    <w:qFormat/>
    <w:pPr>
      <w:keepNext/>
      <w:outlineLvl w:val="4"/>
    </w:pPr>
    <w:rPr>
      <w:rFonts w:ascii="宋体" w:hAnsi="Times New Roman" w:eastAsia="宋体" w:cs="Times New Roman"/>
      <w:color w:val="000000"/>
      <w:sz w:val="28"/>
      <w:szCs w:val="28"/>
    </w:rPr>
  </w:style>
  <w:style w:type="paragraph" w:styleId="772">
    <w:name w:val="标题 6"/>
    <w:basedOn w:val="766"/>
    <w:next w:val="766"/>
    <w:link w:val="7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73">
    <w:name w:val="标题 7"/>
    <w:basedOn w:val="766"/>
    <w:next w:val="766"/>
    <w:link w:val="7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4">
    <w:name w:val="标题 8"/>
    <w:basedOn w:val="766"/>
    <w:next w:val="766"/>
    <w:link w:val="7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5">
    <w:name w:val="标题 9"/>
    <w:basedOn w:val="766"/>
    <w:next w:val="766"/>
    <w:link w:val="788"/>
    <w:qFormat/>
    <w:pPr>
      <w:numPr>
        <w:ilvl w:val="8"/>
        <w:numId w:val="1"/>
      </w:numPr>
      <w:keepLines/>
      <w:keepNext/>
      <w:spacing w:before="240" w:after="64" w:line="320" w:lineRule="auto"/>
      <w:outlineLvl w:val="8"/>
    </w:pPr>
    <w:rPr>
      <w:rFonts w:ascii="Arial" w:hAnsi="Arial" w:eastAsia="黑体" w:cs="Times New Roman"/>
      <w:szCs w:val="21"/>
    </w:rPr>
  </w:style>
  <w:style w:type="character" w:styleId="776">
    <w:name w:val="默认段落字体"/>
    <w:next w:val="776"/>
    <w:link w:val="766"/>
    <w:uiPriority w:val="1"/>
    <w:unhideWhenUsed/>
  </w:style>
  <w:style w:type="table" w:styleId="777">
    <w:name w:val="普通表格"/>
    <w:next w:val="777"/>
    <w:link w:val="766"/>
    <w:uiPriority w:val="99"/>
    <w:unhideWhenUsed/>
    <w:tblPr/>
  </w:style>
  <w:style w:type="character" w:styleId="778">
    <w:name w:val="标题 1 Char"/>
    <w:next w:val="778"/>
    <w:link w:val="767"/>
    <w:rPr>
      <w:rFonts w:ascii="楷体_GB2312" w:hAnsi="Times New Roman" w:eastAsia="楷体_GB2312" w:cs="Times New Roman"/>
      <w:sz w:val="28"/>
      <w:szCs w:val="28"/>
    </w:rPr>
  </w:style>
  <w:style w:type="character" w:styleId="779">
    <w:name w:val="标题 2 Char"/>
    <w:next w:val="779"/>
    <w:link w:val="768"/>
    <w:rPr>
      <w:rFonts w:ascii="Arial" w:hAnsi="Arial" w:eastAsia="幼圆" w:cs="Arial"/>
      <w:b/>
      <w:bCs/>
      <w:sz w:val="44"/>
      <w:szCs w:val="44"/>
    </w:rPr>
  </w:style>
  <w:style w:type="paragraph" w:styleId="780">
    <w:name w:val="正文缩进"/>
    <w:basedOn w:val="766"/>
    <w:next w:val="780"/>
    <w:link w:val="781"/>
    <w:pPr>
      <w:ind w:firstLine="420"/>
    </w:pPr>
    <w:rPr>
      <w:szCs w:val="21"/>
    </w:rPr>
  </w:style>
  <w:style w:type="character" w:styleId="781">
    <w:name w:val="正文缩进 Char"/>
    <w:next w:val="781"/>
    <w:link w:val="780"/>
    <w:rPr>
      <w:szCs w:val="21"/>
    </w:rPr>
  </w:style>
  <w:style w:type="character" w:styleId="782">
    <w:name w:val="标题 3 Char"/>
    <w:next w:val="782"/>
    <w:link w:val="769"/>
    <w:rPr>
      <w:rFonts w:ascii="Times New Roman" w:hAnsi="Times New Roman" w:eastAsia="宋体" w:cs="Times New Roman"/>
      <w:b/>
      <w:bCs/>
      <w:sz w:val="32"/>
      <w:szCs w:val="32"/>
    </w:rPr>
  </w:style>
  <w:style w:type="character" w:styleId="783">
    <w:name w:val="标题 4 Char"/>
    <w:next w:val="783"/>
    <w:link w:val="770"/>
    <w:rPr>
      <w:rFonts w:ascii="Arial" w:hAnsi="Arial" w:eastAsia="黑体" w:cs="Arial"/>
      <w:b/>
      <w:bCs/>
      <w:sz w:val="28"/>
      <w:szCs w:val="28"/>
    </w:rPr>
  </w:style>
  <w:style w:type="character" w:styleId="784">
    <w:name w:val="标题 5 Char"/>
    <w:next w:val="784"/>
    <w:link w:val="771"/>
    <w:rPr>
      <w:rFonts w:ascii="宋体" w:hAnsi="Times New Roman" w:eastAsia="宋体" w:cs="Times New Roman"/>
      <w:color w:val="000000"/>
      <w:sz w:val="28"/>
      <w:szCs w:val="28"/>
    </w:rPr>
  </w:style>
  <w:style w:type="character" w:styleId="785">
    <w:name w:val="标题 6 Char"/>
    <w:next w:val="785"/>
    <w:link w:val="772"/>
    <w:rPr>
      <w:rFonts w:ascii="Arial" w:hAnsi="Arial" w:eastAsia="黑体" w:cs="Times New Roman"/>
      <w:b/>
      <w:bCs/>
      <w:sz w:val="24"/>
      <w:szCs w:val="24"/>
    </w:rPr>
  </w:style>
  <w:style w:type="character" w:styleId="786">
    <w:name w:val="标题 7 Char"/>
    <w:next w:val="786"/>
    <w:link w:val="773"/>
    <w:rPr>
      <w:rFonts w:ascii="Times New Roman" w:hAnsi="Times New Roman" w:eastAsia="宋体" w:cs="Times New Roman"/>
      <w:b/>
      <w:bCs/>
      <w:sz w:val="24"/>
      <w:szCs w:val="24"/>
    </w:rPr>
  </w:style>
  <w:style w:type="character" w:styleId="787">
    <w:name w:val="标题 8 Char"/>
    <w:next w:val="787"/>
    <w:link w:val="774"/>
    <w:rPr>
      <w:rFonts w:ascii="Arial" w:hAnsi="Arial" w:eastAsia="黑体" w:cs="Times New Roman"/>
      <w:sz w:val="24"/>
      <w:szCs w:val="24"/>
    </w:rPr>
  </w:style>
  <w:style w:type="character" w:styleId="788">
    <w:name w:val="标题 9 Char"/>
    <w:next w:val="788"/>
    <w:link w:val="775"/>
    <w:rPr>
      <w:rFonts w:ascii="Arial" w:hAnsi="Arial" w:eastAsia="黑体" w:cs="Times New Roman"/>
      <w:szCs w:val="21"/>
    </w:rPr>
  </w:style>
  <w:style w:type="paragraph" w:styleId="789">
    <w:name w:val="列表 3"/>
    <w:basedOn w:val="766"/>
    <w:next w:val="789"/>
    <w:link w:val="766"/>
    <w:pPr>
      <w:ind w:left="100" w:hanging="200"/>
    </w:pPr>
    <w:rPr>
      <w:rFonts w:ascii="Times New Roman" w:hAnsi="Times New Roman" w:eastAsia="宋体" w:cs="Times New Roman"/>
      <w:szCs w:val="21"/>
    </w:rPr>
  </w:style>
  <w:style w:type="paragraph" w:styleId="790">
    <w:name w:val="目录 7"/>
    <w:basedOn w:val="766"/>
    <w:next w:val="766"/>
    <w:link w:val="766"/>
    <w:semiHidden/>
    <w:pPr>
      <w:ind w:left="1260"/>
      <w:jc w:val="left"/>
    </w:pPr>
    <w:rPr>
      <w:rFonts w:ascii="Times New Roman" w:hAnsi="Times New Roman" w:eastAsia="宋体" w:cs="Times New Roman"/>
      <w:szCs w:val="21"/>
    </w:rPr>
  </w:style>
  <w:style w:type="paragraph" w:styleId="791">
    <w:name w:val="文档结构图"/>
    <w:basedOn w:val="766"/>
    <w:next w:val="791"/>
    <w:link w:val="792"/>
    <w:semiHidden/>
    <w:pPr>
      <w:shd w:val="clear" w:color="auto" w:fill="000080"/>
    </w:pPr>
    <w:rPr>
      <w:rFonts w:ascii="Times New Roman" w:hAnsi="Times New Roman" w:eastAsia="宋体" w:cs="Times New Roman"/>
      <w:szCs w:val="21"/>
    </w:rPr>
  </w:style>
  <w:style w:type="character" w:styleId="792">
    <w:name w:val="文档结构图 Char"/>
    <w:next w:val="792"/>
    <w:link w:val="791"/>
    <w:semiHidden/>
    <w:rPr>
      <w:rFonts w:ascii="Times New Roman" w:hAnsi="Times New Roman" w:eastAsia="宋体" w:cs="Times New Roman"/>
      <w:szCs w:val="21"/>
      <w:shd w:val="clear" w:color="auto" w:fill="000080"/>
    </w:rPr>
  </w:style>
  <w:style w:type="paragraph" w:styleId="793">
    <w:name w:val="批注文字"/>
    <w:basedOn w:val="766"/>
    <w:next w:val="793"/>
    <w:link w:val="794"/>
    <w:unhideWhenUsed/>
    <w:pPr>
      <w:jc w:val="left"/>
    </w:pPr>
  </w:style>
  <w:style w:type="character" w:styleId="794">
    <w:name w:val="批注文字 Char"/>
    <w:basedOn w:val="776"/>
    <w:next w:val="794"/>
    <w:link w:val="793"/>
    <w:uiPriority w:val="99"/>
    <w:semiHidden/>
  </w:style>
  <w:style w:type="paragraph" w:styleId="795">
    <w:name w:val="正文文本 3"/>
    <w:basedOn w:val="766"/>
    <w:next w:val="795"/>
    <w:link w:val="796"/>
    <w:rPr>
      <w:rFonts w:ascii="仿宋_GB2312" w:hAnsi="Arial" w:eastAsia="仿宋_GB2312" w:cs="Times New Roman"/>
      <w:sz w:val="32"/>
      <w:szCs w:val="32"/>
    </w:rPr>
  </w:style>
  <w:style w:type="character" w:styleId="796">
    <w:name w:val="正文文本 3 Char"/>
    <w:next w:val="796"/>
    <w:link w:val="795"/>
    <w:rPr>
      <w:rFonts w:ascii="仿宋_GB2312" w:hAnsi="Arial" w:eastAsia="仿宋_GB2312" w:cs="Times New Roman"/>
      <w:sz w:val="32"/>
      <w:szCs w:val="32"/>
    </w:rPr>
  </w:style>
  <w:style w:type="paragraph" w:styleId="797">
    <w:name w:val="正文文本"/>
    <w:basedOn w:val="766"/>
    <w:next w:val="797"/>
    <w:link w:val="798"/>
    <w:rPr>
      <w:rFonts w:ascii="楷体_GB2312" w:hAnsi="Arial" w:eastAsia="楷体_GB2312" w:cs="Times New Roman"/>
      <w:sz w:val="28"/>
      <w:szCs w:val="28"/>
    </w:rPr>
  </w:style>
  <w:style w:type="character" w:styleId="798">
    <w:name w:val="正文文本 Char"/>
    <w:next w:val="798"/>
    <w:link w:val="797"/>
    <w:rPr>
      <w:rFonts w:ascii="楷体_GB2312" w:hAnsi="Arial" w:eastAsia="楷体_GB2312" w:cs="Times New Roman"/>
      <w:sz w:val="28"/>
      <w:szCs w:val="28"/>
    </w:rPr>
  </w:style>
  <w:style w:type="paragraph" w:styleId="799">
    <w:name w:val="正文文本缩进"/>
    <w:basedOn w:val="766"/>
    <w:next w:val="799"/>
    <w:link w:val="800"/>
    <w:unhideWhenUsed/>
    <w:pPr>
      <w:ind w:left="420"/>
      <w:spacing w:after="120"/>
    </w:pPr>
  </w:style>
  <w:style w:type="character" w:styleId="800">
    <w:name w:val="正文文本缩进 Char"/>
    <w:basedOn w:val="776"/>
    <w:next w:val="800"/>
    <w:link w:val="799"/>
    <w:uiPriority w:val="99"/>
    <w:semiHidden/>
  </w:style>
  <w:style w:type="paragraph" w:styleId="801">
    <w:name w:val="列表 2"/>
    <w:basedOn w:val="766"/>
    <w:next w:val="801"/>
    <w:link w:val="766"/>
    <w:pPr>
      <w:ind w:left="100" w:hanging="200"/>
    </w:pPr>
    <w:rPr>
      <w:rFonts w:ascii="Times New Roman" w:hAnsi="Times New Roman" w:eastAsia="宋体" w:cs="Times New Roman"/>
      <w:szCs w:val="21"/>
    </w:rPr>
  </w:style>
  <w:style w:type="paragraph" w:styleId="802">
    <w:name w:val="目录 5"/>
    <w:basedOn w:val="766"/>
    <w:next w:val="766"/>
    <w:link w:val="766"/>
    <w:semiHidden/>
    <w:pPr>
      <w:ind w:left="840"/>
      <w:jc w:val="left"/>
    </w:pPr>
    <w:rPr>
      <w:rFonts w:ascii="Times New Roman" w:hAnsi="Times New Roman" w:eastAsia="宋体" w:cs="Times New Roman"/>
      <w:szCs w:val="21"/>
    </w:rPr>
  </w:style>
  <w:style w:type="paragraph" w:styleId="803">
    <w:name w:val="目录 3"/>
    <w:basedOn w:val="766"/>
    <w:next w:val="766"/>
    <w:link w:val="766"/>
    <w:semiHidden/>
    <w:pPr>
      <w:ind w:left="420"/>
      <w:jc w:val="left"/>
    </w:pPr>
    <w:rPr>
      <w:rFonts w:ascii="Times New Roman" w:hAnsi="Times New Roman" w:eastAsia="宋体" w:cs="Times New Roman"/>
      <w:i/>
      <w:iCs/>
      <w:szCs w:val="24"/>
    </w:rPr>
  </w:style>
  <w:style w:type="paragraph" w:styleId="804">
    <w:name w:val="纯文本"/>
    <w:basedOn w:val="766"/>
    <w:next w:val="804"/>
    <w:link w:val="805"/>
    <w:rPr>
      <w:rFonts w:ascii="宋体" w:hAnsi="Courier New" w:eastAsia="宋体" w:cs="Courier New"/>
      <w:szCs w:val="21"/>
    </w:rPr>
  </w:style>
  <w:style w:type="character" w:styleId="805">
    <w:name w:val="纯文本 Char"/>
    <w:next w:val="805"/>
    <w:link w:val="804"/>
    <w:rPr>
      <w:rFonts w:ascii="宋体" w:hAnsi="Courier New" w:eastAsia="宋体" w:cs="Courier New"/>
      <w:szCs w:val="21"/>
    </w:rPr>
  </w:style>
  <w:style w:type="paragraph" w:styleId="806">
    <w:name w:val="目录 8"/>
    <w:basedOn w:val="766"/>
    <w:next w:val="766"/>
    <w:link w:val="766"/>
    <w:semiHidden/>
    <w:pPr>
      <w:ind w:left="1470"/>
      <w:jc w:val="left"/>
    </w:pPr>
    <w:rPr>
      <w:rFonts w:ascii="Times New Roman" w:hAnsi="Times New Roman" w:eastAsia="宋体" w:cs="Times New Roman"/>
      <w:szCs w:val="21"/>
    </w:rPr>
  </w:style>
  <w:style w:type="paragraph" w:styleId="807">
    <w:name w:val="日期"/>
    <w:basedOn w:val="766"/>
    <w:next w:val="766"/>
    <w:link w:val="808"/>
    <w:rPr>
      <w:rFonts w:ascii="Times New Roman" w:hAnsi="Times New Roman" w:eastAsia="宋体" w:cs="Times New Roman"/>
      <w:sz w:val="24"/>
      <w:szCs w:val="24"/>
    </w:rPr>
  </w:style>
  <w:style w:type="character" w:styleId="808">
    <w:name w:val="日期 Char"/>
    <w:next w:val="808"/>
    <w:link w:val="807"/>
    <w:rPr>
      <w:rFonts w:ascii="Times New Roman" w:hAnsi="Times New Roman" w:eastAsia="宋体" w:cs="Times New Roman"/>
      <w:sz w:val="24"/>
      <w:szCs w:val="24"/>
    </w:rPr>
  </w:style>
  <w:style w:type="paragraph" w:styleId="809">
    <w:name w:val="正文文本缩进 2"/>
    <w:basedOn w:val="766"/>
    <w:next w:val="809"/>
    <w:link w:val="810"/>
    <w:pPr>
      <w:ind w:left="630" w:firstLine="645"/>
    </w:pPr>
    <w:rPr>
      <w:rFonts w:ascii="Arial" w:hAnsi="Arial" w:eastAsia="仿宋_GB2312" w:cs="Arial"/>
      <w:sz w:val="32"/>
      <w:szCs w:val="32"/>
    </w:rPr>
  </w:style>
  <w:style w:type="character" w:styleId="810">
    <w:name w:val="正文文本缩进 2 Char"/>
    <w:next w:val="810"/>
    <w:link w:val="809"/>
    <w:rPr>
      <w:rFonts w:ascii="Arial" w:hAnsi="Arial" w:eastAsia="仿宋_GB2312" w:cs="Arial"/>
      <w:sz w:val="32"/>
      <w:szCs w:val="32"/>
    </w:rPr>
  </w:style>
  <w:style w:type="paragraph" w:styleId="811">
    <w:name w:val="批注框文本"/>
    <w:basedOn w:val="766"/>
    <w:next w:val="811"/>
    <w:link w:val="812"/>
    <w:semiHidden/>
    <w:rPr>
      <w:rFonts w:ascii="Times New Roman" w:hAnsi="Times New Roman" w:eastAsia="宋体" w:cs="Times New Roman"/>
      <w:sz w:val="18"/>
      <w:szCs w:val="18"/>
    </w:rPr>
  </w:style>
  <w:style w:type="character" w:styleId="812">
    <w:name w:val="批注框文本 Char"/>
    <w:next w:val="812"/>
    <w:link w:val="811"/>
    <w:semiHidden/>
    <w:rPr>
      <w:rFonts w:ascii="Times New Roman" w:hAnsi="Times New Roman" w:eastAsia="宋体" w:cs="Times New Roman"/>
      <w:sz w:val="18"/>
      <w:szCs w:val="18"/>
    </w:rPr>
  </w:style>
  <w:style w:type="paragraph" w:styleId="813">
    <w:name w:val="页脚"/>
    <w:basedOn w:val="766"/>
    <w:next w:val="813"/>
    <w:link w:val="814"/>
    <w:pPr>
      <w:jc w:val="left"/>
      <w:tabs>
        <w:tab w:val="center" w:pos="4153" w:leader="none"/>
        <w:tab w:val="right" w:pos="8306" w:leader="none"/>
      </w:tabs>
    </w:pPr>
    <w:rPr>
      <w:rFonts w:ascii="Times New Roman" w:hAnsi="Times New Roman" w:eastAsia="宋体" w:cs="Times New Roman"/>
      <w:sz w:val="18"/>
      <w:szCs w:val="18"/>
    </w:rPr>
  </w:style>
  <w:style w:type="character" w:styleId="814">
    <w:name w:val="页脚 Char"/>
    <w:next w:val="814"/>
    <w:link w:val="813"/>
    <w:rPr>
      <w:rFonts w:ascii="Times New Roman" w:hAnsi="Times New Roman" w:eastAsia="宋体" w:cs="Times New Roman"/>
      <w:sz w:val="18"/>
      <w:szCs w:val="18"/>
    </w:rPr>
  </w:style>
  <w:style w:type="paragraph" w:styleId="815">
    <w:name w:val="页眉"/>
    <w:basedOn w:val="766"/>
    <w:next w:val="815"/>
    <w:link w:val="81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6">
    <w:name w:val="页眉 Char"/>
    <w:next w:val="816"/>
    <w:link w:val="815"/>
    <w:rPr>
      <w:rFonts w:ascii="Times New Roman" w:hAnsi="Times New Roman" w:eastAsia="宋体" w:cs="Times New Roman"/>
      <w:sz w:val="18"/>
      <w:szCs w:val="18"/>
    </w:rPr>
  </w:style>
  <w:style w:type="paragraph" w:styleId="817">
    <w:name w:val="目录 1"/>
    <w:basedOn w:val="766"/>
    <w:next w:val="766"/>
    <w:link w:val="76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8">
    <w:name w:val="目录 4"/>
    <w:basedOn w:val="766"/>
    <w:next w:val="766"/>
    <w:link w:val="766"/>
    <w:semiHidden/>
    <w:pPr>
      <w:ind w:left="630"/>
      <w:jc w:val="left"/>
    </w:pPr>
    <w:rPr>
      <w:rFonts w:ascii="Times New Roman" w:hAnsi="Times New Roman" w:eastAsia="宋体" w:cs="Times New Roman"/>
      <w:szCs w:val="21"/>
    </w:rPr>
  </w:style>
  <w:style w:type="paragraph" w:styleId="819">
    <w:name w:val="列表"/>
    <w:basedOn w:val="766"/>
    <w:next w:val="819"/>
    <w:link w:val="766"/>
    <w:pPr>
      <w:ind w:left="200" w:hanging="200"/>
    </w:pPr>
    <w:rPr>
      <w:rFonts w:ascii="Times New Roman" w:hAnsi="Times New Roman" w:eastAsia="宋体" w:cs="Times New Roman"/>
      <w:szCs w:val="21"/>
    </w:rPr>
  </w:style>
  <w:style w:type="paragraph" w:styleId="820">
    <w:name w:val="目录 6"/>
    <w:basedOn w:val="766"/>
    <w:next w:val="766"/>
    <w:link w:val="766"/>
    <w:semiHidden/>
    <w:pPr>
      <w:ind w:left="1050"/>
      <w:jc w:val="left"/>
    </w:pPr>
    <w:rPr>
      <w:rFonts w:ascii="Times New Roman" w:hAnsi="Times New Roman" w:eastAsia="宋体" w:cs="Times New Roman"/>
      <w:szCs w:val="21"/>
    </w:rPr>
  </w:style>
  <w:style w:type="paragraph" w:styleId="821">
    <w:name w:val="正文文本缩进 3"/>
    <w:basedOn w:val="766"/>
    <w:next w:val="821"/>
    <w:link w:val="822"/>
    <w:pPr>
      <w:ind w:left="645" w:firstLine="645"/>
    </w:pPr>
    <w:rPr>
      <w:rFonts w:ascii="Arial" w:hAnsi="Arial" w:eastAsia="仿宋_GB2312" w:cs="Arial"/>
      <w:color w:val="ffff00"/>
      <w:sz w:val="32"/>
      <w:szCs w:val="32"/>
    </w:rPr>
  </w:style>
  <w:style w:type="character" w:styleId="822">
    <w:name w:val="正文文本缩进 3 Char"/>
    <w:next w:val="822"/>
    <w:link w:val="821"/>
    <w:rPr>
      <w:rFonts w:ascii="Arial" w:hAnsi="Arial" w:eastAsia="仿宋_GB2312" w:cs="Arial"/>
      <w:color w:val="ffff00"/>
      <w:sz w:val="32"/>
      <w:szCs w:val="32"/>
    </w:rPr>
  </w:style>
  <w:style w:type="paragraph" w:styleId="823">
    <w:name w:val="图表目录"/>
    <w:basedOn w:val="766"/>
    <w:next w:val="766"/>
    <w:link w:val="766"/>
    <w:semiHidden/>
    <w:pPr>
      <w:ind w:left="840" w:hanging="420"/>
    </w:pPr>
    <w:rPr>
      <w:rFonts w:ascii="Times New Roman" w:hAnsi="Times New Roman" w:eastAsia="宋体" w:cs="Times New Roman"/>
      <w:szCs w:val="21"/>
    </w:rPr>
  </w:style>
  <w:style w:type="paragraph" w:styleId="824">
    <w:name w:val="目录 2"/>
    <w:basedOn w:val="766"/>
    <w:next w:val="766"/>
    <w:link w:val="766"/>
    <w:semiHidden/>
    <w:pPr>
      <w:ind w:left="210"/>
      <w:jc w:val="left"/>
    </w:pPr>
    <w:rPr>
      <w:rFonts w:ascii="Times New Roman" w:hAnsi="Times New Roman" w:eastAsia="宋体" w:cs="Times New Roman"/>
      <w:smallCaps/>
      <w:szCs w:val="24"/>
    </w:rPr>
  </w:style>
  <w:style w:type="paragraph" w:styleId="825">
    <w:name w:val="目录 9"/>
    <w:basedOn w:val="766"/>
    <w:next w:val="766"/>
    <w:link w:val="766"/>
    <w:semiHidden/>
    <w:pPr>
      <w:ind w:left="1680"/>
      <w:jc w:val="left"/>
    </w:pPr>
    <w:rPr>
      <w:rFonts w:ascii="Times New Roman" w:hAnsi="Times New Roman" w:eastAsia="宋体" w:cs="Times New Roman"/>
      <w:szCs w:val="21"/>
    </w:rPr>
  </w:style>
  <w:style w:type="paragraph" w:styleId="826">
    <w:name w:val="正文文本 2"/>
    <w:basedOn w:val="766"/>
    <w:next w:val="826"/>
    <w:link w:val="827"/>
    <w:pPr>
      <w:jc w:val="center"/>
      <w:widowControl/>
    </w:pPr>
    <w:rPr>
      <w:rFonts w:ascii="楷体_GB2312" w:hAnsi="Times New Roman" w:eastAsia="楷体_GB2312" w:cs="Times New Roman"/>
      <w:sz w:val="28"/>
      <w:szCs w:val="28"/>
    </w:rPr>
  </w:style>
  <w:style w:type="character" w:styleId="827">
    <w:name w:val="正文文本 2 Char"/>
    <w:next w:val="827"/>
    <w:link w:val="826"/>
    <w:rPr>
      <w:rFonts w:ascii="楷体_GB2312" w:hAnsi="Times New Roman" w:eastAsia="楷体_GB2312" w:cs="Times New Roman"/>
      <w:sz w:val="28"/>
      <w:szCs w:val="28"/>
    </w:rPr>
  </w:style>
  <w:style w:type="paragraph" w:styleId="828">
    <w:name w:val="HTML 预设格式"/>
    <w:basedOn w:val="766"/>
    <w:next w:val="828"/>
    <w:link w:val="7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9">
    <w:name w:val="普通(网站)"/>
    <w:basedOn w:val="766"/>
    <w:next w:val="829"/>
    <w:link w:val="766"/>
    <w:uiPriority w:val="99"/>
    <w:pPr>
      <w:jc w:val="left"/>
      <w:spacing w:before="100" w:beforeAutospacing="1" w:after="100" w:afterAutospacing="1"/>
      <w:widowControl/>
    </w:pPr>
    <w:rPr>
      <w:rFonts w:ascii="宋体" w:hAnsi="宋体" w:eastAsia="宋体" w:cs="宋体"/>
      <w:sz w:val="24"/>
      <w:szCs w:val="24"/>
    </w:rPr>
  </w:style>
  <w:style w:type="paragraph" w:styleId="830">
    <w:name w:val="索引 1"/>
    <w:basedOn w:val="766"/>
    <w:next w:val="766"/>
    <w:link w:val="766"/>
    <w:semiHidden/>
    <w:pPr>
      <w:spacing w:line="240" w:lineRule="atLeast"/>
    </w:pPr>
    <w:rPr>
      <w:rFonts w:ascii="Times New Roman" w:hAnsi="Times New Roman" w:eastAsia="宋体" w:cs="Times New Roman"/>
      <w:b/>
      <w:bCs/>
      <w:szCs w:val="21"/>
    </w:rPr>
  </w:style>
  <w:style w:type="paragraph" w:styleId="831">
    <w:name w:val="批注主题"/>
    <w:basedOn w:val="793"/>
    <w:next w:val="793"/>
    <w:link w:val="832"/>
    <w:semiHidden/>
    <w:rPr>
      <w:rFonts w:ascii="Times New Roman" w:hAnsi="Times New Roman" w:eastAsia="宋体" w:cs="Times New Roman"/>
      <w:b/>
      <w:bCs/>
      <w:szCs w:val="21"/>
    </w:rPr>
  </w:style>
  <w:style w:type="character" w:styleId="832">
    <w:name w:val="批注主题 Char"/>
    <w:next w:val="832"/>
    <w:link w:val="831"/>
    <w:semiHidden/>
    <w:rPr>
      <w:rFonts w:ascii="Times New Roman" w:hAnsi="Times New Roman" w:eastAsia="宋体" w:cs="Times New Roman"/>
      <w:b/>
      <w:bCs/>
      <w:szCs w:val="21"/>
    </w:rPr>
  </w:style>
  <w:style w:type="paragraph" w:styleId="833">
    <w:name w:val="正文首行缩进"/>
    <w:basedOn w:val="766"/>
    <w:next w:val="833"/>
    <w:link w:val="834"/>
    <w:pPr>
      <w:ind w:firstLine="200"/>
      <w:spacing w:line="360" w:lineRule="auto"/>
    </w:pPr>
    <w:rPr>
      <w:rFonts w:ascii="仿宋_GB2312" w:hAnsi="Times New Roman" w:eastAsia="仿宋_GB2312" w:cs="Times New Roman"/>
      <w:sz w:val="30"/>
      <w:szCs w:val="30"/>
    </w:rPr>
  </w:style>
  <w:style w:type="character" w:styleId="834">
    <w:name w:val="正文首行缩进 Char"/>
    <w:next w:val="834"/>
    <w:link w:val="833"/>
    <w:rPr>
      <w:rFonts w:ascii="仿宋_GB2312" w:hAnsi="Times New Roman" w:eastAsia="仿宋_GB2312" w:cs="Times New Roman"/>
      <w:sz w:val="30"/>
      <w:szCs w:val="30"/>
    </w:rPr>
  </w:style>
  <w:style w:type="paragraph" w:styleId="835">
    <w:name w:val="正文首行缩进 2"/>
    <w:basedOn w:val="799"/>
    <w:next w:val="835"/>
    <w:link w:val="836"/>
    <w:pPr>
      <w:ind w:left="0" w:firstLine="420"/>
      <w:spacing w:after="0" w:line="360" w:lineRule="auto"/>
    </w:pPr>
    <w:rPr>
      <w:rFonts w:ascii="宋体" w:hAnsi="宋体" w:eastAsia="宋体" w:cs="Times New Roman"/>
      <w:szCs w:val="20"/>
    </w:rPr>
  </w:style>
  <w:style w:type="character" w:styleId="836">
    <w:name w:val="正文首行缩进 2 Char"/>
    <w:next w:val="836"/>
    <w:link w:val="835"/>
    <w:rPr>
      <w:rFonts w:ascii="宋体" w:hAnsi="宋体" w:eastAsia="宋体" w:cs="Times New Roman"/>
      <w:szCs w:val="20"/>
    </w:rPr>
  </w:style>
  <w:style w:type="table" w:styleId="837">
    <w:name w:val="网格型"/>
    <w:basedOn w:val="777"/>
    <w:next w:val="837"/>
    <w:link w:val="766"/>
    <w:pPr>
      <w:jc w:val="both"/>
      <w:widowControl w:val="off"/>
    </w:pPr>
    <w:rPr>
      <w:rFonts w:ascii="Times New Roman" w:hAnsi="Times New Roman" w:eastAsia="宋体" w:cs="Times New Roman"/>
      <w:sz w:val="20"/>
      <w:szCs w:val="20"/>
    </w:rPr>
    <w:tblPr/>
  </w:style>
  <w:style w:type="character" w:styleId="838">
    <w:name w:val="要点"/>
    <w:next w:val="838"/>
    <w:link w:val="766"/>
    <w:qFormat/>
    <w:rPr>
      <w:b/>
      <w:bCs/>
    </w:rPr>
  </w:style>
  <w:style w:type="character" w:styleId="839">
    <w:name w:val="页码"/>
    <w:next w:val="839"/>
    <w:link w:val="766"/>
  </w:style>
  <w:style w:type="character" w:styleId="840">
    <w:name w:val="已访问的超链接"/>
    <w:next w:val="840"/>
    <w:link w:val="766"/>
    <w:rPr>
      <w:color w:val="800080"/>
      <w:u w:val="single"/>
    </w:rPr>
  </w:style>
  <w:style w:type="character" w:styleId="841">
    <w:name w:val="超链接"/>
    <w:next w:val="841"/>
    <w:link w:val="766"/>
    <w:rPr>
      <w:color w:val="0000ff"/>
      <w:u w:val="single"/>
    </w:rPr>
  </w:style>
  <w:style w:type="character" w:styleId="842">
    <w:name w:val="批注引用"/>
    <w:next w:val="842"/>
    <w:link w:val="766"/>
    <w:semiHidden/>
    <w:rPr>
      <w:sz w:val="21"/>
      <w:szCs w:val="21"/>
    </w:rPr>
  </w:style>
  <w:style w:type="character" w:styleId="843">
    <w:name w:val="font5 Char"/>
    <w:next w:val="843"/>
    <w:link w:val="766"/>
    <w:rPr>
      <w:rFonts w:ascii="宋体" w:hAnsi="宋体" w:eastAsia="宋体"/>
      <w:sz w:val="28"/>
      <w:szCs w:val="28"/>
      <w:lang w:val="en-US" w:eastAsia="zh-CN" w:bidi="ar-SA"/>
    </w:rPr>
  </w:style>
  <w:style w:type="character" w:styleId="844">
    <w:name w:val="二级目录 Char"/>
    <w:next w:val="844"/>
    <w:link w:val="845"/>
    <w:rPr>
      <w:b/>
      <w:sz w:val="30"/>
      <w:szCs w:val="28"/>
    </w:rPr>
  </w:style>
  <w:style w:type="paragraph" w:styleId="845">
    <w:name w:val="二级目录"/>
    <w:next w:val="766"/>
    <w:link w:val="844"/>
    <w:pPr>
      <w:numPr>
        <w:ilvl w:val="0"/>
        <w:numId w:val="2"/>
      </w:numPr>
      <w:tabs>
        <w:tab w:val="left" w:pos="907" w:leader="none"/>
        <w:tab w:val="left" w:pos="1145" w:leader="none"/>
      </w:tabs>
      <w:outlineLvl w:val="1"/>
    </w:pPr>
    <w:rPr>
      <w:b/>
      <w:sz w:val="30"/>
      <w:szCs w:val="28"/>
      <w:lang w:val="en-US" w:eastAsia="zh-CN" w:bidi="ar-SA"/>
    </w:rPr>
  </w:style>
  <w:style w:type="character" w:styleId="846">
    <w:name w:val="列出段落 Char,Bullet List Char,numbered Char,FooterText Char,List Paragraph1 Char,Paragraphe de liste1 Char"/>
    <w:next w:val="846"/>
    <w:link w:val="847"/>
    <w:rPr>
      <w:rFonts w:ascii="Calibri" w:hAnsi="Calibri"/>
      <w:sz w:val="24"/>
      <w:szCs w:val="24"/>
      <w:lang w:eastAsia="en-US" w:bidi="en-US"/>
    </w:rPr>
  </w:style>
  <w:style w:type="paragraph" w:styleId="847">
    <w:name w:val="列出段落1"/>
    <w:basedOn w:val="766"/>
    <w:next w:val="847"/>
    <w:link w:val="846"/>
    <w:qFormat/>
    <w:pPr>
      <w:contextualSpacing/>
      <w:ind w:left="720"/>
      <w:jc w:val="left"/>
      <w:widowControl/>
    </w:pPr>
    <w:rPr>
      <w:rFonts w:ascii="Calibri" w:hAnsi="Calibri"/>
      <w:sz w:val="24"/>
      <w:szCs w:val="24"/>
      <w:lang w:eastAsia="en-US" w:bidi="en-US"/>
    </w:rPr>
  </w:style>
  <w:style w:type="paragraph" w:styleId="848">
    <w:name w:val="Body Text(ch)"/>
    <w:basedOn w:val="766"/>
    <w:next w:val="797"/>
    <w:link w:val="766"/>
    <w:pPr>
      <w:spacing w:after="120"/>
    </w:pPr>
    <w:rPr>
      <w:rFonts w:ascii="宋体" w:hAnsi="Arial" w:eastAsia="宋体" w:cs="Times New Roman"/>
      <w:bCs/>
      <w:iCs/>
      <w:szCs w:val="24"/>
    </w:rPr>
  </w:style>
  <w:style w:type="paragraph" w:styleId="849">
    <w:name w:val="xl27"/>
    <w:basedOn w:val="766"/>
    <w:next w:val="849"/>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xl26"/>
    <w:basedOn w:val="766"/>
    <w:next w:val="850"/>
    <w:link w:val="7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1">
    <w:name w:val="Char"/>
    <w:basedOn w:val="766"/>
    <w:next w:val="851"/>
    <w:link w:val="766"/>
    <w:pPr>
      <w:ind w:firstLine="200"/>
      <w:tabs>
        <w:tab w:val="left" w:pos="360" w:leader="none"/>
      </w:tabs>
    </w:pPr>
    <w:rPr>
      <w:rFonts w:ascii="Times New Roman" w:hAnsi="Times New Roman" w:eastAsia="宋体" w:cs="Times New Roman"/>
      <w:sz w:val="28"/>
      <w:szCs w:val="30"/>
    </w:rPr>
  </w:style>
  <w:style w:type="paragraph" w:styleId="852">
    <w:name w:val=" Char"/>
    <w:basedOn w:val="791"/>
    <w:next w:val="852"/>
    <w:link w:val="766"/>
    <w:rPr>
      <w:rFonts w:ascii="Tahoma" w:hAnsi="Tahoma"/>
      <w:sz w:val="24"/>
      <w:szCs w:val="24"/>
    </w:rPr>
  </w:style>
  <w:style w:type="paragraph" w:styleId="853">
    <w:name w:val="普通正文"/>
    <w:basedOn w:val="766"/>
    <w:next w:val="853"/>
    <w:link w:val="766"/>
    <w:pPr>
      <w:ind w:firstLine="480"/>
      <w:jc w:val="left"/>
      <w:spacing w:before="120" w:after="120" w:line="360" w:lineRule="auto"/>
    </w:pPr>
    <w:rPr>
      <w:rFonts w:ascii="Arial" w:hAnsi="Arial" w:eastAsia="宋体" w:cs="Times New Roman"/>
      <w:sz w:val="24"/>
      <w:szCs w:val="24"/>
    </w:rPr>
  </w:style>
  <w:style w:type="paragraph" w:styleId="854">
    <w:name w:val="table_lines"/>
    <w:basedOn w:val="766"/>
    <w:next w:val="854"/>
    <w:link w:val="766"/>
    <w:pPr>
      <w:jc w:val="left"/>
      <w:widowControl/>
    </w:pPr>
    <w:rPr>
      <w:rFonts w:ascii="Times New Roman" w:hAnsi="Times New Roman" w:eastAsia="宋体" w:cs="Times New Roman"/>
      <w:sz w:val="20"/>
      <w:szCs w:val="20"/>
      <w:lang w:val="de-DE" w:eastAsia="de-DE"/>
    </w:rPr>
  </w:style>
  <w:style w:type="paragraph" w:styleId="855">
    <w:name w:val="附录1"/>
    <w:next w:val="855"/>
    <w:link w:val="76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6">
    <w:name w:val="font7"/>
    <w:basedOn w:val="766"/>
    <w:next w:val="856"/>
    <w:link w:val="766"/>
    <w:pPr>
      <w:jc w:val="left"/>
      <w:spacing w:before="100" w:beforeAutospacing="1" w:after="100" w:afterAutospacing="1"/>
      <w:widowControl/>
    </w:pPr>
    <w:rPr>
      <w:rFonts w:hint="eastAsia" w:ascii="宋体" w:hAnsi="宋体" w:eastAsia="宋体" w:cs="Times New Roman"/>
      <w:sz w:val="18"/>
      <w:szCs w:val="18"/>
    </w:rPr>
  </w:style>
  <w:style w:type="paragraph" w:styleId="857">
    <w:name w:val=" Char Char Char Char"/>
    <w:basedOn w:val="791"/>
    <w:next w:val="857"/>
    <w:link w:val="766"/>
    <w:pPr>
      <w:spacing w:line="360" w:lineRule="auto"/>
    </w:pPr>
    <w:rPr>
      <w:rFonts w:ascii="Tahoma" w:hAnsi="Tahoma"/>
      <w:sz w:val="24"/>
      <w:szCs w:val="24"/>
    </w:rPr>
  </w:style>
  <w:style w:type="paragraph" w:styleId="858">
    <w:name w:val="列出段落"/>
    <w:basedOn w:val="766"/>
    <w:next w:val="858"/>
    <w:link w:val="766"/>
    <w:qFormat/>
    <w:pPr>
      <w:contextualSpacing/>
      <w:ind w:left="720"/>
      <w:jc w:val="left"/>
      <w:widowControl/>
    </w:pPr>
    <w:rPr>
      <w:rFonts w:ascii="Calibri" w:hAnsi="Calibri" w:eastAsia="宋体" w:cs="Times New Roman"/>
      <w:sz w:val="24"/>
      <w:szCs w:val="24"/>
      <w:lang w:eastAsia="en-US" w:bidi="en-US"/>
    </w:rPr>
  </w:style>
  <w:style w:type="paragraph" w:styleId="859">
    <w:name w:val="4"/>
    <w:basedOn w:val="766"/>
    <w:next w:val="821"/>
    <w:link w:val="766"/>
    <w:pPr>
      <w:ind w:firstLine="420"/>
      <w:spacing w:line="360" w:lineRule="auto"/>
    </w:pPr>
    <w:rPr>
      <w:rFonts w:ascii="Times New Roman" w:hAnsi="Times New Roman" w:eastAsia="宋体" w:cs="Times New Roman"/>
      <w:color w:val="ff0000"/>
      <w:sz w:val="24"/>
      <w:szCs w:val="24"/>
    </w:rPr>
  </w:style>
  <w:style w:type="paragraph" w:styleId="860">
    <w:name w:val="普通 (Web)"/>
    <w:basedOn w:val="766"/>
    <w:next w:val="860"/>
    <w:link w:val="766"/>
    <w:pPr>
      <w:jc w:val="left"/>
      <w:spacing w:before="100" w:beforeAutospacing="1" w:after="100" w:afterAutospacing="1"/>
      <w:widowControl/>
    </w:pPr>
    <w:rPr>
      <w:rFonts w:ascii="宋体" w:hAnsi="宋体" w:eastAsia="宋体" w:cs="Times New Roman"/>
      <w:sz w:val="24"/>
      <w:szCs w:val="24"/>
    </w:rPr>
  </w:style>
  <w:style w:type="paragraph" w:styleId="861">
    <w:name w:val=" Char Char Char Char Char Char Char Char Char Char"/>
    <w:basedOn w:val="766"/>
    <w:next w:val="861"/>
    <w:link w:val="766"/>
    <w:pPr>
      <w:spacing w:line="360" w:lineRule="auto"/>
    </w:pPr>
    <w:rPr>
      <w:rFonts w:ascii="Times New Roman" w:hAnsi="Times New Roman" w:eastAsia="宋体" w:cs="Times New Roman"/>
      <w:sz w:val="24"/>
      <w:szCs w:val="20"/>
    </w:rPr>
  </w:style>
  <w:style w:type="paragraph" w:styleId="862">
    <w:name w:val="样式1"/>
    <w:basedOn w:val="766"/>
    <w:next w:val="862"/>
    <w:link w:val="766"/>
    <w:pPr>
      <w:numPr>
        <w:ilvl w:val="0"/>
        <w:numId w:val="3"/>
      </w:numPr>
      <w:tabs>
        <w:tab w:val="left" w:pos="709" w:leader="none"/>
      </w:tabs>
    </w:pPr>
    <w:rPr>
      <w:rFonts w:ascii="宋体" w:hAnsi="宋体" w:eastAsia="宋体" w:cs="Times New Roman"/>
      <w:szCs w:val="21"/>
    </w:rPr>
  </w:style>
  <w:style w:type="paragraph" w:styleId="863">
    <w:name w:val="font6"/>
    <w:basedOn w:val="766"/>
    <w:next w:val="863"/>
    <w:link w:val="766"/>
    <w:pPr>
      <w:jc w:val="left"/>
      <w:spacing w:before="100" w:beforeAutospacing="1" w:after="100" w:afterAutospacing="1"/>
      <w:widowControl/>
    </w:pPr>
    <w:rPr>
      <w:rFonts w:hint="eastAsia" w:ascii="宋体" w:hAnsi="宋体" w:eastAsia="宋体" w:cs="Times New Roman"/>
      <w:sz w:val="28"/>
      <w:szCs w:val="28"/>
      <w:u w:val="single"/>
    </w:rPr>
  </w:style>
  <w:style w:type="paragraph" w:styleId="864">
    <w:name w:val="xl25"/>
    <w:basedOn w:val="766"/>
    <w:next w:val="864"/>
    <w:link w:val="7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5">
    <w:name w:val="图标"/>
    <w:basedOn w:val="766"/>
    <w:next w:val="766"/>
    <w:link w:val="7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6">
    <w:name w:val="标题3"/>
    <w:basedOn w:val="766"/>
    <w:next w:val="766"/>
    <w:link w:val="766"/>
    <w:pPr>
      <w:ind w:firstLine="624"/>
      <w:spacing w:line="590" w:lineRule="atLeast"/>
    </w:pPr>
    <w:rPr>
      <w:rFonts w:ascii="方正黑体_GBK" w:hAnsi="Times New Roman" w:eastAsia="方正黑体_GBK" w:cs="Times New Roman"/>
      <w:sz w:val="32"/>
      <w:szCs w:val="32"/>
    </w:rPr>
  </w:style>
  <w:style w:type="paragraph" w:styleId="867">
    <w:name w:val="xl24"/>
    <w:basedOn w:val="766"/>
    <w:next w:val="867"/>
    <w:link w:val="7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8">
    <w:name w:val="xl29"/>
    <w:basedOn w:val="766"/>
    <w:next w:val="868"/>
    <w:link w:val="7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9">
    <w:name w:val="Char Char Char Char Char Char Char Char"/>
    <w:basedOn w:val="766"/>
    <w:next w:val="869"/>
    <w:link w:val="766"/>
    <w:pPr>
      <w:jc w:val="left"/>
      <w:spacing w:after="160" w:line="240" w:lineRule="exact"/>
      <w:widowControl/>
    </w:pPr>
    <w:rPr>
      <w:rFonts w:ascii="Verdana" w:hAnsi="Verdana" w:eastAsia="宋体" w:cs="Times New Roman"/>
      <w:sz w:val="20"/>
      <w:szCs w:val="20"/>
      <w:lang w:eastAsia="en-US"/>
    </w:rPr>
  </w:style>
  <w:style w:type="paragraph" w:styleId="870">
    <w:name w:val="xl28"/>
    <w:basedOn w:val="766"/>
    <w:next w:val="870"/>
    <w:link w:val="7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1">
    <w:name w:val=" Char Char Char Char Char Char Char Char"/>
    <w:basedOn w:val="766"/>
    <w:next w:val="871"/>
    <w:link w:val="766"/>
    <w:pPr>
      <w:jc w:val="left"/>
      <w:spacing w:after="160" w:line="240" w:lineRule="exact"/>
      <w:widowControl/>
    </w:pPr>
    <w:rPr>
      <w:rFonts w:ascii="Verdana" w:hAnsi="Verdana" w:eastAsia="宋体" w:cs="Times New Roman"/>
      <w:sz w:val="20"/>
      <w:szCs w:val="20"/>
      <w:lang w:eastAsia="en-US"/>
    </w:rPr>
  </w:style>
  <w:style w:type="paragraph" w:styleId="872">
    <w:name w:val="xl30"/>
    <w:basedOn w:val="766"/>
    <w:next w:val="872"/>
    <w:link w:val="766"/>
    <w:pPr>
      <w:jc w:val="center"/>
      <w:spacing w:before="100" w:beforeAutospacing="1" w:after="100" w:afterAutospacing="1"/>
      <w:widowControl/>
    </w:pPr>
    <w:rPr>
      <w:rFonts w:ascii="宋体" w:hAnsi="宋体" w:eastAsia="宋体" w:cs="Times New Roman"/>
      <w:b/>
      <w:bCs/>
      <w:sz w:val="36"/>
      <w:szCs w:val="36"/>
    </w:rPr>
  </w:style>
  <w:style w:type="paragraph" w:styleId="873">
    <w:name w:val="Char Char Char Char"/>
    <w:basedOn w:val="791"/>
    <w:next w:val="873"/>
    <w:link w:val="766"/>
    <w:pPr>
      <w:spacing w:line="360" w:lineRule="auto"/>
    </w:pPr>
    <w:rPr>
      <w:rFonts w:ascii="Tahoma" w:hAnsi="Tahoma"/>
      <w:sz w:val="24"/>
      <w:szCs w:val="24"/>
    </w:rPr>
  </w:style>
  <w:style w:type="paragraph" w:styleId="874">
    <w:name w:val="table_1stline"/>
    <w:basedOn w:val="766"/>
    <w:next w:val="874"/>
    <w:link w:val="766"/>
    <w:pPr>
      <w:jc w:val="left"/>
      <w:spacing w:before="120"/>
      <w:widowControl/>
    </w:pPr>
    <w:rPr>
      <w:rFonts w:ascii="Times New Roman" w:hAnsi="Times New Roman" w:eastAsia="宋体" w:cs="Times New Roman"/>
      <w:bCs/>
      <w:sz w:val="20"/>
      <w:szCs w:val="20"/>
      <w:lang w:val="de-DE" w:eastAsia="de-DE"/>
    </w:rPr>
  </w:style>
  <w:style w:type="paragraph" w:styleId="875">
    <w:name w:val="font5"/>
    <w:basedOn w:val="766"/>
    <w:next w:val="875"/>
    <w:link w:val="766"/>
    <w:pPr>
      <w:jc w:val="left"/>
      <w:spacing w:before="100" w:beforeAutospacing="1" w:after="100" w:afterAutospacing="1"/>
      <w:widowControl/>
    </w:pPr>
    <w:rPr>
      <w:rFonts w:hint="eastAsia" w:ascii="宋体" w:hAnsi="宋体" w:eastAsia="宋体" w:cs="Times New Roman"/>
      <w:sz w:val="28"/>
      <w:szCs w:val="28"/>
    </w:rPr>
  </w:style>
  <w:style w:type="paragraph" w:styleId="876">
    <w:name w:val="标题1"/>
    <w:basedOn w:val="766"/>
    <w:next w:val="766"/>
    <w:link w:val="7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7">
    <w:name w:val="修订"/>
    <w:next w:val="877"/>
    <w:link w:val="766"/>
    <w:uiPriority w:val="99"/>
    <w:semiHidden/>
    <w:rPr>
      <w:rFonts w:ascii="Times New Roman" w:hAnsi="Times New Roman"/>
      <w:sz w:val="21"/>
      <w:szCs w:val="21"/>
      <w:lang w:val="en-US" w:eastAsia="zh-CN" w:bidi="ar-SA"/>
    </w:rPr>
  </w:style>
  <w:style w:type="paragraph" w:styleId="878">
    <w:name w:val="无间隔"/>
    <w:next w:val="878"/>
    <w:link w:val="766"/>
    <w:uiPriority w:val="99"/>
    <w:qFormat/>
    <w:pPr>
      <w:jc w:val="both"/>
      <w:widowControl w:val="off"/>
    </w:pPr>
    <w:rPr>
      <w:rFonts w:ascii="Times New Roman" w:hAnsi="Times New Roman"/>
      <w:sz w:val="21"/>
      <w:szCs w:val="21"/>
      <w:lang w:val="en-US" w:eastAsia="zh-CN" w:bidi="ar-SA"/>
    </w:rPr>
  </w:style>
  <w:style w:type="paragraph" w:styleId="879">
    <w:name w:val="Table Paragraph"/>
    <w:basedOn w:val="766"/>
    <w:next w:val="879"/>
    <w:link w:val="766"/>
    <w:uiPriority w:val="1"/>
    <w:qFormat/>
    <w:rPr>
      <w:rFonts w:ascii="宋体" w:hAnsi="宋体" w:eastAsia="宋体" w:cs="宋体"/>
      <w:lang w:val="zh-CN" w:bidi="zh-CN"/>
    </w:rPr>
  </w:style>
  <w:style w:type="paragraph" w:styleId="880">
    <w:name w:val="List Paragraph"/>
    <w:basedOn w:val="766"/>
    <w:next w:val="880"/>
    <w:link w:val="766"/>
    <w:uiPriority w:val="34"/>
    <w:qFormat/>
    <w:pPr>
      <w:ind w:firstLine="420"/>
    </w:pPr>
  </w:style>
  <w:style w:type="character" w:styleId="881">
    <w:name w:val="font71"/>
    <w:next w:val="881"/>
    <w:link w:val="766"/>
    <w:qFormat/>
    <w:rPr>
      <w:rFonts w:hint="eastAsia" w:ascii="宋体" w:hAnsi="宋体" w:eastAsia="宋体" w:cs="宋体"/>
      <w:color w:val="ff0000"/>
      <w:sz w:val="21"/>
      <w:szCs w:val="21"/>
      <w:u w:val="none"/>
    </w:rPr>
  </w:style>
  <w:style w:type="character" w:styleId="882">
    <w:name w:val="font21"/>
    <w:next w:val="882"/>
    <w:link w:val="766"/>
    <w:qFormat/>
    <w:rPr>
      <w:rFonts w:hint="eastAsia" w:ascii="宋体" w:hAnsi="宋体" w:eastAsia="宋体" w:cs="宋体"/>
      <w:color w:val="000000"/>
      <w:sz w:val="22"/>
      <w:szCs w:val="22"/>
      <w:u w:val="none"/>
    </w:rPr>
  </w:style>
  <w:style w:type="character" w:styleId="883">
    <w:name w:val="font31"/>
    <w:next w:val="883"/>
    <w:link w:val="766"/>
    <w:qFormat/>
    <w:rPr>
      <w:rFonts w:hint="eastAsia" w:ascii="宋体" w:hAnsi="宋体" w:eastAsia="宋体" w:cs="宋体"/>
      <w:color w:val="000000"/>
      <w:sz w:val="21"/>
      <w:szCs w:val="21"/>
      <w:u w:val="none"/>
    </w:rPr>
  </w:style>
  <w:style w:type="character" w:styleId="884">
    <w:name w:val="NormalCharacter1"/>
    <w:next w:val="884"/>
    <w:link w:val="766"/>
    <w:semiHidden/>
    <w:qFormat/>
    <w:rPr>
      <w:rFonts w:ascii="Arial" w:hAnsi="Arial" w:eastAsia="Arial" w:cs="Arial"/>
      <w:color w:val="000000"/>
      <w:sz w:val="21"/>
      <w:szCs w:val="21"/>
    </w:rPr>
  </w:style>
  <w:style w:type="character" w:styleId="16275" w:default="1">
    <w:name w:val="Default Paragraph Font"/>
    <w:uiPriority w:val="1"/>
    <w:semiHidden/>
    <w:unhideWhenUsed/>
  </w:style>
  <w:style w:type="numbering" w:styleId="16276" w:default="1">
    <w:name w:val="No List"/>
    <w:uiPriority w:val="99"/>
    <w:semiHidden/>
    <w:unhideWhenUsed/>
  </w:style>
  <w:style w:type="table" w:styleId="16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3</cp:revision>
  <dcterms:created xsi:type="dcterms:W3CDTF">2023-03-16T02:13:00Z</dcterms:created>
  <dcterms:modified xsi:type="dcterms:W3CDTF">2026-05-27T07:22:48Z</dcterms:modified>
</cp:coreProperties>
</file>