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1"/>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t xml:space="preserve"> </w:t>
      </w:r>
      <w:r>
        <w:rPr>
          <w:rFonts w:hint="eastAsia" w:ascii="CESI黑体-GB2312" w:hAnsi="CESI黑体-GB2312" w:eastAsia="CESI黑体-GB2312" w:cs="CESI黑体-GB2312"/>
          <w:color w:val="000000"/>
          <w:sz w:val="32"/>
          <w:szCs w:val="32"/>
          <w:highlight w:val="none"/>
        </w:rPr>
      </w:r>
      <w:r/>
    </w:p>
    <w:p>
      <w:pPr>
        <w:pStyle w:val="1041"/>
        <w:ind w:firstLine="300"/>
        <w:spacing w:line="360" w:lineRule="auto"/>
        <w:rPr>
          <w:color w:val="000000"/>
          <w:sz w:val="60"/>
          <w:szCs w:val="60"/>
          <w:highlight w:val="none"/>
        </w:rPr>
      </w:pPr>
      <w:r>
        <w:rPr>
          <w:color w:val="000000"/>
          <w:sz w:val="60"/>
          <w:szCs w:val="60"/>
          <w:highlight w:val="none"/>
        </w:rPr>
      </w:r>
      <w:r/>
    </w:p>
    <w:p>
      <w:pPr>
        <w:pStyle w:val="1041"/>
        <w:jc w:val="center"/>
        <w:rPr>
          <w:rFonts w:hint="eastAsia"/>
          <w:b/>
          <w:bCs/>
          <w:color w:val="000000"/>
          <w:sz w:val="60"/>
          <w:szCs w:val="60"/>
          <w:highlight w:val="none"/>
        </w:rPr>
      </w:pPr>
      <w:r>
        <w:rPr>
          <w:rFonts w:hint="eastAsia"/>
          <w:b/>
          <w:bCs/>
          <w:color w:val="000000"/>
          <w:sz w:val="60"/>
          <w:szCs w:val="60"/>
          <w:highlight w:val="none"/>
        </w:rPr>
        <w:t xml:space="preserve">常州机电职业技术学院善学楼（东教学楼）升级改造项目</w:t>
      </w:r>
      <w:r>
        <w:rPr>
          <w:rFonts w:hint="eastAsia"/>
          <w:b/>
          <w:bCs/>
          <w:color w:val="000000"/>
          <w:sz w:val="60"/>
          <w:szCs w:val="60"/>
          <w:highlight w:val="none"/>
        </w:rPr>
      </w:r>
      <w:r/>
    </w:p>
    <w:p>
      <w:pPr>
        <w:pStyle w:val="1041"/>
        <w:jc w:val="center"/>
        <w:rPr>
          <w:b/>
          <w:bCs/>
          <w:color w:val="000000"/>
          <w:sz w:val="60"/>
          <w:szCs w:val="60"/>
          <w:highlight w:val="none"/>
        </w:rPr>
      </w:pPr>
      <w:r>
        <w:rPr>
          <w:b/>
          <w:bCs/>
          <w:color w:val="000000"/>
          <w:sz w:val="60"/>
          <w:szCs w:val="60"/>
          <w:highlight w:val="none"/>
        </w:rPr>
        <w:t xml:space="preserve">竞争性磋商文件</w:t>
      </w:r>
      <w:r>
        <w:rPr>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1041"/>
        <w:ind w:left="2832" w:hanging="1900"/>
        <w:jc w:val="left"/>
        <w:spacing w:line="360" w:lineRule="auto"/>
        <w:tabs>
          <w:tab w:val="left" w:pos="5609" w:leader="none"/>
        </w:tabs>
        <w:rPr>
          <w:rFonts w:hint="eastAsia"/>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rPr>
        <w:t xml:space="preserve">常州机电职业技术学院善学楼（东教学楼）升级改造项目</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JSZC-320400-QGZB-C2026-0001</w:t>
      </w:r>
      <w:r>
        <w:rPr>
          <w:rFonts w:hint="eastAsia" w:eastAsia="宋体"/>
          <w:bCs/>
          <w:color w:val="000000"/>
          <w:sz w:val="36"/>
          <w:szCs w:val="36"/>
          <w:highlight w:val="none"/>
          <w:lang w:eastAsia="zh-CN"/>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bCs/>
          <w:color w:val="000000"/>
          <w:sz w:val="36"/>
          <w:szCs w:val="36"/>
          <w:highlight w:val="none"/>
        </w:rPr>
        <w:t xml:space="preserve">采 购 人：</w:t>
      </w:r>
      <w:r>
        <w:rPr>
          <w:rFonts w:hint="eastAsia"/>
          <w:bCs/>
          <w:color w:val="000000"/>
          <w:sz w:val="36"/>
          <w:szCs w:val="36"/>
          <w:highlight w:val="none"/>
        </w:rPr>
        <w:t xml:space="preserve">常州机电职业技术学院</w:t>
      </w:r>
      <w:r>
        <w:rPr>
          <w:rFonts w:hint="eastAsia"/>
          <w:bCs/>
          <w:color w:val="000000"/>
          <w:sz w:val="36"/>
          <w:szCs w:val="36"/>
          <w:highlight w:val="none"/>
        </w:rPr>
      </w:r>
      <w:r/>
    </w:p>
    <w:p>
      <w:pPr>
        <w:pStyle w:val="1041"/>
        <w:ind w:left="2832" w:hanging="1900"/>
        <w:jc w:val="left"/>
        <w:spacing w:line="360" w:lineRule="auto"/>
        <w:tabs>
          <w:tab w:val="left" w:pos="3240" w:leader="none"/>
          <w:tab w:val="left" w:pos="3420" w:leader="none"/>
        </w:tabs>
        <w:rPr>
          <w:rFonts w:hint="eastAsia"/>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rPr>
        <w:t xml:space="preserve">常州青果招投标有限公司</w:t>
      </w:r>
      <w:r>
        <w:rPr>
          <w:rFonts w:hint="eastAsia"/>
          <w:bCs/>
          <w:color w:val="000000"/>
          <w:sz w:val="36"/>
          <w:szCs w:val="36"/>
          <w:highlight w:val="none"/>
        </w:rPr>
      </w:r>
      <w:r/>
    </w:p>
    <w:p>
      <w:pPr>
        <w:pStyle w:val="1041"/>
        <w:ind w:left="2833" w:hanging="1901"/>
        <w:jc w:val="center"/>
        <w:spacing w:line="360" w:lineRule="auto"/>
        <w:tabs>
          <w:tab w:val="left" w:pos="3240" w:leader="none"/>
          <w:tab w:val="left" w:pos="3420" w:leader="none"/>
        </w:tabs>
        <w:rPr>
          <w:rFonts w:hint="eastAsia" w:ascii="宋体" w:hAnsi="宋体" w:cs="宋体"/>
          <w:bCs/>
          <w:color w:val="000000"/>
          <w:sz w:val="36"/>
          <w:szCs w:val="36"/>
          <w:highlight w:val="none"/>
        </w:rPr>
      </w:pPr>
      <w:r>
        <w:rPr>
          <w:rFonts w:hint="eastAsia" w:ascii="宋体" w:hAnsi="宋体" w:cs="宋体"/>
          <w:b/>
          <w:bCs/>
          <w:color w:val="000000"/>
          <w:sz w:val="36"/>
          <w:szCs w:val="36"/>
          <w:highlight w:val="none"/>
        </w:rPr>
        <w:t xml:space="preserve">二零二六</w:t>
      </w:r>
      <w:r>
        <w:rPr>
          <w:rFonts w:hint="eastAsia" w:ascii="宋体" w:hAnsi="宋体" w:cs="宋体"/>
          <w:b/>
          <w:bCs/>
          <w:color w:val="000000"/>
          <w:sz w:val="36"/>
          <w:szCs w:val="36"/>
          <w:highlight w:val="none"/>
          <w:lang w:val="zh-CN"/>
        </w:rPr>
        <w:t xml:space="preserve">年</w:t>
      </w:r>
      <w:r>
        <w:rPr>
          <w:rFonts w:hint="eastAsia" w:ascii="宋体" w:hAnsi="宋体" w:cs="宋体"/>
          <w:b/>
          <w:bCs/>
          <w:color w:val="000000"/>
          <w:sz w:val="36"/>
          <w:szCs w:val="36"/>
          <w:highlight w:val="none"/>
        </w:rPr>
        <w:t xml:space="preserve">五</w:t>
      </w:r>
      <w:r>
        <w:rPr>
          <w:rFonts w:hint="eastAsia" w:ascii="宋体" w:hAnsi="宋体" w:cs="宋体"/>
          <w:b/>
          <w:bCs/>
          <w:color w:val="000000"/>
          <w:sz w:val="36"/>
          <w:szCs w:val="36"/>
          <w:highlight w:val="none"/>
          <w:lang w:val="zh-CN"/>
        </w:rPr>
        <w:t xml:space="preserve">月</w:t>
      </w:r>
      <w:r>
        <w:rPr>
          <w:rFonts w:hint="eastAsia" w:ascii="宋体" w:hAnsi="宋体" w:cs="宋体"/>
          <w:bCs/>
          <w:color w:val="000000"/>
          <w:sz w:val="36"/>
          <w:szCs w:val="36"/>
          <w:highlight w:val="none"/>
        </w:rPr>
      </w:r>
      <w:r/>
    </w:p>
    <w:p>
      <w:pPr>
        <w:pStyle w:val="1041"/>
        <w:jc w:val="center"/>
        <w:spacing w:before="100" w:after="240" w:line="500" w:lineRule="exact"/>
        <w:rPr>
          <w:b/>
          <w:bCs/>
          <w:color w:val="000000"/>
          <w:sz w:val="44"/>
          <w:highlight w:val="none"/>
        </w:rPr>
      </w:pPr>
      <w:r>
        <w:rPr>
          <w:b/>
          <w:bCs/>
          <w:color w:val="000000"/>
          <w:sz w:val="44"/>
          <w:highlight w:val="none"/>
        </w:rPr>
        <w:br w:type="page" w:clear="all"/>
      </w:r>
      <w:bookmarkStart w:id="0" w:name="_Toc104818924"/>
      <w:r>
        <w:rPr>
          <w:b/>
          <w:bCs/>
          <w:color w:val="000000"/>
          <w:sz w:val="44"/>
          <w:highlight w:val="none"/>
        </w:rPr>
      </w:r>
      <w:r/>
    </w:p>
    <w:p>
      <w:pPr>
        <w:pStyle w:val="1041"/>
        <w:jc w:val="center"/>
        <w:spacing w:before="100" w:after="240" w:line="50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bookmarkEnd w:id="0"/>
      <w:r>
        <w:rPr>
          <w:rFonts w:hint="eastAsia" w:ascii="宋体" w:hAnsi="宋体" w:cs="宋体"/>
          <w:b/>
          <w:color w:val="000000"/>
          <w:sz w:val="44"/>
          <w:szCs w:val="44"/>
          <w:highlight w:val="none"/>
        </w:rPr>
      </w:r>
      <w:r/>
    </w:p>
    <w:p>
      <w:pPr>
        <w:pStyle w:val="1041"/>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094"/>
        <w:tabs>
          <w:tab w:val="right" w:pos="9747" w:leader="dot"/>
        </w:tabs>
        <w:rPr>
          <w:color w:val="000000"/>
          <w:highlight w:val="none"/>
        </w:rPr>
      </w:pPr>
      <w:r>
        <w:rPr>
          <w:rStyle w:val="1118"/>
          <w:rFonts w:hint="eastAsia" w:cs="宋体"/>
          <w:color w:val="000000"/>
          <w:sz w:val="32"/>
          <w:szCs w:val="32"/>
          <w:highlight w:val="none"/>
        </w:rPr>
        <w:fldChar w:fldCharType="begin"/>
      </w:r>
      <w:r>
        <w:rPr>
          <w:rStyle w:val="1118"/>
          <w:rFonts w:hint="eastAsia" w:cs="宋体"/>
          <w:color w:val="000000"/>
          <w:sz w:val="32"/>
          <w:szCs w:val="32"/>
          <w:highlight w:val="none"/>
        </w:rPr>
        <w:instrText xml:space="preserve">TOC \o "1-1" \h \u </w:instrText>
      </w:r>
      <w:r>
        <w:rPr>
          <w:rStyle w:val="1118"/>
          <w:rFonts w:hint="eastAsia" w:cs="宋体"/>
          <w:color w:val="000000"/>
          <w:sz w:val="32"/>
          <w:szCs w:val="32"/>
          <w:highlight w:val="none"/>
        </w:rPr>
        <w:fldChar w:fldCharType="separate"/>
      </w:r>
      <w:r>
        <w:rPr>
          <w:rFonts w:hint="eastAsia" w:cs="宋体"/>
          <w:color w:val="000000"/>
          <w:szCs w:val="32"/>
          <w:highlight w:val="none"/>
        </w:rPr>
        <w:fldChar w:fldCharType="begin"/>
      </w:r>
      <w:r>
        <w:rPr>
          <w:rFonts w:hint="eastAsia" w:cs="宋体"/>
          <w:color w:val="000000"/>
          <w:szCs w:val="32"/>
          <w:highlight w:val="none"/>
        </w:rPr>
        <w:instrText xml:space="preserve"> HYPERLINK \l _Toc23887 </w:instrText>
      </w:r>
      <w:r>
        <w:rPr>
          <w:rFonts w:hint="eastAsia" w:cs="宋体"/>
          <w:color w:val="000000"/>
          <w:szCs w:val="32"/>
          <w:highlight w:val="none"/>
        </w:rPr>
        <w:fldChar w:fldCharType="separate"/>
      </w:r>
      <w:r>
        <w:rPr>
          <w:color w:val="000000"/>
          <w:szCs w:val="36"/>
          <w:highlight w:val="none"/>
        </w:rPr>
        <w:t xml:space="preserve">第一章   采购邀请</w:t>
      </w:r>
      <w:r>
        <w:rPr>
          <w:color w:val="000000"/>
          <w:highlight w:val="none"/>
        </w:rPr>
        <w:tab/>
      </w:r>
      <w:r>
        <w:rPr>
          <w:color w:val="000000"/>
          <w:highlight w:val="none"/>
        </w:rPr>
        <w:fldChar w:fldCharType="begin"/>
      </w:r>
      <w:r>
        <w:rPr>
          <w:color w:val="000000"/>
          <w:highlight w:val="none"/>
        </w:rPr>
        <w:instrText xml:space="preserve"> PAGEREF _Toc23887 \h </w:instrText>
      </w:r>
      <w:r>
        <w:rPr>
          <w:color w:val="000000"/>
          <w:highlight w:val="none"/>
        </w:rPr>
        <w:fldChar w:fldCharType="separate"/>
      </w:r>
      <w:r>
        <w:rPr>
          <w:color w:val="000000"/>
          <w:highlight w:val="none"/>
        </w:rPr>
        <w:t xml:space="preserve">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_Toc29824 </w:instrText>
      </w:r>
      <w:r>
        <w:rPr>
          <w:rFonts w:hint="eastAsia" w:cs="宋体"/>
          <w:color w:val="000000"/>
          <w:szCs w:val="32"/>
          <w:highlight w:val="none"/>
        </w:rPr>
        <w:fldChar w:fldCharType="separate"/>
      </w:r>
      <w:r>
        <w:rPr>
          <w:color w:val="000000"/>
          <w:szCs w:val="36"/>
          <w:highlight w:val="none"/>
        </w:rPr>
        <w:t xml:space="preserve">第二章   供应商须知</w:t>
      </w:r>
      <w:r>
        <w:rPr>
          <w:color w:val="000000"/>
          <w:highlight w:val="none"/>
        </w:rPr>
        <w:tab/>
      </w:r>
      <w:r>
        <w:rPr>
          <w:color w:val="000000"/>
          <w:highlight w:val="none"/>
        </w:rPr>
        <w:fldChar w:fldCharType="begin"/>
      </w:r>
      <w:r>
        <w:rPr>
          <w:color w:val="000000"/>
          <w:highlight w:val="none"/>
        </w:rPr>
        <w:instrText xml:space="preserve"> PAGEREF _Toc29824 \h </w:instrText>
      </w:r>
      <w:r>
        <w:rPr>
          <w:color w:val="000000"/>
          <w:highlight w:val="none"/>
        </w:rPr>
        <w:fldChar w:fldCharType="separate"/>
      </w:r>
      <w:r>
        <w:rPr>
          <w:color w:val="000000"/>
          <w:highlight w:val="none"/>
        </w:rPr>
        <w:t xml:space="preserve">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_Toc25458 </w:instrText>
      </w:r>
      <w:r>
        <w:rPr>
          <w:rFonts w:hint="eastAsia" w:cs="宋体"/>
          <w:color w:val="000000"/>
          <w:szCs w:val="32"/>
          <w:highlight w:val="none"/>
        </w:rPr>
        <w:fldChar w:fldCharType="separate"/>
      </w:r>
      <w:r>
        <w:rPr>
          <w:color w:val="000000"/>
          <w:szCs w:val="36"/>
          <w:highlight w:val="none"/>
        </w:rPr>
        <w:t xml:space="preserve">第三章   评审</w:t>
      </w:r>
      <w:r>
        <w:rPr>
          <w:rFonts w:hint="eastAsia"/>
          <w:color w:val="000000"/>
          <w:szCs w:val="36"/>
          <w:highlight w:val="none"/>
        </w:rPr>
        <w:t xml:space="preserve">程序、评审</w:t>
      </w:r>
      <w:r>
        <w:rPr>
          <w:color w:val="000000"/>
          <w:szCs w:val="36"/>
          <w:highlight w:val="none"/>
        </w:rPr>
        <w:t xml:space="preserve">方法和评审标准</w:t>
      </w:r>
      <w:r>
        <w:rPr>
          <w:color w:val="000000"/>
          <w:highlight w:val="none"/>
        </w:rPr>
        <w:tab/>
      </w:r>
      <w:r>
        <w:rPr>
          <w:color w:val="000000"/>
          <w:highlight w:val="none"/>
        </w:rPr>
        <w:fldChar w:fldCharType="begin"/>
      </w:r>
      <w:r>
        <w:rPr>
          <w:color w:val="000000"/>
          <w:highlight w:val="none"/>
        </w:rPr>
        <w:instrText xml:space="preserve"> PAGEREF _Toc25458 \h </w:instrText>
      </w:r>
      <w:r>
        <w:rPr>
          <w:color w:val="000000"/>
          <w:highlight w:val="none"/>
        </w:rPr>
        <w:fldChar w:fldCharType="separate"/>
      </w:r>
      <w:r>
        <w:rPr>
          <w:color w:val="000000"/>
          <w:highlight w:val="none"/>
        </w:rPr>
        <w:t xml:space="preserve">20</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_Toc1661 </w:instrText>
      </w:r>
      <w:r>
        <w:rPr>
          <w:rFonts w:hint="eastAsia" w:cs="宋体"/>
          <w:color w:val="000000"/>
          <w:szCs w:val="32"/>
          <w:highlight w:val="none"/>
        </w:rPr>
        <w:fldChar w:fldCharType="separate"/>
      </w:r>
      <w:r>
        <w:rPr>
          <w:color w:val="000000"/>
          <w:szCs w:val="36"/>
          <w:highlight w:val="none"/>
        </w:rPr>
        <w:t xml:space="preserve">第四章   采购需求</w:t>
      </w:r>
      <w:r>
        <w:rPr>
          <w:color w:val="000000"/>
          <w:highlight w:val="none"/>
        </w:rPr>
        <w:tab/>
      </w:r>
      <w:r>
        <w:rPr>
          <w:color w:val="000000"/>
          <w:highlight w:val="none"/>
        </w:rPr>
        <w:fldChar w:fldCharType="begin"/>
      </w:r>
      <w:r>
        <w:rPr>
          <w:color w:val="000000"/>
          <w:highlight w:val="none"/>
        </w:rPr>
        <w:instrText xml:space="preserve"> PAGEREF _Toc1661 \h </w:instrText>
      </w:r>
      <w:r>
        <w:rPr>
          <w:color w:val="000000"/>
          <w:highlight w:val="none"/>
        </w:rPr>
        <w:fldChar w:fldCharType="separate"/>
      </w:r>
      <w:r>
        <w:rPr>
          <w:color w:val="000000"/>
          <w:highlight w:val="none"/>
        </w:rPr>
        <w:t xml:space="preserve">31</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_Toc25957 </w:instrText>
      </w:r>
      <w:r>
        <w:rPr>
          <w:rFonts w:hint="eastAsia" w:cs="宋体"/>
          <w:color w:val="000000"/>
          <w:szCs w:val="32"/>
          <w:highlight w:val="none"/>
        </w:rPr>
        <w:fldChar w:fldCharType="separate"/>
      </w:r>
      <w:r>
        <w:rPr>
          <w:color w:val="000000"/>
          <w:szCs w:val="36"/>
          <w:highlight w:val="none"/>
        </w:rPr>
        <w:t xml:space="preserve">第五章   合同草案条款</w:t>
      </w:r>
      <w:r>
        <w:rPr>
          <w:color w:val="000000"/>
          <w:highlight w:val="none"/>
        </w:rPr>
        <w:tab/>
      </w:r>
      <w:r>
        <w:rPr>
          <w:color w:val="000000"/>
          <w:highlight w:val="none"/>
        </w:rPr>
        <w:fldChar w:fldCharType="begin"/>
      </w:r>
      <w:r>
        <w:rPr>
          <w:color w:val="000000"/>
          <w:highlight w:val="none"/>
        </w:rPr>
        <w:instrText xml:space="preserve"> PAGEREF _Toc25957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_Toc27008 </w:instrText>
      </w:r>
      <w:r>
        <w:rPr>
          <w:rFonts w:hint="eastAsia" w:cs="宋体"/>
          <w:color w:val="000000"/>
          <w:szCs w:val="32"/>
          <w:highlight w:val="none"/>
        </w:rPr>
        <w:fldChar w:fldCharType="separate"/>
      </w:r>
      <w:r>
        <w:rPr>
          <w:rFonts w:hint="eastAsia" w:cs="宋体"/>
          <w:color w:val="000000"/>
          <w:szCs w:val="36"/>
          <w:highlight w:val="none"/>
          <w:lang w:bidi="ar"/>
        </w:rPr>
        <w:t xml:space="preserve">施 工 合 同</w:t>
      </w:r>
      <w:r>
        <w:rPr>
          <w:color w:val="000000"/>
          <w:highlight w:val="none"/>
        </w:rPr>
        <w:tab/>
      </w:r>
      <w:r>
        <w:rPr>
          <w:color w:val="000000"/>
          <w:highlight w:val="none"/>
        </w:rPr>
        <w:fldChar w:fldCharType="begin"/>
      </w:r>
      <w:r>
        <w:rPr>
          <w:color w:val="000000"/>
          <w:highlight w:val="none"/>
        </w:rPr>
        <w:instrText xml:space="preserve"> PAGEREF _Toc27008 \h </w:instrText>
      </w:r>
      <w:r>
        <w:rPr>
          <w:color w:val="000000"/>
          <w:highlight w:val="none"/>
        </w:rPr>
        <w:fldChar w:fldCharType="separate"/>
      </w:r>
      <w:r>
        <w:rPr>
          <w:color w:val="000000"/>
          <w:highlight w:val="none"/>
        </w:rPr>
        <w:t xml:space="preserve">36</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tabs>
          <w:tab w:val="right" w:pos="9747" w:leader="dot"/>
        </w:tabs>
        <w:rPr>
          <w:color w:val="000000"/>
          <w:highlight w:val="none"/>
        </w:rPr>
      </w:pPr>
      <w:r>
        <w:rPr>
          <w:rFonts w:hint="eastAsia" w:cs="宋体"/>
          <w:color w:val="000000"/>
          <w:szCs w:val="32"/>
          <w:highlight w:val="none"/>
        </w:rPr>
        <w:fldChar w:fldCharType="begin"/>
      </w:r>
      <w:r>
        <w:rPr>
          <w:rFonts w:hint="eastAsia" w:cs="宋体"/>
          <w:color w:val="000000"/>
          <w:szCs w:val="32"/>
          <w:highlight w:val="none"/>
        </w:rPr>
        <w:instrText xml:space="preserve"> HYPERLINK \l _Toc20453 </w:instrText>
      </w:r>
      <w:r>
        <w:rPr>
          <w:rFonts w:hint="eastAsia" w:cs="宋体"/>
          <w:color w:val="000000"/>
          <w:szCs w:val="32"/>
          <w:highlight w:val="none"/>
        </w:rPr>
        <w:fldChar w:fldCharType="separate"/>
      </w:r>
      <w:r>
        <w:rPr>
          <w:color w:val="000000"/>
          <w:szCs w:val="36"/>
          <w:highlight w:val="none"/>
        </w:rPr>
        <w:t xml:space="preserve">第六章   响应文件格式</w:t>
      </w:r>
      <w:r>
        <w:rPr>
          <w:color w:val="000000"/>
          <w:highlight w:val="none"/>
        </w:rPr>
        <w:tab/>
      </w:r>
      <w:r>
        <w:rPr>
          <w:color w:val="000000"/>
          <w:highlight w:val="none"/>
        </w:rPr>
        <w:fldChar w:fldCharType="begin"/>
      </w:r>
      <w:r>
        <w:rPr>
          <w:color w:val="000000"/>
          <w:highlight w:val="none"/>
        </w:rPr>
        <w:instrText xml:space="preserve"> PAGEREF _Toc20453 \h </w:instrText>
      </w:r>
      <w:r>
        <w:rPr>
          <w:color w:val="000000"/>
          <w:highlight w:val="none"/>
        </w:rPr>
        <w:fldChar w:fldCharType="separate"/>
      </w:r>
      <w:r>
        <w:rPr>
          <w:color w:val="000000"/>
          <w:highlight w:val="none"/>
        </w:rPr>
        <w:t xml:space="preserve">55</w:t>
      </w:r>
      <w:r>
        <w:rPr>
          <w:color w:val="000000"/>
          <w:highlight w:val="none"/>
        </w:rPr>
        <w:fldChar w:fldCharType="end"/>
      </w:r>
      <w:r>
        <w:rPr>
          <w:rFonts w:hint="eastAsia" w:cs="宋体"/>
          <w:color w:val="000000"/>
          <w:szCs w:val="32"/>
          <w:highlight w:val="none"/>
        </w:rPr>
        <w:fldChar w:fldCharType="end"/>
      </w:r>
      <w:r>
        <w:rPr>
          <w:color w:val="000000"/>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Style w:val="1118"/>
          <w:rFonts w:hint="eastAsia" w:cs="宋体"/>
          <w:color w:val="000000"/>
          <w:sz w:val="32"/>
          <w:szCs w:val="32"/>
          <w:highlight w:val="none"/>
        </w:rPr>
        <w:fldChar w:fldCharType="end"/>
      </w:r>
      <w:r>
        <w:rPr>
          <w:rFonts w:hint="eastAsia" w:cs="宋体"/>
          <w:b w:val="0"/>
          <w:color w:val="000000"/>
          <w:sz w:val="32"/>
          <w:szCs w:val="32"/>
          <w:highlight w:val="none"/>
        </w:rPr>
      </w:r>
      <w:r/>
    </w:p>
    <w:p>
      <w:pPr>
        <w:pStyle w:val="1094"/>
        <w:spacing w:line="360" w:lineRule="auto"/>
        <w:tabs>
          <w:tab w:val="left" w:pos="1050" w:leader="none"/>
          <w:tab w:val="right" w:pos="8937" w:leader="dot"/>
        </w:tabs>
        <w:rPr>
          <w:rFonts w:hint="eastAsia" w:cs="宋体"/>
          <w:b w:val="0"/>
          <w:color w:val="000000"/>
          <w:sz w:val="32"/>
          <w:szCs w:val="32"/>
          <w:highlight w:val="none"/>
        </w:rPr>
      </w:pPr>
      <w:r>
        <w:rPr>
          <w:rFonts w:hint="eastAsia" w:cs="宋体"/>
          <w:b w:val="0"/>
          <w:color w:val="000000"/>
          <w:sz w:val="32"/>
          <w:szCs w:val="32"/>
          <w:highlight w:val="none"/>
        </w:rPr>
      </w:r>
      <w:r/>
    </w:p>
    <w:p>
      <w:pPr>
        <w:pStyle w:val="1041"/>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bookmarkStart w:id="1" w:name="_Toc25181"/>
      <w:r/>
      <w:bookmarkStart w:id="2" w:name="_Toc104818925"/>
      <w:r/>
      <w:bookmarkStart w:id="3" w:name="_Toc24584"/>
      <w:r/>
      <w:bookmarkStart w:id="4" w:name="_Toc8614"/>
      <w:r/>
      <w:bookmarkStart w:id="5" w:name="_Toc23887"/>
      <w:r>
        <w:rPr>
          <w:b/>
          <w:color w:val="000000"/>
          <w:sz w:val="36"/>
          <w:szCs w:val="36"/>
          <w:highlight w:val="none"/>
        </w:rPr>
        <w:t xml:space="preserve">第一章   采购邀请</w:t>
      </w:r>
      <w:bookmarkEnd w:id="1"/>
      <w:r/>
      <w:bookmarkEnd w:id="2"/>
      <w:r/>
      <w:bookmarkEnd w:id="3"/>
      <w:r/>
      <w:bookmarkEnd w:id="4"/>
      <w:r/>
      <w:bookmarkEnd w:id="5"/>
      <w:r/>
      <w:bookmarkStart w:id="6" w:name="_Toc35393790"/>
      <w:r/>
      <w:bookmarkStart w:id="7" w:name="_Toc28359002"/>
      <w:r/>
      <w:bookmarkStart w:id="8" w:name="_Toc28359079"/>
      <w:r/>
      <w:bookmarkStart w:id="9" w:name="_Toc35393621"/>
      <w:r/>
      <w:bookmarkStart w:id="10" w:name="_Hlk24379207"/>
      <w:r>
        <w:rPr>
          <w:rFonts w:hint="eastAsia" w:ascii="宋体" w:hAnsi="宋体" w:cs="宋体"/>
          <w:b/>
          <w:color w:val="000000"/>
          <w:sz w:val="32"/>
          <w:szCs w:val="32"/>
          <w:highlight w:val="none"/>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一、项目基本情况</w:t>
      </w:r>
      <w:bookmarkEnd w:id="6"/>
      <w:r/>
      <w:bookmarkEnd w:id="7"/>
      <w:r/>
      <w:bookmarkEnd w:id="8"/>
      <w:r/>
      <w:bookmarkEnd w:id="9"/>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JSZC-320400-QGZB-C2026-0001</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u w:val="single"/>
        </w:rPr>
        <w:t xml:space="preserve"> 常州机电职业技术学院善学楼（东教学楼）升级改造项目 </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3.采购方式：竞争性磋商</w:t>
      </w:r>
      <w:r>
        <w:rPr>
          <w:rFonts w:hint="eastAsia" w:ascii="宋体" w:hAnsi="宋体" w:cs="宋体"/>
          <w:color w:val="000000"/>
          <w:sz w:val="24"/>
          <w:highlight w:val="none"/>
        </w:rPr>
        <w:t xml:space="preserve">.</w:t>
      </w:r>
      <w:r/>
    </w:p>
    <w:p>
      <w:pPr>
        <w:pStyle w:val="1041"/>
        <w:ind w:firstLine="480"/>
        <w:spacing w:line="360" w:lineRule="auto"/>
        <w:rPr>
          <w:rFonts w:hint="eastAsia" w:ascii="宋体" w:hAnsi="宋体" w:cs="宋体"/>
          <w:color w:val="000000"/>
          <w:sz w:val="24"/>
          <w:highlight w:val="none"/>
        </w:rPr>
      </w:pPr>
      <w:r/>
      <w:bookmarkEnd w:id="10"/>
      <w:r>
        <w:rPr>
          <w:rFonts w:hint="eastAsia" w:ascii="宋体" w:hAnsi="宋体" w:cs="宋体"/>
          <w:color w:val="000000"/>
          <w:sz w:val="24"/>
          <w:highlight w:val="none"/>
        </w:rPr>
        <w:t xml:space="preserve">4.项目预算金额：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人民币</w:t>
      </w:r>
      <w:r>
        <w:rPr>
          <w:rFonts w:hint="eastAsia" w:ascii="宋体" w:hAnsi="宋体" w:cs="宋体"/>
          <w:color w:val="000000"/>
          <w:sz w:val="24"/>
          <w:highlight w:val="none"/>
          <w:u w:val="single"/>
        </w:rPr>
        <w:t xml:space="preserve">394 </w:t>
      </w:r>
      <w:r>
        <w:rPr>
          <w:rFonts w:hint="eastAsia" w:ascii="宋体" w:hAnsi="宋体" w:cs="宋体"/>
          <w:color w:val="000000"/>
          <w:sz w:val="24"/>
          <w:highlight w:val="none"/>
        </w:rPr>
        <w:t xml:space="preserve">万元，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项目最高限价：</w:t>
      </w:r>
      <w:r>
        <w:rPr>
          <w:rFonts w:hint="eastAsia" w:ascii="宋体" w:hAnsi="宋体" w:cs="宋体"/>
          <w:color w:val="000000"/>
          <w:sz w:val="24"/>
          <w:highlight w:val="none"/>
          <w:lang w:val="en-US" w:eastAsia="zh-CN"/>
        </w:rPr>
        <w:t xml:space="preserve">人民币</w:t>
      </w:r>
      <w:r>
        <w:rPr>
          <w:rFonts w:hint="eastAsia" w:ascii="宋体" w:hAnsi="宋体" w:cs="宋体"/>
          <w:color w:val="000000"/>
          <w:sz w:val="24"/>
          <w:highlight w:val="none"/>
          <w:u w:val="single"/>
        </w:rPr>
        <w:t xml:space="preserve">393</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t xml:space="preserve">799430</w:t>
      </w:r>
      <w:r>
        <w:rPr>
          <w:rFonts w:hint="eastAsia" w:ascii="宋体" w:hAnsi="宋体" w:cs="宋体"/>
          <w:color w:val="000000"/>
          <w:sz w:val="24"/>
          <w:highlight w:val="none"/>
          <w:u w:val="single"/>
          <w:lang w:val="en-US" w:eastAsia="zh-CN"/>
        </w:rPr>
        <w:t xml:space="preserve">万</w:t>
      </w:r>
      <w:r>
        <w:rPr>
          <w:rFonts w:hint="eastAsia" w:ascii="宋体" w:hAnsi="宋体" w:cs="宋体"/>
          <w:color w:val="000000"/>
          <w:sz w:val="24"/>
          <w:highlight w:val="none"/>
        </w:rPr>
        <w:t xml:space="preserve">元，</w:t>
      </w:r>
      <w:r>
        <w:rPr>
          <w:rFonts w:hint="eastAsia" w:ascii="宋体" w:hAnsi="宋体" w:cs="宋体"/>
          <w:color w:val="000000"/>
          <w:sz w:val="24"/>
          <w:highlight w:val="none"/>
          <w:u w:val="single"/>
        </w:rPr>
        <w:t xml:space="preserve">超出此范围则视为无效响应。</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5.采购需求：</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2399"/>
        <w:gridCol w:w="2669"/>
        <w:gridCol w:w="587"/>
        <w:gridCol w:w="3166"/>
      </w:tblGrid>
      <w:tr>
        <w:trPr>
          <w:trHeight w:val="454"/>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包号</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2669"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采购包预算金额（万元）</w:t>
            </w:r>
            <w:r>
              <w:rPr>
                <w:rFonts w:hint="eastAsia"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3166"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简要技术需求或服务要求</w:t>
            </w:r>
            <w:r>
              <w:rPr>
                <w:rFonts w:hint="eastAsia" w:ascii="宋体" w:hAnsi="宋体" w:cs="宋体"/>
                <w:color w:val="000000"/>
                <w:sz w:val="24"/>
                <w:highlight w:val="none"/>
              </w:rPr>
            </w:r>
            <w:r/>
          </w:p>
        </w:tc>
      </w:tr>
      <w:tr>
        <w:trPr>
          <w:trHeight w:val="859"/>
        </w:trPr>
        <w:tc>
          <w:tcPr>
            <w:tcW w:w="467"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01</w:t>
            </w:r>
            <w:r>
              <w:rPr>
                <w:rFonts w:ascii="宋体" w:hAnsi="宋体" w:cs="宋体"/>
                <w:bCs/>
                <w:color w:val="000000"/>
                <w:sz w:val="24"/>
                <w:highlight w:val="none"/>
              </w:rPr>
            </w:r>
            <w:r/>
          </w:p>
        </w:tc>
        <w:tc>
          <w:tcPr>
            <w:tcW w:w="239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color w:val="000000"/>
                <w:sz w:val="24"/>
                <w:highlight w:val="none"/>
                <w:u w:val="single"/>
              </w:rPr>
              <w:t xml:space="preserve">常州机电职业技术学院善学楼（东教学楼）升级改造项目</w:t>
            </w:r>
            <w:r>
              <w:rPr>
                <w:rFonts w:ascii="宋体" w:hAnsi="宋体" w:cs="宋体"/>
                <w:bCs/>
                <w:color w:val="000000"/>
                <w:sz w:val="24"/>
                <w:highlight w:val="none"/>
              </w:rPr>
            </w:r>
            <w:r/>
          </w:p>
        </w:tc>
        <w:tc>
          <w:tcPr>
            <w:tcW w:w="2669" w:type="dxa"/>
            <w:vAlign w:val="center"/>
            <w:textDirection w:val="lrTb"/>
            <w:noWrap w:val="false"/>
          </w:tcPr>
          <w:p>
            <w:pPr>
              <w:pStyle w:val="1041"/>
              <w:jc w:val="center"/>
              <w:rPr>
                <w:rFonts w:ascii="宋体" w:hAnsi="宋体" w:cs="宋体"/>
                <w:bCs/>
                <w:color w:val="000000"/>
                <w:sz w:val="24"/>
                <w:highlight w:val="none"/>
              </w:rPr>
            </w:pPr>
            <w:r>
              <w:rPr>
                <w:rFonts w:hint="eastAsia" w:ascii="宋体" w:hAnsi="宋体" w:cs="宋体"/>
                <w:bCs/>
                <w:color w:val="000000"/>
                <w:sz w:val="24"/>
                <w:highlight w:val="none"/>
              </w:rPr>
              <w:t xml:space="preserve">394</w:t>
            </w:r>
            <w:r>
              <w:rPr>
                <w:rFonts w:ascii="宋体" w:hAnsi="宋体" w:cs="宋体"/>
                <w:bCs/>
                <w:color w:val="000000"/>
                <w:sz w:val="24"/>
                <w:highlight w:val="none"/>
              </w:rPr>
            </w:r>
            <w:r/>
          </w:p>
        </w:tc>
        <w:tc>
          <w:tcPr>
            <w:tcW w:w="587" w:type="dxa"/>
            <w:vAlign w:val="center"/>
            <w:textDirection w:val="lrTb"/>
            <w:noWrap w:val="false"/>
          </w:tcPr>
          <w:p>
            <w:pPr>
              <w:pStyle w:val="104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3166" w:type="dxa"/>
            <w:vAlign w:val="center"/>
            <w:textDirection w:val="lrTb"/>
            <w:noWrap w:val="false"/>
          </w:tcPr>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color w:val="000000"/>
                <w:sz w:val="24"/>
                <w:highlight w:val="none"/>
              </w:rPr>
            </w:r>
            <w:r/>
          </w:p>
        </w:tc>
      </w:tr>
    </w:tbl>
    <w:p>
      <w:pPr>
        <w:pStyle w:val="1041"/>
        <w:ind w:firstLine="4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6.合同履行期限：</w:t>
      </w:r>
      <w:r>
        <w:rPr>
          <w:rFonts w:hint="eastAsia" w:ascii="宋体" w:hAnsi="宋体" w:cs="宋体"/>
          <w:color w:val="000000"/>
          <w:sz w:val="24"/>
          <w:highlight w:val="none"/>
          <w:lang w:eastAsia="zh-CN"/>
        </w:rPr>
        <w:t xml:space="preserve">50天，以开工时间为准。</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7.本项目是否接受联合体：□是  ■否。</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11" w:name="_Toc35393622"/>
      <w:r/>
      <w:bookmarkStart w:id="12" w:name="_Toc28359080"/>
      <w:r/>
      <w:bookmarkStart w:id="13" w:name="_Toc35393791"/>
      <w:r/>
      <w:bookmarkStart w:id="14" w:name="_Toc28359003"/>
      <w:r>
        <w:rPr>
          <w:rFonts w:hint="eastAsia" w:ascii="宋体" w:hAnsi="宋体" w:cs="宋体"/>
          <w:b/>
          <w:bCs/>
          <w:color w:val="000000"/>
          <w:sz w:val="24"/>
          <w:highlight w:val="none"/>
        </w:rPr>
        <w:t xml:space="preserve">二、申请人的资格要求（须同时满足）</w:t>
      </w:r>
      <w:bookmarkEnd w:id="11"/>
      <w:r/>
      <w:bookmarkEnd w:id="12"/>
      <w:r/>
      <w:bookmarkEnd w:id="13"/>
      <w:r/>
      <w:bookmarkEnd w:id="14"/>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bookmarkStart w:id="15" w:name="_Toc28359004"/>
      <w:r/>
      <w:bookmarkStart w:id="16" w:name="_Toc28359081"/>
      <w:r>
        <w:rPr>
          <w:rFonts w:hint="eastAsia" w:ascii="宋体" w:hAnsi="宋体" w:cs="宋体"/>
          <w:color w:val="000000"/>
          <w:sz w:val="24"/>
          <w:highlight w:val="none"/>
        </w:rPr>
        <w:t xml:space="preserve">1.满足《中华人民共和国政府采购法》第二十二条规定以及下列情形：</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 中小企业政策</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□本项目不专门面向中小企业预留采购份额。</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■本项目专门面向  ■中小 □小微企业  采购。即：工程全部由符合政策要求的中小企业承接。</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其它落实政府采购政策的资格要求：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spacing w:line="360" w:lineRule="auto"/>
        <w:rPr>
          <w:rFonts w:hint="eastAsia" w:ascii="宋体" w:hAnsi="宋体" w:cs="宋体"/>
          <w:i/>
          <w:iCs/>
          <w:color w:val="000000"/>
          <w:sz w:val="24"/>
          <w:highlight w:val="none"/>
          <w:u w:val="single"/>
        </w:rPr>
      </w:pPr>
      <w:r>
        <w:rPr>
          <w:rFonts w:hint="eastAsia" w:ascii="宋体" w:hAnsi="宋体" w:cs="宋体"/>
          <w:color w:val="000000"/>
          <w:sz w:val="24"/>
          <w:highlight w:val="none"/>
        </w:rPr>
        <w:t xml:space="preserve">3.本项目的特定资格要求：</w:t>
      </w:r>
      <w:r>
        <w:rPr>
          <w:rFonts w:hint="eastAsia" w:ascii="宋体" w:hAnsi="宋体" w:cs="宋体"/>
          <w:i/>
          <w:iCs/>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3.1本项目是否接受分支机构参与响应：□是   ■否；</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 本项目是否属于政府购买服务：</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p>
      <w:pPr>
        <w:pStyle w:val="1041"/>
        <w:ind w:left="991" w:firstLine="2"/>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□是，公益一类事业单位、使用事业编制且由财政拨款保障的群团组织，不得作为承接主体；</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3.3其他特定资格要求：</w:t>
      </w:r>
      <w:r>
        <w:rPr>
          <w:rFonts w:hint="eastAsia" w:ascii="宋体" w:hAnsi="宋体" w:cs="宋体"/>
          <w:color w:val="000000"/>
          <w:sz w:val="24"/>
          <w:highlight w:val="non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3.3.1供应商具备有效的建筑工程施工总承包资质三级（含）及以上资质证书或</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同时具备建筑装修装饰工程专业承包二级（含）及以上资质证书和防水防腐保温工程专业承包二级资质（含）及以上资质证书</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3.3.2供应商具有有效的安全生产许可证。</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3.3.3拟派项目负责人具有有效的二级及以上注册建造师（建筑工程）资格，同时具有有效的建设行政主管部门核发的安全生产考核合格证(B证)及本单位为其缴纳的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r>
      <w:r/>
    </w:p>
    <w:p>
      <w:pPr>
        <w:pStyle w:val="1041"/>
        <w:ind w:firstLine="480"/>
        <w:spacing w:line="360" w:lineRule="auto"/>
        <w:tabs>
          <w:tab w:val="left" w:pos="900" w:leader="none"/>
          <w:tab w:val="left" w:pos="1134" w:leader="none"/>
          <w:tab w:val="left" w:pos="1589" w:leader="none"/>
          <w:tab w:val="left" w:pos="5521" w:leader="none"/>
        </w:tabs>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3.3.4提供供应商为授权代理人（法定代表人或授权委托人）缴纳的</w:t>
      </w:r>
      <w:r>
        <w:rPr>
          <w:rFonts w:hint="eastAsia" w:ascii="宋体" w:hAnsi="宋体" w:cs="宋体"/>
          <w:color w:val="000000"/>
          <w:sz w:val="24"/>
          <w:highlight w:val="none"/>
          <w:u w:val="single"/>
          <w:lang w:eastAsia="zh-CN"/>
        </w:rPr>
        <w:t xml:space="preserve">近三个月（2026年2月-2026年4月）内任意一个月社保缴费证明</w:t>
      </w:r>
      <w:r>
        <w:rPr>
          <w:rFonts w:hint="eastAsia" w:ascii="宋体" w:hAnsi="宋体" w:cs="宋体"/>
          <w:color w:val="000000"/>
          <w:sz w:val="24"/>
          <w:highlight w:val="none"/>
          <w:u w:val="single"/>
        </w:rPr>
        <w:t xml:space="preserve">（加盖社保部门签章或电子签章）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41"/>
        <w:spacing w:line="360" w:lineRule="auto"/>
        <w:rPr>
          <w:rFonts w:hint="eastAsia" w:ascii="宋体" w:hAnsi="宋体" w:cs="宋体"/>
          <w:b/>
          <w:bCs/>
          <w:color w:val="000000"/>
          <w:sz w:val="24"/>
          <w:highlight w:val="none"/>
        </w:rPr>
      </w:pPr>
      <w:r/>
      <w:bookmarkEnd w:id="15"/>
      <w:r/>
      <w:bookmarkEnd w:id="16"/>
      <w:r/>
      <w:bookmarkStart w:id="17" w:name="_Toc35393623"/>
      <w:r/>
      <w:bookmarkStart w:id="18" w:name="_Toc35393792"/>
      <w:r>
        <w:rPr>
          <w:rFonts w:hint="eastAsia" w:ascii="宋体" w:hAnsi="宋体" w:cs="宋体"/>
          <w:b/>
          <w:bCs/>
          <w:color w:val="000000"/>
          <w:sz w:val="24"/>
          <w:highlight w:val="none"/>
        </w:rPr>
        <w:t xml:space="preserve">三、获取采购文件</w:t>
      </w:r>
      <w:bookmarkEnd w:id="17"/>
      <w:r/>
      <w:bookmarkEnd w:id="1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1.时间：</w:t>
      </w:r>
      <w:r>
        <w:rPr>
          <w:rFonts w:hint="eastAsia" w:ascii="宋体" w:hAnsi="宋体" w:cs="宋体"/>
          <w:color w:val="000000"/>
          <w:sz w:val="24"/>
          <w:highlight w:val="none"/>
        </w:rPr>
        <w:t xml:space="preserve">自磋商文件公告发布之日起5个工作日</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2.地点：</w:t>
      </w:r>
      <w:r>
        <w:rPr>
          <w:rFonts w:hint="eastAsia" w:ascii="宋体" w:hAnsi="宋体" w:cs="宋体"/>
          <w:color w:val="000000"/>
          <w:sz w:val="24"/>
          <w:highlight w:val="none"/>
        </w:rPr>
        <w:t xml:space="preserve">“苏采云”政府采购一体化平台。</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3.方式：</w:t>
      </w:r>
      <w:r>
        <w:rPr>
          <w:rFonts w:hint="eastAsia" w:ascii="宋体" w:hAnsi="宋体" w:cs="宋体"/>
          <w:color w:val="000000"/>
          <w:sz w:val="24"/>
          <w:highlight w:val="none"/>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4.售价：</w:t>
      </w:r>
      <w:r>
        <w:rPr>
          <w:rFonts w:hint="eastAsia" w:ascii="宋体" w:hAnsi="宋体" w:cs="宋体"/>
          <w:color w:val="000000"/>
          <w:sz w:val="24"/>
          <w:highlight w:val="none"/>
          <w:u w:val="single"/>
          <w:lang w:bidi="ar"/>
        </w:rPr>
        <w:t xml:space="preserve"> 0 </w:t>
      </w:r>
      <w:r>
        <w:rPr>
          <w:rFonts w:hint="eastAsia" w:ascii="宋体" w:hAnsi="宋体" w:cs="宋体"/>
          <w:color w:val="000000"/>
          <w:sz w:val="24"/>
          <w:highlight w:val="none"/>
          <w:lang w:bidi="ar"/>
        </w:rPr>
        <w:t xml:space="preserve">元。</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19" w:name="_Toc35393624"/>
      <w:r/>
      <w:bookmarkStart w:id="20" w:name="_Toc28359082"/>
      <w:r/>
      <w:bookmarkStart w:id="21" w:name="_Toc28359005"/>
      <w:r/>
      <w:bookmarkStart w:id="22" w:name="_Toc35393793"/>
      <w:r>
        <w:rPr>
          <w:rFonts w:hint="eastAsia" w:ascii="宋体" w:hAnsi="宋体" w:cs="宋体"/>
          <w:b/>
          <w:bCs/>
          <w:color w:val="000000"/>
          <w:sz w:val="24"/>
          <w:highlight w:val="none"/>
        </w:rPr>
        <w:t xml:space="preserve">四、</w:t>
      </w:r>
      <w:bookmarkEnd w:id="19"/>
      <w:r/>
      <w:bookmarkEnd w:id="20"/>
      <w:r/>
      <w:bookmarkEnd w:id="21"/>
      <w:r/>
      <w:bookmarkEnd w:id="22"/>
      <w:r>
        <w:rPr>
          <w:rFonts w:hint="eastAsia" w:ascii="宋体" w:hAnsi="宋体" w:cs="宋体"/>
          <w:b/>
          <w:bCs/>
          <w:color w:val="000000"/>
          <w:sz w:val="24"/>
          <w:highlight w:val="none"/>
        </w:rPr>
        <w:t xml:space="preserve">响应文件提交</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bCs/>
          <w:color w:val="000000"/>
          <w:sz w:val="24"/>
          <w:highlight w:val="none"/>
          <w:u w:val="single"/>
        </w:rPr>
      </w:pPr>
      <w:r>
        <w:rPr>
          <w:rFonts w:hint="eastAsia" w:ascii="宋体" w:hAnsi="宋体" w:cs="宋体"/>
          <w:color w:val="000000"/>
          <w:sz w:val="24"/>
          <w:highlight w:val="none"/>
          <w:lang w:bidi="ar"/>
        </w:rPr>
        <w:t xml:space="preserve">截止时间：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bCs/>
          <w:color w:val="000000"/>
          <w:sz w:val="24"/>
          <w:highlight w:val="none"/>
          <w:u w:val="singl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u w:val="single"/>
        </w:rPr>
        <w:t xml:space="preserve">本项目采用远程“不见面”交易方式，无需到现场提交，请供应商在提交时间截止前提前登入“苏采云”，通过系统在线提交电子磋商响应文件。</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五、开启</w:t>
      </w:r>
      <w:r>
        <w:rPr>
          <w:rFonts w:hint="eastAsia" w:ascii="宋体" w:hAnsi="宋体" w:cs="宋体"/>
          <w:b/>
          <w:bCs/>
          <w:color w:val="000000"/>
          <w:sz w:val="24"/>
          <w:highlight w:val="none"/>
        </w:rPr>
      </w:r>
      <w:r/>
    </w:p>
    <w:p>
      <w:pPr>
        <w:pStyle w:val="1041"/>
        <w:ind w:firstLine="480"/>
        <w:spacing w:line="360" w:lineRule="auto"/>
        <w:rPr>
          <w:rFonts w:hint="eastAsia" w:ascii="宋体" w:hAnsi="宋体" w:cs="宋体"/>
          <w:iCs/>
          <w:color w:val="000000"/>
          <w:sz w:val="24"/>
          <w:highlight w:val="none"/>
          <w:lang w:bidi="ar"/>
        </w:rPr>
      </w:pPr>
      <w:r>
        <w:rPr>
          <w:rFonts w:hint="eastAsia" w:ascii="宋体" w:hAnsi="宋体" w:cs="宋体"/>
          <w:color w:val="000000"/>
          <w:sz w:val="24"/>
          <w:highlight w:val="none"/>
          <w:lang w:bidi="ar"/>
        </w:rPr>
        <w:t xml:space="preserve">时间：</w:t>
      </w:r>
      <w:r>
        <w:rPr>
          <w:rFonts w:hint="eastAsia" w:ascii="宋体" w:hAnsi="宋体" w:cs="宋体"/>
          <w:color w:val="000000"/>
          <w:sz w:val="24"/>
          <w:highlight w:val="none"/>
          <w:u w:val="single"/>
          <w:lang w:eastAsia="zh-CN"/>
        </w:rPr>
        <w:t xml:space="preserve"> 2026 年6月8日14点00分00秒</w:t>
      </w:r>
      <w:r>
        <w:rPr>
          <w:rFonts w:hint="eastAsia" w:ascii="宋体" w:hAnsi="宋体" w:cs="宋体"/>
          <w:bCs/>
          <w:color w:val="000000"/>
          <w:sz w:val="24"/>
          <w:highlight w:val="none"/>
          <w:lang w:bidi="ar"/>
        </w:rPr>
        <w:t xml:space="preserve">（北京时间）</w:t>
      </w:r>
      <w:r>
        <w:rPr>
          <w:rFonts w:hint="eastAsia" w:ascii="宋体" w:hAnsi="宋体" w:cs="宋体"/>
          <w:iCs/>
          <w:color w:val="000000"/>
          <w:sz w:val="24"/>
          <w:highlight w:val="none"/>
          <w:lang w:bidi="ar"/>
        </w:rPr>
        <w:t xml:space="preserve">。</w:t>
      </w:r>
      <w:r>
        <w:rPr>
          <w:rFonts w:hint="eastAsia" w:ascii="宋体" w:hAnsi="宋体" w:cs="宋体"/>
          <w:iCs/>
          <w:color w:val="000000"/>
          <w:sz w:val="24"/>
          <w:highlight w:val="none"/>
          <w:lang w:bidi="ar"/>
        </w:rPr>
      </w:r>
      <w:r/>
    </w:p>
    <w:p>
      <w:pPr>
        <w:pStyle w:val="1041"/>
        <w:ind w:firstLine="480"/>
        <w:spacing w:line="360" w:lineRule="auto"/>
        <w:rPr>
          <w:rFonts w:hint="eastAsia" w:ascii="宋体" w:hAnsi="宋体" w:cs="宋体"/>
          <w:color w:val="000000"/>
          <w:sz w:val="24"/>
          <w:highlight w:val="none"/>
          <w:lang w:bidi="ar"/>
        </w:rPr>
      </w:pPr>
      <w:r/>
      <w:bookmarkStart w:id="23" w:name="_Toc28359007"/>
      <w:r/>
      <w:bookmarkStart w:id="24" w:name="_Toc28359084"/>
      <w:r/>
      <w:bookmarkStart w:id="25" w:name="_Toc35393625"/>
      <w:r/>
      <w:bookmarkStart w:id="26" w:name="_Toc35393794"/>
      <w:r>
        <w:rPr>
          <w:rFonts w:hint="eastAsia" w:ascii="宋体" w:hAnsi="宋体" w:cs="宋体"/>
          <w:color w:val="000000"/>
          <w:sz w:val="24"/>
          <w:highlight w:val="none"/>
          <w:lang w:bidi="ar"/>
        </w:rPr>
        <w:t xml:space="preserve">地点：</w:t>
      </w:r>
      <w:r>
        <w:rPr>
          <w:rFonts w:hint="eastAsia" w:ascii="宋体" w:hAnsi="宋体" w:cs="宋体"/>
          <w:color w:val="000000"/>
          <w:sz w:val="24"/>
          <w:highlight w:val="none"/>
        </w:rPr>
        <w:t xml:space="preserve">“苏采云”政府采购交易系统网上开标大厅。</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bookmarkEnd w:id="23"/>
      <w:r/>
      <w:bookmarkEnd w:id="24"/>
      <w:r/>
      <w:bookmarkEnd w:id="25"/>
      <w:r/>
      <w:bookmarkEnd w:id="26"/>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自本公告发布之日起3个工作日。</w:t>
      </w:r>
      <w:r>
        <w:rPr>
          <w:rFonts w:hint="eastAsia" w:ascii="宋体" w:hAnsi="宋体" w:cs="宋体"/>
          <w:color w:val="000000"/>
          <w:sz w:val="24"/>
          <w:highlight w:val="none"/>
          <w:lang w:bidi="ar"/>
        </w:rPr>
      </w:r>
      <w:r/>
    </w:p>
    <w:p>
      <w:pPr>
        <w:pStyle w:val="1041"/>
        <w:spacing w:line="360" w:lineRule="auto"/>
        <w:rPr>
          <w:rFonts w:hint="eastAsia" w:ascii="宋体" w:hAnsi="宋体" w:cs="宋体"/>
          <w:b/>
          <w:bCs/>
          <w:color w:val="000000"/>
          <w:sz w:val="24"/>
          <w:highlight w:val="none"/>
        </w:rPr>
      </w:pPr>
      <w:r/>
      <w:bookmarkStart w:id="27" w:name="_Toc35393795"/>
      <w:r/>
      <w:bookmarkStart w:id="28" w:name="_Toc35393626"/>
      <w:r>
        <w:rPr>
          <w:rFonts w:hint="eastAsia" w:ascii="宋体" w:hAnsi="宋体" w:cs="宋体"/>
          <w:b/>
          <w:bCs/>
          <w:color w:val="000000"/>
          <w:sz w:val="24"/>
          <w:highlight w:val="none"/>
        </w:rPr>
        <w:t xml:space="preserve">七、其他补充事宜</w:t>
      </w:r>
      <w:bookmarkEnd w:id="27"/>
      <w:r/>
      <w:bookmarkEnd w:id="28"/>
      <w:r>
        <w:rPr>
          <w:rFonts w:hint="eastAsia" w:ascii="宋体" w:hAnsi="宋体" w:cs="宋体"/>
          <w:b/>
          <w:bCs/>
          <w:color w:val="000000"/>
          <w:sz w:val="24"/>
          <w:highlight w:val="none"/>
        </w:rPr>
      </w:r>
      <w:r/>
    </w:p>
    <w:p>
      <w:pPr>
        <w:pStyle w:val="104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1.本项目需要落实的政府采购政策：</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磋商响应文件。</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4.有关本次磋商的事项若存在变动或修改，敬请及时关注“江苏政府采购网”、“常州市政府采购网”发布的更正公告。</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5.本次磋商不收取磋商保证金。</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6.注意事项</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在磋商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供应商自行承担。</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供应商可以在“江苏政府采购网”或者“常州市政府采购网”自行免费下载采购文件，但本项目通过“苏采云”系统采用电子化不见面交易的模式，供应商通过“江苏政府采购网”或“常州市政府采购网”下载采购文件后，还必须登录“苏采云”系统按照获取采购文件方式要求进行登记、参与及下载电子采购文件方可通过系统进行磋商响应文件的编制和提交。</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供应商在“苏采云”系统进行登记、参与及下载电子采购文件，选择“我要参与”点提交的日期视同为依法获取采购文件日期。报名成功后须打印、保留“投标供应商确认函”，质疑时“投标供应商确认函”与质疑函一并提交；未依照竞争性磋商公告要求实行网上报名的供应商，视为未参与该项政府采购活动，不具备对该政府采购项目提出质疑的法定权利，但因供应商资格条件或报名时间设定不符合有关法律法规规定等原因使供应商权益受损的除外。</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9.如潜在供应商未按上述要求操作，将自行承担所产生的风险。</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10.关于常州市中小企业政府采购信用融资：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11.关于深入开展常州市政府采购线上合同信用融资：</w:t>
      </w:r>
      <w:r>
        <w:rPr>
          <w:rFonts w:hint="eastAsia" w:ascii="宋体" w:hAnsi="宋体" w:cs="宋体"/>
          <w:color w:val="000000"/>
          <w:sz w:val="24"/>
          <w:highlight w:val="none"/>
        </w:rPr>
      </w:r>
      <w:r/>
    </w:p>
    <w:p>
      <w:pPr>
        <w:pStyle w:val="104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宋体"/>
          <w:color w:val="000000"/>
          <w:sz w:val="24"/>
          <w:highlight w:val="none"/>
        </w:rPr>
      </w:r>
      <w:r/>
    </w:p>
    <w:p>
      <w:pPr>
        <w:pStyle w:val="1041"/>
        <w:spacing w:line="360" w:lineRule="auto"/>
        <w:rPr>
          <w:rFonts w:hint="eastAsia" w:ascii="宋体" w:hAnsi="宋体" w:cs="宋体"/>
          <w:b/>
          <w:bCs/>
          <w:color w:val="000000"/>
          <w:sz w:val="24"/>
          <w:highlight w:val="none"/>
        </w:rPr>
      </w:pPr>
      <w:r/>
      <w:bookmarkStart w:id="29" w:name="_Toc35393796"/>
      <w:r/>
      <w:bookmarkStart w:id="30" w:name="_Toc28359008"/>
      <w:r/>
      <w:bookmarkStart w:id="31" w:name="_Toc28359085"/>
      <w:r/>
      <w:bookmarkStart w:id="32" w:name="_Toc35393627"/>
      <w:r>
        <w:rPr>
          <w:rFonts w:hint="eastAsia" w:ascii="宋体" w:hAnsi="宋体" w:cs="宋体"/>
          <w:b/>
          <w:bCs/>
          <w:color w:val="000000"/>
          <w:sz w:val="24"/>
          <w:highlight w:val="none"/>
        </w:rPr>
        <w:t xml:space="preserve">八、对本项目提出询问，请按以下方式联系。</w:t>
      </w:r>
      <w:bookmarkEnd w:id="29"/>
      <w:r/>
      <w:bookmarkEnd w:id="30"/>
      <w:r/>
      <w:bookmarkEnd w:id="31"/>
      <w:r/>
      <w:bookmarkEnd w:id="32"/>
      <w:r>
        <w:rPr>
          <w:rFonts w:hint="eastAsia" w:ascii="宋体" w:hAnsi="宋体" w:cs="宋体"/>
          <w:b/>
          <w:bCs/>
          <w:color w:val="000000"/>
          <w:sz w:val="24"/>
          <w:highlight w:val="none"/>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1.采购人信息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常州机电职业技术学院 </w:t>
      </w:r>
      <w:r>
        <w:rPr>
          <w:rFonts w:hint="eastAsia" w:ascii="宋体" w:hAnsi="宋体" w:cs="宋体"/>
          <w:color w:val="000000"/>
          <w:sz w:val="24"/>
          <w:highlight w:val="none"/>
          <w:lang w:val="zh-TW" w:bidi="ar"/>
        </w:rPr>
      </w:r>
      <w:r/>
    </w:p>
    <w:p>
      <w:pPr>
        <w:pStyle w:val="1041"/>
        <w:ind w:firstLine="480"/>
        <w:jc w:val="left"/>
        <w:spacing w:line="360" w:lineRule="auto"/>
        <w:widowControl/>
        <w:rPr>
          <w:rFonts w:ascii="宋体" w:hAnsi="宋体" w:cs="宋体"/>
          <w:color w:val="000000"/>
          <w:sz w:val="24"/>
          <w:highlight w:val="none"/>
          <w:u w:val="single"/>
          <w:lang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常州市武进区湖塘镇鸣新中路26号 </w:t>
      </w:r>
      <w:r>
        <w:rPr>
          <w:rFonts w:ascii="宋体" w:hAnsi="宋体" w:cs="宋体"/>
          <w:color w:val="000000"/>
          <w:sz w:val="24"/>
          <w:highlight w:val="none"/>
          <w:u w:val="single"/>
          <w:lang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联系方式：封老师</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    0519-86331299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2.采购代理机构信息</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名    称：</w:t>
      </w:r>
      <w:r>
        <w:rPr>
          <w:rFonts w:hint="eastAsia" w:ascii="宋体" w:hAnsi="宋体" w:cs="宋体"/>
          <w:color w:val="000000"/>
          <w:sz w:val="24"/>
          <w:highlight w:val="none"/>
          <w:u w:val="single"/>
          <w:lang w:val="zh-TW" w:bidi="ar"/>
        </w:rPr>
        <w:t xml:space="preserve"> 常州青果招投标有限公司</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地    址：</w:t>
      </w:r>
      <w:r>
        <w:rPr>
          <w:rFonts w:hint="eastAsia" w:ascii="宋体" w:hAnsi="宋体" w:cs="宋体"/>
          <w:color w:val="000000"/>
          <w:sz w:val="24"/>
          <w:highlight w:val="none"/>
          <w:u w:val="single"/>
          <w:lang w:val="zh-TW" w:bidi="ar"/>
        </w:rPr>
        <w:t xml:space="preserve"> 常州市延陵西路53号（常州大酒店B座10层）常州青果招投标有限公司1009开标室</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2"/>
        <w:jc w:val="left"/>
        <w:spacing w:line="360" w:lineRule="auto"/>
        <w:widowControl/>
        <w:rPr>
          <w:rFonts w:hint="eastAsia" w:ascii="宋体" w:hAnsi="宋体" w:cs="宋体"/>
          <w:b/>
          <w:bCs/>
          <w:color w:val="000000"/>
          <w:sz w:val="24"/>
          <w:highlight w:val="none"/>
          <w:lang w:val="zh-TW" w:bidi="ar"/>
        </w:rPr>
      </w:pPr>
      <w:r>
        <w:rPr>
          <w:rFonts w:hint="eastAsia" w:ascii="宋体" w:hAnsi="宋体" w:cs="宋体"/>
          <w:b/>
          <w:bCs/>
          <w:color w:val="000000"/>
          <w:sz w:val="24"/>
          <w:highlight w:val="none"/>
          <w:lang w:val="zh-TW" w:bidi="ar"/>
        </w:rPr>
        <w:t xml:space="preserve">3.项目联系方式</w:t>
      </w:r>
      <w:r>
        <w:rPr>
          <w:rFonts w:hint="eastAsia" w:ascii="宋体" w:hAnsi="宋体" w:cs="宋体"/>
          <w:b/>
          <w:bCs/>
          <w:color w:val="000000"/>
          <w:sz w:val="24"/>
          <w:highlight w:val="none"/>
          <w:lang w:val="zh-TW" w:bidi="ar"/>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项目联系人：</w:t>
      </w:r>
      <w:r>
        <w:rPr>
          <w:rFonts w:hint="eastAsia" w:ascii="宋体" w:hAnsi="宋体" w:cs="宋体"/>
          <w:color w:val="000000"/>
          <w:sz w:val="24"/>
          <w:highlight w:val="none"/>
          <w:u w:val="single"/>
          <w:lang w:val="zh-TW" w:bidi="ar"/>
        </w:rPr>
        <w:t xml:space="preserve"> </w:t>
      </w:r>
      <w:r>
        <w:rPr>
          <w:rFonts w:hint="eastAsia" w:ascii="宋体" w:hAnsi="宋体" w:cs="宋体"/>
          <w:color w:val="000000"/>
          <w:sz w:val="24"/>
          <w:highlight w:val="none"/>
          <w:u w:val="single"/>
          <w:lang w:bidi="ar"/>
        </w:rPr>
        <w:t xml:space="preserve">杭工</w:t>
      </w:r>
      <w:r>
        <w:rPr>
          <w:rFonts w:hint="eastAsia" w:ascii="宋体" w:hAnsi="宋体" w:cs="宋体"/>
          <w:color w:val="000000"/>
          <w:sz w:val="24"/>
          <w:highlight w:val="none"/>
          <w:u w:val="single"/>
          <w:lang w:eastAsia="zh-CN" w:bidi="ar"/>
        </w:rPr>
        <w:t xml:space="preserve">、</w:t>
      </w:r>
      <w:r>
        <w:rPr>
          <w:rFonts w:hint="eastAsia" w:ascii="宋体" w:hAnsi="宋体" w:cs="宋体"/>
          <w:color w:val="000000"/>
          <w:sz w:val="24"/>
          <w:highlight w:val="none"/>
          <w:u w:val="single"/>
          <w:lang w:val="en-US" w:eastAsia="zh-CN" w:bidi="ar"/>
        </w:rPr>
        <w:t xml:space="preserve">张工</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val="zh-TW" w:bidi="ar"/>
        </w:rPr>
      </w:r>
      <w:r/>
    </w:p>
    <w:p>
      <w:pPr>
        <w:pStyle w:val="1041"/>
        <w:ind w:firstLine="4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zh-TW" w:bidi="ar"/>
        </w:rPr>
        <w:t xml:space="preserve">电      话：</w:t>
      </w:r>
      <w:r>
        <w:rPr>
          <w:rFonts w:hint="eastAsia" w:ascii="宋体" w:hAnsi="宋体" w:cs="宋体"/>
          <w:color w:val="000000"/>
          <w:sz w:val="24"/>
          <w:highlight w:val="none"/>
          <w:u w:val="single"/>
          <w:lang w:val="zh-TW" w:bidi="ar"/>
        </w:rPr>
        <w:t xml:space="preserve"> 18052541018</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lang w:eastAsia="zh-CN" w:bidi="ar"/>
        </w:rPr>
        <w:t xml:space="preserve">、0519-68979906</w:t>
      </w:r>
      <w:r>
        <w:rPr>
          <w:rFonts w:hint="eastAsia" w:ascii="宋体" w:hAnsi="宋体" w:eastAsia="宋体" w:cs="宋体"/>
          <w:color w:val="000000"/>
          <w:sz w:val="24"/>
          <w:highlight w:val="none"/>
          <w:lang w:eastAsia="zh-CN"/>
        </w:rPr>
      </w:r>
      <w:r/>
    </w:p>
    <w:p>
      <w:pPr>
        <w:pStyle w:val="1067"/>
        <w:shd w:val="clear" w:color="auto" w:fill="auto"/>
        <w:rPr>
          <w:rFonts w:hint="eastAsia"/>
          <w:color w:val="000000"/>
          <w:highlight w:val="none"/>
        </w:rPr>
      </w:pPr>
      <w:r>
        <w:rPr>
          <w:rFonts w:hint="eastAsia"/>
          <w:color w:val="000000"/>
          <w:highlight w:val="none"/>
        </w:rPr>
      </w:r>
      <w:r/>
    </w:p>
    <w:p>
      <w:pPr>
        <w:pStyle w:val="1104"/>
        <w:ind w:left="0" w:right="0"/>
        <w:jc w:val="left"/>
        <w:keepLines w:val="0"/>
        <w:keepNext w:val="0"/>
        <w:spacing w:before="0" w:beforeAutospacing="0" w:after="0" w:afterAutospacing="0" w:line="396" w:lineRule="atLeast"/>
        <w:widowControl/>
        <w:rPr>
          <w:rFonts w:hint="eastAsia" w:ascii="宋体" w:hAnsi="宋体" w:eastAsia="宋体" w:cs="宋体"/>
          <w:color w:val="000000"/>
          <w:highlight w:val="none"/>
        </w:rPr>
        <w:suppressLineNumbers w:val="0"/>
      </w:pPr>
      <w:r>
        <w:rPr>
          <w:rFonts w:hint="eastAsia" w:ascii="宋体" w:hAnsi="宋体" w:eastAsia="宋体" w:cs="宋体"/>
          <w:color w:val="000000"/>
          <w:spacing w:val="0"/>
          <w:sz w:val="24"/>
          <w:szCs w:val="24"/>
          <w:highlight w:val="none"/>
        </w:rPr>
        <w:t xml:space="preserve">注:上述个人信息由于工作需要经机构或本人同意对外公布。</w:t>
      </w:r>
      <w:r>
        <w:rPr>
          <w:rFonts w:hint="eastAsia" w:ascii="宋体" w:hAnsi="宋体" w:eastAsia="宋体" w:cs="宋体"/>
          <w:color w:val="000000"/>
          <w:highlight w:val="none"/>
        </w:rPr>
      </w:r>
      <w:r/>
    </w:p>
    <w:p>
      <w:pPr>
        <w:pStyle w:val="1041"/>
        <w:rPr>
          <w:rFonts w:hint="eastAsia"/>
          <w:color w:val="000000"/>
          <w:highlight w:val="none"/>
        </w:rPr>
        <w:sectPr>
          <w:footerReference w:type="default" r:id="rId12"/>
          <w:footerReference w:type="first" r:id="rId13"/>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color w:val="000000"/>
          <w:highlight w:val="none"/>
        </w:rPr>
      </w:r>
      <w:r/>
    </w:p>
    <w:p>
      <w:pPr>
        <w:pStyle w:val="1041"/>
        <w:jc w:val="center"/>
        <w:spacing w:line="360" w:lineRule="auto"/>
        <w:rPr>
          <w:b/>
          <w:color w:val="000000"/>
          <w:sz w:val="36"/>
          <w:szCs w:val="36"/>
          <w:highlight w:val="none"/>
        </w:rPr>
        <w:outlineLvl w:val="0"/>
      </w:pPr>
      <w:r/>
      <w:bookmarkStart w:id="33" w:name="_Toc104818926"/>
      <w:r/>
      <w:bookmarkStart w:id="34" w:name="_Toc195842950"/>
      <w:r/>
      <w:bookmarkStart w:id="35" w:name="_Toc353825548"/>
      <w:r/>
      <w:bookmarkStart w:id="36" w:name="_Toc29824"/>
      <w:r/>
      <w:bookmarkStart w:id="37" w:name="_Toc127151777"/>
      <w:r/>
      <w:bookmarkStart w:id="38" w:name="_Toc5724"/>
      <w:r/>
      <w:bookmarkStart w:id="39" w:name="_Toc512937850"/>
      <w:r/>
      <w:bookmarkStart w:id="40" w:name="_Toc127161488"/>
      <w:r/>
      <w:bookmarkStart w:id="41" w:name="_Toc226965856"/>
      <w:r/>
      <w:bookmarkStart w:id="42" w:name="_Toc305158854"/>
      <w:r/>
      <w:bookmarkStart w:id="43" w:name="_Toc265228423"/>
      <w:r/>
      <w:bookmarkStart w:id="44" w:name="_Toc697"/>
      <w:r/>
      <w:bookmarkStart w:id="45" w:name="_Toc150774783"/>
      <w:r/>
      <w:bookmarkStart w:id="46" w:name="_Toc264969275"/>
      <w:r/>
      <w:bookmarkStart w:id="47" w:name="_Toc353873938"/>
      <w:r/>
      <w:bookmarkStart w:id="48" w:name="_Toc22364"/>
      <w:r/>
      <w:bookmarkStart w:id="49" w:name="_Toc305158928"/>
      <w:r>
        <w:rPr>
          <w:b/>
          <w:color w:val="000000"/>
          <w:sz w:val="36"/>
          <w:szCs w:val="36"/>
          <w:highlight w:val="none"/>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pPr>
      <w:r/>
      <w:bookmarkStart w:id="50" w:name="_Toc164229360"/>
      <w:r/>
      <w:bookmarkStart w:id="51" w:name="_Toc127151720"/>
      <w:r/>
      <w:bookmarkStart w:id="52" w:name="_Toc127161433"/>
      <w:r/>
      <w:bookmarkStart w:id="53" w:name="_Toc151193833"/>
      <w:r/>
      <w:bookmarkStart w:id="54" w:name="_Toc151193617"/>
      <w:r/>
      <w:bookmarkStart w:id="55" w:name="_Toc226965709"/>
      <w:r/>
      <w:bookmarkStart w:id="56" w:name="_Toc150480757"/>
      <w:r/>
      <w:bookmarkStart w:id="57" w:name="_Toc151190146"/>
      <w:r/>
      <w:bookmarkStart w:id="58" w:name="_Toc150509270"/>
      <w:r/>
      <w:bookmarkStart w:id="59" w:name="_Toc164608788"/>
      <w:r/>
      <w:bookmarkStart w:id="60" w:name="_Toc142311021"/>
      <w:r/>
      <w:bookmarkStart w:id="61" w:name="_Toc151193689"/>
      <w:r/>
      <w:bookmarkStart w:id="62" w:name="_Toc164351613"/>
      <w:r/>
      <w:bookmarkStart w:id="63" w:name="_Toc150774619"/>
      <w:r/>
      <w:bookmarkStart w:id="64" w:name="_Toc164229214"/>
      <w:r/>
      <w:bookmarkStart w:id="65" w:name="_Toc151193907"/>
      <w:r/>
      <w:bookmarkStart w:id="66" w:name="_Toc226309763"/>
      <w:r/>
      <w:bookmarkStart w:id="67" w:name="_Toc195842884"/>
      <w:r/>
      <w:bookmarkStart w:id="68" w:name="_Toc520356144"/>
      <w:r/>
      <w:bookmarkStart w:id="69" w:name="_Toc151193761"/>
      <w:r/>
      <w:bookmarkStart w:id="70" w:name="_Toc149720812"/>
      <w:r/>
      <w:bookmarkStart w:id="71" w:name="_Toc164608633"/>
      <w:r/>
      <w:bookmarkStart w:id="72" w:name="_Toc150774724"/>
      <w:r/>
      <w:bookmarkStart w:id="73" w:name="_Toc226337215"/>
      <w:r/>
      <w:bookmarkStart w:id="74" w:name="_Toc226965792"/>
      <w:r/>
      <w:bookmarkStart w:id="75" w:name="_Toc127151519"/>
      <w:r>
        <w:rPr>
          <w:rFonts w:hint="eastAsia" w:ascii="宋体" w:hAnsi="宋体"/>
          <w:b/>
          <w:bCs/>
          <w:color w:val="000000"/>
          <w:sz w:val="28"/>
          <w:szCs w:val="28"/>
          <w:highlight w:val="none"/>
        </w:rPr>
        <w:t xml:space="preserve">供应商须知资料表</w:t>
      </w:r>
      <w:r>
        <w:rPr>
          <w:rFonts w:hint="eastAsia" w:ascii="宋体" w:hAnsi="宋体"/>
          <w:b/>
          <w:bCs/>
          <w:color w:val="000000"/>
          <w:sz w:val="28"/>
          <w:szCs w:val="28"/>
          <w:highlight w:val="none"/>
        </w:rPr>
      </w:r>
      <w:r/>
    </w:p>
    <w:p>
      <w:pPr>
        <w:pStyle w:val="1041"/>
        <w:jc w:val="center"/>
        <w:rPr>
          <w:b/>
          <w:color w:val="000000"/>
          <w:sz w:val="28"/>
          <w:szCs w:val="28"/>
          <w:highlight w:val="none"/>
        </w:rPr>
      </w:pPr>
      <w:r>
        <w:rPr>
          <w:b/>
          <w:color w:val="000000"/>
          <w:sz w:val="28"/>
          <w:szCs w:val="28"/>
          <w:highlight w:val="none"/>
        </w:rPr>
      </w:r>
      <w:r/>
    </w:p>
    <w:p>
      <w:pPr>
        <w:pStyle w:val="1041"/>
        <w:ind w:firstLine="480"/>
        <w:jc w:val="left"/>
        <w:spacing w:line="360" w:lineRule="auto"/>
        <w:widowControl/>
        <w:rPr>
          <w:rFonts w:hint="eastAsia" w:ascii="宋体" w:hAnsi="宋体" w:cs="宋体"/>
          <w:color w:val="000000"/>
          <w:sz w:val="24"/>
          <w:highlight w:val="none"/>
          <w:lang w:val="zh-TW" w:bidi="ar"/>
        </w:rPr>
      </w:pPr>
      <w:r>
        <w:rPr>
          <w:rFonts w:hint="eastAsia" w:ascii="宋体" w:hAnsi="宋体" w:cs="宋体"/>
          <w:color w:val="000000"/>
          <w:sz w:val="24"/>
          <w:highlight w:val="none"/>
          <w:lang w:val="zh-TW" w:bidi="ar"/>
        </w:rPr>
        <w:t xml:space="preserve">本表是对供应商须知的具体补充和修改，如有矛盾，均以本资料表为准。标记“■”的选项意为适用于本项目，标记“□”的选项意为不适用于本项目。</w:t>
      </w:r>
      <w:r>
        <w:rPr>
          <w:rFonts w:hint="eastAsia" w:ascii="宋体" w:hAnsi="宋体" w:cs="宋体"/>
          <w:color w:val="000000"/>
          <w:sz w:val="24"/>
          <w:highlight w:val="none"/>
          <w:lang w:val="zh-TW" w:bidi="ar"/>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253" w:type="dxa"/>
            <w:vAlign w:val="center"/>
            <w:textDirection w:val="lrTb"/>
            <w:noWrap w:val="false"/>
          </w:tcPr>
          <w:p>
            <w:pPr>
              <w:pStyle w:val="1041"/>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□货物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■工程</w:t>
            </w:r>
            <w:r>
              <w:rPr>
                <w:rFonts w:hint="eastAsia" w:ascii="宋体" w:hAnsi="宋体" w:cs="宋体"/>
                <w:color w:val="000000"/>
                <w:sz w:val="24"/>
                <w:highlight w:val="none"/>
                <w:u w:val="single"/>
              </w:rPr>
            </w:r>
            <w:r/>
          </w:p>
        </w:tc>
      </w:tr>
      <w:tr>
        <w:trPr>
          <w:trHeight w:val="20"/>
        </w:trPr>
        <w:tc>
          <w:tcPr>
            <w:tcW w:w="988" w:type="dxa"/>
            <w:vAlign w:val="center"/>
            <w:vMerge w:val="restart"/>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供应商在投标前应对现场进行认真踏勘，熟悉工程现场和周围环境、地质情况，了解一切可能影响投标方案、报价等编制响应文件的资料，并承担考察现场的责任和风险以及踏勘现场所发生的自身费用。中标后，供应商不得以不完全了解施工现场及周围环境为由，提出额外款项增加、补偿或延长工期等要求。</w:t>
            </w:r>
            <w:r>
              <w:rPr>
                <w:rFonts w:hint="eastAsia" w:ascii="宋体" w:hAnsi="宋体" w:cs="宋体"/>
                <w:color w:val="000000"/>
                <w:sz w:val="24"/>
                <w:highlight w:val="none"/>
              </w:rPr>
            </w:r>
            <w:r/>
          </w:p>
          <w:p>
            <w:pPr>
              <w:pStyle w:val="1041"/>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081"/>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szCs w:val="24"/>
                <w:highlight w:val="none"/>
                <w:u w:val="single"/>
              </w:rPr>
              <w:t xml:space="preserve">  /  </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磋商前答疑会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77"/>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4.2.5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color w:val="000000"/>
                <w:sz w:val="24"/>
                <w:highlight w:val="none"/>
                <w:u w:val="single"/>
              </w:rPr>
              <w:t xml:space="preserve"> 建筑业 </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10.2</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■有</w:t>
            </w:r>
            <w:r>
              <w:rPr>
                <w:rFonts w:hint="eastAsia" w:ascii="宋体" w:hAnsi="宋体" w:cs="宋体"/>
                <w:color w:val="000000"/>
                <w:sz w:val="24"/>
                <w:highlight w:val="none"/>
              </w:rPr>
            </w:r>
            <w:r/>
          </w:p>
          <w:p>
            <w:pPr>
              <w:pStyle w:val="1041"/>
              <w:numPr>
                <w:ilvl w:val="0"/>
                <w:numId w:val="8"/>
              </w:numPr>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二次，响应文件中的报价为首次报价，合同单价按最终总报价同比例浮动（如有）。供应商报价</w:t>
            </w:r>
            <w:r>
              <w:rPr>
                <w:rFonts w:hint="eastAsia" w:ascii="宋体" w:hAnsi="宋体" w:cs="宋体"/>
                <w:color w:val="000000"/>
                <w:sz w:val="24"/>
                <w:highlight w:val="none"/>
                <w:u w:val="single"/>
                <w:lang w:val="en-US" w:eastAsia="zh-CN"/>
              </w:rPr>
              <w:t xml:space="preserve">单价、</w:t>
            </w:r>
            <w:r>
              <w:rPr>
                <w:rFonts w:hint="eastAsia" w:ascii="宋体" w:hAnsi="宋体" w:cs="宋体"/>
                <w:color w:val="000000"/>
                <w:sz w:val="24"/>
                <w:highlight w:val="none"/>
                <w:u w:val="single"/>
              </w:rPr>
              <w:t xml:space="preserve">总价不得超过</w:t>
            </w:r>
            <w:r>
              <w:rPr>
                <w:rFonts w:hint="eastAsia" w:ascii="宋体" w:hAnsi="宋体" w:cs="宋体"/>
                <w:color w:val="000000"/>
                <w:sz w:val="24"/>
                <w:highlight w:val="none"/>
                <w:u w:val="single"/>
                <w:lang w:val="en-US" w:eastAsia="zh-CN"/>
              </w:rPr>
              <w:t xml:space="preserve">控制单价、</w:t>
            </w:r>
            <w:r>
              <w:rPr>
                <w:rFonts w:hint="eastAsia" w:ascii="宋体" w:hAnsi="宋体" w:cs="宋体"/>
                <w:color w:val="000000"/>
                <w:sz w:val="24"/>
                <w:highlight w:val="none"/>
                <w:u w:val="single"/>
              </w:rPr>
              <w:t xml:space="preserve">控制价总价，否则作符合性审查不通过处理。</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2、中标后提供（江苏省2013清单招投标接口V3.2版本）13.jt格式文件或提供（江苏省2013清单招投标最新接口版本）13.jt格式及EXCEL版本文件。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磋商保证金</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12.1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自提交响应文件的截止之日起算</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23.5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 </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24.1.1</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w:t>
            </w:r>
            <w:r>
              <w:rPr>
                <w:rFonts w:hint="eastAsia" w:ascii="宋体" w:hAnsi="宋体" w:cs="宋体"/>
                <w:color w:val="000000"/>
                <w:sz w:val="24"/>
                <w:highlight w:val="none"/>
                <w:u w:val="single"/>
              </w:rPr>
              <w:t xml:space="preserve"> 于2026年</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月</w:t>
            </w:r>
            <w:r>
              <w:rPr>
                <w:rFonts w:hint="eastAsia" w:ascii="宋体" w:hAnsi="宋体" w:cs="宋体"/>
                <w:color w:val="000000"/>
                <w:sz w:val="24"/>
                <w:highlight w:val="none"/>
                <w:u w:val="single"/>
                <w:lang w:val="en-US" w:eastAsia="zh-CN"/>
              </w:rPr>
              <w:t xml:space="preserve">29</w:t>
            </w:r>
            <w:r>
              <w:rPr>
                <w:rFonts w:hint="eastAsia" w:ascii="宋体" w:hAnsi="宋体" w:cs="宋体"/>
                <w:color w:val="000000"/>
                <w:sz w:val="24"/>
                <w:highlight w:val="none"/>
                <w:u w:val="single"/>
              </w:rPr>
              <w:t xml:space="preserve">日17：00（北京时间）前以书面形式递交至常州青果招投标有限公司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（注：① 答疑文件须加盖竞标单位公章；② 答疑文件以代理机构收到时间为准；否则代理机构有权拒收其答疑文件）。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24.3</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w:t>
            </w:r>
            <w:r>
              <w:rPr>
                <w:rFonts w:hint="eastAsia" w:ascii="宋体" w:hAnsi="宋体" w:cs="宋体"/>
                <w:color w:val="000000"/>
                <w:sz w:val="24"/>
                <w:highlight w:val="none"/>
                <w:u w:val="single"/>
              </w:rPr>
              <w:t xml:space="preserve"> 杭工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18052541018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u w:val="single"/>
              </w:rPr>
              <w:t xml:space="preserve">  常州市延陵西路53号（常州大酒店B座10层）常州青果招投标有限公司1009开标室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25</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收费对象：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■成交供应商</w:t>
            </w:r>
            <w:r>
              <w:rPr>
                <w:rFonts w:hint="eastAsia" w:ascii="宋体" w:hAnsi="宋体" w:cs="宋体"/>
                <w:color w:val="000000"/>
                <w:sz w:val="24"/>
                <w:highlight w:val="none"/>
              </w:rPr>
            </w:r>
            <w:r/>
          </w:p>
          <w:p>
            <w:pPr>
              <w:pStyle w:val="1041"/>
              <w:ind w:firstLine="480"/>
              <w:jc w:val="left"/>
              <w:spacing w:line="288"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收费标准：</w:t>
            </w:r>
            <w:r>
              <w:rPr>
                <w:rFonts w:hint="eastAsia" w:ascii="宋体" w:hAnsi="宋体" w:cs="宋体"/>
                <w:color w:val="000000"/>
                <w:sz w:val="24"/>
                <w:highlight w:val="none"/>
                <w:u w:val="single"/>
              </w:rPr>
              <w:t xml:space="preserve"> </w:t>
            </w:r>
            <w:r>
              <w:rPr>
                <w:rFonts w:hint="eastAsia" w:ascii="宋体" w:hAnsi="宋体"/>
                <w:color w:val="000000"/>
                <w:sz w:val="24"/>
                <w:highlight w:val="none"/>
                <w:u w:val="single"/>
              </w:rPr>
              <w:t xml:space="preserve">按</w:t>
            </w:r>
            <w:r>
              <w:rPr>
                <w:rFonts w:hint="eastAsia" w:ascii="宋体" w:hAnsi="宋体"/>
                <w:color w:val="000000"/>
                <w:sz w:val="24"/>
                <w:highlight w:val="none"/>
                <w:u w:val="single"/>
                <w:lang w:val="en-US" w:eastAsia="zh-CN"/>
              </w:rPr>
              <w:t xml:space="preserve">发改价格（2011）534号文*10%规定收取费用，</w:t>
            </w:r>
            <w:r>
              <w:rPr>
                <w:rFonts w:hint="eastAsia" w:ascii="宋体" w:hAnsi="宋体" w:cs="宋体"/>
                <w:color w:val="000000"/>
                <w:sz w:val="24"/>
                <w:highlight w:val="none"/>
                <w:u w:val="single"/>
              </w:rPr>
              <w:t xml:space="preserve">收费比例按差额定率分档累进法计算，成交服务收费按上述计算方法不足人民币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元的，按人民币</w:t>
            </w:r>
            <w:r>
              <w:rPr>
                <w:rFonts w:hint="eastAsia" w:ascii="宋体" w:hAnsi="宋体" w:cs="宋体"/>
                <w:color w:val="000000"/>
                <w:sz w:val="24"/>
                <w:highlight w:val="none"/>
                <w:u w:val="single"/>
                <w:lang w:val="en-US" w:eastAsia="zh-CN"/>
              </w:rPr>
              <w:t xml:space="preserve">1500</w:t>
            </w:r>
            <w:r>
              <w:rPr>
                <w:rFonts w:hint="eastAsia" w:ascii="宋体" w:hAnsi="宋体" w:cs="宋体"/>
                <w:color w:val="000000"/>
                <w:sz w:val="24"/>
                <w:highlight w:val="none"/>
                <w:u w:val="single"/>
              </w:rPr>
              <w:t xml:space="preserve">元收取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bl>
            <w:tblPr>
              <w:tblW w:w="6339" w:type="dxa"/>
              <w:tblInd w:w="10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1"/>
              <w:gridCol w:w="2938"/>
            </w:tblGrid>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17780</wp:posOffset>
                            </wp:positionH>
                            <wp:positionV relativeFrom="paragraph">
                              <wp:posOffset>38100</wp:posOffset>
                            </wp:positionV>
                            <wp:extent cx="2046605" cy="88646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046604" cy="886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4pt;mso-position-horizontal:absolute;mso-position-vertical-relative:text;margin-top:3.0pt;mso-position-vertical:absolute;width:161.2pt;height:69.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bCs/>
                      <w:i w:val="0"/>
                      <w:iCs w:val="0"/>
                      <w:color w:val="000000"/>
                      <w:sz w:val="21"/>
                      <w:szCs w:val="21"/>
                      <w:highlight w:val="none"/>
                      <w:u w:val="none"/>
                      <w:lang w:val="en-US" w:eastAsia="zh-CN" w:bidi="ar"/>
                    </w:rPr>
                    <w:t xml:space="preserve">        服务类型</w:t>
                  </w:r>
                  <w:r>
                    <w:rPr>
                      <w:rFonts w:hint="eastAsia" w:ascii="宋体" w:hAnsi="宋体" w:eastAsia="宋体" w:cs="宋体"/>
                      <w:b/>
                      <w:bCs/>
                      <w:i w:val="0"/>
                      <w:iCs w:val="0"/>
                      <w:color w:val="000000"/>
                      <w:sz w:val="21"/>
                      <w:szCs w:val="21"/>
                      <w:highlight w:val="none"/>
                      <w:u w:val="none"/>
                    </w:rPr>
                  </w:r>
                  <w:r/>
                </w:p>
              </w:tc>
              <w:tc>
                <w:tcPr>
                  <w:tcW w:w="2938" w:type="dxa"/>
                  <w:vAlign w:val="center"/>
                  <w:vMerge w:val="restart"/>
                  <w:textDirection w:val="lrTb"/>
                  <w:noWrap w:val="false"/>
                </w:tcPr>
                <w:p>
                  <w:pPr>
                    <w:pStyle w:val="104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工程招标</w:t>
                  </w: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70"/>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费率</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both"/>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中标金额（万元）</w:t>
                  </w:r>
                  <w:r>
                    <w:rPr>
                      <w:rFonts w:hint="eastAsia" w:ascii="宋体" w:hAnsi="宋体" w:eastAsia="宋体" w:cs="宋体"/>
                      <w:b/>
                      <w:bCs/>
                      <w:i w:val="0"/>
                      <w:iCs w:val="0"/>
                      <w:color w:val="000000"/>
                      <w:sz w:val="21"/>
                      <w:szCs w:val="21"/>
                      <w:highlight w:val="none"/>
                      <w:u w:val="none"/>
                    </w:rPr>
                  </w:r>
                  <w:r/>
                </w:p>
              </w:tc>
              <w:tc>
                <w:tcPr>
                  <w:tcW w:w="2938" w:type="dxa"/>
                  <w:vAlign w:val="center"/>
                  <w:vMerge w:val="continue"/>
                  <w:textDirection w:val="lrTb"/>
                  <w:noWrap w:val="false"/>
                </w:tcPr>
                <w:p>
                  <w:pPr>
                    <w:pStyle w:val="1041"/>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Style w:val="1306"/>
                      <w:color w:val="000000"/>
                      <w:highlight w:val="none"/>
                      <w:lang w:val="en-US" w:eastAsia="zh-CN" w:bidi="ar"/>
                    </w:rPr>
                    <w:t xml:space="preserve">以下</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w:t>
                  </w:r>
                  <w:r>
                    <w:rPr>
                      <w:rFonts w:ascii="Times New Roman" w:hAnsi="Times New Roman" w:eastAsia="宋体" w:cs="Times New Roman"/>
                      <w:i w:val="0"/>
                      <w:iCs w:val="0"/>
                      <w:color w:val="000000"/>
                      <w:sz w:val="21"/>
                      <w:szCs w:val="21"/>
                      <w:highlight w:val="none"/>
                      <w:u w:val="none"/>
                    </w:rPr>
                  </w:r>
                  <w:r/>
                </w:p>
              </w:tc>
            </w:tr>
            <w:tr>
              <w:trPr>
                <w:trHeight w:val="283"/>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100-500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0.70%</w:t>
                  </w:r>
                  <w:r>
                    <w:rPr>
                      <w:rFonts w:ascii="Times New Roman" w:hAnsi="Times New Roman" w:eastAsia="宋体" w:cs="Times New Roman"/>
                      <w:i w:val="0"/>
                      <w:iCs w:val="0"/>
                      <w:color w:val="000000"/>
                      <w:sz w:val="21"/>
                      <w:szCs w:val="21"/>
                      <w:highlight w:val="none"/>
                      <w:u w:val="none"/>
                    </w:rPr>
                  </w:r>
                  <w:r/>
                </w:p>
              </w:tc>
            </w:tr>
            <w:tr>
              <w:trPr>
                <w:trHeight w:val="300"/>
              </w:trPr>
              <w:tc>
                <w:tcPr>
                  <w:tcW w:w="3401"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500-1000</w:t>
                  </w:r>
                  <w:r>
                    <w:rPr>
                      <w:rFonts w:ascii="Times New Roman" w:hAnsi="Times New Roman" w:eastAsia="宋体" w:cs="Times New Roman"/>
                      <w:i w:val="0"/>
                      <w:iCs w:val="0"/>
                      <w:color w:val="000000"/>
                      <w:sz w:val="21"/>
                      <w:szCs w:val="21"/>
                      <w:highlight w:val="none"/>
                      <w:u w:val="none"/>
                    </w:rPr>
                  </w:r>
                  <w:r/>
                </w:p>
              </w:tc>
              <w:tc>
                <w:tcPr>
                  <w:tcW w:w="2938" w:type="dxa"/>
                  <w:vAlign w:val="top"/>
                  <w:textDirection w:val="lrTb"/>
                  <w:noWrap w:val="false"/>
                </w:tcPr>
                <w:p>
                  <w:pPr>
                    <w:pStyle w:val="1041"/>
                    <w:jc w:val="center"/>
                    <w:keepLines w:val="0"/>
                    <w:keepNext w:val="0"/>
                    <w:widowControl/>
                    <w:rPr>
                      <w:rFonts w:ascii="Times New Roman" w:hAnsi="Times New Roman" w:eastAsia="宋体" w:cs="Times New Roman"/>
                      <w:i w:val="0"/>
                      <w:iCs w:val="0"/>
                      <w:color w:val="000000"/>
                      <w:sz w:val="21"/>
                      <w:szCs w:val="21"/>
                      <w:highlight w:val="none"/>
                      <w:u w:val="none"/>
                    </w:rPr>
                    <w:suppressLineNumbers w:val="0"/>
                  </w:pPr>
                  <w:r>
                    <w:rPr>
                      <w:rFonts w:ascii="Times New Roman" w:hAnsi="Times New Roman" w:eastAsia="宋体" w:cs="Times New Roman"/>
                      <w:i w:val="0"/>
                      <w:iCs w:val="0"/>
                      <w:color w:val="000000"/>
                      <w:sz w:val="21"/>
                      <w:szCs w:val="21"/>
                      <w:highlight w:val="none"/>
                      <w:u w:val="none"/>
                      <w:lang w:val="en-US" w:eastAsia="zh-CN" w:bidi="ar"/>
                    </w:rPr>
                    <w:t xml:space="preserve">0.55%</w:t>
                  </w:r>
                  <w:r>
                    <w:rPr>
                      <w:rFonts w:ascii="Times New Roman" w:hAnsi="Times New Roman" w:eastAsia="宋体" w:cs="Times New Roman"/>
                      <w:i w:val="0"/>
                      <w:iCs w:val="0"/>
                      <w:color w:val="000000"/>
                      <w:sz w:val="21"/>
                      <w:szCs w:val="21"/>
                      <w:highlight w:val="none"/>
                      <w:u w:val="none"/>
                    </w:rPr>
                  </w:r>
                  <w:r/>
                </w:p>
              </w:tc>
            </w:tr>
          </w:tbl>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缴纳时间：</w:t>
            </w:r>
            <w:r>
              <w:rPr>
                <w:rFonts w:hint="eastAsia" w:ascii="宋体" w:hAnsi="宋体" w:cs="宋体"/>
                <w:color w:val="000000"/>
                <w:sz w:val="24"/>
                <w:highlight w:val="none"/>
                <w:u w:val="single"/>
              </w:rPr>
              <w:t xml:space="preserve"> 成交供应商应在领取成交通知书时将成交服务费付至采购代理机构的账户并备注项目编号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收款单位：常州青果招投标有限公司</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银行账号：554746319228</w:t>
            </w:r>
            <w:r>
              <w:rPr>
                <w:rFonts w:hint="eastAsia" w:ascii="宋体" w:hAnsi="宋体" w:cs="宋体"/>
                <w:color w:val="000000"/>
                <w:sz w:val="24"/>
                <w:highlight w:val="none"/>
                <w:u w:val="singl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u w:val="single"/>
              </w:rPr>
              <w:t xml:space="preserve">开户银行：中国银行股份有限公司常州天宁支行</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081"/>
              <w:jc w:val="center"/>
              <w:rPr>
                <w:rFonts w:hAnsi="宋体" w:cs="宋体"/>
                <w:color w:val="000000"/>
                <w:sz w:val="24"/>
                <w:szCs w:val="24"/>
                <w:highlight w:val="none"/>
              </w:rPr>
            </w:pPr>
            <w:r>
              <w:rPr>
                <w:rFonts w:hAnsi="宋体" w:cs="宋体"/>
                <w:color w:val="000000"/>
                <w:sz w:val="24"/>
                <w:szCs w:val="24"/>
                <w:highlight w:val="none"/>
              </w:rPr>
              <w:t xml:space="preserve">26</w:t>
            </w:r>
            <w:r>
              <w:rPr>
                <w:rFonts w:hAnsi="宋体" w:cs="宋体"/>
                <w:color w:val="000000"/>
                <w:sz w:val="24"/>
                <w:szCs w:val="24"/>
                <w:highlight w:val="none"/>
              </w:rPr>
            </w:r>
            <w:r/>
          </w:p>
        </w:tc>
        <w:tc>
          <w:tcPr>
            <w:tcW w:w="1701" w:type="dxa"/>
            <w:vAlign w:val="center"/>
            <w:textDirection w:val="lrTb"/>
            <w:noWrap w:val="false"/>
          </w:tcPr>
          <w:p>
            <w:pPr>
              <w:pStyle w:val="1041"/>
              <w:jc w:val="center"/>
              <w:rPr>
                <w:rFonts w:hint="eastAsia" w:ascii="宋体" w:hAnsi="宋体" w:cs="宋体"/>
                <w:color w:val="000000"/>
                <w:sz w:val="24"/>
                <w:highlight w:val="none"/>
              </w:rPr>
            </w:pPr>
            <w:r>
              <w:rPr>
                <w:rFonts w:hint="eastAsia" w:ascii="宋体" w:hAnsi="宋体" w:cs="宋体"/>
                <w:color w:val="000000"/>
                <w:sz w:val="24"/>
                <w:highlight w:val="none"/>
              </w:rPr>
              <w:t xml:space="preserve">电子系统意外情况处理条款</w:t>
            </w:r>
            <w:r>
              <w:rPr>
                <w:rFonts w:hint="eastAsia" w:ascii="宋体" w:hAnsi="宋体" w:cs="宋体"/>
                <w:color w:val="000000"/>
                <w:sz w:val="24"/>
                <w:highlight w:val="none"/>
              </w:rPr>
            </w:r>
            <w:r/>
          </w:p>
        </w:tc>
        <w:tc>
          <w:tcPr>
            <w:tcW w:w="7253" w:type="dxa"/>
            <w:vAlign w:val="center"/>
            <w:textDirection w:val="lrTb"/>
            <w:noWrap w:val="false"/>
          </w:tcPr>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为确保本项目电子化采购活动顺利进行，防范化解采购风险，特制定相关情形处置举措。所有潜在供应商及参与各方均应知悉并遵守以下规定：</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意外情况定义：本条款所称“电子交易系统无法访问等意外情况”，是指在政府采购电子交易平台使用过程中，出现包括但不限于网络中断、服务器故障、应用软件或数据库错误等情形，导致采购活动无法正常进行。</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2.开标前环节故障处置：在供应商报名、投标（响应）文件上传、投标（响应）文件解密及唱标环节等开标活动开始前的任何环节出现系统无法访问的情形，采购代理机构将按照以下原则处置：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（一）若故障可在短时间内排除，采购代理机构将等待系统修复后，继续开展采购活动。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（二）若故障无法在预定开标时间前排除，或故障情况严重影响公平竞争，采购代理机构将通过发布更正公告推迟开标。</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（三）若因故障导致有效供应商不足法定家数或出现其他法定废标情形，采购代理机构将发布废标（终止）公告，重新开展采购活动。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特别说明：本项目投标（响应）文件递交方式以招标文件载明为准。在电子系统发生故障时，采购代理机构仅依据上述程序处理，不接受任何现场提交的纸质、U盘等非招标文件规定的投标（响应）文件。</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3.评审过程中故障处置：在评审委员会组建后至评审报告出具前的评审过程中出现系统无法访问的情形，采购代理机构将按照以下原则处置：</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（一）立即暂停评审：采购代理机构将立即宣布暂停评审活动，并采取必要措施封存所有投标（响应）文件及评审记录。</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（二）处置方案：视故障排除情况，采购代理机构将选择：</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1.若故障可在短时间内排除，采购代理机构将等待系统修复后，由原评审委员会继续完成评审；</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2. 若故障无法在当日排除，或故障导致评审无法公正进行，将发布废标（终止）公告，重新开展采购活动；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3.若需在第二日继续评审，采购代理机构将重新从政府采购评审专家库中抽取专家，组建新的评审委员会，在系统修复后继续评审活动。</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rPr>
            </w:pPr>
            <w:r>
              <w:rPr>
                <w:rFonts w:hint="eastAsia" w:ascii="宋体" w:hAnsi="宋体" w:cs="宋体"/>
                <w:color w:val="000000"/>
                <w:sz w:val="24"/>
                <w:highlight w:val="none"/>
              </w:rPr>
              <w:t xml:space="preserve">（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供应商应密切关注上述网站公告，公告内容对各方具有约束力。</w:t>
            </w:r>
            <w:r>
              <w:rPr>
                <w:rFonts w:hint="eastAsia" w:ascii="宋体" w:hAnsi="宋体" w:cs="宋体"/>
                <w:color w:val="000000"/>
                <w:sz w:val="24"/>
                <w:highlight w:val="none"/>
              </w:rPr>
            </w:r>
            <w:r/>
          </w:p>
          <w:p>
            <w:pPr>
              <w:pStyle w:val="1041"/>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（四）供应商责任：供应商有责任确保自身网络环境、设备及数字证书（CA）的正常，并在招标文件规定的期限内完成文件上传、解密等操作。因供应商自身原因导致的操作失败，不适用本意外情况处理条款。</w:t>
            </w:r>
            <w:r>
              <w:rPr>
                <w:rFonts w:hint="eastAsia" w:ascii="宋体" w:hAnsi="宋体" w:cs="宋体"/>
                <w:color w:val="000000"/>
                <w:sz w:val="24"/>
                <w:highlight w:val="none"/>
                <w:u w:val="single"/>
              </w:rPr>
            </w:r>
            <w:r/>
          </w:p>
        </w:tc>
      </w:tr>
    </w:tbl>
    <w:p>
      <w:pPr>
        <w:pStyle w:val="1041"/>
        <w:jc w:val="both"/>
        <w:spacing w:line="360" w:lineRule="auto"/>
        <w:tabs>
          <w:tab w:val="left" w:pos="5580" w:leader="none"/>
        </w:tabs>
        <w:rPr>
          <w:color w:val="000000"/>
          <w:sz w:val="24"/>
          <w:highlight w:val="none"/>
        </w:rPr>
        <w:sectPr>
          <w:footnotePr/>
          <w:endnotePr/>
          <w:type w:val="nextPage"/>
          <w:pgSz w:w="11907" w:h="16840" w:orient="portrait"/>
          <w:pgMar w:top="1440" w:right="1080" w:bottom="1440" w:left="1080" w:header="851" w:footer="851" w:gutter="0"/>
          <w:cols w:num="1" w:sep="0" w:space="1701" w:equalWidth="1"/>
          <w:docGrid w:linePitch="360"/>
          <w:titlePg/>
        </w:sectPr>
      </w:pP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Start w:id="76" w:name="_Toc305158897"/>
      <w:r/>
      <w:bookmarkStart w:id="77" w:name="_Toc226965828"/>
      <w:r/>
      <w:bookmarkStart w:id="78" w:name="_Toc150774760"/>
      <w:r/>
      <w:bookmarkStart w:id="79" w:name="_Toc150480793"/>
      <w:r/>
      <w:bookmarkStart w:id="80" w:name="_Toc353873665"/>
      <w:r/>
      <w:bookmarkStart w:id="81" w:name="_Toc195842920"/>
      <w:r/>
      <w:bookmarkStart w:id="82" w:name="_Toc305158823"/>
      <w:r/>
      <w:bookmarkStart w:id="83" w:name="_Toc127151555"/>
      <w:r/>
      <w:bookmarkStart w:id="84" w:name="_Toc264969245"/>
      <w:r/>
      <w:bookmarkStart w:id="85" w:name="_Toc353825545"/>
      <w:r/>
      <w:bookmarkStart w:id="86" w:name="_Toc226337251"/>
      <w:r/>
      <w:bookmarkStart w:id="87" w:name="_Toc353873935"/>
      <w:r/>
      <w:bookmarkStart w:id="88" w:name="_Toc265228393"/>
      <w:r/>
      <w:bookmarkStart w:id="89" w:name="_Toc142311057"/>
      <w:r>
        <w:rPr>
          <w:rFonts w:hint="eastAsia" w:ascii="宋体" w:hAnsi="宋体"/>
          <w:b/>
          <w:bCs/>
          <w:color w:val="000000"/>
          <w:sz w:val="28"/>
          <w:szCs w:val="28"/>
          <w:highlight w:val="none"/>
        </w:rPr>
        <w:t xml:space="preserve">供应商须知</w:t>
      </w: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90" w:name="_Toc151193616"/>
      <w:r/>
      <w:bookmarkStart w:id="91" w:name="_Toc142311020"/>
      <w:r/>
      <w:bookmarkStart w:id="92" w:name="_Toc305158860"/>
      <w:r/>
      <w:bookmarkStart w:id="93" w:name="_Toc151190145"/>
      <w:r/>
      <w:bookmarkStart w:id="94" w:name="_Toc151193688"/>
      <w:r/>
      <w:bookmarkStart w:id="95" w:name="_Toc264969208"/>
      <w:r/>
      <w:bookmarkStart w:id="96" w:name="_Toc150480756"/>
      <w:r/>
      <w:bookmarkStart w:id="97" w:name="_Toc195842883"/>
      <w:r/>
      <w:bookmarkStart w:id="98" w:name="_Toc226965791"/>
      <w:r/>
      <w:bookmarkStart w:id="99" w:name="_Toc226309762"/>
      <w:r/>
      <w:bookmarkStart w:id="100" w:name="_Toc226965708"/>
      <w:r/>
      <w:bookmarkStart w:id="101" w:name="_Toc127151518"/>
      <w:r/>
      <w:bookmarkStart w:id="102" w:name="_Toc265228356"/>
      <w:r/>
      <w:bookmarkStart w:id="103" w:name="_Toc151193760"/>
      <w:r/>
      <w:bookmarkStart w:id="104" w:name="_Toc151193832"/>
      <w:r/>
      <w:bookmarkStart w:id="105" w:name="_Toc150774618"/>
      <w:r/>
      <w:bookmarkStart w:id="106" w:name="_Toc226337214"/>
      <w:r/>
      <w:bookmarkStart w:id="107" w:name="_Toc150774723"/>
      <w:r/>
      <w:bookmarkStart w:id="108" w:name="_Toc305158786"/>
      <w:r/>
      <w:bookmarkStart w:id="109" w:name="_Toc520356143"/>
      <w:r/>
      <w:bookmarkStart w:id="110" w:name="_Toc150509269"/>
      <w:r/>
      <w:bookmarkStart w:id="111" w:name="_Toc151193906"/>
      <w:r>
        <w:rPr>
          <w:rFonts w:hint="eastAsia" w:ascii="宋体" w:hAnsi="宋体"/>
          <w:b/>
          <w:bCs/>
          <w:color w:val="000000"/>
          <w:sz w:val="28"/>
          <w:szCs w:val="28"/>
          <w:highlight w:val="none"/>
        </w:rPr>
        <w:t xml:space="preserve">一   说  明</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2" w:name="_Toc305158787"/>
      <w:r/>
      <w:bookmarkStart w:id="113" w:name="_Toc264969209"/>
      <w:r/>
      <w:bookmarkStart w:id="114" w:name="_Toc305158861"/>
      <w:r/>
      <w:bookmarkStart w:id="115" w:name="_Toc265228357"/>
      <w:r>
        <w:rPr>
          <w:rFonts w:hint="eastAsia"/>
          <w:color w:val="000000"/>
          <w:sz w:val="24"/>
          <w:highlight w:val="none"/>
        </w:rPr>
        <w:t xml:space="preserve">采购人、采购代理机构、供应商</w:t>
      </w:r>
      <w:bookmarkEnd w:id="112"/>
      <w:r/>
      <w:bookmarkEnd w:id="113"/>
      <w:r/>
      <w:bookmarkEnd w:id="114"/>
      <w:r/>
      <w:bookmarkEnd w:id="115"/>
      <w:r>
        <w:rPr>
          <w:rFonts w:hint="eastAsia"/>
          <w:color w:val="000000"/>
          <w:sz w:val="24"/>
          <w:highlight w:val="none"/>
        </w:rPr>
        <w:t xml:space="preserve">、联合体</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供应商（也称“申请人”）：指向采购人提供货物、工程或者服务的法人、其他组织或者自然人。</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16" w:name="_Toc164229361"/>
      <w:r/>
      <w:bookmarkStart w:id="117" w:name="_Toc151193690"/>
      <w:r/>
      <w:bookmarkStart w:id="118" w:name="_Toc264969210"/>
      <w:r/>
      <w:bookmarkStart w:id="119" w:name="_Toc150509271"/>
      <w:r/>
      <w:bookmarkStart w:id="120" w:name="_Toc151193908"/>
      <w:r/>
      <w:bookmarkStart w:id="121" w:name="_Toc305158862"/>
      <w:r/>
      <w:bookmarkStart w:id="122" w:name="_Toc127151520"/>
      <w:r/>
      <w:bookmarkStart w:id="123" w:name="_Toc164608789"/>
      <w:r/>
      <w:bookmarkStart w:id="124" w:name="_Toc164608634"/>
      <w:r/>
      <w:bookmarkStart w:id="125" w:name="_Toc150774620"/>
      <w:r/>
      <w:bookmarkStart w:id="126" w:name="_Toc150480758"/>
      <w:r/>
      <w:bookmarkStart w:id="127" w:name="_Toc226309764"/>
      <w:r/>
      <w:bookmarkStart w:id="128" w:name="_Toc149720813"/>
      <w:r/>
      <w:bookmarkStart w:id="129" w:name="_Toc265228358"/>
      <w:r/>
      <w:bookmarkStart w:id="130" w:name="_Toc226965793"/>
      <w:r/>
      <w:bookmarkStart w:id="131" w:name="_Toc151193762"/>
      <w:r/>
      <w:bookmarkStart w:id="132" w:name="_Toc226337216"/>
      <w:r/>
      <w:bookmarkStart w:id="133" w:name="_Toc127161434"/>
      <w:r/>
      <w:bookmarkStart w:id="134" w:name="_Toc226965710"/>
      <w:r/>
      <w:bookmarkStart w:id="135" w:name="_Toc195842885"/>
      <w:r/>
      <w:bookmarkStart w:id="136" w:name="_Toc151193618"/>
      <w:r/>
      <w:bookmarkStart w:id="137" w:name="_Toc151193834"/>
      <w:r/>
      <w:bookmarkStart w:id="138" w:name="_Toc142311022"/>
      <w:r/>
      <w:bookmarkStart w:id="139" w:name="_Toc151190147"/>
      <w:r/>
      <w:bookmarkStart w:id="140" w:name="_Toc164351614"/>
      <w:r/>
      <w:bookmarkStart w:id="141" w:name="_Toc150774725"/>
      <w:r/>
      <w:bookmarkStart w:id="142" w:name="_Toc164229215"/>
      <w:r/>
      <w:bookmarkStart w:id="143" w:name="_Toc305158788"/>
      <w:r/>
      <w:bookmarkStart w:id="144" w:name="_Toc127151721"/>
      <w:r>
        <w:rPr>
          <w:rFonts w:hint="eastAsia"/>
          <w:color w:val="000000"/>
          <w:sz w:val="24"/>
          <w:highlight w:val="none"/>
        </w:rPr>
        <w:t xml:space="preserve">资金来源</w:t>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rPr>
          <w:rFonts w:hint="eastAsia"/>
          <w:color w:val="000000"/>
          <w:sz w:val="24"/>
          <w:highlight w:val="none"/>
        </w:rPr>
        <w:t xml:space="preserve">、项目属性、科研仪器设备采购</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项目属性见《供应商须知资料表》。</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现场考察、磋商前答疑会</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若《供应商须知资料表》中规定了组织现场考察、召开磋商前答疑会，则供应商应按要求在规定的时间和地点参加。</w:t>
      </w:r>
      <w:bookmarkStart w:id="145" w:name="_Toc151193910"/>
      <w:r/>
      <w:bookmarkStart w:id="146" w:name="_Toc151193620"/>
      <w:r/>
      <w:bookmarkStart w:id="147" w:name="_Toc305158790"/>
      <w:r/>
      <w:bookmarkStart w:id="148" w:name="_Toc226309766"/>
      <w:r/>
      <w:bookmarkStart w:id="149" w:name="_Toc520356146"/>
      <w:r/>
      <w:bookmarkStart w:id="150" w:name="_Toc226337218"/>
      <w:r/>
      <w:bookmarkStart w:id="151" w:name="_Toc226965795"/>
      <w:r/>
      <w:bookmarkStart w:id="152" w:name="_Toc265228360"/>
      <w:r/>
      <w:bookmarkStart w:id="153" w:name="_Toc150509273"/>
      <w:r/>
      <w:bookmarkStart w:id="154" w:name="_Toc151193692"/>
      <w:r/>
      <w:bookmarkStart w:id="155" w:name="_Toc264969212"/>
      <w:r/>
      <w:bookmarkStart w:id="156" w:name="_Toc150774727"/>
      <w:r/>
      <w:bookmarkStart w:id="157" w:name="_Toc305158864"/>
      <w:r/>
      <w:bookmarkStart w:id="158" w:name="_Toc151193764"/>
      <w:r/>
      <w:bookmarkStart w:id="159" w:name="_Toc142311024"/>
      <w:r/>
      <w:bookmarkStart w:id="160" w:name="_Toc226965712"/>
      <w:r/>
      <w:bookmarkStart w:id="161" w:name="_Toc150480760"/>
      <w:r/>
      <w:bookmarkStart w:id="162" w:name="_Toc127151522"/>
      <w:r/>
      <w:bookmarkStart w:id="163" w:name="_Toc151190149"/>
      <w:r/>
      <w:bookmarkStart w:id="164" w:name="_Toc150774622"/>
      <w:r/>
      <w:bookmarkStart w:id="165" w:name="_Toc195842887"/>
      <w:r/>
      <w:bookmarkStart w:id="166" w:name="_Toc151193836"/>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政府采购政策（包括但不限于下列具体政策要求）</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进口产品（本项目不涉及）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中小企业、监狱企业及残疾人福利性单位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41"/>
        <w:ind w:left="2835"/>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41"/>
        <w:numPr>
          <w:ilvl w:val="3"/>
          <w:numId w:val="10"/>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本项目是否专门面向中小企业预留采购份额见第一章《采购邀请》。</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采购标的对应的中小企业划分标准所属行业见《供应商须知资料表》。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小微企业价格评审优惠的政策调整：见第三章《评审方法和评审标准》。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政府采购节能产品、环境标志产品</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非政府强制采购的节能产品或环境标志产品，依据品目清单和认证证书实施政府优先采购。优先采购的具体规定见第三章《评审方法和评审标准》。</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支持乡村产业振兴管理</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为落实《关于运用政府采购政策支持乡村产业振兴的通知》（财库〔2021〕19号）有关要求，做好支持脱贫攻坚工作，本项目采购活动中对于支持乡村振兴管理的相关要求见第四章《采购需求》。</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正版软件</w:t>
      </w:r>
      <w:r>
        <w:rPr>
          <w:rFonts w:hint="eastAsia" w:ascii="宋体" w:hAnsi="宋体" w:cs="宋体"/>
          <w:b/>
          <w:bCs/>
          <w:color w:val="000000"/>
          <w:sz w:val="24"/>
          <w:highlight w:val="none"/>
        </w:rPr>
        <w:t xml:space="preserve">（本项目不涉及）</w:t>
      </w:r>
      <w:r>
        <w:rPr>
          <w:rFonts w:hint="eastAsia" w:ascii="宋体" w:hAnsi="宋体" w:cs="宋体"/>
          <w:b/>
          <w:bCs/>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政府采购创新产品政策</w:t>
      </w:r>
      <w:r>
        <w:rPr>
          <w:rFonts w:hint="eastAsia" w:ascii="宋体" w:hAnsi="宋体" w:cs="宋体"/>
          <w:b/>
          <w:bCs/>
          <w:color w:val="000000"/>
          <w:sz w:val="24"/>
          <w:highlight w:val="none"/>
        </w:rPr>
        <w:t xml:space="preserve">（本项目不涉及）</w:t>
      </w:r>
      <w:r>
        <w:rPr>
          <w:rFonts w:hint="eastAsia" w:ascii="宋体" w:hAnsi="宋体" w:cs="宋体"/>
          <w:color w:val="000000"/>
          <w:sz w:val="24"/>
          <w:highlight w:val="none"/>
        </w:rPr>
      </w:r>
      <w:r/>
    </w:p>
    <w:p>
      <w:pPr>
        <w:pStyle w:val="1041"/>
        <w:ind w:firstLine="482"/>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绿色采购政策</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color w:val="000000"/>
          <w:sz w:val="24"/>
          <w:highlight w:val="none"/>
        </w:rPr>
      </w:r>
      <w:r/>
    </w:p>
    <w:p>
      <w:pPr>
        <w:pStyle w:val="1041"/>
        <w:numPr>
          <w:ilvl w:val="2"/>
          <w:numId w:val="9"/>
        </w:numPr>
        <w:spacing w:line="360" w:lineRule="auto"/>
        <w:tabs>
          <w:tab w:val="left" w:pos="1980"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优先使用低挥发性有机化合物产品</w:t>
      </w:r>
      <w:r>
        <w:rPr>
          <w:rFonts w:hint="eastAsia" w:ascii="宋体" w:hAnsi="宋体" w:cs="宋体"/>
          <w:color w:val="000000"/>
          <w:sz w:val="24"/>
          <w:highlight w:val="none"/>
        </w:rPr>
      </w:r>
      <w:r/>
    </w:p>
    <w:p>
      <w:pPr>
        <w:pStyle w:val="1041"/>
        <w:ind w:left="1445"/>
        <w:spacing w:line="360" w:lineRule="auto"/>
        <w:tabs>
          <w:tab w:val="left" w:pos="1980" w:leader="none"/>
          <w:tab w:val="left" w:pos="25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响应费用</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67" w:name="_1.8_计量单位"/>
      <w:r/>
      <w:bookmarkEnd w:id="167"/>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二   竞争性磋商文件</w:t>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168" w:name="_Toc164608792"/>
      <w:r/>
      <w:bookmarkStart w:id="169" w:name="_Toc149720816"/>
      <w:r/>
      <w:bookmarkStart w:id="170" w:name="_Toc151193693"/>
      <w:r/>
      <w:bookmarkStart w:id="171" w:name="_Toc226337219"/>
      <w:r/>
      <w:bookmarkStart w:id="172" w:name="_Toc265228361"/>
      <w:r/>
      <w:bookmarkStart w:id="173" w:name="_Toc127161437"/>
      <w:r/>
      <w:bookmarkStart w:id="174" w:name="_Toc226309767"/>
      <w:r/>
      <w:bookmarkStart w:id="175" w:name="_Toc150509274"/>
      <w:r/>
      <w:bookmarkStart w:id="176" w:name="_Toc151193911"/>
      <w:r/>
      <w:bookmarkStart w:id="177" w:name="_Toc264969213"/>
      <w:r/>
      <w:bookmarkStart w:id="178" w:name="_Toc127151724"/>
      <w:r/>
      <w:bookmarkStart w:id="179" w:name="_Toc164351617"/>
      <w:r/>
      <w:bookmarkStart w:id="180" w:name="_Toc151193621"/>
      <w:r/>
      <w:bookmarkStart w:id="181" w:name="_Toc127151523"/>
      <w:r/>
      <w:bookmarkStart w:id="182" w:name="_Toc520356147"/>
      <w:r/>
      <w:bookmarkStart w:id="183" w:name="_Toc151193837"/>
      <w:r/>
      <w:bookmarkStart w:id="184" w:name="_Toc195842888"/>
      <w:r/>
      <w:bookmarkStart w:id="185" w:name="_Toc151190150"/>
      <w:r/>
      <w:bookmarkStart w:id="186" w:name="_Toc164229218"/>
      <w:r/>
      <w:bookmarkStart w:id="187" w:name="_Toc150480761"/>
      <w:r/>
      <w:bookmarkStart w:id="188" w:name="_Toc305158791"/>
      <w:r/>
      <w:bookmarkStart w:id="189" w:name="_Toc164229364"/>
      <w:r/>
      <w:bookmarkStart w:id="190" w:name="_Toc226965796"/>
      <w:r/>
      <w:bookmarkStart w:id="191" w:name="_Toc142311025"/>
      <w:r/>
      <w:bookmarkStart w:id="192" w:name="_Toc305158865"/>
      <w:r/>
      <w:bookmarkStart w:id="193" w:name="_Toc226965713"/>
      <w:r/>
      <w:bookmarkStart w:id="194" w:name="_Toc150774623"/>
      <w:r/>
      <w:bookmarkStart w:id="195" w:name="_Toc150774728"/>
      <w:r/>
      <w:bookmarkStart w:id="196" w:name="_Toc164608637"/>
      <w:r/>
      <w:bookmarkStart w:id="197" w:name="_Toc151193765"/>
      <w:r>
        <w:rPr>
          <w:rFonts w:hint="eastAsia"/>
          <w:color w:val="000000"/>
          <w:sz w:val="24"/>
          <w:highlight w:val="none"/>
        </w:rPr>
        <w:t xml:space="preserve">竞争性磋商文件构</w:t>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rPr>
          <w:rFonts w:hint="eastAsia"/>
          <w:color w:val="000000"/>
          <w:sz w:val="24"/>
          <w:highlight w:val="none"/>
        </w:rPr>
        <w:t xml:space="preserve">成</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竞争性磋商文件包括以下部分：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采购邀请</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供应商须知</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评审程序、评审方法和评审标准</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合同草案条款</w:t>
      </w:r>
      <w:r>
        <w:rPr>
          <w:rFonts w:hint="eastAsia" w:ascii="宋体" w:hAnsi="宋体" w:cs="宋体"/>
          <w:color w:val="000000"/>
          <w:sz w:val="24"/>
          <w:highlight w:val="none"/>
        </w:rPr>
      </w:r>
      <w:r/>
    </w:p>
    <w:p>
      <w:pPr>
        <w:pStyle w:val="1041"/>
        <w:numPr>
          <w:ilvl w:val="0"/>
          <w:numId w:val="11"/>
        </w:numPr>
        <w:ind w:left="1440" w:firstLine="5"/>
        <w:spacing w:line="360" w:lineRule="auto"/>
        <w:tabs>
          <w:tab w:val="left" w:pos="1980"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响应文件格式</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对竞争性磋商文件的澄清或修改</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198" w:name="_Toc265228364"/>
      <w:r/>
      <w:bookmarkStart w:id="199" w:name="_Toc226965799"/>
      <w:r/>
      <w:bookmarkStart w:id="200" w:name="_Toc150480764"/>
      <w:r/>
      <w:bookmarkStart w:id="201" w:name="_Toc151193840"/>
      <w:r/>
      <w:bookmarkStart w:id="202" w:name="_Toc226309770"/>
      <w:r/>
      <w:bookmarkStart w:id="203" w:name="_Toc264969216"/>
      <w:r/>
      <w:bookmarkStart w:id="204" w:name="_Toc151193696"/>
      <w:r/>
      <w:bookmarkStart w:id="205" w:name="_Toc305158868"/>
      <w:r/>
      <w:bookmarkStart w:id="206" w:name="_Toc150774731"/>
      <w:r/>
      <w:bookmarkStart w:id="207" w:name="_Toc516367020"/>
      <w:r/>
      <w:bookmarkStart w:id="208" w:name="_Toc150774626"/>
      <w:r/>
      <w:bookmarkStart w:id="209" w:name="_Toc151193914"/>
      <w:r/>
      <w:bookmarkStart w:id="210" w:name="_Toc142311028"/>
      <w:r/>
      <w:bookmarkStart w:id="211" w:name="_Toc195842891"/>
      <w:r/>
      <w:bookmarkStart w:id="212" w:name="_Toc127151526"/>
      <w:r/>
      <w:bookmarkStart w:id="213" w:name="_Toc150509277"/>
      <w:r/>
      <w:bookmarkStart w:id="214" w:name="_Toc151193624"/>
      <w:r/>
      <w:bookmarkStart w:id="215" w:name="_Toc520356150"/>
      <w:r/>
      <w:bookmarkStart w:id="216" w:name="_Toc226965716"/>
      <w:r/>
      <w:bookmarkStart w:id="217" w:name="_Toc305158794"/>
      <w:r/>
      <w:bookmarkStart w:id="218" w:name="_Toc151193768"/>
      <w:r/>
      <w:bookmarkStart w:id="219" w:name="_Toc151190153"/>
      <w:r/>
      <w:bookmarkStart w:id="220" w:name="_Toc22633722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三   响应文件</w:t>
      </w:r>
      <w:bookmarkEnd w:id="207"/>
      <w:r>
        <w:rPr>
          <w:rFonts w:hint="eastAsia" w:ascii="宋体" w:hAnsi="宋体"/>
          <w:b/>
          <w:bCs/>
          <w:color w:val="000000"/>
          <w:sz w:val="28"/>
          <w:szCs w:val="28"/>
          <w:highlight w:val="none"/>
        </w:rPr>
        <w:t xml:space="preserve">的编制</w:t>
      </w:r>
      <w:bookmarkEnd w:id="198"/>
      <w:r/>
      <w:bookmarkEnd w:id="199"/>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21" w:name="_Toc164229222"/>
      <w:r/>
      <w:bookmarkStart w:id="222" w:name="_Toc226965717"/>
      <w:r/>
      <w:bookmarkStart w:id="223" w:name="_Toc151190154"/>
      <w:r/>
      <w:bookmarkStart w:id="224" w:name="_Toc150509278"/>
      <w:r/>
      <w:bookmarkStart w:id="225" w:name="_Toc520356151"/>
      <w:r/>
      <w:bookmarkStart w:id="226" w:name="_Toc149720820"/>
      <w:r/>
      <w:bookmarkStart w:id="227" w:name="_Toc151193841"/>
      <w:r/>
      <w:bookmarkStart w:id="228" w:name="_Toc150480765"/>
      <w:r/>
      <w:bookmarkStart w:id="229" w:name="_Toc151193625"/>
      <w:r/>
      <w:bookmarkStart w:id="230" w:name="_Toc226337223"/>
      <w:r/>
      <w:bookmarkStart w:id="231" w:name="_Toc164351621"/>
      <w:r/>
      <w:bookmarkStart w:id="232" w:name="_Toc264969217"/>
      <w:r/>
      <w:bookmarkStart w:id="233" w:name="_Toc226965800"/>
      <w:r/>
      <w:bookmarkStart w:id="234" w:name="_Toc150774732"/>
      <w:r/>
      <w:bookmarkStart w:id="235" w:name="_Toc305158795"/>
      <w:r/>
      <w:bookmarkStart w:id="236" w:name="_Toc142311029"/>
      <w:r/>
      <w:bookmarkStart w:id="237" w:name="_Toc305158869"/>
      <w:r/>
      <w:bookmarkStart w:id="238" w:name="_Toc150774627"/>
      <w:r/>
      <w:bookmarkStart w:id="239" w:name="_Toc164608641"/>
      <w:r/>
      <w:bookmarkStart w:id="240" w:name="_Toc226309771"/>
      <w:r/>
      <w:bookmarkStart w:id="241" w:name="_Toc151193915"/>
      <w:r/>
      <w:bookmarkStart w:id="242" w:name="_Toc127161441"/>
      <w:r/>
      <w:bookmarkStart w:id="243" w:name="_Toc151193697"/>
      <w:r/>
      <w:bookmarkStart w:id="244" w:name="_Toc195842892"/>
      <w:r/>
      <w:bookmarkStart w:id="245" w:name="_Toc164608796"/>
      <w:r/>
      <w:bookmarkStart w:id="246" w:name="_Toc151193769"/>
      <w:r/>
      <w:bookmarkStart w:id="247" w:name="_Toc127151728"/>
      <w:r/>
      <w:bookmarkStart w:id="248" w:name="_Toc164229368"/>
      <w:r/>
      <w:bookmarkStart w:id="249" w:name="_Toc516367021"/>
      <w:r/>
      <w:bookmarkStart w:id="250" w:name="_Toc127151527"/>
      <w:r/>
      <w:bookmarkStart w:id="251" w:name="_Toc265228365"/>
      <w:r>
        <w:rPr>
          <w:rFonts w:hint="eastAsia"/>
          <w:color w:val="000000"/>
          <w:sz w:val="24"/>
          <w:highlight w:val="none"/>
        </w:rPr>
        <w:t xml:space="preserve">响应范围、竞争性磋商文件中计量单位的使用</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rPr>
          <w:rFonts w:hint="eastAsia"/>
          <w:color w:val="000000"/>
          <w:sz w:val="24"/>
          <w:highlight w:val="none"/>
        </w:rPr>
        <w:t xml:space="preserve">及磋商语言</w:t>
      </w:r>
      <w:r>
        <w:rPr>
          <w:rFonts w:hint="eastAsia"/>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除竞争性磋商文件有特殊要求外，本项目磋商所使用的计量单位，应采用中华人民共和国法定计量单位。</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52" w:name="_Toc164229223"/>
      <w:r/>
      <w:bookmarkStart w:id="253" w:name="_Toc150480766"/>
      <w:r/>
      <w:bookmarkStart w:id="254" w:name="_Toc195842893"/>
      <w:r/>
      <w:bookmarkStart w:id="255" w:name="_Toc164608642"/>
      <w:r/>
      <w:bookmarkStart w:id="256" w:name="_Toc164351622"/>
      <w:r/>
      <w:bookmarkStart w:id="257" w:name="_Toc151193770"/>
      <w:r/>
      <w:bookmarkStart w:id="258" w:name="_Toc151193626"/>
      <w:r/>
      <w:bookmarkStart w:id="259" w:name="_Toc150509279"/>
      <w:r/>
      <w:bookmarkStart w:id="260" w:name="_Toc305158870"/>
      <w:r/>
      <w:bookmarkStart w:id="261" w:name="_Toc164608797"/>
      <w:r/>
      <w:bookmarkStart w:id="262" w:name="_Toc265228366"/>
      <w:r/>
      <w:bookmarkStart w:id="263" w:name="_Toc151193842"/>
      <w:r/>
      <w:bookmarkStart w:id="264" w:name="_Toc127151528"/>
      <w:r/>
      <w:bookmarkStart w:id="265" w:name="_Toc226309772"/>
      <w:r/>
      <w:bookmarkStart w:id="266" w:name="_Toc226337224"/>
      <w:r/>
      <w:bookmarkStart w:id="267" w:name="_Toc127151729"/>
      <w:r/>
      <w:bookmarkStart w:id="268" w:name="_Toc150774733"/>
      <w:r/>
      <w:bookmarkStart w:id="269" w:name="_Ref467306676"/>
      <w:r/>
      <w:bookmarkStart w:id="270" w:name="_Toc226965801"/>
      <w:r/>
      <w:bookmarkStart w:id="271" w:name="_Toc127161442"/>
      <w:r/>
      <w:bookmarkStart w:id="272" w:name="_Ref467306195"/>
      <w:r/>
      <w:bookmarkStart w:id="273" w:name="_Toc305158796"/>
      <w:r/>
      <w:bookmarkStart w:id="274" w:name="_Toc516367022"/>
      <w:r/>
      <w:bookmarkStart w:id="275" w:name="_Toc164229369"/>
      <w:r/>
      <w:bookmarkStart w:id="276" w:name="_Toc149720821"/>
      <w:r/>
      <w:bookmarkStart w:id="277" w:name="_Toc151193698"/>
      <w:r/>
      <w:bookmarkStart w:id="278" w:name="_Toc264969218"/>
      <w:r/>
      <w:bookmarkStart w:id="279" w:name="_Toc151190155"/>
      <w:r/>
      <w:bookmarkStart w:id="280" w:name="_Toc142311030"/>
      <w:r/>
      <w:bookmarkStart w:id="281" w:name="_Toc150774628"/>
      <w:r/>
      <w:bookmarkStart w:id="282" w:name="_Toc520356152"/>
      <w:r/>
      <w:bookmarkStart w:id="283" w:name="_Toc151193916"/>
      <w:r/>
      <w:bookmarkStart w:id="284" w:name="_Toc226965718"/>
      <w:r>
        <w:rPr>
          <w:rFonts w:hint="eastAsia"/>
          <w:color w:val="000000"/>
          <w:sz w:val="24"/>
          <w:highlight w:val="none"/>
        </w:rPr>
        <w:t xml:space="preserve">响应文件</w:t>
      </w:r>
      <w:bookmarkEnd w:id="269"/>
      <w:r/>
      <w:bookmarkEnd w:id="272"/>
      <w:r/>
      <w:bookmarkEnd w:id="274"/>
      <w:r>
        <w:rPr>
          <w:rFonts w:hint="eastAsia"/>
          <w:color w:val="000000"/>
          <w:sz w:val="24"/>
          <w:highlight w:val="none"/>
        </w:rPr>
        <w:t xml:space="preserve">构成</w:t>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70"/>
      <w:r/>
      <w:bookmarkEnd w:id="271"/>
      <w:r/>
      <w:bookmarkEnd w:id="273"/>
      <w:r/>
      <w:bookmarkEnd w:id="275"/>
      <w:r/>
      <w:bookmarkEnd w:id="276"/>
      <w:r/>
      <w:bookmarkEnd w:id="277"/>
      <w:r/>
      <w:bookmarkEnd w:id="278"/>
      <w:r/>
      <w:bookmarkEnd w:id="279"/>
      <w:r/>
      <w:bookmarkEnd w:id="280"/>
      <w:r/>
      <w:bookmarkEnd w:id="281"/>
      <w:r/>
      <w:bookmarkEnd w:id="282"/>
      <w:r/>
      <w:bookmarkEnd w:id="283"/>
      <w:r/>
      <w:bookmarkEnd w:id="284"/>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5" w:name="_Ref467052588"/>
      <w:r>
        <w:rPr>
          <w:rFonts w:hint="eastAsia" w:ascii="宋体" w:hAnsi="宋体" w:cs="宋体"/>
          <w:color w:val="000000"/>
          <w:sz w:val="24"/>
          <w:highlight w:val="none"/>
        </w:rPr>
        <w:t xml:space="preserve">供应商应当按照竞争性磋商文件的要求编制响应文件，</w:t>
      </w:r>
      <w:r>
        <w:rPr>
          <w:rFonts w:hint="eastAsia" w:ascii="宋体" w:hAnsi="宋体" w:cs="宋体"/>
          <w:color w:val="000000"/>
          <w:sz w:val="24"/>
          <w:highlight w:val="none"/>
        </w:rPr>
        <w:t xml:space="preserve">并对其提交的响应文件的真实性、合法性承担法律责任</w:t>
      </w:r>
      <w:r>
        <w:rPr>
          <w:rFonts w:hint="eastAsia" w:ascii="宋体" w:hAnsi="宋体" w:cs="宋体"/>
          <w:color w:val="000000"/>
          <w:sz w:val="24"/>
          <w:highlight w:val="none"/>
        </w:rPr>
        <w:t xml:space="preserve">。响应文件的部分格式要求，见第六章《响应文件格式》。</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对于竞争性磋商文件中标记了“实质性格式”文件的，</w:t>
      </w:r>
      <w:r>
        <w:rPr>
          <w:rFonts w:hint="eastAsia" w:ascii="宋体" w:hAnsi="宋体" w:cs="宋体"/>
          <w:color w:val="000000"/>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 xml:space="preserve">否则响应无效</w:t>
      </w:r>
      <w:r>
        <w:rPr>
          <w:rFonts w:hint="eastAsia" w:ascii="宋体" w:hAnsi="宋体" w:cs="宋体"/>
          <w:color w:val="000000"/>
          <w:sz w:val="24"/>
          <w:highlight w:val="none"/>
        </w:rPr>
        <w:t xml:space="preserve">。未标记“实质性格式”的文件和竞争性磋商文件未提供格式的内容，可由供应商自行编写。</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第三章《评审方法和评审标准》中涉及的证明文件。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供应商认为应附的其他材料。</w:t>
      </w:r>
      <w:bookmarkEnd w:id="285"/>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286" w:name="_Toc164229225"/>
      <w:r/>
      <w:bookmarkStart w:id="287" w:name="_Toc164351624"/>
      <w:r/>
      <w:bookmarkStart w:id="288" w:name="_Toc164608799"/>
      <w:r/>
      <w:bookmarkStart w:id="289" w:name="_Toc151193844"/>
      <w:r/>
      <w:bookmarkStart w:id="290" w:name="_Toc150774630"/>
      <w:r/>
      <w:bookmarkStart w:id="291" w:name="_Toc150480768"/>
      <w:r/>
      <w:bookmarkStart w:id="292" w:name="_Toc151193628"/>
      <w:r/>
      <w:bookmarkStart w:id="293" w:name="_Toc127151530"/>
      <w:r/>
      <w:bookmarkStart w:id="294" w:name="_Toc150774735"/>
      <w:r/>
      <w:bookmarkStart w:id="295" w:name="_Toc151193700"/>
      <w:r/>
      <w:bookmarkStart w:id="296" w:name="_Toc151190157"/>
      <w:r/>
      <w:bookmarkStart w:id="297" w:name="_Toc127161444"/>
      <w:r/>
      <w:bookmarkStart w:id="298" w:name="_Toc151193772"/>
      <w:r/>
      <w:bookmarkStart w:id="299" w:name="_Toc149720823"/>
      <w:r/>
      <w:bookmarkStart w:id="300" w:name="_Toc150509281"/>
      <w:r/>
      <w:bookmarkStart w:id="301" w:name="_Toc520356155"/>
      <w:r/>
      <w:bookmarkStart w:id="302" w:name="_Toc164229371"/>
      <w:r/>
      <w:bookmarkStart w:id="303" w:name="_Toc151193918"/>
      <w:r/>
      <w:bookmarkStart w:id="304" w:name="_Toc142311032"/>
      <w:r/>
      <w:bookmarkStart w:id="305" w:name="_Toc164608644"/>
      <w:r/>
      <w:bookmarkStart w:id="306" w:name="_Toc195842895"/>
      <w:r/>
      <w:bookmarkStart w:id="307" w:name="_Toc127151731"/>
      <w:r>
        <w:rPr>
          <w:rFonts w:hint="eastAsia"/>
          <w:color w:val="000000"/>
          <w:sz w:val="24"/>
          <w:highlight w:val="none"/>
        </w:rPr>
        <w:t xml:space="preserve">报价</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所有响应均以人民币报价。</w:t>
      </w:r>
      <w:r>
        <w:rPr>
          <w:rFonts w:hint="eastAsia" w:ascii="宋体" w:hAnsi="宋体" w:cs="宋体"/>
          <w:color w:val="000000"/>
          <w:sz w:val="24"/>
          <w:highlight w:val="none"/>
        </w:rPr>
      </w:r>
      <w:r/>
    </w:p>
    <w:p>
      <w:pPr>
        <w:pStyle w:val="1041"/>
        <w:numPr>
          <w:ilvl w:val="1"/>
          <w:numId w:val="9"/>
        </w:numPr>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按照竞争性磋商文件要求完成本项目的全部相关服务费用。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供应商不能提供任何有选择性或可调整的最终报价（</w:t>
      </w:r>
      <w:r>
        <w:rPr>
          <w:rFonts w:hint="eastAsia" w:ascii="宋体" w:hAnsi="宋体" w:cs="宋体"/>
          <w:color w:val="000000"/>
          <w:sz w:val="24"/>
          <w:highlight w:val="none"/>
        </w:rPr>
        <w:t xml:space="preserve">竞争性磋商文件</w:t>
      </w:r>
      <w:r>
        <w:rPr>
          <w:rFonts w:hint="eastAsia" w:ascii="宋体" w:hAnsi="宋体" w:cs="宋体"/>
          <w:color w:val="000000"/>
          <w:sz w:val="24"/>
          <w:highlight w:val="none"/>
        </w:rPr>
        <w:t xml:space="preserve">另有规定的除外），否则其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磋商保证金</w:t>
      </w:r>
      <w:r>
        <w:rPr>
          <w:rFonts w:hint="eastAsia"/>
          <w:color w:val="000000"/>
          <w:sz w:val="24"/>
          <w:highlight w:val="none"/>
        </w:rPr>
      </w:r>
      <w:r/>
    </w:p>
    <w:p>
      <w:pPr>
        <w:pStyle w:val="1041"/>
        <w:ind w:firstLine="360"/>
        <w:spacing w:line="360" w:lineRule="auto"/>
        <w:tabs>
          <w:tab w:val="left" w:pos="3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根据江苏省和常州市的相关文件规定，免收保证金。</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响应有效期</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08" w:name="_Toc164351627"/>
      <w:r/>
      <w:bookmarkStart w:id="309" w:name="_Toc164608647"/>
      <w:r/>
      <w:bookmarkStart w:id="310" w:name="_Toc127151734"/>
      <w:r/>
      <w:bookmarkStart w:id="311" w:name="_Toc164229228"/>
      <w:r/>
      <w:bookmarkStart w:id="312" w:name="_Toc151193847"/>
      <w:r/>
      <w:bookmarkStart w:id="313" w:name="_Toc520356158"/>
      <w:r/>
      <w:bookmarkStart w:id="314" w:name="_Toc226309777"/>
      <w:r/>
      <w:bookmarkStart w:id="315" w:name="_Toc151193921"/>
      <w:r/>
      <w:bookmarkStart w:id="316" w:name="_Toc149720826"/>
      <w:r/>
      <w:bookmarkStart w:id="317" w:name="_Toc150480771"/>
      <w:r/>
      <w:bookmarkStart w:id="318" w:name="_Toc127151533"/>
      <w:r/>
      <w:bookmarkStart w:id="319" w:name="_Toc151193703"/>
      <w:r/>
      <w:bookmarkStart w:id="320" w:name="_Toc226965806"/>
      <w:r/>
      <w:bookmarkStart w:id="321" w:name="_Toc164608802"/>
      <w:r/>
      <w:bookmarkStart w:id="322" w:name="_Toc151190160"/>
      <w:r/>
      <w:bookmarkStart w:id="323" w:name="_Toc142311035"/>
      <w:r/>
      <w:bookmarkStart w:id="324" w:name="_Toc226337229"/>
      <w:r/>
      <w:bookmarkStart w:id="325" w:name="_Toc150774738"/>
      <w:r/>
      <w:bookmarkStart w:id="326" w:name="_Toc305158801"/>
      <w:r/>
      <w:bookmarkStart w:id="327" w:name="_Toc127161447"/>
      <w:r/>
      <w:bookmarkStart w:id="328" w:name="_Toc150774633"/>
      <w:r/>
      <w:bookmarkStart w:id="329" w:name="_Toc150509284"/>
      <w:r/>
      <w:bookmarkStart w:id="330" w:name="_Toc265228371"/>
      <w:r/>
      <w:bookmarkStart w:id="331" w:name="_Toc151193775"/>
      <w:r/>
      <w:bookmarkStart w:id="332" w:name="_Toc305158875"/>
      <w:r/>
      <w:bookmarkStart w:id="333" w:name="_Toc226965723"/>
      <w:r/>
      <w:bookmarkStart w:id="334" w:name="_Toc264969223"/>
      <w:r/>
      <w:bookmarkStart w:id="335" w:name="_Toc164229374"/>
      <w:r/>
      <w:bookmarkStart w:id="336" w:name="_Toc195842898"/>
      <w:r/>
      <w:bookmarkStart w:id="337" w:name="_Toc151193631"/>
      <w:r>
        <w:rPr>
          <w:rFonts w:hint="eastAsia"/>
          <w:color w:val="000000"/>
          <w:sz w:val="24"/>
          <w:highlight w:val="none"/>
        </w:rPr>
        <w:t xml:space="preserve">响应文件的签署</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color w:val="000000"/>
          <w:sz w:val="24"/>
          <w:highlight w:val="none"/>
        </w:rPr>
        <w:t xml:space="preserve">、盖章</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竞争性磋商文件要求盖章的内容，一般通过磋商响应文件编制工具加盖电子签章。</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Start w:id="338" w:name="_Toc226309778"/>
      <w:r/>
      <w:bookmarkStart w:id="339" w:name="_Toc127151534"/>
      <w:r/>
      <w:bookmarkStart w:id="340" w:name="_Toc226965724"/>
      <w:r/>
      <w:bookmarkStart w:id="341" w:name="_Toc151190161"/>
      <w:r/>
      <w:bookmarkStart w:id="342" w:name="_Toc151193848"/>
      <w:r/>
      <w:bookmarkStart w:id="343" w:name="_Toc195842899"/>
      <w:r/>
      <w:bookmarkStart w:id="344" w:name="_Toc150774634"/>
      <w:r/>
      <w:bookmarkStart w:id="345" w:name="_Toc264969224"/>
      <w:r/>
      <w:bookmarkStart w:id="346" w:name="_Toc265228372"/>
      <w:r/>
      <w:bookmarkStart w:id="347" w:name="_Toc150774739"/>
      <w:r/>
      <w:bookmarkStart w:id="348" w:name="_Toc305158802"/>
      <w:r/>
      <w:bookmarkStart w:id="349" w:name="_Toc142311036"/>
      <w:r/>
      <w:bookmarkStart w:id="350" w:name="_Toc150509285"/>
      <w:r/>
      <w:bookmarkStart w:id="351" w:name="_Toc520356159"/>
      <w:r/>
      <w:bookmarkStart w:id="352" w:name="_Toc226965807"/>
      <w:r/>
      <w:bookmarkStart w:id="353" w:name="_Toc150480772"/>
      <w:r/>
      <w:bookmarkStart w:id="354" w:name="_Toc151193922"/>
      <w:r/>
      <w:bookmarkStart w:id="355" w:name="_Toc226337230"/>
      <w:r/>
      <w:bookmarkStart w:id="356" w:name="_Toc305158876"/>
      <w:r/>
      <w:bookmarkStart w:id="357" w:name="_Toc151193776"/>
      <w:r/>
      <w:bookmarkStart w:id="358" w:name="_Toc151193704"/>
      <w:r/>
      <w:bookmarkStart w:id="359" w:name="_Toc151193632"/>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四   响应文件的提交</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bookmarkStart w:id="360" w:name="_Toc164608649"/>
      <w:r/>
      <w:bookmarkStart w:id="361" w:name="_Toc226337231"/>
      <w:r/>
      <w:bookmarkStart w:id="362" w:name="_Toc151193849"/>
      <w:r/>
      <w:bookmarkStart w:id="363" w:name="_Toc164229376"/>
      <w:r/>
      <w:bookmarkStart w:id="364" w:name="_Toc151193923"/>
      <w:r/>
      <w:bookmarkStart w:id="365" w:name="_Toc151193705"/>
      <w:r/>
      <w:bookmarkStart w:id="366" w:name="_Toc520356160"/>
      <w:r/>
      <w:bookmarkStart w:id="367" w:name="_Toc127161449"/>
      <w:r/>
      <w:bookmarkStart w:id="368" w:name="_Toc150509286"/>
      <w:r/>
      <w:bookmarkStart w:id="369" w:name="_Toc164608804"/>
      <w:r/>
      <w:bookmarkStart w:id="370" w:name="_Toc195842900"/>
      <w:r/>
      <w:bookmarkStart w:id="371" w:name="_Toc127151736"/>
      <w:r/>
      <w:bookmarkStart w:id="372" w:name="_Toc151193777"/>
      <w:r/>
      <w:bookmarkStart w:id="373" w:name="_Toc305158803"/>
      <w:r/>
      <w:bookmarkStart w:id="374" w:name="_Toc164229230"/>
      <w:r/>
      <w:bookmarkStart w:id="375" w:name="_Toc226965725"/>
      <w:r/>
      <w:bookmarkStart w:id="376" w:name="_Toc142311037"/>
      <w:r/>
      <w:bookmarkStart w:id="377" w:name="_Toc226309779"/>
      <w:r/>
      <w:bookmarkStart w:id="378" w:name="_Toc149720828"/>
      <w:r/>
      <w:bookmarkStart w:id="379" w:name="_Toc127151535"/>
      <w:r/>
      <w:bookmarkStart w:id="380" w:name="_Toc265228373"/>
      <w:r/>
      <w:bookmarkStart w:id="381" w:name="_Toc150480773"/>
      <w:r/>
      <w:bookmarkStart w:id="382" w:name="_Toc305158877"/>
      <w:r/>
      <w:bookmarkStart w:id="383" w:name="_Toc226965808"/>
      <w:r/>
      <w:bookmarkStart w:id="384" w:name="_Toc151190162"/>
      <w:r/>
      <w:bookmarkStart w:id="385" w:name="_Toc150774740"/>
      <w:r/>
      <w:bookmarkStart w:id="386" w:name="_Toc164351629"/>
      <w:r/>
      <w:bookmarkStart w:id="387" w:name="_Toc264969225"/>
      <w:r/>
      <w:bookmarkStart w:id="388" w:name="_Toc151193633"/>
      <w:r/>
      <w:bookmarkStart w:id="389" w:name="_Toc150774635"/>
      <w:r>
        <w:rPr>
          <w:rFonts w:hint="eastAsia"/>
          <w:color w:val="000000"/>
          <w:sz w:val="24"/>
          <w:highlight w:val="none"/>
        </w:rPr>
        <w:t xml:space="preserve">响应文件的提交</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本项目使用“苏采云”政府采购一体化平台。供应商根据竞争性磋商文件及“苏采云”政府采购一体化平台供应商操作手册要求编制、生成并提交电子响应文件。</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采购人及采购代理机构拒绝接受通过电子交易平台以外任何形式提交的响应文件。</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响应文件截止时间</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供应商应在竞争性磋商文件要求提交响应文件截止时间前，将电子响应文件提交至“苏采云”政府采购一体化平台。</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响应文件的修改与撤回</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提交响应文件截止时间前，供应商可以通过电子交易平台对所提交的响应文件进行补充、修改或者撤回。</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ascii="宋体" w:hAnsi="宋体" w:cs="宋体"/>
          <w:color w:val="000000"/>
          <w:sz w:val="24"/>
          <w:highlight w:val="none"/>
        </w:rPr>
        <w:t xml:space="preserve">供应商对响应文件的补充、修改的内容应当按照竞争性磋商文件要求签署、盖章，作为响应文件的组成部分。补充、修改的内容与响应文件不一致的，以补</w:t>
      </w:r>
      <w:r>
        <w:rPr>
          <w:color w:val="000000"/>
          <w:sz w:val="24"/>
          <w:highlight w:val="none"/>
        </w:rPr>
        <w:t xml:space="preserve">充、修改的内容为准。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390" w:name="_Toc264969228"/>
      <w:r/>
      <w:bookmarkStart w:id="391" w:name="_Toc195842903"/>
      <w:r/>
      <w:bookmarkStart w:id="392" w:name="_Toc150774743"/>
      <w:r/>
      <w:bookmarkStart w:id="393" w:name="_Toc142311040"/>
      <w:r/>
      <w:bookmarkStart w:id="394" w:name="_Toc305158880"/>
      <w:r/>
      <w:bookmarkStart w:id="395" w:name="_Toc151190165"/>
      <w:r/>
      <w:bookmarkStart w:id="396" w:name="_Toc151193636"/>
      <w:r/>
      <w:bookmarkStart w:id="397" w:name="_Toc151193852"/>
      <w:r/>
      <w:bookmarkStart w:id="398" w:name="_Toc150509289"/>
      <w:r/>
      <w:bookmarkStart w:id="399" w:name="_Toc226337234"/>
      <w:r/>
      <w:bookmarkStart w:id="400" w:name="_Toc226309782"/>
      <w:r/>
      <w:bookmarkStart w:id="401" w:name="_Toc265228376"/>
      <w:r/>
      <w:bookmarkStart w:id="402" w:name="_Toc305158806"/>
      <w:r/>
      <w:bookmarkStart w:id="403" w:name="_Toc226965811"/>
      <w:r/>
      <w:bookmarkStart w:id="404" w:name="_Toc520356163"/>
      <w:r/>
      <w:bookmarkStart w:id="405" w:name="_Toc150480776"/>
      <w:r/>
      <w:bookmarkStart w:id="406" w:name="_Toc151193780"/>
      <w:r/>
      <w:bookmarkStart w:id="407" w:name="_Toc150774638"/>
      <w:r/>
      <w:bookmarkStart w:id="408" w:name="_Toc151193708"/>
      <w:r/>
      <w:bookmarkStart w:id="409" w:name="_Toc127151538"/>
      <w:r/>
      <w:bookmarkStart w:id="410" w:name="_Toc226965728"/>
      <w:r/>
      <w:bookmarkStart w:id="411" w:name="_Toc151193926"/>
      <w:r>
        <w:rPr>
          <w:rFonts w:hint="eastAsia" w:ascii="宋体" w:hAnsi="宋体"/>
          <w:b/>
          <w:bCs/>
          <w:color w:val="000000"/>
          <w:sz w:val="28"/>
          <w:szCs w:val="28"/>
          <w:highlight w:val="none"/>
        </w:rPr>
        <w:t xml:space="preserve">五   </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rPr>
          <w:rFonts w:hint="eastAsia" w:ascii="宋体" w:hAnsi="宋体"/>
          <w:b/>
          <w:bCs/>
          <w:color w:val="000000"/>
          <w:sz w:val="28"/>
          <w:szCs w:val="28"/>
          <w:highlight w:val="none"/>
        </w:rPr>
        <w:t xml:space="preserve">评审</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Start w:id="412" w:name="_Toc520356169"/>
      <w:r>
        <w:rPr>
          <w:color w:val="000000"/>
          <w:sz w:val="24"/>
          <w:highlight w:val="none"/>
        </w:rPr>
        <w:t xml:space="preserve">响应文件的</w:t>
      </w:r>
      <w:r>
        <w:rPr>
          <w:rFonts w:hint="eastAsia"/>
          <w:color w:val="000000"/>
          <w:sz w:val="24"/>
          <w:highlight w:val="none"/>
        </w:rPr>
        <w:t xml:space="preserve">解密与</w:t>
      </w:r>
      <w:r>
        <w:rPr>
          <w:color w:val="000000"/>
          <w:sz w:val="24"/>
          <w:highlight w:val="none"/>
        </w:rPr>
        <w:t xml:space="preserve">开启</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采购人或采购代理机构将按竞争性磋商文件的规定，在响应文件提交截止时间的同一时间和竞争性磋商文件预先确定的地点开启响应文件。</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本项目</w:t>
      </w:r>
      <w:r>
        <w:rPr>
          <w:rFonts w:ascii="宋体" w:hAnsi="宋体"/>
          <w:color w:val="000000"/>
          <w:sz w:val="24"/>
          <w:highlight w:val="none"/>
        </w:rPr>
        <w:t xml:space="preserve">采用不见面招</w:t>
      </w:r>
      <w:r>
        <w:rPr>
          <w:rFonts w:hint="eastAsia" w:ascii="宋体" w:hAnsi="宋体"/>
          <w:color w:val="000000"/>
          <w:sz w:val="24"/>
          <w:highlight w:val="none"/>
        </w:rPr>
        <w:t xml:space="preserve">交易</w:t>
      </w:r>
      <w:r>
        <w:rPr>
          <w:rFonts w:ascii="宋体" w:hAnsi="宋体"/>
          <w:color w:val="000000"/>
          <w:sz w:val="24"/>
          <w:highlight w:val="none"/>
        </w:rPr>
        <w:t xml:space="preserve">模式</w:t>
      </w:r>
      <w:r>
        <w:rPr>
          <w:rFonts w:hint="eastAsia" w:ascii="宋体" w:hAnsi="宋体"/>
          <w:color w:val="000000"/>
          <w:sz w:val="24"/>
          <w:highlight w:val="none"/>
        </w:rPr>
        <w:t xml:space="preserve">，</w:t>
      </w:r>
      <w:r>
        <w:rPr>
          <w:color w:val="000000"/>
          <w:sz w:val="24"/>
          <w:highlight w:val="none"/>
        </w:rPr>
        <w:t xml:space="preserve">使用</w:t>
      </w:r>
      <w:r>
        <w:rPr>
          <w:rFonts w:hint="eastAsia"/>
          <w:color w:val="000000"/>
          <w:sz w:val="24"/>
          <w:highlight w:val="none"/>
        </w:rPr>
        <w:t xml:space="preserve">“苏采云”政府采购一体化平台在线进行</w:t>
      </w:r>
      <w:r>
        <w:rPr>
          <w:color w:val="000000"/>
          <w:sz w:val="24"/>
          <w:highlight w:val="none"/>
        </w:rPr>
        <w:t xml:space="preserve">解密。供应商应在规定的时间内对</w:t>
      </w:r>
      <w:r>
        <w:rPr>
          <w:rFonts w:hint="eastAsia"/>
          <w:color w:val="000000"/>
          <w:sz w:val="24"/>
          <w:highlight w:val="none"/>
        </w:rPr>
        <w:t xml:space="preserve">响应</w:t>
      </w:r>
      <w:r>
        <w:rPr>
          <w:color w:val="000000"/>
          <w:sz w:val="24"/>
          <w:highlight w:val="none"/>
        </w:rPr>
        <w:t xml:space="preserve">文件进行解密，因非系统原因导致的解密失败，视为</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供应商不足3家的，不予解密。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bookmarkStart w:id="413" w:name="_Toc520356165"/>
      <w:r>
        <w:rPr>
          <w:color w:val="000000"/>
          <w:sz w:val="24"/>
          <w:highlight w:val="none"/>
        </w:rPr>
        <w:t xml:space="preserve">本项目不公开报价。</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供应商须在开标前使用“验证CA”功能验证本地计算机的控件环境是否正常，并且在</w:t>
      </w:r>
      <w:r>
        <w:rPr>
          <w:rFonts w:hint="eastAsia"/>
          <w:color w:val="000000"/>
          <w:sz w:val="24"/>
          <w:highlight w:val="none"/>
        </w:rPr>
        <w:t xml:space="preserve">解密、评审</w:t>
      </w:r>
      <w:r>
        <w:rPr>
          <w:color w:val="000000"/>
          <w:sz w:val="24"/>
          <w:highlight w:val="none"/>
        </w:rPr>
        <w:t xml:space="preserve">过程中不可随意更换</w:t>
      </w:r>
      <w:r>
        <w:rPr>
          <w:rFonts w:hint="eastAsia"/>
          <w:color w:val="000000"/>
          <w:sz w:val="24"/>
          <w:highlight w:val="none"/>
        </w:rPr>
        <w:t xml:space="preserve">计算机</w:t>
      </w:r>
      <w:r>
        <w:rPr>
          <w:color w:val="000000"/>
          <w:sz w:val="24"/>
          <w:highlight w:val="none"/>
        </w:rPr>
        <w:t xml:space="preserve">，必须使用验证成功的计算机进行操作，否则造成相应后果由供应商自行承担。本地计算机</w:t>
      </w:r>
      <w:r>
        <w:rPr>
          <w:rFonts w:hint="eastAsia"/>
          <w:color w:val="000000"/>
          <w:sz w:val="24"/>
          <w:highlight w:val="none"/>
        </w:rPr>
        <w:t xml:space="preserve">要求安装摄像头、麦克风和音箱，保持网络通畅。</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因本项目</w:t>
      </w:r>
      <w:r>
        <w:rPr>
          <w:color w:val="000000"/>
          <w:sz w:val="24"/>
          <w:highlight w:val="none"/>
        </w:rPr>
        <w:t xml:space="preserve">采用不见面交易的</w:t>
      </w:r>
      <w:r>
        <w:rPr>
          <w:rFonts w:hint="eastAsia"/>
          <w:color w:val="000000"/>
          <w:sz w:val="24"/>
          <w:highlight w:val="none"/>
        </w:rPr>
        <w:t xml:space="preserve">方式</w:t>
      </w:r>
      <w:r>
        <w:rPr>
          <w:color w:val="000000"/>
          <w:sz w:val="24"/>
          <w:highlight w:val="none"/>
        </w:rPr>
        <w:t xml:space="preserve">，在</w:t>
      </w:r>
      <w:r>
        <w:rPr>
          <w:rFonts w:hint="eastAsia"/>
          <w:color w:val="000000"/>
          <w:sz w:val="24"/>
          <w:highlight w:val="none"/>
        </w:rPr>
        <w:t xml:space="preserve">解密、评审</w:t>
      </w:r>
      <w:r>
        <w:rPr>
          <w:color w:val="000000"/>
          <w:sz w:val="24"/>
          <w:highlight w:val="none"/>
        </w:rPr>
        <w:t xml:space="preserve">过程中，</w:t>
      </w:r>
      <w:r>
        <w:rPr>
          <w:rFonts w:hint="eastAsia"/>
          <w:color w:val="000000"/>
          <w:sz w:val="24"/>
          <w:highlight w:val="none"/>
        </w:rPr>
        <w:t xml:space="preserve">供应商</w:t>
      </w:r>
      <w:r>
        <w:rPr>
          <w:color w:val="000000"/>
          <w:sz w:val="24"/>
          <w:highlight w:val="none"/>
        </w:rPr>
        <w:t xml:space="preserve">需</w:t>
      </w:r>
      <w:r>
        <w:rPr>
          <w:rFonts w:hint="eastAsia"/>
          <w:color w:val="000000"/>
          <w:sz w:val="24"/>
          <w:highlight w:val="none"/>
        </w:rPr>
        <w:t xml:space="preserve">要</w:t>
      </w:r>
      <w:r>
        <w:rPr>
          <w:color w:val="000000"/>
          <w:sz w:val="24"/>
          <w:highlight w:val="none"/>
        </w:rPr>
        <w:t xml:space="preserve">保持操作计算机前有相关责任人</w:t>
      </w:r>
      <w:r>
        <w:rPr>
          <w:rFonts w:hint="eastAsia"/>
          <w:color w:val="000000"/>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 xml:space="preserve">。</w:t>
      </w:r>
      <w:r>
        <w:rPr>
          <w:rFonts w:hint="eastAsia"/>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如果在</w:t>
      </w:r>
      <w:r>
        <w:rPr>
          <w:color w:val="000000"/>
          <w:sz w:val="24"/>
          <w:highlight w:val="none"/>
        </w:rPr>
        <w:t xml:space="preserve">采购</w:t>
      </w:r>
      <w:r>
        <w:rPr>
          <w:rFonts w:hint="eastAsia"/>
          <w:color w:val="000000"/>
          <w:sz w:val="24"/>
          <w:highlight w:val="none"/>
        </w:rPr>
        <w:t xml:space="preserve">活动</w:t>
      </w:r>
      <w:r>
        <w:rPr>
          <w:color w:val="000000"/>
          <w:sz w:val="24"/>
          <w:highlight w:val="none"/>
        </w:rPr>
        <w:t xml:space="preserve">过程中出现以下情形，导致</w:t>
      </w:r>
      <w:r>
        <w:rPr>
          <w:rFonts w:hint="eastAsia"/>
          <w:color w:val="000000"/>
          <w:sz w:val="24"/>
          <w:highlight w:val="none"/>
        </w:rPr>
        <w:t xml:space="preserve">“</w:t>
      </w:r>
      <w:r>
        <w:rPr>
          <w:rFonts w:hint="eastAsia"/>
          <w:color w:val="000000"/>
          <w:sz w:val="24"/>
          <w:highlight w:val="none"/>
          <w:lang w:bidi="ar"/>
        </w:rPr>
        <w:t xml:space="preserve">“苏采云”政府采购一体化平台</w:t>
      </w:r>
      <w:r>
        <w:rPr>
          <w:rFonts w:hint="eastAsia"/>
          <w:color w:val="000000"/>
          <w:sz w:val="24"/>
          <w:highlight w:val="none"/>
        </w:rPr>
        <w:t xml:space="preserve">”系统</w:t>
      </w:r>
      <w:r>
        <w:rPr>
          <w:color w:val="000000"/>
          <w:sz w:val="24"/>
          <w:highlight w:val="none"/>
        </w:rPr>
        <w:t xml:space="preserve">无法正常运行，或者无法保证</w:t>
      </w:r>
      <w:r>
        <w:rPr>
          <w:rFonts w:hint="eastAsia"/>
          <w:color w:val="000000"/>
          <w:sz w:val="24"/>
          <w:highlight w:val="none"/>
        </w:rPr>
        <w:t xml:space="preserve">本项目采购活动</w:t>
      </w:r>
      <w:r>
        <w:rPr>
          <w:color w:val="000000"/>
          <w:sz w:val="24"/>
          <w:highlight w:val="none"/>
        </w:rPr>
        <w:t xml:space="preserve">的公平、公正和安全时，</w:t>
      </w:r>
      <w:r>
        <w:rPr>
          <w:rFonts w:hint="eastAsia"/>
          <w:color w:val="000000"/>
          <w:sz w:val="24"/>
          <w:highlight w:val="none"/>
        </w:rPr>
        <w:t xml:space="preserve">代理机构</w:t>
      </w:r>
      <w:r>
        <w:rPr>
          <w:color w:val="000000"/>
          <w:sz w:val="24"/>
          <w:highlight w:val="none"/>
        </w:rPr>
        <w:t xml:space="preserve">可</w:t>
      </w:r>
      <w:r>
        <w:rPr>
          <w:rFonts w:hint="eastAsia"/>
          <w:color w:val="000000"/>
          <w:sz w:val="24"/>
          <w:highlight w:val="none"/>
        </w:rPr>
        <w:t xml:space="preserve">以延缓或者暂停采购活动，情况严重的可以终止采购</w:t>
      </w:r>
      <w:r>
        <w:rPr>
          <w:color w:val="000000"/>
          <w:sz w:val="24"/>
          <w:highlight w:val="none"/>
        </w:rPr>
        <w:t xml:space="preserve">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发生故障而无法登录访问的；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2)</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应用或数据库出现错误，不能进行正常操作的；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3)</w:t>
      </w:r>
      <w:r>
        <w:rPr>
          <w:color w:val="000000"/>
          <w:sz w:val="24"/>
          <w:highlight w:val="none"/>
        </w:rPr>
        <w:t xml:space="preserve">平台</w:t>
      </w:r>
      <w:r>
        <w:rPr>
          <w:rFonts w:hint="eastAsia"/>
          <w:color w:val="000000"/>
          <w:sz w:val="24"/>
          <w:highlight w:val="none"/>
        </w:rPr>
        <w:t xml:space="preserve">系统</w:t>
      </w:r>
      <w:r>
        <w:rPr>
          <w:color w:val="000000"/>
          <w:sz w:val="24"/>
          <w:highlight w:val="none"/>
        </w:rPr>
        <w:t xml:space="preserve">发现严重安全漏洞，有潜在泄密危险的；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color w:val="000000"/>
          <w:sz w:val="24"/>
          <w:highlight w:val="none"/>
        </w:rPr>
      </w:pPr>
      <w:r>
        <w:rPr>
          <w:rFonts w:hint="eastAsia"/>
          <w:color w:val="000000"/>
          <w:sz w:val="24"/>
          <w:highlight w:val="none"/>
        </w:rPr>
        <w:t xml:space="preserve">4)</w:t>
      </w:r>
      <w:r>
        <w:rPr>
          <w:color w:val="000000"/>
          <w:sz w:val="24"/>
          <w:highlight w:val="none"/>
        </w:rPr>
        <w:t xml:space="preserve">病毒发作导致平台</w:t>
      </w:r>
      <w:r>
        <w:rPr>
          <w:rFonts w:hint="eastAsia"/>
          <w:color w:val="000000"/>
          <w:sz w:val="24"/>
          <w:highlight w:val="none"/>
        </w:rPr>
        <w:t xml:space="preserve">系统</w:t>
      </w:r>
      <w:r>
        <w:rPr>
          <w:color w:val="000000"/>
          <w:sz w:val="24"/>
          <w:highlight w:val="none"/>
        </w:rPr>
        <w:t xml:space="preserve">不能进行正常操作的；</w:t>
      </w:r>
      <w:r>
        <w:rPr>
          <w:color w:val="000000"/>
          <w:sz w:val="24"/>
          <w:highlight w:val="none"/>
        </w:rPr>
      </w:r>
      <w:r/>
    </w:p>
    <w:p>
      <w:pPr>
        <w:pStyle w:val="1041"/>
        <w:ind w:left="357" w:firstLine="840"/>
        <w:spacing w:line="360" w:lineRule="auto"/>
        <w:tabs>
          <w:tab w:val="left" w:pos="1080" w:leader="none"/>
          <w:tab w:val="left" w:pos="1589" w:leader="none"/>
          <w:tab w:val="left" w:pos="2014" w:leader="none"/>
        </w:tabs>
        <w:rPr>
          <w:rFonts w:hint="eastAsia"/>
          <w:color w:val="000000"/>
          <w:sz w:val="24"/>
          <w:highlight w:val="none"/>
        </w:rPr>
      </w:pPr>
      <w:r>
        <w:rPr>
          <w:rFonts w:hint="eastAsia"/>
          <w:color w:val="000000"/>
          <w:sz w:val="24"/>
          <w:highlight w:val="none"/>
        </w:rPr>
        <w:t xml:space="preserve">5)</w:t>
      </w:r>
      <w:r>
        <w:rPr>
          <w:color w:val="000000"/>
          <w:sz w:val="24"/>
          <w:highlight w:val="none"/>
        </w:rPr>
        <w:t xml:space="preserve">其他无法保证</w:t>
      </w:r>
      <w:r>
        <w:rPr>
          <w:rFonts w:hint="eastAsia"/>
          <w:color w:val="000000"/>
          <w:sz w:val="24"/>
          <w:highlight w:val="none"/>
        </w:rPr>
        <w:t xml:space="preserve">本次采购活动</w:t>
      </w:r>
      <w:r>
        <w:rPr>
          <w:color w:val="000000"/>
          <w:sz w:val="24"/>
          <w:highlight w:val="none"/>
        </w:rPr>
        <w:t xml:space="preserve">的公平、公正和安全的情况。</w:t>
      </w:r>
      <w:r>
        <w:rPr>
          <w:rFonts w:hint="eastAsia"/>
          <w:color w:val="000000"/>
          <w:sz w:val="24"/>
          <w:highlight w:val="none"/>
        </w:rPr>
      </w:r>
      <w:r/>
    </w:p>
    <w:p>
      <w:pPr>
        <w:pStyle w:val="1041"/>
        <w:ind w:firstLine="480"/>
        <w:spacing w:line="360" w:lineRule="auto"/>
        <w:tabs>
          <w:tab w:val="left" w:pos="993" w:leader="none"/>
          <w:tab w:val="left" w:pos="1589" w:leader="none"/>
          <w:tab w:val="left" w:pos="2014" w:leader="none"/>
        </w:tabs>
        <w:rPr>
          <w:color w:val="000000"/>
          <w:sz w:val="24"/>
          <w:highlight w:val="none"/>
        </w:rPr>
      </w:pPr>
      <w:r>
        <w:rPr>
          <w:color w:val="000000"/>
          <w:sz w:val="24"/>
          <w:highlight w:val="none"/>
        </w:rPr>
        <w:t xml:space="preserve">出现</w:t>
      </w:r>
      <w:r>
        <w:rPr>
          <w:rFonts w:hint="eastAsia"/>
          <w:color w:val="000000"/>
          <w:sz w:val="24"/>
          <w:highlight w:val="none"/>
        </w:rPr>
        <w:t xml:space="preserve">上述</w:t>
      </w:r>
      <w:r>
        <w:rPr>
          <w:color w:val="000000"/>
          <w:sz w:val="24"/>
          <w:highlight w:val="none"/>
        </w:rPr>
        <w:t xml:space="preserve">情形，不影响采购</w:t>
      </w:r>
      <w:r>
        <w:rPr>
          <w:rFonts w:hint="eastAsia"/>
          <w:color w:val="000000"/>
          <w:sz w:val="24"/>
          <w:highlight w:val="none"/>
        </w:rPr>
        <w:t xml:space="preserve">活动</w:t>
      </w:r>
      <w:r>
        <w:rPr>
          <w:color w:val="000000"/>
          <w:sz w:val="24"/>
          <w:highlight w:val="none"/>
        </w:rPr>
        <w:t xml:space="preserve">公平、公正性的，</w:t>
      </w:r>
      <w:r>
        <w:rPr>
          <w:rFonts w:hint="eastAsia"/>
          <w:color w:val="000000"/>
          <w:sz w:val="24"/>
          <w:highlight w:val="none"/>
        </w:rPr>
        <w:t xml:space="preserve">代理机构</w:t>
      </w:r>
      <w:r>
        <w:rPr>
          <w:color w:val="000000"/>
          <w:sz w:val="24"/>
          <w:highlight w:val="none"/>
        </w:rPr>
        <w:t xml:space="preserve">可以待上述情形消除后继续组织</w:t>
      </w:r>
      <w:r>
        <w:rPr>
          <w:rFonts w:hint="eastAsia"/>
          <w:color w:val="000000"/>
          <w:sz w:val="24"/>
          <w:highlight w:val="none"/>
        </w:rPr>
        <w:t xml:space="preserve">不见面</w:t>
      </w:r>
      <w:r>
        <w:rPr>
          <w:color w:val="000000"/>
          <w:sz w:val="24"/>
          <w:highlight w:val="none"/>
        </w:rPr>
        <w:t xml:space="preserve">交易</w:t>
      </w:r>
      <w:r>
        <w:rPr>
          <w:rFonts w:hint="eastAsia"/>
          <w:color w:val="000000"/>
          <w:sz w:val="24"/>
          <w:highlight w:val="none"/>
        </w:rPr>
        <w:t xml:space="preserve">采购</w:t>
      </w:r>
      <w:r>
        <w:rPr>
          <w:color w:val="000000"/>
          <w:sz w:val="24"/>
          <w:highlight w:val="none"/>
        </w:rPr>
        <w:t xml:space="preserve">活动，也可以决定某些环节以纸质形式进行；影响或可能影响采购</w:t>
      </w:r>
      <w:r>
        <w:rPr>
          <w:rFonts w:hint="eastAsia"/>
          <w:color w:val="000000"/>
          <w:sz w:val="24"/>
          <w:highlight w:val="none"/>
        </w:rPr>
        <w:t xml:space="preserve">活动</w:t>
      </w:r>
      <w:r>
        <w:rPr>
          <w:color w:val="000000"/>
          <w:sz w:val="24"/>
          <w:highlight w:val="none"/>
        </w:rPr>
        <w:t xml:space="preserve">公平、公正性的，应当</w:t>
      </w:r>
      <w:r>
        <w:rPr>
          <w:rFonts w:hint="eastAsia"/>
          <w:color w:val="000000"/>
          <w:sz w:val="24"/>
          <w:highlight w:val="none"/>
        </w:rPr>
        <w:t xml:space="preserve">终止本次项目，</w:t>
      </w:r>
      <w:r>
        <w:rPr>
          <w:color w:val="000000"/>
          <w:sz w:val="24"/>
          <w:highlight w:val="none"/>
        </w:rPr>
        <w:t xml:space="preserve">重新</w:t>
      </w:r>
      <w:r>
        <w:rPr>
          <w:rFonts w:hint="eastAsia"/>
          <w:color w:val="000000"/>
          <w:sz w:val="24"/>
          <w:highlight w:val="none"/>
        </w:rPr>
        <w:t xml:space="preserve">组织</w:t>
      </w:r>
      <w:r>
        <w:rPr>
          <w:color w:val="000000"/>
          <w:sz w:val="24"/>
          <w:highlight w:val="none"/>
        </w:rPr>
        <w:t xml:space="preserve">采购。</w:t>
      </w:r>
      <w:r>
        <w:rPr>
          <w:color w:val="000000"/>
          <w:sz w:val="24"/>
          <w:highlight w:val="none"/>
        </w:rPr>
      </w:r>
      <w:r/>
    </w:p>
    <w:p>
      <w:pPr>
        <w:pStyle w:val="1041"/>
        <w:numPr>
          <w:ilvl w:val="0"/>
          <w:numId w:val="9"/>
        </w:numPr>
        <w:ind w:left="357" w:hanging="357"/>
        <w:spacing w:line="360" w:lineRule="auto"/>
        <w:tabs>
          <w:tab w:val="left" w:pos="360" w:leader="none"/>
          <w:tab w:val="left" w:pos="900" w:leader="none"/>
        </w:tabs>
        <w:rPr>
          <w:color w:val="000000"/>
          <w:sz w:val="24"/>
          <w:highlight w:val="none"/>
        </w:rPr>
        <w:outlineLvl w:val="1"/>
      </w:pPr>
      <w:r/>
      <w:bookmarkEnd w:id="413"/>
      <w:r>
        <w:rPr>
          <w:color w:val="000000"/>
          <w:sz w:val="24"/>
          <w:highlight w:val="none"/>
        </w:rPr>
        <w:t xml:space="preserve">磋商小组</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磋商小组根据政府采购有关规定和本次采购项目的特点进行组建，并负责具体评审事务，独立履行职责。</w:t>
      </w:r>
      <w:bookmarkStart w:id="414" w:name="_Toc520356166"/>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评审专家须符合</w:t>
      </w:r>
      <w:r>
        <w:rPr>
          <w:rFonts w:hint="eastAsia"/>
          <w:color w:val="000000"/>
          <w:sz w:val="24"/>
          <w:highlight w:val="none"/>
        </w:rPr>
        <w:t xml:space="preserve">相关</w:t>
      </w:r>
      <w:r>
        <w:rPr>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414"/>
      <w:r>
        <w:rPr>
          <w:color w:val="000000"/>
          <w:sz w:val="24"/>
          <w:highlight w:val="none"/>
        </w:rPr>
      </w:r>
      <w:r/>
    </w:p>
    <w:p>
      <w:pPr>
        <w:pStyle w:val="1041"/>
        <w:numPr>
          <w:ilvl w:val="0"/>
          <w:numId w:val="9"/>
        </w:numPr>
        <w:spacing w:line="360" w:lineRule="auto"/>
        <w:tabs>
          <w:tab w:val="left" w:pos="360" w:leader="none"/>
          <w:tab w:val="left" w:pos="900" w:leader="none"/>
        </w:tabs>
        <w:rPr>
          <w:color w:val="000000"/>
          <w:sz w:val="24"/>
          <w:highlight w:val="none"/>
        </w:rPr>
        <w:outlineLvl w:val="1"/>
      </w:pPr>
      <w:r>
        <w:rPr>
          <w:color w:val="000000"/>
          <w:sz w:val="24"/>
          <w:highlight w:val="none"/>
        </w:rPr>
        <w:t xml:space="preserve">评审方法和评审标准</w:t>
      </w:r>
      <w:r>
        <w:rPr>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color w:val="000000"/>
          <w:sz w:val="24"/>
          <w:highlight w:val="none"/>
        </w:rPr>
      </w:pPr>
      <w:r>
        <w:rPr>
          <w:color w:val="000000"/>
          <w:sz w:val="24"/>
          <w:highlight w:val="none"/>
        </w:rPr>
        <w:t xml:space="preserve">见第三章《评审方法和评审标准》。</w:t>
      </w:r>
      <w:r>
        <w:rPr>
          <w:color w:val="000000"/>
          <w:sz w:val="24"/>
          <w:highlight w:val="none"/>
        </w:rPr>
      </w:r>
      <w:r/>
    </w:p>
    <w:p>
      <w:pPr>
        <w:pStyle w:val="1041"/>
        <w:jc w:val="center"/>
        <w:spacing w:line="360" w:lineRule="auto"/>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41"/>
        <w:jc w:val="center"/>
        <w:spacing w:line="360" w:lineRule="auto"/>
        <w:rPr>
          <w:rFonts w:hint="eastAsia" w:ascii="宋体" w:hAnsi="宋体"/>
          <w:b/>
          <w:bCs/>
          <w:color w:val="000000"/>
          <w:sz w:val="28"/>
          <w:szCs w:val="28"/>
          <w:highlight w:val="none"/>
        </w:rPr>
      </w:pPr>
      <w:r/>
      <w:bookmarkStart w:id="415" w:name="_Toc150774645"/>
      <w:r/>
      <w:bookmarkStart w:id="416" w:name="_Toc151193715"/>
      <w:r/>
      <w:bookmarkStart w:id="417" w:name="_Toc265228383"/>
      <w:r/>
      <w:bookmarkStart w:id="418" w:name="_Toc226965818"/>
      <w:r/>
      <w:bookmarkStart w:id="419" w:name="_Toc195842910"/>
      <w:r/>
      <w:bookmarkStart w:id="420" w:name="_Toc305158887"/>
      <w:r/>
      <w:bookmarkStart w:id="421" w:name="_Toc150509296"/>
      <w:r/>
      <w:bookmarkStart w:id="422" w:name="_Toc226309789"/>
      <w:r/>
      <w:bookmarkStart w:id="423" w:name="_Toc151193859"/>
      <w:r/>
      <w:bookmarkStart w:id="424" w:name="_Toc264969235"/>
      <w:r/>
      <w:bookmarkStart w:id="425" w:name="_Toc226337241"/>
      <w:r/>
      <w:bookmarkStart w:id="426" w:name="_Toc151193933"/>
      <w:r/>
      <w:bookmarkStart w:id="427" w:name="_Toc150774750"/>
      <w:r/>
      <w:bookmarkStart w:id="428" w:name="_Toc151190172"/>
      <w:r/>
      <w:bookmarkStart w:id="429" w:name="_Toc127151545"/>
      <w:r/>
      <w:bookmarkStart w:id="430" w:name="_Toc142311047"/>
      <w:r/>
      <w:bookmarkStart w:id="431" w:name="_Toc150480783"/>
      <w:r/>
      <w:bookmarkStart w:id="432" w:name="_Toc305158813"/>
      <w:r/>
      <w:bookmarkStart w:id="433" w:name="_Toc151193787"/>
      <w:r/>
      <w:bookmarkStart w:id="434" w:name="_Toc226965735"/>
      <w:r/>
      <w:bookmarkStart w:id="435" w:name="_Toc151193643"/>
      <w:r>
        <w:rPr>
          <w:rFonts w:hint="eastAsia" w:ascii="宋体" w:hAnsi="宋体"/>
          <w:b/>
          <w:bCs/>
          <w:color w:val="000000"/>
          <w:sz w:val="28"/>
          <w:szCs w:val="28"/>
          <w:highlight w:val="none"/>
        </w:rPr>
        <w:t xml:space="preserve">六   </w:t>
      </w:r>
      <w:bookmarkEnd w:id="412"/>
      <w:r>
        <w:rPr>
          <w:rFonts w:hint="eastAsia" w:ascii="宋体" w:hAnsi="宋体"/>
          <w:b/>
          <w:bCs/>
          <w:color w:val="000000"/>
          <w:sz w:val="28"/>
          <w:szCs w:val="28"/>
          <w:highlight w:val="none"/>
        </w:rPr>
        <w:t xml:space="preserve">确定</w:t>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b/>
          <w:bCs/>
          <w:color w:val="000000"/>
          <w:sz w:val="28"/>
          <w:szCs w:val="28"/>
          <w:highlight w:val="none"/>
        </w:rPr>
        <w:t xml:space="preserve">成交</w:t>
      </w:r>
      <w:r>
        <w:rPr>
          <w:rFonts w:hint="eastAsia" w:ascii="宋体" w:hAnsi="宋体"/>
          <w:b/>
          <w:bCs/>
          <w:color w:val="000000"/>
          <w:sz w:val="28"/>
          <w:szCs w:val="28"/>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36" w:name="_Toc151193717"/>
      <w:r/>
      <w:bookmarkStart w:id="437" w:name="_Toc164608661"/>
      <w:r/>
      <w:bookmarkStart w:id="438" w:name="_Toc127161461"/>
      <w:r/>
      <w:bookmarkStart w:id="439" w:name="_Toc195842912"/>
      <w:r/>
      <w:bookmarkStart w:id="440" w:name="_Toc265228385"/>
      <w:r/>
      <w:bookmarkStart w:id="441" w:name="_Toc127151748"/>
      <w:r/>
      <w:bookmarkStart w:id="442" w:name="_Toc305158889"/>
      <w:r/>
      <w:bookmarkStart w:id="443" w:name="_Toc151193861"/>
      <w:r/>
      <w:bookmarkStart w:id="444" w:name="_Toc264969237"/>
      <w:r/>
      <w:bookmarkStart w:id="445" w:name="_Toc164229388"/>
      <w:r/>
      <w:bookmarkStart w:id="446" w:name="_Toc149720840"/>
      <w:r/>
      <w:bookmarkStart w:id="447" w:name="_Toc150480785"/>
      <w:r/>
      <w:bookmarkStart w:id="448" w:name="_Toc164229242"/>
      <w:r/>
      <w:bookmarkStart w:id="449" w:name="_Toc151190174"/>
      <w:r/>
      <w:bookmarkStart w:id="450" w:name="_Toc150509298"/>
      <w:r/>
      <w:bookmarkStart w:id="451" w:name="_Toc226309791"/>
      <w:r/>
      <w:bookmarkStart w:id="452" w:name="_Toc150774647"/>
      <w:r/>
      <w:bookmarkStart w:id="453" w:name="_Toc151193935"/>
      <w:r/>
      <w:bookmarkStart w:id="454" w:name="_Toc164351641"/>
      <w:r/>
      <w:bookmarkStart w:id="455" w:name="_Toc305158815"/>
      <w:r/>
      <w:bookmarkStart w:id="456" w:name="_Toc151193645"/>
      <w:r/>
      <w:bookmarkStart w:id="457" w:name="_Toc226337243"/>
      <w:r/>
      <w:bookmarkStart w:id="458" w:name="_Toc226965820"/>
      <w:r/>
      <w:bookmarkStart w:id="459" w:name="_Toc151193789"/>
      <w:r/>
      <w:bookmarkStart w:id="460" w:name="_Toc150774752"/>
      <w:r/>
      <w:bookmarkStart w:id="461" w:name="_Toc226965737"/>
      <w:r/>
      <w:bookmarkStart w:id="462" w:name="_Toc142311049"/>
      <w:r/>
      <w:bookmarkStart w:id="463" w:name="_Toc127151547"/>
      <w:r/>
      <w:bookmarkStart w:id="464" w:name="_Toc164608816"/>
      <w:r>
        <w:rPr>
          <w:rFonts w:hint="eastAsia" w:ascii="宋体" w:hAnsi="宋体" w:cs="宋体"/>
          <w:color w:val="000000"/>
          <w:sz w:val="24"/>
          <w:highlight w:val="none"/>
        </w:rPr>
        <w:t xml:space="preserve">确定成交供应商</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Start w:id="465" w:name="_Toc226965739"/>
      <w:r/>
      <w:bookmarkStart w:id="466" w:name="_Toc150774754"/>
      <w:r/>
      <w:bookmarkStart w:id="467" w:name="_Toc127151750"/>
      <w:r/>
      <w:bookmarkStart w:id="468" w:name="_Toc164608663"/>
      <w:r/>
      <w:bookmarkStart w:id="469" w:name="_Toc151193863"/>
      <w:r/>
      <w:bookmarkStart w:id="470" w:name="_Toc164351643"/>
      <w:r/>
      <w:bookmarkStart w:id="471" w:name="_Toc149720842"/>
      <w:r/>
      <w:bookmarkStart w:id="472" w:name="_Toc226309793"/>
      <w:r/>
      <w:bookmarkStart w:id="473" w:name="_Toc226965822"/>
      <w:r/>
      <w:bookmarkStart w:id="474" w:name="_Toc226337245"/>
      <w:r/>
      <w:bookmarkStart w:id="475" w:name="_Toc164608818"/>
      <w:r/>
      <w:bookmarkStart w:id="476" w:name="_Toc150774649"/>
      <w:r/>
      <w:bookmarkStart w:id="477" w:name="_Toc164229244"/>
      <w:r/>
      <w:bookmarkStart w:id="478" w:name="_Toc151193647"/>
      <w:r/>
      <w:bookmarkStart w:id="479" w:name="_Toc151190176"/>
      <w:r/>
      <w:bookmarkStart w:id="480" w:name="_Toc305158817"/>
      <w:r/>
      <w:bookmarkStart w:id="481" w:name="_Ref467307090"/>
      <w:r/>
      <w:bookmarkStart w:id="482" w:name="_Toc520356176"/>
      <w:r/>
      <w:bookmarkStart w:id="483" w:name="_Ref467306425"/>
      <w:r/>
      <w:bookmarkStart w:id="484" w:name="_Toc305158891"/>
      <w:r/>
      <w:bookmarkStart w:id="485" w:name="_Toc264969239"/>
      <w:r/>
      <w:bookmarkStart w:id="486" w:name="_Toc164229390"/>
      <w:r/>
      <w:bookmarkStart w:id="487" w:name="_Toc195842914"/>
      <w:r/>
      <w:bookmarkStart w:id="488" w:name="_Toc127151549"/>
      <w:r/>
      <w:bookmarkStart w:id="489" w:name="_Toc142311051"/>
      <w:r/>
      <w:bookmarkStart w:id="490" w:name="_Toc151193937"/>
      <w:r/>
      <w:bookmarkStart w:id="491" w:name="_Toc127161463"/>
      <w:r/>
      <w:bookmarkStart w:id="492" w:name="_Toc151193791"/>
      <w:r/>
      <w:bookmarkStart w:id="493" w:name="_Toc150509300"/>
      <w:r/>
      <w:bookmarkStart w:id="494" w:name="_Toc150480787"/>
      <w:r/>
      <w:bookmarkStart w:id="495" w:name="_Toc265228387"/>
      <w:r/>
      <w:bookmarkStart w:id="496" w:name="_Toc151193719"/>
      <w:r>
        <w:rPr>
          <w:rFonts w:hint="eastAsia" w:ascii="宋体" w:hAnsi="宋体" w:cs="宋体"/>
          <w:color w:val="000000"/>
          <w:sz w:val="24"/>
          <w:highlight w:val="none"/>
        </w:rPr>
        <w:t xml:space="preserve">成交公告与成交通知书</w:t>
      </w:r>
      <w:bookmarkEnd w:id="480"/>
      <w:r/>
      <w:bookmarkEnd w:id="484"/>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w:t>
      </w:r>
      <w:r>
        <w:rPr>
          <w:rFonts w:hint="eastAsia" w:ascii="宋体" w:hAnsi="宋体" w:cs="宋体"/>
          <w:color w:val="000000"/>
          <w:sz w:val="24"/>
          <w:highlight w:val="none"/>
        </w:rPr>
        <w:t xml:space="preserve">在成交供应商确定后2个工作日内，在江苏政府采购网、</w:t>
      </w:r>
      <w:r>
        <w:rPr>
          <w:rFonts w:hint="eastAsia" w:ascii="宋体" w:hAnsi="宋体" w:cs="宋体"/>
          <w:color w:val="000000"/>
          <w:sz w:val="24"/>
          <w:highlight w:val="none"/>
        </w:rPr>
        <w:t xml:space="preserve">常州市政府采购网和常州青果招投标有限公司网</w:t>
      </w:r>
      <w:r>
        <w:rPr>
          <w:rFonts w:hint="eastAsia" w:ascii="宋体" w:hAnsi="宋体" w:cs="宋体"/>
          <w:color w:val="000000"/>
          <w:sz w:val="24"/>
          <w:highlight w:val="none"/>
        </w:rPr>
        <w:t xml:space="preserve">公告成交结果，同时向成交供应商发出成交通知书，</w:t>
      </w:r>
      <w:r>
        <w:rPr>
          <w:rFonts w:hint="eastAsia" w:ascii="宋体" w:hAnsi="宋体" w:cs="宋体"/>
          <w:color w:val="000000"/>
          <w:sz w:val="24"/>
          <w:highlight w:val="none"/>
        </w:rPr>
        <w:t xml:space="preserve">成交公告期限为1个工作日。</w:t>
      </w:r>
      <w:r>
        <w:rPr>
          <w:rFonts w:hint="eastAsia" w:ascii="宋体" w:hAnsi="宋体" w:cs="宋体"/>
          <w:color w:val="000000"/>
          <w:sz w:val="24"/>
          <w:highlight w:val="none"/>
        </w:rPr>
      </w:r>
      <w:r/>
    </w:p>
    <w:p>
      <w:pPr>
        <w:pStyle w:val="1041"/>
        <w:numPr>
          <w:ilvl w:val="1"/>
          <w:numId w:val="9"/>
        </w:numPr>
        <w:ind w:left="1080"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终止</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在采购中，出现下列情形之一的，采购人或采购代理机构将终止竞争性磋商采购活动，发布项目终止公告并说明原因，重新开展采购活动：</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因情况变化，不再符合规定的竞争性磋商采购方式适用情形的；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color w:val="000000"/>
          <w:sz w:val="24"/>
          <w:highlight w:val="none"/>
        </w:rPr>
      </w:pPr>
      <w:r>
        <w:rPr>
          <w:rFonts w:hint="eastAsia" w:ascii="宋体" w:hAnsi="宋体" w:cs="宋体"/>
          <w:color w:val="000000"/>
          <w:sz w:val="24"/>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序号17.7的所述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Start w:id="497" w:name="_Toc164608819"/>
      <w:r/>
      <w:bookmarkStart w:id="498" w:name="_Toc150480788"/>
      <w:r/>
      <w:bookmarkStart w:id="499" w:name="_Toc151193648"/>
      <w:r/>
      <w:bookmarkStart w:id="500" w:name="_Toc265228388"/>
      <w:r/>
      <w:bookmarkStart w:id="501" w:name="_Toc151193792"/>
      <w:r/>
      <w:bookmarkStart w:id="502" w:name="_Toc226965740"/>
      <w:r/>
      <w:bookmarkStart w:id="503" w:name="_Ref467307204"/>
      <w:r/>
      <w:bookmarkStart w:id="504" w:name="_Toc305158892"/>
      <w:r/>
      <w:bookmarkStart w:id="505" w:name="_Toc164351644"/>
      <w:r/>
      <w:bookmarkStart w:id="506" w:name="_Toc127151751"/>
      <w:r/>
      <w:bookmarkStart w:id="507" w:name="_Toc226309794"/>
      <w:r/>
      <w:bookmarkStart w:id="508" w:name="_Toc127151550"/>
      <w:r/>
      <w:bookmarkStart w:id="509" w:name="_Toc520356175"/>
      <w:r/>
      <w:bookmarkStart w:id="510" w:name="_Toc305158818"/>
      <w:r/>
      <w:bookmarkStart w:id="511" w:name="_Toc164608664"/>
      <w:r/>
      <w:bookmarkStart w:id="512" w:name="_Toc127161464"/>
      <w:r/>
      <w:bookmarkStart w:id="513" w:name="_Toc149720843"/>
      <w:r/>
      <w:bookmarkStart w:id="514" w:name="_Toc151193720"/>
      <w:r/>
      <w:bookmarkStart w:id="515" w:name="_Toc151190177"/>
      <w:r/>
      <w:bookmarkStart w:id="516" w:name="_Toc226337246"/>
      <w:r/>
      <w:bookmarkStart w:id="517" w:name="_Toc264969240"/>
      <w:r/>
      <w:bookmarkStart w:id="518" w:name="_Toc150774755"/>
      <w:r/>
      <w:bookmarkStart w:id="519" w:name="_Ref467306978"/>
      <w:r/>
      <w:bookmarkStart w:id="520" w:name="_Toc150509301"/>
      <w:r/>
      <w:bookmarkStart w:id="521" w:name="_Toc164229245"/>
      <w:r/>
      <w:bookmarkStart w:id="522" w:name="_Toc195842915"/>
      <w:r/>
      <w:bookmarkStart w:id="523" w:name="_Ref467307062"/>
      <w:r/>
      <w:bookmarkStart w:id="524" w:name="_Toc142311052"/>
      <w:r/>
      <w:bookmarkStart w:id="525" w:name="_Toc150774650"/>
      <w:r/>
      <w:bookmarkStart w:id="526" w:name="_Toc151193938"/>
      <w:r/>
      <w:bookmarkStart w:id="527" w:name="_Toc164229391"/>
      <w:r/>
      <w:bookmarkStart w:id="528" w:name="_Ref467306377"/>
      <w:r/>
      <w:bookmarkStart w:id="529" w:name="_Toc151193864"/>
      <w:r/>
      <w:bookmarkStart w:id="530" w:name="_Toc226965823"/>
      <w:r>
        <w:rPr>
          <w:rFonts w:hint="eastAsia" w:ascii="宋体" w:hAnsi="宋体" w:cs="宋体"/>
          <w:color w:val="000000"/>
          <w:sz w:val="24"/>
          <w:highlight w:val="none"/>
        </w:rPr>
        <w:t xml:space="preserve">签订合同</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采购人与成交供应商将在成交通知书发出之日起30日内，按照磋商文件确定的合同文本以及采购标的、采购金额、采购数量、技术和服务要求等事项签订政府采购合同。</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联合体获得成交资格的，联合体各方应当共同与采购人签订合同，就成交项目向采购人承担连带责任。</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本项目是否允许分包，见《供应商须知资料表》。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bookmarkEnd w:id="481"/>
      <w:r/>
      <w:bookmarkEnd w:id="482"/>
      <w:r/>
      <w:bookmarkEnd w:id="483"/>
      <w:r>
        <w:rPr>
          <w:rFonts w:hint="eastAsia" w:ascii="宋体" w:hAnsi="宋体" w:cs="宋体"/>
          <w:color w:val="000000"/>
          <w:sz w:val="24"/>
          <w:highlight w:val="none"/>
        </w:rPr>
        <w:t xml:space="preserve">询问与质疑</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供应商对政府采购活动事项有疑问的，可依法提出询问，并按《供应商须知资料表》载明的形式送达采购人或采购代理机构。</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HYPERLINK "http://gks.mof.gov.cn/ztztz/zhengfucaigouguanli/201802/t20180201_2804589.htm" </w:instrText>
      </w:r>
      <w:r>
        <w:rPr>
          <w:rFonts w:hint="eastAsia" w:ascii="宋体" w:hAnsi="宋体" w:cs="宋体"/>
          <w:color w:val="000000"/>
          <w:sz w:val="24"/>
          <w:highlight w:val="none"/>
        </w:rPr>
        <w:fldChar w:fldCharType="separate"/>
      </w:r>
      <w:r>
        <w:rPr>
          <w:rStyle w:val="1118"/>
          <w:rFonts w:hint="eastAsia" w:ascii="宋体" w:hAnsi="宋体" w:cs="宋体"/>
          <w:color w:val="000000"/>
          <w:sz w:val="24"/>
          <w:highlight w:val="none"/>
        </w:rPr>
        <w:t xml:space="preserve">http：//gk</w:t>
      </w:r>
      <w:bookmarkStart w:id="531" w:name="_Hlt100654014"/>
      <w:r>
        <w:rPr>
          <w:rStyle w:val="1118"/>
          <w:rFonts w:hint="eastAsia" w:ascii="宋体" w:hAnsi="宋体" w:cs="宋体"/>
          <w:color w:val="000000"/>
          <w:sz w:val="24"/>
          <w:highlight w:val="none"/>
        </w:rPr>
        <w:t xml:space="preserve">s</w:t>
      </w:r>
      <w:bookmarkEnd w:id="531"/>
      <w:r>
        <w:rPr>
          <w:rStyle w:val="1118"/>
          <w:rFonts w:hint="eastAsia" w:ascii="宋体" w:hAnsi="宋体" w:cs="宋体"/>
          <w:color w:val="000000"/>
          <w:sz w:val="24"/>
          <w:highlight w:val="none"/>
        </w:rPr>
        <w:t xml:space="preserve">.m</w:t>
      </w:r>
      <w:bookmarkStart w:id="532" w:name="_Hlt100653994"/>
      <w:r/>
      <w:bookmarkStart w:id="533" w:name="_Hlt100653993"/>
      <w:r>
        <w:rPr>
          <w:rStyle w:val="1118"/>
          <w:rFonts w:hint="eastAsia" w:ascii="宋体" w:hAnsi="宋体" w:cs="宋体"/>
          <w:color w:val="000000"/>
          <w:sz w:val="24"/>
          <w:highlight w:val="none"/>
        </w:rPr>
        <w:t xml:space="preserve">o</w:t>
      </w:r>
      <w:bookmarkEnd w:id="532"/>
      <w:r/>
      <w:bookmarkEnd w:id="533"/>
      <w:r/>
      <w:bookmarkStart w:id="534" w:name="_Hlt101169156"/>
      <w:r>
        <w:rPr>
          <w:rStyle w:val="1118"/>
          <w:rFonts w:hint="eastAsia" w:ascii="宋体" w:hAnsi="宋体" w:cs="宋体"/>
          <w:color w:val="000000"/>
          <w:sz w:val="24"/>
          <w:highlight w:val="none"/>
        </w:rPr>
        <w:t xml:space="preserve">f</w:t>
      </w:r>
      <w:bookmarkEnd w:id="534"/>
      <w:r>
        <w:rPr>
          <w:rStyle w:val="1118"/>
          <w:rFonts w:hint="eastAsia" w:ascii="宋体" w:hAnsi="宋体" w:cs="宋体"/>
          <w:color w:val="000000"/>
          <w:sz w:val="24"/>
          <w:highlight w:val="none"/>
        </w:rPr>
        <w:t xml:space="preserve">.gov.cn/ztztz/zhengfucaigouguanli/201802/t20180201_2804589.htm</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cs="宋体"/>
          <w:color w:val="000000"/>
          <w:sz w:val="24"/>
          <w:highlight w:val="none"/>
        </w:rPr>
      </w:r>
      <w:r/>
    </w:p>
    <w:p>
      <w:pPr>
        <w:pStyle w:val="1041"/>
        <w:numPr>
          <w:ilvl w:val="2"/>
          <w:numId w:val="9"/>
        </w:numPr>
        <w:spacing w:line="360" w:lineRule="auto"/>
        <w:tabs>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接收询问和质疑的联系部门、联系电话和通讯地址见《供应商须知资料表》。</w:t>
      </w:r>
      <w:r>
        <w:rPr>
          <w:rFonts w:hint="eastAsia" w:ascii="宋体" w:hAnsi="宋体" w:cs="宋体"/>
          <w:color w:val="000000"/>
          <w:sz w:val="24"/>
          <w:highlight w:val="none"/>
        </w:rPr>
      </w:r>
      <w:r/>
    </w:p>
    <w:p>
      <w:pPr>
        <w:pStyle w:val="1041"/>
        <w:numPr>
          <w:ilvl w:val="0"/>
          <w:numId w:val="9"/>
        </w:numPr>
        <w:ind w:left="357" w:hanging="357"/>
        <w:spacing w:line="360" w:lineRule="auto"/>
        <w:tabs>
          <w:tab w:val="left" w:pos="360" w:leader="none"/>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p>
      <w:pPr>
        <w:pStyle w:val="1041"/>
        <w:numPr>
          <w:ilvl w:val="1"/>
          <w:numId w:val="9"/>
        </w:numPr>
        <w:ind w:left="1077" w:hanging="72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color w:val="000000"/>
          <w:sz w:val="24"/>
          <w:highlight w:val="none"/>
        </w:rPr>
      </w:r>
      <w:r/>
    </w:p>
    <w:p>
      <w:pPr>
        <w:pStyle w:val="1041"/>
        <w:jc w:val="center"/>
        <w:spacing w:line="360" w:lineRule="auto"/>
        <w:rPr>
          <w:b/>
          <w:color w:val="000000"/>
          <w:sz w:val="36"/>
          <w:szCs w:val="36"/>
          <w:highlight w:val="none"/>
        </w:rPr>
        <w:outlineLvl w:val="0"/>
      </w:pPr>
      <w:r/>
      <w:bookmarkStart w:id="535" w:name="_Toc2600"/>
      <w:r/>
      <w:bookmarkStart w:id="536" w:name="_Toc264969244"/>
      <w:r/>
      <w:bookmarkStart w:id="537" w:name="_Toc226337250"/>
      <w:r/>
      <w:bookmarkStart w:id="538" w:name="_Toc142311056"/>
      <w:r/>
      <w:bookmarkStart w:id="539" w:name="_Toc353825544"/>
      <w:r/>
      <w:bookmarkStart w:id="540" w:name="_Toc265228392"/>
      <w:r/>
      <w:bookmarkStart w:id="541" w:name="_Toc150480792"/>
      <w:r/>
      <w:bookmarkStart w:id="542" w:name="_Toc353873664"/>
      <w:r/>
      <w:bookmarkStart w:id="543" w:name="_Toc127151554"/>
      <w:r/>
      <w:bookmarkStart w:id="544" w:name="_Toc226965827"/>
      <w:r/>
      <w:bookmarkStart w:id="545" w:name="_Toc353873934"/>
      <w:r/>
      <w:bookmarkStart w:id="546" w:name="_Toc305158822"/>
      <w:r/>
      <w:bookmarkStart w:id="547" w:name="_Toc305158896"/>
      <w:r/>
      <w:bookmarkStart w:id="548" w:name="_Toc150774759"/>
      <w:r/>
      <w:bookmarkStart w:id="549" w:name="_Toc104818927"/>
      <w:r>
        <w:rPr>
          <w:b/>
          <w:color w:val="000000"/>
          <w:sz w:val="36"/>
          <w:szCs w:val="36"/>
          <w:highlight w:val="none"/>
        </w:rPr>
        <w:br w:type="page" w:clear="all"/>
      </w:r>
      <w:bookmarkStart w:id="550" w:name="_Toc25458"/>
      <w:r/>
      <w:bookmarkStart w:id="551" w:name="_Toc7477"/>
      <w:r/>
      <w:bookmarkStart w:id="552" w:name="_Toc23245"/>
      <w:r>
        <w:rPr>
          <w:b/>
          <w:color w:val="000000"/>
          <w:sz w:val="36"/>
          <w:szCs w:val="36"/>
          <w:highlight w:val="none"/>
        </w:rPr>
        <w:t xml:space="preserve">第三章   </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rPr>
          <w:b/>
          <w:color w:val="000000"/>
          <w:sz w:val="36"/>
          <w:szCs w:val="36"/>
          <w:highlight w:val="none"/>
        </w:rPr>
        <w:t xml:space="preserve">评审</w:t>
      </w:r>
      <w:r>
        <w:rPr>
          <w:rFonts w:hint="eastAsia"/>
          <w:b/>
          <w:color w:val="000000"/>
          <w:sz w:val="36"/>
          <w:szCs w:val="36"/>
          <w:highlight w:val="none"/>
        </w:rPr>
        <w:t xml:space="preserve">程序、评审</w:t>
      </w:r>
      <w:r>
        <w:rPr>
          <w:b/>
          <w:color w:val="000000"/>
          <w:sz w:val="36"/>
          <w:szCs w:val="36"/>
          <w:highlight w:val="none"/>
        </w:rPr>
        <w:t xml:space="preserve">方法和评审标准</w:t>
      </w:r>
      <w:bookmarkEnd w:id="535"/>
      <w:r/>
      <w:bookmarkEnd w:id="549"/>
      <w:r/>
      <w:bookmarkEnd w:id="550"/>
      <w:r/>
      <w:bookmarkEnd w:id="551"/>
      <w:r/>
      <w:bookmarkEnd w:id="552"/>
      <w:r/>
      <w:bookmarkStart w:id="553" w:name="_Toc487900382"/>
      <w:r>
        <w:rPr>
          <w:b/>
          <w:color w:val="000000"/>
          <w:sz w:val="36"/>
          <w:szCs w:val="36"/>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t xml:space="preserve">一、评审程序</w:t>
      </w:r>
      <w:r>
        <w:rPr>
          <w:rFonts w:hint="eastAsia" w:ascii="宋体" w:hAnsi="宋体"/>
          <w:b/>
          <w:bCs/>
          <w:color w:val="000000"/>
          <w:sz w:val="28"/>
          <w:szCs w:val="28"/>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53"/>
      <w:r/>
      <w:bookmarkStart w:id="554" w:name="_Toc127151541"/>
      <w:r/>
      <w:bookmarkStart w:id="555" w:name="_Toc150480779"/>
      <w:r/>
      <w:bookmarkStart w:id="556" w:name="_Toc226965814"/>
      <w:r/>
      <w:bookmarkStart w:id="557" w:name="_Toc149720834"/>
      <w:r/>
      <w:bookmarkStart w:id="558" w:name="_Toc151193711"/>
      <w:r/>
      <w:bookmarkStart w:id="559" w:name="_Toc164229382"/>
      <w:r/>
      <w:bookmarkStart w:id="560" w:name="_Toc164608655"/>
      <w:r/>
      <w:bookmarkStart w:id="561" w:name="_Toc305158883"/>
      <w:r/>
      <w:bookmarkStart w:id="562" w:name="_Toc150774746"/>
      <w:r/>
      <w:bookmarkStart w:id="563" w:name="_Toc305158809"/>
      <w:r/>
      <w:bookmarkStart w:id="564" w:name="_Toc127161455"/>
      <w:r/>
      <w:bookmarkStart w:id="565" w:name="_Toc151193783"/>
      <w:r/>
      <w:bookmarkStart w:id="566" w:name="_Toc150774641"/>
      <w:r/>
      <w:bookmarkStart w:id="567" w:name="_Toc151193639"/>
      <w:r/>
      <w:bookmarkStart w:id="568" w:name="_Toc164351635"/>
      <w:r/>
      <w:bookmarkStart w:id="569" w:name="_Toc353873941"/>
      <w:r/>
      <w:bookmarkStart w:id="570" w:name="_Toc353825551"/>
      <w:r/>
      <w:bookmarkStart w:id="571" w:name="_Toc164229236"/>
      <w:r/>
      <w:bookmarkStart w:id="572" w:name="_Toc151193855"/>
      <w:r/>
      <w:bookmarkStart w:id="573" w:name="_Toc226309785"/>
      <w:r/>
      <w:bookmarkStart w:id="574" w:name="_Toc151193929"/>
      <w:r/>
      <w:bookmarkStart w:id="575" w:name="_Toc150509292"/>
      <w:r/>
      <w:bookmarkStart w:id="576" w:name="_Toc264969231"/>
      <w:r/>
      <w:bookmarkStart w:id="577" w:name="_Toc226965731"/>
      <w:r/>
      <w:bookmarkStart w:id="578" w:name="_Toc142311043"/>
      <w:r/>
      <w:bookmarkStart w:id="579" w:name="_Toc151190168"/>
      <w:r/>
      <w:bookmarkStart w:id="580" w:name="_Toc265228379"/>
      <w:r/>
      <w:bookmarkStart w:id="581" w:name="_Toc195842906"/>
      <w:r/>
      <w:bookmarkStart w:id="582" w:name="_Toc226337237"/>
      <w:r/>
      <w:bookmarkStart w:id="583" w:name="_Toc164608810"/>
      <w:r/>
      <w:bookmarkStart w:id="584" w:name="_Toc127151742"/>
      <w:r>
        <w:rPr>
          <w:rFonts w:hint="eastAsia"/>
          <w:color w:val="000000"/>
          <w:sz w:val="24"/>
          <w:highlight w:val="none"/>
        </w:rPr>
        <w:t xml:space="preserve">响应文件的</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rPr>
          <w:rFonts w:hint="eastAsia"/>
          <w:color w:val="000000"/>
          <w:sz w:val="24"/>
          <w:highlight w:val="none"/>
        </w:rPr>
        <w:t xml:space="preserve">资格性检查和符合性审查</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 xml:space="preserve">无效响应</w:t>
      </w:r>
      <w:r>
        <w:rPr>
          <w:rFonts w:hint="eastAsia" w:ascii="宋体" w:hAnsi="宋体" w:cs="宋体"/>
          <w:color w:val="000000"/>
          <w:sz w:val="24"/>
          <w:highlight w:val="none"/>
        </w:rPr>
        <w:t xml:space="preserve">处理，磋商小组应当告知提交响应文件的供应商。</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《资格性检查要求》中对格式有要求的，除竞争性磋商文件另有规定外，均为“实质性格式”文件。</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《资格性检查要求》见下表：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资格性检查要求</w:t>
      </w:r>
      <w:r>
        <w:rPr>
          <w:b/>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857"/>
        <w:gridCol w:w="4830"/>
        <w:gridCol w:w="1784"/>
      </w:tblGrid>
      <w:tr>
        <w:trPr>
          <w:trHeight w:val="512"/>
          <w:tblHeader/>
        </w:trPr>
        <w:tc>
          <w:tcPr>
            <w:tcW w:w="68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bookmarkStart w:id="585" w:name="_Hlt487972895"/>
            <w:r/>
            <w:bookmarkEnd w:id="585"/>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57"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4830"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1784" w:type="dxa"/>
            <w:vAlign w:val="center"/>
            <w:textDirection w:val="lrTb"/>
            <w:noWrap w:val="false"/>
          </w:tcPr>
          <w:p>
            <w:pPr>
              <w:pStyle w:val="1041"/>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trHeight w:val="1519"/>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供应商资格声明函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提供了符合采购文件要求的《供应商资格声明函》。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328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供应商信用记录</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查询渠道：信用中国网站和中国政府采购网（www.creditchina.gov.cn、www.ccgp.gov.cn）；</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截止时点：提交响应文件截止时间以后、资格审查阶段采购人或采购代理机构的实际查询时间；</w:t>
            </w:r>
            <w:r>
              <w:rPr>
                <w:rFonts w:hint="eastAsia" w:ascii="宋体" w:hAnsi="宋体" w:cs="宋体"/>
                <w:color w:val="000000"/>
                <w:sz w:val="24"/>
                <w:highlight w:val="none"/>
              </w:rPr>
            </w:r>
            <w:r/>
          </w:p>
          <w:p>
            <w:pPr>
              <w:pStyle w:val="1041"/>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无须供应商提供，由采购人查询。</w:t>
            </w:r>
            <w:r>
              <w:rPr>
                <w:rFonts w:hint="eastAsia" w:ascii="宋体" w:hAnsi="宋体" w:cs="宋体"/>
                <w:color w:val="000000"/>
                <w:sz w:val="24"/>
                <w:highlight w:val="none"/>
              </w:rPr>
            </w:r>
            <w:r/>
          </w:p>
        </w:tc>
      </w:tr>
      <w:tr>
        <w:trPr>
          <w:trHeight w:val="764"/>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具体要求见第一章《采购邀请》</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260"/>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color w:val="000000"/>
                <w:sz w:val="24"/>
                <w:highlight w:val="none"/>
              </w:rPr>
            </w:pPr>
            <w:r>
              <w:rPr>
                <w:rFonts w:hint="eastAsia" w:ascii="宋体" w:hAnsi="宋体" w:cs="宋体"/>
                <w:bCs/>
                <w:color w:val="000000"/>
                <w:sz w:val="24"/>
                <w:highlight w:val="none"/>
              </w:rPr>
              <w:t xml:space="preserve">供应商单独参与磋商的，应提供中小企业声明函；如为监狱企业或残疾人福利性单位，不必提供中小企业声明函，但须按注1或注2要求提供证明材料。</w:t>
            </w:r>
            <w:r>
              <w:rPr>
                <w:rFonts w:hint="eastAsia"/>
                <w:color w:val="000000"/>
                <w:sz w:val="24"/>
                <w:highlight w:val="none"/>
              </w:rPr>
            </w:r>
            <w:r/>
          </w:p>
          <w:p>
            <w:pPr>
              <w:pStyle w:val="1041"/>
              <w:tabs>
                <w:tab w:val="left" w:pos="108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bCs/>
                <w:color w:val="000000"/>
                <w:sz w:val="24"/>
                <w:highlight w:val="none"/>
              </w:rPr>
            </w:r>
            <w:r/>
          </w:p>
          <w:p>
            <w:pPr>
              <w:pStyle w:val="1041"/>
              <w:tabs>
                <w:tab w:val="left" w:pos="108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注2：残疾人福利性单位须按磋商文件要求提供《残疾人福利性单位声明函》。</w:t>
            </w:r>
            <w:r>
              <w:rPr>
                <w:rFonts w:hint="eastAsia" w:ascii="宋体" w:hAnsi="宋体" w:cs="宋体"/>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格式见《响应文件格式》</w:t>
            </w:r>
            <w:r>
              <w:rPr>
                <w:rFonts w:hint="eastAsia" w:ascii="宋体" w:hAnsi="宋体" w:cs="宋体"/>
                <w:color w:val="000000"/>
                <w:sz w:val="24"/>
                <w:highlight w:val="none"/>
              </w:rPr>
            </w:r>
            <w:r/>
          </w:p>
        </w:tc>
      </w:tr>
      <w:tr>
        <w:trPr>
          <w:trHeight w:val="51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本项目的特定资格要求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72"/>
        </w:trPr>
        <w:tc>
          <w:tcPr>
            <w:tcW w:w="687" w:type="dxa"/>
            <w:vAlign w:val="center"/>
            <w:textDirection w:val="lrTb"/>
            <w:noWrap w:val="false"/>
          </w:tcPr>
          <w:p>
            <w:pPr>
              <w:pStyle w:val="1041"/>
              <w:jc w:val="center"/>
              <w:tabs>
                <w:tab w:val="left" w:pos="1080" w:leader="none"/>
              </w:tabs>
              <w:rPr>
                <w:rFonts w:hint="eastAsia" w:ascii="宋体" w:hAnsi="宋体" w:cs="宋体"/>
                <w:color w:val="000000"/>
                <w:sz w:val="24"/>
                <w:highlight w:val="none"/>
              </w:rPr>
            </w:pPr>
            <w:r>
              <w:rPr>
                <w:rFonts w:hint="eastAsia"/>
                <w:color w:val="000000"/>
                <w:sz w:val="24"/>
                <w:highlight w:val="none"/>
              </w:rPr>
              <w:t xml:space="preserve">3-1</w:t>
            </w:r>
            <w:r>
              <w:rPr>
                <w:rFonts w:hint="eastAsia" w:ascii="宋体" w:hAnsi="宋体" w:cs="宋体"/>
                <w:color w:val="000000"/>
                <w:sz w:val="24"/>
                <w:highlight w:val="none"/>
              </w:rPr>
            </w:r>
            <w:r/>
          </w:p>
        </w:tc>
        <w:tc>
          <w:tcPr>
            <w:tcW w:w="1857"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其他特定资格要求</w:t>
            </w:r>
            <w:r>
              <w:rPr>
                <w:rFonts w:hint="eastAsia" w:ascii="宋体" w:hAnsi="宋体" w:cs="宋体"/>
                <w:color w:val="000000"/>
                <w:sz w:val="24"/>
                <w:highlight w:val="none"/>
              </w:rPr>
            </w:r>
            <w:r/>
          </w:p>
        </w:tc>
        <w:tc>
          <w:tcPr>
            <w:tcW w:w="4830" w:type="dxa"/>
            <w:vAlign w:val="center"/>
            <w:textDirection w:val="lrTb"/>
            <w:noWrap w:val="false"/>
          </w:tcPr>
          <w:p>
            <w:pPr>
              <w:pStyle w:val="1041"/>
              <w:tabs>
                <w:tab w:val="left" w:pos="1080" w:leader="none"/>
              </w:tabs>
              <w:rPr>
                <w:rFonts w:hint="eastAsia" w:ascii="宋体" w:hAnsi="宋体" w:cs="宋体"/>
                <w:bCs/>
                <w:color w:val="000000"/>
                <w:sz w:val="24"/>
                <w:highlight w:val="none"/>
              </w:rPr>
            </w:pPr>
            <w:r>
              <w:rPr>
                <w:color w:val="000000"/>
                <w:sz w:val="24"/>
                <w:highlight w:val="none"/>
              </w:rPr>
              <w:t xml:space="preserve">见第一章《</w:t>
            </w:r>
            <w:r>
              <w:rPr>
                <w:rFonts w:hint="eastAsia" w:ascii="宋体" w:hAnsi="宋体" w:cs="宋体"/>
                <w:color w:val="000000"/>
                <w:sz w:val="24"/>
                <w:highlight w:val="none"/>
              </w:rPr>
              <w:t xml:space="preserve">采购</w:t>
            </w:r>
            <w:r>
              <w:rPr>
                <w:color w:val="000000"/>
                <w:sz w:val="24"/>
                <w:highlight w:val="none"/>
              </w:rPr>
              <w:t xml:space="preserve">邀请》</w:t>
            </w:r>
            <w:r>
              <w:rPr>
                <w:rFonts w:hint="eastAsia" w:ascii="宋体" w:hAnsi="宋体" w:cs="宋体"/>
                <w:bCs/>
                <w:color w:val="000000"/>
                <w:sz w:val="24"/>
                <w:highlight w:val="none"/>
              </w:rPr>
            </w:r>
            <w:r/>
          </w:p>
        </w:tc>
        <w:tc>
          <w:tcPr>
            <w:tcW w:w="1784" w:type="dxa"/>
            <w:vAlign w:val="center"/>
            <w:textDirection w:val="lrTb"/>
            <w:noWrap w:val="false"/>
          </w:tcPr>
          <w:p>
            <w:pPr>
              <w:pStyle w:val="1041"/>
              <w:tabs>
                <w:tab w:val="left" w:pos="1080" w:leader="none"/>
              </w:tabs>
              <w:rPr>
                <w:rFonts w:hint="eastAsia" w:ascii="宋体" w:hAnsi="宋体" w:cs="宋体"/>
                <w:color w:val="000000"/>
                <w:sz w:val="24"/>
                <w:highlight w:val="none"/>
              </w:rPr>
            </w:pPr>
            <w:r>
              <w:rPr>
                <w:color w:val="000000"/>
                <w:sz w:val="24"/>
                <w:highlight w:val="none"/>
              </w:rPr>
              <w:t xml:space="preserve">提供</w:t>
            </w:r>
            <w:r>
              <w:rPr>
                <w:rFonts w:hint="eastAsia"/>
                <w:color w:val="000000"/>
                <w:sz w:val="24"/>
                <w:highlight w:val="none"/>
              </w:rPr>
              <w:t xml:space="preserve">证书</w:t>
            </w:r>
            <w:r>
              <w:rPr>
                <w:color w:val="000000"/>
                <w:sz w:val="24"/>
                <w:highlight w:val="none"/>
              </w:rPr>
              <w:t xml:space="preserve">的电子件或电子证照</w:t>
            </w:r>
            <w:r>
              <w:rPr>
                <w:rFonts w:hint="eastAsia" w:ascii="宋体" w:hAnsi="宋体" w:cs="宋体"/>
                <w:color w:val="000000"/>
                <w:sz w:val="24"/>
                <w:highlight w:val="none"/>
              </w:rPr>
            </w:r>
            <w:r/>
          </w:p>
        </w:tc>
      </w:tr>
    </w:tbl>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《符合性审查要求》见下表：</w:t>
      </w:r>
      <w:r>
        <w:rPr>
          <w:rFonts w:hint="eastAsia" w:ascii="宋体" w:hAnsi="宋体" w:cs="宋体"/>
          <w:color w:val="000000"/>
          <w:sz w:val="24"/>
          <w:highlight w:val="none"/>
        </w:rPr>
      </w:r>
      <w:r/>
    </w:p>
    <w:p>
      <w:pPr>
        <w:pStyle w:val="1041"/>
        <w:jc w:val="center"/>
        <w:spacing w:line="360" w:lineRule="auto"/>
        <w:tabs>
          <w:tab w:val="left" w:pos="900" w:leader="none"/>
          <w:tab w:val="left" w:pos="1080" w:leader="none"/>
          <w:tab w:val="left" w:pos="1447" w:leader="none"/>
        </w:tabs>
        <w:rPr>
          <w:b/>
          <w:color w:val="000000"/>
          <w:sz w:val="24"/>
          <w:highlight w:val="none"/>
        </w:rPr>
      </w:pPr>
      <w:r>
        <w:rPr>
          <w:b/>
          <w:color w:val="000000"/>
          <w:sz w:val="24"/>
          <w:highlight w:val="none"/>
        </w:rPr>
        <w:t xml:space="preserve">符合性审查要求</w:t>
      </w:r>
      <w:r>
        <w:rPr>
          <w:b/>
          <w:color w:val="000000"/>
          <w:sz w:val="24"/>
          <w:highlight w:val="none"/>
        </w:rPr>
      </w:r>
      <w:r/>
    </w:p>
    <w:tbl>
      <w:tblPr>
        <w:tblpPr w:horzAnchor="page" w:tblpX="1152" w:vertAnchor="text" w:tblpY="550"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2"/>
        <w:gridCol w:w="1843"/>
        <w:gridCol w:w="6834"/>
      </w:tblGrid>
      <w:tr>
        <w:trPr>
          <w:trHeight w:val="885"/>
        </w:trPr>
        <w:tc>
          <w:tcPr>
            <w:tcW w:w="762"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843"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6834" w:type="dxa"/>
            <w:vAlign w:val="center"/>
            <w:textDirection w:val="lrTb"/>
            <w:noWrap w:val="false"/>
          </w:tcPr>
          <w:p>
            <w:pPr>
              <w:pStyle w:val="1041"/>
              <w:jc w:val="center"/>
              <w:widowControl/>
              <w:rPr>
                <w:rFonts w:hint="eastAsia" w:ascii="宋体" w:hAnsi="宋体" w:cs="宋体"/>
                <w:b/>
                <w:color w:val="000000"/>
                <w:sz w:val="24"/>
                <w:highlight w:val="none"/>
              </w:rPr>
              <w:framePr w:vAnchor="text" w:hAnchor="page" w:x="1152" w:y="550"/>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2193"/>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按磋商文件要求提供响应函、</w:t>
            </w:r>
            <w:r>
              <w:rPr>
                <w:rFonts w:hint="eastAsia" w:ascii="宋体" w:hAnsi="宋体" w:cs="宋体"/>
                <w:color w:val="000000"/>
                <w:sz w:val="24"/>
                <w:highlight w:val="none"/>
              </w:rPr>
              <w:t xml:space="preserve">法定代表人资格证明书和政府采购供应商信用承诺书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响应完整性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未将一个项目/采购包中的内容拆开响应；</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响应报价未</w:t>
            </w:r>
            <w:r>
              <w:rPr>
                <w:rFonts w:hint="eastAsia" w:ascii="宋体" w:hAnsi="宋体" w:cs="宋体"/>
                <w:color w:val="000000"/>
                <w:sz w:val="24"/>
                <w:highlight w:val="none"/>
              </w:rPr>
              <w:t xml:space="preserve">超过磋商文件中规定的项目/采购包预算金额或者项目/采购包最高限价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响应文件未</w:t>
            </w:r>
            <w:r>
              <w:rPr>
                <w:rFonts w:hint="eastAsia" w:ascii="宋体" w:hAnsi="宋体" w:cs="宋体"/>
                <w:color w:val="000000"/>
                <w:sz w:val="24"/>
                <w:highlight w:val="none"/>
              </w:rPr>
              <w:t xml:space="preserve">出现可选择性或可调整的报价（磋商文件另有规定的除外）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响应文件中承诺的响应有效期满足磋商文件中载明的响应有效期的；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按照磋商文件要求签署、加盖公章的；</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标记为“实质性格式”的文件均按磋商文件要求提供；</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1843"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tc>
        <w:tc>
          <w:tcPr>
            <w:tcW w:w="6834" w:type="dxa"/>
            <w:vAlign w:val="center"/>
            <w:textDirection w:val="lrTb"/>
            <w:noWrap w:val="false"/>
          </w:tcPr>
          <w:p>
            <w:pPr>
              <w:pStyle w:val="1041"/>
              <w:jc w:val="left"/>
              <w:widowControl/>
              <w:rPr>
                <w:rFonts w:hint="eastAsia" w:ascii="宋体" w:hAnsi="宋体" w:cs="宋体"/>
                <w:color w:val="000000"/>
                <w:sz w:val="24"/>
                <w:highlight w:val="none"/>
              </w:rPr>
              <w:framePr w:vAnchor="text" w:hAnchor="page" w:x="1152" w:y="550"/>
            </w:pPr>
            <w:r>
              <w:rPr>
                <w:rFonts w:hint="eastAsia" w:ascii="宋体" w:hAnsi="宋体" w:cs="宋体"/>
                <w:color w:val="000000"/>
                <w:sz w:val="24"/>
                <w:highlight w:val="none"/>
              </w:rPr>
              <w:t xml:space="preserve">响应文件报价出现前后不一致时，供应商对修正后的报价予以确认；</w:t>
            </w:r>
            <w:r>
              <w:rPr>
                <w:rFonts w:hint="eastAsia" w:ascii="宋体" w:hAnsi="宋体" w:cs="宋体"/>
                <w:color w:val="000000"/>
                <w:sz w:val="24"/>
                <w:highlight w:val="none"/>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9</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报价合理性</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按照财库〔2026〕2号《关于推动解决政府采购异常低价问题的通知》要求：</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1041"/>
              <w:jc w:val="left"/>
              <w:widowControl/>
              <w:rPr>
                <w:rFonts w:ascii="宋体" w:hAnsi="宋体" w:cs="宋体"/>
                <w:color w:val="000000"/>
                <w:sz w:val="24"/>
                <w:szCs w:val="24"/>
                <w:highlight w:val="none"/>
              </w:rPr>
              <w:framePr w:vAnchor="text" w:hAnchor="page" w:x="1152" w:y="550"/>
            </w:pPr>
            <w:r>
              <w:rPr>
                <w:rFonts w:hint="eastAsia" w:ascii="宋体" w:hAnsi="宋体" w:cs="宋体"/>
                <w:color w:val="000000"/>
                <w:sz w:val="24"/>
                <w:szCs w:val="24"/>
                <w:highlight w:val="none"/>
              </w:rPr>
              <w:t xml:space="preserve">4.相关法律法规对供应商报价有最新规定的，从其规定。</w:t>
            </w:r>
            <w:r>
              <w:rPr>
                <w:rFonts w:ascii="宋体" w:hAnsi="宋体" w:cs="宋体"/>
                <w:color w:val="000000"/>
                <w:sz w:val="24"/>
                <w:szCs w:val="24"/>
                <w:highlight w:val="none"/>
              </w:rPr>
            </w:r>
            <w:r/>
          </w:p>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szCs w:val="24"/>
                <w:highlight w:val="none"/>
              </w:rPr>
              <w:t xml:space="preserve">5.评审委员会基于专业判断，认为供应商报价过低，有可能影响产品质量或者不能诚信履约的其他情形。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人工成本、管理费、技术成本等相关服务费用，相关供应商在10分钟内提供项目具体成本测算等与</w:t>
            </w:r>
            <w:r>
              <w:rPr>
                <w:rFonts w:hint="eastAsia" w:ascii="宋体" w:hAnsi="宋体" w:cs="宋体"/>
                <w:color w:val="000000"/>
                <w:sz w:val="24"/>
                <w:szCs w:val="24"/>
                <w:highlight w:val="none"/>
              </w:rPr>
              <w:t xml:space="preserve">报价合理性相关的书面说明及相关证明材料，对投标（响 应）价格作出解释。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color w:val="000000"/>
                <w:sz w:val="24"/>
                <w:szCs w:val="24"/>
                <w:highlight w:val="none"/>
                <w:lang w:val="en-US" w:eastAsia="zh-CN" w:bidi="ar-SA"/>
              </w:rPr>
            </w:r>
            <w:r/>
          </w:p>
        </w:tc>
      </w:tr>
      <w:tr>
        <w:trPr>
          <w:trHeight w:val="971"/>
        </w:trPr>
        <w:tc>
          <w:tcPr>
            <w:tcW w:w="762" w:type="dxa"/>
            <w:vAlign w:val="center"/>
            <w:textDirection w:val="lrTb"/>
            <w:noWrap w:val="false"/>
          </w:tcPr>
          <w:p>
            <w:pPr>
              <w:pStyle w:val="1041"/>
              <w:jc w:val="center"/>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10</w:t>
            </w:r>
            <w:r>
              <w:rPr>
                <w:rFonts w:hint="eastAsia"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公平竞争</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szCs w:val="24"/>
                <w:highlight w:val="none"/>
                <w:lang w:val="en-US" w:eastAsia="zh-CN" w:bidi="ar-SA"/>
              </w:rPr>
            </w:r>
            <w:r/>
          </w:p>
        </w:tc>
      </w:tr>
      <w:tr>
        <w:trPr>
          <w:trHeight w:val="1595"/>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11</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串通响应</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w:t>
            </w:r>
            <w:r>
              <w:rPr>
                <w:rFonts w:hint="eastAsia" w:ascii="宋体" w:hAnsi="宋体" w:cs="宋体"/>
                <w:color w:val="000000"/>
                <w:sz w:val="24"/>
                <w:szCs w:val="24"/>
                <w:highlight w:val="none"/>
                <w:lang w:val="en-US" w:eastAsia="zh-CN" w:bidi="ar-SA"/>
              </w:rPr>
            </w:r>
            <w:r/>
          </w:p>
        </w:tc>
      </w:tr>
      <w:tr>
        <w:trPr>
          <w:trHeight w:val="1071"/>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12</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附加条件</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响应文件未含有采购人不能接受的附加条件的；</w:t>
            </w:r>
            <w:r>
              <w:rPr>
                <w:rFonts w:hint="eastAsia" w:ascii="宋体" w:hAnsi="宋体" w:cs="宋体"/>
                <w:color w:val="000000"/>
                <w:sz w:val="24"/>
                <w:szCs w:val="24"/>
                <w:highlight w:val="none"/>
                <w:lang w:val="en-US" w:eastAsia="zh-CN" w:bidi="ar-SA"/>
              </w:rPr>
            </w:r>
            <w:r/>
          </w:p>
        </w:tc>
      </w:tr>
      <w:tr>
        <w:trPr>
          <w:trHeight w:val="1097"/>
        </w:trPr>
        <w:tc>
          <w:tcPr>
            <w:tcW w:w="762" w:type="dxa"/>
            <w:vAlign w:val="center"/>
            <w:textDirection w:val="lrTb"/>
            <w:noWrap w:val="false"/>
          </w:tcPr>
          <w:p>
            <w:pPr>
              <w:pStyle w:val="1041"/>
              <w:jc w:val="center"/>
              <w:widowControl/>
              <w:rPr>
                <w:rFonts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13</w:t>
            </w:r>
            <w:r>
              <w:rPr>
                <w:rFonts w:ascii="宋体" w:hAnsi="宋体" w:cs="宋体"/>
                <w:color w:val="000000"/>
                <w:sz w:val="24"/>
                <w:szCs w:val="24"/>
                <w:highlight w:val="none"/>
                <w:lang w:val="en-US" w:eastAsia="zh-CN" w:bidi="ar-SA"/>
              </w:rPr>
            </w:r>
            <w:r/>
          </w:p>
        </w:tc>
        <w:tc>
          <w:tcPr>
            <w:tcW w:w="1843"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其他无效情形</w:t>
            </w:r>
            <w:r>
              <w:rPr>
                <w:rFonts w:hint="eastAsia" w:ascii="宋体" w:hAnsi="宋体" w:cs="宋体"/>
                <w:color w:val="000000"/>
                <w:sz w:val="24"/>
                <w:szCs w:val="24"/>
                <w:highlight w:val="none"/>
                <w:lang w:val="en-US" w:eastAsia="zh-CN" w:bidi="ar-SA"/>
              </w:rPr>
            </w:r>
            <w:r/>
          </w:p>
        </w:tc>
        <w:tc>
          <w:tcPr>
            <w:tcW w:w="6834" w:type="dxa"/>
            <w:vAlign w:val="center"/>
            <w:textDirection w:val="lrTb"/>
            <w:noWrap w:val="false"/>
          </w:tcPr>
          <w:p>
            <w:pPr>
              <w:pStyle w:val="1041"/>
              <w:jc w:val="left"/>
              <w:widowControl/>
              <w:rPr>
                <w:rFonts w:hint="eastAsia" w:ascii="宋体" w:hAnsi="宋体" w:cs="宋体"/>
                <w:color w:val="000000"/>
                <w:sz w:val="24"/>
                <w:szCs w:val="24"/>
                <w:highlight w:val="none"/>
                <w:lang w:val="en-US" w:eastAsia="zh-CN" w:bidi="ar-SA"/>
              </w:rPr>
              <w:framePr w:vAnchor="text" w:hAnchor="page" w:x="1152" w:y="550"/>
            </w:pPr>
            <w:r>
              <w:rPr>
                <w:rFonts w:hint="eastAsia" w:ascii="宋体" w:hAnsi="宋体" w:cs="宋体"/>
                <w:color w:val="000000"/>
                <w:sz w:val="24"/>
                <w:highlight w:val="none"/>
              </w:rPr>
              <w:t xml:space="preserve">供应商、响应文件不存在不符合法律、法规和磋商文件规定的其他无效情形。</w:t>
            </w:r>
            <w:r>
              <w:rPr>
                <w:rFonts w:hint="eastAsia" w:ascii="宋体" w:hAnsi="宋体" w:cs="宋体"/>
                <w:color w:val="000000"/>
                <w:sz w:val="24"/>
                <w:szCs w:val="24"/>
                <w:highlight w:val="none"/>
                <w:lang w:val="en-US" w:eastAsia="zh-CN" w:bidi="ar-SA"/>
              </w:rPr>
            </w:r>
            <w:r/>
          </w:p>
        </w:tc>
      </w:tr>
    </w:tbl>
    <w:p>
      <w:pPr>
        <w:pStyle w:val="1041"/>
        <w:numPr>
          <w:ilvl w:val="0"/>
          <w:numId w:val="12"/>
        </w:numPr>
        <w:ind w:left="901" w:hanging="901"/>
        <w:spacing w:line="360" w:lineRule="auto"/>
        <w:tabs>
          <w:tab w:val="left" w:pos="360" w:leader="none"/>
          <w:tab w:val="left" w:pos="900" w:leader="none"/>
        </w:tabs>
        <w:rPr>
          <w:color w:val="000000"/>
          <w:sz w:val="24"/>
          <w:highlight w:val="none"/>
        </w:rPr>
        <w:outlineLvl w:val="2"/>
      </w:pPr>
      <w:r>
        <w:rPr>
          <w:color w:val="000000"/>
          <w:sz w:val="24"/>
          <w:highlight w:val="none"/>
        </w:rPr>
        <w:br w:type="page" w:clear="all"/>
      </w:r>
      <w:r>
        <w:rPr>
          <w:rFonts w:hint="eastAsia"/>
          <w:color w:val="000000"/>
          <w:sz w:val="24"/>
          <w:highlight w:val="none"/>
        </w:rPr>
        <w:t xml:space="preserve">磋商、响应文件有关事项的澄清、说明或者更正和最终报价</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s>
        <w:rPr>
          <w:color w:val="000000"/>
          <w:sz w:val="24"/>
          <w:highlight w:val="none"/>
        </w:rPr>
      </w:pPr>
      <w:r>
        <w:rPr>
          <w:color w:val="000000"/>
          <w:sz w:val="24"/>
          <w:highlight w:val="none"/>
        </w:rPr>
        <w:t xml:space="preserve">磋商小组所有成员应当集中与单一供应商分别进行磋商，并给予所有参加磋商的供应商平等的磋商机会。</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通过“苏采云”政府采购一体化平台系统</w:t>
      </w:r>
      <w:r>
        <w:rPr>
          <w:color w:val="000000"/>
          <w:sz w:val="24"/>
          <w:highlight w:val="none"/>
        </w:rPr>
        <w:t xml:space="preserve">以书面形式同时通知所有参加磋商的供应商。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响应文件的澄清、说明或者更正</w:t>
      </w:r>
      <w:r>
        <w:rPr>
          <w:rFonts w:hint="eastAsia"/>
          <w:color w:val="000000"/>
          <w:sz w:val="24"/>
          <w:highlight w:val="none"/>
        </w:rPr>
        <w:t xml:space="preserve">：</w:t>
      </w:r>
      <w:r>
        <w:rPr>
          <w:color w:val="000000"/>
          <w:sz w:val="24"/>
          <w:highlight w:val="none"/>
        </w:rPr>
      </w:r>
      <w:r/>
    </w:p>
    <w:p>
      <w:pPr>
        <w:pStyle w:val="1041"/>
        <w:ind w:left="1080"/>
        <w:spacing w:line="360" w:lineRule="auto"/>
        <w:tabs>
          <w:tab w:val="left" w:pos="1980" w:leader="none"/>
        </w:tabs>
        <w:rPr>
          <w:color w:val="000000"/>
          <w:sz w:val="24"/>
          <w:highlight w:val="none"/>
        </w:rPr>
      </w:pP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通过“苏采云”政府采购一体化平台系统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文件中含义不明确、同类问题表述不一致或者有明显文字和计算错误的内容，作出必要的澄清、说明或者补正。</w:t>
      </w:r>
      <w:r>
        <w:rPr>
          <w:rFonts w:hint="eastAsia"/>
          <w:color w:val="000000"/>
          <w:sz w:val="24"/>
          <w:highlight w:val="none"/>
        </w:rPr>
        <w:t xml:space="preserve">供应商</w:t>
      </w:r>
      <w:r>
        <w:rPr>
          <w:color w:val="000000"/>
          <w:sz w:val="24"/>
          <w:highlight w:val="none"/>
        </w:rPr>
        <w:t xml:space="preserve">的澄清、说明或者补正应当采用书面形式，并加盖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的澄清、说明或者补正不得超出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b/>
          <w:color w:val="000000"/>
          <w:sz w:val="24"/>
          <w:highlight w:val="none"/>
        </w:rPr>
      </w:pPr>
      <w:r>
        <w:rPr>
          <w:b/>
          <w:color w:val="000000"/>
          <w:sz w:val="24"/>
          <w:highlight w:val="none"/>
        </w:rPr>
        <w:t xml:space="preserve">磋商结束后，磋商小组将要求所有实质性响应的供应商在规定时间内</w:t>
      </w:r>
      <w:r>
        <w:rPr>
          <w:rFonts w:hint="eastAsia"/>
          <w:b/>
          <w:color w:val="000000"/>
          <w:sz w:val="24"/>
          <w:highlight w:val="none"/>
        </w:rPr>
        <w:t xml:space="preserve">通过“苏采云”政府采购一体化平台系统</w:t>
      </w:r>
      <w:r>
        <w:rPr>
          <w:b/>
          <w:color w:val="000000"/>
          <w:sz w:val="24"/>
          <w:highlight w:val="none"/>
        </w:rPr>
        <w:t xml:space="preserve">提交最</w:t>
      </w:r>
      <w:r>
        <w:rPr>
          <w:rFonts w:hint="eastAsia"/>
          <w:b/>
          <w:color w:val="000000"/>
          <w:sz w:val="24"/>
          <w:highlight w:val="none"/>
        </w:rPr>
        <w:t xml:space="preserve">终</w:t>
      </w:r>
      <w:r>
        <w:rPr>
          <w:b/>
          <w:color w:val="000000"/>
          <w:sz w:val="24"/>
          <w:highlight w:val="none"/>
        </w:rPr>
        <w:t xml:space="preserve">报价</w:t>
      </w:r>
      <w:r>
        <w:rPr>
          <w:rFonts w:hint="eastAsia"/>
          <w:b/>
          <w:color w:val="000000"/>
          <w:sz w:val="24"/>
          <w:highlight w:val="none"/>
        </w:rPr>
        <w:t xml:space="preserve">。</w:t>
      </w:r>
      <w:r>
        <w:rPr>
          <w:b/>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color w:val="000000"/>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最终报价是供应商响应文件的有效组成部分。</w:t>
      </w:r>
      <w:r>
        <w:rPr>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已提交响应文件的供应商，在提交最终报价之前，可以根据磋商情况退出磋商。</w:t>
      </w:r>
      <w:r>
        <w:rPr>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最终报价的算术修正及政策调整</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项目/采购包中的内容拆开响应，其</w:t>
      </w:r>
      <w:r>
        <w:rPr>
          <w:rFonts w:hint="eastAsia" w:ascii="宋体" w:hAnsi="宋体" w:cs="宋体"/>
          <w:b/>
          <w:color w:val="000000"/>
          <w:sz w:val="24"/>
          <w:highlight w:val="none"/>
        </w:rPr>
        <w:t xml:space="preserve">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最终报价出现前后不一致的，按照下列规定修正：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竞争性磋商文件对于报价修正是否另有规定：</w:t>
      </w:r>
      <w:r>
        <w:rPr>
          <w:rFonts w:hint="eastAsia" w:ascii="宋体" w:hAnsi="宋体" w:cs="宋体"/>
          <w:color w:val="000000"/>
          <w:sz w:val="24"/>
          <w:highlight w:val="non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041"/>
        <w:ind w:left="2035"/>
        <w:spacing w:line="360" w:lineRule="auto"/>
        <w:tabs>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■无，按下述3.2.2-3.2.5项规定修正。</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单价金额小数点或者百分比有明显错位的，以最终报价一览表的总价为准，并修改单价；</w:t>
      </w:r>
      <w:r>
        <w:rPr>
          <w:rFonts w:hint="eastAsia" w:ascii="宋体" w:hAnsi="宋体" w:cs="宋体"/>
          <w:color w:val="000000"/>
          <w:sz w:val="24"/>
          <w:highlight w:val="none"/>
        </w:rPr>
      </w:r>
      <w:r/>
    </w:p>
    <w:p>
      <w:pPr>
        <w:pStyle w:val="1041"/>
        <w:numPr>
          <w:ilvl w:val="2"/>
          <w:numId w:val="12"/>
        </w:numPr>
        <w:ind w:left="2035"/>
        <w:spacing w:line="360" w:lineRule="auto"/>
        <w:tabs>
          <w:tab w:val="left" w:pos="1980"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4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 xml:space="preserve">其响应无效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落实政府采购政策的价格调整：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磋商环节及提交最终报价后如出现以下情况的，供应商的响应文件无效：</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供应商对实质性变动不予确认的；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不满足磋商文件★号条款或磋商文件技术指标超出磋商文件《采购需求》中主要技术参数允许偏差的最大范围的（如有）；</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未按照磋商小组规定的时间、逾期提交最终报价的；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如供应商的最终报价超过竞争性磋商文件中规定的项目/采购包预算金额或者项目/采购包最高限价的；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响应文件中出现可选择性或可调整的报价的（竞争性磋商文件另有规定的除外）；</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最终报价出现前后不一致，供应商对修正后的报价不予确认的；</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bookmarkEnd w:id="569"/>
      <w:r/>
      <w:bookmarkEnd w:id="570"/>
      <w:r>
        <w:rPr>
          <w:rFonts w:hint="eastAsia"/>
          <w:color w:val="000000"/>
          <w:sz w:val="24"/>
          <w:highlight w:val="none"/>
        </w:rPr>
        <w:t xml:space="preserve">评审方法和评审标准</w:t>
      </w:r>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竞争性磋商文件中没有规定的评审标准不得作为评审依据。</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确定</w:t>
      </w:r>
      <w:bookmarkStart w:id="586" w:name="_Toc142311048"/>
      <w:r/>
      <w:bookmarkStart w:id="587" w:name="_Toc226337242"/>
      <w:r/>
      <w:bookmarkStart w:id="588" w:name="_Toc150509297"/>
      <w:r/>
      <w:bookmarkStart w:id="589" w:name="_Toc305158888"/>
      <w:r/>
      <w:bookmarkStart w:id="590" w:name="_Toc226965736"/>
      <w:r/>
      <w:bookmarkStart w:id="591" w:name="_Toc151193860"/>
      <w:r/>
      <w:bookmarkStart w:id="592" w:name="_Toc151193644"/>
      <w:r/>
      <w:bookmarkStart w:id="593" w:name="_Toc164608660"/>
      <w:r/>
      <w:bookmarkStart w:id="594" w:name="_Toc150774646"/>
      <w:r/>
      <w:bookmarkStart w:id="595" w:name="_Toc226965819"/>
      <w:r/>
      <w:bookmarkStart w:id="596" w:name="_Toc164229387"/>
      <w:r/>
      <w:bookmarkStart w:id="597" w:name="_Toc150774751"/>
      <w:r/>
      <w:bookmarkStart w:id="598" w:name="_Toc151193716"/>
      <w:r/>
      <w:bookmarkStart w:id="599" w:name="_Toc151193788"/>
      <w:r/>
      <w:bookmarkStart w:id="600" w:name="_Toc127151747"/>
      <w:r/>
      <w:bookmarkStart w:id="601" w:name="_Toc195842911"/>
      <w:r/>
      <w:bookmarkStart w:id="602" w:name="_Toc164229241"/>
      <w:r/>
      <w:bookmarkStart w:id="603" w:name="_Toc264969236"/>
      <w:r/>
      <w:bookmarkStart w:id="604" w:name="_Ref467307010"/>
      <w:r/>
      <w:bookmarkStart w:id="605" w:name="_Toc164351640"/>
      <w:r/>
      <w:bookmarkStart w:id="606" w:name="_Toc151190173"/>
      <w:r/>
      <w:bookmarkStart w:id="607" w:name="_Toc164608815"/>
      <w:r/>
      <w:bookmarkStart w:id="608" w:name="_Toc305158814"/>
      <w:r/>
      <w:bookmarkStart w:id="609" w:name="_Toc265228384"/>
      <w:r/>
      <w:bookmarkStart w:id="610" w:name="_Toc520356170"/>
      <w:r/>
      <w:bookmarkStart w:id="611" w:name="_Toc149720839"/>
      <w:r/>
      <w:bookmarkStart w:id="612" w:name="_Toc226309790"/>
      <w:r/>
      <w:bookmarkStart w:id="613" w:name="_Toc127151546"/>
      <w:r/>
      <w:bookmarkStart w:id="614" w:name="_Toc127161460"/>
      <w:r/>
      <w:bookmarkStart w:id="615" w:name="_Toc150480784"/>
      <w:r/>
      <w:bookmarkStart w:id="616" w:name="_Toc151193934"/>
      <w:r>
        <w:rPr>
          <w:rFonts w:hint="eastAsia"/>
          <w:color w:val="000000"/>
          <w:sz w:val="24"/>
          <w:highlight w:val="none"/>
        </w:rPr>
        <w:t xml:space="preserve">成交候选人名单</w:t>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rPr>
          <w:rFonts w:hint="eastAsia"/>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szCs w:val="20"/>
          <w:highlight w:val="none"/>
        </w:rPr>
        <w:t xml:space="preserve">磋商小组根据上述供应商排序，依次推荐排序前</w:t>
      </w:r>
      <w:r>
        <w:rPr>
          <w:rFonts w:hint="eastAsia" w:ascii="宋体" w:hAnsi="宋体" w:cs="宋体"/>
          <w:color w:val="000000"/>
          <w:sz w:val="24"/>
          <w:highlight w:val="none"/>
        </w:rPr>
        <w:t xml:space="preserve">3名</w:t>
      </w:r>
      <w:r>
        <w:rPr>
          <w:rFonts w:hint="eastAsia" w:ascii="宋体" w:hAnsi="宋体" w:cs="宋体"/>
          <w:color w:val="000000"/>
          <w:sz w:val="24"/>
          <w:szCs w:val="20"/>
          <w:highlight w:val="none"/>
        </w:rPr>
        <w:t xml:space="preserve">的供应商为</w:t>
      </w:r>
      <w:r>
        <w:rPr>
          <w:rFonts w:hint="eastAsia" w:ascii="宋体" w:hAnsi="宋体" w:cs="宋体"/>
          <w:color w:val="000000"/>
          <w:sz w:val="24"/>
          <w:szCs w:val="21"/>
          <w:highlight w:val="none"/>
        </w:rPr>
        <w:t xml:space="preserve">成交候选供应商</w:t>
      </w:r>
      <w:r>
        <w:rPr>
          <w:rFonts w:hint="eastAsia" w:ascii="宋体" w:hAnsi="宋体" w:cs="宋体"/>
          <w:color w:val="000000"/>
          <w:sz w:val="24"/>
          <w:szCs w:val="20"/>
          <w:highlight w:val="none"/>
        </w:rPr>
        <w:t xml:space="preserve">（若在磋商文件允许的情形下提交最终报价的供应商为二家，则依次推荐二名供应商为成交候选供应商），并编写评审报告。</w:t>
      </w:r>
      <w:r>
        <w:rPr>
          <w:rFonts w:hint="eastAsia" w:ascii="宋体" w:hAnsi="宋体" w:cs="宋体"/>
          <w:color w:val="000000"/>
          <w:sz w:val="24"/>
          <w:highlight w:val="none"/>
        </w:rPr>
      </w:r>
      <w:r/>
    </w:p>
    <w:p>
      <w:pPr>
        <w:pStyle w:val="1041"/>
        <w:numPr>
          <w:ilvl w:val="1"/>
          <w:numId w:val="12"/>
        </w:numPr>
        <w:ind w:left="1077" w:hanging="720"/>
        <w:spacing w:line="360" w:lineRule="auto"/>
        <w:tabs>
          <w:tab w:val="left" w:pos="1080" w:leader="none"/>
          <w:tab w:val="left" w:pos="1589" w:leader="none"/>
          <w:tab w:val="left" w:pos="1872"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磋商小组要对评分汇总情况进行复核，特别是对排名第一的、报价最低的、响应文件被认定为无效的情形进行重点复核。</w:t>
      </w:r>
      <w:r>
        <w:rPr>
          <w:rFonts w:hint="eastAsia" w:ascii="宋体" w:hAnsi="宋体" w:cs="宋体"/>
          <w:color w:val="000000"/>
          <w:sz w:val="24"/>
          <w:highlight w:val="none"/>
        </w:rPr>
      </w:r>
      <w:r/>
    </w:p>
    <w:p>
      <w:pPr>
        <w:pStyle w:val="1041"/>
        <w:numPr>
          <w:ilvl w:val="0"/>
          <w:numId w:val="12"/>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报告违法行为</w:t>
      </w:r>
      <w:r>
        <w:rPr>
          <w:rFonts w:hint="eastAsia"/>
          <w:color w:val="000000"/>
          <w:sz w:val="24"/>
          <w:highlight w:val="none"/>
        </w:rPr>
      </w:r>
      <w:r/>
    </w:p>
    <w:p>
      <w:pPr>
        <w:pStyle w:val="1041"/>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41"/>
        <w:jc w:val="center"/>
        <w:spacing w:line="360" w:lineRule="auto"/>
        <w:rPr>
          <w:rFonts w:hint="eastAsia" w:ascii="宋体" w:hAnsi="宋体"/>
          <w:b/>
          <w:bCs/>
          <w:color w:val="000000"/>
          <w:sz w:val="28"/>
          <w:szCs w:val="28"/>
          <w:highlight w:val="none"/>
        </w:rPr>
        <w:outlineLvl w:val="1"/>
      </w:pPr>
      <w:r>
        <w:rPr>
          <w:rFonts w:hint="eastAsia" w:ascii="宋体" w:hAnsi="宋体"/>
          <w:b/>
          <w:bCs/>
          <w:color w:val="000000"/>
          <w:sz w:val="28"/>
          <w:szCs w:val="28"/>
          <w:highlight w:val="none"/>
        </w:rPr>
        <w:br w:type="page" w:clear="all"/>
      </w:r>
      <w:r>
        <w:rPr>
          <w:rFonts w:hint="eastAsia" w:ascii="宋体" w:hAnsi="宋体"/>
          <w:b/>
          <w:bCs/>
          <w:color w:val="000000"/>
          <w:sz w:val="28"/>
          <w:szCs w:val="28"/>
          <w:highlight w:val="none"/>
        </w:rPr>
        <w:t xml:space="preserve">二、评审标准</w:t>
      </w:r>
      <w:r>
        <w:rPr>
          <w:rFonts w:hint="eastAsia" w:ascii="宋体" w:hAnsi="宋体"/>
          <w:b/>
          <w:bCs/>
          <w:color w:val="000000"/>
          <w:sz w:val="28"/>
          <w:szCs w:val="28"/>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评审采用综合评分法，磋商小组在响应文件最大限度地满足磋商文件中实质性要求前提下，按照磋商文件中规定的磋商小组评分部分各项因素，独立对每个有效供应商的响应文件进行评审，各供应商最终得分为磋商小组所评定分值的平均值,磋商小组成员评分及平均值计算均保留两位小数。</w:t>
      </w:r>
      <w:r>
        <w:rPr>
          <w:rFonts w:hint="eastAsia" w:ascii="宋体" w:hAnsi="宋体" w:cs="宋体"/>
          <w:bCs/>
          <w:color w:val="000000"/>
          <w:sz w:val="24"/>
          <w:highlight w:val="none"/>
        </w:rPr>
      </w:r>
      <w:r/>
    </w:p>
    <w:p>
      <w:pPr>
        <w:pStyle w:val="1041"/>
        <w:ind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磋商小组按评审后最终综合得分由高到低顺序排列名次，并推荐出成交供应商。如得分相同的，按最终报价由低到高顺序推荐成交供应商。得分且最终报价相同的，则以开标签到先后顺序抽签确定成交供应商。</w:t>
      </w:r>
      <w:r>
        <w:rPr>
          <w:rFonts w:hint="eastAsia" w:ascii="宋体" w:hAnsi="宋体" w:cs="宋体"/>
          <w:bCs/>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磋商小组认为供应商的报价明显低于其他通过符合性审查供应商的报价，有可能影响产品质量或者不能诚信履约的，应当要求其在评标现场合理的时间内提供相关证明材料；供应商不能证明其报价合理性的，磋商小组应当将其作为无效响应处理。</w:t>
      </w:r>
      <w:r>
        <w:rPr>
          <w:rFonts w:hint="eastAsia" w:ascii="宋体" w:hAnsi="宋体" w:cs="宋体"/>
          <w:bCs/>
          <w:color w:val="000000"/>
          <w:sz w:val="24"/>
          <w:highlight w:val="none"/>
        </w:rPr>
      </w:r>
      <w:r/>
    </w:p>
    <w:tbl>
      <w:tblPr>
        <w:tblW w:w="9199"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02"/>
        <w:gridCol w:w="1096"/>
        <w:gridCol w:w="782"/>
        <w:gridCol w:w="4808"/>
        <w:gridCol w:w="1711"/>
      </w:tblGrid>
      <w:tr>
        <w:trPr>
          <w:trHeight w:val="525"/>
        </w:trPr>
        <w:tc>
          <w:tcPr>
            <w:tcW w:w="80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序号</w:t>
            </w:r>
            <w:r>
              <w:rPr>
                <w:rFonts w:hint="eastAsia" w:ascii="宋体" w:hAnsi="宋体"/>
                <w:b/>
                <w:bCs/>
                <w:color w:val="000000"/>
                <w:spacing w:val="-1"/>
                <w:sz w:val="24"/>
                <w:highlight w:val="none"/>
              </w:rPr>
            </w:r>
            <w:r/>
          </w:p>
        </w:tc>
        <w:tc>
          <w:tcPr>
            <w:tcW w:w="1096"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评分因素</w:t>
            </w:r>
            <w:r>
              <w:rPr>
                <w:rFonts w:hint="eastAsia" w:ascii="宋体" w:hAnsi="宋体"/>
                <w:b/>
                <w:bCs/>
                <w:color w:val="000000"/>
                <w:spacing w:val="-1"/>
                <w:sz w:val="24"/>
                <w:highlight w:val="none"/>
              </w:rPr>
            </w:r>
            <w:r/>
          </w:p>
        </w:tc>
        <w:tc>
          <w:tcPr>
            <w:tcW w:w="782" w:type="dxa"/>
            <w:vAlign w:val="center"/>
            <w:textDirection w:val="lrTb"/>
            <w:noWrap w:val="false"/>
          </w:tcPr>
          <w:p>
            <w:pPr>
              <w:pStyle w:val="1041"/>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分值</w:t>
            </w:r>
            <w:r>
              <w:rPr>
                <w:rFonts w:hint="eastAsia" w:ascii="宋体" w:hAnsi="宋体"/>
                <w:b/>
                <w:bCs/>
                <w:color w:val="000000"/>
                <w:spacing w:val="-1"/>
                <w:sz w:val="24"/>
                <w:highlight w:val="none"/>
              </w:rPr>
            </w:r>
            <w:r/>
          </w:p>
        </w:tc>
        <w:tc>
          <w:tcPr>
            <w:tcW w:w="4808"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评分标准</w:t>
            </w:r>
            <w:r>
              <w:rPr>
                <w:rFonts w:hint="eastAsia" w:ascii="宋体" w:hAnsi="宋体"/>
                <w:b/>
                <w:bCs/>
                <w:color w:val="000000"/>
                <w:spacing w:val="-1"/>
                <w:sz w:val="24"/>
                <w:highlight w:val="none"/>
              </w:rPr>
            </w:r>
            <w:r/>
          </w:p>
        </w:tc>
        <w:tc>
          <w:tcPr>
            <w:tcW w:w="1711" w:type="dxa"/>
            <w:vAlign w:val="center"/>
            <w:textDirection w:val="lrTb"/>
            <w:noWrap w:val="false"/>
          </w:tcPr>
          <w:p>
            <w:pPr>
              <w:pStyle w:val="1041"/>
              <w:ind w:left="330"/>
              <w:jc w:val="center"/>
              <w:spacing w:before="69"/>
              <w:rPr>
                <w:rFonts w:hint="eastAsia" w:ascii="宋体" w:hAnsi="宋体"/>
                <w:b/>
                <w:bCs/>
                <w:color w:val="000000"/>
                <w:spacing w:val="-1"/>
                <w:sz w:val="24"/>
                <w:highlight w:val="none"/>
              </w:rPr>
            </w:pPr>
            <w:r>
              <w:rPr>
                <w:rFonts w:hint="eastAsia" w:ascii="宋体" w:hAnsi="宋体"/>
                <w:b/>
                <w:bCs/>
                <w:color w:val="000000"/>
                <w:spacing w:val="-1"/>
                <w:sz w:val="24"/>
                <w:highlight w:val="none"/>
              </w:rPr>
              <w:t xml:space="preserve">说明</w:t>
            </w:r>
            <w:r>
              <w:rPr>
                <w:rFonts w:hint="eastAsia" w:ascii="宋体" w:hAnsi="宋体"/>
                <w:b/>
                <w:bCs/>
                <w:color w:val="000000"/>
                <w:spacing w:val="-1"/>
                <w:sz w:val="24"/>
                <w:highlight w:val="none"/>
              </w:rPr>
            </w:r>
            <w:r/>
          </w:p>
        </w:tc>
      </w:tr>
      <w:tr>
        <w:trPr>
          <w:trHeight w:val="2118"/>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b/>
                <w:color w:val="000000"/>
                <w:sz w:val="24"/>
                <w:highlight w:val="none"/>
              </w:rPr>
            </w:pPr>
            <w:r>
              <w:rPr>
                <w:rFonts w:hint="eastAsia" w:ascii="宋体" w:hAnsi="宋体"/>
                <w:b/>
                <w:color w:val="000000"/>
                <w:spacing w:val="-2"/>
                <w:sz w:val="24"/>
                <w:highlight w:val="none"/>
              </w:rPr>
              <w:t xml:space="preserve">价</w:t>
            </w:r>
            <w:r>
              <w:rPr>
                <w:rFonts w:hint="eastAsia" w:ascii="宋体" w:hAnsi="宋体"/>
                <w:b/>
                <w:color w:val="000000"/>
                <w:spacing w:val="-1"/>
                <w:sz w:val="24"/>
                <w:highlight w:val="none"/>
              </w:rPr>
              <w:t xml:space="preserve">格分</w:t>
            </w:r>
            <w:r>
              <w:rPr>
                <w:rFonts w:hint="eastAsia" w:ascii="宋体" w:hAnsi="宋体"/>
                <w:b/>
                <w:color w:val="000000"/>
                <w:sz w:val="24"/>
                <w:highlight w:val="none"/>
              </w:rPr>
            </w:r>
            <w:r/>
          </w:p>
        </w:tc>
        <w:tc>
          <w:tcPr>
            <w:tcW w:w="782" w:type="dxa"/>
            <w:vAlign w:val="center"/>
            <w:textDirection w:val="lrTb"/>
            <w:noWrap w:val="false"/>
          </w:tcPr>
          <w:p>
            <w:pPr>
              <w:pStyle w:val="1041"/>
              <w:jc w:val="center"/>
              <w:spacing w:before="68"/>
              <w:rPr>
                <w:rFonts w:hint="eastAsia" w:ascii="宋体" w:hAnsi="宋体"/>
                <w:b/>
                <w:color w:val="000000"/>
                <w:sz w:val="24"/>
                <w:highlight w:val="none"/>
              </w:rPr>
            </w:pPr>
            <w:r>
              <w:rPr>
                <w:rFonts w:ascii="宋体" w:hAnsi="宋体"/>
                <w:b/>
                <w:color w:val="000000"/>
                <w:spacing w:val="-2"/>
                <w:sz w:val="24"/>
                <w:highlight w:val="none"/>
              </w:rPr>
              <w:t xml:space="preserve">3</w:t>
            </w:r>
            <w:r>
              <w:rPr>
                <w:rFonts w:hint="eastAsia" w:ascii="宋体" w:hAnsi="宋体"/>
                <w:b/>
                <w:color w:val="000000"/>
                <w:spacing w:val="-2"/>
                <w:sz w:val="24"/>
                <w:highlight w:val="none"/>
              </w:rPr>
              <w:t xml:space="preserve">0</w:t>
            </w:r>
            <w:r>
              <w:rPr>
                <w:rFonts w:hint="eastAsia" w:ascii="宋体" w:hAnsi="宋体"/>
                <w:b/>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10"/>
                <w:sz w:val="24"/>
                <w:highlight w:val="none"/>
              </w:rPr>
            </w:pPr>
            <w:r>
              <w:rPr>
                <w:rFonts w:hint="eastAsia" w:ascii="宋体" w:hAnsi="宋体"/>
                <w:color w:val="000000"/>
                <w:spacing w:val="-4"/>
                <w:sz w:val="24"/>
                <w:highlight w:val="none"/>
              </w:rPr>
              <w:t xml:space="preserve">价格分采用低价优先法计算，即满足磋商文件要求且磋商价格最低的磋商报价为磋商基准价，其价格分为</w:t>
            </w:r>
            <w:r>
              <w:rPr>
                <w:rFonts w:hint="eastAsia" w:ascii="宋体" w:hAnsi="宋体"/>
                <w:color w:val="000000"/>
                <w:spacing w:val="-4"/>
                <w:sz w:val="24"/>
                <w:highlight w:val="none"/>
                <w:lang w:val="en-US" w:eastAsia="zh-CN"/>
              </w:rPr>
              <w:t xml:space="preserve">价格满分</w:t>
            </w:r>
            <w:r>
              <w:rPr>
                <w:rFonts w:hint="eastAsia" w:ascii="宋体" w:hAnsi="宋体"/>
                <w:color w:val="000000"/>
                <w:spacing w:val="-4"/>
                <w:sz w:val="24"/>
                <w:highlight w:val="none"/>
              </w:rPr>
              <w:t xml:space="preserve">。其他供应商的价格分统一按照下列公式计算（计算结果四舍五入保留两位小数）：磋商报价得分=（磋商基准价/磋商报价）*</w:t>
            </w:r>
            <w:r>
              <w:rPr>
                <w:rFonts w:ascii="宋体" w:hAnsi="宋体"/>
                <w:color w:val="000000"/>
                <w:spacing w:val="-4"/>
                <w:sz w:val="24"/>
                <w:highlight w:val="none"/>
              </w:rPr>
              <w:t xml:space="preserve">3</w:t>
            </w:r>
            <w:r>
              <w:rPr>
                <w:rFonts w:hint="eastAsia" w:ascii="宋体" w:hAnsi="宋体"/>
                <w:color w:val="000000"/>
                <w:spacing w:val="-4"/>
                <w:sz w:val="24"/>
                <w:highlight w:val="none"/>
              </w:rPr>
              <w:t xml:space="preserve">0%*100</w:t>
            </w:r>
            <w:r>
              <w:rPr>
                <w:rFonts w:hint="eastAsia" w:ascii="宋体" w:hAnsi="宋体"/>
                <w:color w:val="000000"/>
                <w:spacing w:val="10"/>
                <w:sz w:val="24"/>
                <w:highlight w:val="none"/>
              </w:rPr>
            </w:r>
            <w:r/>
          </w:p>
        </w:tc>
        <w:tc>
          <w:tcPr>
            <w:tcW w:w="1711" w:type="dxa"/>
            <w:vAlign w:val="top"/>
            <w:textDirection w:val="lrTb"/>
            <w:noWrap w:val="false"/>
          </w:tcPr>
          <w:p>
            <w:pPr>
              <w:pStyle w:val="1041"/>
              <w:ind w:left="75" w:right="105" w:firstLine="1"/>
              <w:spacing w:before="54"/>
              <w:rPr>
                <w:rFonts w:hint="eastAsia" w:ascii="宋体" w:hAnsi="宋体"/>
                <w:color w:val="000000"/>
                <w:sz w:val="24"/>
                <w:highlight w:val="none"/>
              </w:rPr>
            </w:pPr>
            <w:r>
              <w:rPr>
                <w:rFonts w:hint="eastAsia" w:ascii="宋体" w:hAnsi="宋体"/>
                <w:color w:val="000000"/>
                <w:spacing w:val="1"/>
                <w:sz w:val="24"/>
                <w:highlight w:val="none"/>
              </w:rPr>
              <w:t xml:space="preserve">此处最终报</w:t>
            </w:r>
            <w:r>
              <w:rPr>
                <w:rFonts w:hint="eastAsia" w:ascii="宋体" w:hAnsi="宋体"/>
                <w:color w:val="000000"/>
                <w:sz w:val="24"/>
                <w:highlight w:val="none"/>
              </w:rPr>
              <w:t xml:space="preserve">价指经过报</w:t>
            </w:r>
            <w:r>
              <w:rPr>
                <w:rFonts w:hint="eastAsia" w:ascii="宋体" w:hAnsi="宋体"/>
                <w:color w:val="000000"/>
                <w:spacing w:val="1"/>
                <w:sz w:val="24"/>
                <w:highlight w:val="none"/>
              </w:rPr>
              <w:t xml:space="preserve">价修正，及因</w:t>
            </w:r>
            <w:r>
              <w:rPr>
                <w:rFonts w:hint="eastAsia" w:ascii="宋体" w:hAnsi="宋体"/>
                <w:color w:val="000000"/>
                <w:sz w:val="24"/>
                <w:highlight w:val="none"/>
              </w:rPr>
              <w:t xml:space="preserve">落实政府</w:t>
            </w:r>
            <w:r>
              <w:rPr>
                <w:rFonts w:hint="eastAsia" w:ascii="宋体" w:hAnsi="宋体"/>
                <w:color w:val="000000"/>
                <w:spacing w:val="1"/>
                <w:sz w:val="24"/>
                <w:highlight w:val="none"/>
              </w:rPr>
              <w:t xml:space="preserve">采购政策进行</w:t>
            </w:r>
            <w:r>
              <w:rPr>
                <w:rFonts w:hint="eastAsia" w:ascii="宋体" w:hAnsi="宋体"/>
                <w:color w:val="000000"/>
                <w:sz w:val="24"/>
                <w:highlight w:val="none"/>
              </w:rPr>
              <w:t xml:space="preserve">价格调整</w:t>
            </w:r>
            <w:r>
              <w:rPr>
                <w:rFonts w:hint="eastAsia" w:ascii="宋体" w:hAnsi="宋体"/>
                <w:color w:val="000000"/>
                <w:spacing w:val="-1"/>
                <w:sz w:val="24"/>
                <w:highlight w:val="none"/>
              </w:rPr>
              <w:t xml:space="preserve">后的最终报</w:t>
            </w:r>
            <w:r>
              <w:rPr>
                <w:rFonts w:hint="eastAsia" w:ascii="宋体" w:hAnsi="宋体"/>
                <w:color w:val="000000"/>
                <w:sz w:val="24"/>
                <w:highlight w:val="none"/>
              </w:rPr>
              <w:t xml:space="preserve">价。</w:t>
            </w:r>
            <w:r>
              <w:rPr>
                <w:rFonts w:hint="eastAsia" w:ascii="宋体" w:hAnsi="宋体"/>
                <w:color w:val="000000"/>
                <w:sz w:val="24"/>
                <w:highlight w:val="none"/>
              </w:rPr>
            </w:r>
            <w:r/>
          </w:p>
        </w:tc>
      </w:tr>
      <w:tr>
        <w:trPr>
          <w:trHeight w:val="544"/>
        </w:trPr>
        <w:tc>
          <w:tcPr>
            <w:tcW w:w="802" w:type="dxa"/>
            <w:vAlign w:val="center"/>
            <w:textDirection w:val="lrTb"/>
            <w:noWrap w:val="false"/>
          </w:tcPr>
          <w:p>
            <w:pPr>
              <w:pStyle w:val="1041"/>
              <w:jc w:val="center"/>
              <w:spacing w:before="140"/>
              <w:rPr>
                <w:rFonts w:hint="eastAsia" w:ascii="宋体" w:hAnsi="宋体"/>
                <w:b/>
                <w:bCs/>
                <w:color w:val="000000"/>
                <w:sz w:val="24"/>
                <w:highlight w:val="none"/>
              </w:rPr>
            </w:pPr>
            <w:r>
              <w:rPr>
                <w:rFonts w:hint="eastAsia" w:ascii="宋体" w:hAnsi="宋体"/>
                <w:b/>
                <w:bCs/>
                <w:color w:val="000000"/>
                <w:sz w:val="24"/>
                <w:highlight w:val="none"/>
              </w:rPr>
              <w:t xml:space="preserve">2</w:t>
            </w:r>
            <w:r>
              <w:rPr>
                <w:rFonts w:hint="eastAsia" w:ascii="宋体" w:hAnsi="宋体"/>
                <w:b/>
                <w:bCs/>
                <w:color w:val="000000"/>
                <w:sz w:val="24"/>
                <w:highlight w:val="none"/>
              </w:rPr>
            </w:r>
            <w:r/>
          </w:p>
        </w:tc>
        <w:tc>
          <w:tcPr>
            <w:tcW w:w="1096" w:type="dxa"/>
            <w:vAlign w:val="center"/>
            <w:textDirection w:val="lrTb"/>
            <w:noWrap w:val="false"/>
          </w:tcPr>
          <w:p>
            <w:pPr>
              <w:pStyle w:val="1041"/>
              <w:jc w:val="center"/>
              <w:spacing w:before="105"/>
              <w:rPr>
                <w:rFonts w:hint="eastAsia" w:ascii="宋体" w:hAnsi="宋体"/>
                <w:b/>
                <w:bCs/>
                <w:color w:val="000000"/>
                <w:sz w:val="24"/>
                <w:highlight w:val="none"/>
              </w:rPr>
            </w:pPr>
            <w:r>
              <w:rPr>
                <w:rFonts w:hint="eastAsia" w:ascii="宋体" w:hAnsi="宋体"/>
                <w:b/>
                <w:bCs/>
                <w:color w:val="000000"/>
                <w:spacing w:val="-2"/>
                <w:sz w:val="24"/>
                <w:highlight w:val="none"/>
              </w:rPr>
              <w:t xml:space="preserve">主观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center"/>
            <w:textDirection w:val="lrTb"/>
            <w:noWrap w:val="false"/>
          </w:tcPr>
          <w:p>
            <w:pPr>
              <w:pStyle w:val="1041"/>
              <w:ind w:left="272"/>
              <w:spacing w:before="139"/>
              <w:rPr>
                <w:rFonts w:ascii="宋体" w:hAnsi="宋体"/>
                <w:b/>
                <w:bCs/>
                <w:color w:val="000000"/>
                <w:sz w:val="24"/>
                <w:highlight w:val="none"/>
              </w:rPr>
            </w:pPr>
            <w:r>
              <w:rPr>
                <w:rFonts w:hint="eastAsia" w:ascii="宋体" w:hAnsi="宋体"/>
                <w:b/>
                <w:bCs/>
                <w:color w:val="000000"/>
                <w:spacing w:val="-3"/>
                <w:sz w:val="24"/>
                <w:highlight w:val="none"/>
              </w:rPr>
              <w:t xml:space="preserve">40</w:t>
            </w:r>
            <w:r>
              <w:rPr>
                <w:rFonts w:ascii="宋体" w:hAnsi="宋体"/>
                <w:b/>
                <w:bCs/>
                <w:color w:val="000000"/>
                <w:sz w:val="24"/>
                <w:highlight w:val="none"/>
              </w:rPr>
            </w:r>
            <w:r/>
          </w:p>
        </w:tc>
        <w:tc>
          <w:tcPr>
            <w:tcW w:w="4808"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c>
          <w:tcPr>
            <w:tcW w:w="1711" w:type="dxa"/>
            <w:vAlign w:val="center"/>
            <w:textDirection w:val="lrTb"/>
            <w:noWrap w:val="false"/>
          </w:tcPr>
          <w:p>
            <w:pPr>
              <w:pStyle w:val="1041"/>
              <w:rPr>
                <w:rFonts w:hint="eastAsia" w:ascii="宋体" w:hAnsi="宋体"/>
                <w:b/>
                <w:bCs/>
                <w:color w:val="000000"/>
                <w:sz w:val="24"/>
                <w:highlight w:val="none"/>
              </w:rPr>
            </w:pPr>
            <w:r>
              <w:rPr>
                <w:rFonts w:hint="eastAsia" w:ascii="宋体" w:hAnsi="宋体"/>
                <w:b/>
                <w:bCs/>
                <w:color w:val="000000"/>
                <w:sz w:val="24"/>
                <w:highlight w:val="none"/>
              </w:rPr>
            </w:r>
            <w:r/>
          </w:p>
        </w:tc>
      </w:tr>
      <w:tr>
        <w:trPr>
          <w:trHeight w:val="1003"/>
        </w:trPr>
        <w:tc>
          <w:tcPr>
            <w:tcW w:w="802"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2.1</w:t>
            </w:r>
            <w:r>
              <w:rPr>
                <w:rFonts w:hint="eastAsia" w:ascii="宋体" w:hAnsi="宋体"/>
                <w:color w:val="000000"/>
                <w:spacing w:val="-2"/>
                <w:sz w:val="24"/>
                <w:highlight w:val="none"/>
              </w:rPr>
            </w:r>
            <w:r/>
          </w:p>
        </w:tc>
        <w:tc>
          <w:tcPr>
            <w:tcW w:w="1096" w:type="dxa"/>
            <w:vAlign w:val="center"/>
            <w:textDirection w:val="lrTb"/>
            <w:noWrap w:val="false"/>
          </w:tcPr>
          <w:p>
            <w:pPr>
              <w:pStyle w:val="1041"/>
              <w:jc w:val="center"/>
              <w:spacing w:before="68"/>
              <w:rPr>
                <w:rFonts w:hint="eastAsia" w:ascii="宋体" w:hAnsi="宋体"/>
                <w:color w:val="000000"/>
                <w:spacing w:val="-2"/>
                <w:sz w:val="24"/>
                <w:highlight w:val="none"/>
              </w:rPr>
            </w:pPr>
            <w:r>
              <w:rPr>
                <w:rFonts w:hint="eastAsia" w:ascii="宋体" w:hAnsi="宋体"/>
                <w:color w:val="000000"/>
                <w:spacing w:val="-2"/>
                <w:sz w:val="24"/>
                <w:highlight w:val="none"/>
              </w:rPr>
              <w:t xml:space="preserve">施工组织方案</w:t>
            </w:r>
            <w:r>
              <w:rPr>
                <w:rFonts w:hint="eastAsia" w:ascii="宋体" w:hAnsi="宋体"/>
                <w:color w:val="000000"/>
                <w:spacing w:val="-2"/>
                <w:sz w:val="24"/>
                <w:highlight w:val="none"/>
              </w:rPr>
            </w:r>
            <w:r/>
          </w:p>
        </w:tc>
        <w:tc>
          <w:tcPr>
            <w:tcW w:w="782" w:type="dxa"/>
            <w:vAlign w:val="center"/>
            <w:textDirection w:val="lrTb"/>
            <w:noWrap w:val="false"/>
          </w:tcPr>
          <w:p>
            <w:pPr>
              <w:pStyle w:val="1041"/>
              <w:jc w:val="center"/>
              <w:spacing w:before="68"/>
              <w:rPr>
                <w:rFonts w:ascii="宋体" w:hAnsi="宋体"/>
                <w:color w:val="000000"/>
                <w:spacing w:val="-2"/>
                <w:sz w:val="24"/>
                <w:highlight w:val="none"/>
              </w:rPr>
            </w:pPr>
            <w:r>
              <w:rPr>
                <w:rFonts w:hint="eastAsia" w:ascii="宋体" w:hAnsi="宋体"/>
                <w:color w:val="000000"/>
                <w:spacing w:val="-2"/>
                <w:sz w:val="24"/>
                <w:highlight w:val="none"/>
              </w:rPr>
              <w:t xml:space="preserve">14</w:t>
            </w:r>
            <w:r>
              <w:rPr>
                <w:rFonts w:ascii="宋体" w:hAnsi="宋体"/>
                <w:color w:val="000000"/>
                <w:spacing w:val="-2"/>
                <w:sz w:val="24"/>
                <w:highlight w:val="none"/>
              </w:rPr>
            </w:r>
            <w:r/>
          </w:p>
        </w:tc>
        <w:tc>
          <w:tcPr>
            <w:tcW w:w="4808" w:type="dxa"/>
            <w:vAlign w:val="top"/>
            <w:textDirection w:val="lrTb"/>
            <w:noWrap w:val="false"/>
          </w:tcPr>
          <w:p>
            <w:pPr>
              <w:pStyle w:val="1041"/>
              <w:ind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包括施工组织设计、施工统筹安排等，磋商小组进行综合打分：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olor w:val="000000"/>
                <w:spacing w:val="-4"/>
                <w:sz w:val="24"/>
                <w:highlight w:val="none"/>
              </w:rPr>
            </w:pPr>
            <w:r>
              <w:rPr>
                <w:rFonts w:hint="eastAsia" w:ascii="宋体" w:hAnsi="宋体"/>
                <w:color w:val="000000"/>
                <w:spacing w:val="-4"/>
                <w:sz w:val="24"/>
                <w:highlight w:val="none"/>
              </w:rPr>
              <w:t xml:space="preserve">施工组织总体设想：</w:t>
            </w:r>
            <w:r>
              <w:rPr>
                <w:rFonts w:hint="eastAsia" w:ascii="宋体" w:hAnsi="宋体"/>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p>
            <w:pPr>
              <w:pStyle w:val="1041"/>
              <w:ind w:right="101" w:hanging="23"/>
              <w:rPr>
                <w:rFonts w:hint="eastAsia" w:ascii="宋体" w:hAnsi="宋体" w:cs="宋体"/>
                <w:color w:val="000000"/>
                <w:sz w:val="24"/>
                <w:highlight w:val="none"/>
              </w:rPr>
            </w:pPr>
            <w:r>
              <w:rPr>
                <w:rFonts w:hint="eastAsia" w:ascii="宋体" w:hAnsi="宋体"/>
                <w:color w:val="000000"/>
                <w:spacing w:val="-4"/>
                <w:sz w:val="24"/>
                <w:highlight w:val="none"/>
              </w:rPr>
              <w:t xml:space="preserve">2、</w:t>
            </w:r>
            <w:r>
              <w:rPr>
                <w:rFonts w:hint="eastAsia" w:ascii="宋体" w:hAnsi="宋体" w:cs="宋体"/>
                <w:color w:val="000000"/>
                <w:sz w:val="24"/>
                <w:highlight w:val="none"/>
              </w:rPr>
              <w:t xml:space="preserve">实施方案：</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（1）方案完整，能完全满足项目实施要求，得7分；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s="宋体"/>
                <w:color w:val="000000"/>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2090"/>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2.2</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2"/>
                <w:sz w:val="24"/>
                <w:highlight w:val="none"/>
              </w:rPr>
              <w:t xml:space="preserve">质量保</w:t>
            </w:r>
            <w:r>
              <w:rPr>
                <w:rFonts w:hint="eastAsia" w:ascii="宋体" w:hAnsi="宋体"/>
                <w:color w:val="000000"/>
                <w:spacing w:val="-1"/>
                <w:sz w:val="24"/>
                <w:highlight w:val="none"/>
              </w:rPr>
              <w:t xml:space="preserve">证</w:t>
            </w:r>
            <w:r>
              <w:rPr>
                <w:rFonts w:hint="eastAsia" w:ascii="宋体" w:hAnsi="宋体"/>
                <w:color w:val="000000"/>
                <w:spacing w:val="-2"/>
                <w:sz w:val="24"/>
                <w:highlight w:val="none"/>
              </w:rPr>
              <w:t xml:space="preserve">措</w:t>
            </w:r>
            <w:r>
              <w:rPr>
                <w:rFonts w:hint="eastAsia" w:ascii="宋体" w:hAnsi="宋体"/>
                <w:color w:val="000000"/>
                <w:spacing w:val="-1"/>
                <w:sz w:val="24"/>
                <w:highlight w:val="none"/>
              </w:rPr>
              <w:t xml:space="preserve">施</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材料、施工质量保证措施及体系控制要点：根据本工程的规模、特定的结构、施工现场等情况制定出切实可行的方案等，磋商小组进行综合打分：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13" w:right="99"/>
              <w:spacing w:before="2"/>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780"/>
        </w:trPr>
        <w:tc>
          <w:tcPr>
            <w:tcW w:w="802" w:type="dxa"/>
            <w:vAlign w:val="center"/>
            <w:textDirection w:val="lrTb"/>
            <w:noWrap w:val="false"/>
          </w:tcPr>
          <w:p>
            <w:pPr>
              <w:pStyle w:val="1041"/>
              <w:jc w:val="center"/>
              <w:spacing w:before="68"/>
              <w:rPr>
                <w:rFonts w:hint="eastAsia" w:ascii="宋体" w:hAnsi="宋体"/>
                <w:color w:val="000000"/>
                <w:sz w:val="24"/>
                <w:highlight w:val="none"/>
              </w:rPr>
            </w:pPr>
            <w:r>
              <w:rPr>
                <w:rFonts w:hint="eastAsia" w:ascii="宋体" w:hAnsi="宋体"/>
                <w:color w:val="000000"/>
                <w:spacing w:val="-3"/>
                <w:sz w:val="24"/>
                <w:highlight w:val="none"/>
              </w:rPr>
              <w:t xml:space="preserve">2.3</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olor w:val="000000"/>
                <w:spacing w:val="-1"/>
                <w:sz w:val="24"/>
                <w:highlight w:val="none"/>
              </w:rPr>
              <w:t xml:space="preserve">工期保证措施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8"/>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right="101" w:hanging="23"/>
              <w:widowControl/>
              <w:rPr>
                <w:rFonts w:hint="eastAsia" w:ascii="宋体" w:hAnsi="宋体" w:cs="宋体"/>
                <w:color w:val="000000"/>
                <w:sz w:val="24"/>
                <w:highlight w:val="none"/>
              </w:rPr>
            </w:pPr>
            <w:r>
              <w:rPr>
                <w:rFonts w:hint="eastAsia" w:ascii="宋体" w:hAnsi="宋体"/>
                <w:b/>
                <w:bCs/>
                <w:color w:val="000000"/>
                <w:spacing w:val="-4"/>
                <w:sz w:val="24"/>
                <w:highlight w:val="none"/>
              </w:rPr>
              <w:t xml:space="preserve">针对本工程施工进度计划的描述，以及为完成该计划所定措施、影响进度要素分析及所采取的措施，各阶段的进度保证措施等，磋商小组进行综合打分：</w:t>
            </w:r>
            <w:r>
              <w:rPr>
                <w:rFonts w:ascii="宋体" w:hAnsi="宋体"/>
                <w:b/>
                <w:bCs/>
                <w:color w:val="000000"/>
                <w:spacing w:val="-4"/>
                <w:sz w:val="24"/>
                <w:highlight w:val="none"/>
              </w:rPr>
              <w:br w:type="textWrapping" w:clear="all"/>
            </w: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ind w:left="114" w:right="104"/>
              <w:spacing w:before="46"/>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ind w:left="284"/>
              <w:spacing w:before="68"/>
              <w:rPr>
                <w:rFonts w:hint="eastAsia" w:ascii="宋体" w:hAnsi="宋体"/>
                <w:color w:val="000000"/>
                <w:sz w:val="24"/>
                <w:highlight w:val="none"/>
              </w:rPr>
            </w:pPr>
            <w:r>
              <w:rPr>
                <w:rFonts w:hint="eastAsia" w:ascii="宋体" w:hAnsi="宋体"/>
                <w:color w:val="000000"/>
                <w:spacing w:val="-3"/>
                <w:sz w:val="24"/>
                <w:highlight w:val="none"/>
              </w:rPr>
              <w:t xml:space="preserve">2.4</w:t>
            </w:r>
            <w:r>
              <w:rPr>
                <w:rFonts w:hint="eastAsia"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安全管理措施</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b/>
                <w:bCs/>
                <w:color w:val="000000"/>
                <w:spacing w:val="-4"/>
                <w:sz w:val="24"/>
                <w:highlight w:val="none"/>
              </w:rPr>
            </w:pPr>
            <w:r>
              <w:rPr>
                <w:rFonts w:hint="eastAsia" w:ascii="宋体" w:hAnsi="宋体"/>
                <w:b/>
                <w:bCs/>
                <w:color w:val="000000"/>
                <w:spacing w:val="-4"/>
                <w:sz w:val="24"/>
                <w:highlight w:val="none"/>
              </w:rPr>
              <w:t xml:space="preserve">提供针对本项目的施工安全保证体系及文明施工、环境保护和消防措施等，磋商小组进行综合打分：</w:t>
            </w:r>
            <w:r>
              <w:rPr>
                <w:rFonts w:hint="eastAsia" w:ascii="宋体" w:hAnsi="宋体"/>
                <w:b/>
                <w:bCs/>
                <w:color w:val="000000"/>
                <w:spacing w:val="-4"/>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（1）方案完整，能完全满足项目实施要求，得5分；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ascii="宋体" w:hAnsi="宋体"/>
                <w:color w:val="000000"/>
                <w:sz w:val="24"/>
                <w:highlight w:val="none"/>
              </w:rPr>
            </w:pPr>
            <w:r>
              <w:rPr>
                <w:rFonts w:hint="eastAsia" w:ascii="宋体" w:hAnsi="宋体"/>
                <w:color w:val="000000"/>
                <w:sz w:val="24"/>
                <w:highlight w:val="none"/>
              </w:rPr>
            </w:r>
            <w:r/>
          </w:p>
        </w:tc>
      </w:tr>
      <w:tr>
        <w:trPr>
          <w:trHeight w:val="355"/>
        </w:trPr>
        <w:tc>
          <w:tcPr>
            <w:tcW w:w="802"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1"/>
                <w:sz w:val="24"/>
                <w:highlight w:val="none"/>
              </w:rPr>
              <w:t xml:space="preserve">2.</w:t>
            </w:r>
            <w:r>
              <w:rPr>
                <w:rFonts w:hint="eastAsia" w:ascii="宋体" w:hAnsi="宋体"/>
                <w:color w:val="000000"/>
                <w:sz w:val="24"/>
                <w:highlight w:val="none"/>
              </w:rPr>
              <w:t xml:space="preserve">5</w:t>
            </w:r>
            <w:r>
              <w:rPr>
                <w:rFonts w:hint="eastAsia" w:ascii="宋体" w:hAnsi="宋体"/>
                <w:color w:val="000000"/>
                <w:sz w:val="24"/>
                <w:highlight w:val="none"/>
              </w:rPr>
            </w:r>
            <w:r/>
          </w:p>
        </w:tc>
        <w:tc>
          <w:tcPr>
            <w:tcW w:w="1096" w:type="dxa"/>
            <w:vAlign w:val="center"/>
            <w:textDirection w:val="lrTb"/>
            <w:noWrap w:val="false"/>
          </w:tcPr>
          <w:p>
            <w:pPr>
              <w:pStyle w:val="1041"/>
              <w:ind w:right="190"/>
              <w:jc w:val="center"/>
              <w:spacing w:before="68"/>
              <w:rPr>
                <w:rFonts w:hint="eastAsia" w:ascii="宋体" w:hAnsi="宋体"/>
                <w:color w:val="000000"/>
                <w:sz w:val="24"/>
                <w:highlight w:val="none"/>
              </w:rPr>
            </w:pPr>
            <w:r>
              <w:rPr>
                <w:rFonts w:hint="eastAsia" w:ascii="宋体" w:hAnsi="宋体" w:cs="宋体"/>
                <w:color w:val="000000"/>
                <w:sz w:val="24"/>
                <w:highlight w:val="none"/>
              </w:rPr>
              <w:t xml:space="preserve">劳动力、机械设备和材料投入计划</w:t>
            </w:r>
            <w:r>
              <w:rPr>
                <w:rFonts w:hint="eastAsia" w:ascii="宋体" w:hAnsi="宋体"/>
                <w:color w:val="000000"/>
                <w:sz w:val="24"/>
                <w:highlight w:val="none"/>
              </w:rPr>
            </w:r>
            <w:r/>
          </w:p>
        </w:tc>
        <w:tc>
          <w:tcPr>
            <w:tcW w:w="782" w:type="dxa"/>
            <w:vAlign w:val="center"/>
            <w:textDirection w:val="lrTb"/>
            <w:noWrap w:val="false"/>
          </w:tcPr>
          <w:p>
            <w:pPr>
              <w:pStyle w:val="1041"/>
              <w:ind w:left="322"/>
              <w:spacing w:before="68"/>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磋商小组根据供应商为本项目制定的劳动力、机械设备和材料投入计划进行综合评审。</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方案完整，能完全满足项目实施要求，得5分； </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方案较具体，能基本满足项目实施要求，得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numPr>
                <w:ilvl w:val="0"/>
                <w:numId w:val="13"/>
              </w:numPr>
              <w:ind w:left="136" w:right="101" w:hanging="23"/>
              <w:rPr>
                <w:rFonts w:hint="eastAsia" w:ascii="宋体" w:hAnsi="宋体" w:cs="宋体"/>
                <w:color w:val="000000"/>
                <w:sz w:val="24"/>
                <w:highlight w:val="none"/>
              </w:rPr>
            </w:pPr>
            <w:r>
              <w:rPr>
                <w:rFonts w:hint="eastAsia" w:ascii="宋体" w:hAnsi="宋体" w:cs="宋体"/>
                <w:color w:val="000000"/>
                <w:sz w:val="24"/>
                <w:highlight w:val="none"/>
              </w:rPr>
              <w:t xml:space="preserve">方案内容较简单，对项目实施要求响应一般，得</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2799"/>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z w:val="24"/>
                <w:highlight w:val="none"/>
              </w:rPr>
              <w:t xml:space="preserve">2.6</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z w:val="24"/>
                <w:highlight w:val="none"/>
              </w:rPr>
              <w:t xml:space="preserve">成品保护及后期维护</w:t>
            </w:r>
            <w:r>
              <w:rPr>
                <w:rFonts w:hint="eastAsia" w:ascii="宋体" w:hAnsi="宋体"/>
                <w:color w:val="000000"/>
                <w:sz w:val="24"/>
                <w:highlight w:val="none"/>
              </w:rPr>
            </w:r>
            <w:r/>
          </w:p>
        </w:tc>
        <w:tc>
          <w:tcPr>
            <w:tcW w:w="782" w:type="dxa"/>
            <w:vAlign w:val="center"/>
            <w:textDirection w:val="lrTb"/>
            <w:noWrap w:val="false"/>
          </w:tcPr>
          <w:p>
            <w:pPr>
              <w:pStyle w:val="1041"/>
              <w:ind w:left="325"/>
              <w:spacing w:before="69"/>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ascii="宋体" w:hAnsi="宋体"/>
                <w:color w:val="000000"/>
                <w:spacing w:val="-4"/>
                <w:sz w:val="24"/>
                <w:highlight w:val="none"/>
              </w:rPr>
              <w:t xml:space="preserve">成品保护方案</w:t>
            </w:r>
            <w:r>
              <w:rPr>
                <w:rFonts w:hint="eastAsia" w:ascii="宋体" w:hAnsi="宋体"/>
                <w:color w:val="000000"/>
                <w:spacing w:val="-4"/>
                <w:sz w:val="24"/>
                <w:highlight w:val="none"/>
              </w:rPr>
              <w:t xml:space="preserve">。</w:t>
            </w:r>
            <w:r>
              <w:rPr>
                <w:rFonts w:hint="eastAsia" w:ascii="宋体" w:hAnsi="宋体"/>
                <w:color w:val="000000"/>
                <w:spacing w:val="-4"/>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（1）方案完整，能完全满足项目实施要求，得6分；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（2）方案较具体，能基本满足项目实施要求，得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（3）方案内容较简单，对项目实施要求响应一般，得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1041"/>
              <w:ind w:right="101" w:hanging="23"/>
              <w:widowControl/>
              <w:rPr>
                <w:rFonts w:hint="eastAsia" w:ascii="宋体" w:hAnsi="宋体" w:cs="宋体"/>
                <w:color w:val="000000"/>
                <w:sz w:val="24"/>
                <w:highlight w:val="none"/>
              </w:rPr>
            </w:pPr>
            <w:r>
              <w:rPr>
                <w:rFonts w:hint="eastAsia" w:ascii="宋体" w:hAnsi="宋体" w:cs="宋体"/>
                <w:color w:val="000000"/>
                <w:sz w:val="24"/>
                <w:highlight w:val="none"/>
              </w:rPr>
              <w:t xml:space="preserve">（4）方案内容较差、无针对性，或完全</w:t>
            </w:r>
            <w:r>
              <w:rPr>
                <w:rFonts w:hint="eastAsia" w:ascii="宋体" w:hAnsi="宋体" w:cs="宋体"/>
                <w:color w:val="000000"/>
                <w:sz w:val="24"/>
                <w:highlight w:val="none"/>
              </w:rPr>
            </w:r>
            <w:r/>
          </w:p>
          <w:p>
            <w:pPr>
              <w:pStyle w:val="1041"/>
              <w:ind w:left="136" w:right="101" w:hanging="23"/>
              <w:rPr>
                <w:rFonts w:hint="eastAsia" w:ascii="宋体" w:hAnsi="宋体"/>
                <w:color w:val="000000"/>
                <w:spacing w:val="-4"/>
                <w:sz w:val="24"/>
                <w:highlight w:val="none"/>
              </w:rPr>
            </w:pPr>
            <w:r>
              <w:rPr>
                <w:rFonts w:hint="eastAsia" w:ascii="宋体" w:hAnsi="宋体" w:cs="宋体"/>
                <w:color w:val="000000"/>
                <w:sz w:val="24"/>
                <w:highlight w:val="none"/>
              </w:rPr>
              <w:t xml:space="preserve">不符合文件要求、未提供方案的不得分。</w:t>
            </w: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color w:val="000000"/>
                <w:sz w:val="24"/>
                <w:highlight w:val="none"/>
              </w:rPr>
            </w:pPr>
            <w:r>
              <w:rPr>
                <w:rFonts w:hint="eastAsia"/>
                <w:color w:val="000000"/>
                <w:sz w:val="24"/>
                <w:highlight w:val="none"/>
              </w:rPr>
            </w:r>
            <w:r/>
          </w:p>
        </w:tc>
      </w:tr>
      <w:tr>
        <w:trPr>
          <w:trHeight w:val="461"/>
        </w:trPr>
        <w:tc>
          <w:tcPr>
            <w:tcW w:w="802" w:type="dxa"/>
            <w:vAlign w:val="top"/>
            <w:textDirection w:val="lrTb"/>
            <w:noWrap w:val="false"/>
          </w:tcPr>
          <w:p>
            <w:pPr>
              <w:pStyle w:val="1041"/>
              <w:jc w:val="center"/>
              <w:spacing w:before="143"/>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r>
            <w:r/>
          </w:p>
        </w:tc>
        <w:tc>
          <w:tcPr>
            <w:tcW w:w="1096" w:type="dxa"/>
            <w:vAlign w:val="top"/>
            <w:textDirection w:val="lrTb"/>
            <w:noWrap w:val="false"/>
          </w:tcPr>
          <w:p>
            <w:pPr>
              <w:pStyle w:val="1041"/>
              <w:jc w:val="center"/>
              <w:spacing w:before="107"/>
              <w:rPr>
                <w:rFonts w:hint="eastAsia" w:ascii="宋体" w:hAnsi="宋体"/>
                <w:b/>
                <w:bCs/>
                <w:color w:val="000000"/>
                <w:sz w:val="24"/>
                <w:highlight w:val="none"/>
              </w:rPr>
            </w:pPr>
            <w:r>
              <w:rPr>
                <w:rFonts w:hint="eastAsia" w:ascii="宋体" w:hAnsi="宋体"/>
                <w:b/>
                <w:bCs/>
                <w:color w:val="000000"/>
                <w:spacing w:val="-2"/>
                <w:sz w:val="24"/>
                <w:highlight w:val="none"/>
              </w:rPr>
              <w:t xml:space="preserve">客观</w:t>
            </w:r>
            <w:r>
              <w:rPr>
                <w:rFonts w:hint="eastAsia" w:ascii="宋体" w:hAnsi="宋体"/>
                <w:b/>
                <w:bCs/>
                <w:color w:val="000000"/>
                <w:spacing w:val="-1"/>
                <w:sz w:val="24"/>
                <w:highlight w:val="none"/>
              </w:rPr>
              <w:t xml:space="preserve">分</w:t>
            </w:r>
            <w:r>
              <w:rPr>
                <w:rFonts w:hint="eastAsia" w:ascii="宋体" w:hAnsi="宋体"/>
                <w:b/>
                <w:bCs/>
                <w:color w:val="000000"/>
                <w:sz w:val="24"/>
                <w:highlight w:val="none"/>
              </w:rPr>
            </w:r>
            <w:r/>
          </w:p>
        </w:tc>
        <w:tc>
          <w:tcPr>
            <w:tcW w:w="782" w:type="dxa"/>
            <w:vAlign w:val="top"/>
            <w:textDirection w:val="lrTb"/>
            <w:noWrap w:val="false"/>
          </w:tcPr>
          <w:p>
            <w:pPr>
              <w:pStyle w:val="1041"/>
              <w:ind w:left="321"/>
              <w:spacing w:before="143"/>
              <w:rPr>
                <w:rFonts w:ascii="宋体" w:hAnsi="宋体"/>
                <w:b/>
                <w:bCs/>
                <w:color w:val="000000"/>
                <w:sz w:val="24"/>
                <w:highlight w:val="none"/>
              </w:rPr>
            </w:pPr>
            <w:r>
              <w:rPr>
                <w:rFonts w:hint="eastAsia" w:ascii="宋体" w:hAnsi="宋体"/>
                <w:b/>
                <w:bCs/>
                <w:color w:val="000000"/>
                <w:sz w:val="24"/>
                <w:highlight w:val="none"/>
              </w:rPr>
              <w:t xml:space="preserve">30</w:t>
            </w:r>
            <w:r>
              <w:rPr>
                <w:rFonts w:ascii="宋体" w:hAnsi="宋体"/>
                <w:b/>
                <w:bCs/>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rPr>
                <w:rFonts w:hint="eastAsia"/>
                <w:b/>
                <w:bCs/>
                <w:color w:val="000000"/>
                <w:sz w:val="24"/>
                <w:highlight w:val="none"/>
              </w:rPr>
            </w:pPr>
            <w:r>
              <w:rPr>
                <w:rFonts w:hint="eastAsia"/>
                <w:b/>
                <w:bCs/>
                <w:color w:val="000000"/>
                <w:sz w:val="24"/>
                <w:highlight w:val="none"/>
              </w:rPr>
            </w:r>
            <w:r/>
          </w:p>
        </w:tc>
      </w:tr>
      <w:tr>
        <w:trPr>
          <w:trHeight w:val="1767"/>
        </w:trPr>
        <w:tc>
          <w:tcPr>
            <w:tcW w:w="802" w:type="dxa"/>
            <w:vAlign w:val="center"/>
            <w:textDirection w:val="lrTb"/>
            <w:noWrap w:val="false"/>
          </w:tcPr>
          <w:p>
            <w:pPr>
              <w:pStyle w:val="1041"/>
              <w:jc w:val="center"/>
              <w:spacing w:before="68"/>
              <w:rPr>
                <w:rFonts w:ascii="宋体" w:hAnsi="宋体"/>
                <w:color w:val="000000"/>
                <w:sz w:val="24"/>
                <w:highlight w:val="none"/>
              </w:rPr>
            </w:pPr>
            <w:r>
              <w:rPr>
                <w:rFonts w:hint="eastAsia" w:ascii="宋体" w:hAnsi="宋体"/>
                <w:color w:val="000000"/>
                <w:spacing w:val="-5"/>
                <w:sz w:val="24"/>
                <w:highlight w:val="none"/>
              </w:rPr>
              <w:t xml:space="preserve">3</w:t>
            </w:r>
            <w:r>
              <w:rPr>
                <w:rFonts w:hint="eastAsia" w:ascii="宋体" w:hAnsi="宋体"/>
                <w:color w:val="000000"/>
                <w:spacing w:val="-3"/>
                <w:sz w:val="24"/>
                <w:highlight w:val="none"/>
              </w:rPr>
              <w:t xml:space="preserve">.1</w:t>
            </w:r>
            <w:r>
              <w:rPr>
                <w:rFonts w:ascii="宋体" w:hAnsi="宋体"/>
                <w:color w:val="000000"/>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z w:val="24"/>
                <w:highlight w:val="none"/>
              </w:rPr>
            </w:pPr>
            <w:r>
              <w:rPr>
                <w:rFonts w:hint="eastAsia" w:ascii="宋体" w:hAnsi="宋体"/>
                <w:color w:val="000000"/>
                <w:spacing w:val="-2"/>
                <w:sz w:val="24"/>
                <w:highlight w:val="none"/>
              </w:rPr>
              <w:t xml:space="preserve">类</w:t>
            </w:r>
            <w:r>
              <w:rPr>
                <w:rFonts w:hint="eastAsia" w:ascii="宋体" w:hAnsi="宋体"/>
                <w:color w:val="000000"/>
                <w:spacing w:val="-1"/>
                <w:sz w:val="24"/>
                <w:highlight w:val="none"/>
              </w:rPr>
              <w:t xml:space="preserve">似业绩</w:t>
            </w:r>
            <w:r>
              <w:rPr>
                <w:rFonts w:hint="eastAsia" w:ascii="宋体" w:hAnsi="宋体"/>
                <w:color w:val="000000"/>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供应商提供自2023年1月1日以来至本项目磋商公告发布之日止（时间以合同签订日期为准）承接过的类似维修改造项目工程业绩，每提供一份有效业绩合同得4分，本项最高得12分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rPr>
            </w:r>
            <w:r/>
          </w:p>
          <w:p>
            <w:pPr>
              <w:pStyle w:val="1041"/>
              <w:numPr>
                <w:ilvl w:val="0"/>
                <w:numId w:val="14"/>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类似业绩”与“项目负责人业绩”可兼得分</w:t>
            </w:r>
            <w:r>
              <w:rPr>
                <w:rFonts w:hint="eastAsia" w:ascii="宋体" w:hAnsi="宋体"/>
                <w:color w:val="000000"/>
                <w:spacing w:val="-4"/>
                <w:sz w:val="24"/>
                <w:highlight w:val="none"/>
              </w:rPr>
            </w:r>
            <w:r/>
          </w:p>
        </w:tc>
      </w:tr>
      <w:tr>
        <w:trPr>
          <w:trHeight w:val="3075"/>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.2</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rPr>
              <w:t xml:space="preserve">驻场项目组成员（</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除外）</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ascii="宋体" w:hAnsi="宋体"/>
                <w:color w:val="000000"/>
                <w:sz w:val="24"/>
                <w:highlight w:val="none"/>
              </w:rPr>
            </w:pPr>
            <w:r>
              <w:rPr>
                <w:rFonts w:hint="eastAsia" w:ascii="宋体" w:hAnsi="宋体"/>
                <w:color w:val="000000"/>
                <w:sz w:val="24"/>
                <w:highlight w:val="none"/>
              </w:rPr>
              <w:t xml:space="preserve">10</w:t>
            </w:r>
            <w:r>
              <w:rPr>
                <w:rFonts w:ascii="宋体" w:hAnsi="宋体"/>
                <w:color w:val="000000"/>
                <w:sz w:val="24"/>
                <w:highlight w:val="none"/>
              </w:rPr>
            </w:r>
            <w:r/>
          </w:p>
        </w:tc>
        <w:tc>
          <w:tcPr>
            <w:tcW w:w="4808" w:type="dxa"/>
            <w:vAlign w:val="top"/>
            <w:textDirection w:val="lrTb"/>
            <w:noWrap w:val="false"/>
          </w:tcPr>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具有建筑工程类工程师及以上职称证书的，每配备1人，得2分，最高得4分；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具有有效的二级及以上注册建造师资格，每配备1人，得2分，最高得4分；</w:t>
            </w:r>
            <w:r>
              <w:rPr>
                <w:rFonts w:hint="eastAsia" w:ascii="宋体" w:hAnsi="宋体"/>
                <w:color w:val="000000"/>
                <w:spacing w:val="-4"/>
                <w:sz w:val="24"/>
                <w:highlight w:val="none"/>
              </w:rPr>
            </w:r>
            <w:r/>
          </w:p>
          <w:p>
            <w:pPr>
              <w:pStyle w:val="1041"/>
              <w:numPr>
                <w:ilvl w:val="0"/>
                <w:numId w:val="15"/>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具有安全员证书（C证）的每配备1人，得1分，最高得2分； </w:t>
            </w:r>
            <w:r>
              <w:rPr>
                <w:rFonts w:hint="eastAsia" w:ascii="宋体" w:hAnsi="宋体"/>
                <w:color w:val="000000"/>
                <w:spacing w:val="-4"/>
                <w:sz w:val="24"/>
                <w:highlight w:val="none"/>
              </w:rPr>
            </w:r>
            <w:r/>
          </w:p>
          <w:p>
            <w:pPr>
              <w:pStyle w:val="1041"/>
              <w:ind w:left="113" w:right="101"/>
              <w:rPr>
                <w:rFonts w:hint="eastAsia" w:ascii="宋体" w:hAnsi="宋体"/>
                <w:color w:val="000000"/>
                <w:spacing w:val="-4"/>
                <w:sz w:val="24"/>
                <w:highlight w:val="none"/>
              </w:rPr>
            </w:pPr>
            <w:r>
              <w:rPr>
                <w:rFonts w:hint="eastAsia" w:ascii="宋体" w:hAnsi="宋体"/>
                <w:color w:val="000000"/>
                <w:spacing w:val="-4"/>
                <w:sz w:val="24"/>
                <w:highlight w:val="none"/>
              </w:rPr>
            </w:r>
            <w:r/>
          </w:p>
        </w:tc>
        <w:tc>
          <w:tcPr>
            <w:tcW w:w="1711" w:type="dxa"/>
            <w:vAlign w:val="top"/>
            <w:textDirection w:val="lrTb"/>
            <w:noWrap w:val="false"/>
          </w:tcPr>
          <w:p>
            <w:pPr>
              <w:pStyle w:val="1041"/>
              <w:ind w:left="136" w:right="101" w:hanging="23"/>
              <w:rPr>
                <w:rFonts w:ascii="宋体" w:hAnsi="宋体" w:eastAsia="宋体"/>
                <w:color w:val="000000"/>
                <w:spacing w:val="-4"/>
                <w:sz w:val="24"/>
                <w:highlight w:val="none"/>
                <w:lang w:val="en-US" w:eastAsia="zh-CN"/>
              </w:rPr>
            </w:pPr>
            <w:r>
              <w:rPr>
                <w:rFonts w:hint="eastAsia" w:ascii="宋体" w:hAnsi="宋体"/>
                <w:color w:val="000000"/>
                <w:spacing w:val="-4"/>
                <w:sz w:val="24"/>
                <w:highlight w:val="none"/>
                <w:lang w:val="en-US" w:eastAsia="zh-CN"/>
              </w:rPr>
              <w:t xml:space="preserve">1、</w:t>
            </w:r>
            <w:r>
              <w:rPr>
                <w:rFonts w:hint="eastAsia" w:ascii="宋体" w:hAnsi="宋体"/>
                <w:color w:val="000000"/>
                <w:spacing w:val="-4"/>
                <w:sz w:val="24"/>
                <w:highlight w:val="none"/>
              </w:rPr>
              <w:t xml:space="preserve">以上1-3人员不得重复得分。提供有效的相关证书+本单位为其缴纳的</w:t>
            </w:r>
            <w:r>
              <w:rPr>
                <w:rFonts w:hint="eastAsia" w:ascii="宋体" w:hAnsi="宋体"/>
                <w:color w:val="000000"/>
                <w:spacing w:val="-4"/>
                <w:sz w:val="24"/>
                <w:highlight w:val="none"/>
                <w:lang w:eastAsia="zh-CN"/>
              </w:rPr>
              <w:t xml:space="preserve">近三个月（2026年2月-2026年4月）内任意一个月社保缴费证明</w:t>
            </w:r>
            <w:r>
              <w:rPr>
                <w:rFonts w:hint="eastAsia" w:ascii="宋体" w:hAnsi="宋体"/>
                <w:color w:val="000000"/>
                <w:spacing w:val="-4"/>
                <w:sz w:val="24"/>
                <w:highlight w:val="none"/>
              </w:rPr>
              <w:t xml:space="preserve">（加盖社保部门签章）复印件，否则不得分。</w:t>
            </w:r>
            <w:r>
              <w:rPr>
                <w:rFonts w:hint="eastAsia" w:ascii="宋体" w:hAnsi="宋体"/>
                <w:color w:val="000000"/>
                <w:spacing w:val="-4"/>
                <w:sz w:val="24"/>
                <w:highlight w:val="none"/>
                <w:lang w:val="en-US" w:eastAsia="zh-CN"/>
              </w:rPr>
              <w:t xml:space="preserve">2、如果职称证书不能体现专业的需提供对应专业的毕业证书</w:t>
            </w:r>
            <w:r>
              <w:rPr>
                <w:rFonts w:ascii="宋体" w:hAnsi="宋体" w:eastAsia="宋体"/>
                <w:color w:val="000000"/>
                <w:spacing w:val="-4"/>
                <w:sz w:val="24"/>
                <w:highlight w:val="none"/>
                <w:lang w:val="en-US" w:eastAsia="zh-CN"/>
              </w:rPr>
            </w:r>
            <w:r/>
          </w:p>
        </w:tc>
      </w:tr>
      <w:tr>
        <w:trPr>
          <w:trHeight w:val="441"/>
        </w:trPr>
        <w:tc>
          <w:tcPr>
            <w:tcW w:w="802" w:type="dxa"/>
            <w:vAlign w:val="center"/>
            <w:textDirection w:val="lrTb"/>
            <w:noWrap w:val="false"/>
          </w:tcPr>
          <w:p>
            <w:pPr>
              <w:pStyle w:val="1041"/>
              <w:jc w:val="center"/>
              <w:spacing w:before="68"/>
              <w:rPr>
                <w:rFonts w:hint="eastAsia" w:ascii="宋体" w:hAnsi="宋体"/>
                <w:color w:val="000000"/>
                <w:spacing w:val="-5"/>
                <w:sz w:val="24"/>
                <w:highlight w:val="none"/>
              </w:rPr>
            </w:pPr>
            <w:r>
              <w:rPr>
                <w:rFonts w:hint="eastAsia" w:ascii="宋体" w:hAnsi="宋体"/>
                <w:color w:val="000000"/>
                <w:spacing w:val="-5"/>
                <w:sz w:val="24"/>
                <w:highlight w:val="none"/>
              </w:rPr>
              <w:t xml:space="preserve">3</w:t>
            </w:r>
            <w:r>
              <w:rPr>
                <w:rFonts w:ascii="宋体" w:hAnsi="宋体"/>
                <w:color w:val="000000"/>
                <w:spacing w:val="-5"/>
                <w:sz w:val="24"/>
                <w:highlight w:val="none"/>
              </w:rPr>
              <w:t xml:space="preserve">.3</w:t>
            </w:r>
            <w:r>
              <w:rPr>
                <w:rFonts w:hint="eastAsia" w:ascii="宋体" w:hAnsi="宋体"/>
                <w:color w:val="000000"/>
                <w:spacing w:val="-5"/>
                <w:sz w:val="24"/>
                <w:highlight w:val="none"/>
              </w:rPr>
            </w:r>
            <w:r/>
          </w:p>
        </w:tc>
        <w:tc>
          <w:tcPr>
            <w:tcW w:w="1096" w:type="dxa"/>
            <w:vAlign w:val="center"/>
            <w:textDirection w:val="lrTb"/>
            <w:noWrap w:val="false"/>
          </w:tcPr>
          <w:p>
            <w:pPr>
              <w:pStyle w:val="1041"/>
              <w:jc w:val="center"/>
              <w:spacing w:before="69"/>
              <w:rPr>
                <w:rFonts w:hint="eastAsia" w:ascii="宋体" w:hAnsi="宋体"/>
                <w:color w:val="000000"/>
                <w:spacing w:val="-2"/>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2"/>
                <w:sz w:val="24"/>
                <w:highlight w:val="none"/>
              </w:rPr>
              <w:t xml:space="preserve">业绩</w:t>
            </w:r>
            <w:r>
              <w:rPr>
                <w:rFonts w:hint="eastAsia" w:ascii="宋体" w:hAnsi="宋体"/>
                <w:color w:val="000000"/>
                <w:spacing w:val="-2"/>
                <w:sz w:val="24"/>
                <w:highlight w:val="none"/>
              </w:rPr>
            </w:r>
            <w:r/>
          </w:p>
        </w:tc>
        <w:tc>
          <w:tcPr>
            <w:tcW w:w="782" w:type="dxa"/>
            <w:vAlign w:val="center"/>
            <w:textDirection w:val="lrTb"/>
            <w:noWrap w:val="false"/>
          </w:tcPr>
          <w:p>
            <w:pPr>
              <w:pStyle w:val="1041"/>
              <w:ind w:left="321"/>
              <w:spacing w:before="69"/>
              <w:rPr>
                <w:rFonts w:hint="eastAsia" w:ascii="宋体" w:hAnsi="宋体"/>
                <w:color w:val="000000"/>
                <w:sz w:val="24"/>
                <w:highlight w:val="none"/>
              </w:rPr>
            </w:pPr>
            <w:r>
              <w:rPr>
                <w:rFonts w:hint="eastAsia" w:ascii="宋体" w:hAnsi="宋体"/>
                <w:color w:val="000000"/>
                <w:sz w:val="24"/>
                <w:highlight w:val="none"/>
              </w:rPr>
              <w:t xml:space="preserve">8</w:t>
            </w:r>
            <w:r>
              <w:rPr>
                <w:rFonts w:hint="eastAsia" w:ascii="宋体" w:hAnsi="宋体"/>
                <w:color w:val="000000"/>
                <w:sz w:val="24"/>
                <w:highlight w:val="none"/>
              </w:rPr>
            </w:r>
            <w:r/>
          </w:p>
        </w:tc>
        <w:tc>
          <w:tcPr>
            <w:tcW w:w="4808" w:type="dxa"/>
            <w:vAlign w:val="top"/>
            <w:textDirection w:val="lrTb"/>
            <w:noWrap w:val="false"/>
          </w:tcPr>
          <w:p>
            <w:pPr>
              <w:pStyle w:val="1041"/>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rPr>
              <w:t xml:space="preserve">拟提供自2023年1月1日以来至本项目磋商公告发布之日止(时间以合同签订日期为准)承接过的类似维修改造项目工程业绩，每提供一份有效业绩合同得4分，本项最高得8分。</w:t>
            </w:r>
            <w:r>
              <w:rPr>
                <w:rFonts w:hint="eastAsia" w:ascii="宋体" w:hAnsi="宋体"/>
                <w:color w:val="000000"/>
                <w:spacing w:val="-4"/>
                <w:sz w:val="24"/>
                <w:highlight w:val="none"/>
              </w:rPr>
            </w:r>
            <w:r/>
          </w:p>
        </w:tc>
        <w:tc>
          <w:tcPr>
            <w:tcW w:w="1711" w:type="dxa"/>
            <w:vAlign w:val="top"/>
            <w:textDirection w:val="lrTb"/>
            <w:noWrap w:val="false"/>
          </w:tcPr>
          <w:p>
            <w:pPr>
              <w:pStyle w:val="1041"/>
              <w:numPr>
                <w:ilvl w:val="0"/>
                <w:numId w:val="16"/>
              </w:numPr>
              <w:ind w:left="136" w:right="101" w:hanging="23"/>
              <w:rPr>
                <w:rFonts w:hint="eastAsia" w:ascii="宋体" w:hAnsi="宋体"/>
                <w:color w:val="000000"/>
                <w:spacing w:val="-4"/>
                <w:sz w:val="24"/>
                <w:highlight w:val="none"/>
              </w:rPr>
            </w:pPr>
            <w:r>
              <w:rPr>
                <w:rFonts w:hint="eastAsia" w:ascii="宋体" w:hAnsi="宋体"/>
                <w:color w:val="000000"/>
                <w:spacing w:val="-4"/>
                <w:sz w:val="24"/>
                <w:highlight w:val="none"/>
              </w:rPr>
              <w:t xml:space="preserve">提供合同并加盖供应商公章</w:t>
            </w:r>
            <w:r>
              <w:rPr>
                <w:rFonts w:ascii="宋体" w:hAnsi="宋体"/>
                <w:color w:val="000000"/>
                <w:spacing w:val="-4"/>
                <w:sz w:val="24"/>
                <w:highlight w:val="none"/>
              </w:rPr>
              <w:t xml:space="preserve">，且证明材料中须体现</w:t>
            </w:r>
            <w:r>
              <w:rPr>
                <w:rFonts w:hint="eastAsia" w:ascii="宋体" w:hAnsi="宋体"/>
                <w:color w:val="000000"/>
                <w:spacing w:val="-4"/>
                <w:sz w:val="24"/>
                <w:highlight w:val="none"/>
              </w:rPr>
              <w:t xml:space="preserve">相关内容</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如果合同中未体现，需加盖建设单位章的证明材料。</w:t>
            </w:r>
            <w:r>
              <w:rPr>
                <w:rFonts w:hint="eastAsia" w:ascii="宋体" w:hAnsi="宋体"/>
                <w:color w:val="000000"/>
                <w:spacing w:val="-4"/>
                <w:sz w:val="24"/>
                <w:highlight w:val="none"/>
              </w:rPr>
            </w:r>
            <w:r/>
          </w:p>
          <w:p>
            <w:pPr>
              <w:pStyle w:val="1041"/>
              <w:ind w:left="136" w:right="101" w:hanging="23"/>
              <w:rPr>
                <w:rFonts w:ascii="宋体" w:hAnsi="宋体"/>
                <w:color w:val="000000"/>
                <w:spacing w:val="-4"/>
                <w:sz w:val="24"/>
                <w:highlight w:val="none"/>
              </w:rPr>
            </w:pPr>
            <w:r>
              <w:rPr>
                <w:rFonts w:hint="eastAsia" w:ascii="宋体" w:hAnsi="宋体"/>
                <w:color w:val="000000"/>
                <w:spacing w:val="-4"/>
                <w:sz w:val="24"/>
                <w:highlight w:val="none"/>
                <w:lang w:val="en-US" w:eastAsia="zh-CN"/>
              </w:rPr>
              <w:t xml:space="preserve">2、</w:t>
            </w:r>
            <w:r>
              <w:rPr>
                <w:rFonts w:hint="eastAsia" w:ascii="宋体" w:hAnsi="宋体"/>
                <w:color w:val="000000"/>
                <w:spacing w:val="-4"/>
                <w:sz w:val="24"/>
                <w:highlight w:val="none"/>
                <w:lang w:eastAsia="zh-CN"/>
              </w:rPr>
              <w:t xml:space="preserve">“</w:t>
            </w:r>
            <w:r>
              <w:rPr>
                <w:rFonts w:hint="eastAsia" w:ascii="宋体" w:hAnsi="宋体"/>
                <w:color w:val="000000"/>
                <w:spacing w:val="-4"/>
                <w:sz w:val="24"/>
                <w:highlight w:val="none"/>
                <w:lang w:val="en-US" w:eastAsia="zh-CN"/>
              </w:rPr>
              <w:t xml:space="preserve">类似业绩”与“</w:t>
            </w:r>
            <w:r>
              <w:rPr>
                <w:rFonts w:hint="eastAsia" w:ascii="宋体" w:hAnsi="宋体"/>
                <w:color w:val="000000"/>
                <w:spacing w:val="-4"/>
                <w:sz w:val="24"/>
                <w:highlight w:val="none"/>
                <w:lang w:val="en-US" w:eastAsia="zh-CN"/>
              </w:rPr>
              <w:t xml:space="preserve">项目负责人</w:t>
            </w:r>
            <w:r>
              <w:rPr>
                <w:rFonts w:hint="eastAsia" w:ascii="宋体" w:hAnsi="宋体"/>
                <w:color w:val="000000"/>
                <w:spacing w:val="-4"/>
                <w:sz w:val="24"/>
                <w:highlight w:val="none"/>
                <w:lang w:val="en-US" w:eastAsia="zh-CN"/>
              </w:rPr>
              <w:t xml:space="preserve">业绩”可兼得分</w:t>
            </w:r>
            <w:r>
              <w:rPr>
                <w:rFonts w:ascii="宋体" w:hAnsi="宋体"/>
                <w:color w:val="000000"/>
                <w:spacing w:val="-4"/>
                <w:sz w:val="24"/>
                <w:highlight w:val="none"/>
              </w:rPr>
            </w:r>
            <w:r/>
          </w:p>
        </w:tc>
      </w:tr>
      <w:tr>
        <w:trPr>
          <w:trHeight w:val="474"/>
        </w:trPr>
        <w:tc>
          <w:tcPr>
            <w:gridSpan w:val="2"/>
            <w:tcW w:w="1898"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合计</w:t>
            </w:r>
            <w:r>
              <w:rPr>
                <w:rFonts w:hint="eastAsia" w:ascii="宋体" w:hAnsi="宋体"/>
                <w:color w:val="000000"/>
                <w:spacing w:val="-1"/>
                <w:sz w:val="24"/>
                <w:highlight w:val="none"/>
              </w:rPr>
            </w:r>
            <w:r/>
          </w:p>
        </w:tc>
        <w:tc>
          <w:tcPr>
            <w:tcW w:w="782" w:type="dxa"/>
            <w:vAlign w:val="top"/>
            <w:textDirection w:val="lrTb"/>
            <w:noWrap w:val="false"/>
          </w:tcPr>
          <w:p>
            <w:pPr>
              <w:pStyle w:val="1041"/>
              <w:jc w:val="center"/>
              <w:spacing w:before="69"/>
              <w:rPr>
                <w:rFonts w:hint="eastAsia" w:ascii="宋体" w:hAnsi="宋体"/>
                <w:color w:val="000000"/>
                <w:spacing w:val="-1"/>
                <w:sz w:val="24"/>
                <w:highlight w:val="none"/>
              </w:rPr>
            </w:pPr>
            <w:r>
              <w:rPr>
                <w:rFonts w:hint="eastAsia" w:ascii="宋体" w:hAnsi="宋体"/>
                <w:color w:val="000000"/>
                <w:spacing w:val="-1"/>
                <w:sz w:val="24"/>
                <w:highlight w:val="none"/>
              </w:rPr>
              <w:t xml:space="preserve">100</w:t>
            </w:r>
            <w:r>
              <w:rPr>
                <w:rFonts w:hint="eastAsia" w:ascii="宋体" w:hAnsi="宋体"/>
                <w:color w:val="000000"/>
                <w:spacing w:val="-1"/>
                <w:sz w:val="24"/>
                <w:highlight w:val="none"/>
              </w:rPr>
            </w:r>
            <w:r/>
          </w:p>
        </w:tc>
        <w:tc>
          <w:tcPr>
            <w:gridSpan w:val="2"/>
            <w:tcW w:w="6519" w:type="dxa"/>
            <w:vAlign w:val="top"/>
            <w:textDirection w:val="lrTb"/>
            <w:noWrap w:val="false"/>
          </w:tcPr>
          <w:p>
            <w:pPr>
              <w:pStyle w:val="1041"/>
              <w:spacing w:before="146"/>
              <w:rPr>
                <w:rFonts w:hint="eastAsia" w:ascii="宋体" w:hAnsi="宋体"/>
                <w:color w:val="000000"/>
                <w:sz w:val="24"/>
                <w:highlight w:val="none"/>
              </w:rPr>
            </w:pPr>
            <w:r>
              <w:rPr>
                <w:rFonts w:hint="eastAsia" w:ascii="宋体" w:hAnsi="宋体"/>
                <w:color w:val="000000"/>
                <w:sz w:val="24"/>
                <w:highlight w:val="none"/>
              </w:rPr>
            </w:r>
            <w:r/>
          </w:p>
        </w:tc>
      </w:tr>
    </w:tbl>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注：1.评分细则中要求提供的证明文件及资料等在磋商响应文件中提供并加盖公章，否则不得分。</w:t>
      </w:r>
      <w:r>
        <w:rPr>
          <w:rFonts w:hint="eastAsia" w:ascii="宋体" w:hAnsi="宋体" w:cs="宋体"/>
          <w:bCs/>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sz w:val="24"/>
          <w:highlight w:val="none"/>
        </w:rPr>
        <w:t xml:space="preserve">2.评审时，未能按以上要求提供相应证明的，不作为评审依据，不得分。</w:t>
      </w:r>
      <w:bookmarkStart w:id="617" w:name="_Toc104818928"/>
      <w:r/>
      <w:bookmarkStart w:id="618" w:name="_Toc8874"/>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41"/>
        <w:contextualSpacing/>
        <w:jc w:val="center"/>
        <w:spacing w:line="360" w:lineRule="auto"/>
        <w:rPr>
          <w:b/>
          <w:color w:val="000000"/>
          <w:sz w:val="36"/>
          <w:szCs w:val="36"/>
          <w:highlight w:val="none"/>
        </w:rPr>
        <w:outlineLvl w:val="0"/>
      </w:pPr>
      <w:r/>
      <w:bookmarkStart w:id="619" w:name="_Toc13572"/>
      <w:r/>
      <w:bookmarkStart w:id="620" w:name="_Toc1661"/>
      <w:r/>
      <w:bookmarkStart w:id="621" w:name="_Toc24222"/>
      <w:r>
        <w:rPr>
          <w:b/>
          <w:color w:val="000000"/>
          <w:sz w:val="36"/>
          <w:szCs w:val="36"/>
          <w:highlight w:val="none"/>
        </w:rPr>
        <w:t xml:space="preserve">第四章   采购需求</w:t>
      </w:r>
      <w:bookmarkEnd w:id="617"/>
      <w:r/>
      <w:bookmarkEnd w:id="618"/>
      <w:r/>
      <w:bookmarkEnd w:id="619"/>
      <w:r/>
      <w:bookmarkEnd w:id="620"/>
      <w:r/>
      <w:bookmarkEnd w:id="621"/>
      <w:r>
        <w:rPr>
          <w:b/>
          <w:color w:val="000000"/>
          <w:sz w:val="36"/>
          <w:szCs w:val="36"/>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一、采购标的</w:t>
      </w:r>
      <w:r>
        <w:rPr>
          <w:rFonts w:hint="eastAsia" w:ascii="宋体" w:hAnsi="宋体" w:cs="宋体"/>
          <w:b/>
          <w:color w:val="000000"/>
          <w:sz w:val="24"/>
          <w:highlight w:val="none"/>
        </w:rPr>
      </w:r>
      <w:r/>
    </w:p>
    <w:p>
      <w:pPr>
        <w:pStyle w:val="1041"/>
        <w:ind w:firstLine="488"/>
        <w:spacing w:line="360" w:lineRule="auto"/>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本项目是常州机电职业技术学院善学楼（东教学楼）升级改造项目，</w:t>
      </w:r>
      <w:r>
        <w:rPr>
          <w:rFonts w:hint="eastAsia" w:ascii="宋体" w:hAnsi="宋体" w:cs="宋体"/>
          <w:color w:val="000000"/>
          <w:sz w:val="24"/>
          <w:highlight w:val="none"/>
        </w:rPr>
        <w:t xml:space="preserve">包括但不限于外墙翻新、内墙翻新、卫生间改造、屋面防水处理、中庭网架除锈维护、配电系统更新、照明系统改造、弱电系统基础升级等相关服务。采购包的最终实施内容由采购人自行分配。</w:t>
      </w:r>
      <w:r>
        <w:rPr>
          <w:rFonts w:hint="eastAsia" w:ascii="宋体" w:hAnsi="宋体" w:cs="宋体"/>
          <w:bCs/>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二、商务要求</w:t>
      </w:r>
      <w:r>
        <w:rPr>
          <w:rFonts w:hint="eastAsia" w:ascii="宋体" w:hAnsi="宋体" w:cs="宋体"/>
          <w:b/>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（一）服务期限</w:t>
      </w:r>
      <w:r>
        <w:rPr>
          <w:rFonts w:hint="eastAsia" w:ascii="宋体" w:hAnsi="宋体" w:cs="宋体"/>
          <w:b/>
          <w:color w:val="000000"/>
          <w:sz w:val="24"/>
          <w:highlight w:val="none"/>
        </w:rPr>
      </w:r>
      <w:r/>
    </w:p>
    <w:p>
      <w:pPr>
        <w:pStyle w:val="1041"/>
        <w:contextualSpacing/>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50天，以开工时间为准。</w:t>
      </w:r>
      <w:r>
        <w:rPr>
          <w:rFonts w:hint="eastAsia" w:ascii="宋体" w:hAnsi="宋体" w:cs="宋体"/>
          <w:bCs/>
          <w:color w:val="000000"/>
          <w:sz w:val="24"/>
          <w:highlight w:val="none"/>
        </w:rPr>
      </w:r>
      <w:r/>
    </w:p>
    <w:p>
      <w:pPr>
        <w:pStyle w:val="1041"/>
        <w:contextualSpacing/>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（二）付款方式</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7"/>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w:t>
      </w:r>
      <w:r>
        <w:rPr>
          <w:rFonts w:hint="eastAsia" w:ascii="宋体" w:hAnsi="宋体" w:cs="宋体"/>
          <w:b/>
          <w:color w:val="000000"/>
          <w:sz w:val="24"/>
          <w:highlight w:val="none"/>
          <w:lang w:val="en-US" w:eastAsia="zh-CN"/>
        </w:rPr>
        <w:t xml:space="preserve">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04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三、技术要求</w:t>
      </w:r>
      <w:r>
        <w:rPr>
          <w:rFonts w:hint="eastAsia" w:ascii="宋体" w:hAnsi="宋体" w:cs="宋体"/>
          <w:b/>
          <w:color w:val="000000"/>
          <w:sz w:val="24"/>
          <w:highlight w:val="none"/>
        </w:rPr>
      </w:r>
      <w:r/>
    </w:p>
    <w:p>
      <w:pPr>
        <w:pStyle w:val="104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1.服务要求</w:t>
      </w:r>
      <w:r>
        <w:rPr>
          <w:rFonts w:hint="eastAsia" w:ascii="宋体" w:hAnsi="宋体" w:cs="宋体"/>
          <w:bCs/>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执行标准：国家相关建设法律法规。</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验收标准：国家相关建设验收规范</w:t>
      </w:r>
      <w:r>
        <w:rPr>
          <w:rFonts w:hint="eastAsia" w:ascii="宋体" w:hAnsi="宋体"/>
          <w:color w:val="000000"/>
          <w:sz w:val="24"/>
          <w:highlight w:val="none"/>
        </w:rPr>
      </w:r>
      <w:r/>
    </w:p>
    <w:p>
      <w:pPr>
        <w:pStyle w:val="104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采购工程的施工图纸、工程量清单和最高限价各贰份及审计部门复核的审计报告一份。</w:t>
      </w:r>
      <w:r>
        <w:rPr>
          <w:rFonts w:hint="eastAsia" w:ascii="宋体" w:hAnsi="宋体"/>
          <w:color w:val="000000"/>
          <w:sz w:val="24"/>
          <w:highlight w:val="none"/>
        </w:rPr>
      </w:r>
      <w:r/>
    </w:p>
    <w:p>
      <w:pPr>
        <w:pStyle w:val="1041"/>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质量要求:符合国家相关质量标准，一次性验收合格。</w:t>
      </w:r>
      <w:r>
        <w:rPr>
          <w:rFonts w:hint="eastAsia" w:ascii="宋体" w:hAnsi="宋体" w:cs="宋体"/>
          <w:color w:val="000000"/>
          <w:sz w:val="24"/>
          <w:highlight w:val="none"/>
        </w:rPr>
      </w:r>
      <w:r/>
    </w:p>
    <w:p>
      <w:pPr>
        <w:pStyle w:val="104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质保期：装修工程、电气管线等配套工程2年，屋面防水工程5年。（自验收合格之日起）</w:t>
      </w:r>
      <w:r>
        <w:rPr>
          <w:rFonts w:hint="eastAsia" w:ascii="宋体" w:hAnsi="宋体" w:cs="宋体"/>
          <w:b/>
          <w:bCs/>
          <w:color w:val="000000"/>
          <w:sz w:val="24"/>
          <w:highlight w:val="none"/>
        </w:rPr>
      </w:r>
      <w:r/>
    </w:p>
    <w:p>
      <w:pPr>
        <w:pStyle w:val="104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2.其他要求</w:t>
      </w:r>
      <w:r>
        <w:rPr>
          <w:rFonts w:hint="eastAsia" w:ascii="宋体" w:hAnsi="宋体" w:cs="宋体"/>
          <w:b/>
          <w:color w:val="000000"/>
          <w:sz w:val="24"/>
          <w:highlight w:val="none"/>
        </w:rPr>
      </w:r>
      <w:r/>
    </w:p>
    <w:p>
      <w:pPr>
        <w:pStyle w:val="1157"/>
        <w:contextualSpacing/>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按照《政府采购促进中小企业发展管理办法》（财库〔2020〕46号）的相关要求，采购人应当面向中小企业预留采购份额，本项目面向中小企业预留份额</w:t>
      </w:r>
      <w:r>
        <w:rPr>
          <w:rFonts w:hint="eastAsia" w:ascii="宋体" w:hAnsi="宋体" w:cs="宋体"/>
          <w:color w:val="000000"/>
          <w:sz w:val="24"/>
          <w:szCs w:val="24"/>
          <w:highlight w:val="none"/>
          <w:u w:val="single"/>
        </w:rPr>
        <w:t xml:space="preserve"> 100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1041"/>
        <w:ind w:right="210"/>
        <w:jc w:val="left"/>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四、采用的主要技术规范</w:t>
      </w:r>
      <w:r>
        <w:rPr>
          <w:rFonts w:ascii="宋体" w:hAnsi="宋体" w:cs="宋体"/>
          <w:b/>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1、《江苏省建筑与装饰工程计价表》2014版及勘误、《江苏省安装工程计价定额》2014版、《江苏省房屋修缮工程定额》2010版、</w:t>
      </w:r>
      <w:r>
        <w:rPr>
          <w:rFonts w:hint="eastAsia" w:ascii="宋体" w:hAnsi="宋体"/>
          <w:bCs/>
          <w:color w:val="000000"/>
          <w:sz w:val="24"/>
          <w:highlight w:val="none"/>
        </w:rPr>
        <w:t xml:space="preserve">2014版</w:t>
      </w:r>
      <w:r>
        <w:rPr>
          <w:rFonts w:hint="eastAsia" w:ascii="宋体" w:hAnsi="Arial" w:cs="宋体"/>
          <w:color w:val="000000"/>
          <w:sz w:val="24"/>
          <w:highlight w:val="none"/>
        </w:rPr>
        <w:t xml:space="preserve">《江苏省市政工程计价定额》、</w:t>
      </w:r>
      <w:r>
        <w:rPr>
          <w:rFonts w:hint="eastAsia" w:ascii="宋体" w:cs="宋体"/>
          <w:color w:val="000000"/>
          <w:sz w:val="24"/>
          <w:highlight w:val="none"/>
        </w:rPr>
        <w:t xml:space="preserve">《江苏省建设工程费用定额》2014版；</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2、人工费按苏建函价[2026]27号文《省住房和城乡建设厅关于发布建设工程人工工资指导价的通知》执行。</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3、</w:t>
      </w:r>
      <w:r>
        <w:rPr>
          <w:rFonts w:hint="eastAsia" w:ascii="宋体" w:cs="宋体"/>
          <w:color w:val="000000"/>
          <w:sz w:val="24"/>
          <w:highlight w:val="none"/>
          <w:lang w:val="zh-CN"/>
        </w:rPr>
        <w:t xml:space="preserve">相关费率：措施项目、规费、税金按常建（2014）279号文、苏建价（2014）448</w:t>
      </w:r>
      <w:r>
        <w:rPr>
          <w:rFonts w:hint="eastAsia" w:ascii="宋体" w:cs="宋体"/>
          <w:color w:val="000000"/>
          <w:sz w:val="24"/>
          <w:highlight w:val="none"/>
        </w:rPr>
        <w:t xml:space="preserve">号文、苏建价（2016）154号文、苏建价函（2019）178号文、常建（2019）1号文、（2019）第19号文、常住建（2020）99号文及其他有关工程造价方面的法律法规、办法、规定等。</w:t>
      </w:r>
      <w:r>
        <w:rPr>
          <w:rFonts w:hint="eastAsia" w:ascii="宋体" w:cs="宋体"/>
          <w:color w:val="000000"/>
          <w:sz w:val="24"/>
          <w:highlight w:val="none"/>
        </w:rPr>
      </w:r>
      <w:r/>
    </w:p>
    <w:p>
      <w:pPr>
        <w:pStyle w:val="1041"/>
        <w:ind w:firstLine="480"/>
        <w:spacing w:line="336" w:lineRule="auto"/>
        <w:widowControl/>
        <w:rPr>
          <w:rFonts w:hint="eastAsia" w:ascii="宋体" w:cs="宋体"/>
          <w:color w:val="000000"/>
          <w:sz w:val="24"/>
          <w:highlight w:val="none"/>
        </w:rPr>
      </w:pPr>
      <w:r>
        <w:rPr>
          <w:rFonts w:hint="eastAsia" w:ascii="宋体" w:cs="宋体"/>
          <w:color w:val="000000"/>
          <w:sz w:val="24"/>
          <w:highlight w:val="none"/>
        </w:rPr>
        <w:t xml:space="preserve">4、材料价格按市场询价计算，凡本清单内容中明确的，按清单的要求编制投标报价；本清单未作说明的，按上述规范、文件和要求编制投标报价。</w:t>
      </w:r>
      <w:r>
        <w:rPr>
          <w:rFonts w:hint="eastAsia" w:ascii="宋体" w:cs="宋体"/>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用于本工程的所有材料、设备必须符合有关规范、规定的质量要求。且所有材料及设备的品牌、规格型号、色号、产地、生产产家、参数、性能、价格等均须征求采购人同意。即成交供应商对用于本工程的所有材料及设备的品牌、规格型号、色号、产地、生产产家、参数、性能、价格等负责。</w:t>
      </w:r>
      <w:r>
        <w:rPr>
          <w:rFonts w:hint="eastAsia" w:ascii="宋体" w:hAnsi="宋体" w:cs="宋体"/>
          <w:bCs/>
          <w:color w:val="000000"/>
          <w:sz w:val="24"/>
          <w:highlight w:val="none"/>
        </w:rPr>
      </w:r>
      <w:r/>
    </w:p>
    <w:p>
      <w:pPr>
        <w:pStyle w:val="1041"/>
        <w:ind w:right="21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以上相关法规规范，若有更新，均以最新版为准。</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6、对材料的质量、试验及施工工艺的要求：按国家、省、市现行文件和标准规定。</w:t>
      </w:r>
      <w:r>
        <w:rPr>
          <w:rFonts w:hint="eastAsia" w:ascii="宋体" w:hAnsi="宋体" w:cs="宋体"/>
          <w:bCs/>
          <w:color w:val="000000"/>
          <w:sz w:val="24"/>
          <w:highlight w:val="none"/>
        </w:rPr>
      </w:r>
      <w:r/>
    </w:p>
    <w:p>
      <w:pPr>
        <w:pStyle w:val="1041"/>
        <w:ind w:right="210" w:firstLine="480"/>
        <w:jc w:val="left"/>
        <w:spacing w:line="360" w:lineRule="auto"/>
        <w:rPr>
          <w:rFonts w:hint="eastAsia" w:ascii="宋体" w:hAnsi="宋体" w:cs="宋体"/>
          <w:b/>
          <w:color w:val="000000"/>
          <w:sz w:val="24"/>
          <w:highlight w:val="none"/>
        </w:rPr>
      </w:pPr>
      <w:r>
        <w:rPr>
          <w:rFonts w:hint="eastAsia" w:ascii="宋体" w:hAnsi="宋体" w:cs="宋体"/>
          <w:bCs/>
          <w:color w:val="000000"/>
          <w:sz w:val="24"/>
          <w:highlight w:val="none"/>
        </w:rPr>
        <w:t xml:space="preserve">7、按市现行文件和标准规定执行。</w:t>
      </w:r>
      <w:r>
        <w:rPr>
          <w:rFonts w:hint="eastAsia" w:ascii="宋体" w:hAnsi="宋体" w:cs="宋体"/>
          <w:b/>
          <w:color w:val="000000"/>
          <w:sz w:val="24"/>
          <w:highlight w:val="none"/>
        </w:rPr>
      </w:r>
      <w:r/>
    </w:p>
    <w:p>
      <w:pPr>
        <w:pStyle w:val="1041"/>
        <w:ind w:right="210"/>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五、结算原则</w:t>
      </w:r>
      <w:r>
        <w:rPr>
          <w:rFonts w:hint="eastAsia" w:ascii="宋体" w:hAnsi="宋体" w:cs="宋体"/>
          <w:b/>
          <w:bCs/>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041"/>
        <w:ind w:right="210"/>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六、报价方式</w:t>
      </w:r>
      <w:r>
        <w:rPr>
          <w:rFonts w:hint="eastAsia" w:ascii="宋体" w:hAnsi="宋体" w:cs="宋体"/>
          <w:b/>
          <w:color w:val="000000"/>
          <w:sz w:val="24"/>
          <w:highlight w:val="none"/>
        </w:rPr>
      </w:r>
      <w:r/>
    </w:p>
    <w:p>
      <w:pPr>
        <w:pStyle w:val="1041"/>
        <w:ind w:firstLine="480"/>
        <w:spacing w:line="360" w:lineRule="auto"/>
        <w:rPr>
          <w:rFonts w:hint="eastAsia"/>
          <w:color w:val="000000"/>
          <w:highlight w:val="none"/>
        </w:rPr>
      </w:pPr>
      <w:r>
        <w:rPr>
          <w:rFonts w:hint="eastAsia" w:ascii="宋体" w:hAnsi="宋体" w:cs="宋体"/>
          <w:color w:val="000000"/>
          <w:sz w:val="24"/>
          <w:highlight w:val="none"/>
        </w:rPr>
        <w:t xml:space="preserve">本项目磋商报价为</w:t>
      </w:r>
      <w:r>
        <w:rPr>
          <w:rFonts w:hint="eastAsia" w:ascii="宋体" w:hAnsi="宋体" w:cs="宋体"/>
          <w:b/>
          <w:bCs/>
          <w:color w:val="000000"/>
          <w:sz w:val="24"/>
          <w:highlight w:val="none"/>
        </w:rPr>
        <w:t xml:space="preserve">固定综合单价</w:t>
      </w:r>
      <w:r>
        <w:rPr>
          <w:rFonts w:hint="eastAsia" w:ascii="宋体" w:hAnsi="宋体" w:cs="宋体"/>
          <w:color w:val="000000"/>
          <w:sz w:val="24"/>
          <w:highlight w:val="none"/>
        </w:rPr>
        <w:t xml:space="preserve">，磋商报价应包括竞争性磋商文件所确定的采购范围相应服务的提供、人员（包括工资和补贴）、办公场所及设施、材料费、机械费、质保期及维保服务、保险、劳保、管理、各种税费、利润、规费、税金、政策性文件规定及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招标代理费用等</w:t>
      </w:r>
      <w:r>
        <w:rPr>
          <w:rFonts w:hint="eastAsia" w:ascii="宋体" w:hAnsi="宋体" w:cs="宋体"/>
          <w:color w:val="000000"/>
          <w:sz w:val="24"/>
          <w:highlight w:val="none"/>
        </w:rPr>
        <w:t xml:space="preserve">包含的所有风险、责任等各项应有费用，以及为完成该项服务项目所涉及到的一切相关费用，采购人不再支付其他任何费用。</w:t>
      </w:r>
      <w:r>
        <w:rPr>
          <w:rFonts w:hint="eastAsia"/>
          <w:color w:val="000000"/>
          <w:highlight w:val="none"/>
        </w:rPr>
      </w:r>
      <w:r/>
    </w:p>
    <w:p>
      <w:pPr>
        <w:pStyle w:val="1041"/>
        <w:contextualSpacing/>
        <w:ind w:left="0" w:right="210"/>
        <w:jc w:val="left"/>
        <w:spacing w:line="360" w:lineRule="auto"/>
        <w:rPr>
          <w:rFonts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七</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rPr>
        <w:t xml:space="preserve">投标报价</w:t>
      </w:r>
      <w:r>
        <w:rPr>
          <w:rFonts w:hint="eastAsia" w:ascii="宋体" w:hAnsi="宋体" w:eastAsia="宋体" w:cs="宋体"/>
          <w:b/>
          <w:bCs w:val="0"/>
          <w:color w:val="000000"/>
          <w:sz w:val="24"/>
          <w:highlight w:val="none"/>
          <w:lang w:val="en-US" w:eastAsia="zh-CN"/>
        </w:rPr>
        <w:t xml:space="preserve">要求</w:t>
      </w:r>
      <w:r>
        <w:rPr>
          <w:rFonts w:ascii="宋体" w:hAnsi="宋体" w:eastAsia="宋体" w:cs="宋体"/>
          <w:b/>
          <w:bCs w:val="0"/>
          <w:color w:val="000000"/>
          <w:sz w:val="24"/>
          <w:highlight w:val="none"/>
          <w:lang w:val="en-US" w:eastAsia="zh-CN"/>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投标报价是按</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规定的招标范围内工程量清单所列项目的全部费用总和，是设计图纸、</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工程量清单及其附属资料所要求范围内的全部工作内容的价格的体现，其应包括按设计要求实施和完成本工程所需人工费、材料费、机械费、企业管理费、利润、措施项目费、规费及税金等，同时应考虑承担合同所示责任、义务和一般风险，以及可能因工程量的调整及实施项目的变更而引起的价格调整风险。</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工程采用“工程量清单计价方式”按综合单价计价。综合单价是相对于工程量清单计价而言，对完成一个规定计量单位的分部分项清单项目或措施清单项目所需的人工费、材料费、施工机械使用费、企业管理费、利润以及包含一定范围因素的价格表示。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1.2本工程投标报价的编制应按《建设工程工程量清单计价规范》(GB50500-2013) 等规范、文件要求编制。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应按规范及相关文件的规定自主确定投标报价。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1.3由于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及相关文件的理解产生的误解和偏差，责任由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自负。</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1.4投标报价的编制要求：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1.4.1</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的投标报价高于最高限价，综合单价高于限价综合单价的按无效响应文件处理。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1.4.2 </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必须按照招标工程量清单填报价格。项目编码、项目名称、项目特征、计量单位、工程量必须与招标工程量清单一致（</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自行补充的措施项目除外），否则按无效响应文件处理。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1.4.3</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的综合单价中应包括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中规定的应由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承担的风险范围及其费用。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1.4.4</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的分部分项工程和措施项目中的单价项目，应根据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、设计文件和招标工程量清单项目中的特征描述确定综合单价计算。当设计文件与工程量清单项目特征描述不一致时，以工程量清单项目特征描述为准。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中提供了暂估单价的材料或设备，按暂估的单价计入综合单价。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1.4.5措施项目中的总价项目金额应根据</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及投标时拟定的施工组织设计或施工方案，按工程清单计价规范的规定自主确定。</w:t>
      </w:r>
      <w:r>
        <w:rPr>
          <w:rFonts w:hint="eastAsia" w:ascii="宋体" w:hAnsi="宋体" w:eastAsia="宋体" w:cs="宋体"/>
          <w:color w:val="000000"/>
          <w:sz w:val="24"/>
          <w:highlight w:val="none"/>
        </w:rPr>
      </w:r>
      <w:r/>
    </w:p>
    <w:p>
      <w:pPr>
        <w:pStyle w:val="1041"/>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★其中安全文明施工费费率与招标清单费率一致，否则按无效响应文件处理。</w:t>
      </w:r>
      <w:r>
        <w:rPr>
          <w:rFonts w:hint="eastAsia" w:ascii="宋体" w:hAnsi="宋体" w:eastAsia="宋体" w:cs="宋体"/>
          <w:b/>
          <w:bCs/>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对招标人所列的措施项目，</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可根据工程实际与施工组织设计进行增补，但不应更改招标人已列措施项目。结算时，除工程变更引起施工方案改变外，承包人不得以招标工程措施项目清单缺项为由要求新增措施项目。</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1.4.6其他项目应按下列规定报价：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★暂列金额应按招标工程量清单中列出的金额填写，否则按无效响应文件处理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2）材料、工程设备暂估价应按招标工程量清单中列出的单价计入综合单价；</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3）专业工程暂估价应按招标工程量清单中列出的金额填写；</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4）计日工应按招标工程量清单中列出的项目和数量，自主确定综合单价并计算计日工金额 。</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1.4.7</w:t>
      </w:r>
      <w:r>
        <w:rPr>
          <w:rFonts w:hint="eastAsia" w:ascii="宋体" w:hAnsi="宋体" w:eastAsia="宋体" w:cs="宋体"/>
          <w:b/>
          <w:bCs/>
          <w:color w:val="000000"/>
          <w:sz w:val="24"/>
          <w:highlight w:val="none"/>
        </w:rPr>
        <w:t xml:space="preserve">规费和税金费率必须与招标工程量清单一致，否则按无效响应文件处理。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1.4.8除非招标人对</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予以修改，否则</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应按招标人提供的工程量清单中列出的工程项目和工程量填报单价和合价。每一项目只允许有一个报价，任何有选择的报价将不予接受。工程量清单计价格式中列明的所有需要填报的单价和合价，</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均应填报，未填报的单价和合价，视为此项费用已包含在工程量清单的其他单价和合价中。当竣工结算时，此项目不得重新组价予以调整。</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1.4.9</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的投标总价应当与组成工程量清单的分部分项工程费、措施项目费、其他项目费和规费、税金的合计金额相一致，即</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在投标报价时，不能进行投标总价优惠（或降价、让利），</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对招标人的任何优惠（或降价、让利）均应反映在相应清单项目的综合单价中。</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1.4.10其他项目清单中的暂列金额等项目费均为估算、预测算，虽在投标时计入</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的报价中，但不应视为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所有。</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1.4.11工程量清单中的工程数量是按《建设工程工程量清单计价规范》（GB50500-2013）的工程量规则进行计算的，施工中所用的材料、成品、半成品在制作、运输、安装中等发生的一切损耗应包括在报价内。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1.4.12工程量清单项目特征描述中列明材料暂估数量（或含量）的，投标报价时按暂估数量（或含量）进行组价、不得改变，竣工结算时其用量按实调整，材料价格不变；工程量清单中未明确材料数量（或含量）的按施工规范及施工图纸要求由投标单位自行测算后在综合单价组价中考虑，一旦中标，其数量（或含量）不再调整（招标人要求的变更除外）。</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1.4.13工程量清单中未提供可选品牌的，</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应根据清单项目特征描述及设计文件要求确定品牌（或规格、型号、产地）后，根据市场行情及自身实际情况进行报价。材料单价为到工地价，须包含采购保管费、运杂费（含场内运输费）等所有相关费用。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1.4.14招标人已提供材料备选品牌的，投标单位应按约定品牌选择其一进行报价，并将所选品牌表编入</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技术标书中；如</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拟在推荐品牌（或规格、型号、产地）外自行选择品牌，自选品牌应在性能、价格、技术指标、技术参数、使用寿命等方面均不低于备选品牌相应性能、价格、技术指标、技术参数、使用寿命等方面的要求，同时</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须在网上答疑截止前向招标人提出，并提交书面相应证明材料原件的扫描件，经招标人审核确认，将以</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答疑方式告知所有</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予以增加，没有得到招标人书面认可的材料品牌一律不予接受，其相应的投标书将视为未能对本</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作出实质性响应，将作无效标处理。</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1.4.15凡清单中提供可选品牌的材料（设备），投标报价的“</w:t>
      </w:r>
      <w:r>
        <w:rPr>
          <w:rFonts w:hint="eastAsia" w:ascii="宋体" w:hAnsi="宋体" w:eastAsia="宋体" w:cs="宋体"/>
          <w:color w:val="000000"/>
          <w:sz w:val="24"/>
          <w:highlight w:val="none"/>
          <w:lang w:val="en-US" w:eastAsia="zh-CN"/>
        </w:rPr>
        <w:t xml:space="preserve">品牌推荐表</w:t>
      </w:r>
      <w:r>
        <w:rPr>
          <w:rFonts w:hint="eastAsia" w:ascii="宋体" w:hAnsi="宋体" w:eastAsia="宋体" w:cs="宋体"/>
          <w:color w:val="000000"/>
          <w:sz w:val="24"/>
          <w:highlight w:val="none"/>
        </w:rPr>
        <w:t xml:space="preserve">”中未注明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所选择的材料（设备）的品牌（或规格、型号、产地）的 ，视为</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同意由发包人在可选品牌范围内自由选择相应材料（设备）的品牌（或规格、型号、产地） ，因可选品牌材料（设备）之间客观存在的差异所引起的价格差异由投标单位在投标报价时综合考虑。中标后，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不得因此提出价格调整的要求。</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1.4.16</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在投标前应对现场进行认真踏勘，熟悉工程现场和周围环境，了解一切可能影响投标方案、报价等编制</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的资料，并承担考查现场的责任和风险以及踏勘现场所发生的自身费用。中标后，</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不得以不完全了解施工现场及周围环境为由，提出额外款项增加、补偿或延长工期等要求。同时作为一个有经验的承包商，应充分考虑与施工现场周边居民的关系及外围矛盾的协调，投标报价时应包含解决与当地居民、地方矛盾所产生的费用，并承担相应的责任，因现场踏勘不仔细所产生的索赔招标人不予接受。为满足工程施工所需的生产区和生活区、办公区等的搭设或租赁、工程临边安全范围内所需的防护措施的搭设或所用材料的租赁、以及发生的二次搬运等（包括但不限于以上内容）均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在投标报价中自行考虑，结算时不再另行增加费用。</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1.4.17一旦中标，办理招投标备案等手续中所要缴纳的除规费外的其他费用应综合考虑在投标报价内。</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1.4.18其余要求见《建设工程工程量清单计价规范》（GB50500-2013）及其配套文件以及</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的约定。</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1.4.19施工过程中必须满足“政府令〔2021〕14号常州市扬尘污染防治管理办法”相关规定，相关费用在投标报价中考虑。</w:t>
      </w:r>
      <w:r>
        <w:rPr>
          <w:rFonts w:hint="eastAsia" w:ascii="宋体" w:hAnsi="宋体" w:eastAsia="宋体" w:cs="宋体"/>
          <w:color w:val="000000"/>
          <w:sz w:val="24"/>
          <w:highlight w:val="none"/>
        </w:rPr>
      </w:r>
      <w:r/>
    </w:p>
    <w:p>
      <w:pPr>
        <w:pStyle w:val="1041"/>
        <w:ind w:firstLine="48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rPr>
        <w:t xml:space="preserve">1.4.</w:t>
      </w:r>
      <w:r>
        <w:rPr>
          <w:rFonts w:hint="eastAsia" w:ascii="宋体" w:hAnsi="宋体" w:eastAsia="宋体" w:cs="宋体"/>
          <w:b/>
          <w:bCs/>
          <w:color w:val="000000"/>
          <w:sz w:val="24"/>
          <w:highlight w:val="none"/>
          <w:lang w:val="en-US" w:eastAsia="zh-CN"/>
        </w:rPr>
        <w:t xml:space="preserve">20上述描述与编制说明不一致以编制说明为准。</w:t>
      </w:r>
      <w:r>
        <w:rPr>
          <w:rFonts w:hint="eastAsia" w:ascii="宋体" w:hAnsi="宋体" w:eastAsia="宋体" w:cs="宋体"/>
          <w:b/>
          <w:bCs/>
          <w:color w:val="000000"/>
          <w:sz w:val="24"/>
          <w:highlight w:val="none"/>
          <w:lang w:val="en-US" w:eastAsia="zh-CN"/>
        </w:rPr>
      </w:r>
      <w:r/>
    </w:p>
    <w:p>
      <w:pPr>
        <w:pStyle w:val="1041"/>
        <w:rPr>
          <w:rFonts w:hint="eastAsia"/>
          <w:color w:val="000000"/>
          <w:highlight w:val="none"/>
        </w:rPr>
      </w:pPr>
      <w:r>
        <w:rPr>
          <w:rFonts w:hint="eastAsia"/>
          <w:color w:val="000000"/>
          <w:highlight w:val="none"/>
        </w:rPr>
      </w:r>
      <w:r/>
    </w:p>
    <w:p>
      <w:pPr>
        <w:pStyle w:val="1041"/>
        <w:numPr>
          <w:ilvl w:val="0"/>
          <w:numId w:val="18"/>
        </w:numPr>
        <w:contextualSpacing/>
        <w:ind w:left="0" w:right="210"/>
        <w:jc w:val="left"/>
        <w:spacing w:line="360" w:lineRule="auto"/>
        <w:rPr>
          <w:rFonts w:hint="eastAsia" w:ascii="宋体" w:hAnsi="宋体" w:eastAsia="宋体" w:cs="宋体"/>
          <w:b/>
          <w:bCs w:val="0"/>
          <w:color w:val="000000"/>
          <w:sz w:val="24"/>
          <w:highlight w:val="none"/>
          <w:lang w:val="en-US" w:eastAsia="zh-CN"/>
        </w:rPr>
      </w:pPr>
      <w:r>
        <w:rPr>
          <w:rFonts w:hint="eastAsia" w:ascii="宋体" w:hAnsi="宋体" w:eastAsia="宋体" w:cs="宋体"/>
          <w:b/>
          <w:bCs w:val="0"/>
          <w:color w:val="000000"/>
          <w:sz w:val="24"/>
          <w:highlight w:val="none"/>
          <w:lang w:val="en-US" w:eastAsia="zh-CN"/>
        </w:rPr>
        <w:t xml:space="preserve">控制价清单及图纸</w:t>
      </w:r>
      <w:r>
        <w:rPr>
          <w:rFonts w:hint="eastAsia" w:ascii="宋体" w:hAnsi="宋体" w:eastAsia="宋体" w:cs="宋体"/>
          <w:b/>
          <w:bCs w:val="0"/>
          <w:color w:val="000000"/>
          <w:sz w:val="24"/>
          <w:highlight w:val="none"/>
          <w:lang w:val="en-US" w:eastAsia="zh-CN"/>
        </w:rPr>
      </w:r>
      <w:r/>
    </w:p>
    <w:p>
      <w:pPr>
        <w:pStyle w:val="1041"/>
        <w:numPr>
          <w:ilvl w:val="0"/>
          <w:numId w:val="0"/>
        </w:numPr>
        <w:contextualSpacing/>
        <w:ind w:left="0" w:right="210"/>
        <w:jc w:val="left"/>
        <w:spacing w:line="360" w:lineRule="auto"/>
        <w:rPr>
          <w:rFonts w:ascii="宋体" w:hAnsi="宋体" w:eastAsia="宋体" w:cs="宋体"/>
          <w:b/>
          <w:bCs w:val="0"/>
          <w:color w:val="000000"/>
          <w:sz w:val="24"/>
          <w:highlight w:val="none"/>
          <w:lang w:val="en-US" w:eastAsia="zh-CN"/>
        </w:rPr>
      </w:pPr>
      <w:r>
        <w:rPr>
          <w:rFonts w:ascii="宋体" w:hAnsi="宋体" w:eastAsia="宋体" w:cs="宋体"/>
          <w:b/>
          <w:bCs w:val="0"/>
          <w:color w:val="000000"/>
          <w:sz w:val="24"/>
          <w:highlight w:val="none"/>
          <w:lang w:val="en-US"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2.6pt;height:65.4pt;mso-wrap-distance-left:0.0pt;mso-wrap-distance-top:0.0pt;mso-wrap-distance-right:0.0pt;mso-wrap-distance-bottom:0.0pt;" filled="f" stroked="f">
            <v:path textboxrect="0,0,0,0"/>
            <v:imagedata r:id="rId18" o:title=""/>
          </v:shape>
          <o:OLEObject DrawAspect="Content" r:id="rId19" ObjectID="_1525044" ProgID="Package" ShapeID="_x0000_i4" Type="Embed"/>
        </w:object>
      </w:r>
      <w:r>
        <w:rPr>
          <w:rFonts w:hint="eastAsia" w:eastAsia="宋体"/>
          <w:color w:val="000000"/>
          <w:highlight w:val="none"/>
          <w:lang w:eastAsia="zh-CN"/>
        </w:rPr>
        <w:object w:dxaOrig="1452" w:dyaOrig="1308">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6pt;height:65.4pt;mso-wrap-distance-left:0.0pt;mso-wrap-distance-top:0.0pt;mso-wrap-distance-right:0.0pt;mso-wrap-distance-bottom:0.0pt;" filled="f" stroked="f">
            <v:path textboxrect="0,0,0,0"/>
            <v:imagedata r:id="rId20" o:title=""/>
          </v:shape>
          <o:OLEObject DrawAspect="Content" r:id="rId21" ObjectID="_1525045" ProgID="Package" ShapeID="_x0000_i5" Type="Embed"/>
        </w:object>
      </w:r>
      <w:r>
        <w:rPr>
          <w:rFonts w:hint="eastAsia" w:eastAsia="宋体"/>
          <w:color w:val="000000"/>
          <w:highlight w:val="none"/>
          <w:lang w:eastAsia="zh-CN"/>
        </w:rPr>
      </w:r>
      <w:r/>
    </w:p>
    <w:p>
      <w:pPr>
        <w:pStyle w:val="1041"/>
        <w:spacing w:line="0" w:lineRule="atLeast"/>
        <w:rPr>
          <w:rFonts w:hint="eastAsia" w:eastAsia="宋体"/>
          <w:color w:val="000000"/>
          <w:highlight w:val="none"/>
          <w:lang w:eastAsia="zh-CN"/>
        </w:rPr>
      </w:pPr>
      <w:r>
        <w:rPr>
          <w:rFonts w:hint="eastAsia" w:eastAsia="宋体"/>
          <w:color w:val="000000"/>
          <w:highlight w:val="none"/>
          <w:lang w:eastAsia="zh-CN"/>
        </w:rPr>
      </w:r>
      <w:r/>
    </w:p>
    <w:p>
      <w:pPr>
        <w:pStyle w:val="1041"/>
        <w:spacing w:line="0" w:lineRule="atLeast"/>
        <w:rPr>
          <w:rFonts w:hint="eastAsia" w:eastAsia="宋体"/>
          <w:color w:val="000000"/>
          <w:highlight w:val="none"/>
          <w:lang w:val="en-US" w:eastAsia="zh-CN"/>
        </w:rPr>
      </w:pPr>
      <w:r>
        <w:rPr>
          <w:rFonts w:hint="eastAsia" w:eastAsia="宋体"/>
          <w:color w:val="000000"/>
          <w:highlight w:val="none"/>
          <w:lang w:val="en-US" w:eastAsia="zh-CN"/>
        </w:rPr>
        <w:t xml:space="preserve">通过网盘分享的文件：控制价清单及图纸（常州机电职业技术学院善学楼（东教学楼）升级改造项目</w:t>
      </w:r>
      <w:r>
        <w:rPr>
          <w:rFonts w:hint="eastAsia" w:eastAsia="宋体"/>
          <w:color w:val="000000"/>
          <w:highlight w:val="none"/>
          <w:lang w:val="en-US" w:eastAsia="zh-CN"/>
        </w:rPr>
      </w:r>
      <w:r/>
    </w:p>
    <w:p>
      <w:pPr>
        <w:pStyle w:val="1041"/>
        <w:spacing w:line="0" w:lineRule="atLeast"/>
        <w:rPr>
          <w:rFonts w:eastAsia="宋体"/>
          <w:color w:val="000000"/>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eastAsia="宋体"/>
          <w:color w:val="000000"/>
          <w:highlight w:val="none"/>
          <w:lang w:val="en-US" w:eastAsia="zh-CN"/>
        </w:rPr>
        <w:t xml:space="preserve">链接: https://pan.baidu.com/s/172CDnMlrT54GQgaWlE7DSw?pwd=38ax 提取码: 38ax</w:t>
      </w:r>
      <w:r>
        <w:rPr>
          <w:rFonts w:eastAsia="宋体"/>
          <w:color w:val="000000"/>
          <w:highlight w:val="none"/>
          <w:lang w:val="en-US" w:eastAsia="zh-CN"/>
        </w:rPr>
      </w:r>
      <w:r/>
    </w:p>
    <w:p>
      <w:pPr>
        <w:pStyle w:val="1041"/>
        <w:ind w:firstLine="723"/>
        <w:jc w:val="center"/>
        <w:spacing w:line="360" w:lineRule="auto"/>
        <w:rPr>
          <w:b/>
          <w:color w:val="000000"/>
          <w:sz w:val="36"/>
          <w:szCs w:val="36"/>
          <w:highlight w:val="none"/>
        </w:rPr>
        <w:outlineLvl w:val="0"/>
      </w:pPr>
      <w:r/>
      <w:bookmarkStart w:id="622" w:name="_Toc104818929"/>
      <w:r/>
      <w:bookmarkStart w:id="623" w:name="_Toc11006"/>
      <w:r/>
      <w:bookmarkStart w:id="624" w:name="_Toc25957"/>
      <w:r/>
      <w:bookmarkStart w:id="625" w:name="_Toc104"/>
      <w:r/>
      <w:bookmarkStart w:id="626" w:name="_Toc18542"/>
      <w:r/>
      <w:bookmarkStart w:id="627" w:name="_Toc104818930"/>
      <w:r/>
      <w:bookmarkStart w:id="628" w:name="_Hlk75944811"/>
      <w:r>
        <w:rPr>
          <w:b/>
          <w:color w:val="000000"/>
          <w:sz w:val="36"/>
          <w:szCs w:val="36"/>
          <w:highlight w:val="none"/>
        </w:rPr>
        <w:t xml:space="preserve">第五章   合同草案条款</w:t>
      </w:r>
      <w:bookmarkEnd w:id="622"/>
      <w:r/>
      <w:bookmarkEnd w:id="623"/>
      <w:r/>
      <w:bookmarkEnd w:id="624"/>
      <w:r/>
      <w:bookmarkEnd w:id="625"/>
      <w:r/>
      <w:bookmarkEnd w:id="626"/>
      <w:r>
        <w:rPr>
          <w:b/>
          <w:color w:val="000000"/>
          <w:sz w:val="36"/>
          <w:szCs w:val="36"/>
          <w:highlight w:val="none"/>
        </w:rPr>
      </w:r>
      <w:r/>
    </w:p>
    <w:p>
      <w:pPr>
        <w:pStyle w:val="1041"/>
        <w:jc w:val="center"/>
        <w:spacing w:line="360" w:lineRule="auto"/>
        <w:rPr>
          <w:b/>
          <w:color w:val="000000"/>
          <w:sz w:val="36"/>
          <w:szCs w:val="36"/>
          <w:highlight w:val="none"/>
        </w:rPr>
        <w:outlineLvl w:val="0"/>
      </w:pPr>
      <w:r/>
      <w:bookmarkStart w:id="629" w:name="_Toc3107"/>
      <w:r/>
      <w:bookmarkStart w:id="630" w:name="_Toc27008"/>
      <w:r/>
      <w:bookmarkStart w:id="631" w:name="_Toc30541"/>
      <w:r>
        <w:rPr>
          <w:rFonts w:hint="eastAsia" w:cs="宋体"/>
          <w:b/>
          <w:color w:val="000000"/>
          <w:sz w:val="36"/>
          <w:szCs w:val="36"/>
          <w:highlight w:val="none"/>
          <w:lang w:bidi="ar"/>
        </w:rPr>
        <w:t xml:space="preserve">施 工 合 同</w:t>
      </w:r>
      <w:bookmarkEnd w:id="629"/>
      <w:r/>
      <w:bookmarkEnd w:id="630"/>
      <w:r/>
      <w:bookmarkEnd w:id="631"/>
      <w:r>
        <w:rPr>
          <w:b/>
          <w:color w:val="000000"/>
          <w:sz w:val="36"/>
          <w:szCs w:val="36"/>
          <w:highlight w:val="none"/>
        </w:rPr>
      </w:r>
      <w:r/>
    </w:p>
    <w:p>
      <w:pPr>
        <w:pStyle w:val="1081"/>
        <w:ind w:firstLine="241"/>
        <w:spacing w:line="400" w:lineRule="exact"/>
        <w:widowControl/>
        <w:rPr>
          <w:rFonts w:hAnsi="宋体" w:cs="宋体"/>
          <w:color w:val="000000"/>
          <w:sz w:val="24"/>
          <w:szCs w:val="24"/>
          <w:highlight w:val="none"/>
        </w:rPr>
      </w:pPr>
      <w:r>
        <w:rPr>
          <w:rFonts w:hAnsi="宋体" w:cs="宋体"/>
          <w:b/>
          <w:color w:val="000000"/>
          <w:sz w:val="24"/>
          <w:szCs w:val="24"/>
          <w:highlight w:val="none"/>
          <w:lang w:val="zh-CN"/>
        </w:rPr>
        <w:t xml:space="preserve">采购人（以下称甲</w:t>
      </w:r>
      <w:r>
        <w:rPr>
          <w:rFonts w:hAnsi="宋体" w:cs="宋体"/>
          <w:b/>
          <w:color w:val="000000"/>
          <w:sz w:val="24"/>
          <w:szCs w:val="24"/>
          <w:highlight w:val="none"/>
        </w:rPr>
        <w:t xml:space="preserve">方）: 常州机电职业技术学院   </w:t>
      </w:r>
      <w:r>
        <w:rPr>
          <w:rFonts w:hAnsi="宋体" w:cs="宋体"/>
          <w:color w:val="000000"/>
          <w:sz w:val="24"/>
          <w:szCs w:val="24"/>
          <w:highlight w:val="none"/>
        </w:rPr>
        <w:t xml:space="preserve">     </w:t>
      </w:r>
      <w:r>
        <w:rPr>
          <w:rFonts w:hAnsi="宋体" w:cs="宋体"/>
          <w:color w:val="000000"/>
          <w:sz w:val="24"/>
          <w:szCs w:val="24"/>
          <w:highlight w:val="none"/>
        </w:rPr>
      </w:r>
      <w:r/>
    </w:p>
    <w:p>
      <w:pPr>
        <w:pStyle w:val="1081"/>
        <w:ind w:right="-764" w:firstLine="241"/>
        <w:spacing w:line="400" w:lineRule="exact"/>
        <w:widowControl/>
        <w:rPr>
          <w:rFonts w:hAnsi="宋体" w:cs="宋体"/>
          <w:b/>
          <w:color w:val="000000"/>
          <w:sz w:val="24"/>
          <w:szCs w:val="24"/>
          <w:highlight w:val="none"/>
        </w:rPr>
      </w:pPr>
      <w:r>
        <w:rPr>
          <w:rFonts w:hAnsi="宋体" w:cs="宋体"/>
          <w:b/>
          <w:color w:val="000000"/>
          <w:sz w:val="24"/>
          <w:szCs w:val="24"/>
          <w:highlight w:val="none"/>
        </w:rPr>
        <w:t xml:space="preserve">供应商（</w:t>
      </w:r>
      <w:r>
        <w:rPr>
          <w:rFonts w:hAnsi="宋体" w:cs="宋体"/>
          <w:b/>
          <w:color w:val="000000"/>
          <w:sz w:val="24"/>
          <w:szCs w:val="24"/>
          <w:highlight w:val="none"/>
          <w:lang w:val="zh-CN"/>
        </w:rPr>
        <w:t xml:space="preserve">以下称</w:t>
      </w:r>
      <w:r>
        <w:rPr>
          <w:rFonts w:hAnsi="宋体" w:cs="宋体"/>
          <w:b/>
          <w:color w:val="000000"/>
          <w:sz w:val="24"/>
          <w:szCs w:val="24"/>
          <w:highlight w:val="none"/>
        </w:rPr>
        <w:t xml:space="preserve">乙方）:   </w:t>
      </w:r>
      <w:r>
        <w:rPr>
          <w:rFonts w:hAnsi="宋体" w:cs="宋体"/>
          <w:b/>
          <w:color w:val="000000"/>
          <w:sz w:val="24"/>
          <w:szCs w:val="24"/>
          <w:highlight w:val="none"/>
        </w:rPr>
      </w:r>
      <w:r/>
    </w:p>
    <w:p>
      <w:pPr>
        <w:pStyle w:val="1104"/>
        <w:ind w:left="239"/>
        <w:spacing w:before="0" w:beforeAutospacing="0" w:after="0" w:afterAutospacing="0" w:line="400" w:lineRule="exact"/>
        <w:widowControl w:val="off"/>
        <w:rPr>
          <w:color w:val="000000"/>
          <w:highlight w:val="none"/>
          <w:u w:val="single"/>
        </w:rPr>
      </w:pPr>
      <w:r>
        <w:rPr>
          <w:rFonts w:hint="eastAsia"/>
          <w:color w:val="000000"/>
          <w:highlight w:val="none"/>
          <w:lang w:bidi="ar"/>
        </w:rPr>
        <w:t xml:space="preserve">签订地点：常州机电职业技术学院       签订合同时间: </w:t>
      </w:r>
      <w:r>
        <w:rPr>
          <w:rFonts w:hint="eastAsia"/>
          <w:color w:val="000000"/>
          <w:highlight w:val="none"/>
          <w:u w:val="single"/>
          <w:lang w:bidi="ar"/>
        </w:rPr>
        <w:t xml:space="preserve"> 2026年 月 日</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根据</w:t>
      </w:r>
      <w:r>
        <w:rPr>
          <w:rFonts w:hint="eastAsia" w:cs="Times New Roman"/>
          <w:color w:val="000000"/>
          <w:highlight w:val="none"/>
          <w:u w:val="single"/>
          <w:lang w:bidi="ar"/>
        </w:rPr>
        <w:t xml:space="preserve">          （代理机构） 2026  </w:t>
      </w:r>
      <w:r>
        <w:rPr>
          <w:rFonts w:hint="eastAsia" w:cs="Times New Roman"/>
          <w:color w:val="000000"/>
          <w:highlight w:val="none"/>
          <w:lang w:bidi="ar"/>
        </w:rPr>
        <w:t xml:space="preserve">年</w:t>
      </w:r>
      <w:r>
        <w:rPr>
          <w:rFonts w:hint="eastAsia" w:cs="Times New Roman"/>
          <w:color w:val="000000"/>
          <w:highlight w:val="none"/>
          <w:u w:val="single"/>
          <w:lang w:bidi="ar"/>
        </w:rPr>
        <w:t xml:space="preserve">   </w:t>
      </w:r>
      <w:r>
        <w:rPr>
          <w:rFonts w:hint="eastAsia" w:cs="Times New Roman"/>
          <w:color w:val="000000"/>
          <w:highlight w:val="none"/>
          <w:lang w:bidi="ar"/>
        </w:rPr>
        <w:t xml:space="preserve">月</w:t>
      </w:r>
      <w:r>
        <w:rPr>
          <w:rFonts w:hint="eastAsia" w:cs="Times New Roman"/>
          <w:color w:val="000000"/>
          <w:highlight w:val="none"/>
          <w:u w:val="single"/>
          <w:lang w:bidi="ar"/>
        </w:rPr>
        <w:t xml:space="preserve">   </w:t>
      </w:r>
      <w:r>
        <w:rPr>
          <w:rFonts w:hint="eastAsia" w:cs="Times New Roman"/>
          <w:color w:val="000000"/>
          <w:highlight w:val="none"/>
          <w:lang w:bidi="ar"/>
        </w:rPr>
        <w:t xml:space="preserve">日进行的</w:t>
      </w:r>
      <w:r>
        <w:rPr>
          <w:rFonts w:hint="eastAsia" w:cs="Times New Roman"/>
          <w:color w:val="000000"/>
          <w:highlight w:val="none"/>
          <w:u w:val="single"/>
          <w:lang w:bidi="ar"/>
        </w:rPr>
        <w:t xml:space="preserve">     </w:t>
      </w:r>
      <w:r>
        <w:rPr>
          <w:rFonts w:hint="eastAsia" w:cs="Times New Roman"/>
          <w:color w:val="000000"/>
          <w:highlight w:val="none"/>
          <w:lang w:bidi="ar"/>
        </w:rPr>
        <w:t xml:space="preserve">号采购要求，甲、乙双方就</w:t>
      </w:r>
      <w:r>
        <w:rPr>
          <w:rFonts w:hint="eastAsia" w:cs="Times New Roman"/>
          <w:color w:val="000000"/>
          <w:highlight w:val="none"/>
          <w:u w:val="single"/>
          <w:lang w:bidi="ar"/>
        </w:rPr>
        <w:t xml:space="preserve"> 常州机电职业技术学院善学楼（东教学楼）升级改造工程 </w:t>
      </w:r>
      <w:r>
        <w:rPr>
          <w:rFonts w:hint="eastAsia" w:cs="Times New Roman"/>
          <w:color w:val="000000"/>
          <w:highlight w:val="none"/>
          <w:lang w:bidi="ar"/>
        </w:rPr>
        <w:t xml:space="preserve">项目</w:t>
      </w:r>
      <w:r>
        <w:rPr>
          <w:rFonts w:hint="eastAsia" w:cs="Times New Roman"/>
          <w:bCs/>
          <w:color w:val="000000"/>
          <w:highlight w:val="none"/>
          <w:lang w:bidi="ar"/>
        </w:rPr>
        <w:t xml:space="preserve">，</w:t>
      </w:r>
      <w:r>
        <w:rPr>
          <w:rFonts w:hint="eastAsia" w:cs="Times New Roman"/>
          <w:color w:val="000000"/>
          <w:highlight w:val="none"/>
          <w:lang w:bidi="ar"/>
        </w:rPr>
        <w:t xml:space="preserve">本着平等互利的原则，通过共同协商，根据</w:t>
      </w:r>
      <w:r>
        <w:rPr>
          <w:rFonts w:hint="eastAsia" w:cs="Times New Roman"/>
          <w:bCs/>
          <w:color w:val="000000"/>
          <w:highlight w:val="none"/>
          <w:lang w:bidi="ar"/>
        </w:rPr>
        <w:t xml:space="preserve">《中华人民共和国政府采购法》、《中华人民共和国合同法》</w:t>
      </w:r>
      <w:r>
        <w:rPr>
          <w:rFonts w:hint="eastAsia" w:cs="Times New Roman"/>
          <w:color w:val="000000"/>
          <w:highlight w:val="none"/>
          <w:lang w:bidi="ar"/>
        </w:rPr>
        <w:t xml:space="preserve">及有关法律法规，就相关事宜达成如下合同。</w:t>
      </w:r>
      <w:r>
        <w:rPr>
          <w:color w:val="000000"/>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下列文件是构成合同不可分割的部分，并与本合同具有同等法律效力，</w:t>
      </w:r>
      <w:r>
        <w:rPr>
          <w:rFonts w:hint="eastAsia" w:ascii="宋体" w:hAnsi="宋体" w:cs="宋体"/>
          <w:bCs/>
          <w:color w:val="000000"/>
          <w:sz w:val="24"/>
          <w:highlight w:val="none"/>
          <w:lang w:bidi="ar"/>
        </w:rPr>
        <w:t xml:space="preserve">这些文件包括但不限于：</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 </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号采购文件。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2.乙方提交的响应文件。</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Ansi="宋体"/>
          <w:color w:val="000000"/>
          <w:sz w:val="24"/>
          <w:highlight w:val="none"/>
          <w:lang w:bidi="ar"/>
        </w:rPr>
        <w:t xml:space="preserve">3.</w:t>
      </w:r>
      <w:r>
        <w:rPr>
          <w:color w:val="000000"/>
          <w:sz w:val="24"/>
          <w:highlight w:val="none"/>
          <w:lang w:bidi="ar"/>
        </w:rPr>
        <w:t xml:space="preserve"> </w:t>
      </w:r>
      <w:r>
        <w:rPr>
          <w:rFonts w:hint="eastAsia" w:hAnsi="宋体" w:cs="宋体"/>
          <w:color w:val="000000"/>
          <w:sz w:val="24"/>
          <w:highlight w:val="none"/>
          <w:lang w:bidi="ar"/>
        </w:rPr>
        <w:t xml:space="preserve">磋商文件及相关的资料。</w:t>
      </w:r>
      <w:r>
        <w:rPr>
          <w:rFonts w:hint="eastAsia" w:ascii="宋体" w:hAnsi="宋体" w:cs="宋体"/>
          <w:color w:val="000000"/>
          <w:sz w:val="24"/>
          <w:highlight w:val="none"/>
        </w:rPr>
      </w:r>
      <w:r/>
    </w:p>
    <w:p>
      <w:pPr>
        <w:pStyle w:val="1041"/>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4.乙方响应的其他资料及承诺。</w:t>
      </w:r>
      <w:r>
        <w:rPr>
          <w:rFonts w:hint="eastAsia" w:ascii="宋体" w:hAnsi="宋体" w:cs="宋体"/>
          <w:color w:val="000000"/>
          <w:sz w:val="24"/>
          <w:highlight w:val="none"/>
        </w:rPr>
      </w:r>
      <w:r/>
    </w:p>
    <w:p>
      <w:pPr>
        <w:pStyle w:val="1041"/>
        <w:ind w:firstLine="480"/>
        <w:rPr>
          <w:rFonts w:hint="eastAsia" w:ascii="宋体" w:cs="宋体"/>
          <w:color w:val="000000"/>
          <w:sz w:val="24"/>
          <w:highlight w:val="none"/>
        </w:rPr>
      </w:pPr>
      <w:r>
        <w:rPr>
          <w:color w:val="000000"/>
          <w:sz w:val="24"/>
          <w:highlight w:val="none"/>
          <w:lang w:bidi="ar"/>
        </w:rPr>
        <w:t xml:space="preserve">5.</w:t>
      </w:r>
      <w:r>
        <w:rPr>
          <w:rFonts w:hint="eastAsia" w:cs="宋体"/>
          <w:color w:val="000000"/>
          <w:sz w:val="24"/>
          <w:highlight w:val="none"/>
          <w:lang w:bidi="ar"/>
        </w:rPr>
        <w:t xml:space="preserve">经甲、乙、双方确认的其他补充协议及相关资料。</w:t>
      </w:r>
      <w:r>
        <w:rPr>
          <w:rFonts w:hint="eastAsia" w:ascii="宋体" w:cs="宋体"/>
          <w:color w:val="000000"/>
          <w:sz w:val="24"/>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第1条  工程概况</w:t>
      </w:r>
      <w:r>
        <w:rPr>
          <w:color w:val="000000"/>
          <w:highlight w:val="none"/>
        </w:rPr>
      </w:r>
      <w:r/>
    </w:p>
    <w:p>
      <w:pPr>
        <w:pStyle w:val="1041"/>
        <w:ind w:firstLine="480"/>
        <w:spacing w:line="360" w:lineRule="exact"/>
        <w:rPr>
          <w:rFonts w:hint="eastAsia" w:ascii="宋体" w:hAnsi="宋体" w:cs="宋体"/>
          <w:color w:val="000000"/>
          <w:sz w:val="24"/>
          <w:highlight w:val="none"/>
          <w:u w:val="single"/>
        </w:rPr>
      </w:pPr>
      <w:r>
        <w:rPr>
          <w:rFonts w:hint="eastAsia" w:ascii="宋体" w:hAnsi="宋体" w:cs="宋体"/>
          <w:color w:val="000000"/>
          <w:sz w:val="24"/>
          <w:highlight w:val="none"/>
          <w:lang w:bidi="ar"/>
        </w:rPr>
        <w:t xml:space="preserve">1.1  工程名称：</w:t>
      </w:r>
      <w:r>
        <w:rPr>
          <w:rFonts w:hint="eastAsia" w:ascii="宋体" w:hAnsi="宋体" w:cs="宋体"/>
          <w:color w:val="000000"/>
          <w:sz w:val="24"/>
          <w:highlight w:val="none"/>
          <w:u w:val="single"/>
          <w:lang w:bidi="ar"/>
        </w:rPr>
        <w:t xml:space="preserve"> </w:t>
      </w:r>
      <w:r>
        <w:rPr>
          <w:rFonts w:hint="eastAsia" w:ascii="宋体" w:hAnsi="宋体"/>
          <w:color w:val="000000"/>
          <w:sz w:val="24"/>
          <w:highlight w:val="none"/>
          <w:u w:val="single"/>
          <w:lang w:bidi="ar"/>
        </w:rPr>
        <w:t xml:space="preserve">常州机电职业技术学院善学楼（东教学楼）升级改造工程</w:t>
      </w:r>
      <w:r>
        <w:rPr>
          <w:rFonts w:ascii="宋体" w:hAnsi="宋体"/>
          <w:color w:val="000000"/>
          <w:sz w:val="24"/>
          <w:highlight w:val="none"/>
          <w:u w:val="singl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1.2  工程地点：</w:t>
      </w:r>
      <w:r>
        <w:rPr>
          <w:rFonts w:hint="eastAsia" w:cs="Times New Roman"/>
          <w:color w:val="000000"/>
          <w:highlight w:val="none"/>
          <w:u w:val="single"/>
          <w:lang w:bidi="ar"/>
        </w:rPr>
        <w:t xml:space="preserve">  常州机电职业技术学院善学楼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  承包范围:</w:t>
      </w:r>
      <w:r>
        <w:rPr>
          <w:rFonts w:hint="eastAsia" w:cs="Times New Roman"/>
          <w:color w:val="000000"/>
          <w:highlight w:val="none"/>
          <w:u w:val="single"/>
          <w:lang w:bidi="ar"/>
        </w:rPr>
        <w:t xml:space="preserve">   工程量清单范围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u w:val="single"/>
        </w:rPr>
      </w:pPr>
      <w:r>
        <w:rPr>
          <w:rFonts w:hint="eastAsia" w:cs="Times New Roman"/>
          <w:color w:val="000000"/>
          <w:highlight w:val="none"/>
          <w:lang w:bidi="ar"/>
        </w:rPr>
        <w:t xml:space="preserve">1.4  承包方式:</w:t>
      </w:r>
      <w:r>
        <w:rPr>
          <w:rFonts w:hint="eastAsia" w:cs="Times New Roman"/>
          <w:color w:val="000000"/>
          <w:highlight w:val="none"/>
          <w:u w:val="single"/>
          <w:lang w:bidi="ar"/>
        </w:rPr>
        <w:t xml:space="preserve">   </w:t>
      </w:r>
      <w:r>
        <w:rPr>
          <w:rFonts w:hint="eastAsia"/>
          <w:b/>
          <w:bCs/>
          <w:color w:val="000000"/>
          <w:highlight w:val="none"/>
        </w:rPr>
        <w:t xml:space="preserve">固定综合单价</w:t>
      </w:r>
      <w:r>
        <w:rPr>
          <w:rFonts w:hint="eastAsia" w:cs="Times New Roman"/>
          <w:color w:val="000000"/>
          <w:highlight w:val="none"/>
          <w:u w:val="single"/>
          <w:lang w:bidi="ar"/>
        </w:rPr>
        <w:t xml:space="preserve">                                  </w:t>
      </w:r>
      <w:r>
        <w:rPr>
          <w:color w:val="000000"/>
          <w:highlight w:val="none"/>
          <w:u w:val="singl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1.5  合同履行期限：</w:t>
      </w:r>
      <w:r>
        <w:rPr>
          <w:rFonts w:hint="eastAsia" w:cs="Times New Roman"/>
          <w:color w:val="000000"/>
          <w:highlight w:val="none"/>
          <w:lang w:eastAsia="zh-CN" w:bidi="ar"/>
        </w:rPr>
        <w:t xml:space="preserve">50天，以开工时间为准。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1.6采购工程的验收标准：符合国家相关质量标准，一次性验收合格。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1.7 合同价款(人民币大写):</w:t>
      </w:r>
      <w:r>
        <w:rPr>
          <w:rFonts w:hint="eastAsia" w:cs="Times New Roman"/>
          <w:color w:val="000000"/>
          <w:highlight w:val="none"/>
          <w:u w:val="single"/>
          <w:lang w:bidi="ar"/>
        </w:rPr>
        <w:t xml:space="preserve">    （￥   元）</w:t>
      </w:r>
      <w:r>
        <w:rPr>
          <w:rFonts w:hint="eastAsia" w:cs="Times New Roman"/>
          <w:color w:val="000000"/>
          <w:highlight w:val="none"/>
          <w:u w:val="singl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1.8 本合同为固定单价合同，合同价款中的综合单价均已包含为完成本工程所需的所有人工、材料、设备、机械、管理、利润、税金、风险、责任及合同明示或暗示的一切费用。除本合同第6.6条及第6.7条约定的情况外，任何情况下综合单价均不予调整。乙方已充分考虑并承担了现场条件、施工难度、市场物价波动（除第6.7条主要材料外）、工期等一切风险。</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u w:val="single"/>
          <w:lang w:bidi="ar"/>
        </w:rPr>
      </w:pPr>
      <w:r>
        <w:rPr>
          <w:rFonts w:hint="eastAsia" w:cs="Times New Roman"/>
          <w:color w:val="000000"/>
          <w:highlight w:val="none"/>
          <w:lang w:bidi="ar"/>
        </w:rPr>
        <w:t xml:space="preserve">1.9 最终结算上限：本工程的最终结算总价，不得超过合同总价（即人民币</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元）的10%。超出部分，甲方有权不予支付，且乙方不得以此为由拒绝竣工验收或移交工程。</w:t>
      </w:r>
      <w:r>
        <w:rPr>
          <w:rFonts w:hint="eastAsia" w:cs="Times New Roman"/>
          <w:color w:val="000000"/>
          <w:highlight w:val="none"/>
          <w:u w:val="singl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第2条  甲方工作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2.1  开工前</w:t>
      </w:r>
      <w:r>
        <w:rPr>
          <w:rFonts w:hint="eastAsia" w:cs="Times New Roman"/>
          <w:color w:val="000000"/>
          <w:highlight w:val="none"/>
          <w:u w:val="single"/>
          <w:lang w:bidi="ar"/>
        </w:rPr>
        <w:t xml:space="preserve"> 7 </w:t>
      </w:r>
      <w:r>
        <w:rPr>
          <w:rFonts w:hint="eastAsia" w:cs="Times New Roman"/>
          <w:color w:val="000000"/>
          <w:highlight w:val="none"/>
          <w:lang w:bidi="ar"/>
        </w:rPr>
        <w:t xml:space="preserve">天,向乙方提供经确认的施工图纸或作法说明</w:t>
      </w:r>
      <w:r>
        <w:rPr>
          <w:rFonts w:hint="eastAsia" w:cs="Times New Roman"/>
          <w:color w:val="000000"/>
          <w:highlight w:val="none"/>
          <w:u w:val="single"/>
          <w:lang w:bidi="ar"/>
        </w:rPr>
        <w:t xml:space="preserve"> 2 </w:t>
      </w:r>
      <w:r>
        <w:rPr>
          <w:rFonts w:hint="eastAsia" w:cs="Times New Roman"/>
          <w:color w:val="000000"/>
          <w:highlight w:val="none"/>
          <w:lang w:bidi="ar"/>
        </w:rPr>
        <w:t xml:space="preserve">份,并向乙方进行现场交底。向乙方提供施工所需的水、电、气及电讯等设备，并说明使用注意事项。办理施工所涉及的各种申请、批件等手续。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2.2  指派</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为甲方驻工地代表，负责合同履行。对工程质量、进度进行监督检查，办理验收、变更、登记手续和其他事宜。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2.3  委托</w:t>
      </w:r>
      <w:r>
        <w:rPr>
          <w:rFonts w:hint="eastAsia" w:cs="Times New Roman"/>
          <w:color w:val="000000"/>
          <w:highlight w:val="none"/>
          <w:u w:val="single"/>
          <w:lang w:bidi="ar"/>
        </w:rPr>
        <w:t xml:space="preserve">     </w:t>
      </w:r>
      <w:r>
        <w:rPr>
          <w:rFonts w:hint="eastAsia" w:cs="Times New Roman"/>
          <w:color w:val="000000"/>
          <w:highlight w:val="none"/>
          <w:lang w:bidi="ar"/>
        </w:rPr>
        <w:t xml:space="preserve">监理公司进行工程监理，监理公司任命</w:t>
      </w:r>
      <w:r>
        <w:rPr>
          <w:rFonts w:hint="eastAsia" w:cs="Times New Roman"/>
          <w:color w:val="000000"/>
          <w:highlight w:val="none"/>
          <w:u w:val="single"/>
          <w:lang w:bidi="ar"/>
        </w:rPr>
        <w:t xml:space="preserve">    </w:t>
      </w:r>
      <w:r>
        <w:rPr>
          <w:rFonts w:hint="eastAsia" w:cs="Times New Roman"/>
          <w:color w:val="000000"/>
          <w:highlight w:val="none"/>
          <w:lang w:bidi="ar"/>
        </w:rPr>
        <w:t xml:space="preserve"> 为总监理工程师，其职责在监理合同中应明确，并将合同副本交乙方</w:t>
      </w:r>
      <w:r>
        <w:rPr>
          <w:rFonts w:hint="eastAsia" w:cs="Times New Roman"/>
          <w:color w:val="000000"/>
          <w:highlight w:val="none"/>
          <w:u w:val="single"/>
          <w:lang w:bidi="ar"/>
        </w:rPr>
        <w:t xml:space="preserve">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2.4 如确实需要拆改原建筑物结构或设备管线，负责到有关部门办理相应审批手续。</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2.5  协调有关部门做好现场保卫、消防、垃圾处理等工作，并承担相应费用。</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第3条  乙方工作</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3.1  参加甲方组织的施工图纸或作法说明的现场交底，拟定施工方案和进度计划，交甲方审定。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w:t>
      </w:r>
      <w:r>
        <w:rPr>
          <w:rFonts w:hint="eastAsia" w:cs="Times New Roman"/>
          <w:color w:val="000000"/>
          <w:highlight w:val="none"/>
          <w:lang w:val="en-US" w:eastAsia="zh-CN" w:bidi="ar"/>
        </w:rPr>
        <w:t xml:space="preserve">项目负责人</w:t>
      </w:r>
      <w:r>
        <w:rPr>
          <w:rFonts w:hint="eastAsia" w:cs="Times New Roman"/>
          <w:color w:val="000000"/>
          <w:highlight w:val="none"/>
          <w:lang w:bidi="ar"/>
        </w:rPr>
        <w:t xml:space="preserve">，</w:t>
      </w:r>
      <w:r>
        <w:rPr>
          <w:rFonts w:hint="eastAsia" w:cs="Times New Roman"/>
          <w:color w:val="000000"/>
          <w:highlight w:val="none"/>
          <w:lang w:bidi="ar"/>
        </w:rPr>
        <w:t xml:space="preserve">派驻</w:t>
      </w:r>
      <w:r>
        <w:rPr>
          <w:rFonts w:hint="eastAsia" w:cs="Times New Roman"/>
          <w:color w:val="000000"/>
          <w:highlight w:val="none"/>
          <w:u w:val="single"/>
          <w:lang w:bidi="ar"/>
        </w:rPr>
        <w:t xml:space="preserve">   </w:t>
      </w:r>
      <w:r>
        <w:rPr>
          <w:rFonts w:hint="eastAsia" w:cs="Times New Roman"/>
          <w:color w:val="000000"/>
          <w:highlight w:val="none"/>
          <w:u w:val="single"/>
          <w:lang w:val="en-US" w:eastAsia="zh-CN" w:bidi="ar"/>
        </w:rPr>
        <w:t xml:space="preserve">  </w:t>
      </w:r>
      <w:r>
        <w:rPr>
          <w:rFonts w:hint="eastAsia" w:cs="Times New Roman"/>
          <w:color w:val="000000"/>
          <w:highlight w:val="none"/>
          <w:u w:val="single"/>
          <w:lang w:bidi="ar"/>
        </w:rPr>
        <w:t xml:space="preserve">  </w:t>
      </w:r>
      <w:r>
        <w:rPr>
          <w:rFonts w:hint="eastAsia" w:cs="Times New Roman"/>
          <w:color w:val="000000"/>
          <w:highlight w:val="none"/>
          <w:lang w:bidi="ar"/>
        </w:rPr>
        <w:t xml:space="preserve">为现场项目经理，并根据投标文件响应人员表（附表1）设置专职管理人员。</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乙方应在施工前完成</w:t>
      </w:r>
      <w:r>
        <w:rPr>
          <w:rFonts w:cs="Times New Roman"/>
          <w:color w:val="000000"/>
          <w:highlight w:val="none"/>
          <w:lang w:bidi="ar"/>
        </w:rPr>
        <w:t xml:space="preserve">施工样板制作，经</w:t>
      </w:r>
      <w:r>
        <w:rPr>
          <w:rFonts w:hint="eastAsia" w:cs="Times New Roman"/>
          <w:color w:val="000000"/>
          <w:highlight w:val="none"/>
          <w:lang w:bidi="ar"/>
        </w:rPr>
        <w:t xml:space="preserve">甲方</w:t>
      </w:r>
      <w:r>
        <w:rPr>
          <w:rFonts w:cs="Times New Roman"/>
          <w:color w:val="000000"/>
          <w:highlight w:val="none"/>
          <w:lang w:bidi="ar"/>
        </w:rPr>
        <w:t xml:space="preserve">、监理确认后方可展开大面积施工</w:t>
      </w:r>
      <w:r>
        <w:rPr>
          <w:rFonts w:hint="eastAsia" w:cs="Times New Roman"/>
          <w:color w:val="000000"/>
          <w:highlight w:val="none"/>
          <w:lang w:bidi="ar"/>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4</w:t>
      </w:r>
      <w:r>
        <w:rPr>
          <w:rFonts w:hint="eastAsia" w:cs="Times New Roman"/>
          <w:color w:val="000000"/>
          <w:highlight w:val="none"/>
          <w:lang w:bidi="ar"/>
        </w:rPr>
        <w:t xml:space="preserve">  严格按照响应文件所列施工工艺方案组织施工。</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5</w:t>
      </w:r>
      <w:r>
        <w:rPr>
          <w:rFonts w:hint="eastAsia" w:cs="Times New Roman"/>
          <w:color w:val="000000"/>
          <w:highlight w:val="none"/>
          <w:lang w:bidi="ar"/>
        </w:rPr>
        <w:t xml:space="preserve">  乙方</w:t>
      </w:r>
      <w:r>
        <w:rPr>
          <w:rFonts w:cs="Times New Roman"/>
          <w:color w:val="000000"/>
          <w:highlight w:val="none"/>
          <w:lang w:bidi="ar"/>
        </w:rPr>
        <w:t xml:space="preserve">应制定专项安全施工方案，包括：高处作业、吊装作业、焊接作业安全措施；施工现场防火、防触电、防坠落措施；临时用电、用水安全管理；危险源识别与控制措施。</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6</w:t>
      </w:r>
      <w:r>
        <w:rPr>
          <w:rFonts w:hint="eastAsia" w:cs="Times New Roman"/>
          <w:color w:val="000000"/>
          <w:highlight w:val="none"/>
          <w:lang w:bidi="ar"/>
        </w:rPr>
        <w:t xml:space="preserve">  乙方</w:t>
      </w:r>
      <w:r>
        <w:rPr>
          <w:rFonts w:cs="Times New Roman"/>
          <w:color w:val="000000"/>
          <w:highlight w:val="none"/>
          <w:lang w:bidi="ar"/>
        </w:rPr>
        <w:t xml:space="preserve">应制定并实施施工扬尘、噪音控制措施，确保施工场界噪声昼间≤65dB、夜间≤55dB。施工垃圾应分类堆放、及时清运，车辆运输应采取覆盖措施，防止抛洒滴漏。严禁在施工现场焚烧废弃物。</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7</w:t>
      </w:r>
      <w:r>
        <w:rPr>
          <w:rFonts w:hint="eastAsia" w:cs="Times New Roman"/>
          <w:color w:val="000000"/>
          <w:highlight w:val="none"/>
          <w:lang w:bidi="ar"/>
        </w:rPr>
        <w:t xml:space="preserve">　严格执行施工规范、安全操作规程、防火安全规定。严格按照图纸或作法说明进行施工，做好各项质量检查记录。参加竣工验收，编制工程结算。</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8</w:t>
      </w:r>
      <w:r>
        <w:rPr>
          <w:rFonts w:hint="eastAsia" w:cs="Times New Roman"/>
          <w:color w:val="000000"/>
          <w:highlight w:val="none"/>
          <w:lang w:bidi="ar"/>
        </w:rPr>
        <w:t xml:space="preserve">  服从甲方、监理方合理合法管理，按甲方监理方要求，配合监理方做好施工进度、施工质量监管及材料进场验收（不限于以上内容）等一切与施工有关的监管工作。</w:t>
      </w:r>
      <w:r>
        <w:rPr>
          <w:rFonts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w:t>
      </w:r>
      <w:r>
        <w:rPr>
          <w:rFonts w:hint="eastAsia" w:cs="Times New Roman"/>
          <w:color w:val="000000"/>
          <w:highlight w:val="none"/>
          <w:lang w:val="en-US" w:eastAsia="zh-CN" w:bidi="ar"/>
        </w:rPr>
        <w:t xml:space="preserve">9</w:t>
      </w:r>
      <w:r>
        <w:rPr>
          <w:rFonts w:hint="eastAsia" w:cs="Times New Roman"/>
          <w:color w:val="000000"/>
          <w:highlight w:val="none"/>
          <w:lang w:bidi="ar"/>
        </w:rPr>
        <w:t xml:space="preserve">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0</w:t>
      </w:r>
      <w:r>
        <w:rPr>
          <w:rFonts w:hint="eastAsia" w:cs="Times New Roman"/>
          <w:color w:val="000000"/>
          <w:highlight w:val="none"/>
          <w:lang w:bidi="ar"/>
        </w:rPr>
        <w:t xml:space="preserve"> 施工中未经甲方同意或有关部门批准，不得随便拆改原建筑物结构及各种设备管线。</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1</w:t>
      </w:r>
      <w:r>
        <w:rPr>
          <w:rFonts w:hint="eastAsia" w:cs="Times New Roman"/>
          <w:color w:val="000000"/>
          <w:highlight w:val="none"/>
          <w:lang w:bidi="ar"/>
        </w:rPr>
        <w:t xml:space="preserve"> 工程竣工未移交甲方之前，负责对现场的一切设施和工程成品进行保护。</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2</w:t>
      </w:r>
      <w:r>
        <w:rPr>
          <w:rFonts w:hint="eastAsia" w:cs="Times New Roman"/>
          <w:color w:val="000000"/>
          <w:highlight w:val="none"/>
          <w:lang w:bidi="ar"/>
        </w:rPr>
        <w:t xml:space="preserve">  乙方负责施工期间及竣工前的成品保护工作，防止污染、损坏。</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cs="Times New Roman"/>
          <w:color w:val="000000"/>
          <w:highlight w:val="none"/>
          <w:lang w:bidi="ar"/>
        </w:rPr>
      </w:pPr>
      <w:r>
        <w:rPr>
          <w:rFonts w:hint="eastAsia" w:cs="Times New Roman"/>
          <w:color w:val="000000"/>
          <w:highlight w:val="none"/>
          <w:lang w:bidi="ar"/>
        </w:rPr>
        <w:t xml:space="preserve">3.1</w:t>
      </w:r>
      <w:r>
        <w:rPr>
          <w:rFonts w:hint="eastAsia" w:cs="Times New Roman"/>
          <w:color w:val="000000"/>
          <w:highlight w:val="none"/>
          <w:lang w:val="en-US" w:eastAsia="zh-CN" w:bidi="ar"/>
        </w:rPr>
        <w:t xml:space="preserve">3</w:t>
      </w:r>
      <w:r>
        <w:rPr>
          <w:rFonts w:hint="eastAsia" w:cs="Times New Roman"/>
          <w:color w:val="000000"/>
          <w:highlight w:val="none"/>
          <w:lang w:bidi="ar"/>
        </w:rPr>
        <w:t xml:space="preserve">  </w:t>
      </w:r>
      <w:r>
        <w:rPr>
          <w:rFonts w:cs="Times New Roman"/>
          <w:color w:val="000000"/>
          <w:highlight w:val="none"/>
          <w:lang w:bidi="ar"/>
        </w:rPr>
        <w:t xml:space="preserve">工程竣工前，</w:t>
      </w:r>
      <w:r>
        <w:rPr>
          <w:rFonts w:hint="eastAsia" w:cs="Times New Roman"/>
          <w:color w:val="000000"/>
          <w:highlight w:val="none"/>
          <w:lang w:bidi="ar"/>
        </w:rPr>
        <w:t xml:space="preserve">乙方</w:t>
      </w:r>
      <w:r>
        <w:rPr>
          <w:rFonts w:cs="Times New Roman"/>
          <w:color w:val="000000"/>
          <w:highlight w:val="none"/>
          <w:lang w:bidi="ar"/>
        </w:rPr>
        <w:t xml:space="preserve">应负责全面清洁工作，确保现场整洁、无施工垃圾。</w:t>
      </w:r>
      <w:r>
        <w:rPr>
          <w:rFonts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第4条  关于工期的约定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4.1  </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应根据施工进度计划，合理划分施工区域，组织平行流水施工，确保工期目标实现</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4.2  甲方要求比合同约定的工期提前竣工时，应征得乙方同意，并支付乙方因赶工采取的措施费用。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4.3  因甲方原因导致工期延误：重大设计变更影响施工进度，或者恶劣天气比如地震、冰雹、洪水、台风等不可抗力，或者有政府发文的大气管控文件，此类情况必须在发现后七天内办理签证，逾期不予认可。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4.4  因乙方责任，不能按期开工或中途无故停工，影响工期，工期不得顺延。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4.5  因设计变更或非乙方原因造成的停电、停水、停气及不可抗力因素，导致停工8小时以上（一周内累计计算），工期相应顺延。</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第5条  关于工程质量及验收的约定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5.1  本工程以施工图纸、作法说明、设计变更和《建筑工程施工质量验收统一标准》（GB50300——2013）等国家制订的施工及验收规范为质量评定验收标准。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5.2  本工程质量应达到国家质量评定</w:t>
      </w:r>
      <w:r>
        <w:rPr>
          <w:rFonts w:hint="eastAsia" w:cs="Times New Roman"/>
          <w:color w:val="000000"/>
          <w:highlight w:val="none"/>
          <w:u w:val="single"/>
          <w:lang w:bidi="ar"/>
        </w:rPr>
        <w:t xml:space="preserve">  </w:t>
      </w:r>
      <w:r>
        <w:rPr>
          <w:rFonts w:hint="eastAsia"/>
          <w:color w:val="000000"/>
          <w:highlight w:val="none"/>
        </w:rPr>
        <w:t xml:space="preserve">符合国家相关质量标准，一次性验收合格</w:t>
      </w:r>
      <w:r>
        <w:rPr>
          <w:rFonts w:hint="eastAsia" w:cs="Times New Roman"/>
          <w:color w:val="000000"/>
          <w:highlight w:val="none"/>
          <w:u w:val="single"/>
          <w:lang w:bidi="ar"/>
        </w:rPr>
        <w:t xml:space="preserve">   </w:t>
      </w:r>
      <w:r>
        <w:rPr>
          <w:rFonts w:hint="eastAsia" w:cs="Times New Roman"/>
          <w:color w:val="000000"/>
          <w:highlight w:val="none"/>
          <w:lang w:bidi="ar"/>
        </w:rPr>
        <w:t xml:space="preserve">标准。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工期不予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5.4  乙方负责采购的材料，应严格按谈判文件要求采购,并提供产品合格证明,对材料质量负责。乙方采购的材料在使用前,应按照甲方或监理的要求进行检验或试验,不合格的不得使用。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5.5  由于甲方提供的材料、设备质量不合格而影响工程质量，其返工费用由甲方承担，工期顺延。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5.6  由于乙方原因造成质量事故，其损失及费用由乙方承担，工期不顺延。</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5.7  工程竣工后，乙方应通知甲方验收，甲方自接到验收通知</w:t>
      </w:r>
      <w:r>
        <w:rPr>
          <w:rFonts w:hint="eastAsia" w:cs="Times New Roman"/>
          <w:color w:val="000000"/>
          <w:highlight w:val="none"/>
          <w:u w:val="single"/>
          <w:lang w:bidi="ar"/>
        </w:rPr>
        <w:t xml:space="preserve">  7  </w:t>
      </w:r>
      <w:r>
        <w:rPr>
          <w:rFonts w:hint="eastAsia" w:cs="Times New Roman"/>
          <w:color w:val="000000"/>
          <w:highlight w:val="none"/>
          <w:lang w:bidi="ar"/>
        </w:rPr>
        <w:t xml:space="preserve">日内组织验收，并办理验收、移交手续。如甲方在规定时间内未能组织验收，需及时通知乙方，另定验收日期。但甲方应承认竣工日期，并承担乙方的看管费用和相关费用。</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第6条  关于工程价款及结算的约定</w:t>
      </w:r>
      <w:r>
        <w:rPr>
          <w:rFonts w:hint="eastAsia" w:cs="Times New Roman"/>
          <w:color w:val="000000"/>
          <w:highlight w:val="none"/>
          <w:lang w:bidi="ar"/>
        </w:rPr>
        <w:tab/>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6.1  双方商定本合同价款采用第</w:t>
      </w:r>
      <w:r>
        <w:rPr>
          <w:rFonts w:hint="eastAsia" w:cs="Times New Roman"/>
          <w:color w:val="000000"/>
          <w:highlight w:val="none"/>
          <w:u w:val="single"/>
          <w:lang w:bidi="ar"/>
        </w:rPr>
        <w:t xml:space="preserve"> （1）  </w:t>
      </w:r>
      <w:r>
        <w:rPr>
          <w:rFonts w:hint="eastAsia" w:cs="Times New Roman"/>
          <w:color w:val="000000"/>
          <w:highlight w:val="none"/>
          <w:lang w:bidi="ar"/>
        </w:rPr>
        <w:t xml:space="preserve">种：</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(1)固定综合单价</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(2)固定价格加</w:t>
      </w:r>
      <w:r>
        <w:rPr>
          <w:rFonts w:hint="eastAsia" w:cs="Times New Roman"/>
          <w:color w:val="000000"/>
          <w:highlight w:val="none"/>
          <w:u w:val="single"/>
          <w:lang w:bidi="ar"/>
        </w:rPr>
        <w:t xml:space="preserve">   </w:t>
      </w:r>
      <w:r>
        <w:rPr>
          <w:rFonts w:hint="eastAsia" w:cs="Times New Roman"/>
          <w:color w:val="000000"/>
          <w:highlight w:val="none"/>
          <w:lang w:bidi="ar"/>
        </w:rPr>
        <w:t xml:space="preserve">%包干风险系数计算。包干风险包括</w:t>
      </w:r>
      <w:r>
        <w:rPr>
          <w:rFonts w:hint="eastAsia" w:cs="Times New Roman"/>
          <w:color w:val="000000"/>
          <w:highlight w:val="none"/>
          <w:u w:val="single"/>
          <w:lang w:bidi="ar"/>
        </w:rPr>
        <w:t xml:space="preserve">                 </w:t>
      </w:r>
      <w:r>
        <w:rPr>
          <w:rFonts w:hint="eastAsia" w:cs="Times New Roman"/>
          <w:color w:val="000000"/>
          <w:highlight w:val="none"/>
          <w:lang w:bidi="ar"/>
        </w:rPr>
        <w:t xml:space="preserve">内容。</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(3)可调价格。按照国家有关工程计价规定计算造价，并按有关规定进行调整和竣工结算。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6.2  本合同生效后，按以下约定支付工程款：</w:t>
      </w:r>
      <w:r>
        <w:rPr>
          <w:color w:val="000000"/>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合同签订前，中标人需按照中标价的3%支付履约保证金，履约保证金在项目竣工验收合格后自动转为质量保修金。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合同签订7日内支付至合同价款（扣除暂列金额）的30%为预付工程款；</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工程竣工验收合格且经结算审核后60天内支付到结算审核金额的80%；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工程结算经审计部门结算审计后付至审定价的100%； </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质量保修金在五年防水保修期满后十四天内付清（质量保修金在质保期内无利息）。</w:t>
      </w:r>
      <w:r>
        <w:rPr>
          <w:rFonts w:hint="eastAsia" w:ascii="宋体" w:hAnsi="宋体" w:cs="宋体"/>
          <w:b/>
          <w:color w:val="000000"/>
          <w:sz w:val="24"/>
          <w:highlight w:val="none"/>
        </w:rPr>
      </w:r>
      <w:r/>
    </w:p>
    <w:p>
      <w:pPr>
        <w:pStyle w:val="1041"/>
        <w:numPr>
          <w:ilvl w:val="0"/>
          <w:numId w:val="19"/>
        </w:numPr>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中标供应商在合同约定付款前开具完善的对应专票，采购人按照（财办库【2023】243号文自收到发票后10个工作日内将资金支付到合同约定的供应商账户。</w:t>
      </w:r>
      <w:r>
        <w:rPr>
          <w:rFonts w:hint="eastAsia" w:ascii="宋体" w:hAnsi="宋体" w:cs="宋体"/>
          <w:b/>
          <w:color w:val="000000"/>
          <w:sz w:val="24"/>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6.3  乙方应在签订合同前交纳履约保证金（合同价的3%，即</w:t>
      </w:r>
      <w:r>
        <w:rPr>
          <w:rFonts w:hint="eastAsia" w:cs="Times New Roman"/>
          <w:color w:val="000000"/>
          <w:highlight w:val="none"/>
          <w:u w:val="single"/>
          <w:lang w:bidi="ar"/>
        </w:rPr>
        <w:t xml:space="preserve">     </w:t>
      </w:r>
      <w:r>
        <w:rPr>
          <w:rFonts w:hint="eastAsia" w:cs="Times New Roman"/>
          <w:color w:val="000000"/>
          <w:highlight w:val="none"/>
          <w:lang w:bidi="ar"/>
        </w:rPr>
        <w:t xml:space="preserve">元，大写：</w:t>
      </w:r>
      <w:r>
        <w:rPr>
          <w:rFonts w:hint="eastAsia" w:cs="Times New Roman"/>
          <w:color w:val="000000"/>
          <w:highlight w:val="none"/>
          <w:u w:val="single"/>
          <w:lang w:bidi="ar"/>
        </w:rPr>
        <w:t xml:space="preserve">   </w:t>
      </w:r>
      <w:r>
        <w:rPr>
          <w:rFonts w:hint="eastAsia" w:cs="Times New Roman"/>
          <w:color w:val="000000"/>
          <w:highlight w:val="none"/>
          <w:lang w:bidi="ar"/>
        </w:rPr>
        <w:t xml:space="preserve">）至甲方，履约保证金将在竣工验收合格后转化为质保金，质保金在质保期满后14日内退返乙方（不计息）。</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6.4  工程竣工验收后，乙方必须在60天内提出工程结算并将有关资料（纸质版和电子版，</w:t>
      </w:r>
      <w:r>
        <w:rPr>
          <w:rFonts w:hint="eastAsia" w:cs="Times New Roman"/>
          <w:color w:val="000000"/>
          <w:highlight w:val="none"/>
          <w:lang w:bidi="ar"/>
        </w:rPr>
        <w:t xml:space="preserve">包括但不限于竣工图、变更签证、材料价格确认单等</w:t>
      </w:r>
      <w:r>
        <w:rPr>
          <w:rFonts w:hint="eastAsia" w:cs="Times New Roman"/>
          <w:color w:val="000000"/>
          <w:highlight w:val="none"/>
          <w:lang w:bidi="ar"/>
        </w:rPr>
        <w:t xml:space="preserve">）送交甲方。超出时限未提交结算资料的，</w:t>
      </w:r>
      <w:r>
        <w:rPr>
          <w:rFonts w:hint="eastAsia" w:cs="Times New Roman"/>
          <w:color w:val="000000"/>
          <w:highlight w:val="none"/>
          <w:lang w:bidi="ar"/>
        </w:rPr>
        <w:t xml:space="preserve">每逾期一日，应向甲方支付合同暂定总价</w:t>
      </w:r>
      <w:r>
        <w:rPr>
          <w:rFonts w:hint="eastAsia" w:cs="Times New Roman"/>
          <w:color w:val="000000"/>
          <w:highlight w:val="none"/>
          <w:u w:val="single"/>
          <w:lang w:bidi="ar"/>
        </w:rPr>
        <w:t xml:space="preserve">1‰</w:t>
      </w:r>
      <w:r>
        <w:rPr>
          <w:rFonts w:hint="eastAsia" w:cs="Times New Roman"/>
          <w:color w:val="000000"/>
          <w:highlight w:val="none"/>
          <w:lang w:bidi="ar"/>
        </w:rPr>
        <w:t xml:space="preserve">的违约金。</w:t>
      </w:r>
      <w:r>
        <w:rPr>
          <w:rFonts w:hint="eastAsia" w:cs="Times New Roman"/>
          <w:color w:val="000000"/>
          <w:highlight w:val="none"/>
          <w:lang w:bidi="ar"/>
        </w:rPr>
        <w:t xml:space="preserve">甲方有权向乙方发出书面催告函，要求在7日内提交，催告期满仍未提交的，甲方有权依据已有资料进行单方审计结算，</w:t>
      </w:r>
      <w:r>
        <w:rPr>
          <w:rFonts w:hint="eastAsia" w:cs="Times New Roman"/>
          <w:color w:val="000000"/>
          <w:highlight w:val="none"/>
          <w:lang w:bidi="ar"/>
        </w:rPr>
        <w:t xml:space="preserve">该审计结果对乙方具有约束力</w:t>
      </w:r>
      <w:r>
        <w:rPr>
          <w:rFonts w:hint="eastAsia" w:cs="Times New Roman"/>
          <w:color w:val="000000"/>
          <w:highlight w:val="none"/>
          <w:lang w:bidi="ar"/>
        </w:rPr>
        <w:t xml:space="preserve">。甲方在收到乙方送审结算资料两个月内完成结算审核，之后启动工程结算审计流程；并于30日内由审计单位接手开始结算审计工作，审计单位开具的《审定单》经乙方确认后作为最终决算的依据。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6.5  本工程数量按实结算，最终以审计数量为准。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6.6  工程变更由发包人、监理现场签证，经有权审计部门审定的数量结算，结算方法如下：</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（1）响应文件中已有适用于变更工程的综合单价，按响应文件已有的综合单价结算；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（2）响应文件中有类似于变更工程的综合单价，按响应文件中已有的类似的综合单价作相应调整后结算；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响应文件中无类似综合单价，结算原则为：由承包人依据《建设工程工程量清单计价规范》（GB50500-2013）、《江苏省建筑与装饰工程计价定额》（2014年）《江苏省房屋修缮工程计价表》（2010年）、《江苏省安装工程计价定额》（2014年）、《江苏省建设工程费用定额》（2014年）营改增后调整内容、常建（2016）94号文关于转发《省住房城乡建设厅关于建筑业实施营改增后江苏省</w:t>
      </w:r>
      <w:r>
        <w:rPr>
          <w:rFonts w:hint="eastAsia" w:cs="Times New Roman"/>
          <w:color w:val="000000"/>
          <w:highlight w:val="none"/>
          <w:lang w:bidi="ar"/>
        </w:rPr>
        <w:t xml:space="preserve">建设工程计价依据调整的通知》的通知、苏建函价〔2018〕298号《省住房城乡建设厅关于建筑业增值税计价政策调整的通知》、常建[2019]1号关于贯彻《省住房城乡建设厅关于调整建设工程按质论价等费用计取方法的公告》的通知、苏建函价〔2019〕178号《省住房城乡建设厅关于调整建设工程计价增值税税率的通知》、《省住房城乡建设厅关于建筑工人实名制费用计取方法的公告》〔2019〕第19号、施工方响应文件所报的人工、材料、机械价格、取费费率并参考投标条件编制综合单价及分析，经监理、招标人及审计部门审定后作为结算依据。</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6.7  材料价格波动风险分担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（1）适用范围：本条款适用于本项目主要材料，具体清单详见附件《适用价格波动风险分担的主要材料表》。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（2）价格基准：以合同签订之日前28天常州市工程造价管理部门发布的同期信息指导价为基准价格。</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（3）价格波动计算期：价格波动的计算期间为工程实际施工期间，具体以材料进场日期为准。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（4）波动幅度阈值：当施工期间前述材料的信息价与基准价相比，涨跌幅度超过±10%时，启动价格调整，超出±10%部分的价差，由双方按以下比例承担：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建设单位（甲方）承担40%；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施工单位（乙方）承担60%。</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（5）乙方应在材料进场后7日内，向甲方提交书面申请单，并附证明材料。甲方在收到申请后14日内完成审核，双方就调整金额达成一致。经审核确认的价差调整，在竣工结算时一并处理。</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（6）因乙方原因导致工期延误期间的物价上涨风险，由乙方自行承担。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6.8  项目竣工结算审计后，按下列规定支付审计费用：</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工程核减率在5%以上时，其结算审核、结算审计费用全部由施工单位承担；工程核减率在5%（含）以下时，其结算审核、结算审计费用全部由学校承担。</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计算方式：核减率=全部审计核减额/施工单位申报的结算金额(全部审计核减额=结算审核核减金额+结算审计核减金额)</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特别约定：若审计过程中发现乙方存在虚报工程量、高套单价、重复计价等不实申报行为，无论审减率是否超过5%，乙方均应承担由此给甲方造成的全部损失（包括但不限于额外的审计费、律师费），且甲方可视情节轻重，要求乙方支付送审金额5%的违约金。</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6.9  工程变更与现场签证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甲方拥有对本工程设计、施工方案、材料设备等的变更权。任何变更，均须由甲方或监理方出具正式的《设计变更通知单》或《工程联系单》，乙方不得擅自进行变更施工。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程序：（1）乙方认为需要变更时，必须提前5日向甲方和监理方提交书面《工程变更申请报告》，详细说明变更原因、内容、预估工程量及对工期、造价的影响。未经甲方书面批准，乙方不得实施任何变更工作，否则该部分工程量不予计量，费用由乙方自行承担，且工期不予顺延。（2）对于甲方提出的变更，乙方应在收到变更指令后3日内提交变更费用及工期影响报价。甲方应在14日内审核确认。在双方就变更价款达成书面协议前，乙方有权暂不执行该变更（影响安全的紧急情况除外）。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变更计价原则：（1）严格遵循第6.6条顺序。特别是第（3）款“无类似综合单价”的情况，乙方报价的人工、材料、机械单价不得高于其响应文件《分项报价表》中载明的价格，取费费率不得高于其投标费率。 （2）对于变更减少的项目，应按乙方投标报价中的综合单价扣减。 （3）所有变更费用，应先使用合同暂列金额（50,000元）支付。暂列金额用尽后，新增变更需报甲方另行审批。 </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签证管理：所有涉及费用和工期调整的现场签证（如第4.3条不可抗力等），必须由乙方、监理、甲方现场代表三方当场共同签字确认，并附影像资料。事后补签的签证单无效。</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第7条  关于材料供应的约定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7.1  本工程甲方负责采购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hint="eastAsia" w:cs="Times New Roman"/>
          <w:color w:val="000000"/>
          <w:highlight w:val="none"/>
          <w:u w:val="single"/>
          <w:lang w:bidi="ar"/>
        </w:rPr>
        <w:t xml:space="preserve">  2  </w:t>
      </w:r>
      <w:r>
        <w:rPr>
          <w:rFonts w:hint="eastAsia" w:cs="Times New Roman"/>
          <w:color w:val="000000"/>
          <w:highlight w:val="none"/>
          <w:lang w:bidi="ar"/>
        </w:rPr>
        <w:t xml:space="preserve">%的保管费。由于乙方保管不当造成损失，由乙方负责赔偿。</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7.2  凡由乙方采购的材料、设备，如不符合质量要求或规格差异，应禁止使用。若已使用，对工程造成的损失由乙方负责。</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第8条  有关安全生产和防火的约定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8.1  甲方提供的施工图纸或作法说明，应符合《中华人民共和国消防条例》和有关防火设计规范。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8.2  乙方在施工期间应严格遵守《建筑安装工程安全技术规程》、《建筑安装工人安全操作规程》、《中华人民共和国消防条例》和其他相关的法规、规范。</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8.3  由于甲方确认的图纸或作法说明，违反有关安全操作规程、消防条例和防火设计规范，导致发生安全或火灾事故，甲方应承担由此产生的一切经济损失。</w:t>
      </w:r>
      <w:r>
        <w:rPr>
          <w:color w:val="000000"/>
          <w:highlight w:val="none"/>
        </w:rPr>
      </w:r>
      <w:r/>
    </w:p>
    <w:p>
      <w:pPr>
        <w:pStyle w:val="1104"/>
        <w:ind w:left="239" w:firstLine="307"/>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8.4  由于乙方在施工生产过程中违反有关安全操作规程、消防条例，导致发生安全或火灾事故，乙方应承担由此引发的一切经济损失。</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第9条  奖励和违约责任</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9.1  施工过程中未经甲方批准，擅自使用品牌、规格、技术参数等与谈判文件规定不相符的材料，该材料所涉及的分项目将不予结算；甲方将对乙方采购使用的材料进行抽检，如检验结果不符合谈判文件要求，将处以不合格材料总价</w:t>
      </w:r>
      <w:r>
        <w:rPr>
          <w:rFonts w:hint="eastAsia" w:cs="Times New Roman"/>
          <w:color w:val="000000"/>
          <w:highlight w:val="none"/>
          <w:u w:val="single"/>
          <w:lang w:bidi="ar"/>
        </w:rPr>
        <w:t xml:space="preserve">　1　</w:t>
      </w:r>
      <w:r>
        <w:rPr>
          <w:rFonts w:hint="eastAsia" w:cs="Times New Roman"/>
          <w:color w:val="000000"/>
          <w:highlight w:val="none"/>
          <w:lang w:bidi="ar"/>
        </w:rPr>
        <w:t xml:space="preserve">倍的罚金。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9.2  由于甲方原因导致延期开工或中途停工，工期顺延。甲方不按合同的约定拨付款，每拖期一天，按付款额的</w:t>
      </w:r>
      <w:r>
        <w:rPr>
          <w:rFonts w:hint="eastAsia" w:cs="Times New Roman"/>
          <w:color w:val="000000"/>
          <w:highlight w:val="none"/>
          <w:u w:val="single"/>
          <w:lang w:bidi="ar"/>
        </w:rPr>
        <w:t xml:space="preserve">  1 </w:t>
      </w:r>
      <w:r>
        <w:rPr>
          <w:rFonts w:hint="eastAsia" w:cs="Times New Roman"/>
          <w:color w:val="000000"/>
          <w:highlight w:val="none"/>
          <w:lang w:bidi="ar"/>
        </w:rPr>
        <w:t xml:space="preserve">%支付滞纳金。</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9.3  由于乙方原因，逾期竣工，每逾期一天，乙方支付甲方</w:t>
      </w:r>
      <w:r>
        <w:rPr>
          <w:rFonts w:hint="eastAsia" w:cs="Times New Roman"/>
          <w:color w:val="000000"/>
          <w:highlight w:val="none"/>
          <w:u w:val="single"/>
          <w:lang w:bidi="ar"/>
        </w:rPr>
        <w:t xml:space="preserve">合同价0.2‰</w:t>
      </w:r>
      <w:r>
        <w:rPr>
          <w:rFonts w:hint="eastAsia" w:cs="Times New Roman"/>
          <w:color w:val="000000"/>
          <w:highlight w:val="none"/>
          <w:lang w:bidi="ar"/>
        </w:rPr>
        <w:t xml:space="preserve">的滞纳金。</w:t>
      </w:r>
      <w:r>
        <w:rPr>
          <w:rFonts w:hint="eastAsia" w:cs="Times New Roman"/>
          <w:color w:val="000000"/>
          <w:highlight w:val="none"/>
          <w:lang w:bidi="ar"/>
        </w:rPr>
        <w:t xml:space="preserve">逾期超过30日的，甲方有权单方解除合同。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9.4  乙方按照甲方要求，全部或部分工程项目达到优良标准时，甲方支付乙方</w:t>
      </w:r>
      <w:r>
        <w:rPr>
          <w:rFonts w:hint="eastAsia" w:cs="Times New Roman"/>
          <w:color w:val="000000"/>
          <w:highlight w:val="none"/>
          <w:u w:val="single"/>
          <w:lang w:bidi="ar"/>
        </w:rPr>
        <w:t xml:space="preserve"> /  </w:t>
      </w:r>
      <w:r>
        <w:rPr>
          <w:rFonts w:hint="eastAsia" w:cs="Times New Roman"/>
          <w:color w:val="000000"/>
          <w:highlight w:val="none"/>
          <w:lang w:bidi="ar"/>
        </w:rPr>
        <w:t xml:space="preserve">元，作为奖励。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9.5  甲方未办理任何手续，擅自同意拆改原有建筑物结构或设备管线，由此发生的损失或事故（包括罚款），由甲方负责并承担损失。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9.6  未经甲方同意，乙方擅自拆改原建筑物结构或设备管线，由此发生的损失或事故（包括罚款），由乙方负责并承担损失。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9.7  未办理验收手续，甲方提前使用或擅自动用，视同验收通过造成损失由甲方负责。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9.8  因一方原因，合同无法继续履行时，应通知对方，办理合同终止协议，并由责任方赔偿对方由此造成的经济损失。</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9.9  除不可抗力或者甲方原因，乙方如未能在竣工截止日期前完成合同内容，甲方有权对延期交付使用造成的经济损失向乙方索赔。</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9.10 若在施工或结算过程中，甲方或审计单位发现乙方存在为获取变更而故意诱导设计缺陷、隐瞒不报、虚报瞒报工程量或价格、提交虚假签证资料等不诚信行为，甲方有权要求乙方按该部分虚报金额的2倍支付违约金，并有权单方解除合同。</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第10条  争议的解决方式</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因履行本合同发生争议协商解决不成的提交</w:t>
      </w:r>
      <w:r>
        <w:rPr>
          <w:rFonts w:hint="eastAsia" w:cs="Times New Roman"/>
          <w:b/>
          <w:bCs/>
          <w:color w:val="000000"/>
          <w:highlight w:val="none"/>
          <w:lang w:bidi="ar"/>
        </w:rPr>
        <w:t xml:space="preserve">常州仲裁委员会仲裁</w:t>
      </w:r>
      <w:r>
        <w:rPr>
          <w:rFonts w:hint="eastAsia" w:cs="Times New Roman"/>
          <w:color w:val="000000"/>
          <w:highlight w:val="none"/>
          <w:lang w:bidi="ar"/>
        </w:rPr>
        <w:t xml:space="preserve">。</w:t>
      </w:r>
      <w:r>
        <w:rPr>
          <w:color w:val="000000"/>
          <w:highlight w:val="none"/>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第11条  其它约定:</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11.1  工程结算审计工作由甲方负责实施；如发生重大变更事项及超采购预算时，必须经甲方批准后方可实施。工程结算审定价超预算部分如无正常合法手续的，概不支付、结算。</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11.2  工程施工管理、竣工验收工作由甲方负责组织实施。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11.3  乙方必须注意确保安全生产、文明施工；如发生违法乱纪及人身伤亡等事故，一切责任均由乙方负责。</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11.4  补充图纸和指示：甲方有权向乙方发出任何图纸变更或指令，乙方应无条件遵照执行。其他未尽事宜详见招标、响应文件。</w:t>
      </w:r>
      <w:r>
        <w:rPr>
          <w:rFonts w:hint="eastAsia" w:cs="Times New Roman"/>
          <w:color w:val="000000"/>
          <w:highlight w:val="none"/>
          <w:lang w:bidi="ar"/>
        </w:rPr>
      </w:r>
      <w:r/>
    </w:p>
    <w:p>
      <w:pPr>
        <w:pStyle w:val="1104"/>
        <w:ind w:firstLine="480"/>
        <w:jc w:val="both"/>
        <w:spacing w:before="120" w:beforeAutospacing="0" w:after="0" w:afterAutospacing="0" w:line="400" w:lineRule="exact"/>
        <w:widowControl w:val="off"/>
        <w:tabs>
          <w:tab w:val="left" w:pos="567" w:leader="none"/>
        </w:tabs>
        <w:rPr>
          <w:rFonts w:hint="eastAsia" w:cs="Times New Roman"/>
          <w:color w:val="000000"/>
          <w:highlight w:val="none"/>
          <w:lang w:bidi="ar"/>
        </w:rPr>
      </w:pPr>
      <w:r>
        <w:rPr>
          <w:rFonts w:hint="eastAsia" w:cs="Times New Roman"/>
          <w:color w:val="000000"/>
          <w:highlight w:val="none"/>
          <w:lang w:bidi="ar"/>
        </w:rPr>
        <w:t xml:space="preserve">11.5 </w:t>
      </w:r>
      <w:r>
        <w:rPr>
          <w:rFonts w:hint="eastAsia" w:ascii="Segoe UI" w:hAnsi="Segoe UI" w:cs="Segoe UI"/>
          <w:color w:val="000000"/>
          <w:highlight w:val="none"/>
          <w:shd w:val="clear" w:color="auto" w:fill="ffffff"/>
        </w:rPr>
        <w:t xml:space="preserve"> </w:t>
      </w:r>
      <w:r>
        <w:rPr>
          <w:rFonts w:ascii="Segoe UI" w:hAnsi="Segoe UI" w:eastAsia="Segoe UI" w:cs="Segoe UI"/>
          <w:color w:val="000000"/>
          <w:highlight w:val="none"/>
          <w:shd w:val="clear" w:color="auto" w:fill="ffffff"/>
        </w:rPr>
        <w:t xml:space="preserve">保修期内，</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应在接到维修通知后24小时内响应，并及时完成修复。非</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原因造成的损坏，</w:t>
      </w:r>
      <w:r>
        <w:rPr>
          <w:rFonts w:hint="eastAsia" w:ascii="Segoe UI" w:hAnsi="Segoe UI" w:cs="Segoe UI"/>
          <w:color w:val="000000"/>
          <w:highlight w:val="none"/>
          <w:shd w:val="clear" w:color="auto" w:fill="ffffff"/>
        </w:rPr>
        <w:t xml:space="preserve">乙方</w:t>
      </w:r>
      <w:r>
        <w:rPr>
          <w:rFonts w:ascii="Segoe UI" w:hAnsi="Segoe UI" w:eastAsia="Segoe UI" w:cs="Segoe UI"/>
          <w:color w:val="000000"/>
          <w:highlight w:val="none"/>
          <w:shd w:val="clear" w:color="auto" w:fill="ffffff"/>
        </w:rPr>
        <w:t xml:space="preserve">应配合处理，费用另议</w:t>
      </w:r>
      <w:r>
        <w:rPr>
          <w:rFonts w:hint="eastAsia" w:ascii="Segoe UI" w:hAnsi="Segoe UI" w:cs="Segoe UI"/>
          <w:color w:val="000000"/>
          <w:highlight w:val="none"/>
          <w:shd w:val="clear" w:color="auto" w:fill="ffffff"/>
        </w:rPr>
        <w:t xml:space="preserve">。</w:t>
      </w:r>
      <w:r>
        <w:rPr>
          <w:rFonts w:hint="eastAsia" w:cs="Times New Roman"/>
          <w:color w:val="000000"/>
          <w:highlight w:val="none"/>
          <w:lang w:bidi="ar"/>
        </w:rPr>
      </w:r>
      <w:r/>
    </w:p>
    <w:p>
      <w:pPr>
        <w:pStyle w:val="1104"/>
        <w:jc w:val="both"/>
        <w:spacing w:before="120" w:beforeAutospacing="0" w:after="0" w:afterAutospacing="0" w:line="400" w:lineRule="exact"/>
        <w:widowControl w:val="off"/>
        <w:tabs>
          <w:tab w:val="left" w:pos="567" w:leader="none"/>
          <w:tab w:val="left" w:pos="5676" w:leader="none"/>
        </w:tabs>
        <w:rPr>
          <w:color w:val="000000"/>
          <w:highlight w:val="none"/>
        </w:rPr>
      </w:pPr>
      <w:r>
        <w:rPr>
          <w:rFonts w:hint="eastAsia" w:cs="Times New Roman"/>
          <w:color w:val="000000"/>
          <w:highlight w:val="none"/>
          <w:lang w:bidi="ar"/>
        </w:rPr>
        <w:t xml:space="preserve">第12条  附则</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12.1  本合同保修期为：装修工程、电气管线等配套工程2年，屋面防水工程5年。保修方法参照国家及地方相关规定执行。</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12.2  本合同一式</w:t>
      </w:r>
      <w:r>
        <w:rPr>
          <w:rFonts w:hint="eastAsia" w:cs="Times New Roman"/>
          <w:color w:val="000000"/>
          <w:highlight w:val="none"/>
          <w:u w:val="single"/>
          <w:lang w:bidi="ar"/>
        </w:rPr>
        <w:t xml:space="preserve"> 伍 </w:t>
      </w:r>
      <w:r>
        <w:rPr>
          <w:rFonts w:hint="eastAsia" w:cs="Times New Roman"/>
          <w:color w:val="000000"/>
          <w:highlight w:val="none"/>
          <w:lang w:bidi="ar"/>
        </w:rPr>
        <w:t xml:space="preserve">份，甲方执</w:t>
      </w:r>
      <w:r>
        <w:rPr>
          <w:rFonts w:hint="eastAsia" w:cs="Times New Roman"/>
          <w:color w:val="000000"/>
          <w:highlight w:val="none"/>
          <w:u w:val="single"/>
          <w:lang w:bidi="ar"/>
        </w:rPr>
        <w:t xml:space="preserve"> 叁 </w:t>
      </w:r>
      <w:r>
        <w:rPr>
          <w:rFonts w:hint="eastAsia" w:cs="Times New Roman"/>
          <w:color w:val="000000"/>
          <w:highlight w:val="none"/>
          <w:lang w:bidi="ar"/>
        </w:rPr>
        <w:t xml:space="preserve">份，乙方执</w:t>
      </w:r>
      <w:r>
        <w:rPr>
          <w:rFonts w:hint="eastAsia" w:cs="Times New Roman"/>
          <w:color w:val="000000"/>
          <w:highlight w:val="none"/>
          <w:u w:val="single"/>
          <w:lang w:bidi="ar"/>
        </w:rPr>
        <w:t xml:space="preserve"> 贰 </w:t>
      </w:r>
      <w:r>
        <w:rPr>
          <w:rFonts w:hint="eastAsia" w:cs="Times New Roman"/>
          <w:color w:val="000000"/>
          <w:highlight w:val="none"/>
          <w:lang w:bidi="ar"/>
        </w:rPr>
        <w:t xml:space="preserve">份。</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12.3  本合同履行完成后自动终止。</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第13条 诚实信用 </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13.1  乙方应诚实信用，严格按照谈判文件要求和投标承诺履行合同，不向甲方进行商业贿赂或者提供不正当利益。</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第14条 合同生效及其他</w:t>
      </w:r>
      <w:r>
        <w:rPr>
          <w:color w:val="000000"/>
          <w:highlight w:val="none"/>
        </w:rPr>
      </w:r>
      <w:r/>
    </w:p>
    <w:p>
      <w:pPr>
        <w:pStyle w:val="1104"/>
        <w:ind w:firstLine="480"/>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14.1  本合同自经甲乙双方授权代表签订并加盖公章后，自签订之日起生效。见证方仅对甲乙双方签订采购合同的事实进行见证，不代表任何承诺或保证，该合同的履行等相关情况均与见证方无任何关系。</w:t>
      </w:r>
      <w:r>
        <w:rPr>
          <w:color w:val="000000"/>
          <w:highlight w:val="none"/>
        </w:rPr>
      </w:r>
      <w:r/>
    </w:p>
    <w:p>
      <w:pPr>
        <w:pStyle w:val="1104"/>
        <w:jc w:val="both"/>
        <w:spacing w:before="120" w:beforeAutospacing="0" w:after="0" w:afterAutospacing="0" w:line="400" w:lineRule="exact"/>
        <w:widowControl w:val="off"/>
        <w:tabs>
          <w:tab w:val="left" w:pos="567" w:leader="none"/>
        </w:tabs>
        <w:rPr>
          <w:color w:val="000000"/>
          <w:highlight w:val="none"/>
        </w:rPr>
      </w:pPr>
      <w:r>
        <w:rPr>
          <w:rFonts w:hint="eastAsia" w:cs="Times New Roman"/>
          <w:color w:val="000000"/>
          <w:highlight w:val="none"/>
          <w:lang w:bidi="ar"/>
        </w:rPr>
        <w:t xml:space="preserve">第15条  工程量报价清单详见附件2</w:t>
      </w:r>
      <w:r>
        <w:rPr>
          <w:color w:val="000000"/>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甲方：                                乙方：</w:t>
      </w:r>
      <w:r>
        <w:rPr>
          <w:rFonts w:hint="eastAsia" w:ascii="宋体" w:hAnsi="宋体" w:cs="宋体"/>
          <w:color w:val="000000"/>
          <w:sz w:val="24"/>
          <w:highlight w:val="none"/>
        </w:rPr>
      </w:r>
      <w:r/>
    </w:p>
    <w:p>
      <w:pPr>
        <w:pStyle w:val="1041"/>
        <w:ind w:left="7200" w:hanging="7200"/>
        <w:spacing w:line="360" w:lineRule="auto"/>
        <w:rPr>
          <w:rFonts w:ascii="宋体" w:hAnsi="宋体" w:cs="宋体"/>
          <w:color w:val="000000"/>
          <w:sz w:val="24"/>
          <w:highlight w:val="none"/>
          <w:u w:val="single"/>
          <w:lang w:bidi="ar"/>
        </w:rPr>
      </w:pPr>
      <w:r>
        <w:rPr>
          <w:rFonts w:hint="eastAsia" w:ascii="宋体" w:hAnsi="宋体" w:cs="宋体"/>
          <w:color w:val="000000"/>
          <w:sz w:val="24"/>
          <w:highlight w:val="none"/>
          <w:lang w:bidi="ar"/>
        </w:rPr>
        <w:t xml:space="preserve">单位名称（章）：</w:t>
      </w:r>
      <w:r>
        <w:rPr>
          <w:rFonts w:hint="eastAsia" w:ascii="宋体" w:hAnsi="宋体" w:cs="宋体"/>
          <w:color w:val="000000"/>
          <w:sz w:val="24"/>
          <w:highlight w:val="none"/>
          <w:u w:val="single"/>
          <w:lang w:bidi="ar"/>
        </w:rPr>
        <w:t xml:space="preserve"> 常州机电职业 </w:t>
      </w:r>
      <w:r>
        <w:rPr>
          <w:rFonts w:hint="eastAsia" w:ascii="宋体" w:hAnsi="宋体" w:cs="宋体"/>
          <w:color w:val="000000"/>
          <w:sz w:val="24"/>
          <w:highlight w:val="none"/>
          <w:lang w:bidi="ar"/>
        </w:rPr>
        <w:t xml:space="preserve">        单位名称（章）：</w:t>
      </w:r>
      <w:r>
        <w:rPr>
          <w:rFonts w:hint="eastAsia" w:ascii="宋体" w:hAnsi="宋体" w:cs="宋体"/>
          <w:color w:val="000000"/>
          <w:sz w:val="24"/>
          <w:highlight w:val="none"/>
          <w:u w:val="single"/>
          <w:lang w:bidi="ar"/>
        </w:rPr>
        <w:t xml:space="preserve">            </w:t>
      </w:r>
      <w:r>
        <w:rPr>
          <w:rFonts w:ascii="宋体" w:hAnsi="宋体" w:cs="宋体"/>
          <w:color w:val="000000"/>
          <w:sz w:val="24"/>
          <w:highlight w:val="none"/>
          <w:u w:val="single"/>
          <w:lang w:bidi="ar"/>
        </w:rPr>
      </w:r>
      <w:r/>
    </w:p>
    <w:p>
      <w:pPr>
        <w:pStyle w:val="1041"/>
        <w:ind w:firstLine="240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技术学院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rPr>
      </w:r>
      <w:r/>
    </w:p>
    <w:p>
      <w:pPr>
        <w:pStyle w:val="1041"/>
        <w:ind w:firstLine="6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单位地址：   常州市武进区             单位地址： </w:t>
      </w:r>
      <w:r>
        <w:rPr>
          <w:rFonts w:hint="eastAsia" w:ascii="宋体" w:hAnsi="宋体" w:cs="宋体"/>
          <w:color w:val="000000"/>
          <w:sz w:val="24"/>
          <w:highlight w:val="none"/>
          <w:lang w:bidi="ar"/>
        </w:rPr>
      </w:r>
      <w:r/>
    </w:p>
    <w:p>
      <w:pPr>
        <w:pStyle w:val="1041"/>
        <w:ind w:left="6476" w:hanging="480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鸣新中路26号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法定代表人：                           法定代表人：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委托代理人：           </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项目负责人：                           委托代理人：</w:t>
      </w:r>
      <w:r>
        <w:rPr>
          <w:rFonts w:hint="eastAsia" w:ascii="宋体" w:hAnsi="宋体" w:cs="宋体"/>
          <w:color w:val="000000"/>
          <w:sz w:val="24"/>
          <w:highlight w:val="none"/>
          <w:lang w:bidi="ar"/>
        </w:rPr>
      </w:r>
      <w:r/>
    </w:p>
    <w:p>
      <w:pPr>
        <w:pStyle w:val="1041"/>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开户银行： 农业银行常州                开户银行：        </w:t>
      </w:r>
      <w:r>
        <w:rPr>
          <w:rFonts w:hint="eastAsia" w:ascii="宋体" w:hAnsi="宋体" w:cs="宋体"/>
          <w:color w:val="000000"/>
          <w:sz w:val="24"/>
          <w:highlight w:val="none"/>
        </w:rPr>
      </w:r>
      <w:r/>
    </w:p>
    <w:p>
      <w:pPr>
        <w:pStyle w:val="1041"/>
        <w:ind w:left="6480" w:hanging="6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           聚湖路支行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账    号： 10605701040004030           帐号：               </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税    号： 123200004660069658          税号：   </w:t>
      </w:r>
      <w:r>
        <w:rPr>
          <w:rFonts w:hint="eastAsia" w:ascii="宋体" w:hAnsi="宋体" w:cs="宋体"/>
          <w:color w:val="000000"/>
          <w:sz w:val="24"/>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b/>
          <w:color w:val="000000"/>
          <w:sz w:val="36"/>
          <w:szCs w:val="36"/>
          <w:highlight w:val="none"/>
        </w:rPr>
      </w:pPr>
      <w:r>
        <w:rPr>
          <w:b/>
          <w:color w:val="000000"/>
          <w:sz w:val="36"/>
          <w:szCs w:val="36"/>
          <w:highlight w:val="none"/>
        </w:rPr>
      </w:r>
      <w:r/>
    </w:p>
    <w:p>
      <w:pPr>
        <w:pStyle w:val="1041"/>
        <w:jc w:val="left"/>
        <w:widowControl/>
        <w:rPr>
          <w:rFonts w:hint="eastAsia"/>
          <w:b/>
          <w:color w:val="000000"/>
          <w:sz w:val="24"/>
          <w:highlight w:val="none"/>
        </w:rPr>
      </w:pPr>
      <w:r>
        <w:rPr>
          <w:rFonts w:hint="eastAsia"/>
          <w:b/>
          <w:color w:val="000000"/>
          <w:sz w:val="24"/>
          <w:highlight w:val="none"/>
        </w:rPr>
        <w:br w:type="page" w:clear="all"/>
      </w:r>
      <w:r>
        <w:rPr>
          <w:rFonts w:hint="eastAsia"/>
          <w:b/>
          <w:color w:val="000000"/>
          <w:sz w:val="24"/>
          <w:highlight w:val="none"/>
        </w:rPr>
        <w:t xml:space="preserve">附件1  响应人员表</w:t>
      </w: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r>
      <w:r/>
    </w:p>
    <w:p>
      <w:pPr>
        <w:pStyle w:val="1041"/>
        <w:jc w:val="left"/>
        <w:widowControl/>
        <w:rPr>
          <w:rFonts w:hint="eastAsia"/>
          <w:b/>
          <w:color w:val="000000"/>
          <w:sz w:val="24"/>
          <w:highlight w:val="none"/>
        </w:rPr>
      </w:pPr>
      <w:r>
        <w:rPr>
          <w:rFonts w:hint="eastAsia"/>
          <w:b/>
          <w:color w:val="000000"/>
          <w:sz w:val="24"/>
          <w:highlight w:val="none"/>
        </w:rPr>
        <w:t xml:space="preserve">附件2   工程量报价清单</w:t>
      </w:r>
      <w:r>
        <w:rPr>
          <w:rFonts w:hint="eastAsia"/>
          <w:b/>
          <w:color w:val="000000"/>
          <w:sz w:val="24"/>
          <w:highlight w:val="none"/>
        </w:rPr>
      </w:r>
      <w:r/>
    </w:p>
    <w:p>
      <w:pPr>
        <w:pStyle w:val="1041"/>
        <w:jc w:val="left"/>
        <w:widowControl/>
        <w:rPr>
          <w:rFonts w:hint="eastAsia" w:ascii="宋体" w:hAnsi="宋体" w:cs="宋体"/>
          <w:b/>
          <w:bCs/>
          <w:color w:val="000000"/>
          <w:sz w:val="24"/>
          <w:highlight w:val="none"/>
        </w:rPr>
      </w:pPr>
      <w:r/>
      <w:bookmarkEnd w:id="628"/>
      <w:r/>
      <w:bookmarkStart w:id="632" w:name="_Toc10386"/>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附件3：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2"/>
          <w:szCs w:val="32"/>
          <w:highlight w:val="none"/>
        </w:rPr>
      </w:pPr>
      <w:r>
        <w:rPr>
          <w:rFonts w:hint="eastAsia" w:ascii="宋体" w:hAnsi="宋体" w:cs="宋体"/>
          <w:b/>
          <w:bCs/>
          <w:color w:val="000000"/>
          <w:sz w:val="28"/>
          <w:szCs w:val="32"/>
          <w:highlight w:val="none"/>
        </w:rPr>
        <w:t xml:space="preserve">廉政责任书</w:t>
      </w:r>
      <w:r>
        <w:rPr>
          <w:rFonts w:hint="eastAsia" w:ascii="宋体" w:hAnsi="宋体" w:cs="宋体"/>
          <w:b/>
          <w:bCs/>
          <w:color w:val="000000"/>
          <w:sz w:val="22"/>
          <w:szCs w:val="32"/>
          <w:highlight w:val="non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建设单位（甲方）：</w:t>
      </w:r>
      <w:r>
        <w:rPr>
          <w:rFonts w:hint="eastAsia" w:ascii="宋体" w:hAnsi="宋体" w:cs="宋体"/>
          <w:bCs/>
          <w:color w:val="000000"/>
          <w:sz w:val="24"/>
          <w:highlight w:val="none"/>
          <w:u w:val="single"/>
        </w:rPr>
        <w:t xml:space="preserve">常州机电职业技术学院</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b/>
          <w:color w:val="000000"/>
          <w:sz w:val="24"/>
          <w:highlight w:val="none"/>
          <w:u w:val="single"/>
        </w:rPr>
      </w:pPr>
      <w:r>
        <w:rPr>
          <w:rFonts w:hint="eastAsia" w:ascii="宋体" w:hAnsi="宋体" w:cs="宋体"/>
          <w:bCs/>
          <w:color w:val="000000"/>
          <w:sz w:val="24"/>
          <w:highlight w:val="none"/>
        </w:rPr>
        <w:t xml:space="preserve">施工单位（乙方）：</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r>
      <w:r/>
    </w:p>
    <w:p>
      <w:pPr>
        <w:pStyle w:val="1041"/>
        <w:ind w:firstLine="480"/>
        <w:jc w:val="left"/>
        <w:spacing w:line="420" w:lineRule="exact"/>
        <w:widowControl/>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u w:val="single"/>
        </w:rPr>
        <w:t xml:space="preserve">常州机电职业技术学院善学楼（东教学楼）升级改造项目           </w:t>
      </w:r>
      <w:r>
        <w:rPr>
          <w:rFonts w:hint="eastAsia" w:ascii="宋体" w:hAnsi="宋体" w:cs="宋体"/>
          <w:bCs/>
          <w:color w:val="000000"/>
          <w:sz w:val="24"/>
          <w:highlight w:val="none"/>
        </w:rPr>
        <w:t xml:space="preserve">          </w:t>
      </w:r>
      <w:r>
        <w:rPr>
          <w:rFonts w:hint="eastAsia" w:ascii="宋体" w:hAnsi="宋体" w:cs="宋体"/>
          <w:bCs/>
          <w:color w:val="000000"/>
          <w:sz w:val="24"/>
          <w:highlight w:val="none"/>
          <w:u w:val="singl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为加强项目廉政建设，规范项目各项活动中甲、乙双方的行为，防止谋取不正当利益的违法违纪现象的发生，保护国家、集体和当事人的合法权益，根据国家有关法律法规和廉政建设的有关规定，订立本廉政责任书。</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3" w:name="_Toc362274938"/>
      <w:r/>
      <w:bookmarkStart w:id="634" w:name="_Toc352237870"/>
      <w:r>
        <w:rPr>
          <w:rFonts w:hint="eastAsia" w:ascii="宋体" w:hAnsi="宋体" w:cs="宋体"/>
          <w:color w:val="000000"/>
          <w:sz w:val="24"/>
          <w:highlight w:val="none"/>
        </w:rPr>
        <w:t xml:space="preserve">一、双方的责任</w:t>
      </w:r>
      <w:bookmarkEnd w:id="633"/>
      <w:r/>
      <w:bookmarkEnd w:id="634"/>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1.1应严格遵守国家关于廉政建设的有关法律、法规，相关政策，以及各项规定。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1.2严格执行项目合同文件，自觉按合同办事。</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1.3各项活动必须坚持公开、公平、公正、诚信、透明的原则(除法律法规另有规定者外)，不得为获取不正当的利益，损害国家、集体和对方利益，不得违反相关规章制度。</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1.4发现对方在业务活动中有违规、违纪、违法行为的，应及时提醒对方，情节严重的，应向其上级主管部门或纪检监察、司法等有关机关举报。</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5" w:name="_Toc362274939"/>
      <w:r/>
      <w:bookmarkStart w:id="636" w:name="_Toc352237871"/>
      <w:r>
        <w:rPr>
          <w:rFonts w:hint="eastAsia" w:ascii="宋体" w:hAnsi="宋体" w:cs="宋体"/>
          <w:color w:val="000000"/>
          <w:sz w:val="24"/>
          <w:highlight w:val="none"/>
        </w:rPr>
        <w:t xml:space="preserve">二、甲方责任</w:t>
      </w:r>
      <w:bookmarkEnd w:id="635"/>
      <w:r/>
      <w:bookmarkEnd w:id="636"/>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甲方的领导和从事该项目的工作人员，应遵守以下规定：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2.1不得向乙方和相关单位索要或接受回扣、礼金、有价证券、贵重物品和好处费、感谢费等。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2.2不得在乙方和相关单位报销任何应由甲方或个人支付的费用。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2.3不得要求、暗示或接受乙方和相关单位为个人装修住房、婚丧嫁娶、配偶子女的工作安排以及出国(境)、旅游等提供方便。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2.4不得参加有可能影响公正执行公务的乙方和相关单位的宴请、健身、娱乐等活动。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2.5不得向乙方和相关单位介绍或为配偶、子女、亲属参与同甲方项目有关的业务活动；不得以任何理由要求乙方和相关单位使用某种产品、材料和设备。</w:t>
      </w:r>
      <w:r>
        <w:rPr>
          <w:rFonts w:hint="eastAsia" w:ascii="宋体" w:hAnsi="宋体" w:cs="宋体"/>
          <w:color w:val="000000"/>
          <w:sz w:val="24"/>
          <w:highlight w:val="none"/>
        </w:rPr>
      </w:r>
      <w:r/>
    </w:p>
    <w:p>
      <w:pPr>
        <w:pStyle w:val="1041"/>
        <w:ind w:firstLine="360"/>
        <w:jc w:val="left"/>
        <w:spacing w:line="420" w:lineRule="exact"/>
        <w:widowControl/>
        <w:rPr>
          <w:rFonts w:hint="eastAsia" w:ascii="宋体" w:hAnsi="宋体" w:cs="宋体"/>
          <w:color w:val="000000"/>
          <w:sz w:val="24"/>
          <w:highlight w:val="none"/>
        </w:rPr>
      </w:pPr>
      <w:r/>
      <w:bookmarkStart w:id="637" w:name="_Toc362274940"/>
      <w:r/>
      <w:bookmarkStart w:id="638" w:name="_Toc352237872"/>
      <w:r>
        <w:rPr>
          <w:rFonts w:hint="eastAsia" w:ascii="宋体" w:hAnsi="宋体" w:cs="宋体"/>
          <w:color w:val="000000"/>
          <w:sz w:val="24"/>
          <w:highlight w:val="none"/>
        </w:rPr>
        <w:t xml:space="preserve">三、乙方责任</w:t>
      </w:r>
      <w:bookmarkEnd w:id="637"/>
      <w:r/>
      <w:bookmarkEnd w:id="638"/>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应与甲方保持正常的业务交往，按照有关法律法规和程序开展业务工作，并遵守以下规定：</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3.1不得以任何理由向甲方及其工作人员索要、接受或赠送礼金、有价证券、贵重物品及回扣、好处费、感谢费等。</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3.2不得以任何理由为甲方和相关单位报销应由对方或个人支付的费用。</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3.3不得接受或暗示为甲方、相关单位或个人装修住房、婚丧嫁娶、配偶子女的工作安排以及出国(境)、旅游等提供方便。</w:t>
      </w:r>
      <w:r>
        <w:rPr>
          <w:rFonts w:hint="eastAsia" w:ascii="宋体" w:hAnsi="宋体" w:cs="宋体"/>
          <w:color w:val="000000"/>
          <w:sz w:val="24"/>
          <w:highlight w:val="none"/>
        </w:rPr>
      </w:r>
      <w:r/>
    </w:p>
    <w:p>
      <w:pPr>
        <w:pStyle w:val="1041"/>
        <w:ind w:firstLine="480"/>
        <w:jc w:val="left"/>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3.4不得以任何理由为甲方、相关单位或个人组织有可能影响公正执行公务的宴请、健身、娱乐等活动。</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39" w:name="_Toc362274941"/>
      <w:r/>
      <w:bookmarkStart w:id="640" w:name="_Toc352237873"/>
      <w:r>
        <w:rPr>
          <w:rFonts w:hint="eastAsia" w:ascii="宋体" w:hAnsi="宋体" w:cs="宋体"/>
          <w:color w:val="000000"/>
          <w:sz w:val="24"/>
          <w:highlight w:val="none"/>
        </w:rPr>
        <w:t xml:space="preserve">四、违约责任</w:t>
      </w:r>
      <w:bookmarkEnd w:id="639"/>
      <w:r/>
      <w:bookmarkEnd w:id="640"/>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4.1甲方工作人员有违反本责任书第一、二条责任行为的，依据有关法律、法规给予处理；涉嫌犯罪的，移交司法机关追究刑事责任；给乙方单位造成经济损失的，应予以赔偿。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4.2乙方工作人员有违反本责任书第一、三条责任行为的，依据有关法律法规处理；涉嫌犯罪的，移交司法机关追究刑事责任；给甲方单位造成经济损失的，应予以赔偿。</w:t>
      </w:r>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4.3本责任书作为服务合同的组成部分，与服务合同具有同等法律效力。经双方签署后立即生效。</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1" w:name="_Toc352237874"/>
      <w:r/>
      <w:bookmarkStart w:id="642" w:name="_Toc362274942"/>
      <w:r>
        <w:rPr>
          <w:rFonts w:hint="eastAsia" w:ascii="宋体" w:hAnsi="宋体" w:cs="宋体"/>
          <w:color w:val="000000"/>
          <w:sz w:val="24"/>
          <w:highlight w:val="none"/>
        </w:rPr>
        <w:t xml:space="preserve">五、责任书有效期</w:t>
      </w:r>
      <w:bookmarkEnd w:id="641"/>
      <w:r/>
      <w:bookmarkEnd w:id="642"/>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本责任书的有效期为双方签署之日起至该项目实施完成时止。</w:t>
      </w:r>
      <w:r>
        <w:rPr>
          <w:rFonts w:hint="eastAsia" w:ascii="宋体" w:hAnsi="宋体" w:cs="宋体"/>
          <w:color w:val="000000"/>
          <w:sz w:val="24"/>
          <w:highlight w:val="none"/>
        </w:rPr>
      </w:r>
      <w:r/>
    </w:p>
    <w:p>
      <w:pPr>
        <w:pStyle w:val="1041"/>
        <w:ind w:firstLine="360"/>
        <w:spacing w:line="420" w:lineRule="exact"/>
        <w:widowControl/>
        <w:rPr>
          <w:rFonts w:hint="eastAsia" w:ascii="宋体" w:hAnsi="宋体" w:cs="宋体"/>
          <w:color w:val="000000"/>
          <w:sz w:val="24"/>
          <w:highlight w:val="none"/>
        </w:rPr>
      </w:pPr>
      <w:r/>
      <w:bookmarkStart w:id="643" w:name="_Toc352237875"/>
      <w:r/>
      <w:bookmarkStart w:id="644" w:name="_Toc362274943"/>
      <w:r>
        <w:rPr>
          <w:rFonts w:hint="eastAsia" w:ascii="宋体" w:hAnsi="宋体" w:cs="宋体"/>
          <w:color w:val="000000"/>
          <w:sz w:val="24"/>
          <w:highlight w:val="none"/>
        </w:rPr>
        <w:t xml:space="preserve">六、责任书份数</w:t>
      </w:r>
      <w:bookmarkEnd w:id="643"/>
      <w:r/>
      <w:bookmarkEnd w:id="644"/>
      <w:r>
        <w:rPr>
          <w:rFonts w:hint="eastAsia" w:ascii="宋体" w:hAnsi="宋体" w:cs="宋体"/>
          <w:color w:val="000000"/>
          <w:sz w:val="24"/>
          <w:highlight w:val="none"/>
        </w:rPr>
      </w:r>
      <w:r/>
    </w:p>
    <w:p>
      <w:pPr>
        <w:pStyle w:val="1041"/>
        <w:ind w:firstLine="480"/>
        <w:spacing w:line="4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本责任书一式捌份，甲方肆份，乙方肆份，具有同等效力。</w:t>
      </w:r>
      <w:r>
        <w:rPr>
          <w:rFonts w:hint="eastAsia" w:ascii="宋体" w:hAnsi="宋体" w:cs="宋体"/>
          <w:color w:val="000000"/>
          <w:sz w:val="24"/>
          <w:highlight w:val="none"/>
        </w:rPr>
      </w:r>
      <w:r/>
    </w:p>
    <w:p>
      <w:pPr>
        <w:pStyle w:val="1041"/>
        <w:ind w:firstLine="480"/>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195"/>
        <w:gridCol w:w="4169"/>
      </w:tblGrid>
      <w:tr>
        <w:trPr/>
        <w:tc>
          <w:tcPr>
            <w:tcBorders>
              <w:top w:val="none" w:color="000000" w:sz="0" w:space="0"/>
              <w:left w:val="none" w:color="000000" w:sz="0" w:space="0"/>
              <w:bottom w:val="none" w:color="000000" w:sz="0" w:space="0"/>
              <w:right w:val="none" w:color="000000" w:sz="0" w:space="0"/>
            </w:tcBorders>
            <w:tcW w:w="4195"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甲方(公章)：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169" w:type="dxa"/>
            <w:vAlign w:val="top"/>
            <w:textDirection w:val="lrTb"/>
            <w:noWrap w:val="false"/>
          </w:tcPr>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乙方(公章)：   </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法定地址：</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电子邮箱：</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rPr>
            </w:r>
            <w:r/>
          </w:p>
        </w:tc>
      </w:tr>
    </w:tbl>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附件4： </w:t>
      </w:r>
      <w:r>
        <w:rPr>
          <w:rFonts w:hint="eastAsia" w:ascii="宋体" w:hAnsi="宋体" w:cs="宋体"/>
          <w:b/>
          <w:bCs/>
          <w:color w:val="000000"/>
          <w:sz w:val="24"/>
          <w:highlight w:val="none"/>
        </w:rPr>
      </w:r>
      <w:r/>
    </w:p>
    <w:p>
      <w:pPr>
        <w:pStyle w:val="1041"/>
        <w:jc w:val="center"/>
        <w:spacing w:before="240" w:after="240"/>
        <w:rPr>
          <w:rFonts w:hint="eastAsia" w:ascii="宋体" w:hAnsi="宋体" w:cs="宋体"/>
          <w:b/>
          <w:bCs/>
          <w:color w:val="000000"/>
          <w:sz w:val="28"/>
          <w:szCs w:val="32"/>
          <w:highlight w:val="none"/>
        </w:rPr>
      </w:pPr>
      <w:r/>
      <w:bookmarkStart w:id="645" w:name="_Toc72278419"/>
      <w:r>
        <w:rPr>
          <w:rFonts w:hint="eastAsia" w:ascii="宋体" w:hAnsi="宋体" w:cs="宋体"/>
          <w:b/>
          <w:bCs/>
          <w:color w:val="000000"/>
          <w:sz w:val="28"/>
          <w:szCs w:val="32"/>
          <w:highlight w:val="none"/>
        </w:rPr>
        <w:t xml:space="preserve">建筑施工安全生产协议</w:t>
      </w:r>
      <w:bookmarkEnd w:id="645"/>
      <w:r>
        <w:rPr>
          <w:rFonts w:hint="eastAsia" w:ascii="宋体" w:hAnsi="宋体" w:cs="宋体"/>
          <w:b/>
          <w:bCs/>
          <w:color w:val="000000"/>
          <w:sz w:val="28"/>
          <w:szCs w:val="32"/>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施工单位：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为保障施工安全、顺利完成上述建筑工程项目施工，建设单位将建筑工程项目委托施工单位进行施工，为了明确三方的安全生产责任，确保施工安全，在签订建筑工程合同的同时，签订本协议，三方必须严格执行。</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建设单位责任：</w:t>
      </w:r>
      <w:r>
        <w:rPr>
          <w:rFonts w:hint="eastAsia" w:ascii="宋体" w:hAnsi="宋体" w:cs="宋体"/>
          <w:b/>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　</w:t>
      </w:r>
      <w:r>
        <w:rPr>
          <w:rFonts w:hint="eastAsia" w:ascii="宋体" w:hAnsi="宋体" w:cs="宋体"/>
          <w:color w:val="000000"/>
          <w:sz w:val="24"/>
          <w:highlight w:val="none"/>
        </w:rPr>
        <w:t xml:space="preserve">建设单位应当向施工单位提供施工现场及毗邻区域内供水、排水、供电、供气、供热、通信、广播电视等地下管线资料，气象和水文观测资料，相邻建筑物和构筑物、地下工程的有关资料，并保证资料的真实、准确、完整。</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建设单位因建设工程需要，向有关部门或者单位查询前款规定的资料时，有关部门或者单位应当及时提供。</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建设单位不得对勘察、设计、施工、工程监理等单位提出不符合建设工程安全生产法律、法规和强制性标准规定的要求，不得压缩合同约定的工期。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建设单位在编制工程概算时，应当确定建设工程安全作业环境及安全施工措施所需费用。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建设单位不得明示或者暗示施工单位购买、租赁、使用不符合安全施工要求的安全防护用具、机械设备、施工机具及配件、消防设施和器材。</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color w:val="000000"/>
          <w:sz w:val="24"/>
          <w:highlight w:val="none"/>
        </w:rPr>
        <w:t xml:space="preserve">施工单位责任：</w:t>
      </w:r>
      <w:r>
        <w:rPr>
          <w:rFonts w:hint="eastAsia" w:ascii="宋体" w:hAnsi="宋体" w:cs="宋体"/>
          <w:color w:val="000000"/>
          <w:sz w:val="24"/>
          <w:highlight w:val="none"/>
        </w:rPr>
      </w:r>
      <w:r/>
    </w:p>
    <w:p>
      <w:pPr>
        <w:pStyle w:val="1041"/>
        <w:ind w:firstLine="47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施工单位从事建设工程的新建、扩建、改建和拆除等活动，应当具备国家规定的注册资本、专业技术人员、技术装备和安全生产等条件，依法取得相应等级的资质证书，并在其资质等级许可的范围内承揽工程。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主要负责人依法对本单位的安全生产工作全面负责。施工单位应当建立健全安全生产责任制度和安全生产教育培训制度，制定安全生产规章制度和操作规程，保证本单位安全生产条件所需资金的投入，对所承担的建设工程进行定期和专项安全检查，并做好安全检查记录。</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的项目负责人应当由取得相应执业资格的人员担任，对建设工程项目的安全施工负责，落实安全生产责任制度、安全生产规章制度和操作规程，确保安全生产费用的有效使用，并根据工程的特点组织制定安全施工措施，消除安全事故隐患，及时、如实报告生产安全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施工单位对列入建设工程概算的安全作业环境及安全施工措施所需费用，应当用于施工安全防护用具及设施的采购和更新、安全施工措施的落实、安全生产条件的改善，不得挪作他用。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施工单位应当设立安全生产管理机构，配备专职安全生产管理人员。</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专职安全生产管理人员负责对安全生产进行现场监督检查。发现安全事故隐患，应当及时向项目负责人和安全生产管理机构报告；对违章指挥、违章操作的，应当立即制止。</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专职安全生产管理人员的配备办法由国务院建设行政主管部门会同国务院其他有关部门制定。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第五条</w:t>
      </w:r>
      <w:r>
        <w:rPr>
          <w:rFonts w:hint="eastAsia" w:ascii="宋体" w:hAnsi="宋体" w:cs="宋体"/>
          <w:color w:val="000000"/>
          <w:sz w:val="24"/>
          <w:highlight w:val="none"/>
        </w:rPr>
        <w:t xml:space="preserve">　建设工程实行施工总承包的，由总承包单位对施工现场的安全生产负总责。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总承包单位应当自行完成建设工程主体结构的施工。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总承包单位依法将建设工程分包给其他单位的，分包合同中应当明确各自的安全生产方面的权利、义务。总承包单位和分包单位对分包工程的安全生产承担连带责任。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分包单位应当服从总承包单位的安全生产管理，分包单位不服从管理导致生产安全事故的，由分包单位承担主要责任。</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第六条</w:t>
      </w:r>
      <w:r>
        <w:rPr>
          <w:rFonts w:hint="eastAsia" w:ascii="宋体" w:hAnsi="宋体" w:cs="宋体"/>
          <w:color w:val="000000"/>
          <w:sz w:val="24"/>
          <w:highlight w:val="none"/>
        </w:rPr>
        <w:t xml:space="preserve">　垂直运输机械作业人员、安装拆卸工、爆破作业人员、起重信号工、登高架设作业人员等特种作业人员，必须按照国家有关规定经过专门的安全作业培训，并取得特种作业操作资格证书后，方可上岗作业。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第七条</w:t>
      </w:r>
      <w:r>
        <w:rPr>
          <w:rFonts w:hint="eastAsia" w:ascii="宋体" w:hAnsi="宋体" w:cs="宋体"/>
          <w:color w:val="000000"/>
          <w:sz w:val="24"/>
          <w:highlight w:val="none"/>
        </w:rPr>
        <w:t xml:space="preserve">　施工单位应当在施工组织设计中编制安全技术措施和施工现场临时用电方案，对下列达到一定规模的危险性较大的分部分项工程编制专项施工方案，并附具安全验算结果，经施工单位技术负责人、总监理工程师签字后实施，由专职安全生产管理人员进行现场监督：</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(一)基坑支护与降水工程；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(二)土方开挖工程；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(三)模板工程；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(四)起重吊装工程；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(五)脚手架工程；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(六)拆除、爆破工程；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(七)国务院建设行政主管部门或者其他有关部门规定的其他危险性较大的工程。</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对前款所列工程中涉及深基坑、地下暗挖工程、高大模板工程的专项施工方案，施工单位还应当组织专家进行论证、审查。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本条第一款规定的达到一定规模的危险性较大工程的标准，由国务院建设行政主管部门会同国务院其他有关部门制定。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第八条</w:t>
      </w:r>
      <w:r>
        <w:rPr>
          <w:rFonts w:hint="eastAsia" w:ascii="宋体" w:hAnsi="宋体" w:cs="宋体"/>
          <w:color w:val="000000"/>
          <w:sz w:val="24"/>
          <w:highlight w:val="none"/>
        </w:rPr>
        <w:t xml:space="preserve">　建设工程施工前，施工单位负责项目管理的技术人员应当对有关安全施工的技术要求向施工作业班组、作业人员作出详细说明，并由双方签字确认。</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第九条</w:t>
      </w:r>
      <w:r>
        <w:rPr>
          <w:rFonts w:hint="eastAsia" w:ascii="宋体" w:hAnsi="宋体" w:cs="宋体"/>
          <w:color w:val="000000"/>
          <w:sz w:val="24"/>
          <w:highlight w:val="none"/>
        </w:rPr>
        <w:t xml:space="preserve">　施工单位应当在施工现场入口处、施工起重机械、临时用电设施、脚手架、出入通道口、楼梯口、电梯井口、孔洞口、桥梁口、隧道口、基坑边沿、爆破物及有害危险气体和液体存放处等危险部位，设置明显的安全警示标志。安全警示标志必须符合国家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施工单位应当根据不同施工阶段和周围环境及季节、气候的变化，在施工现场采取相应的安全施工措施。施工现场暂时停止施工的，施工单位应当做好现场防护，所需费用由责任方承担，或者按照合同约定执行。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第十条</w:t>
      </w:r>
      <w:r>
        <w:rPr>
          <w:rFonts w:hint="eastAsia" w:ascii="宋体" w:hAnsi="宋体" w:cs="宋体"/>
          <w:color w:val="000000"/>
          <w:sz w:val="24"/>
          <w:highlight w:val="none"/>
        </w:rPr>
        <w:t xml:space="preserve">　施工单位应当将施工现场的办公、生活区与作业区分开设置，并保持安全距离；办公、生活区的选址应当符合安全性要求。职工的膳食、饮水、休息场所等应当符合卫生标准。施工单位不得在尚未竣工的建筑物内设置员工集体宿舍。</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施工现场临时搭建的建筑物应当符合安全使用要求。施工现场使用的装配式活动房屋应当具有产品合格证。</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第十一条</w:t>
      </w:r>
      <w:r>
        <w:rPr>
          <w:rFonts w:hint="eastAsia" w:ascii="宋体" w:hAnsi="宋体" w:cs="宋体"/>
          <w:color w:val="000000"/>
          <w:sz w:val="24"/>
          <w:highlight w:val="none"/>
        </w:rPr>
        <w:t xml:space="preserve">　施工单位对因建设工程施工可能造成损害的毗邻建筑物、构筑物和地下管线等，应当采取专项防护措施。</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施工单位应当遵守有关环境保护法律、法规的规定，在施工现场采取措施，防止或者减少粉尘、废气、废水、固体废物、噪声、振动和施工照明对人和环境的危害和污染。</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在城市市区内的建设工程，施工单位应当对施工现场实行封闭围挡。</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第十二条</w:t>
      </w:r>
      <w:r>
        <w:rPr>
          <w:rFonts w:hint="eastAsia" w:ascii="宋体" w:hAnsi="宋体" w:cs="宋体"/>
          <w:color w:val="000000"/>
          <w:sz w:val="24"/>
          <w:highlight w:val="none"/>
        </w:rPr>
        <w:t xml:space="preserve">　施工单位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第十三条</w:t>
      </w:r>
      <w:r>
        <w:rPr>
          <w:rFonts w:hint="eastAsia" w:ascii="宋体" w:hAnsi="宋体" w:cs="宋体"/>
          <w:color w:val="000000"/>
          <w:sz w:val="24"/>
          <w:highlight w:val="none"/>
        </w:rPr>
        <w:t xml:space="preserve">　施工单位应当向作业人员提供安全防护用具和安全防护服装，并书面告知危险岗位的操作规程和违章操作的危害。</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作业人员有权对施工现场的作业条件、作业程序和作业方式中存在的安全问题提出批评、检举和控告，有权拒绝违章指挥和强令冒险作业。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在施工中发生危及人身安全的紧急情况时，作业人员有权立即停止作业或者在采取必要的应急措施后撤离危险区域。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第十四条</w:t>
      </w:r>
      <w:r>
        <w:rPr>
          <w:rFonts w:hint="eastAsia" w:ascii="宋体" w:hAnsi="宋体" w:cs="宋体"/>
          <w:color w:val="000000"/>
          <w:sz w:val="24"/>
          <w:highlight w:val="none"/>
        </w:rPr>
        <w:t xml:space="preserve">　作业人员应当遵守安全施工的强制性标准、规章制度和操作规程，正确使用安全防护用具、机械设备等。</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第十五条</w:t>
      </w:r>
      <w:r>
        <w:rPr>
          <w:rFonts w:hint="eastAsia" w:ascii="宋体" w:hAnsi="宋体" w:cs="宋体"/>
          <w:color w:val="000000"/>
          <w:sz w:val="24"/>
          <w:highlight w:val="none"/>
        </w:rPr>
        <w:t xml:space="preserve">　施工单位采购、租赁的安全防护用具、机械设备、施工机具及配件，应当具有生产(制造)许可证、产品合格证，并在进入施工现场前进行查验。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施工现场的安全防护用具、机械设备、施工机具及配件必须由专人管理，定期进行检查、维修和保养，建立相应的资料档案，并按照国家有关规定及时报废。</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第十六条</w:t>
      </w:r>
      <w:r>
        <w:rPr>
          <w:rFonts w:hint="eastAsia" w:ascii="宋体" w:hAnsi="宋体" w:cs="宋体"/>
          <w:color w:val="000000"/>
          <w:sz w:val="24"/>
          <w:highlight w:val="none"/>
        </w:rPr>
        <w:t xml:space="preserve">　施工单位在使用施工起重机械和整体提升脚手架、模板等自升式架设设施前，应当组织有关单位进行验收，也可以委托具有相应资质的检验检测机构进行验收；使用承租的机械设备和施工机具及配件的，由施工总承包单位、分包单位、出租单位和安装单位共同进行验收。验收合格的方可使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《特种设备安全监察条例》规定的施工起重机械，在验收前应当经有相应资质的检验检测机构监督检验合格。</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施工单位应当自施工起重机械和整体提升脚手架、模板等自升式架设设施验收合格之日起30日内，向建设行政主管部门或者其他有关部门登记。登记标志应当置于或者附着于该设备的显著位置。</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第十七条</w:t>
      </w:r>
      <w:r>
        <w:rPr>
          <w:rFonts w:hint="eastAsia" w:ascii="宋体" w:hAnsi="宋体" w:cs="宋体"/>
          <w:color w:val="000000"/>
          <w:sz w:val="24"/>
          <w:highlight w:val="none"/>
        </w:rPr>
        <w:t xml:space="preserve">　施工单位的主要负责人、项目负责人、专职安全生产管理人员应当经建设行政主管部门或者其他有关部门考核合格后方可任职。</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施工单位应当对管理人员和作业人员每年至少进行一次安全生产教育培训，其教育培训情况记入个人工作档案。安全生产教育培训考核不合格的人员，不得上岗。</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第十八条</w:t>
      </w:r>
      <w:r>
        <w:rPr>
          <w:rFonts w:hint="eastAsia" w:ascii="宋体" w:hAnsi="宋体" w:cs="宋体"/>
          <w:color w:val="000000"/>
          <w:sz w:val="24"/>
          <w:highlight w:val="none"/>
        </w:rPr>
        <w:t xml:space="preserve">　作业人员进入新的岗位或者新的施工现场前，应当接受安全生产教育培训。未经教育培训或者教育培训考核不合格的人员，不得上岗作业。</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施工单位在采用新技术、新工艺、新设备、新材料时，应当对作业人员进行相应的安全生产教育培训。</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第十九条</w:t>
      </w:r>
      <w:r>
        <w:rPr>
          <w:rFonts w:hint="eastAsia" w:ascii="宋体" w:hAnsi="宋体" w:cs="宋体"/>
          <w:color w:val="000000"/>
          <w:sz w:val="24"/>
          <w:highlight w:val="none"/>
        </w:rPr>
        <w:t xml:space="preserve">　施工单位应当为施工现场从事危险作业的人员办理意外伤害保险。</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意外伤害保险费由施工单位支付。实行施工总承包的，由总承包单位支付意外伤害保险费。意外伤害保险期限自建设工程开工之日起至竣工验收合格止。</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监理单位责任：</w:t>
      </w:r>
      <w:r>
        <w:rPr>
          <w:rFonts w:hint="eastAsia" w:ascii="宋体" w:hAnsi="宋体" w:cs="宋体"/>
          <w:b/>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工程监理单位应当审查施工组织设计中的安全技术措施或者专项施工方案是否符合工程建设强制性标准。</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在实施监理过程中，发现存在安全事故隐患的，应当要求施工单位整改；情况严重的，应当要求施工单位暂时停止施工，并及时报告建设单位。施工单位拒不整改或者不停止施工的，工程监理单位应当及时向有关主管部门报告。</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工程监理单位和监理工程师应当按照法律、法规和工程建设强制性标准实施监理，并对建设工程安全生产承担监理责任。</w:t>
      </w:r>
      <w:r>
        <w:rPr>
          <w:rFonts w:hint="eastAsia" w:ascii="宋体" w:hAnsi="宋体" w:cs="宋体"/>
          <w:color w:val="000000"/>
          <w:sz w:val="24"/>
          <w:highlight w:val="none"/>
        </w:rPr>
      </w:r>
      <w:r/>
    </w:p>
    <w:p>
      <w:pPr>
        <w:pStyle w:val="1041"/>
        <w:ind w:firstLine="475"/>
        <w:jc w:val="left"/>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事故调查：</w:t>
      </w:r>
      <w:r>
        <w:rPr>
          <w:rFonts w:hint="eastAsia" w:ascii="宋体" w:hAnsi="宋体" w:cs="宋体"/>
          <w:b/>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第一条</w:t>
      </w:r>
      <w:r>
        <w:rPr>
          <w:rFonts w:hint="eastAsia" w:ascii="宋体" w:hAnsi="宋体" w:cs="宋体"/>
          <w:color w:val="000000"/>
          <w:sz w:val="24"/>
          <w:highlight w:val="none"/>
        </w:rPr>
        <w:t xml:space="preserve">　施工单位应当根据建设工程施工的特点、范围，对施工现场易发生重大事故的部位、环节进行监控，制定施工现场生产安全事故应急救援预案。实行施工总承包的，由总承包单位统一组织编制建设工程生产安全事故应急救援预案，工程总承包单位和分包单位按照应急救援预案，各自建立应急救援组织或者配备应急救援人员，配备救援器材、设备，并定期组织演练。</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第二条</w:t>
      </w:r>
      <w:r>
        <w:rPr>
          <w:rFonts w:hint="eastAsia" w:ascii="宋体" w:hAnsi="宋体" w:cs="宋体"/>
          <w:color w:val="000000"/>
          <w:sz w:val="24"/>
          <w:highlight w:val="none"/>
        </w:rPr>
        <w:t xml:space="preserve">　施工单位发生生产安全事故，应当按照国家有关伤亡事故报告和调查处理的规定，及时、如实地向负责安全生产监督管理的部门、建设行政主管部门或者其他有关部门报告；特种设备发生事故的，还应当同时向特种设备安全监督管理部门报告。接到报告的部门应当按照国家有关规定，如实上报。</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实行施工总承包的建设工程，由总承包单位负责上报事故。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w:t>
      </w:r>
      <w:r>
        <w:rPr>
          <w:rFonts w:hint="eastAsia" w:ascii="宋体" w:hAnsi="宋体" w:cs="宋体"/>
          <w:b/>
          <w:bCs/>
          <w:color w:val="000000"/>
          <w:sz w:val="24"/>
          <w:highlight w:val="none"/>
        </w:rPr>
        <w:t xml:space="preserve">第三条</w:t>
      </w:r>
      <w:r>
        <w:rPr>
          <w:rFonts w:hint="eastAsia" w:ascii="宋体" w:hAnsi="宋体" w:cs="宋体"/>
          <w:color w:val="000000"/>
          <w:sz w:val="24"/>
          <w:highlight w:val="none"/>
        </w:rPr>
        <w:t xml:space="preserve">　发生生产安全事故后，施工单位应当采取措施防止事故扩大，保护事故现场。需要移动现场物品时，应当做出标记和书面记录，妥善保管有关证物。</w:t>
      </w:r>
      <w:r>
        <w:rPr>
          <w:rFonts w:hint="eastAsia" w:ascii="宋体" w:hAnsi="宋体" w:cs="宋体"/>
          <w:color w:val="000000"/>
          <w:sz w:val="24"/>
          <w:highlight w:val="none"/>
        </w:rPr>
      </w:r>
      <w:r/>
    </w:p>
    <w:p>
      <w:pPr>
        <w:pStyle w:val="1041"/>
        <w:ind w:firstLine="482"/>
        <w:jc w:val="left"/>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第四条</w:t>
      </w:r>
      <w:r>
        <w:rPr>
          <w:rFonts w:hint="eastAsia" w:ascii="宋体" w:hAnsi="宋体" w:cs="宋体"/>
          <w:color w:val="000000"/>
          <w:sz w:val="24"/>
          <w:highlight w:val="none"/>
        </w:rPr>
        <w:t xml:space="preserve">　本协议未尽事宜，参照相关安全生产法律法规规定执行。</w:t>
      </w:r>
      <w:r>
        <w:rPr>
          <w:rFonts w:hint="eastAsia" w:ascii="宋体" w:hAnsi="宋体" w:cs="宋体"/>
          <w:color w:val="000000"/>
          <w:sz w:val="24"/>
          <w:highlight w:val="none"/>
        </w:rPr>
      </w:r>
      <w:r/>
    </w:p>
    <w:p>
      <w:pPr>
        <w:pStyle w:val="1041"/>
        <w:ind w:firstLine="60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本协议一式三份，建设单位、施工单位、监理单位各执一份。本协议自签订之日起生效，项目验收合格交付使用，协议自行终止。</w:t>
      </w: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4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建设单位（公章）：                      施工单位（公章）：</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法定代表人或委托代理人（签字）</w:t>
      </w:r>
      <w:r>
        <w:rPr>
          <w:rFonts w:hint="eastAsia" w:ascii="宋体" w:hAnsi="宋体" w:cs="宋体"/>
          <w:color w:val="000000"/>
          <w:sz w:val="24"/>
          <w:highlight w:val="none"/>
        </w:rPr>
      </w:r>
      <w:r/>
    </w:p>
    <w:p>
      <w:pPr>
        <w:pStyle w:val="1041"/>
        <w:jc w:val="left"/>
        <w:spacing w:line="360" w:lineRule="auto"/>
        <w:widowControl/>
        <w:tabs>
          <w:tab w:val="left" w:pos="0" w:leader="none"/>
          <w:tab w:val="left" w:pos="993"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before="91" w:line="219" w:lineRule="auto"/>
        <w:rPr>
          <w:rFonts w:hint="eastAsia" w:ascii="宋体" w:hAnsi="宋体" w:cs="宋体"/>
          <w:b/>
          <w:bCs/>
          <w:color w:val="000000"/>
          <w:sz w:val="24"/>
          <w:highlight w:val="none"/>
        </w:rPr>
      </w:pP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附件5：</w:t>
      </w:r>
      <w:r>
        <w:rPr>
          <w:rFonts w:hint="eastAsia" w:ascii="宋体" w:hAnsi="宋体" w:cs="宋体"/>
          <w:b/>
          <w:bCs/>
          <w:color w:val="000000"/>
          <w:sz w:val="24"/>
          <w:highlight w:val="none"/>
        </w:rPr>
      </w:r>
      <w:r/>
    </w:p>
    <w:p>
      <w:pPr>
        <w:pStyle w:val="1041"/>
        <w:jc w:val="center"/>
        <w:spacing w:before="91" w:line="219" w:lineRule="auto"/>
        <w:rPr>
          <w:rFonts w:hint="eastAsia" w:ascii="宋体" w:hAnsi="宋体" w:cs="宋体"/>
          <w:b/>
          <w:bCs/>
          <w:color w:val="000000"/>
          <w:sz w:val="32"/>
          <w:szCs w:val="32"/>
          <w:highlight w:val="none"/>
        </w:rPr>
      </w:pPr>
      <w:r>
        <w:rPr>
          <w:rFonts w:hint="eastAsia" w:ascii="宋体" w:hAnsi="宋体" w:cs="宋体"/>
          <w:b/>
          <w:bCs/>
          <w:color w:val="000000"/>
          <w:spacing w:val="-1"/>
          <w:sz w:val="32"/>
          <w:szCs w:val="32"/>
          <w:highlight w:val="none"/>
        </w:rPr>
        <w:t xml:space="preserve">工程质量保修书</w:t>
      </w:r>
      <w:r>
        <w:rPr>
          <w:rFonts w:hint="eastAsia" w:ascii="宋体" w:hAnsi="宋体" w:cs="宋体"/>
          <w:b/>
          <w:bCs/>
          <w:color w:val="000000"/>
          <w:sz w:val="32"/>
          <w:szCs w:val="32"/>
          <w:highlight w:val="none"/>
        </w:rPr>
      </w:r>
      <w:r/>
    </w:p>
    <w:p>
      <w:pPr>
        <w:pStyle w:val="1041"/>
        <w:ind w:firstLine="3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ind w:firstLine="36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rPr>
        <w:t xml:space="preserve">常州机电职业技术学院</w:t>
      </w:r>
      <w:r>
        <w:rPr>
          <w:rFonts w:hint="eastAsia" w:ascii="宋体" w:hAnsi="宋体" w:cs="宋体"/>
          <w:color w:val="000000"/>
          <w:sz w:val="24"/>
          <w:highlight w:val="none"/>
          <w:u w:val="singl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发包人和承包人根据《中华人民共和国建筑法》和《建设工程质量管理条例》， 经协商一致就</w:t>
      </w:r>
      <w:r>
        <w:rPr>
          <w:rFonts w:hint="eastAsia" w:ascii="宋体" w:hAnsi="宋体" w:cs="宋体"/>
          <w:color w:val="000000"/>
          <w:sz w:val="24"/>
          <w:highlight w:val="none"/>
          <w:u w:val="single"/>
        </w:rPr>
        <w:t xml:space="preserve">常州机电职业技术学院善学楼（东教学楼）升级改造项目 </w:t>
      </w:r>
      <w:r>
        <w:rPr>
          <w:rFonts w:hint="eastAsia" w:ascii="宋体" w:hAnsi="宋体" w:cs="宋体"/>
          <w:color w:val="000000"/>
          <w:sz w:val="24"/>
          <w:highlight w:val="none"/>
        </w:rPr>
        <w:t xml:space="preserve">签订工程质量保修书。</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一、工程质量保修范围和内容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承包人在质量保修期内，按照有关法律规定和合同约定，承担工程质量保修责任。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按合同承包范围内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1.地基基础工程和主体结构工程为设计文件规定的该工程合理使用年限；</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2.屋面防水工程、有防水要求的卫生间、房间和外墙面的防渗漏为伍年；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3.装修工程为贰年；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4.电气管线、给排水管道、设备安装工程为贰年；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5.供热与供冷系统为贰个采暖期、供冷期；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6.住宅小区内的给排水设施、道路等配套工程为贰年；</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 / 。</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 24个月，缺陷责任期自工程竣工验收合格之日起计算。单位工程先于全部工程进行验收，单位工程缺陷责任期自单位工程验收合格之日起算。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五、保修费用</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六、双方约定的其他工程质量保修事项：</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因承包人原因造成工程的缺陷或损坏，承包人拒绝维修或未能在合理期限内 修复缺陷或损坏，且经发包人书面催告后仍未修复的，发包人有权自行修复或委 托第三方修复，所需费用由承包人承担。但修复范围超出缺陷或损坏范围的，超出范围部分的修复费用由发包人承担。</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发包人(公章)：                      承包人(公章)：</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  址：                            地  址：</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                  法定代表人(签字)：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                  委托代理人(签字)：</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  话：                            电  话：</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传  真：                            传  真：</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                          开户银行：</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账  号：                            账  号：</w:t>
      </w:r>
      <w:r>
        <w:rPr>
          <w:rFonts w:hint="eastAsia" w:ascii="宋体" w:hAnsi="宋体" w:cs="宋体"/>
          <w:color w:val="000000"/>
          <w:sz w:val="24"/>
          <w:highlight w:val="none"/>
        </w:rPr>
      </w:r>
      <w:r/>
    </w:p>
    <w:p>
      <w:pPr>
        <w:pStyle w:val="1041"/>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邮政编码：                          邮政编码： </w:t>
      </w:r>
      <w:r>
        <w:rPr>
          <w:rFonts w:hint="eastAsia" w:ascii="宋体" w:hAnsi="宋体" w:cs="宋体"/>
          <w:color w:val="000000"/>
          <w:sz w:val="24"/>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041"/>
        <w:spacing w:line="42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注：上述格式及内容仅供参考，具体以甲乙双方签订合同时内容为准。</w:t>
      </w:r>
      <w:r>
        <w:rPr>
          <w:rFonts w:hint="eastAsia" w:ascii="宋体" w:hAnsi="宋体" w:cs="宋体"/>
          <w:b/>
          <w:color w:val="000000"/>
          <w:szCs w:val="21"/>
          <w:highlight w:val="none"/>
        </w:rPr>
      </w:r>
      <w:r/>
    </w:p>
    <w:p>
      <w:pPr>
        <w:pStyle w:val="1041"/>
        <w:jc w:val="center"/>
        <w:spacing w:line="360" w:lineRule="auto"/>
        <w:rPr>
          <w:b/>
          <w:color w:val="000000"/>
          <w:sz w:val="36"/>
          <w:szCs w:val="36"/>
          <w:highlight w:val="none"/>
        </w:rPr>
        <w:outlineLvl w:val="0"/>
      </w:pPr>
      <w:r>
        <w:rPr>
          <w:b/>
          <w:color w:val="000000"/>
          <w:sz w:val="36"/>
          <w:szCs w:val="36"/>
          <w:highlight w:val="none"/>
        </w:rPr>
        <w:br w:type="page" w:clear="all"/>
      </w:r>
      <w:bookmarkStart w:id="646" w:name="_Toc20453"/>
      <w:r/>
      <w:bookmarkStart w:id="647" w:name="_Toc5215"/>
      <w:r/>
      <w:bookmarkStart w:id="648" w:name="_Toc23235"/>
      <w:r>
        <w:rPr>
          <w:b/>
          <w:color w:val="000000"/>
          <w:sz w:val="36"/>
          <w:szCs w:val="36"/>
          <w:highlight w:val="none"/>
        </w:rPr>
        <w:t xml:space="preserve">第六章   响应文件格式</w:t>
      </w:r>
      <w:bookmarkEnd w:id="627"/>
      <w:r/>
      <w:bookmarkEnd w:id="632"/>
      <w:r/>
      <w:bookmarkEnd w:id="646"/>
      <w:r/>
      <w:bookmarkEnd w:id="647"/>
      <w:r/>
      <w:bookmarkEnd w:id="648"/>
      <w:r>
        <w:rPr>
          <w:b/>
          <w:color w:val="000000"/>
          <w:sz w:val="36"/>
          <w:szCs w:val="36"/>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jc w:val="left"/>
        <w:spacing w:line="360" w:lineRule="auto"/>
        <w:widowControl/>
        <w:rPr>
          <w:b/>
          <w:color w:val="000000"/>
          <w:sz w:val="24"/>
          <w:highlight w:val="none"/>
        </w:rPr>
      </w:pPr>
      <w:r>
        <w:rPr>
          <w:b/>
          <w:color w:val="000000"/>
          <w:sz w:val="24"/>
          <w:highlight w:val="none"/>
        </w:rPr>
      </w:r>
      <w:r/>
    </w:p>
    <w:p>
      <w:pPr>
        <w:pStyle w:val="1041"/>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4、实行电子化不见面交易方式的，加盖公章、签名等均通过响应文件编制工具加盖电子公章、签字、签章或印鉴。</w:t>
      </w:r>
      <w:r>
        <w:rPr>
          <w:color w:val="000000"/>
          <w:sz w:val="24"/>
          <w:highlight w:val="none"/>
        </w:rPr>
      </w:r>
      <w:r/>
    </w:p>
    <w:p>
      <w:pPr>
        <w:pStyle w:val="1041"/>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1041"/>
        <w:jc w:val="left"/>
        <w:widowControl/>
        <w:rPr>
          <w:color w:val="000000"/>
          <w:sz w:val="24"/>
          <w:highlight w:val="none"/>
        </w:rPr>
      </w:pPr>
      <w:r>
        <w:rPr>
          <w:color w:val="000000"/>
          <w:sz w:val="24"/>
          <w:highlight w:val="none"/>
        </w:rPr>
        <w:br w:type="page" w:clear="all"/>
      </w:r>
      <w:r>
        <w:rPr>
          <w:color w:val="000000"/>
          <w:sz w:val="24"/>
          <w:highlight w:val="none"/>
        </w:rPr>
      </w:r>
      <w:r/>
    </w:p>
    <w:p>
      <w:pPr>
        <w:pStyle w:val="1041"/>
        <w:rPr>
          <w:b/>
          <w:color w:val="000000"/>
          <w:spacing w:val="20"/>
          <w:szCs w:val="21"/>
          <w:highlight w:val="none"/>
        </w:rPr>
      </w:pPr>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b/>
          <w:color w:val="000000"/>
          <w:spacing w:val="20"/>
          <w:szCs w:val="21"/>
          <w:highlight w:val="none"/>
        </w:rPr>
      </w:r>
      <w:r/>
    </w:p>
    <w:p>
      <w:pPr>
        <w:pStyle w:val="1041"/>
        <w:rPr>
          <w:b/>
          <w:color w:val="000000"/>
          <w:sz w:val="24"/>
          <w:highlight w:val="none"/>
        </w:rPr>
      </w:pPr>
      <w:r>
        <w:rPr>
          <w:b/>
          <w:color w:val="000000"/>
          <w:spacing w:val="20"/>
          <w:sz w:val="24"/>
          <w:highlight w:val="none"/>
        </w:rPr>
        <w:t xml:space="preserve">响应文件</w:t>
      </w:r>
      <w:r>
        <w:rPr>
          <w:b/>
          <w:color w:val="000000"/>
          <w:sz w:val="24"/>
          <w:highlight w:val="none"/>
        </w:rPr>
        <w:t xml:space="preserve">封面（非实质性格式）</w:t>
      </w:r>
      <w:r>
        <w:rPr>
          <w:b/>
          <w:color w:val="000000"/>
          <w:sz w:val="24"/>
          <w:highlight w:val="none"/>
        </w:rPr>
      </w:r>
      <w:r/>
    </w:p>
    <w:p>
      <w:pPr>
        <w:pStyle w:val="1041"/>
        <w:jc w:val="center"/>
        <w:rPr>
          <w:color w:val="000000"/>
          <w:szCs w:val="21"/>
          <w:highlight w:val="none"/>
        </w:rPr>
      </w:pPr>
      <w:r>
        <w:rPr>
          <w:color w:val="000000"/>
          <w:szCs w:val="21"/>
          <w:highlight w:val="none"/>
        </w:rPr>
      </w:r>
      <w:r/>
    </w:p>
    <w:p>
      <w:pPr>
        <w:pStyle w:val="1041"/>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1041"/>
        <w:jc w:val="center"/>
        <w:rPr>
          <w:b/>
          <w:color w:val="000000"/>
          <w:spacing w:val="60"/>
          <w:sz w:val="52"/>
          <w:szCs w:val="52"/>
          <w:highlight w:val="none"/>
        </w:rPr>
      </w:pPr>
      <w:r>
        <w:rPr>
          <w:b/>
          <w:color w:val="000000"/>
          <w:spacing w:val="60"/>
          <w:sz w:val="52"/>
          <w:szCs w:val="5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542"/>
        <w:rPr>
          <w:b/>
          <w:color w:val="000000"/>
          <w:spacing w:val="20"/>
          <w:sz w:val="32"/>
          <w:szCs w:val="32"/>
          <w:highlight w:val="none"/>
        </w:rPr>
      </w:pPr>
      <w:r>
        <w:rPr>
          <w:b/>
          <w:color w:val="000000"/>
          <w:spacing w:val="20"/>
          <w:sz w:val="32"/>
          <w:szCs w:val="32"/>
          <w:highlight w:val="none"/>
        </w:rPr>
      </w:r>
      <w:r/>
    </w:p>
    <w:p>
      <w:pPr>
        <w:pStyle w:val="1041"/>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41"/>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41"/>
        <w:jc w:val="center"/>
        <w:rPr>
          <w:b/>
          <w:color w:val="000000"/>
          <w:sz w:val="32"/>
          <w:szCs w:val="32"/>
          <w:highlight w:val="none"/>
        </w:rPr>
      </w:pPr>
      <w:r>
        <w:rPr>
          <w:b/>
          <w:color w:val="000000"/>
          <w:sz w:val="32"/>
          <w:szCs w:val="32"/>
          <w:highlight w:val="non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b/>
          <w:color w:val="000000"/>
          <w:spacing w:val="20"/>
          <w:sz w:val="32"/>
          <w:szCs w:val="32"/>
          <w:highlight w:val="none"/>
        </w:rPr>
        <w:br w:type="page" w:clear="all"/>
      </w:r>
      <w:r>
        <w:rPr>
          <w:rFonts w:hint="eastAsia"/>
          <w:color w:val="000000"/>
          <w:sz w:val="24"/>
          <w:highlight w:val="none"/>
        </w:rPr>
        <w:t xml:space="preserve">满足《中华人民共和国政府采购法》第二十二条规定及法律法规的其他规定</w:t>
      </w:r>
      <w:r>
        <w:rPr>
          <w:color w:val="000000"/>
          <w:sz w:val="24"/>
          <w:szCs w:val="20"/>
          <w:highlight w:val="none"/>
        </w:rPr>
      </w:r>
      <w:r/>
    </w:p>
    <w:p>
      <w:pPr>
        <w:pStyle w:val="1041"/>
        <w:rPr>
          <w:b/>
          <w:bCs/>
          <w:color w:val="000000"/>
          <w:highlight w:val="none"/>
        </w:rPr>
        <w:outlineLvl w:val="3"/>
      </w:pPr>
      <w:r>
        <w:rPr>
          <w:b/>
          <w:color w:val="000000"/>
          <w:highlight w:val="none"/>
        </w:rPr>
        <w:t xml:space="preserve">1-</w:t>
      </w:r>
      <w:r>
        <w:rPr>
          <w:rFonts w:hint="eastAsia"/>
          <w:b/>
          <w:color w:val="000000"/>
          <w:highlight w:val="none"/>
        </w:rPr>
        <w:t xml:space="preserve">1</w:t>
      </w:r>
      <w:r>
        <w:rPr>
          <w:b/>
          <w:color w:val="000000"/>
          <w:highlight w:val="none"/>
        </w:rPr>
        <w:t xml:space="preserve"> 供应商资格声明</w:t>
      </w:r>
      <w:r>
        <w:rPr>
          <w:rFonts w:hint="eastAsia"/>
          <w:b/>
          <w:color w:val="000000"/>
          <w:highlight w:val="none"/>
        </w:rPr>
        <w:t xml:space="preserve">函</w:t>
      </w:r>
      <w:r>
        <w:rPr>
          <w:b/>
          <w:color w:val="000000"/>
          <w:highlight w:val="none"/>
        </w:rPr>
        <w:t xml:space="preserve">（实质性格式）</w:t>
      </w:r>
      <w:r>
        <w:rPr>
          <w:b/>
          <w:bCs/>
          <w:color w:val="000000"/>
          <w:highlight w:val="none"/>
        </w:rPr>
      </w:r>
      <w:r/>
    </w:p>
    <w:p>
      <w:pPr>
        <w:pStyle w:val="1041"/>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41"/>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供应商资格声明函</w:t>
      </w:r>
      <w:r>
        <w:rPr>
          <w:rFonts w:ascii="宋体" w:hAnsi="宋体" w:cs="宋体"/>
          <w:color w:val="000000"/>
          <w:szCs w:val="21"/>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致：常州青果招投标有限公司</w:t>
      </w:r>
      <w:r>
        <w:rPr>
          <w:rFonts w:hint="eastAsia"/>
          <w:color w:val="000000"/>
          <w:highlight w:val="none"/>
        </w:rPr>
      </w:r>
      <w:r/>
    </w:p>
    <w:p>
      <w:pPr>
        <w:pStyle w:val="1055"/>
        <w:ind w:firstLine="960"/>
        <w:spacing w:line="460" w:lineRule="exact"/>
        <w:rPr>
          <w:color w:val="000000"/>
          <w:highlight w:val="none"/>
          <w:u w:val="single"/>
        </w:rPr>
      </w:pPr>
      <w:r>
        <w:rPr>
          <w:rFonts w:hint="eastAsia"/>
          <w:color w:val="000000"/>
          <w:highlight w:val="none"/>
          <w:u w:val="single"/>
        </w:rPr>
        <w:t xml:space="preserve">（采购人名称）</w:t>
      </w:r>
      <w:r>
        <w:rPr>
          <w:color w:val="000000"/>
          <w:highlight w:val="none"/>
          <w:u w:val="singl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按照《中华人民共和国政府采购法》第二十二条和磋商文件的规定，我单位郑重声明如下：</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一、我单位是按照中华人民共和国法律规定登记注册的，注册地点为</w:t>
      </w:r>
      <w:r>
        <w:rPr>
          <w:rFonts w:hint="eastAsia"/>
          <w:color w:val="000000"/>
          <w:highlight w:val="none"/>
          <w:u w:val="single"/>
        </w:rPr>
        <w:t xml:space="preserve">         </w:t>
      </w:r>
      <w:r>
        <w:rPr>
          <w:rFonts w:hint="eastAsia"/>
          <w:color w:val="000000"/>
          <w:highlight w:val="none"/>
        </w:rPr>
        <w:t xml:space="preserve">，全称为</w:t>
      </w:r>
      <w:r>
        <w:rPr>
          <w:rFonts w:hint="eastAsia"/>
          <w:color w:val="000000"/>
          <w:highlight w:val="none"/>
          <w:u w:val="single"/>
        </w:rPr>
        <w:t xml:space="preserve">        </w:t>
      </w:r>
      <w:r>
        <w:rPr>
          <w:rFonts w:hint="eastAsia"/>
          <w:color w:val="000000"/>
          <w:highlight w:val="none"/>
        </w:rPr>
        <w:t xml:space="preserve">，统一社会信用代码为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 xml:space="preserve">，具有独立承担民事责任的能力。</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二、我单位未被“国家企业信用信息系统”列入经营异常名录或者严重违法企业名单。</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三、我单位具有良好的商业信誉（指供应商经营状况良好，无本资格声明第十条情形）和健全的财务会计制度。</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四、我单位依法进行纳税和社会保险申报并实际履行了义务。</w:t>
      </w:r>
      <w:r>
        <w:rPr>
          <w:color w:val="000000"/>
          <w:highlight w:val="none"/>
        </w:rPr>
      </w:r>
      <w:r/>
    </w:p>
    <w:p>
      <w:pPr>
        <w:pStyle w:val="1055"/>
        <w:ind w:firstLine="480"/>
        <w:spacing w:line="460" w:lineRule="exact"/>
        <w:rPr>
          <w:rFonts w:hint="eastAsia"/>
          <w:color w:val="000000"/>
          <w:highlight w:val="none"/>
        </w:rPr>
      </w:pPr>
      <w:r>
        <w:rPr>
          <w:rFonts w:hint="eastAsia"/>
          <w:color w:val="000000"/>
          <w:highlight w:val="none"/>
        </w:rPr>
        <w:t xml:space="preserve">五、我单位具有履行本项目采购合同所必需的设备和专业技术能力，并具有履行合同的良好</w:t>
      </w:r>
      <w:r>
        <w:rPr>
          <w:color w:val="000000"/>
          <w:highlight w:val="none"/>
        </w:rPr>
        <w:t xml:space="preserve">记录</w:t>
      </w:r>
      <w:r>
        <w:rPr>
          <w:rFonts w:hint="eastAsia"/>
          <w:color w:val="000000"/>
          <w:highlight w:val="none"/>
        </w:rPr>
        <w:t xml:space="preserve">。为履行本项采购合同我单位具备如下主要设备和主要专业技术能力：</w:t>
      </w:r>
      <w:r>
        <w:rPr>
          <w:rFonts w:hint="eastAsia"/>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主要设备有：</w:t>
      </w:r>
      <w:r>
        <w:rPr>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主要专业技术能力有</w:t>
      </w:r>
      <w:r>
        <w:rPr>
          <w:rFonts w:hint="eastAsia"/>
          <w:color w:val="000000"/>
          <w:highlight w:val="none"/>
          <w:u w:val="singl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七、我单位具备法律、行政法规规定的其他条件。</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八、与我单位存在“单位负责人为同一人或者存在直接控股、管理关系”的其他单位信息如下（如无此情形的，填写“无”）：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2、我单位直接控股的其他单位如下：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3、与我单位存在管理关系的其他单位如下：</w:t>
      </w:r>
      <w:r>
        <w:rPr>
          <w:rFonts w:hint="eastAsia"/>
          <w:color w:val="000000"/>
          <w:highlight w:val="none"/>
          <w:u w:val="single"/>
        </w:rPr>
        <w:t xml:space="preserve">              </w:t>
      </w:r>
      <w:r>
        <w:rPr>
          <w:rFonts w:hint="eastAsia"/>
          <w:color w:val="000000"/>
          <w:highlight w:val="none"/>
        </w:rPr>
        <w:t xml:space="preserve"> </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九、</w:t>
      </w:r>
      <w:r>
        <w:rPr>
          <w:color w:val="000000"/>
          <w:highlight w:val="none"/>
        </w:rPr>
        <w:t xml:space="preserve">我</w:t>
      </w:r>
      <w:r>
        <w:rPr>
          <w:rFonts w:hint="eastAsia"/>
          <w:color w:val="000000"/>
          <w:highlight w:val="none"/>
        </w:rPr>
        <w:t xml:space="preserve">单位</w:t>
      </w:r>
      <w:r>
        <w:rPr>
          <w:color w:val="000000"/>
          <w:highlight w:val="none"/>
        </w:rPr>
        <w:t xml:space="preserve">不属于为本项目提供整体设计、规范编制或者项目管理、监理、检测等服务的供应商。</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十、</w:t>
      </w:r>
      <w:r>
        <w:rPr>
          <w:color w:val="000000"/>
          <w:highlight w:val="none"/>
        </w:rPr>
        <w:t xml:space="preserve">我单位无以下不良信用记录情形：</w:t>
      </w:r>
      <w:r>
        <w:rPr>
          <w:color w:val="000000"/>
          <w:highlight w:val="none"/>
        </w:rPr>
      </w:r>
      <w:r/>
    </w:p>
    <w:p>
      <w:pPr>
        <w:pStyle w:val="1055"/>
        <w:ind w:firstLine="480"/>
        <w:spacing w:line="460" w:lineRule="exact"/>
        <w:rPr>
          <w:color w:val="000000"/>
          <w:highlight w:val="none"/>
        </w:rPr>
      </w:pPr>
      <w:r>
        <w:rPr>
          <w:color w:val="000000"/>
          <w:highlight w:val="none"/>
        </w:rPr>
        <w:t xml:space="preserve">1</w:t>
      </w:r>
      <w:r>
        <w:rPr>
          <w:rFonts w:hint="eastAsia"/>
          <w:color w:val="000000"/>
          <w:highlight w:val="none"/>
        </w:rPr>
        <w:t xml:space="preserve">、在“信用中国”网站被列入失信被执行人和重大税收违法案件当事人名单；</w:t>
      </w:r>
      <w:r>
        <w:rPr>
          <w:color w:val="000000"/>
          <w:highlight w:val="none"/>
        </w:rPr>
      </w:r>
      <w:r/>
    </w:p>
    <w:p>
      <w:pPr>
        <w:pStyle w:val="1055"/>
        <w:ind w:firstLine="480"/>
        <w:spacing w:line="460" w:lineRule="exact"/>
        <w:rPr>
          <w:color w:val="000000"/>
          <w:highlight w:val="none"/>
        </w:rPr>
      </w:pPr>
      <w:r>
        <w:rPr>
          <w:color w:val="000000"/>
          <w:highlight w:val="none"/>
        </w:rPr>
        <w:t xml:space="preserve">2</w:t>
      </w:r>
      <w:r>
        <w:rPr>
          <w:rFonts w:hint="eastAsia"/>
          <w:color w:val="000000"/>
          <w:highlight w:val="none"/>
        </w:rPr>
        <w:t xml:space="preserve">、在“中国政府采购网”网站被列入政府采购严重违法失信行为记录名单；</w:t>
      </w:r>
      <w:r>
        <w:rPr>
          <w:color w:val="000000"/>
          <w:highlight w:val="none"/>
        </w:rPr>
      </w:r>
      <w:r/>
    </w:p>
    <w:p>
      <w:pPr>
        <w:pStyle w:val="1055"/>
        <w:ind w:firstLine="480"/>
        <w:spacing w:line="460" w:lineRule="exact"/>
        <w:rPr>
          <w:color w:val="000000"/>
          <w:highlight w:val="none"/>
        </w:rPr>
      </w:pPr>
      <w:r>
        <w:rPr>
          <w:color w:val="000000"/>
          <w:highlight w:val="none"/>
        </w:rPr>
        <w:t xml:space="preserve">3</w:t>
      </w:r>
      <w:r>
        <w:rPr>
          <w:rFonts w:hint="eastAsia"/>
          <w:color w:val="000000"/>
          <w:highlight w:val="none"/>
        </w:rPr>
        <w:t xml:space="preserve">、</w:t>
      </w:r>
      <w:r>
        <w:rPr>
          <w:color w:val="000000"/>
          <w:highlight w:val="none"/>
        </w:rPr>
        <w:t xml:space="preserve">不符合《政府采购法》第二十二条规定的条件。</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我单位保证上述声明的事项都是真实的，如有虚假，我单位愿意承担相应的法律责任，并承担因此所造成的一切损失。</w:t>
      </w: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供应商：（加盖公章）</w:t>
      </w:r>
      <w:r>
        <w:rPr>
          <w:color w:val="000000"/>
          <w:highlight w:val="none"/>
        </w:rPr>
      </w:r>
      <w:r/>
    </w:p>
    <w:p>
      <w:pPr>
        <w:pStyle w:val="1055"/>
        <w:ind w:firstLine="480"/>
        <w:spacing w:line="460" w:lineRule="exact"/>
        <w:rPr>
          <w:color w:val="000000"/>
          <w:highlight w:val="none"/>
        </w:rPr>
      </w:pPr>
      <w:r>
        <w:rPr>
          <w:rFonts w:hint="eastAsia"/>
          <w:color w:val="000000"/>
          <w:highlight w:val="none"/>
        </w:rPr>
        <w:t xml:space="preserve">                                           法定代表人（或单位负责人）签字或盖章：</w:t>
      </w:r>
      <w:r>
        <w:rPr>
          <w:color w:val="000000"/>
          <w:highlight w:val="none"/>
        </w:rPr>
      </w:r>
      <w:r/>
    </w:p>
    <w:p>
      <w:pPr>
        <w:pStyle w:val="1055"/>
        <w:ind w:firstLine="4920"/>
        <w:spacing w:line="460" w:lineRule="exact"/>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rFonts w:hint="eastAsia"/>
          <w:color w:val="000000"/>
          <w:sz w:val="24"/>
          <w:highlight w:val="none"/>
        </w:rPr>
      </w:pPr>
      <w:r>
        <w:rPr>
          <w:rFonts w:hint="eastAsia"/>
          <w:color w:val="000000"/>
          <w:sz w:val="24"/>
          <w:highlight w:val="none"/>
        </w:rPr>
      </w:r>
      <w:r/>
    </w:p>
    <w:p>
      <w:pPr>
        <w:pStyle w:val="1041"/>
        <w:spacing w:line="360" w:lineRule="auto"/>
        <w:rPr>
          <w:color w:val="000000"/>
          <w:sz w:val="24"/>
          <w:highlight w:val="none"/>
        </w:rPr>
      </w:pPr>
      <w:r>
        <w:rPr>
          <w:color w:val="000000"/>
          <w:sz w:val="24"/>
          <w:highlight w:val="none"/>
        </w:rPr>
        <w:t xml:space="preserve">说明：</w:t>
      </w:r>
      <w:r>
        <w:rPr>
          <w:rFonts w:hint="eastAsia"/>
          <w:color w:val="000000"/>
          <w:sz w:val="24"/>
          <w:highlight w:val="none"/>
        </w:rPr>
        <w:t xml:space="preserve">供应商承诺不实的，依据《政府采购法》第七十七条“提供虚假材料谋取中标、成交的”有关规定予以处理</w:t>
      </w:r>
      <w:r>
        <w:rPr>
          <w:color w:val="000000"/>
          <w:sz w:val="24"/>
          <w:highlight w:val="none"/>
        </w:rPr>
        <w:t xml:space="preserve">。</w:t>
      </w:r>
      <w:r>
        <w:rPr>
          <w:color w:val="000000"/>
          <w:sz w:val="24"/>
          <w:highlight w:val="none"/>
        </w:rPr>
      </w:r>
      <w:r/>
    </w:p>
    <w:p>
      <w:pPr>
        <w:pStyle w:val="1041"/>
        <w:spacing w:line="360" w:lineRule="auto"/>
        <w:tabs>
          <w:tab w:val="left" w:pos="5580" w:leader="none"/>
        </w:tabs>
        <w:rPr>
          <w:color w:val="000000"/>
          <w:sz w:val="24"/>
          <w:highlight w:val="none"/>
        </w:rPr>
        <w:sectPr>
          <w:headerReference w:type="default" r:id="rId9"/>
          <w:footerReference w:type="default" r:id="rId14"/>
          <w:footnotePr/>
          <w:endnotePr/>
          <w:type w:val="nextPage"/>
          <w:pgSz w:w="11907" w:h="16840" w:orient="portrait"/>
          <w:pgMar w:top="1440" w:right="1080" w:bottom="1440" w:left="1080" w:header="851" w:footer="851" w:gutter="0"/>
          <w:cols w:num="1" w:sep="0" w:space="1701" w:equalWidth="1"/>
          <w:docGrid w:linePitch="360"/>
        </w:sectPr>
      </w:pPr>
      <w:r>
        <w:rPr>
          <w:color w:val="000000"/>
          <w:sz w:val="24"/>
          <w:highlight w:val="none"/>
        </w:rPr>
      </w:r>
      <w:r/>
    </w:p>
    <w:p>
      <w:pPr>
        <w:pStyle w:val="1041"/>
        <w:numPr>
          <w:ilvl w:val="0"/>
          <w:numId w:val="20"/>
        </w:numPr>
        <w:ind w:left="901" w:hanging="901"/>
        <w:spacing w:line="360" w:lineRule="auto"/>
        <w:tabs>
          <w:tab w:val="left" w:pos="360" w:leader="none"/>
          <w:tab w:val="left" w:pos="900" w:leader="none"/>
        </w:tabs>
        <w:rPr>
          <w:rFonts w:hint="eastAsia"/>
          <w:color w:val="000000"/>
          <w:sz w:val="24"/>
          <w:highlight w:val="none"/>
        </w:rPr>
        <w:outlineLvl w:val="2"/>
      </w:pPr>
      <w:r>
        <w:rPr>
          <w:rFonts w:hint="eastAsia"/>
          <w:color w:val="000000"/>
          <w:sz w:val="24"/>
          <w:highlight w:val="none"/>
        </w:rPr>
        <w:t xml:space="preserve">落实政府采购政策需满足的资格要求</w:t>
      </w:r>
      <w:r>
        <w:rPr>
          <w:rFonts w:hint="eastAsia"/>
          <w:color w:val="000000"/>
          <w:sz w:val="24"/>
          <w:highlight w:val="none"/>
        </w:rPr>
      </w:r>
      <w:r/>
    </w:p>
    <w:p>
      <w:pPr>
        <w:pStyle w:val="1041"/>
        <w:rPr>
          <w:rFonts w:hint="eastAsia"/>
          <w:b/>
          <w:color w:val="000000"/>
          <w:highlight w:val="none"/>
        </w:rPr>
        <w:outlineLvl w:val="3"/>
      </w:pPr>
      <w:r>
        <w:rPr>
          <w:b/>
          <w:color w:val="000000"/>
          <w:highlight w:val="none"/>
        </w:rPr>
        <w:t xml:space="preserve">2-1 </w:t>
      </w:r>
      <w:r>
        <w:rPr>
          <w:rFonts w:hint="eastAsia"/>
          <w:b/>
          <w:color w:val="000000"/>
          <w:highlight w:val="none"/>
        </w:rPr>
        <w:t xml:space="preserve">营业执照</w:t>
      </w:r>
      <w:r>
        <w:rPr>
          <w:rFonts w:hint="eastAsia"/>
          <w:color w:val="000000"/>
          <w:sz w:val="24"/>
          <w:highlight w:val="none"/>
        </w:rPr>
        <w:t xml:space="preserve">（实质性格式）</w:t>
      </w:r>
      <w:r>
        <w:rPr>
          <w:rFonts w:hint="eastAsia"/>
          <w:b/>
          <w:color w:val="000000"/>
          <w:highlight w:val="none"/>
        </w:rPr>
      </w:r>
      <w:r/>
    </w:p>
    <w:p>
      <w:pPr>
        <w:pStyle w:val="1041"/>
        <w:rPr>
          <w:b/>
          <w:color w:val="000000"/>
          <w:highlight w:val="none"/>
        </w:rPr>
        <w:outlineLvl w:val="3"/>
      </w:pPr>
      <w:r>
        <w:rPr>
          <w:rFonts w:hint="eastAsia"/>
          <w:b/>
          <w:color w:val="000000"/>
          <w:highlight w:val="none"/>
        </w:rPr>
        <w:t xml:space="preserve">2-2</w:t>
      </w:r>
      <w:r>
        <w:rPr>
          <w:b/>
          <w:color w:val="000000"/>
          <w:highlight w:val="none"/>
        </w:rPr>
        <w:t xml:space="preserve">中小企业声明函</w:t>
      </w:r>
      <w:r>
        <w:rPr>
          <w:rFonts w:hint="eastAsia"/>
          <w:color w:val="000000"/>
          <w:sz w:val="24"/>
          <w:highlight w:val="none"/>
        </w:rPr>
        <w:t xml:space="preserve">（实质性格式）</w:t>
      </w:r>
      <w:r>
        <w:rPr>
          <w:b/>
          <w:color w:val="000000"/>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说明：</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（1）本项目专门面向中小企业采购，须提供《中小企业声明函》（实质性格式）。</w:t>
      </w:r>
      <w:r>
        <w:rPr>
          <w:color w:val="000000"/>
          <w:sz w:val="24"/>
          <w:highlight w:val="none"/>
        </w:rPr>
      </w:r>
      <w:r/>
    </w:p>
    <w:p>
      <w:pPr>
        <w:pStyle w:val="1041"/>
        <w:spacing w:line="360" w:lineRule="auto"/>
        <w:tabs>
          <w:tab w:val="left" w:pos="5580" w:leader="none"/>
        </w:tabs>
        <w:rPr>
          <w:color w:val="000000"/>
          <w:sz w:val="24"/>
          <w:highlight w:val="none"/>
        </w:rPr>
      </w:pPr>
      <w:r>
        <w:rPr>
          <w:rFonts w:hint="eastAsia"/>
          <w:color w:val="000000"/>
          <w:sz w:val="24"/>
          <w:highlight w:val="none"/>
        </w:rPr>
        <w:t xml:space="preserve">（2）其它：中小企业参加政府采购活动，应当出具此格式文件。《中小企业声明函》由参加政府采购活动的供应商出具。</w:t>
      </w:r>
      <w:r>
        <w:rPr>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（3）中小企业认定标准以《关于印发中小企业划型标准规定的通知》（工信部联企业〔2011〕300号）文件规定为准。</w:t>
      </w:r>
      <w:r>
        <w:rPr>
          <w:rFonts w:hint="eastAsia"/>
          <w:color w:val="000000"/>
          <w:sz w:val="24"/>
          <w:highlight w:val="none"/>
        </w:rPr>
      </w:r>
      <w:r/>
    </w:p>
    <w:p>
      <w:pPr>
        <w:pStyle w:val="1041"/>
        <w:spacing w:line="360" w:lineRule="auto"/>
        <w:tabs>
          <w:tab w:val="left" w:pos="5580" w:leader="none"/>
        </w:tabs>
        <w:rPr>
          <w:rFonts w:hint="eastAsia"/>
          <w:color w:val="000000"/>
          <w:sz w:val="24"/>
          <w:highlight w:val="none"/>
        </w:rPr>
      </w:pPr>
      <w:r>
        <w:rPr>
          <w:rFonts w:hint="eastAsia"/>
          <w:color w:val="000000"/>
          <w:sz w:val="24"/>
          <w:highlight w:val="none"/>
        </w:rPr>
        <w:t xml:space="preserve">（4）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https://baosong.miit.gov.cn/ScaleTest）</w:t>
      </w:r>
      <w:r>
        <w:rPr>
          <w:rFonts w:hint="eastAsia"/>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spacing w:line="360" w:lineRule="auto"/>
        <w:tabs>
          <w:tab w:val="left" w:pos="5580" w:leader="none"/>
        </w:tabs>
        <w:rPr>
          <w:color w:val="000000"/>
          <w:sz w:val="24"/>
          <w:highlight w:val="none"/>
        </w:rPr>
      </w:pPr>
      <w:r>
        <w:rPr>
          <w:color w:val="000000"/>
          <w:sz w:val="24"/>
          <w:highlight w:val="none"/>
        </w:rPr>
      </w:r>
      <w:r/>
    </w:p>
    <w:p>
      <w:pPr>
        <w:pStyle w:val="1041"/>
        <w:ind w:right="360" w:firstLine="480"/>
        <w:jc w:val="right"/>
        <w:spacing w:line="360" w:lineRule="auto"/>
        <w:rPr>
          <w:rFonts w:hint="eastAsia" w:ascii="宋体" w:hAnsi="宋体" w:cs="宋体"/>
          <w:color w:val="000000"/>
          <w:szCs w:val="21"/>
          <w:highlight w:val="none"/>
        </w:rPr>
      </w:pPr>
      <w:r>
        <w:rPr>
          <w:color w:val="000000"/>
          <w:sz w:val="24"/>
          <w:highlight w:val="none"/>
        </w:rPr>
        <w:br w:type="page" w:clear="all"/>
      </w:r>
      <w:r>
        <w:rPr>
          <w:rFonts w:hint="eastAsia" w:ascii="宋体" w:hAnsi="宋体" w:cs="宋体"/>
          <w:color w:val="000000"/>
          <w:szCs w:val="21"/>
          <w:highlight w:val="none"/>
        </w:rPr>
      </w:r>
      <w:r/>
    </w:p>
    <w:p>
      <w:pPr>
        <w:pStyle w:val="1041"/>
        <w:jc w:val="center"/>
        <w:spacing w:before="240" w:after="240" w:line="360" w:lineRule="auto"/>
        <w:rPr>
          <w:rFonts w:ascii="方正小标宋简体" w:hAnsi="宋体" w:eastAsia="方正小标宋简体"/>
          <w:color w:val="000000"/>
          <w:sz w:val="44"/>
          <w:szCs w:val="44"/>
          <w:highlight w:val="none"/>
        </w:rPr>
      </w:pPr>
      <w:r>
        <w:rPr>
          <w:rFonts w:ascii="方正小标宋简体" w:hAnsi="宋体" w:eastAsia="方正小标宋简体"/>
          <w:color w:val="000000"/>
          <w:sz w:val="44"/>
          <w:szCs w:val="44"/>
          <w:highlight w:val="none"/>
        </w:rPr>
        <w:t xml:space="preserve">中小企业声明函</w:t>
      </w:r>
      <w:r>
        <w:rPr>
          <w:rFonts w:hint="eastAsia" w:ascii="方正小标宋简体" w:hAnsi="宋体" w:eastAsia="方正小标宋简体"/>
          <w:color w:val="000000"/>
          <w:sz w:val="44"/>
          <w:szCs w:val="44"/>
          <w:highlight w:val="none"/>
        </w:rPr>
        <w:t xml:space="preserve">格式</w:t>
      </w:r>
      <w:r>
        <w:rPr>
          <w:rFonts w:ascii="方正小标宋简体" w:hAnsi="宋体" w:eastAsia="方正小标宋简体"/>
          <w:color w:val="000000"/>
          <w:sz w:val="44"/>
          <w:szCs w:val="4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本公司郑重声明，根据《政府采购促进中小企业发展管理办法》(财库[2020]46号)的规定，本公司</w:t>
      </w:r>
      <w:r>
        <w:rPr>
          <w:color w:val="000000"/>
          <w:spacing w:val="6"/>
          <w:sz w:val="24"/>
          <w:highlight w:val="none"/>
          <w:u w:val="single"/>
        </w:rPr>
        <w:t xml:space="preserve">（</w:t>
      </w:r>
      <w:r>
        <w:rPr>
          <w:rFonts w:hint="eastAsia"/>
          <w:color w:val="000000"/>
          <w:spacing w:val="6"/>
          <w:sz w:val="24"/>
          <w:highlight w:val="none"/>
          <w:u w:val="single"/>
        </w:rPr>
        <w:t xml:space="preserve">此处填供应商</w:t>
      </w:r>
      <w:r>
        <w:rPr>
          <w:color w:val="000000"/>
          <w:spacing w:val="6"/>
          <w:sz w:val="24"/>
          <w:highlight w:val="none"/>
          <w:u w:val="singl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参加</w:t>
      </w:r>
      <w:r>
        <w:rPr>
          <w:rFonts w:hint="eastAsia" w:ascii="宋体" w:hAnsi="宋体" w:cs="宋体"/>
          <w:color w:val="000000"/>
          <w:sz w:val="24"/>
          <w:highlight w:val="none"/>
          <w:u w:val="single"/>
        </w:rPr>
        <w:t xml:space="preserve">常州青果招投标有限公司</w:t>
      </w:r>
      <w:r>
        <w:rPr>
          <w:rFonts w:hint="eastAsia" w:ascii="宋体" w:hAnsi="宋体" w:cs="宋体"/>
          <w:color w:val="000000"/>
          <w:sz w:val="24"/>
          <w:highlight w:val="none"/>
        </w:rPr>
        <w:t xml:space="preserve">组织的</w:t>
      </w:r>
      <w:r>
        <w:rPr>
          <w:rFonts w:hint="eastAsia" w:ascii="宋体" w:hAnsi="宋体" w:cs="宋体"/>
          <w:color w:val="000000"/>
          <w:sz w:val="24"/>
          <w:highlight w:val="none"/>
          <w:u w:val="single"/>
        </w:rPr>
        <w:t xml:space="preserve">（采购单位名称①）</w:t>
      </w:r>
      <w:r>
        <w:rPr>
          <w:rFonts w:hint="eastAsia" w:ascii="宋体" w:hAnsi="宋体" w:cs="宋体"/>
          <w:color w:val="000000"/>
          <w:sz w:val="24"/>
          <w:highlight w:val="none"/>
        </w:rPr>
        <w:t xml:space="preserve">采购编号为</w:t>
      </w:r>
      <w:r>
        <w:rPr>
          <w:rFonts w:hint="eastAsia" w:ascii="宋体" w:hAnsi="宋体" w:cs="宋体"/>
          <w:color w:val="000000"/>
          <w:sz w:val="24"/>
          <w:highlight w:val="none"/>
          <w:u w:val="single"/>
        </w:rPr>
        <w:t xml:space="preserve">②</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（项目名称③）（分包号：④）</w:t>
      </w:r>
      <w:r>
        <w:rPr>
          <w:rFonts w:hint="eastAsia" w:ascii="宋体" w:hAnsi="宋体" w:cs="宋体"/>
          <w:color w:val="000000"/>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rFonts w:hint="eastAsia" w:ascii="宋体" w:hAnsi="宋体" w:cs="宋体"/>
          <w:color w:val="000000"/>
          <w:sz w:val="24"/>
          <w:highlight w:val="none"/>
        </w:rPr>
      </w:r>
      <w:r/>
    </w:p>
    <w:p>
      <w:pPr>
        <w:pStyle w:val="1041"/>
        <w:ind w:firstLine="360"/>
        <w:spacing w:line="570" w:lineRule="exact"/>
        <w:rPr>
          <w:rFonts w:hint="eastAsia" w:ascii="宋体" w:hAnsi="宋体" w:cs="宋体"/>
          <w:i/>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（标的名称⑤）</w:t>
      </w:r>
      <w:r>
        <w:rPr>
          <w:rFonts w:hint="eastAsia" w:ascii="宋体" w:hAnsi="宋体" w:cs="宋体"/>
          <w:i/>
          <w:color w:val="000000"/>
          <w:sz w:val="24"/>
          <w:highlight w:val="non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（采购文件中明确的所属行业⑥）</w:t>
      </w:r>
      <w:r>
        <w:rPr>
          <w:rFonts w:hint="eastAsia" w:ascii="宋体" w:hAnsi="宋体" w:cs="宋体"/>
          <w:color w:val="000000"/>
          <w:sz w:val="24"/>
          <w:highlight w:val="none"/>
        </w:rPr>
        <w:t xml:space="preserve">行业；承接企业为</w:t>
      </w:r>
      <w:r>
        <w:rPr>
          <w:rFonts w:hint="eastAsia" w:ascii="宋体" w:hAnsi="宋体" w:cs="宋体"/>
          <w:color w:val="000000"/>
          <w:sz w:val="24"/>
          <w:highlight w:val="none"/>
          <w:u w:val="single"/>
        </w:rPr>
        <w:t xml:space="preserve">（企业名称⑦）</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⑧</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⑨</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⑩</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（中型企业、小型企业、微型企业⑪）；</w:t>
      </w:r>
      <w:r>
        <w:rPr>
          <w:rFonts w:hint="eastAsia" w:ascii="宋体" w:hAnsi="宋体" w:cs="宋体"/>
          <w:i/>
          <w:color w:val="000000"/>
          <w:sz w:val="24"/>
          <w:highlight w:val="none"/>
          <w:u w:val="singl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 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41"/>
        <w:ind w:firstLine="36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right="180" w:firstLine="360"/>
        <w:jc w:val="right"/>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企业名称（加盖CA电子公章）⑫：</w:t>
      </w:r>
      <w:r>
        <w:rPr>
          <w:rFonts w:hint="eastAsia" w:ascii="宋体" w:hAnsi="宋体" w:cs="宋体"/>
          <w:color w:val="000000"/>
          <w:sz w:val="24"/>
          <w:highlight w:val="none"/>
        </w:rPr>
      </w:r>
      <w:r/>
    </w:p>
    <w:p>
      <w:pPr>
        <w:pStyle w:val="1041"/>
        <w:ind w:right="480" w:firstLine="5880"/>
        <w:spacing w:line="57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1041"/>
        <w:spacing w:line="57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57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41"/>
        <w:spacing w:line="570" w:lineRule="exact"/>
        <w:rPr>
          <w:rFonts w:hint="eastAsia" w:ascii="宋体" w:hAnsi="宋体" w:cs="宋体"/>
          <w:color w:val="000000"/>
          <w:sz w:val="24"/>
          <w:highlight w:val="none"/>
        </w:rPr>
        <w:sectPr>
          <w:headerReference w:type="even" r:id="rId10"/>
          <w:headerReference w:type="first" r:id="rId11"/>
          <w:footerReference w:type="even" r:id="rId15"/>
          <w:footerReference w:type="first" r:id="rId1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1.（采购单位名称①）：填写本项目采购人单位名称，如常州市XXX局。</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2.采购编号为②：填写本项目编号，如JSZC-3204XX-SYZB-C20XX-XX。</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3.（项目名称③）：填写本项目名称，如常州市XXX项目。</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4.（分包号：④）：填写分包编号，如有分包的，分别填写分包号，没有的填“无”。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5.（标的名称⑤）：填写本项目标的名称，如XX服务等。</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6.（采购文件中明确的所属行业⑥）：填写本项目采购标的所属行业。须根据采购文件“第二章  供应商须知”表格中列明的所属行业进行填写。如：建筑业。</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7.（企业名称⑦）：填写</w:t>
      </w:r>
      <w:r>
        <w:rPr>
          <w:rFonts w:hint="eastAsia" w:ascii="宋体" w:hAnsi="宋体" w:cs="宋体"/>
          <w:b/>
          <w:bCs/>
          <w:color w:val="000000"/>
          <w:sz w:val="24"/>
          <w:highlight w:val="none"/>
        </w:rPr>
        <w:t xml:space="preserve">供应商或供应商的名称</w:t>
      </w:r>
      <w:r>
        <w:rPr>
          <w:rFonts w:hint="eastAsia" w:ascii="宋体" w:hAnsi="宋体" w:cs="宋体"/>
          <w:color w:val="000000"/>
          <w:sz w:val="24"/>
          <w:highlight w:val="none"/>
        </w:rPr>
        <w:t xml:space="preserve">，如XXX公司。</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8.从业人员⑧人，营业收入为⑨万元，资产总额为⑩万元：填报</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的从业人员、营业收入、资产总额上一年度数据，无上一年度数据的新成立企业可不填报。</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9.（中型企业、小型企业、微型企业</w:t>
      </w:r>
      <w:r>
        <w:rPr>
          <w:rFonts w:hint="eastAsia" w:ascii="宋体" w:hAnsi="宋体" w:cs="宋体"/>
          <w:color w:val="000000"/>
          <w:sz w:val="24"/>
          <w:highlight w:val="none"/>
          <w:u w:val="single"/>
        </w:rPr>
        <w:t xml:space="preserve">⑪</w:t>
      </w:r>
      <w:r>
        <w:rPr>
          <w:rFonts w:hint="eastAsia" w:ascii="宋体" w:hAnsi="宋体" w:cs="宋体"/>
          <w:color w:val="000000"/>
          <w:sz w:val="24"/>
          <w:highlight w:val="none"/>
        </w:rPr>
        <w:t xml:space="preserve">）：根据</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的企业规模情况填写中型企业、小型企业或微型企业</w:t>
      </w:r>
      <w:r>
        <w:rPr>
          <w:rFonts w:hint="eastAsia" w:ascii="宋体" w:hAnsi="宋体" w:cs="宋体"/>
          <w:b/>
          <w:bCs/>
          <w:color w:val="000000"/>
          <w:sz w:val="24"/>
          <w:highlight w:val="none"/>
        </w:rPr>
        <w:t xml:space="preserve">（只能填写三种其中的一种）</w:t>
      </w:r>
      <w:r>
        <w:rPr>
          <w:rFonts w:hint="eastAsia" w:ascii="宋体" w:hAnsi="宋体" w:cs="宋体"/>
          <w:color w:val="000000"/>
          <w:sz w:val="24"/>
          <w:highlight w:val="none"/>
        </w:rPr>
        <w:t xml:space="preserve">。中小企业划分见《关于印发中小企业划型标准规定的通知》（工信部联企业〔2011〕300号) 。</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10.企业名称（盖章）⑫：加盖</w:t>
      </w:r>
      <w:r>
        <w:rPr>
          <w:rFonts w:hint="eastAsia" w:ascii="宋体" w:hAnsi="宋体" w:cs="宋体"/>
          <w:b/>
          <w:bCs/>
          <w:color w:val="000000"/>
          <w:sz w:val="24"/>
          <w:highlight w:val="none"/>
        </w:rPr>
        <w:t xml:space="preserve">供应商或供应商</w:t>
      </w:r>
      <w:r>
        <w:rPr>
          <w:rFonts w:hint="eastAsia" w:ascii="宋体" w:hAnsi="宋体" w:cs="宋体"/>
          <w:color w:val="000000"/>
          <w:sz w:val="24"/>
          <w:highlight w:val="none"/>
        </w:rPr>
        <w:t xml:space="preserve">CA电子公章。</w:t>
      </w:r>
      <w:r>
        <w:rPr>
          <w:rFonts w:hint="eastAsia" w:ascii="宋体" w:hAnsi="宋体" w:cs="宋体"/>
          <w:color w:val="000000"/>
          <w:sz w:val="24"/>
          <w:highlight w:val="none"/>
        </w:rPr>
      </w:r>
      <w:r/>
    </w:p>
    <w:p>
      <w:pPr>
        <w:pStyle w:val="1041"/>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11.如是</w:t>
      </w:r>
      <w:r>
        <w:rPr>
          <w:rFonts w:hint="eastAsia" w:ascii="宋体" w:hAnsi="宋体" w:cs="宋体"/>
          <w:b/>
          <w:color w:val="000000"/>
          <w:sz w:val="24"/>
          <w:highlight w:val="none"/>
        </w:rPr>
        <w:t xml:space="preserve">专门面向中小企业预留份额</w:t>
      </w:r>
      <w:r>
        <w:rPr>
          <w:rFonts w:hint="eastAsia" w:ascii="宋体" w:hAnsi="宋体" w:cs="宋体"/>
          <w:color w:val="000000"/>
          <w:sz w:val="24"/>
          <w:highlight w:val="none"/>
        </w:rPr>
        <w:t xml:space="preserve">的采购项目，供应商未提供此声明函的，资格审查不予通过，作为</w:t>
      </w:r>
      <w:r>
        <w:rPr>
          <w:rFonts w:hint="eastAsia" w:ascii="宋体" w:hAnsi="宋体" w:cs="宋体"/>
          <w:b/>
          <w:color w:val="000000"/>
          <w:sz w:val="24"/>
          <w:highlight w:val="none"/>
        </w:rPr>
        <w:t xml:space="preserve">无效投标（响应）</w:t>
      </w:r>
      <w:r>
        <w:rPr>
          <w:rFonts w:hint="eastAsia" w:ascii="宋体" w:hAnsi="宋体" w:cs="宋体"/>
          <w:color w:val="000000"/>
          <w:sz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cs="宋体"/>
          <w:color w:val="000000"/>
          <w:sz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12.温馨提示</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（1）对于已纳入统计部门统计范围的企业，所属行业、从业人员、营业收入、资产总额、规模类型应与统计部门报表保持一致。</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3）供应商提供第三方（如制造商）书面声明、检测报告等资料作为响应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（4）对于采购文件确实允许非独立法人参与采购活动的，应按其所属集团公司合并财务报表数据情况予以填报。</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ascii="宋体" w:hAnsi="宋体" w:cs="宋体"/>
          <w:color w:val="000000"/>
          <w:sz w:val="24"/>
          <w:szCs w:val="24"/>
          <w:highlight w:val="none"/>
        </w:rPr>
      </w:r>
      <w:r/>
    </w:p>
    <w:p>
      <w:pPr>
        <w:pStyle w:val="1302"/>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ascii="宋体" w:hAnsi="宋体" w:cs="宋体"/>
          <w:color w:val="000000"/>
          <w:sz w:val="24"/>
          <w:szCs w:val="24"/>
          <w:highlight w:val="none"/>
        </w:rPr>
      </w:r>
      <w:r/>
    </w:p>
    <w:p>
      <w:pPr>
        <w:pStyle w:val="1041"/>
        <w:jc w:val="center"/>
        <w:rPr>
          <w:b/>
          <w:color w:val="000000"/>
          <w:sz w:val="36"/>
          <w:szCs w:val="36"/>
          <w:highlight w:val="none"/>
        </w:rPr>
      </w:pPr>
      <w:r>
        <w:rPr>
          <w:color w:val="000000"/>
          <w:sz w:val="24"/>
          <w:szCs w:val="20"/>
          <w:highlight w:val="none"/>
        </w:rPr>
        <w:br w:type="page" w:clear="all"/>
      </w:r>
      <w:r>
        <w:rPr>
          <w:rFonts w:hint="eastAsia"/>
          <w:b/>
          <w:color w:val="000000"/>
          <w:sz w:val="36"/>
          <w:szCs w:val="36"/>
          <w:highlight w:val="none"/>
        </w:rPr>
        <w:t xml:space="preserve">残疾人福利性单位声明函格式</w:t>
      </w:r>
      <w:r>
        <w:rPr>
          <w:b/>
          <w:color w:val="000000"/>
          <w:sz w:val="36"/>
          <w:szCs w:val="36"/>
          <w:highlight w:val="none"/>
        </w:rPr>
        <w:t xml:space="preserve">       </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 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1041"/>
        <w:ind w:firstLine="482"/>
        <w:spacing w:line="588" w:lineRule="exact"/>
        <w:rPr>
          <w:b/>
          <w:color w:val="000000"/>
          <w:spacing w:val="6"/>
          <w:sz w:val="24"/>
          <w:highlight w:val="none"/>
        </w:rPr>
      </w:pPr>
      <w:r>
        <w:rPr>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1041"/>
        <w:ind w:firstLine="482"/>
        <w:spacing w:line="588" w:lineRule="exact"/>
        <w:rPr>
          <w:color w:val="000000"/>
          <w:spacing w:val="6"/>
          <w:sz w:val="24"/>
          <w:highlight w:val="none"/>
        </w:rPr>
      </w:pPr>
      <w:r>
        <w:rPr>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w:t>
      </w:r>
      <w:r>
        <w:rPr>
          <w:rFonts w:hint="eastAsia"/>
          <w:color w:val="000000"/>
          <w:spacing w:val="6"/>
          <w:sz w:val="24"/>
          <w:highlight w:val="none"/>
        </w:rPr>
        <w:t xml:space="preserve">，</w:t>
      </w:r>
      <w:r>
        <w:rPr>
          <w:color w:val="000000"/>
          <w:spacing w:val="6"/>
          <w:sz w:val="24"/>
          <w:highlight w:val="none"/>
        </w:rPr>
        <w:t xml:space="preserve">由本单位提供服务。</w:t>
      </w:r>
      <w:r>
        <w:rPr>
          <w:color w:val="000000"/>
          <w:spacing w:val="6"/>
          <w:sz w:val="24"/>
          <w:highlight w:val="none"/>
        </w:rPr>
      </w:r>
      <w:r/>
    </w:p>
    <w:p>
      <w:pPr>
        <w:pStyle w:val="1041"/>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firstLine="504"/>
        <w:spacing w:line="588" w:lineRule="exact"/>
        <w:rPr>
          <w:color w:val="000000"/>
          <w:spacing w:val="6"/>
          <w:sz w:val="24"/>
          <w:highlight w:val="none"/>
        </w:rPr>
      </w:pP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单位名称（盖章）：</w:t>
      </w:r>
      <w:r>
        <w:rPr>
          <w:color w:val="000000"/>
          <w:spacing w:val="6"/>
          <w:sz w:val="24"/>
          <w:highlight w:val="none"/>
        </w:rPr>
      </w:r>
      <w:r/>
    </w:p>
    <w:p>
      <w:pPr>
        <w:pStyle w:val="1041"/>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w:t>
      </w:r>
      <w:r>
        <w:rPr>
          <w:rFonts w:hint="eastAsia"/>
          <w:color w:val="000000"/>
          <w:spacing w:val="6"/>
          <w:sz w:val="24"/>
          <w:highlight w:val="none"/>
        </w:rPr>
        <w:t xml:space="preserve">                      </w:t>
      </w:r>
      <w:r>
        <w:rPr>
          <w:color w:val="000000"/>
          <w:spacing w:val="6"/>
          <w:sz w:val="24"/>
          <w:highlight w:val="none"/>
        </w:rPr>
        <w:t xml:space="preserve">日  期：</w:t>
      </w:r>
      <w:r>
        <w:rPr>
          <w:color w:val="000000"/>
          <w:spacing w:val="6"/>
          <w:sz w:val="24"/>
          <w:highlight w:val="none"/>
        </w:rPr>
      </w:r>
      <w:r/>
    </w:p>
    <w:p>
      <w:pPr>
        <w:pStyle w:val="1041"/>
        <w:numPr>
          <w:ilvl w:val="0"/>
          <w:numId w:val="20"/>
        </w:numPr>
        <w:ind w:left="901" w:hanging="901"/>
        <w:spacing w:line="360" w:lineRule="auto"/>
        <w:tabs>
          <w:tab w:val="left" w:pos="360" w:leader="none"/>
          <w:tab w:val="left" w:pos="900" w:leader="none"/>
        </w:tabs>
        <w:rPr>
          <w:color w:val="000000"/>
          <w:sz w:val="24"/>
          <w:highlight w:val="none"/>
        </w:rPr>
        <w:outlineLvl w:val="2"/>
      </w:pPr>
      <w:r>
        <w:rPr>
          <w:color w:val="000000"/>
          <w:sz w:val="24"/>
          <w:szCs w:val="20"/>
          <w:highlight w:val="none"/>
        </w:rPr>
        <w:br w:type="page" w:clear="all"/>
      </w:r>
      <w:bookmarkStart w:id="649" w:name="_Toc195842922"/>
      <w:r/>
      <w:bookmarkStart w:id="650" w:name="_Toc226309801"/>
      <w:r/>
      <w:bookmarkStart w:id="651" w:name="_Toc226337253"/>
      <w:r/>
      <w:bookmarkStart w:id="652" w:name="_Toc520356218"/>
      <w:r/>
      <w:bookmarkStart w:id="653" w:name="_Toc305158825"/>
      <w:r/>
      <w:bookmarkStart w:id="654" w:name="_Toc226965747"/>
      <w:r/>
      <w:bookmarkStart w:id="655" w:name="_Toc150480795"/>
      <w:r/>
      <w:bookmarkStart w:id="656" w:name="_Toc127151557"/>
      <w:r/>
      <w:bookmarkStart w:id="657" w:name="_Toc305158899"/>
      <w:r/>
      <w:bookmarkStart w:id="658" w:name="_Toc150774762"/>
      <w:r/>
      <w:bookmarkStart w:id="659" w:name="_Toc265228395"/>
      <w:r/>
      <w:bookmarkStart w:id="660" w:name="_Ref467988705"/>
      <w:r/>
      <w:bookmarkStart w:id="661" w:name="_Toc226965830"/>
      <w:r/>
      <w:bookmarkStart w:id="662" w:name="_Toc480942350"/>
      <w:r/>
      <w:bookmarkStart w:id="663" w:name="_Toc264969247"/>
      <w:r/>
      <w:bookmarkStart w:id="664" w:name="_Toc142311059"/>
      <w:r>
        <w:rPr>
          <w:rFonts w:hint="eastAsia"/>
          <w:color w:val="000000"/>
          <w:sz w:val="24"/>
          <w:highlight w:val="none"/>
        </w:rPr>
        <w:t xml:space="preserve">本项目的特定资格要求</w:t>
      </w:r>
      <w:r>
        <w:rPr>
          <w:color w:val="000000"/>
          <w:sz w:val="24"/>
          <w:highlight w:val="none"/>
        </w:rPr>
      </w:r>
      <w:r/>
    </w:p>
    <w:p>
      <w:pPr>
        <w:pStyle w:val="1041"/>
        <w:jc w:val="left"/>
        <w:widowControl/>
        <w:rPr>
          <w:b/>
          <w:color w:val="000000"/>
          <w:highlight w:val="none"/>
        </w:rPr>
        <w:outlineLvl w:val="3"/>
      </w:pPr>
      <w:r>
        <w:rPr>
          <w:b/>
          <w:color w:val="000000"/>
          <w:highlight w:val="none"/>
        </w:rPr>
        <w:t xml:space="preserve">3-1其他特定资格要求</w:t>
      </w:r>
      <w:r>
        <w:rPr>
          <w:rFonts w:hint="eastAsia"/>
          <w:color w:val="000000"/>
          <w:sz w:val="24"/>
          <w:highlight w:val="none"/>
        </w:rPr>
        <w:t xml:space="preserve">（实质性格式）</w:t>
      </w:r>
      <w:r>
        <w:rPr>
          <w:b/>
          <w:color w:val="000000"/>
          <w:highlight w:val="none"/>
        </w:rPr>
      </w:r>
      <w:r/>
    </w:p>
    <w:p>
      <w:pPr>
        <w:pStyle w:val="1041"/>
        <w:ind w:firstLine="482"/>
        <w:spacing w:line="360" w:lineRule="auto"/>
        <w:tabs>
          <w:tab w:val="left" w:pos="900" w:leader="none"/>
          <w:tab w:val="left" w:pos="1134" w:leader="none"/>
          <w:tab w:val="left" w:pos="1589" w:leader="none"/>
          <w:tab w:val="left" w:pos="5521" w:leader="none"/>
        </w:tabs>
        <w:rPr>
          <w:rFonts w:hint="eastAsia" w:ascii="宋体" w:hAnsi="宋体" w:cs="宋体"/>
          <w:b/>
          <w:bCs/>
          <w:color w:val="000000"/>
          <w:sz w:val="24"/>
          <w:highlight w:val="none"/>
          <w:u w:val="single"/>
          <w:lang w:val="en-US" w:eastAsia="zh-CN"/>
        </w:rPr>
      </w:pPr>
      <w:r>
        <w:rPr>
          <w:rFonts w:hint="eastAsia" w:ascii="宋体" w:hAnsi="宋体" w:cs="宋体"/>
          <w:b/>
          <w:bCs/>
          <w:color w:val="000000"/>
          <w:sz w:val="24"/>
          <w:highlight w:val="none"/>
          <w:u w:val="single"/>
          <w:lang w:val="en-US" w:eastAsia="zh-CN"/>
        </w:rPr>
      </w:r>
      <w:r/>
    </w:p>
    <w:p>
      <w:pPr>
        <w:pStyle w:val="1041"/>
        <w:ind w:firstLine="3614"/>
        <w:spacing w:line="360" w:lineRule="auto"/>
        <w:tabs>
          <w:tab w:val="left" w:pos="900" w:leader="none"/>
          <w:tab w:val="left" w:pos="1134" w:leader="none"/>
          <w:tab w:val="left" w:pos="1589" w:leader="none"/>
          <w:tab w:val="left" w:pos="5521" w:leader="none"/>
        </w:tabs>
        <w:rPr>
          <w:rFonts w:ascii="宋体" w:hAnsi="宋体" w:cs="宋体"/>
          <w:color w:val="000000"/>
          <w:sz w:val="24"/>
          <w:highlight w:val="none"/>
          <w:u w:val="single"/>
        </w:rPr>
      </w:pPr>
      <w:r>
        <w:rPr>
          <w:rFonts w:hint="eastAsia" w:ascii="宋体" w:hAnsi="宋体" w:cs="宋体"/>
          <w:b/>
          <w:bCs/>
          <w:color w:val="000000"/>
          <w:sz w:val="24"/>
          <w:highlight w:val="none"/>
          <w:u w:val="single"/>
          <w:lang w:val="en-US" w:eastAsia="zh-CN"/>
        </w:rPr>
        <w:t xml:space="preserve">详见第一章采购邀请要求</w:t>
      </w:r>
      <w:r>
        <w:rPr>
          <w:rFonts w:ascii="宋体" w:hAnsi="宋体" w:cs="宋体"/>
          <w:color w:val="000000"/>
          <w:sz w:val="24"/>
          <w:highlight w:val="none"/>
          <w:u w:val="single"/>
        </w:rPr>
      </w:r>
      <w:r/>
    </w:p>
    <w:p>
      <w:pPr>
        <w:pStyle w:val="1041"/>
        <w:numPr>
          <w:ilvl w:val="0"/>
          <w:numId w:val="20"/>
        </w:numPr>
        <w:ind w:left="901" w:hanging="901"/>
        <w:spacing w:line="360" w:lineRule="auto"/>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响应函（实质性格式）</w:t>
      </w:r>
      <w:r>
        <w:rPr>
          <w:color w:val="000000"/>
          <w:sz w:val="24"/>
          <w:szCs w:val="20"/>
          <w:highlight w:val="none"/>
        </w:rPr>
      </w:r>
      <w:r/>
    </w:p>
    <w:p>
      <w:pPr>
        <w:pStyle w:val="1041"/>
        <w:jc w:val="center"/>
        <w:spacing w:line="360" w:lineRule="auto"/>
        <w:rPr>
          <w:b/>
          <w:color w:val="000000"/>
          <w:sz w:val="36"/>
          <w:szCs w:val="36"/>
          <w:highlight w:val="none"/>
        </w:rPr>
      </w:pPr>
      <w:r>
        <w:rPr>
          <w:rFonts w:hint="eastAsia"/>
          <w:b/>
          <w:color w:val="000000"/>
          <w:sz w:val="36"/>
          <w:szCs w:val="36"/>
          <w:highlight w:val="none"/>
        </w:rPr>
        <w:t xml:space="preserve">响应函</w:t>
      </w:r>
      <w:r>
        <w:rPr>
          <w:b/>
          <w:color w:val="000000"/>
          <w:sz w:val="36"/>
          <w:szCs w:val="36"/>
          <w:highlight w:val="none"/>
        </w:rPr>
      </w:r>
      <w:r/>
    </w:p>
    <w:p>
      <w:pPr>
        <w:pStyle w:val="1041"/>
        <w:spacing w:line="360" w:lineRule="auto"/>
        <w:tabs>
          <w:tab w:val="left" w:pos="5580" w:leader="none"/>
        </w:tabs>
        <w:rPr>
          <w:color w:val="000000"/>
          <w:sz w:val="24"/>
          <w:highlight w:val="none"/>
        </w:rPr>
      </w:pPr>
      <w:r>
        <w:rPr>
          <w:color w:val="000000"/>
          <w:sz w:val="24"/>
          <w:highlight w:val="none"/>
        </w:rPr>
        <w:t xml:space="preserve">致：</w:t>
      </w:r>
      <w:r>
        <w:rPr>
          <w:color w:val="000000"/>
          <w:sz w:val="24"/>
          <w:highlight w:val="none"/>
          <w:u w:val="single"/>
        </w:rPr>
        <w:t xml:space="preserve">（采购人或采购代理机构）</w:t>
      </w:r>
      <w:r>
        <w:rPr>
          <w:color w:val="000000"/>
          <w:sz w:val="24"/>
          <w:highlight w:val="none"/>
        </w:rPr>
      </w:r>
      <w:r/>
    </w:p>
    <w:p>
      <w:pPr>
        <w:pStyle w:val="1041"/>
        <w:spacing w:line="360" w:lineRule="auto"/>
        <w:tabs>
          <w:tab w:val="left" w:pos="5580" w:leader="none"/>
        </w:tabs>
        <w:rPr>
          <w:color w:val="000000"/>
          <w:sz w:val="24"/>
          <w:szCs w:val="20"/>
          <w:highlight w:val="none"/>
        </w:rPr>
      </w:pP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我方参加你方就___________（项目名称，项目编号/包号）组织的</w:t>
      </w:r>
      <w:r>
        <w:rPr>
          <w:rFonts w:hint="eastAsia"/>
          <w:color w:val="000000"/>
          <w:sz w:val="24"/>
          <w:szCs w:val="20"/>
          <w:highlight w:val="none"/>
        </w:rPr>
        <w:t xml:space="preserve">政府采购</w:t>
      </w:r>
      <w:r>
        <w:rPr>
          <w:color w:val="000000"/>
          <w:sz w:val="24"/>
          <w:szCs w:val="20"/>
          <w:highlight w:val="none"/>
        </w:rPr>
        <w:t xml:space="preserve">活动，并对此项目进行响应。</w:t>
      </w:r>
      <w:r>
        <w:rPr>
          <w:color w:val="000000"/>
          <w:sz w:val="24"/>
          <w:szCs w:val="20"/>
          <w:highlight w:val="none"/>
        </w:rPr>
      </w:r>
      <w:r/>
    </w:p>
    <w:p>
      <w:pPr>
        <w:pStyle w:val="1041"/>
        <w:ind w:firstLine="408"/>
        <w:spacing w:line="360" w:lineRule="auto"/>
        <w:tabs>
          <w:tab w:val="left" w:pos="5580" w:leader="none"/>
        </w:tabs>
        <w:rPr>
          <w:color w:val="000000"/>
          <w:sz w:val="24"/>
          <w:szCs w:val="20"/>
          <w:highlight w:val="none"/>
        </w:rPr>
      </w:pPr>
      <w:r>
        <w:rPr>
          <w:color w:val="000000"/>
          <w:sz w:val="24"/>
          <w:szCs w:val="20"/>
          <w:highlight w:val="none"/>
        </w:rPr>
        <w:t xml:space="preserve">1. 我方</w:t>
      </w:r>
      <w:r>
        <w:rPr>
          <w:color w:val="000000"/>
          <w:sz w:val="24"/>
          <w:highlight w:val="none"/>
        </w:rPr>
        <w:t xml:space="preserve">已详细审查全部磋商文件</w:t>
      </w:r>
      <w:r>
        <w:rPr>
          <w:color w:val="000000"/>
          <w:sz w:val="24"/>
          <w:szCs w:val="20"/>
          <w:highlight w:val="none"/>
        </w:rPr>
        <w:t xml:space="preserve">，自愿参与响应并承诺如下：</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（1）本响应有效期为自提交响应文件的截止之日起</w:t>
      </w:r>
      <w:r>
        <w:rPr>
          <w:rFonts w:hint="eastAsia"/>
          <w:color w:val="000000"/>
          <w:sz w:val="24"/>
          <w:highlight w:val="none"/>
        </w:rPr>
        <w:t xml:space="preserve">60</w:t>
      </w:r>
      <w:r>
        <w:rPr>
          <w:color w:val="000000"/>
          <w:sz w:val="24"/>
          <w:szCs w:val="20"/>
          <w:highlight w:val="none"/>
        </w:rPr>
        <w:t xml:space="preserve">个日历</w:t>
      </w:r>
      <w:r>
        <w:rPr>
          <w:rFonts w:hint="eastAsia"/>
          <w:color w:val="000000"/>
          <w:sz w:val="24"/>
          <w:szCs w:val="20"/>
          <w:highlight w:val="none"/>
        </w:rPr>
        <w:t xml:space="preserve">天</w:t>
      </w:r>
      <w:r>
        <w:rPr>
          <w:color w:val="000000"/>
          <w:sz w:val="24"/>
          <w:szCs w:val="20"/>
          <w:highlight w:val="none"/>
        </w:rPr>
        <w:t xml:space="preserve">。</w:t>
      </w:r>
      <w:r>
        <w:rPr>
          <w:color w:val="000000"/>
          <w:sz w:val="24"/>
          <w:szCs w:val="20"/>
          <w:highlight w:val="none"/>
        </w:rPr>
      </w:r>
      <w:r/>
    </w:p>
    <w:p>
      <w:pPr>
        <w:pStyle w:val="1041"/>
        <w:ind w:left="360" w:firstLine="72"/>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（2）除合同条款及采购需求偏离表列出的偏离外，我方响应磋商文件的全部要求。</w:t>
      </w:r>
      <w:r>
        <w:rPr>
          <w:color w:val="000000"/>
          <w:sz w:val="24"/>
          <w:szCs w:val="20"/>
          <w:highlight w:val="none"/>
        </w:rPr>
      </w:r>
      <w:r/>
    </w:p>
    <w:p>
      <w:pPr>
        <w:pStyle w:val="1041"/>
        <w:ind w:firstLine="420"/>
        <w:spacing w:line="360" w:lineRule="auto"/>
        <w:tabs>
          <w:tab w:val="left" w:pos="5580" w:leader="none"/>
        </w:tabs>
        <w:rPr>
          <w:color w:val="000000"/>
          <w:sz w:val="24"/>
          <w:szCs w:val="20"/>
          <w:highlight w:val="none"/>
        </w:rPr>
      </w:pPr>
      <w:r>
        <w:rPr>
          <w:color w:val="000000"/>
          <w:sz w:val="24"/>
          <w:szCs w:val="20"/>
          <w:highlight w:val="none"/>
        </w:rPr>
        <w:t xml:space="preserve">（3）我方已提供的全部文件资料是真实、准确的，并对此承担一切法律后果。</w:t>
      </w:r>
      <w:r>
        <w:rPr>
          <w:color w:val="000000"/>
          <w:sz w:val="24"/>
          <w:szCs w:val="20"/>
          <w:highlight w:val="none"/>
        </w:rPr>
      </w:r>
      <w:r/>
    </w:p>
    <w:p>
      <w:pPr>
        <w:pStyle w:val="1041"/>
        <w:ind w:firstLine="420"/>
        <w:spacing w:line="360" w:lineRule="auto"/>
        <w:tabs>
          <w:tab w:val="left" w:pos="5580" w:leader="none"/>
        </w:tabs>
        <w:rPr>
          <w:color w:val="000000"/>
          <w:sz w:val="24"/>
          <w:highlight w:val="none"/>
        </w:rPr>
      </w:pPr>
      <w:r>
        <w:rPr>
          <w:color w:val="000000"/>
          <w:sz w:val="24"/>
          <w:szCs w:val="20"/>
          <w:highlight w:val="none"/>
        </w:rPr>
        <w:t xml:space="preserve">（4）如我方</w:t>
      </w:r>
      <w:r>
        <w:rPr>
          <w:rFonts w:hint="eastAsia"/>
          <w:color w:val="000000"/>
          <w:sz w:val="24"/>
          <w:szCs w:val="20"/>
          <w:highlight w:val="none"/>
        </w:rPr>
        <w:t xml:space="preserve">成交</w:t>
      </w:r>
      <w:r>
        <w:rPr>
          <w:color w:val="000000"/>
          <w:sz w:val="24"/>
          <w:szCs w:val="20"/>
          <w:highlight w:val="none"/>
        </w:rPr>
        <w:t xml:space="preserve">，我方将在法律规定的期限内与你方签订合同，并在合同约定的期限内完成合同规定的全部义务。</w:t>
      </w:r>
      <w:r>
        <w:rPr>
          <w:color w:val="000000"/>
          <w:sz w:val="24"/>
          <w:highlight w:val="none"/>
        </w:rPr>
      </w:r>
      <w:r/>
    </w:p>
    <w:p>
      <w:pPr>
        <w:pStyle w:val="1041"/>
        <w:ind w:left="420"/>
        <w:spacing w:line="360" w:lineRule="auto"/>
        <w:rPr>
          <w:color w:val="000000"/>
          <w:sz w:val="24"/>
          <w:highlight w:val="none"/>
        </w:rPr>
      </w:pPr>
      <w:r>
        <w:rPr>
          <w:color w:val="000000"/>
          <w:sz w:val="24"/>
          <w:highlight w:val="none"/>
        </w:rPr>
        <w:t xml:space="preserve">2. 其他补充条款（如有）：</w:t>
      </w:r>
      <w:r>
        <w:rPr>
          <w:color w:val="000000"/>
          <w:sz w:val="24"/>
          <w:szCs w:val="20"/>
          <w:highlight w:val="none"/>
        </w:rPr>
        <w:t xml:space="preserve">___________</w:t>
      </w:r>
      <w:r>
        <w:rPr>
          <w:color w:val="000000"/>
          <w:sz w:val="24"/>
          <w:highlight w:val="none"/>
        </w:rPr>
        <w:t xml:space="preserve">。</w:t>
      </w:r>
      <w:r>
        <w:rPr>
          <w:color w:val="000000"/>
          <w:sz w:val="24"/>
          <w:highlight w:val="none"/>
        </w:rPr>
      </w:r>
      <w:r/>
    </w:p>
    <w:p>
      <w:pPr>
        <w:pStyle w:val="1041"/>
        <w:ind w:firstLine="480"/>
        <w:spacing w:line="360" w:lineRule="auto"/>
        <w:rPr>
          <w:color w:val="000000"/>
          <w:sz w:val="24"/>
          <w:highlight w:val="none"/>
        </w:rPr>
      </w:pPr>
      <w:r>
        <w:rPr>
          <w:color w:val="000000"/>
          <w:sz w:val="24"/>
          <w:highlight w:val="none"/>
        </w:rPr>
        <w:t xml:space="preserve">与本响应有关的一切正式往来信函请寄：</w:t>
      </w:r>
      <w:r>
        <w:rPr>
          <w:color w:val="000000"/>
          <w:sz w:val="24"/>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地址_________________________     传真____________________________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电话_________________________     电子函件________________________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供应商名称（加盖公章） ___________</w:t>
      </w:r>
      <w:r>
        <w:rPr>
          <w:color w:val="000000"/>
          <w:sz w:val="24"/>
          <w:szCs w:val="20"/>
          <w:highlight w:val="none"/>
        </w:rPr>
      </w:r>
      <w:r/>
    </w:p>
    <w:p>
      <w:pPr>
        <w:pStyle w:val="1041"/>
        <w:ind w:left="420"/>
        <w:spacing w:line="360" w:lineRule="auto"/>
        <w:tabs>
          <w:tab w:val="left" w:pos="5580" w:leader="none"/>
        </w:tabs>
        <w:rPr>
          <w:color w:val="000000"/>
          <w:sz w:val="24"/>
          <w:szCs w:val="20"/>
          <w:highlight w:val="none"/>
        </w:rPr>
      </w:pPr>
      <w:r>
        <w:rPr>
          <w:color w:val="000000"/>
          <w:sz w:val="24"/>
          <w:szCs w:val="20"/>
          <w:highlight w:val="none"/>
        </w:rPr>
        <w:t xml:space="preserve">日期：_____年______月______日    </w:t>
      </w:r>
      <w:r>
        <w:rPr>
          <w:color w:val="000000"/>
          <w:sz w:val="24"/>
          <w:szCs w:val="20"/>
          <w:highlight w:val="none"/>
        </w:rPr>
      </w:r>
      <w:r/>
    </w:p>
    <w:p>
      <w:pPr>
        <w:pStyle w:val="1041"/>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bookmarkStart w:id="665" w:name="_Hlt520355938"/>
      <w:r/>
      <w:bookmarkEnd w:id="665"/>
      <w:r/>
      <w:bookmarkStart w:id="666" w:name="_Hlt520356243"/>
      <w:r/>
      <w:bookmarkEnd w:id="666"/>
      <w:r>
        <w:rPr>
          <w:color w:val="000000"/>
          <w:sz w:val="24"/>
          <w:highlight w:val="none"/>
        </w:rPr>
        <w:br w:type="page" w:clear="all"/>
      </w:r>
      <w:r>
        <w:rPr>
          <w:rFonts w:hint="eastAsia"/>
          <w:color w:val="000000"/>
          <w:sz w:val="24"/>
          <w:highlight w:val="none"/>
        </w:rPr>
        <w:t xml:space="preserve">法定代表人资格证明书（实质性格式） </w:t>
      </w:r>
      <w:r>
        <w:rPr>
          <w:rFonts w:hint="eastAsia"/>
          <w:color w:val="000000"/>
          <w:sz w:val="24"/>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r>
      <w:r/>
    </w:p>
    <w:p>
      <w:pPr>
        <w:pStyle w:val="1041"/>
        <w:spacing w:line="560" w:lineRule="exact"/>
        <w:rPr>
          <w:rFonts w:hint="eastAsia" w:ascii="宋体" w:hAnsi="宋体"/>
          <w:color w:val="000000"/>
          <w:sz w:val="24"/>
          <w:highlight w:val="none"/>
        </w:rPr>
      </w:pPr>
      <w:r>
        <w:rPr>
          <w:rFonts w:hint="eastAsia" w:ascii="宋体" w:hAnsi="宋体"/>
          <w:color w:val="000000"/>
          <w:sz w:val="24"/>
          <w:highlight w:val="none"/>
        </w:rPr>
        <w:t xml:space="preserve">姓名：     性别：       年龄：      职务：</w:t>
      </w:r>
      <w:r>
        <w:rPr>
          <w:rFonts w:hint="eastAsia"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（供应商名称）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上述项目的磋商响应文件、进行合同谈判、签署合同和处理与之有关的一切事务。</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ascii="宋体" w:hAnsi="宋体"/>
          <w:color w:val="000000"/>
          <w:sz w:val="24"/>
          <w:highlight w:val="none"/>
        </w:rPr>
      </w:r>
      <w:r/>
    </w:p>
    <w:p>
      <w:pPr>
        <w:pStyle w:val="1073"/>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电子件。</w:t>
      </w:r>
      <w:r>
        <w:rPr>
          <w:color w:val="000000"/>
          <w:spacing w:val="-3"/>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供应商：（加盖公章）</w:t>
      </w:r>
      <w:r>
        <w:rPr>
          <w:rFonts w:ascii="宋体" w:hAnsi="宋体"/>
          <w:color w:val="000000"/>
          <w:sz w:val="24"/>
          <w:highlight w:val="none"/>
        </w:rPr>
      </w:r>
      <w:r/>
    </w:p>
    <w:p>
      <w:pPr>
        <w:pStyle w:val="1041"/>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或签章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41"/>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41"/>
        <w:jc w:val="left"/>
        <w:spacing w:line="360" w:lineRule="auto"/>
        <w:tabs>
          <w:tab w:val="left" w:pos="5580" w:leader="none"/>
        </w:tabs>
        <w:rPr>
          <w:rFonts w:hint="eastAsia" w:ascii="宋体" w:hAnsi="宋体"/>
          <w:color w:val="000000"/>
          <w:sz w:val="24"/>
          <w:szCs w:val="20"/>
          <w:highlight w:val="none"/>
        </w:rPr>
      </w:pPr>
      <w:r>
        <w:rPr>
          <w:rFonts w:ascii="宋体" w:hAnsi="宋体"/>
          <w:color w:val="000000"/>
          <w:sz w:val="24"/>
          <w:szCs w:val="20"/>
          <w:highlight w:val="none"/>
        </w:rPr>
        <w:t xml:space="preserve">若供应商为事业单位或其他组织或分支机构（仅当</w:t>
      </w:r>
      <w:r>
        <w:rPr>
          <w:rFonts w:hint="eastAsia" w:ascii="宋体" w:hAnsi="宋体"/>
          <w:color w:val="000000"/>
          <w:sz w:val="24"/>
          <w:szCs w:val="20"/>
          <w:highlight w:val="none"/>
        </w:rPr>
        <w:t xml:space="preserve">竞争性磋商</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磋商</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hint="eastAsia" w:ascii="宋体" w:hAnsi="宋体"/>
          <w:color w:val="000000"/>
          <w:sz w:val="24"/>
          <w:szCs w:val="20"/>
          <w:highlight w:val="none"/>
        </w:rPr>
      </w:r>
      <w:r/>
    </w:p>
    <w:p>
      <w:pPr>
        <w:pStyle w:val="1073"/>
        <w:tabs>
          <w:tab w:val="left" w:pos="567" w:leader="none"/>
        </w:tabs>
        <w:rPr>
          <w:color w:val="000000"/>
          <w:highlight w:val="none"/>
        </w:rPr>
      </w:pPr>
      <w:r>
        <w:rPr>
          <w:color w:val="000000"/>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jc w:val="left"/>
        <w:widowControl/>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color w:val="000000"/>
          <w:sz w:val="24"/>
          <w:highlight w:val="none"/>
        </w:rPr>
        <w:br w:type="page" w:clear="all"/>
      </w:r>
      <w:r>
        <w:rPr>
          <w:rFonts w:hint="eastAsia"/>
          <w:color w:val="000000"/>
          <w:sz w:val="24"/>
          <w:highlight w:val="none"/>
        </w:rPr>
        <w:t xml:space="preserve">授权委托书（实质性格式）</w:t>
      </w:r>
      <w:r>
        <w:rPr>
          <w:rFonts w:hint="eastAsia"/>
          <w:color w:val="000000"/>
          <w:sz w:val="24"/>
          <w:highlight w:val="none"/>
        </w:rPr>
      </w:r>
      <w:r/>
    </w:p>
    <w:p>
      <w:pPr>
        <w:pStyle w:val="1191"/>
        <w:jc w:val="center"/>
        <w:spacing w:line="360" w:lineRule="exact"/>
        <w:rPr>
          <w:rFonts w:hint="eastAsia" w:cs="宋体"/>
          <w:b/>
          <w:color w:val="000000"/>
          <w:sz w:val="24"/>
          <w:szCs w:val="24"/>
          <w:highlight w:val="none"/>
        </w:rPr>
      </w:pPr>
      <w:r>
        <w:rPr>
          <w:rFonts w:hint="eastAsia" w:cs="宋体"/>
          <w:b/>
          <w:color w:val="000000"/>
          <w:sz w:val="24"/>
          <w:szCs w:val="24"/>
          <w:highlight w:val="none"/>
        </w:rPr>
        <w:t xml:space="preserve">授权委托书</w:t>
      </w:r>
      <w:r>
        <w:rPr>
          <w:rFonts w:hint="eastAsia" w:cs="宋体"/>
          <w:b/>
          <w:color w:val="000000"/>
          <w:sz w:val="24"/>
          <w:szCs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ind w:firstLine="51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系_________________（供应商名称）的法定代表人（或单位负责人），现授权委托__________________（被授权人的姓名、职务）为本次投标中我单位的合法代理人，全权负责参加本次项目的投标、签订合约以及与之相关的各项工作。本供应商对被授权人的签名负全部责任。</w:t>
      </w:r>
      <w:r>
        <w:rPr>
          <w:rFonts w:hint="eastAsia" w:ascii="宋体" w:hAnsi="宋体" w:cs="宋体"/>
          <w:color w:val="000000"/>
          <w:sz w:val="24"/>
          <w:highlight w:val="none"/>
        </w:rPr>
      </w:r>
      <w:r/>
    </w:p>
    <w:p>
      <w:pPr>
        <w:pStyle w:val="1041"/>
        <w:ind w:firstLine="39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本授权书于__________年_______月________日签字或盖章后生效，特此声明。</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法定代表人（或单位负责人）签字或盖章：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委托代理人（被授权人）签字或盖章：           日期：</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                                       联系电话：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                                   地址：</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供应商公章： </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                                       电话：</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                                       邮编：</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41"/>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（双面复印件）粘贴处</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04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1、法定代表人参加谈判时，需携带本人身份证原件。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2、委托代理人参加谈判时，需携带授权委托书和本人身份证原件。</w:t>
      </w:r>
      <w:r>
        <w:rPr>
          <w:rFonts w:hint="eastAsia" w:ascii="宋体" w:hAnsi="宋体" w:cs="宋体"/>
          <w:color w:val="000000"/>
          <w:sz w:val="24"/>
          <w:highlight w:val="none"/>
        </w:rPr>
      </w:r>
      <w:r/>
    </w:p>
    <w:p>
      <w:pPr>
        <w:pStyle w:val="1041"/>
        <w:rPr>
          <w:rFonts w:hint="eastAsia" w:ascii="宋体" w:hAnsi="宋体" w:cs="宋体"/>
          <w:color w:val="000000"/>
          <w:sz w:val="24"/>
          <w:highlight w:val="none"/>
        </w:rPr>
      </w:pPr>
      <w:r>
        <w:rPr>
          <w:rFonts w:hint="eastAsia" w:ascii="宋体" w:hAnsi="宋体" w:cs="宋体"/>
          <w:color w:val="000000"/>
          <w:sz w:val="24"/>
          <w:highlight w:val="none"/>
        </w:rPr>
        <w:t xml:space="preserve">3.若供应商为分支机构投标的，授权人可为单位负责人。</w:t>
      </w:r>
      <w:r>
        <w:rPr>
          <w:rFonts w:hint="eastAsia" w:ascii="宋体" w:hAnsi="宋体" w:cs="宋体"/>
          <w:color w:val="000000"/>
          <w:sz w:val="24"/>
          <w:highlight w:val="none"/>
        </w:rPr>
      </w:r>
      <w:r/>
    </w:p>
    <w:p>
      <w:pPr>
        <w:pStyle w:val="1041"/>
        <w:jc w:val="left"/>
        <w:spacing w:line="0" w:lineRule="atLeast"/>
        <w:widowControl/>
        <w:tabs>
          <w:tab w:val="left" w:pos="360" w:leader="none"/>
        </w:tabs>
        <w:rPr>
          <w:rFonts w:hint="eastAsia"/>
          <w:color w:val="000000"/>
          <w:sz w:val="24"/>
          <w:highlight w:val="none"/>
        </w:rPr>
      </w:pPr>
      <w:r>
        <w:rPr>
          <w:rFonts w:hint="eastAsia"/>
          <w:color w:val="000000"/>
          <w:sz w:val="24"/>
          <w:highlight w:val="none"/>
        </w:rPr>
      </w:r>
      <w:r/>
    </w:p>
    <w:p>
      <w:pPr>
        <w:pStyle w:val="1041"/>
        <w:numPr>
          <w:ilvl w:val="0"/>
          <w:numId w:val="20"/>
        </w:numPr>
        <w:ind w:left="901" w:hanging="901"/>
        <w:jc w:val="left"/>
        <w:spacing w:line="360" w:lineRule="auto"/>
        <w:widowControl/>
        <w:tabs>
          <w:tab w:val="left" w:pos="360" w:leader="none"/>
          <w:tab w:val="left" w:pos="900" w:leader="none"/>
        </w:tabs>
        <w:rPr>
          <w:rFonts w:hint="eastAsia"/>
          <w:color w:val="000000"/>
          <w:sz w:val="24"/>
          <w:highlight w:val="none"/>
        </w:rPr>
        <w:outlineLvl w:val="2"/>
      </w:pPr>
      <w:r>
        <w:rPr>
          <w:rFonts w:hint="eastAsia"/>
          <w:color w:val="000000"/>
          <w:sz w:val="24"/>
          <w:highlight w:val="none"/>
        </w:rPr>
        <w:br w:type="page" w:clear="all"/>
      </w:r>
      <w:r>
        <w:rPr>
          <w:rFonts w:hint="eastAsia"/>
          <w:color w:val="000000"/>
          <w:sz w:val="24"/>
          <w:highlight w:val="none"/>
        </w:rPr>
        <w:t xml:space="preserve">政府采购供应商信用承诺书 （实质性格式）</w:t>
      </w:r>
      <w:r>
        <w:rPr>
          <w:rFonts w:hint="eastAsia"/>
          <w:color w:val="000000"/>
          <w:sz w:val="24"/>
          <w:highlight w:val="none"/>
        </w:rPr>
      </w:r>
      <w:r/>
    </w:p>
    <w:p>
      <w:pPr>
        <w:pStyle w:val="1041"/>
        <w:ind w:firstLine="321"/>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041"/>
        <w:ind w:firstLine="321"/>
        <w:jc w:val="center"/>
        <w:spacing w:line="560" w:lineRule="exact"/>
        <w:rPr>
          <w:rFonts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政府采购供应商信用承诺书</w:t>
      </w:r>
      <w:r>
        <w:rPr>
          <w:rFonts w:ascii="黑体" w:hAnsi="黑体" w:eastAsia="黑体"/>
          <w:b/>
          <w:color w:val="000000"/>
          <w:sz w:val="32"/>
          <w:szCs w:val="32"/>
          <w:highlight w:val="none"/>
        </w:rPr>
      </w:r>
      <w:r/>
    </w:p>
    <w:p>
      <w:pPr>
        <w:pStyle w:val="1041"/>
        <w:ind w:firstLine="640"/>
        <w:rPr>
          <w:color w:val="000000"/>
          <w:highlight w:val="none"/>
        </w:rPr>
      </w:pPr>
      <w:r>
        <w:rPr>
          <w:color w:val="000000"/>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41"/>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4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报价一览表</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rPr>
          <w:rFonts w:hint="eastAsia"/>
          <w:color w:val="000000"/>
          <w:sz w:val="24"/>
          <w:highlight w:val="none"/>
        </w:rPr>
        <w:t xml:space="preserve">（实质性格式）</w:t>
      </w:r>
      <w:r>
        <w:rPr>
          <w:color w:val="000000"/>
          <w:sz w:val="24"/>
          <w:szCs w:val="20"/>
          <w:highlight w:val="none"/>
        </w:rPr>
      </w:r>
      <w:r/>
    </w:p>
    <w:p>
      <w:pPr>
        <w:pStyle w:val="1041"/>
        <w:jc w:val="center"/>
        <w:rPr>
          <w:b/>
          <w:color w:val="000000"/>
          <w:sz w:val="36"/>
          <w:szCs w:val="36"/>
          <w:highlight w:val="none"/>
        </w:rPr>
      </w:pPr>
      <w:r/>
      <w:bookmarkStart w:id="667" w:name="_Toc226965748"/>
      <w:r/>
      <w:bookmarkStart w:id="668" w:name="_Toc226337254"/>
      <w:r/>
      <w:bookmarkStart w:id="669" w:name="_Toc226309802"/>
      <w:r/>
      <w:bookmarkStart w:id="670" w:name="_Toc305158826"/>
      <w:r/>
      <w:bookmarkStart w:id="671" w:name="_Toc164608827"/>
      <w:r/>
      <w:bookmarkStart w:id="672" w:name="_Toc195842923"/>
      <w:r/>
      <w:bookmarkStart w:id="673" w:name="_Toc226965831"/>
      <w:r/>
      <w:bookmarkStart w:id="674" w:name="_Toc305158900"/>
      <w:r/>
      <w:bookmarkStart w:id="675" w:name="_Toc265228396"/>
      <w:r/>
      <w:bookmarkStart w:id="676" w:name="_Toc264969248"/>
      <w:r/>
      <w:bookmarkStart w:id="677" w:name="_Toc164608672"/>
      <w:r>
        <w:rPr>
          <w:rFonts w:hint="eastAsia"/>
          <w:b/>
          <w:color w:val="000000"/>
          <w:sz w:val="36"/>
          <w:szCs w:val="36"/>
          <w:highlight w:val="none"/>
        </w:rPr>
        <w:t xml:space="preserve">报价一览表</w:t>
      </w:r>
      <w:bookmarkEnd w:id="667"/>
      <w:r/>
      <w:bookmarkEnd w:id="668"/>
      <w:r/>
      <w:bookmarkEnd w:id="669"/>
      <w:r/>
      <w:bookmarkEnd w:id="670"/>
      <w:r/>
      <w:bookmarkEnd w:id="671"/>
      <w:r/>
      <w:bookmarkEnd w:id="672"/>
      <w:r/>
      <w:bookmarkEnd w:id="673"/>
      <w:r/>
      <w:bookmarkEnd w:id="674"/>
      <w:r/>
      <w:bookmarkEnd w:id="675"/>
      <w:r/>
      <w:bookmarkEnd w:id="676"/>
      <w:r/>
      <w:bookmarkEnd w:id="677"/>
      <w:r>
        <w:rPr>
          <w:b/>
          <w:color w:val="000000"/>
          <w:sz w:val="36"/>
          <w:szCs w:val="36"/>
          <w:highlight w:val="none"/>
        </w:rPr>
      </w:r>
      <w:r/>
    </w:p>
    <w:p>
      <w:pPr>
        <w:pStyle w:val="1041"/>
        <w:jc w:val="left"/>
        <w:spacing w:line="360" w:lineRule="auto"/>
        <w:tabs>
          <w:tab w:val="left" w:pos="1800" w:leader="none"/>
          <w:tab w:val="left" w:pos="5580" w:leader="none"/>
        </w:tabs>
        <w:rPr>
          <w:color w:val="000000"/>
          <w:sz w:val="24"/>
          <w:highlight w:val="none"/>
        </w:rPr>
      </w:pPr>
      <w:r/>
      <w:bookmarkStart w:id="678" w:name="_Toc264969252"/>
      <w:r/>
      <w:bookmarkStart w:id="679" w:name="_Toc305158904"/>
      <w:r/>
      <w:bookmarkStart w:id="680" w:name="_Toc305158830"/>
      <w:r/>
      <w:bookmarkStart w:id="681" w:name="_Toc226965835"/>
      <w:r/>
      <w:bookmarkStart w:id="682" w:name="_Toc142311062"/>
      <w:r/>
      <w:bookmarkStart w:id="683" w:name="_Toc150480798"/>
      <w:r/>
      <w:bookmarkStart w:id="684" w:name="_Toc226337258"/>
      <w:r/>
      <w:bookmarkStart w:id="685" w:name="_Toc150774765"/>
      <w:r/>
      <w:bookmarkStart w:id="686" w:name="_Toc226965752"/>
      <w:r/>
      <w:bookmarkStart w:id="687" w:name="_Toc195842927"/>
      <w:r/>
      <w:bookmarkStart w:id="688" w:name="_Toc226309806"/>
      <w:r/>
      <w:bookmarkStart w:id="689" w:name="_Toc265228400"/>
      <w:r/>
      <w:bookmarkStart w:id="690" w:name="_Toc127151562"/>
      <w:r/>
      <w:bookmarkStart w:id="691" w:name="_Toc142311061"/>
      <w:r/>
      <w:bookmarkStart w:id="692" w:name="_Toc226309805"/>
      <w:r/>
      <w:bookmarkStart w:id="693" w:name="_Toc226337257"/>
      <w:r/>
      <w:bookmarkStart w:id="694" w:name="_Toc264969251"/>
      <w:r/>
      <w:bookmarkStart w:id="695" w:name="_Toc305158829"/>
      <w:r/>
      <w:bookmarkStart w:id="696" w:name="_Toc305158903"/>
      <w:r/>
      <w:bookmarkStart w:id="697" w:name="_Toc265228399"/>
      <w:r/>
      <w:bookmarkStart w:id="698" w:name="_Toc226965751"/>
      <w:r/>
      <w:bookmarkStart w:id="699" w:name="_Toc226965834"/>
      <w:r/>
      <w:bookmarkStart w:id="700" w:name="_Toc150774764"/>
      <w:r/>
      <w:bookmarkStart w:id="701" w:name="_Toc127151561"/>
      <w:r/>
      <w:bookmarkStart w:id="702" w:name="_Toc195842926"/>
      <w:r/>
      <w:bookmarkStart w:id="703" w:name="_Toc150480797"/>
      <w:r>
        <w:rPr>
          <w:color w:val="000000"/>
          <w:sz w:val="24"/>
          <w:highlight w:val="none"/>
        </w:rPr>
      </w:r>
      <w:r/>
    </w:p>
    <w:p>
      <w:pPr>
        <w:pStyle w:val="1041"/>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项目编号：_____________________     项目名称：_______________________</w:t>
      </w:r>
      <w:r>
        <w:rPr>
          <w:color w:val="000000"/>
          <w:sz w:val="24"/>
          <w:highlight w:val="none"/>
          <w:u w:val="single"/>
        </w:rPr>
      </w:r>
      <w:r/>
    </w:p>
    <w:p>
      <w:pPr>
        <w:pStyle w:val="1041"/>
        <w:jc w:val="left"/>
        <w:rPr>
          <w:color w:val="000000"/>
          <w:sz w:val="24"/>
          <w:highlight w:val="none"/>
        </w:rPr>
      </w:pPr>
      <w:r>
        <w:rPr>
          <w:color w:val="000000"/>
          <w:sz w:val="24"/>
          <w:highlight w:val="none"/>
        </w:rPr>
      </w:r>
      <w:r/>
    </w:p>
    <w:tbl>
      <w:tblPr>
        <w:tblW w:w="4240"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377"/>
        <w:gridCol w:w="2284"/>
        <w:gridCol w:w="2323"/>
        <w:gridCol w:w="2290"/>
      </w:tblGrid>
      <w:tr>
        <w:trPr>
          <w:trHeight w:val="531"/>
        </w:trPr>
        <w:tc>
          <w:tcPr>
            <w:tcW w:w="832"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380"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供应商名称</w:t>
            </w:r>
            <w:r>
              <w:rPr>
                <w:b/>
                <w:color w:val="000000"/>
                <w:sz w:val="24"/>
                <w:highlight w:val="none"/>
              </w:rPr>
            </w:r>
            <w:r/>
          </w:p>
        </w:tc>
        <w:tc>
          <w:tcPr>
            <w:tcW w:w="140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投标报价（元）</w:t>
            </w:r>
            <w:r>
              <w:rPr>
                <w:b/>
                <w:color w:val="000000"/>
                <w:sz w:val="24"/>
                <w:highlight w:val="none"/>
              </w:rPr>
            </w:r>
            <w:r/>
          </w:p>
        </w:tc>
        <w:tc>
          <w:tcPr>
            <w:tcW w:w="1383" w:type="dxa"/>
            <w:vAlign w:val="center"/>
            <w:textDirection w:val="lrTb"/>
            <w:noWrap w:val="false"/>
          </w:tcPr>
          <w:p>
            <w:pPr>
              <w:pStyle w:val="1041"/>
              <w:jc w:val="center"/>
              <w:tabs>
                <w:tab w:val="left" w:pos="5580" w:leader="none"/>
              </w:tabs>
              <w:rPr>
                <w:b/>
                <w:color w:val="000000"/>
                <w:sz w:val="24"/>
                <w:highlight w:val="none"/>
              </w:rPr>
            </w:pPr>
            <w:r>
              <w:rPr>
                <w:rFonts w:hint="eastAsia"/>
                <w:b/>
                <w:color w:val="000000"/>
                <w:sz w:val="24"/>
                <w:highlight w:val="none"/>
              </w:rPr>
              <w:t xml:space="preserve">项目负责人</w:t>
            </w:r>
            <w:r>
              <w:rPr>
                <w:b/>
                <w:color w:val="000000"/>
                <w:sz w:val="24"/>
                <w:highlight w:val="none"/>
              </w:rPr>
            </w:r>
            <w:r/>
          </w:p>
        </w:tc>
      </w:tr>
      <w:tr>
        <w:trPr>
          <w:trHeight w:val="1090"/>
        </w:trPr>
        <w:tc>
          <w:tcPr>
            <w:tcW w:w="832"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380" w:type="dxa"/>
            <w:vAlign w:val="center"/>
            <w:textDirection w:val="lrTb"/>
            <w:noWrap w:val="false"/>
          </w:tcPr>
          <w:p>
            <w:pPr>
              <w:pStyle w:val="1041"/>
              <w:jc w:val="center"/>
              <w:tabs>
                <w:tab w:val="left" w:pos="5580" w:leader="none"/>
              </w:tabs>
              <w:rPr>
                <w:color w:val="000000"/>
                <w:sz w:val="24"/>
                <w:highlight w:val="none"/>
              </w:rPr>
            </w:pPr>
            <w:r>
              <w:rPr>
                <w:color w:val="000000"/>
                <w:sz w:val="24"/>
                <w:highlight w:val="none"/>
              </w:rPr>
            </w:r>
            <w:r/>
          </w:p>
        </w:tc>
        <w:tc>
          <w:tcPr>
            <w:tcW w:w="140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c>
          <w:tcPr>
            <w:tcW w:w="1383" w:type="dxa"/>
            <w:vAlign w:val="center"/>
            <w:textDirection w:val="lrTb"/>
            <w:noWrap w:val="false"/>
          </w:tcPr>
          <w:p>
            <w:pPr>
              <w:pStyle w:val="1041"/>
              <w:jc w:val="left"/>
              <w:tabs>
                <w:tab w:val="left" w:pos="5580" w:leader="none"/>
              </w:tabs>
              <w:rPr>
                <w:color w:val="000000"/>
                <w:sz w:val="24"/>
                <w:highlight w:val="none"/>
              </w:rPr>
            </w:pPr>
            <w:r>
              <w:rPr>
                <w:color w:val="000000"/>
                <w:sz w:val="24"/>
                <w:highlight w:val="none"/>
              </w:rPr>
            </w:r>
            <w:r/>
          </w:p>
        </w:tc>
      </w:tr>
    </w:tbl>
    <w:p>
      <w:pPr>
        <w:pStyle w:val="1041"/>
        <w:spacing w:before="25" w:after="25"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41"/>
        <w:spacing w:before="25" w:after="25"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注：1.</w:t>
      </w:r>
      <w:r>
        <w:rPr>
          <w:rFonts w:ascii="宋体" w:hAnsi="宋体" w:cs="宋体"/>
          <w:b/>
          <w:bCs/>
          <w:color w:val="000000"/>
          <w:sz w:val="24"/>
          <w:highlight w:val="none"/>
        </w:rPr>
        <w:t xml:space="preserve">最多保留两位小数。</w:t>
      </w:r>
      <w:r>
        <w:rPr>
          <w:rFonts w:ascii="宋体" w:hAnsi="宋体" w:cs="宋体"/>
          <w:b/>
          <w:bCs/>
          <w:color w:val="000000"/>
          <w:sz w:val="24"/>
          <w:highlight w:val="none"/>
        </w:rPr>
      </w:r>
      <w:r/>
    </w:p>
    <w:p>
      <w:pPr>
        <w:pStyle w:val="1041"/>
        <w:spacing w:before="25" w:after="25" w:line="360" w:lineRule="auto"/>
        <w:rPr>
          <w:color w:val="000000"/>
          <w:sz w:val="24"/>
          <w:highlight w:val="none"/>
        </w:rPr>
      </w:pPr>
      <w:r>
        <w:rPr>
          <w:rFonts w:hint="eastAsia" w:ascii="宋体" w:hAnsi="宋体" w:cs="宋体"/>
          <w:b/>
          <w:bCs/>
          <w:color w:val="000000"/>
          <w:sz w:val="24"/>
          <w:highlight w:val="none"/>
        </w:rPr>
        <w:t xml:space="preserve">2.二次报价即最终报价，系统里填报最终报价。</w:t>
      </w:r>
      <w:r>
        <w:rPr>
          <w:color w:val="000000"/>
          <w:sz w:val="24"/>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：____________</w:t>
      </w:r>
      <w:r>
        <w:rPr>
          <w:color w:val="000000"/>
          <w:sz w:val="24"/>
          <w:highlight w:val="none"/>
          <w:lang w:val="zh-CN"/>
        </w:rPr>
      </w:r>
      <w:r/>
    </w:p>
    <w:p>
      <w:pPr>
        <w:pStyle w:val="1041"/>
        <w:jc w:val="left"/>
        <w:widowControl/>
        <w:rPr>
          <w:color w:val="000000"/>
          <w:sz w:val="24"/>
          <w:szCs w:val="20"/>
          <w:highlight w:val="none"/>
        </w:rPr>
      </w:pPr>
      <w:r>
        <w:rPr>
          <w:color w:val="000000"/>
          <w:sz w:val="24"/>
          <w:szCs w:val="20"/>
          <w:highlight w:val="none"/>
        </w:rPr>
        <w:t xml:space="preserve">日期：_____年______月______日</w:t>
      </w: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jc w:val="left"/>
        <w:widowControl/>
        <w:rPr>
          <w:color w:val="000000"/>
          <w:sz w:val="24"/>
          <w:szCs w:val="20"/>
          <w:highlight w:val="none"/>
        </w:rPr>
      </w:pPr>
      <w:r>
        <w:rPr>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lang w:val="en-US" w:eastAsia="zh-CN"/>
        </w:rPr>
        <w:t xml:space="preserve">工程量清单</w:t>
      </w:r>
      <w:r>
        <w:rPr>
          <w:rFonts w:hint="eastAsia"/>
          <w:color w:val="000000"/>
          <w:sz w:val="24"/>
          <w:highlight w:val="none"/>
        </w:rPr>
        <w:t xml:space="preserve">（实质性格式）</w:t>
      </w:r>
      <w:r>
        <w:rPr>
          <w:color w:val="000000"/>
          <w:sz w:val="24"/>
          <w:szCs w:val="20"/>
          <w:highlight w:val="none"/>
        </w:rPr>
      </w:r>
      <w:r/>
    </w:p>
    <w:p>
      <w:pPr>
        <w:pStyle w:val="1041"/>
        <w:jc w:val="center"/>
        <w:rPr>
          <w:rFonts w:eastAsia="宋体"/>
          <w:b/>
          <w:color w:val="000000"/>
          <w:sz w:val="36"/>
          <w:szCs w:val="36"/>
          <w:highlight w:val="none"/>
          <w:lang w:val="en-US" w:eastAsia="zh-CN"/>
        </w:rPr>
      </w:pPr>
      <w:r>
        <w:rPr>
          <w:rFonts w:hint="eastAsia"/>
          <w:b/>
          <w:color w:val="000000"/>
          <w:sz w:val="36"/>
          <w:szCs w:val="36"/>
          <w:highlight w:val="none"/>
          <w:lang w:val="en-US" w:eastAsia="zh-CN"/>
        </w:rPr>
        <w:t xml:space="preserve">详见控制价清单</w:t>
      </w:r>
      <w:r>
        <w:rPr>
          <w:rFonts w:eastAsia="宋体"/>
          <w:b/>
          <w:color w:val="000000"/>
          <w:sz w:val="36"/>
          <w:szCs w:val="36"/>
          <w:highlight w:val="none"/>
          <w:lang w:val="en-US" w:eastAsia="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合同条款偏离表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rFonts w:hint="eastAsia"/>
          <w:color w:val="000000"/>
          <w:sz w:val="24"/>
          <w:highlight w:val="none"/>
        </w:rPr>
        <w:t xml:space="preserve">（实质性格式）</w:t>
      </w:r>
      <w:r>
        <w:rPr>
          <w:color w:val="000000"/>
          <w:sz w:val="24"/>
          <w:szCs w:val="20"/>
          <w:highlight w:val="none"/>
        </w:rPr>
      </w:r>
      <w:r/>
    </w:p>
    <w:p>
      <w:pPr>
        <w:pStyle w:val="1041"/>
        <w:spacing w:line="360" w:lineRule="auto"/>
        <w:rPr>
          <w:color w:val="000000"/>
          <w:sz w:val="24"/>
          <w:szCs w:val="20"/>
          <w:highlight w:val="none"/>
        </w:rPr>
      </w:pP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spacing w:line="360" w:lineRule="auto"/>
        <w:rPr>
          <w:color w:val="000000"/>
          <w:sz w:val="24"/>
          <w:szCs w:val="20"/>
          <w:highlight w:val="none"/>
        </w:rPr>
      </w:pPr>
      <w:r>
        <w:rPr>
          <w:color w:val="000000"/>
          <w:sz w:val="24"/>
          <w:szCs w:val="20"/>
          <w:highlight w:val="none"/>
        </w:rPr>
      </w:r>
      <w:r/>
    </w:p>
    <w:p>
      <w:pPr>
        <w:pStyle w:val="1041"/>
        <w:ind w:firstLine="360"/>
        <w:jc w:val="left"/>
        <w:spacing w:line="360" w:lineRule="auto"/>
        <w:tabs>
          <w:tab w:val="left" w:pos="1800" w:leader="none"/>
          <w:tab w:val="left" w:pos="5580" w:leader="none"/>
        </w:tabs>
        <w:rPr>
          <w:color w:val="000000"/>
          <w:sz w:val="24"/>
          <w:highlight w:val="non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041"/>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41"/>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41"/>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条目号（页码）</w:t>
            </w: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szCs w:val="21"/>
                <w:highlight w:val="none"/>
              </w:rPr>
              <w:t xml:space="preserve">磋商文件</w:t>
            </w:r>
            <w:r>
              <w:rPr>
                <w:color w:val="000000"/>
                <w:sz w:val="24"/>
                <w:highlight w:val="none"/>
              </w:rPr>
              <w:t xml:space="preserve">要求</w:t>
            </w: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t xml:space="preserve">响应文件内容</w:t>
            </w: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highlight w:val="none"/>
              </w:rPr>
              <w:t xml:space="preserve">（据实填写）</w:t>
            </w: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828" w:type="dxa"/>
            <w:vAlign w:val="center"/>
            <w:textDirection w:val="lrTb"/>
            <w:noWrap w:val="false"/>
          </w:tcPr>
          <w:p>
            <w:pPr>
              <w:pStyle w:val="1041"/>
              <w:jc w:val="center"/>
              <w:rPr>
                <w:color w:val="000000"/>
                <w:sz w:val="24"/>
                <w:highlight w:val="none"/>
              </w:rPr>
            </w:pPr>
            <w:r>
              <w:rPr>
                <w:color w:val="000000"/>
                <w:sz w:val="24"/>
                <w:highlight w:val="none"/>
              </w:rPr>
            </w:r>
            <w:r/>
          </w:p>
        </w:tc>
        <w:tc>
          <w:tcPr>
            <w:tcW w:w="1290" w:type="dxa"/>
            <w:vAlign w:val="center"/>
            <w:textDirection w:val="lrTb"/>
            <w:noWrap w:val="false"/>
          </w:tcPr>
          <w:p>
            <w:pPr>
              <w:pStyle w:val="1041"/>
              <w:jc w:val="center"/>
              <w:rPr>
                <w:color w:val="000000"/>
                <w:sz w:val="24"/>
                <w:highlight w:val="none"/>
              </w:rPr>
            </w:pPr>
            <w:r>
              <w:rPr>
                <w:color w:val="000000"/>
                <w:sz w:val="24"/>
                <w:highlight w:val="none"/>
              </w:rPr>
            </w:r>
            <w:r/>
          </w:p>
        </w:tc>
        <w:tc>
          <w:tcPr>
            <w:tcW w:w="1980" w:type="dxa"/>
            <w:vAlign w:val="center"/>
            <w:textDirection w:val="lrTb"/>
            <w:noWrap w:val="false"/>
          </w:tcPr>
          <w:p>
            <w:pPr>
              <w:pStyle w:val="1041"/>
              <w:jc w:val="center"/>
              <w:rPr>
                <w:color w:val="000000"/>
                <w:sz w:val="24"/>
                <w:highlight w:val="none"/>
              </w:rPr>
            </w:pPr>
            <w:r>
              <w:rPr>
                <w:color w:val="000000"/>
                <w:sz w:val="24"/>
                <w:highlight w:val="none"/>
              </w:rPr>
            </w:r>
            <w:r/>
          </w:p>
        </w:tc>
        <w:tc>
          <w:tcPr>
            <w:tcW w:w="1981" w:type="dxa"/>
            <w:vAlign w:val="center"/>
            <w:textDirection w:val="lrTb"/>
            <w:noWrap w:val="false"/>
          </w:tcPr>
          <w:p>
            <w:pPr>
              <w:pStyle w:val="1041"/>
              <w:jc w:val="center"/>
              <w:rPr>
                <w:color w:val="000000"/>
                <w:sz w:val="24"/>
                <w:highlight w:val="none"/>
              </w:rPr>
            </w:pPr>
            <w:r>
              <w:rPr>
                <w:color w:val="000000"/>
                <w:sz w:val="24"/>
                <w:highlight w:val="none"/>
              </w:rPr>
            </w:r>
            <w:r/>
          </w:p>
        </w:tc>
        <w:tc>
          <w:tcPr>
            <w:tcW w:w="2427" w:type="dxa"/>
            <w:vAlign w:val="center"/>
            <w:textDirection w:val="lrTb"/>
            <w:noWrap w:val="false"/>
          </w:tcPr>
          <w:p>
            <w:pPr>
              <w:pStyle w:val="1041"/>
              <w:jc w:val="center"/>
              <w:rPr>
                <w:color w:val="000000"/>
                <w:sz w:val="24"/>
                <w:highlight w:val="none"/>
              </w:rPr>
            </w:pPr>
            <w:r>
              <w:rPr>
                <w:color w:val="000000"/>
                <w:sz w:val="24"/>
                <w:highlight w:val="none"/>
              </w:rPr>
            </w:r>
            <w:r/>
          </w:p>
        </w:tc>
        <w:tc>
          <w:tcPr>
            <w:tcW w:w="782"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1. </w:t>
      </w:r>
      <w:r>
        <w:rPr>
          <w:rFonts w:hint="eastAsia"/>
          <w:color w:val="000000"/>
          <w:sz w:val="24"/>
          <w:highlight w:val="none"/>
        </w:rPr>
        <w:t xml:space="preserve">对合同条款中的所有要求，除本表所列明的所有偏离外，均视作供应商已对之理解和响应。</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 </w:t>
      </w:r>
      <w:r>
        <w:rPr>
          <w:rFonts w:hint="eastAsia"/>
          <w:color w:val="000000"/>
          <w:sz w:val="24"/>
          <w:highlight w:val="none"/>
        </w:rPr>
        <w:t xml:space="preserve">“偏离情况”列应据实填写“正偏离”或“负偏离”。</w:t>
      </w:r>
      <w:r>
        <w:rPr>
          <w:color w:val="000000"/>
          <w:sz w:val="24"/>
          <w:highlight w:val="none"/>
        </w:rPr>
      </w:r>
      <w:r/>
    </w:p>
    <w:p>
      <w:pPr>
        <w:pStyle w:val="1041"/>
        <w:spacing w:line="360" w:lineRule="auto"/>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rPr>
          <w:rFonts w:hint="eastAsia"/>
          <w:color w:val="000000"/>
          <w:sz w:val="24"/>
          <w:highlight w:val="none"/>
        </w:rPr>
        <w:t xml:space="preserve">采购需求偏离表（实质性格式）</w:t>
      </w:r>
      <w:r>
        <w:rPr>
          <w:color w:val="000000"/>
          <w:sz w:val="24"/>
          <w:szCs w:val="20"/>
          <w:highlight w:val="none"/>
        </w:rPr>
      </w:r>
      <w:r/>
    </w:p>
    <w:p>
      <w:pPr>
        <w:pStyle w:val="1041"/>
        <w:jc w:val="center"/>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41"/>
        <w:jc w:val="center"/>
        <w:rPr>
          <w:color w:val="000000"/>
          <w:sz w:val="36"/>
          <w:szCs w:val="36"/>
          <w:highlight w:val="none"/>
        </w:rPr>
      </w:pPr>
      <w:r>
        <w:rPr>
          <w:color w:val="000000"/>
          <w:sz w:val="36"/>
          <w:szCs w:val="36"/>
          <w:highlight w:val="non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w:t>
      </w:r>
      <w:r>
        <w:rPr>
          <w:color w:val="000000"/>
          <w:sz w:val="24"/>
          <w:szCs w:val="20"/>
          <w:highlight w:val="none"/>
        </w:rPr>
        <w:t xml:space="preserve">/包号</w:t>
      </w:r>
      <w:r>
        <w:rPr>
          <w:color w:val="000000"/>
          <w:sz w:val="24"/>
          <w:highlight w:val="none"/>
        </w:rPr>
        <w:t xml:space="preserve">：_____________________     项目名称：_______________________</w:t>
      </w:r>
      <w:r>
        <w:rPr>
          <w:color w:val="000000"/>
          <w:sz w:val="24"/>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41"/>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t xml:space="preserve">磋商文件条目号(页码)</w:t>
            </w: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t xml:space="preserve">磋商文件要求</w:t>
            </w: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t xml:space="preserve">偏离情况</w:t>
            </w:r>
            <w:r>
              <w:rPr>
                <w:color w:val="000000"/>
                <w:sz w:val="24"/>
                <w:highlight w:val="none"/>
              </w:rPr>
            </w:r>
            <w:r/>
          </w:p>
          <w:p>
            <w:pPr>
              <w:pStyle w:val="1041"/>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41"/>
              <w:jc w:val="center"/>
              <w:rPr>
                <w:color w:val="000000"/>
                <w:sz w:val="24"/>
                <w:highlight w:val="none"/>
              </w:rPr>
            </w:pPr>
            <w:r>
              <w:rPr>
                <w:color w:val="000000"/>
                <w:sz w:val="24"/>
                <w:highlight w:val="none"/>
              </w:rPr>
            </w:r>
            <w:r/>
          </w:p>
        </w:tc>
        <w:tc>
          <w:tcPr>
            <w:tcW w:w="1482" w:type="dxa"/>
            <w:vAlign w:val="center"/>
            <w:textDirection w:val="lrTb"/>
            <w:noWrap w:val="false"/>
          </w:tcPr>
          <w:p>
            <w:pPr>
              <w:pStyle w:val="1041"/>
              <w:jc w:val="center"/>
              <w:rPr>
                <w:color w:val="000000"/>
                <w:sz w:val="24"/>
                <w:highlight w:val="none"/>
              </w:rPr>
            </w:pPr>
            <w:r>
              <w:rPr>
                <w:color w:val="000000"/>
                <w:sz w:val="24"/>
                <w:highlight w:val="none"/>
              </w:rPr>
            </w:r>
            <w:r/>
          </w:p>
        </w:tc>
        <w:tc>
          <w:tcPr>
            <w:tcW w:w="2384" w:type="dxa"/>
            <w:vAlign w:val="center"/>
            <w:textDirection w:val="lrTb"/>
            <w:noWrap w:val="false"/>
          </w:tcPr>
          <w:p>
            <w:pPr>
              <w:pStyle w:val="1041"/>
              <w:jc w:val="center"/>
              <w:rPr>
                <w:color w:val="000000"/>
                <w:sz w:val="24"/>
                <w:highlight w:val="none"/>
              </w:rPr>
            </w:pPr>
            <w:r>
              <w:rPr>
                <w:color w:val="000000"/>
                <w:sz w:val="24"/>
                <w:highlight w:val="none"/>
              </w:rPr>
            </w:r>
            <w:r/>
          </w:p>
        </w:tc>
        <w:tc>
          <w:tcPr>
            <w:tcW w:w="2126" w:type="dxa"/>
            <w:vAlign w:val="center"/>
            <w:textDirection w:val="lrTb"/>
            <w:noWrap w:val="false"/>
          </w:tcPr>
          <w:p>
            <w:pPr>
              <w:pStyle w:val="1041"/>
              <w:jc w:val="center"/>
              <w:rPr>
                <w:color w:val="000000"/>
                <w:sz w:val="24"/>
                <w:highlight w:val="none"/>
              </w:rPr>
            </w:pPr>
            <w:r>
              <w:rPr>
                <w:color w:val="000000"/>
                <w:sz w:val="24"/>
                <w:highlight w:val="none"/>
              </w:rPr>
            </w:r>
            <w:r/>
          </w:p>
        </w:tc>
        <w:tc>
          <w:tcPr>
            <w:tcW w:w="1875" w:type="dxa"/>
            <w:vAlign w:val="center"/>
            <w:textDirection w:val="lrTb"/>
            <w:noWrap w:val="false"/>
          </w:tcPr>
          <w:p>
            <w:pPr>
              <w:pStyle w:val="1041"/>
              <w:jc w:val="center"/>
              <w:rPr>
                <w:color w:val="000000"/>
                <w:sz w:val="24"/>
                <w:highlight w:val="none"/>
              </w:rPr>
            </w:pPr>
            <w:r>
              <w:rPr>
                <w:color w:val="000000"/>
                <w:sz w:val="24"/>
                <w:highlight w:val="none"/>
              </w:rPr>
            </w:r>
            <w:r/>
          </w:p>
        </w:tc>
        <w:tc>
          <w:tcPr>
            <w:tcW w:w="1009" w:type="dxa"/>
            <w:vAlign w:val="center"/>
            <w:textDirection w:val="lrTb"/>
            <w:noWrap w:val="false"/>
          </w:tcPr>
          <w:p>
            <w:pPr>
              <w:pStyle w:val="1041"/>
              <w:jc w:val="center"/>
              <w:rPr>
                <w:color w:val="000000"/>
                <w:sz w:val="24"/>
                <w:highlight w:val="none"/>
              </w:rPr>
            </w:pPr>
            <w:r>
              <w:rPr>
                <w:color w:val="000000"/>
                <w:sz w:val="24"/>
                <w:highlight w:val="none"/>
              </w:rPr>
            </w:r>
            <w:r/>
          </w:p>
        </w:tc>
      </w:tr>
    </w:tbl>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u w:val="singl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注：</w:t>
      </w:r>
      <w:r>
        <w:rPr>
          <w:color w:val="000000"/>
          <w:sz w:val="24"/>
          <w:highlight w:val="none"/>
        </w:rPr>
      </w:r>
      <w:r/>
    </w:p>
    <w:p>
      <w:pPr>
        <w:pStyle w:val="1041"/>
        <w:jc w:val="left"/>
        <w:tabs>
          <w:tab w:val="left" w:pos="1800" w:leader="none"/>
          <w:tab w:val="left" w:pos="5580" w:leader="none"/>
        </w:tabs>
        <w:rPr>
          <w:color w:val="000000"/>
          <w:sz w:val="24"/>
          <w:highlight w:val="none"/>
        </w:rPr>
      </w:pPr>
      <w:r>
        <w:rPr>
          <w:rFonts w:hint="eastAsia"/>
          <w:color w:val="000000"/>
          <w:sz w:val="24"/>
          <w:highlight w:val="none"/>
        </w:rPr>
        <w:t xml:space="preserve">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 xml:space="preserve">响应</w:t>
      </w:r>
      <w:r>
        <w:rPr>
          <w:color w:val="000000"/>
          <w:sz w:val="24"/>
          <w:highlight w:val="none"/>
        </w:rPr>
        <w:t xml:space="preserve">。此表中若无任何文字说明，内容为空白，则</w:t>
      </w:r>
      <w:r>
        <w:rPr>
          <w:b/>
          <w:color w:val="000000"/>
          <w:sz w:val="24"/>
          <w:highlight w:val="none"/>
        </w:rPr>
        <w:t xml:space="preserve">响应无效</w:t>
      </w:r>
      <w:r>
        <w:rPr>
          <w:color w:val="000000"/>
          <w:sz w:val="24"/>
          <w:highlight w:val="none"/>
        </w:rPr>
        <w:t xml:space="preserve">。</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t xml:space="preserve">2.</w:t>
      </w:r>
      <w:r>
        <w:rPr>
          <w:rFonts w:hint="eastAsia"/>
          <w:color w:val="000000"/>
          <w:sz w:val="24"/>
          <w:highlight w:val="none"/>
        </w:rPr>
        <w:t xml:space="preserve">“偏离情况”列应据实填写“正偏离”或“负偏离”。</w:t>
      </w:r>
      <w:r>
        <w:rPr>
          <w:color w:val="000000"/>
          <w:sz w:val="24"/>
          <w:highlight w:val="none"/>
        </w:rPr>
      </w:r>
      <w:r/>
    </w:p>
    <w:p>
      <w:pPr>
        <w:pStyle w:val="1041"/>
        <w:jc w:val="left"/>
        <w:tabs>
          <w:tab w:val="left" w:pos="1800" w:leader="none"/>
          <w:tab w:val="left" w:pos="5580" w:leader="none"/>
        </w:tabs>
        <w:rPr>
          <w:color w:val="000000"/>
          <w:sz w:val="24"/>
          <w:highlight w:val="none"/>
        </w:rPr>
      </w:pPr>
      <w:r>
        <w:rPr>
          <w:color w:val="000000"/>
          <w:sz w:val="24"/>
          <w:highlight w:val="none"/>
        </w:rPr>
      </w:r>
      <w:r/>
    </w:p>
    <w:p>
      <w:pPr>
        <w:pStyle w:val="1041"/>
        <w:rPr>
          <w:color w:val="000000"/>
          <w:sz w:val="24"/>
          <w:szCs w:val="20"/>
          <w:highlight w:val="none"/>
        </w:rPr>
      </w:pPr>
      <w:r>
        <w:rPr>
          <w:color w:val="000000"/>
          <w:sz w:val="24"/>
          <w:szCs w:val="20"/>
          <w:highlight w:val="none"/>
        </w:rPr>
      </w:r>
      <w:r/>
    </w:p>
    <w:p>
      <w:pPr>
        <w:pStyle w:val="1041"/>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4"/>
          <w:szCs w:val="20"/>
          <w:highlight w:val="none"/>
        </w:rPr>
        <w:br w:type="page" w:clear="all"/>
      </w:r>
      <w:r>
        <w:rPr>
          <w:rFonts w:hint="eastAsia"/>
          <w:color w:val="000000"/>
          <w:sz w:val="24"/>
          <w:highlight w:val="none"/>
        </w:rPr>
        <w:t xml:space="preserve">项目实施方案等，包括但不限于如下主题：</w:t>
      </w:r>
      <w:r>
        <w:rPr>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（1）总体概述；</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（2）实施方案；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（3）进度、质量保证措施方案；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（4）劳动力、机械设备和材料投入计划；</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（5）关键施工技术、工艺及工程项目实施的重点、难点和解决方案；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（6）后期服务方案；</w:t>
      </w:r>
      <w:r>
        <w:rPr>
          <w:rFonts w:hint="eastAsia"/>
          <w:color w:val="000000"/>
          <w:sz w:val="24"/>
          <w:szCs w:val="20"/>
          <w:highlight w:val="none"/>
        </w:rPr>
      </w:r>
      <w:r/>
    </w:p>
    <w:p>
      <w:pPr>
        <w:pStyle w:val="1041"/>
        <w:ind w:firstLine="480"/>
        <w:spacing w:line="560" w:lineRule="exact"/>
        <w:rPr>
          <w:rFonts w:hint="eastAsia"/>
          <w:color w:val="000000"/>
          <w:sz w:val="24"/>
          <w:szCs w:val="20"/>
          <w:highlight w:val="none"/>
        </w:rPr>
      </w:pPr>
      <w:r>
        <w:rPr>
          <w:rFonts w:hint="eastAsia"/>
          <w:color w:val="000000"/>
          <w:sz w:val="24"/>
          <w:szCs w:val="20"/>
          <w:highlight w:val="none"/>
        </w:rPr>
        <w:t xml:space="preserve">（7）其他。</w:t>
      </w:r>
      <w:r>
        <w:rPr>
          <w:rFonts w:hint="eastAsia"/>
          <w:color w:val="000000"/>
          <w:sz w:val="24"/>
          <w:szCs w:val="2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rFonts w:hint="eastAsia"/>
          <w:color w:val="000000"/>
          <w:sz w:val="24"/>
          <w:highlight w:val="none"/>
        </w:rPr>
        <w:t xml:space="preserve">参加本项目人员一览表</w:t>
      </w:r>
      <w:r>
        <w:rPr>
          <w:color w:val="000000"/>
          <w:sz w:val="24"/>
          <w:szCs w:val="20"/>
          <w:highlight w:val="none"/>
        </w:rPr>
      </w:r>
      <w:r/>
    </w:p>
    <w:p>
      <w:pPr>
        <w:pStyle w:val="1041"/>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41"/>
        <w:jc w:val="center"/>
        <w:spacing w:line="360" w:lineRule="auto"/>
        <w:rPr>
          <w:rFonts w:ascii="宋体" w:hAnsi="宋体"/>
          <w:color w:val="000000"/>
          <w:sz w:val="22"/>
          <w:highlight w:val="none"/>
        </w:rPr>
      </w:pPr>
      <w:r>
        <w:rPr>
          <w:rFonts w:hint="eastAsia" w:ascii="宋体" w:hAnsi="宋体"/>
          <w:b/>
          <w:color w:val="000000"/>
          <w:sz w:val="32"/>
          <w:szCs w:val="32"/>
          <w:highlight w:val="none"/>
        </w:rPr>
        <w:t xml:space="preserve">参加本项目人员一览表</w:t>
      </w:r>
      <w:r>
        <w:rPr>
          <w:rFonts w:ascii="宋体" w:hAnsi="宋体"/>
          <w:color w:val="000000"/>
          <w:sz w:val="22"/>
          <w:highlight w:val="none"/>
        </w:rPr>
      </w:r>
      <w:r/>
    </w:p>
    <w:p>
      <w:pPr>
        <w:pStyle w:val="104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41"/>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41"/>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41"/>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ascii="宋体" w:hAnsi="宋体" w:cs="宋体"/>
          <w:b/>
          <w:color w:val="000000"/>
          <w:sz w:val="24"/>
          <w:highlight w:val="none"/>
        </w:rPr>
      </w:r>
      <w:r/>
    </w:p>
    <w:p>
      <w:pPr>
        <w:pStyle w:val="1041"/>
        <w:spacing w:line="360" w:lineRule="auto"/>
        <w:rPr>
          <w:rFonts w:ascii="宋体" w:hAnsi="宋体"/>
          <w:color w:val="000000"/>
          <w:sz w:val="24"/>
          <w:highlight w:val="none"/>
        </w:rPr>
      </w:pPr>
      <w:r>
        <w:rPr>
          <w:rFonts w:ascii="宋体" w:hAnsi="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szCs w:val="20"/>
          <w:highlight w:val="none"/>
        </w:rPr>
        <w:outlineLvl w:val="2"/>
      </w:pPr>
      <w:r>
        <w:rPr>
          <w:color w:val="000000"/>
          <w:sz w:val="22"/>
          <w:highlight w:val="none"/>
        </w:rPr>
        <w:br w:type="page" w:clear="all"/>
      </w:r>
      <w:bookmarkStart w:id="704" w:name="_Toc288738839"/>
      <w:r/>
      <w:bookmarkStart w:id="705" w:name="_Toc288738397"/>
      <w:r>
        <w:rPr>
          <w:rFonts w:hint="eastAsia"/>
          <w:color w:val="000000"/>
          <w:sz w:val="24"/>
          <w:highlight w:val="none"/>
        </w:rPr>
        <w:t xml:space="preserve">相关业绩案例一览表</w:t>
      </w:r>
      <w:r>
        <w:rPr>
          <w:color w:val="000000"/>
          <w:sz w:val="24"/>
          <w:szCs w:val="20"/>
          <w:highlight w:val="none"/>
        </w:rPr>
      </w:r>
      <w:r/>
    </w:p>
    <w:p>
      <w:pPr>
        <w:pStyle w:val="1041"/>
        <w:rPr>
          <w:color w:val="000000"/>
          <w:sz w:val="24"/>
          <w:szCs w:val="20"/>
          <w:highlight w:val="none"/>
        </w:rPr>
      </w:pPr>
      <w:r>
        <w:rPr>
          <w:color w:val="000000"/>
          <w:sz w:val="24"/>
          <w:szCs w:val="20"/>
          <w:highlight w:val="none"/>
        </w:rPr>
      </w:r>
      <w:r/>
    </w:p>
    <w:p>
      <w:pPr>
        <w:pStyle w:val="1041"/>
        <w:jc w:val="center"/>
        <w:rPr>
          <w:rFonts w:ascii="宋体" w:hAnsi="宋体"/>
          <w:b/>
          <w:color w:val="000000"/>
          <w:sz w:val="28"/>
          <w:szCs w:val="30"/>
          <w:highlight w:val="none"/>
        </w:rPr>
      </w:pPr>
      <w:r>
        <w:rPr>
          <w:rFonts w:hint="eastAsia" w:ascii="宋体" w:hAnsi="宋体"/>
          <w:b/>
          <w:color w:val="000000"/>
          <w:sz w:val="32"/>
          <w:szCs w:val="32"/>
          <w:highlight w:val="none"/>
        </w:rPr>
        <w:t xml:space="preserve">相关业绩案例一览表</w:t>
      </w:r>
      <w:bookmarkEnd w:id="704"/>
      <w:r/>
      <w:bookmarkEnd w:id="705"/>
      <w:r>
        <w:rPr>
          <w:rFonts w:ascii="宋体" w:hAnsi="宋体"/>
          <w:b/>
          <w:color w:val="000000"/>
          <w:sz w:val="28"/>
          <w:szCs w:val="30"/>
          <w:highlight w:val="none"/>
        </w:rPr>
      </w:r>
      <w:r/>
    </w:p>
    <w:p>
      <w:pPr>
        <w:pStyle w:val="104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41"/>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41"/>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41"/>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41"/>
        <w:spacing w:line="360" w:lineRule="auto"/>
        <w:rPr>
          <w:rFonts w:ascii="宋体" w:hAnsi="宋体" w:cs="宋体"/>
          <w:color w:val="000000"/>
          <w:sz w:val="24"/>
          <w:highlight w:val="none"/>
        </w:rPr>
      </w:pPr>
      <w:r>
        <w:rPr>
          <w:rFonts w:ascii="宋体" w:hAnsi="宋体" w:cs="宋体"/>
          <w:color w:val="000000"/>
          <w:sz w:val="24"/>
          <w:highlight w:val="none"/>
        </w:rPr>
      </w:r>
      <w:r/>
    </w:p>
    <w:p>
      <w:pPr>
        <w:pStyle w:val="1041"/>
        <w:spacing w:before="25" w:after="25" w:line="360" w:lineRule="auto"/>
        <w:rPr>
          <w:color w:val="000000"/>
          <w:sz w:val="24"/>
          <w:highlight w:val="none"/>
          <w:lang w:val="zh-CN"/>
        </w:rPr>
      </w:pPr>
      <w:r>
        <w:rPr>
          <w:color w:val="000000"/>
          <w:sz w:val="24"/>
          <w:highlight w:val="none"/>
        </w:rPr>
        <w:t xml:space="preserve">供应商名称（加盖公章）</w:t>
      </w:r>
      <w:r>
        <w:rPr>
          <w:color w:val="000000"/>
          <w:sz w:val="24"/>
          <w:highlight w:val="none"/>
          <w:lang w:val="zh-CN"/>
        </w:rPr>
        <w:t xml:space="preserve">：    ____________</w:t>
      </w:r>
      <w:r>
        <w:rPr>
          <w:color w:val="000000"/>
          <w:sz w:val="24"/>
          <w:highlight w:val="none"/>
          <w:lang w:val="zh-CN"/>
        </w:rPr>
      </w:r>
      <w:r/>
    </w:p>
    <w:p>
      <w:pPr>
        <w:pStyle w:val="1041"/>
        <w:spacing w:before="25" w:after="25" w:line="360" w:lineRule="auto"/>
        <w:rPr>
          <w:color w:val="000000"/>
          <w:sz w:val="24"/>
          <w:highlight w:val="none"/>
          <w:lang w:val="zh-CN"/>
        </w:rPr>
      </w:pPr>
      <w:r>
        <w:rPr>
          <w:color w:val="000000"/>
          <w:sz w:val="24"/>
          <w:szCs w:val="20"/>
          <w:highlight w:val="none"/>
        </w:rPr>
        <w:t xml:space="preserve">日期：_____年______月______日   </w:t>
      </w:r>
      <w:r>
        <w:rPr>
          <w:color w:val="000000"/>
          <w:sz w:val="24"/>
          <w:highlight w:val="none"/>
          <w:lang w:val="zh-CN"/>
        </w:rPr>
      </w:r>
      <w:r/>
    </w:p>
    <w:p>
      <w:pPr>
        <w:pStyle w:val="1041"/>
        <w:numPr>
          <w:ilvl w:val="0"/>
          <w:numId w:val="20"/>
        </w:numPr>
        <w:ind w:left="901" w:hanging="901"/>
        <w:jc w:val="left"/>
        <w:spacing w:line="360" w:lineRule="auto"/>
        <w:widowControl/>
        <w:tabs>
          <w:tab w:val="left" w:pos="360" w:leader="none"/>
          <w:tab w:val="left" w:pos="900" w:leader="none"/>
        </w:tabs>
        <w:rPr>
          <w:rFonts w:hint="eastAsia" w:ascii="宋体" w:hAnsi="宋体" w:cs="宋体"/>
          <w:b/>
          <w:bCs/>
          <w:color w:val="000000"/>
          <w:sz w:val="24"/>
          <w:szCs w:val="20"/>
          <w:highlight w:val="none"/>
        </w:rPr>
        <w:outlineLvl w:val="2"/>
      </w:pPr>
      <w:r>
        <w:rPr>
          <w:rFonts w:hint="eastAsia"/>
          <w:color w:val="000000"/>
          <w:sz w:val="24"/>
          <w:highlight w:val="none"/>
        </w:rPr>
        <w:t xml:space="preserve">品牌推荐表（实质性格式，如有）</w:t>
      </w:r>
      <w:r>
        <w:rPr>
          <w:rFonts w:hint="eastAsia" w:ascii="宋体" w:hAnsi="宋体" w:cs="宋体"/>
          <w:b/>
          <w:bCs/>
          <w:color w:val="000000"/>
          <w:sz w:val="24"/>
          <w:szCs w:val="20"/>
          <w:highlight w:val="none"/>
        </w:rPr>
      </w:r>
      <w:r/>
    </w:p>
    <w:p>
      <w:pPr>
        <w:pStyle w:val="1041"/>
        <w:jc w:val="center"/>
        <w:rPr>
          <w:rFonts w:ascii="宋体" w:hAnsi="宋体"/>
          <w:b/>
          <w:color w:val="000000"/>
          <w:sz w:val="32"/>
          <w:szCs w:val="32"/>
          <w:highlight w:val="none"/>
        </w:rPr>
      </w:pPr>
      <w:r>
        <w:rPr>
          <w:rFonts w:hint="eastAsia" w:ascii="宋体" w:hAnsi="宋体"/>
          <w:b/>
          <w:color w:val="000000"/>
          <w:sz w:val="32"/>
          <w:szCs w:val="32"/>
          <w:highlight w:val="none"/>
        </w:rPr>
        <w:t xml:space="preserve">品牌推荐表</w:t>
      </w:r>
      <w:r>
        <w:rPr>
          <w:rFonts w:ascii="宋体" w:hAnsi="宋体"/>
          <w:b/>
          <w:color w:val="000000"/>
          <w:sz w:val="32"/>
          <w:szCs w:val="32"/>
          <w:highlight w:val="none"/>
        </w:rPr>
      </w:r>
      <w:r/>
    </w:p>
    <w:p>
      <w:pPr>
        <w:pStyle w:val="1041"/>
        <w:rPr>
          <w:rFonts w:hint="eastAsia"/>
          <w:color w:val="000000"/>
          <w:highlight w:val="none"/>
        </w:rPr>
      </w:pPr>
      <w:r>
        <w:rPr>
          <w:rFonts w:hint="eastAsia"/>
          <w:color w:val="000000"/>
          <w:highlight w:val="none"/>
        </w:rPr>
      </w:r>
      <w:r/>
    </w:p>
    <w:tbl>
      <w:tblPr>
        <w:tblpPr w:horzAnchor="page" w:tblpX="1669" w:vertAnchor="text" w:tblpY="26"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785"/>
        <w:gridCol w:w="3198"/>
        <w:gridCol w:w="3198"/>
      </w:tblGrid>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序号</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设备</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甲供品牌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拟投入品牌</w:t>
            </w:r>
            <w:r>
              <w:rPr>
                <w:rFonts w:hint="eastAsia" w:ascii="宋体" w:hAnsi="宋体"/>
                <w:color w:val="000000"/>
                <w:sz w:val="24"/>
                <w:highlight w:val="none"/>
              </w:rPr>
              <w:t xml:space="preserve">（或规格、型号、产地）</w:t>
            </w:r>
            <w:r>
              <w:rPr>
                <w:rFonts w:hint="eastAsia" w:ascii="宋体" w:hAnsi="宋体" w:cs="宋体"/>
                <w:bCs/>
                <w:color w:val="000000"/>
                <w:sz w:val="24"/>
                <w:highlight w:val="none"/>
              </w:rPr>
            </w:r>
            <w:r/>
          </w:p>
        </w:tc>
      </w:tr>
      <w:tr>
        <w:trPr>
          <w:trHeight w:val="400"/>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1</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szCs w:val="22"/>
                <w:highlight w:val="none"/>
              </w:rPr>
              <w:framePr w:vAnchor="text" w:hAnchor="page" w:x="1669" w:y="26"/>
            </w:pPr>
            <w:r>
              <w:rPr>
                <w:rFonts w:hint="eastAsia" w:ascii="宋体" w:hAnsi="宋体" w:cs="宋体"/>
                <w:bCs/>
                <w:color w:val="000000"/>
                <w:sz w:val="24"/>
                <w:highlight w:val="none"/>
              </w:rPr>
              <w:t xml:space="preserve">2</w:t>
            </w:r>
            <w:r>
              <w:rPr>
                <w:rFonts w:hint="eastAsia" w:ascii="宋体" w:hAnsi="宋体" w:cs="宋体"/>
                <w:bCs/>
                <w:color w:val="000000"/>
                <w:sz w:val="24"/>
                <w:szCs w:val="22"/>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highlight w:val="none"/>
              </w:rPr>
              <w:framePr w:vAnchor="text" w:hAnchor="page" w:x="1669" w:y="26"/>
            </w:pPr>
            <w:r>
              <w:rPr>
                <w:rFonts w:hint="eastAsia" w:ascii="宋体" w:hAnsi="宋体" w:cs="宋体"/>
                <w:color w:val="000000"/>
                <w:sz w:val="24"/>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4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r>
        <w:trPr>
          <w:trHeight w:val="355"/>
        </w:trPr>
        <w:tc>
          <w:tcPr>
            <w:tcW w:w="817" w:type="dxa"/>
            <w:vAlign w:val="center"/>
            <w:textDirection w:val="lrTb"/>
            <w:noWrap w:val="false"/>
          </w:tcPr>
          <w:p>
            <w:pPr>
              <w:pStyle w:val="1041"/>
              <w:jc w:val="center"/>
              <w:widowControl/>
              <w:rPr>
                <w:rFonts w:hint="eastAsia" w:ascii="宋体" w:hAnsi="宋体" w:cs="宋体"/>
                <w:bCs/>
                <w:color w:val="000000"/>
                <w:sz w:val="24"/>
                <w:highlight w:val="none"/>
              </w:rPr>
              <w:framePr w:vAnchor="text" w:hAnchor="page" w:x="1669" w:y="26"/>
            </w:pPr>
            <w:r>
              <w:rPr>
                <w:rFonts w:hint="eastAsia" w:ascii="宋体" w:hAnsi="宋体" w:cs="宋体"/>
                <w:bCs/>
                <w:color w:val="000000"/>
                <w:sz w:val="24"/>
                <w:highlight w:val="none"/>
              </w:rPr>
              <w:t xml:space="preserve">5</w:t>
            </w:r>
            <w:r>
              <w:rPr>
                <w:rFonts w:hint="eastAsia" w:ascii="宋体" w:hAnsi="宋体" w:cs="宋体"/>
                <w:bCs/>
                <w:color w:val="000000"/>
                <w:sz w:val="24"/>
                <w:highlight w:val="none"/>
              </w:rPr>
            </w:r>
            <w:r/>
          </w:p>
        </w:tc>
        <w:tc>
          <w:tcPr>
            <w:tcW w:w="1785" w:type="dxa"/>
            <w:vAlign w:val="center"/>
            <w:textDirection w:val="lrTb"/>
            <w:noWrap w:val="false"/>
          </w:tcPr>
          <w:p>
            <w:pPr>
              <w:pStyle w:val="1041"/>
              <w:jc w:val="center"/>
              <w:widowControl/>
              <w:rPr>
                <w:rFonts w:hint="eastAsia" w:ascii="宋体" w:hAnsi="宋体" w:cs="宋体"/>
                <w:color w:val="000000"/>
                <w:sz w:val="24"/>
                <w:szCs w:val="22"/>
                <w:highlight w:val="none"/>
              </w:rPr>
              <w:framePr w:vAnchor="text" w:hAnchor="page" w:x="1669" w:y="26"/>
            </w:pPr>
            <w:r>
              <w:rPr>
                <w:rFonts w:hint="eastAsia" w:ascii="宋体" w:hAnsi="宋体" w:cs="宋体"/>
                <w:color w:val="000000"/>
                <w:sz w:val="24"/>
                <w:szCs w:val="22"/>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c>
          <w:tcPr>
            <w:tcW w:w="3198" w:type="dxa"/>
            <w:vAlign w:val="center"/>
            <w:textDirection w:val="lrTb"/>
            <w:noWrap w:val="false"/>
          </w:tcPr>
          <w:p>
            <w:pPr>
              <w:pStyle w:val="1041"/>
              <w:jc w:val="center"/>
              <w:widowControl/>
              <w:rPr>
                <w:rFonts w:hint="eastAsia" w:ascii="宋体" w:hAnsi="宋体" w:cs="宋体"/>
                <w:color w:val="000000"/>
                <w:szCs w:val="21"/>
                <w:highlight w:val="none"/>
              </w:rPr>
              <w:framePr w:vAnchor="text" w:hAnchor="page" w:x="1669" w:y="26"/>
            </w:pPr>
            <w:r>
              <w:rPr>
                <w:rFonts w:hint="eastAsia" w:ascii="宋体" w:hAnsi="宋体" w:cs="宋体"/>
                <w:color w:val="000000"/>
                <w:szCs w:val="21"/>
                <w:highlight w:val="none"/>
              </w:rPr>
            </w:r>
            <w:r/>
          </w:p>
        </w:tc>
      </w:tr>
    </w:tbl>
    <w:p>
      <w:pPr>
        <w:pStyle w:val="1041"/>
        <w:ind w:firstLine="480"/>
        <w:widowControl/>
        <w:rPr>
          <w:rFonts w:hint="eastAsia" w:ascii="宋体" w:hAnsi="宋体" w:cs="宋体"/>
          <w:color w:val="000000"/>
          <w:sz w:val="24"/>
          <w:highlight w:val="none"/>
        </w:rPr>
      </w:pPr>
      <w:r>
        <w:rPr>
          <w:rFonts w:hint="eastAsia" w:ascii="宋体" w:hAnsi="宋体" w:cs="宋体"/>
          <w:color w:val="000000"/>
          <w:sz w:val="24"/>
          <w:highlight w:val="none"/>
        </w:rPr>
        <w:t xml:space="preserve">若供应商欲在招标人推荐的品牌之外选择其它品牌的，则该品牌产品必须满足采购要求，且必须在答疑截止时间前提交书面疑问材料，通过答疑方式征得招标人的认可后方可进行报价，否则视为未响应采购文件的实质性要求。材料进场前提供报价对应的品牌材料样品交由招标人认可后方可进场施工。</w:t>
      </w:r>
      <w:r>
        <w:rPr>
          <w:rFonts w:hint="eastAsia" w:ascii="宋体" w:hAnsi="宋体" w:cs="宋体"/>
          <w:color w:val="000000"/>
          <w:sz w:val="24"/>
          <w:highlight w:val="none"/>
        </w:rPr>
      </w:r>
      <w:r/>
    </w:p>
    <w:p>
      <w:pPr>
        <w:pStyle w:val="1073"/>
        <w:ind w:firstLine="480"/>
        <w:spacing w:line="240" w:lineRule="auto"/>
        <w:tabs>
          <w:tab w:val="left" w:pos="567" w:leader="none"/>
        </w:tabs>
        <w:rPr>
          <w:rFonts w:hint="eastAsia"/>
          <w:color w:val="000000"/>
          <w:highlight w:val="none"/>
        </w:rPr>
      </w:pPr>
      <w:r>
        <w:rPr>
          <w:rFonts w:hint="eastAsia"/>
          <w:color w:val="000000"/>
          <w:highlight w:val="none"/>
        </w:rPr>
        <w:t xml:space="preserve">凡清单中提供可选品牌的材料（设备），投标报价的“品牌推荐表”中应注明供应商所选择的材料（设备）的品牌（或规格、型号、产地），未注明上述信息的，视为供应商同意由发包人选择相应材料（设备）的品牌（或规格、型号、产地），但材料（设备）价格不予调整。因可选品牌材料（设备）之间客观存在的差异所引起的价格差异由供应商在投标报价时综合考虑。中标后，供应商不得因此提出价格调整的要求。</w:t>
      </w:r>
      <w:r>
        <w:rPr>
          <w:rFonts w:hint="eastAsia"/>
          <w:color w:val="000000"/>
          <w:highlight w:val="none"/>
        </w:rPr>
      </w:r>
      <w:r/>
    </w:p>
    <w:p>
      <w:pPr>
        <w:pStyle w:val="1041"/>
        <w:jc w:val="right"/>
        <w:rPr>
          <w:rFonts w:hint="eastAsia" w:ascii="宋体" w:hAnsi="宋体" w:cs="宋体"/>
          <w:color w:val="000000"/>
          <w:szCs w:val="21"/>
          <w:highlight w:val="none"/>
        </w:rPr>
      </w:pPr>
      <w:r>
        <w:rPr>
          <w:rFonts w:hint="eastAsia" w:ascii="宋体" w:hAnsi="宋体" w:cs="宋体"/>
          <w:color w:val="000000"/>
          <w:szCs w:val="21"/>
          <w:highlight w:val="non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供应商：（加盖公章）：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jc w:val="right"/>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                       法定代表人签字、签章或印鉴：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1041"/>
        <w:ind w:firstLine="3780"/>
        <w:jc w:val="right"/>
        <w:rPr>
          <w:rFonts w:hint="eastAsia" w:ascii="宋体" w:hAnsi="宋体" w:cs="宋体"/>
          <w:color w:val="000000"/>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hint="eastAsia" w:ascii="宋体" w:hAnsi="宋体" w:cs="宋体"/>
          <w:color w:val="000000"/>
          <w:highlight w:val="none"/>
        </w:rPr>
      </w:r>
      <w:r/>
    </w:p>
    <w:p>
      <w:pPr>
        <w:pStyle w:val="1041"/>
        <w:numPr>
          <w:ilvl w:val="0"/>
          <w:numId w:val="20"/>
        </w:numPr>
        <w:ind w:left="901" w:hanging="901"/>
        <w:jc w:val="left"/>
        <w:spacing w:line="360" w:lineRule="auto"/>
        <w:widowControl/>
        <w:tabs>
          <w:tab w:val="left" w:pos="360" w:leader="none"/>
          <w:tab w:val="left" w:pos="900" w:leader="none"/>
        </w:tabs>
        <w:rPr>
          <w:color w:val="000000"/>
          <w:sz w:val="24"/>
          <w:highlight w:val="none"/>
        </w:rPr>
        <w:outlineLvl w:val="2"/>
      </w:pPr>
      <w:r>
        <w:rPr>
          <w:rFonts w:hint="eastAsia"/>
          <w:color w:val="000000"/>
          <w:sz w:val="24"/>
          <w:highlight w:val="none"/>
        </w:rPr>
        <w:t xml:space="preserve">磋商文件要求提供或供应商认为应附的其他材料</w:t>
      </w:r>
      <w:r>
        <w:rPr>
          <w:color w:val="000000"/>
          <w:sz w:val="24"/>
          <w:highlight w:val="none"/>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egoe UI">
    <w:panose1 w:val="020B0502040204020203"/>
  </w:font>
  <w:font w:name="CESI黑体-GB2312">
    <w:panose1 w:val="020B0503020202020204"/>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0"/>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w:t>
                    </w:r>
                    <w:r>
                      <w:rPr>
                        <w:rFonts w:hint="eastAsia"/>
                      </w:rPr>
                      <w:fldChar w:fldCharType="end"/>
                    </w:r>
                    <w:r>
                      <w:rPr>
                        <w:rFonts w:hint="eastAsia"/>
                      </w:rPr>
                      <w:t xml:space="preserve"> 页</w:t>
                    </w:r>
                    <w:r>
                      <w:rPr>
                        <w:rFonts w:hint="eastAsia"/>
                      </w:rPr>
                    </w:r>
                    <w:r/>
                  </w:p>
                  <w:p>
                    <w:pPr>
                      <w:pStyle w:val="104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1"/>
                    </w:pPr>
                    <w:r>
                      <w:t xml:space="preserve">第 </w:t>
                    </w:r>
                    <w:r>
                      <w:fldChar w:fldCharType="begin"/>
                    </w:r>
                    <w:r>
                      <w:instrText xml:space="preserve"> PAGE  \* MERGEFORMAT </w:instrText>
                    </w:r>
                    <w:r>
                      <w:fldChar w:fldCharType="separate"/>
                    </w:r>
                    <w:r>
                      <w:t xml:space="preserve">37</w:t>
                    </w:r>
                    <w:r>
                      <w:fldChar w:fldCharType="end"/>
                    </w:r>
                    <w:r>
                      <w:t xml:space="preserve"> 页</w:t>
                    </w:r>
                    <w:r/>
                  </w:p>
                  <w:p>
                    <w:pPr>
                      <w:pStyle w:val="104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rPr>
        <w:rStyle w:val="1115"/>
      </w:rPr>
      <w:framePr w:wrap="around" w:vAnchor="text" w:hAnchor="margin" w:xAlign="right" w:y="1"/>
    </w:pPr>
    <w:r>
      <w:rPr>
        <w:rStyle w:val="1115"/>
      </w:rPr>
      <w:fldChar w:fldCharType="begin"/>
    </w:r>
    <w:r>
      <w:rPr>
        <w:rStyle w:val="1115"/>
      </w:rPr>
      <w:instrText xml:space="preserve">PAGE  </w:instrText>
    </w:r>
    <w:r>
      <w:rPr>
        <w:rStyle w:val="1115"/>
      </w:rPr>
      <w:fldChar w:fldCharType="end"/>
    </w:r>
    <w:r>
      <w:rPr>
        <w:rStyle w:val="1115"/>
      </w:rPr>
    </w:r>
    <w:r/>
  </w:p>
  <w:p>
    <w:pPr>
      <w:pStyle w:val="1090"/>
      <w:ind w:right="360"/>
      <w:tabs>
        <w:tab w:val="center" w:pos="4153" w:leader="none"/>
        <w:tab w:val="right" w:pos="8306" w:leader="none"/>
      </w:tabs>
    </w:pPr>
    <w:r/>
    <w:r/>
  </w:p>
  <w:p>
    <w:pPr>
      <w:pStyle w:val="104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b/>
      </w:rPr>
    </w:pPr>
    <w:r>
      <w:t xml:space="preserve">                                                               </w:t>
    </w:r>
    <w:r>
      <w:rPr>
        <w:rFonts w:hint="eastAsia"/>
        <w:b/>
      </w:rPr>
      <w:t xml:space="preserve"> </w:t>
    </w:r>
    <w:r>
      <w:rPr>
        <w:b/>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p>
    <w:pPr>
      <w:pStyle w:val="10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pStyle w:val="1041"/>
        <w:ind w:left="1440" w:hanging="360"/>
      </w:pPr>
      <w:rPr>
        <w:rFonts w:ascii="Courier New" w:hAnsi="Courier New" w:eastAsia="Courier New" w:cs="Courier New"/>
      </w:rPr>
    </w:lvl>
    <w:lvl w:ilvl="2">
      <w:start w:val="1"/>
      <w:numFmt w:val="bullet"/>
      <w:isLgl w:val="false"/>
      <w:suff w:val="tab"/>
      <w:lvlText w:val="§"/>
      <w:lvlJc w:val="left"/>
      <w:pPr>
        <w:pStyle w:val="1041"/>
        <w:ind w:left="2160" w:hanging="360"/>
      </w:pPr>
      <w:rPr>
        <w:rFonts w:ascii="Wingdings" w:hAnsi="Wingdings" w:eastAsia="Wingdings" w:cs="Wingdings"/>
      </w:rPr>
    </w:lvl>
    <w:lvl w:ilvl="3">
      <w:start w:val="1"/>
      <w:numFmt w:val="bullet"/>
      <w:isLgl w:val="false"/>
      <w:suff w:val="tab"/>
      <w:lvlText w:val="·"/>
      <w:lvlJc w:val="left"/>
      <w:pPr>
        <w:pStyle w:val="1041"/>
        <w:ind w:left="2880" w:hanging="360"/>
      </w:pPr>
      <w:rPr>
        <w:rFonts w:ascii="Symbol" w:hAnsi="Symbol" w:eastAsia="Symbol" w:cs="Symbol"/>
      </w:rPr>
    </w:lvl>
    <w:lvl w:ilvl="4">
      <w:start w:val="1"/>
      <w:numFmt w:val="bullet"/>
      <w:isLgl w:val="false"/>
      <w:suff w:val="tab"/>
      <w:lvlText w:val="o"/>
      <w:lvlJc w:val="left"/>
      <w:pPr>
        <w:pStyle w:val="1041"/>
        <w:ind w:left="3600" w:hanging="360"/>
      </w:pPr>
      <w:rPr>
        <w:rFonts w:ascii="Courier New" w:hAnsi="Courier New" w:eastAsia="Courier New" w:cs="Courier New"/>
      </w:rPr>
    </w:lvl>
    <w:lvl w:ilvl="5">
      <w:start w:val="1"/>
      <w:numFmt w:val="bullet"/>
      <w:isLgl w:val="false"/>
      <w:suff w:val="tab"/>
      <w:lvlText w:val="§"/>
      <w:lvlJc w:val="left"/>
      <w:pPr>
        <w:pStyle w:val="1041"/>
        <w:ind w:left="4320" w:hanging="360"/>
      </w:pPr>
      <w:rPr>
        <w:rFonts w:ascii="Wingdings" w:hAnsi="Wingdings" w:eastAsia="Wingdings" w:cs="Wingdings"/>
      </w:rPr>
    </w:lvl>
    <w:lvl w:ilvl="6">
      <w:start w:val="1"/>
      <w:numFmt w:val="bullet"/>
      <w:isLgl w:val="false"/>
      <w:suff w:val="tab"/>
      <w:lvlText w:val="·"/>
      <w:lvlJc w:val="left"/>
      <w:pPr>
        <w:pStyle w:val="1041"/>
        <w:ind w:left="5040" w:hanging="360"/>
      </w:pPr>
      <w:rPr>
        <w:rFonts w:ascii="Symbol" w:hAnsi="Symbol" w:eastAsia="Symbol" w:cs="Symbol"/>
      </w:rPr>
    </w:lvl>
    <w:lvl w:ilvl="7">
      <w:start w:val="1"/>
      <w:numFmt w:val="bullet"/>
      <w:isLgl w:val="false"/>
      <w:suff w:val="tab"/>
      <w:lvlText w:val="o"/>
      <w:lvlJc w:val="left"/>
      <w:pPr>
        <w:pStyle w:val="1041"/>
        <w:ind w:left="5760" w:hanging="360"/>
      </w:pPr>
      <w:rPr>
        <w:rFonts w:ascii="Courier New" w:hAnsi="Courier New" w:eastAsia="Courier New" w:cs="Courier New"/>
      </w:rPr>
    </w:lvl>
    <w:lvl w:ilvl="8">
      <w:start w:val="1"/>
      <w:numFmt w:val="bullet"/>
      <w:isLgl w:val="false"/>
      <w:suff w:val="tab"/>
      <w:lvlText w:val="§"/>
      <w:lvlJc w:val="left"/>
      <w:pPr>
        <w:pStyle w:val="104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2">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nothing"/>
      <w:lvlText w:val="%1、"/>
      <w:lvlJc w:val="left"/>
      <w:pPr>
        <w:pStyle w:val="104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1041"/>
        <w:ind w:left="4941" w:hanging="1140"/>
        <w:tabs>
          <w:tab w:val="num" w:pos="4941" w:leader="none"/>
        </w:tabs>
      </w:pPr>
      <w:rPr>
        <w:rFonts w:hint="eastAsia"/>
      </w:rPr>
    </w:lvl>
    <w:lvl w:ilvl="1">
      <w:start w:val="1"/>
      <w:numFmt w:val="lowerLetter"/>
      <w:isLgl w:val="false"/>
      <w:suff w:val="tab"/>
      <w:lvlText w:val="%2)"/>
      <w:lvlJc w:val="left"/>
      <w:pPr>
        <w:pStyle w:val="1041"/>
        <w:ind w:left="4641" w:hanging="420"/>
        <w:tabs>
          <w:tab w:val="num" w:pos="4641" w:leader="none"/>
        </w:tabs>
      </w:pPr>
    </w:lvl>
    <w:lvl w:ilvl="2">
      <w:start w:val="1"/>
      <w:numFmt w:val="lowerRoman"/>
      <w:isLgl w:val="false"/>
      <w:suff w:val="tab"/>
      <w:lvlText w:val="%3."/>
      <w:lvlJc w:val="right"/>
      <w:pPr>
        <w:pStyle w:val="1041"/>
        <w:ind w:left="5061" w:hanging="420"/>
        <w:tabs>
          <w:tab w:val="num" w:pos="5061" w:leader="none"/>
        </w:tabs>
      </w:pPr>
    </w:lvl>
    <w:lvl w:ilvl="3">
      <w:start w:val="1"/>
      <w:numFmt w:val="decimal"/>
      <w:isLgl w:val="false"/>
      <w:suff w:val="tab"/>
      <w:lvlText w:val="%4."/>
      <w:lvlJc w:val="left"/>
      <w:pPr>
        <w:pStyle w:val="1041"/>
        <w:ind w:left="5481" w:hanging="420"/>
        <w:tabs>
          <w:tab w:val="num" w:pos="5481" w:leader="none"/>
        </w:tabs>
      </w:pPr>
    </w:lvl>
    <w:lvl w:ilvl="4">
      <w:start w:val="1"/>
      <w:numFmt w:val="lowerLetter"/>
      <w:isLgl w:val="false"/>
      <w:suff w:val="tab"/>
      <w:lvlText w:val="%5)"/>
      <w:lvlJc w:val="left"/>
      <w:pPr>
        <w:pStyle w:val="1041"/>
        <w:ind w:left="5901" w:hanging="420"/>
        <w:tabs>
          <w:tab w:val="num" w:pos="5901" w:leader="none"/>
        </w:tabs>
      </w:pPr>
    </w:lvl>
    <w:lvl w:ilvl="5">
      <w:start w:val="1"/>
      <w:numFmt w:val="lowerRoman"/>
      <w:isLgl w:val="false"/>
      <w:suff w:val="tab"/>
      <w:lvlText w:val="%6."/>
      <w:lvlJc w:val="right"/>
      <w:pPr>
        <w:pStyle w:val="1041"/>
        <w:ind w:left="6321" w:hanging="420"/>
        <w:tabs>
          <w:tab w:val="num" w:pos="6321" w:leader="none"/>
        </w:tabs>
      </w:pPr>
    </w:lvl>
    <w:lvl w:ilvl="6">
      <w:start w:val="1"/>
      <w:numFmt w:val="decimal"/>
      <w:isLgl w:val="false"/>
      <w:suff w:val="tab"/>
      <w:lvlText w:val="%7."/>
      <w:lvlJc w:val="left"/>
      <w:pPr>
        <w:pStyle w:val="1041"/>
        <w:ind w:left="6741" w:hanging="420"/>
        <w:tabs>
          <w:tab w:val="num" w:pos="6741" w:leader="none"/>
        </w:tabs>
      </w:pPr>
    </w:lvl>
    <w:lvl w:ilvl="7">
      <w:start w:val="1"/>
      <w:numFmt w:val="lowerLetter"/>
      <w:isLgl w:val="false"/>
      <w:suff w:val="tab"/>
      <w:lvlText w:val="%8)"/>
      <w:lvlJc w:val="left"/>
      <w:pPr>
        <w:pStyle w:val="1041"/>
        <w:ind w:left="7161" w:hanging="420"/>
        <w:tabs>
          <w:tab w:val="num" w:pos="7161" w:leader="none"/>
        </w:tabs>
      </w:pPr>
    </w:lvl>
    <w:lvl w:ilvl="8">
      <w:start w:val="1"/>
      <w:numFmt w:val="lowerRoman"/>
      <w:isLgl w:val="false"/>
      <w:suff w:val="tab"/>
      <w:lvlText w:val="%9."/>
      <w:lvlJc w:val="right"/>
      <w:pPr>
        <w:pStyle w:val="1041"/>
        <w:ind w:left="7581" w:hanging="420"/>
        <w:tabs>
          <w:tab w:val="num" w:pos="7581" w:leader="none"/>
        </w:tabs>
      </w:pPr>
    </w:lvl>
  </w:abstractNum>
  <w:abstractNum w:abstractNumId="7">
    <w:multiLevelType w:val="hybridMultilevel"/>
    <w:lvl w:ilvl="0">
      <w:start w:val="1"/>
      <w:numFmt w:val="decimal"/>
      <w:pStyle w:val="1198"/>
      <w:isLgl w:val="false"/>
      <w:suff w:val="tab"/>
      <w:lvlText w:val="%1."/>
      <w:lvlJc w:val="left"/>
      <w:pPr>
        <w:pStyle w:val="1041"/>
        <w:ind w:left="420" w:hanging="420"/>
      </w:pPr>
    </w:lvl>
    <w:lvl w:ilvl="1">
      <w:start w:val="1"/>
      <w:numFmt w:val="decimal"/>
      <w:isLgl w:val="false"/>
      <w:suff w:val="tab"/>
      <w:lvlText w:val="（%2）"/>
      <w:lvlJc w:val="left"/>
      <w:pPr>
        <w:pStyle w:val="1041"/>
        <w:ind w:left="1140" w:hanging="720"/>
        <w:tabs>
          <w:tab w:val="num" w:pos="1140" w:leader="none"/>
        </w:tabs>
      </w:pPr>
      <w:rPr>
        <w:rFonts w:hint="eastAsia"/>
      </w:r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8">
    <w:multiLevelType w:val="hybridMultilevel"/>
    <w:lvl w:ilvl="0">
      <w:start w:val="1"/>
      <w:numFmt w:val="lowerLetter"/>
      <w:pStyle w:val="1270"/>
      <w:isLgl w:val="false"/>
      <w:suff w:val="tab"/>
      <w:lvlText w:val="%1)"/>
      <w:lvlJc w:val="left"/>
      <w:pPr>
        <w:pStyle w:val="1041"/>
        <w:ind w:left="902" w:hanging="420"/>
      </w:pPr>
      <w:rPr>
        <w:color w:val="000000"/>
      </w:rPr>
    </w:lvl>
    <w:lvl w:ilvl="1">
      <w:start w:val="1"/>
      <w:numFmt w:val="lowerLetter"/>
      <w:isLgl w:val="false"/>
      <w:suff w:val="tab"/>
      <w:lvlText w:val="%2)"/>
      <w:lvlJc w:val="left"/>
      <w:pPr>
        <w:pStyle w:val="1041"/>
        <w:ind w:left="1322" w:hanging="420"/>
      </w:pPr>
    </w:lvl>
    <w:lvl w:ilvl="2">
      <w:start w:val="1"/>
      <w:numFmt w:val="lowerRoman"/>
      <w:isLgl w:val="false"/>
      <w:suff w:val="tab"/>
      <w:lvlText w:val="%3."/>
      <w:lvlJc w:val="right"/>
      <w:pPr>
        <w:pStyle w:val="1041"/>
        <w:ind w:left="1742" w:hanging="420"/>
      </w:pPr>
    </w:lvl>
    <w:lvl w:ilvl="3">
      <w:start w:val="1"/>
      <w:numFmt w:val="decimal"/>
      <w:isLgl w:val="false"/>
      <w:suff w:val="tab"/>
      <w:lvlText w:val="%4."/>
      <w:lvlJc w:val="left"/>
      <w:pPr>
        <w:pStyle w:val="1041"/>
        <w:ind w:left="2162" w:hanging="420"/>
      </w:pPr>
    </w:lvl>
    <w:lvl w:ilvl="4">
      <w:start w:val="1"/>
      <w:numFmt w:val="lowerLetter"/>
      <w:isLgl w:val="false"/>
      <w:suff w:val="tab"/>
      <w:lvlText w:val="%5)"/>
      <w:lvlJc w:val="left"/>
      <w:pPr>
        <w:pStyle w:val="1041"/>
        <w:ind w:left="2582" w:hanging="420"/>
      </w:pPr>
    </w:lvl>
    <w:lvl w:ilvl="5">
      <w:start w:val="1"/>
      <w:numFmt w:val="lowerRoman"/>
      <w:isLgl w:val="false"/>
      <w:suff w:val="tab"/>
      <w:lvlText w:val="%6."/>
      <w:lvlJc w:val="right"/>
      <w:pPr>
        <w:pStyle w:val="1041"/>
        <w:ind w:left="3002" w:hanging="420"/>
      </w:pPr>
    </w:lvl>
    <w:lvl w:ilvl="6">
      <w:start w:val="1"/>
      <w:numFmt w:val="decimal"/>
      <w:isLgl w:val="false"/>
      <w:suff w:val="tab"/>
      <w:lvlText w:val="%7."/>
      <w:lvlJc w:val="left"/>
      <w:pPr>
        <w:pStyle w:val="1041"/>
        <w:ind w:left="3422" w:hanging="420"/>
      </w:pPr>
    </w:lvl>
    <w:lvl w:ilvl="7">
      <w:start w:val="1"/>
      <w:numFmt w:val="lowerLetter"/>
      <w:isLgl w:val="false"/>
      <w:suff w:val="tab"/>
      <w:lvlText w:val="%8)"/>
      <w:lvlJc w:val="left"/>
      <w:pPr>
        <w:pStyle w:val="1041"/>
        <w:ind w:left="3842" w:hanging="420"/>
      </w:pPr>
    </w:lvl>
    <w:lvl w:ilvl="8">
      <w:start w:val="1"/>
      <w:numFmt w:val="lowerRoman"/>
      <w:isLgl w:val="false"/>
      <w:suff w:val="tab"/>
      <w:lvlText w:val="%9."/>
      <w:lvlJc w:val="right"/>
      <w:pPr>
        <w:pStyle w:val="1041"/>
        <w:ind w:left="4262" w:hanging="420"/>
      </w:pPr>
    </w:lvl>
  </w:abstractNum>
  <w:abstractNum w:abstractNumId="9">
    <w:multiLevelType w:val="hybridMultilevel"/>
    <w:lvl w:ilvl="0">
      <w:start w:val="1"/>
      <w:numFmt w:val="decimal"/>
      <w:pStyle w:val="1273"/>
      <w:isLgl w:val="false"/>
      <w:suff w:val="tab"/>
      <w:lvlText w:val="%1."/>
      <w:lvlJc w:val="left"/>
      <w:pPr>
        <w:pStyle w:val="104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4"/>
      <w:isLgl w:val="false"/>
      <w:suff w:val="nothing"/>
      <w:lvlText w:val="%1　"/>
      <w:lvlJc w:val="left"/>
      <w:pPr>
        <w:pStyle w:val="104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4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41"/>
        <w:ind w:left="-25" w:firstLine="0"/>
      </w:pPr>
      <w:rPr>
        <w:rFonts w:ascii="Times New Roman" w:hAnsi="Times New Roman" w:eastAsia="黑体"/>
        <w:b/>
        <w:i w:val="0"/>
        <w:sz w:val="28"/>
      </w:rPr>
    </w:lvl>
    <w:lvl w:ilvl="3">
      <w:start w:val="1"/>
      <w:numFmt w:val="decimal"/>
      <w:pStyle w:val="1199"/>
      <w:isLgl w:val="false"/>
      <w:suff w:val="nothing"/>
      <w:lvlText w:val="%1.%2.%3.%4　"/>
      <w:lvlJc w:val="left"/>
      <w:pPr>
        <w:pStyle w:val="104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4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41"/>
        <w:ind w:left="-25" w:firstLine="0"/>
      </w:pPr>
      <w:rPr>
        <w:rFonts w:ascii="Times New Roman" w:hAnsi="Times New Roman" w:eastAsia="宋体"/>
        <w:b/>
        <w:i w:val="0"/>
        <w:sz w:val="28"/>
      </w:rPr>
    </w:lvl>
    <w:lvl w:ilvl="6">
      <w:start w:val="1"/>
      <w:numFmt w:val="lowerLetter"/>
      <w:pStyle w:val="1178"/>
      <w:isLgl w:val="false"/>
      <w:suff w:val="tab"/>
      <w:lvlText w:val="%7) "/>
      <w:lvlJc w:val="left"/>
      <w:pPr>
        <w:pStyle w:val="1041"/>
        <w:ind w:left="-125" w:firstLine="400"/>
        <w:tabs>
          <w:tab w:val="num" w:pos="635" w:leader="none"/>
        </w:tabs>
      </w:pPr>
      <w:rPr>
        <w:rFonts w:ascii="Times New Roman" w:hAnsi="Times New Roman" w:eastAsia="宋体"/>
        <w:b/>
        <w:i w:val="0"/>
        <w:color w:val="000000"/>
        <w:sz w:val="28"/>
        <w:u w:val="none"/>
      </w:rPr>
    </w:lvl>
    <w:lvl w:ilvl="7">
      <w:start w:val="1"/>
      <w:numFmt w:val="decimal"/>
      <w:pStyle w:val="1189"/>
      <w:isLgl w:val="false"/>
      <w:suff w:val="tab"/>
      <w:lvlText w:val="%8) "/>
      <w:lvlJc w:val="left"/>
      <w:pPr>
        <w:pStyle w:val="104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41"/>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1041"/>
        <w:ind w:left="768" w:hanging="360"/>
        <w:tabs>
          <w:tab w:val="num" w:pos="768" w:leader="none"/>
        </w:tabs>
      </w:pPr>
      <w:rPr>
        <w:rFonts w:hint="eastAsia"/>
      </w:rPr>
    </w:lvl>
    <w:lvl w:ilvl="1">
      <w:start w:val="1"/>
      <w:numFmt w:val="decimal"/>
      <w:pStyle w:val="1271"/>
      <w:isLgl w:val="false"/>
      <w:suff w:val="tab"/>
      <w:lvlText w:val="%2、"/>
      <w:lvlJc w:val="left"/>
      <w:pPr>
        <w:pStyle w:val="1041"/>
        <w:ind w:left="1188" w:hanging="360"/>
        <w:tabs>
          <w:tab w:val="num" w:pos="1188" w:leader="none"/>
        </w:tabs>
      </w:pPr>
      <w:rPr>
        <w:rFonts w:hint="eastAsia"/>
      </w:rPr>
    </w:lvl>
    <w:lvl w:ilvl="2">
      <w:start w:val="1"/>
      <w:numFmt w:val="decimal"/>
      <w:isLgl w:val="false"/>
      <w:suff w:val="tab"/>
      <w:lvlText w:val="（%3）"/>
      <w:lvlJc w:val="left"/>
      <w:pPr>
        <w:pStyle w:val="1041"/>
        <w:ind w:left="1968" w:hanging="720"/>
        <w:tabs>
          <w:tab w:val="num" w:pos="1968" w:leader="none"/>
        </w:tabs>
      </w:pPr>
      <w:rPr>
        <w:rFonts w:hint="eastAsia"/>
        <w:u w:val="none"/>
      </w:rPr>
    </w:lvl>
    <w:lvl w:ilvl="3">
      <w:start w:val="1"/>
      <w:numFmt w:val="decimal"/>
      <w:isLgl w:val="false"/>
      <w:suff w:val="tab"/>
      <w:lvlText w:val="%4."/>
      <w:lvlJc w:val="left"/>
      <w:pPr>
        <w:pStyle w:val="1041"/>
        <w:ind w:left="2088" w:hanging="420"/>
        <w:tabs>
          <w:tab w:val="num" w:pos="2088" w:leader="none"/>
        </w:tabs>
      </w:pPr>
    </w:lvl>
    <w:lvl w:ilvl="4">
      <w:start w:val="1"/>
      <w:numFmt w:val="lowerLetter"/>
      <w:isLgl w:val="false"/>
      <w:suff w:val="tab"/>
      <w:lvlText w:val="%5)"/>
      <w:lvlJc w:val="left"/>
      <w:pPr>
        <w:pStyle w:val="1041"/>
        <w:ind w:left="2508" w:hanging="420"/>
        <w:tabs>
          <w:tab w:val="num" w:pos="2508" w:leader="none"/>
        </w:tabs>
      </w:pPr>
    </w:lvl>
    <w:lvl w:ilvl="5">
      <w:start w:val="1"/>
      <w:numFmt w:val="lowerRoman"/>
      <w:isLgl w:val="false"/>
      <w:suff w:val="tab"/>
      <w:lvlText w:val="%6."/>
      <w:lvlJc w:val="right"/>
      <w:pPr>
        <w:pStyle w:val="1041"/>
        <w:ind w:left="2928" w:hanging="420"/>
        <w:tabs>
          <w:tab w:val="num" w:pos="2928" w:leader="none"/>
        </w:tabs>
      </w:pPr>
    </w:lvl>
    <w:lvl w:ilvl="6">
      <w:start w:val="1"/>
      <w:numFmt w:val="decimal"/>
      <w:isLgl w:val="false"/>
      <w:suff w:val="tab"/>
      <w:lvlText w:val="%7."/>
      <w:lvlJc w:val="left"/>
      <w:pPr>
        <w:pStyle w:val="1041"/>
        <w:ind w:left="3348" w:hanging="420"/>
        <w:tabs>
          <w:tab w:val="num" w:pos="3348" w:leader="none"/>
        </w:tabs>
      </w:pPr>
    </w:lvl>
    <w:lvl w:ilvl="7">
      <w:start w:val="1"/>
      <w:numFmt w:val="lowerLetter"/>
      <w:isLgl w:val="false"/>
      <w:suff w:val="tab"/>
      <w:lvlText w:val="%8)"/>
      <w:lvlJc w:val="left"/>
      <w:pPr>
        <w:pStyle w:val="1041"/>
        <w:ind w:left="3768" w:hanging="420"/>
        <w:tabs>
          <w:tab w:val="num" w:pos="3768" w:leader="none"/>
        </w:tabs>
      </w:pPr>
    </w:lvl>
    <w:lvl w:ilvl="8">
      <w:start w:val="1"/>
      <w:numFmt w:val="lowerRoman"/>
      <w:isLgl w:val="false"/>
      <w:suff w:val="tab"/>
      <w:lvlText w:val="%9."/>
      <w:lvlJc w:val="right"/>
      <w:pPr>
        <w:pStyle w:val="1041"/>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3">
    <w:multiLevelType w:val="hybridMultilevel"/>
    <w:lvl w:ilvl="0">
      <w:start w:val="1"/>
      <w:numFmt w:val="decimal"/>
      <w:pStyle w:val="1224"/>
      <w:isLgl w:val="false"/>
      <w:suff w:val="tab"/>
      <w:lvlText w:val="%1)"/>
      <w:lvlJc w:val="left"/>
      <w:pPr>
        <w:pStyle w:val="1041"/>
        <w:ind w:left="420" w:hanging="420"/>
      </w:pPr>
    </w:lvl>
    <w:lvl w:ilvl="1">
      <w:start w:val="1"/>
      <w:numFmt w:val="lowerLetter"/>
      <w:isLgl w:val="false"/>
      <w:suff w:val="tab"/>
      <w:lvlText w:val="%2)"/>
      <w:lvlJc w:val="left"/>
      <w:pPr>
        <w:pStyle w:val="1041"/>
        <w:ind w:left="840" w:hanging="420"/>
      </w:pPr>
    </w:lvl>
    <w:lvl w:ilvl="2">
      <w:start w:val="1"/>
      <w:numFmt w:val="lowerRoman"/>
      <w:isLgl w:val="false"/>
      <w:suff w:val="tab"/>
      <w:lvlText w:val="%3."/>
      <w:lvlJc w:val="right"/>
      <w:pPr>
        <w:pStyle w:val="1041"/>
        <w:ind w:left="1260" w:hanging="420"/>
      </w:pPr>
    </w:lvl>
    <w:lvl w:ilvl="3">
      <w:start w:val="1"/>
      <w:numFmt w:val="decimal"/>
      <w:isLgl w:val="false"/>
      <w:suff w:val="tab"/>
      <w:lvlText w:val="%4."/>
      <w:lvlJc w:val="left"/>
      <w:pPr>
        <w:pStyle w:val="1041"/>
        <w:ind w:left="1680" w:hanging="420"/>
      </w:pPr>
    </w:lvl>
    <w:lvl w:ilvl="4">
      <w:start w:val="1"/>
      <w:numFmt w:val="lowerLetter"/>
      <w:isLgl w:val="false"/>
      <w:suff w:val="tab"/>
      <w:lvlText w:val="%5)"/>
      <w:lvlJc w:val="left"/>
      <w:pPr>
        <w:pStyle w:val="1041"/>
        <w:ind w:left="2100" w:hanging="420"/>
      </w:pPr>
    </w:lvl>
    <w:lvl w:ilvl="5">
      <w:start w:val="1"/>
      <w:numFmt w:val="lowerRoman"/>
      <w:isLgl w:val="false"/>
      <w:suff w:val="tab"/>
      <w:lvlText w:val="%6."/>
      <w:lvlJc w:val="right"/>
      <w:pPr>
        <w:pStyle w:val="1041"/>
        <w:ind w:left="2520" w:hanging="420"/>
      </w:pPr>
    </w:lvl>
    <w:lvl w:ilvl="6">
      <w:start w:val="1"/>
      <w:numFmt w:val="decimal"/>
      <w:isLgl w:val="false"/>
      <w:suff w:val="tab"/>
      <w:lvlText w:val="%7."/>
      <w:lvlJc w:val="left"/>
      <w:pPr>
        <w:pStyle w:val="1041"/>
        <w:ind w:left="2940" w:hanging="420"/>
      </w:pPr>
    </w:lvl>
    <w:lvl w:ilvl="7">
      <w:start w:val="1"/>
      <w:numFmt w:val="lowerLetter"/>
      <w:isLgl w:val="false"/>
      <w:suff w:val="tab"/>
      <w:lvlText w:val="%8)"/>
      <w:lvlJc w:val="left"/>
      <w:pPr>
        <w:pStyle w:val="1041"/>
        <w:ind w:left="3360" w:hanging="420"/>
      </w:pPr>
    </w:lvl>
    <w:lvl w:ilvl="8">
      <w:start w:val="1"/>
      <w:numFmt w:val="lowerRoman"/>
      <w:isLgl w:val="false"/>
      <w:suff w:val="tab"/>
      <w:lvlText w:val="%9."/>
      <w:lvlJc w:val="right"/>
      <w:pPr>
        <w:pStyle w:val="1041"/>
        <w:ind w:left="3780" w:hanging="420"/>
      </w:pPr>
    </w:lvl>
  </w:abstractNum>
  <w:abstractNum w:abstractNumId="14">
    <w:multiLevelType w:val="hybridMultilevel"/>
    <w:lvl w:ilvl="0">
      <w:start w:val="1"/>
      <w:numFmt w:val="decimal"/>
      <w:pStyle w:val="1235"/>
      <w:isLgl w:val="false"/>
      <w:suff w:val="tab"/>
      <w:lvlText w:val="%1"/>
      <w:lvlJc w:val="left"/>
      <w:pPr>
        <w:pStyle w:val="1041"/>
        <w:ind w:left="680" w:hanging="680"/>
      </w:pPr>
      <w:rPr>
        <w:rFonts w:hint="eastAsia" w:ascii="宋体" w:hAnsi="宋体" w:eastAsia="宋体"/>
      </w:rPr>
    </w:lvl>
    <w:lvl w:ilvl="1">
      <w:start w:val="1"/>
      <w:numFmt w:val="decimal"/>
      <w:pStyle w:val="1179"/>
      <w:isLgl w:val="false"/>
      <w:suff w:val="tab"/>
      <w:lvlText w:val="%1.%2"/>
      <w:lvlJc w:val="left"/>
      <w:pPr>
        <w:pStyle w:val="1041"/>
        <w:ind w:left="851" w:hanging="851"/>
      </w:pPr>
      <w:rPr>
        <w:rFonts w:hint="eastAsia" w:ascii="宋体" w:hAnsi="宋体" w:eastAsia="宋体"/>
        <w:color w:val="000000"/>
      </w:rPr>
    </w:lvl>
    <w:lvl w:ilvl="2">
      <w:start w:val="1"/>
      <w:numFmt w:val="decimal"/>
      <w:pStyle w:val="1286"/>
      <w:isLgl w:val="false"/>
      <w:suff w:val="tab"/>
      <w:lvlText w:val="%1.%2.%3"/>
      <w:lvlJc w:val="left"/>
      <w:pPr>
        <w:pStyle w:val="1041"/>
        <w:ind w:left="851" w:hanging="851"/>
      </w:pPr>
      <w:rPr>
        <w:rFonts w:hint="eastAsia"/>
      </w:rPr>
    </w:lvl>
    <w:lvl w:ilvl="3">
      <w:start w:val="1"/>
      <w:numFmt w:val="decimal"/>
      <w:isLgl w:val="false"/>
      <w:suff w:val="tab"/>
      <w:lvlText w:val="%1.%2.%3.%4"/>
      <w:lvlJc w:val="left"/>
      <w:pPr>
        <w:pStyle w:val="1041"/>
        <w:ind w:left="680" w:hanging="680"/>
      </w:pPr>
      <w:rPr>
        <w:rFonts w:hint="eastAsia"/>
      </w:rPr>
    </w:lvl>
    <w:lvl w:ilvl="4">
      <w:start w:val="1"/>
      <w:numFmt w:val="decimal"/>
      <w:isLgl w:val="false"/>
      <w:suff w:val="tab"/>
      <w:lvlText w:val="%1.%2.%3.%4.%5"/>
      <w:lvlJc w:val="left"/>
      <w:pPr>
        <w:pStyle w:val="1041"/>
        <w:ind w:left="680" w:hanging="680"/>
      </w:pPr>
      <w:rPr>
        <w:rFonts w:hint="eastAsia"/>
      </w:rPr>
    </w:lvl>
    <w:lvl w:ilvl="5">
      <w:start w:val="1"/>
      <w:numFmt w:val="decimal"/>
      <w:isLgl w:val="false"/>
      <w:suff w:val="tab"/>
      <w:lvlText w:val="%1.%2.%3.%4.%5.%6"/>
      <w:lvlJc w:val="left"/>
      <w:pPr>
        <w:pStyle w:val="1041"/>
        <w:ind w:left="680" w:hanging="680"/>
      </w:pPr>
      <w:rPr>
        <w:rFonts w:hint="eastAsia"/>
      </w:rPr>
    </w:lvl>
    <w:lvl w:ilvl="6">
      <w:start w:val="1"/>
      <w:numFmt w:val="decimal"/>
      <w:isLgl w:val="false"/>
      <w:suff w:val="tab"/>
      <w:lvlText w:val="%1.%2.%3.%4.%5.%6.%7"/>
      <w:lvlJc w:val="left"/>
      <w:pPr>
        <w:pStyle w:val="1041"/>
        <w:ind w:left="680" w:hanging="680"/>
      </w:pPr>
      <w:rPr>
        <w:rFonts w:hint="eastAsia"/>
      </w:rPr>
    </w:lvl>
    <w:lvl w:ilvl="7">
      <w:start w:val="1"/>
      <w:numFmt w:val="decimal"/>
      <w:isLgl w:val="false"/>
      <w:suff w:val="tab"/>
      <w:lvlText w:val="%1.%2.%3.%4.%5.%6.%7.%8"/>
      <w:lvlJc w:val="left"/>
      <w:pPr>
        <w:pStyle w:val="1041"/>
        <w:ind w:left="680" w:hanging="680"/>
      </w:pPr>
      <w:rPr>
        <w:rFonts w:hint="eastAsia"/>
      </w:rPr>
    </w:lvl>
    <w:lvl w:ilvl="8">
      <w:start w:val="1"/>
      <w:numFmt w:val="decimal"/>
      <w:isLgl w:val="false"/>
      <w:suff w:val="tab"/>
      <w:lvlText w:val="%1.%2.%3.%4.%5.%6.%7.%8.%9"/>
      <w:lvlJc w:val="left"/>
      <w:pPr>
        <w:pStyle w:val="1041"/>
        <w:ind w:left="680" w:hanging="680"/>
      </w:pPr>
      <w:rPr>
        <w:rFonts w:hint="eastAsia"/>
      </w:rPr>
    </w:lvl>
  </w:abstractNum>
  <w:abstractNum w:abstractNumId="15">
    <w:multiLevelType w:val="hybridMultilevel"/>
    <w:lvl w:ilvl="0">
      <w:start w:val="1"/>
      <w:numFmt w:val="decimalEnclosedCircleChinese"/>
      <w:isLgl w:val="false"/>
      <w:suff w:val="nothing"/>
      <w:lvlText w:val="%1　"/>
      <w:lvlJc w:val="left"/>
      <w:pPr>
        <w:pStyle w:val="1041"/>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41"/>
        <w:ind w:left="900" w:hanging="900"/>
        <w:tabs>
          <w:tab w:val="num" w:pos="900" w:leader="none"/>
        </w:tabs>
      </w:pPr>
      <w:rPr>
        <w:rFonts w:hint="eastAsia"/>
      </w:rPr>
    </w:lvl>
    <w:lvl w:ilvl="1">
      <w:start w:val="1"/>
      <w:numFmt w:val="decimal"/>
      <w:isLgl w:val="false"/>
      <w:suff w:val="tab"/>
      <w:lvlText w:val="%1.%2"/>
      <w:lvlJc w:val="left"/>
      <w:pPr>
        <w:pStyle w:val="104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41"/>
        <w:ind w:left="1980" w:hanging="900"/>
        <w:tabs>
          <w:tab w:val="num" w:pos="1980" w:leader="none"/>
        </w:tabs>
      </w:pPr>
      <w:rPr>
        <w:rFonts w:hint="eastAsia"/>
      </w:rPr>
    </w:lvl>
    <w:lvl w:ilvl="3">
      <w:start w:val="1"/>
      <w:numFmt w:val="decimal"/>
      <w:isLgl w:val="false"/>
      <w:suff w:val="tab"/>
      <w:lvlText w:val="%1.%2.%3.%4"/>
      <w:lvlJc w:val="left"/>
      <w:pPr>
        <w:pStyle w:val="1041"/>
        <w:ind w:left="900" w:hanging="900"/>
        <w:tabs>
          <w:tab w:val="num" w:pos="900" w:leader="none"/>
        </w:tabs>
      </w:pPr>
      <w:rPr>
        <w:rFonts w:hint="eastAsia"/>
      </w:rPr>
    </w:lvl>
    <w:lvl w:ilvl="4">
      <w:start w:val="1"/>
      <w:numFmt w:val="decimal"/>
      <w:isLgl w:val="false"/>
      <w:suff w:val="tab"/>
      <w:lvlText w:val="%1.%2.%3.%4.%5"/>
      <w:lvlJc w:val="left"/>
      <w:pPr>
        <w:pStyle w:val="1041"/>
        <w:ind w:left="900" w:hanging="900"/>
        <w:tabs>
          <w:tab w:val="num" w:pos="900" w:leader="none"/>
        </w:tabs>
      </w:pPr>
      <w:rPr>
        <w:rFonts w:hint="eastAsia"/>
      </w:rPr>
    </w:lvl>
    <w:lvl w:ilvl="5">
      <w:start w:val="1"/>
      <w:numFmt w:val="decimal"/>
      <w:isLgl w:val="false"/>
      <w:suff w:val="tab"/>
      <w:lvlText w:val="%1.%2.%3.%4.%5.%6"/>
      <w:lvlJc w:val="left"/>
      <w:pPr>
        <w:pStyle w:val="1041"/>
        <w:ind w:left="900" w:hanging="900"/>
        <w:tabs>
          <w:tab w:val="num" w:pos="900" w:leader="none"/>
        </w:tabs>
      </w:pPr>
      <w:rPr>
        <w:rFonts w:hint="eastAsia"/>
      </w:rPr>
    </w:lvl>
    <w:lvl w:ilvl="6">
      <w:start w:val="1"/>
      <w:numFmt w:val="decimal"/>
      <w:isLgl w:val="false"/>
      <w:suff w:val="tab"/>
      <w:lvlText w:val="%1.%2.%3.%4.%5.%6.%7"/>
      <w:lvlJc w:val="left"/>
      <w:pPr>
        <w:pStyle w:val="1041"/>
        <w:ind w:left="900" w:hanging="900"/>
        <w:tabs>
          <w:tab w:val="num" w:pos="900" w:leader="none"/>
        </w:tabs>
      </w:pPr>
      <w:rPr>
        <w:rFonts w:hint="eastAsia"/>
      </w:rPr>
    </w:lvl>
    <w:lvl w:ilvl="7">
      <w:start w:val="1"/>
      <w:numFmt w:val="decimal"/>
      <w:isLgl w:val="false"/>
      <w:suff w:val="tab"/>
      <w:lvlText w:val="%1.%2.%3.%4.%5.%6.%7.%8"/>
      <w:lvlJc w:val="left"/>
      <w:pPr>
        <w:pStyle w:val="1041"/>
        <w:ind w:left="900" w:hanging="900"/>
        <w:tabs>
          <w:tab w:val="num" w:pos="900" w:leader="none"/>
        </w:tabs>
      </w:pPr>
      <w:rPr>
        <w:rFonts w:hint="eastAsia"/>
      </w:rPr>
    </w:lvl>
    <w:lvl w:ilvl="8">
      <w:start w:val="1"/>
      <w:numFmt w:val="decimal"/>
      <w:isLgl w:val="false"/>
      <w:suff w:val="tab"/>
      <w:lvlText w:val="%1.%2.%3.%4.%5.%6.%7.%8.%9"/>
      <w:lvlJc w:val="left"/>
      <w:pPr>
        <w:pStyle w:val="1041"/>
        <w:ind w:left="900" w:hanging="900"/>
        <w:tabs>
          <w:tab w:val="num" w:pos="900" w:leader="none"/>
        </w:tabs>
      </w:pPr>
      <w:rPr>
        <w:rFonts w:hint="eastAsia"/>
      </w:rPr>
    </w:lvl>
  </w:abstractNum>
  <w:abstractNum w:abstractNumId="18">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104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4"/>
  </w:num>
  <w:num w:numId="3">
    <w:abstractNumId w:val="7"/>
  </w:num>
  <w:num w:numId="4">
    <w:abstractNumId w:val="13"/>
  </w:num>
  <w:num w:numId="5">
    <w:abstractNumId w:val="8"/>
  </w:num>
  <w:num w:numId="6">
    <w:abstractNumId w:val="11"/>
  </w:num>
  <w:num w:numId="7">
    <w:abstractNumId w:val="9"/>
  </w:num>
  <w:num w:numId="8">
    <w:abstractNumId w:val="0"/>
  </w:num>
  <w:num w:numId="9">
    <w:abstractNumId w:val="12"/>
  </w:num>
  <w:num w:numId="10">
    <w:abstractNumId w:val="17"/>
  </w:num>
  <w:num w:numId="11">
    <w:abstractNumId w:val="6"/>
  </w:num>
  <w:num w:numId="12">
    <w:abstractNumId w:val="16"/>
  </w:num>
  <w:num w:numId="13">
    <w:abstractNumId w:val="5"/>
  </w:num>
  <w:num w:numId="14">
    <w:abstractNumId w:val="18"/>
  </w:num>
  <w:num w:numId="15">
    <w:abstractNumId w:val="2"/>
  </w:num>
  <w:num w:numId="16">
    <w:abstractNumId w:val="19"/>
  </w:num>
  <w:num w:numId="17">
    <w:abstractNumId w:val="15"/>
  </w:num>
  <w:num w:numId="18">
    <w:abstractNumId w:val="4"/>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4">
    <w:name w:val="Heading 1"/>
    <w:basedOn w:val="1041"/>
    <w:next w:val="1041"/>
    <w:link w:val="865"/>
    <w:uiPriority w:val="9"/>
    <w:qFormat/>
    <w:pPr>
      <w:keepLines/>
      <w:keepNext/>
      <w:spacing w:before="480" w:after="200"/>
      <w:outlineLvl w:val="0"/>
    </w:pPr>
    <w:rPr>
      <w:rFonts w:ascii="Arial" w:hAnsi="Arial" w:eastAsia="Arial" w:cs="Arial"/>
      <w:sz w:val="40"/>
      <w:szCs w:val="40"/>
    </w:rPr>
  </w:style>
  <w:style w:type="character" w:styleId="865">
    <w:name w:val="Heading 1 Char"/>
    <w:link w:val="864"/>
    <w:uiPriority w:val="9"/>
    <w:rPr>
      <w:rFonts w:ascii="Arial" w:hAnsi="Arial" w:eastAsia="Arial" w:cs="Arial"/>
      <w:sz w:val="40"/>
      <w:szCs w:val="40"/>
    </w:rPr>
  </w:style>
  <w:style w:type="paragraph" w:styleId="866">
    <w:name w:val="Heading 2"/>
    <w:basedOn w:val="1041"/>
    <w:next w:val="1041"/>
    <w:link w:val="867"/>
    <w:uiPriority w:val="9"/>
    <w:unhideWhenUsed/>
    <w:qFormat/>
    <w:pPr>
      <w:keepLines/>
      <w:keepNext/>
      <w:spacing w:before="360" w:after="200"/>
      <w:outlineLvl w:val="1"/>
    </w:pPr>
    <w:rPr>
      <w:rFonts w:ascii="Arial" w:hAnsi="Arial" w:eastAsia="Arial" w:cs="Arial"/>
      <w:sz w:val="34"/>
    </w:rPr>
  </w:style>
  <w:style w:type="character" w:styleId="867">
    <w:name w:val="Heading 2 Char"/>
    <w:link w:val="866"/>
    <w:uiPriority w:val="9"/>
    <w:rPr>
      <w:rFonts w:ascii="Arial" w:hAnsi="Arial" w:eastAsia="Arial" w:cs="Arial"/>
      <w:sz w:val="34"/>
    </w:rPr>
  </w:style>
  <w:style w:type="paragraph" w:styleId="868">
    <w:name w:val="Heading 3"/>
    <w:basedOn w:val="1041"/>
    <w:next w:val="1041"/>
    <w:link w:val="869"/>
    <w:uiPriority w:val="9"/>
    <w:unhideWhenUsed/>
    <w:qFormat/>
    <w:pPr>
      <w:keepLines/>
      <w:keepNext/>
      <w:spacing w:before="320" w:after="200"/>
      <w:outlineLvl w:val="2"/>
    </w:pPr>
    <w:rPr>
      <w:rFonts w:ascii="Arial" w:hAnsi="Arial" w:eastAsia="Arial" w:cs="Arial"/>
      <w:sz w:val="30"/>
      <w:szCs w:val="30"/>
    </w:rPr>
  </w:style>
  <w:style w:type="character" w:styleId="869">
    <w:name w:val="Heading 3 Char"/>
    <w:link w:val="868"/>
    <w:uiPriority w:val="9"/>
    <w:rPr>
      <w:rFonts w:ascii="Arial" w:hAnsi="Arial" w:eastAsia="Arial" w:cs="Arial"/>
      <w:sz w:val="30"/>
      <w:szCs w:val="30"/>
    </w:rPr>
  </w:style>
  <w:style w:type="paragraph" w:styleId="870">
    <w:name w:val="Heading 4"/>
    <w:basedOn w:val="1041"/>
    <w:next w:val="1041"/>
    <w:link w:val="871"/>
    <w:uiPriority w:val="9"/>
    <w:unhideWhenUsed/>
    <w:qFormat/>
    <w:pPr>
      <w:keepLines/>
      <w:keepNext/>
      <w:spacing w:before="320" w:after="200"/>
      <w:outlineLvl w:val="3"/>
    </w:pPr>
    <w:rPr>
      <w:rFonts w:ascii="Arial" w:hAnsi="Arial" w:eastAsia="Arial" w:cs="Arial"/>
      <w:b/>
      <w:bCs/>
      <w:sz w:val="26"/>
      <w:szCs w:val="26"/>
    </w:rPr>
  </w:style>
  <w:style w:type="character" w:styleId="871">
    <w:name w:val="Heading 4 Char"/>
    <w:link w:val="870"/>
    <w:uiPriority w:val="9"/>
    <w:rPr>
      <w:rFonts w:ascii="Arial" w:hAnsi="Arial" w:eastAsia="Arial" w:cs="Arial"/>
      <w:b/>
      <w:bCs/>
      <w:sz w:val="26"/>
      <w:szCs w:val="26"/>
    </w:rPr>
  </w:style>
  <w:style w:type="paragraph" w:styleId="872">
    <w:name w:val="Heading 5"/>
    <w:basedOn w:val="1041"/>
    <w:next w:val="1041"/>
    <w:link w:val="873"/>
    <w:uiPriority w:val="9"/>
    <w:unhideWhenUsed/>
    <w:qFormat/>
    <w:pPr>
      <w:keepLines/>
      <w:keepNext/>
      <w:spacing w:before="320" w:after="200"/>
      <w:outlineLvl w:val="4"/>
    </w:pPr>
    <w:rPr>
      <w:rFonts w:ascii="Arial" w:hAnsi="Arial" w:eastAsia="Arial" w:cs="Arial"/>
      <w:b/>
      <w:bCs/>
      <w:sz w:val="24"/>
      <w:szCs w:val="24"/>
    </w:rPr>
  </w:style>
  <w:style w:type="character" w:styleId="873">
    <w:name w:val="Heading 5 Char"/>
    <w:link w:val="872"/>
    <w:uiPriority w:val="9"/>
    <w:rPr>
      <w:rFonts w:ascii="Arial" w:hAnsi="Arial" w:eastAsia="Arial" w:cs="Arial"/>
      <w:b/>
      <w:bCs/>
      <w:sz w:val="24"/>
      <w:szCs w:val="24"/>
    </w:rPr>
  </w:style>
  <w:style w:type="paragraph" w:styleId="874">
    <w:name w:val="Heading 6"/>
    <w:basedOn w:val="1041"/>
    <w:next w:val="1041"/>
    <w:link w:val="875"/>
    <w:uiPriority w:val="9"/>
    <w:unhideWhenUsed/>
    <w:qFormat/>
    <w:pPr>
      <w:keepLines/>
      <w:keepNext/>
      <w:spacing w:before="320" w:after="200"/>
      <w:outlineLvl w:val="5"/>
    </w:pPr>
    <w:rPr>
      <w:rFonts w:ascii="Arial" w:hAnsi="Arial" w:eastAsia="Arial" w:cs="Arial"/>
      <w:b/>
      <w:bCs/>
      <w:sz w:val="22"/>
      <w:szCs w:val="22"/>
    </w:rPr>
  </w:style>
  <w:style w:type="character" w:styleId="875">
    <w:name w:val="Heading 6 Char"/>
    <w:link w:val="874"/>
    <w:uiPriority w:val="9"/>
    <w:rPr>
      <w:rFonts w:ascii="Arial" w:hAnsi="Arial" w:eastAsia="Arial" w:cs="Arial"/>
      <w:b/>
      <w:bCs/>
      <w:sz w:val="22"/>
      <w:szCs w:val="22"/>
    </w:rPr>
  </w:style>
  <w:style w:type="paragraph" w:styleId="876">
    <w:name w:val="Heading 7"/>
    <w:basedOn w:val="1041"/>
    <w:next w:val="1041"/>
    <w:link w:val="877"/>
    <w:uiPriority w:val="9"/>
    <w:unhideWhenUsed/>
    <w:qFormat/>
    <w:pPr>
      <w:keepLines/>
      <w:keepNext/>
      <w:spacing w:before="320" w:after="200"/>
      <w:outlineLvl w:val="6"/>
    </w:pPr>
    <w:rPr>
      <w:rFonts w:ascii="Arial" w:hAnsi="Arial" w:eastAsia="Arial" w:cs="Arial"/>
      <w:b/>
      <w:bCs/>
      <w:i/>
      <w:iCs/>
      <w:sz w:val="22"/>
      <w:szCs w:val="22"/>
    </w:rPr>
  </w:style>
  <w:style w:type="character" w:styleId="877">
    <w:name w:val="Heading 7 Char"/>
    <w:link w:val="876"/>
    <w:uiPriority w:val="9"/>
    <w:rPr>
      <w:rFonts w:ascii="Arial" w:hAnsi="Arial" w:eastAsia="Arial" w:cs="Arial"/>
      <w:b/>
      <w:bCs/>
      <w:i/>
      <w:iCs/>
      <w:sz w:val="22"/>
      <w:szCs w:val="22"/>
    </w:rPr>
  </w:style>
  <w:style w:type="paragraph" w:styleId="878">
    <w:name w:val="Heading 8"/>
    <w:basedOn w:val="1041"/>
    <w:next w:val="1041"/>
    <w:link w:val="879"/>
    <w:uiPriority w:val="9"/>
    <w:unhideWhenUsed/>
    <w:qFormat/>
    <w:pPr>
      <w:keepLines/>
      <w:keepNext/>
      <w:spacing w:before="320" w:after="200"/>
      <w:outlineLvl w:val="7"/>
    </w:pPr>
    <w:rPr>
      <w:rFonts w:ascii="Arial" w:hAnsi="Arial" w:eastAsia="Arial" w:cs="Arial"/>
      <w:i/>
      <w:iCs/>
      <w:sz w:val="22"/>
      <w:szCs w:val="22"/>
    </w:rPr>
  </w:style>
  <w:style w:type="character" w:styleId="879">
    <w:name w:val="Heading 8 Char"/>
    <w:link w:val="878"/>
    <w:uiPriority w:val="9"/>
    <w:rPr>
      <w:rFonts w:ascii="Arial" w:hAnsi="Arial" w:eastAsia="Arial" w:cs="Arial"/>
      <w:i/>
      <w:iCs/>
      <w:sz w:val="22"/>
      <w:szCs w:val="22"/>
    </w:rPr>
  </w:style>
  <w:style w:type="paragraph" w:styleId="880">
    <w:name w:val="Heading 9"/>
    <w:basedOn w:val="1041"/>
    <w:next w:val="1041"/>
    <w:link w:val="881"/>
    <w:uiPriority w:val="9"/>
    <w:unhideWhenUsed/>
    <w:qFormat/>
    <w:pPr>
      <w:keepLines/>
      <w:keepNext/>
      <w:spacing w:before="320" w:after="200"/>
      <w:outlineLvl w:val="8"/>
    </w:pPr>
    <w:rPr>
      <w:rFonts w:ascii="Arial" w:hAnsi="Arial" w:eastAsia="Arial" w:cs="Arial"/>
      <w:i/>
      <w:iCs/>
      <w:sz w:val="21"/>
      <w:szCs w:val="21"/>
    </w:rPr>
  </w:style>
  <w:style w:type="character" w:styleId="881">
    <w:name w:val="Heading 9 Char"/>
    <w:link w:val="880"/>
    <w:uiPriority w:val="9"/>
    <w:rPr>
      <w:rFonts w:ascii="Arial" w:hAnsi="Arial" w:eastAsia="Arial" w:cs="Arial"/>
      <w:i/>
      <w:iCs/>
      <w:sz w:val="21"/>
      <w:szCs w:val="21"/>
    </w:rPr>
  </w:style>
  <w:style w:type="paragraph" w:styleId="882">
    <w:name w:val="No Spacing"/>
    <w:uiPriority w:val="1"/>
    <w:qFormat/>
    <w:pPr>
      <w:spacing w:before="0" w:after="0" w:line="240" w:lineRule="auto"/>
    </w:pPr>
  </w:style>
  <w:style w:type="paragraph" w:styleId="883">
    <w:name w:val="Title"/>
    <w:basedOn w:val="1041"/>
    <w:next w:val="1041"/>
    <w:link w:val="884"/>
    <w:uiPriority w:val="10"/>
    <w:qFormat/>
    <w:pPr>
      <w:contextualSpacing/>
      <w:spacing w:before="300" w:after="200"/>
    </w:pPr>
    <w:rPr>
      <w:sz w:val="48"/>
      <w:szCs w:val="48"/>
    </w:rPr>
  </w:style>
  <w:style w:type="character" w:styleId="884">
    <w:name w:val="Title Char"/>
    <w:link w:val="883"/>
    <w:uiPriority w:val="10"/>
    <w:rPr>
      <w:sz w:val="48"/>
      <w:szCs w:val="48"/>
    </w:rPr>
  </w:style>
  <w:style w:type="paragraph" w:styleId="885">
    <w:name w:val="Subtitle"/>
    <w:basedOn w:val="1041"/>
    <w:next w:val="1041"/>
    <w:link w:val="886"/>
    <w:uiPriority w:val="11"/>
    <w:qFormat/>
    <w:pPr>
      <w:spacing w:before="200" w:after="200"/>
    </w:pPr>
    <w:rPr>
      <w:sz w:val="24"/>
      <w:szCs w:val="24"/>
    </w:rPr>
  </w:style>
  <w:style w:type="character" w:styleId="886">
    <w:name w:val="Subtitle Char"/>
    <w:link w:val="885"/>
    <w:uiPriority w:val="11"/>
    <w:rPr>
      <w:sz w:val="24"/>
      <w:szCs w:val="24"/>
    </w:rPr>
  </w:style>
  <w:style w:type="paragraph" w:styleId="887">
    <w:name w:val="Quote"/>
    <w:basedOn w:val="1041"/>
    <w:next w:val="1041"/>
    <w:link w:val="888"/>
    <w:uiPriority w:val="29"/>
    <w:qFormat/>
    <w:pPr>
      <w:ind w:left="720" w:right="720"/>
    </w:pPr>
    <w:rPr>
      <w:i/>
    </w:rPr>
  </w:style>
  <w:style w:type="character" w:styleId="888">
    <w:name w:val="Quote Char"/>
    <w:link w:val="887"/>
    <w:uiPriority w:val="29"/>
    <w:rPr>
      <w:i/>
    </w:rPr>
  </w:style>
  <w:style w:type="paragraph" w:styleId="889">
    <w:name w:val="Intense Quote"/>
    <w:basedOn w:val="1041"/>
    <w:next w:val="1041"/>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paragraph" w:styleId="891">
    <w:name w:val="Header"/>
    <w:basedOn w:val="1041"/>
    <w:link w:val="892"/>
    <w:uiPriority w:val="99"/>
    <w:unhideWhenUsed/>
    <w:pPr>
      <w:spacing w:after="0" w:line="240" w:lineRule="auto"/>
      <w:tabs>
        <w:tab w:val="center" w:pos="7143" w:leader="none"/>
        <w:tab w:val="right" w:pos="14287" w:leader="none"/>
      </w:tabs>
    </w:pPr>
  </w:style>
  <w:style w:type="character" w:styleId="892">
    <w:name w:val="Header Char"/>
    <w:link w:val="891"/>
    <w:uiPriority w:val="99"/>
  </w:style>
  <w:style w:type="paragraph" w:styleId="893">
    <w:name w:val="Footer"/>
    <w:basedOn w:val="1041"/>
    <w:link w:val="896"/>
    <w:uiPriority w:val="99"/>
    <w:unhideWhenUsed/>
    <w:pPr>
      <w:spacing w:after="0" w:line="240" w:lineRule="auto"/>
      <w:tabs>
        <w:tab w:val="center" w:pos="7143" w:leader="none"/>
        <w:tab w:val="right" w:pos="14287" w:leader="none"/>
      </w:tabs>
    </w:pPr>
  </w:style>
  <w:style w:type="character" w:styleId="894">
    <w:name w:val="Footer Char"/>
    <w:link w:val="893"/>
    <w:uiPriority w:val="99"/>
  </w:style>
  <w:style w:type="paragraph" w:styleId="895">
    <w:name w:val="Caption"/>
    <w:basedOn w:val="1041"/>
    <w:next w:val="1041"/>
    <w:uiPriority w:val="35"/>
    <w:semiHidden/>
    <w:unhideWhenUsed/>
    <w:qFormat/>
    <w:pPr>
      <w:spacing w:line="276" w:lineRule="auto"/>
    </w:pPr>
    <w:rPr>
      <w:b/>
      <w:bCs/>
      <w:color w:val="4f81bd" w:themeColor="accent1"/>
      <w:sz w:val="18"/>
      <w:szCs w:val="18"/>
    </w:rPr>
  </w:style>
  <w:style w:type="character" w:styleId="896">
    <w:name w:val="Caption Char"/>
    <w:basedOn w:val="895"/>
    <w:link w:val="893"/>
    <w:uiPriority w:val="99"/>
  </w:style>
  <w:style w:type="table" w:styleId="89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Hyperlink"/>
    <w:uiPriority w:val="99"/>
    <w:unhideWhenUsed/>
    <w:rPr>
      <w:color w:val="0000ff" w:themeColor="hyperlink"/>
      <w:u w:val="single"/>
    </w:rPr>
  </w:style>
  <w:style w:type="paragraph" w:styleId="1024">
    <w:name w:val="footnote text"/>
    <w:basedOn w:val="1041"/>
    <w:link w:val="1025"/>
    <w:uiPriority w:val="99"/>
    <w:semiHidden/>
    <w:unhideWhenUsed/>
    <w:pPr>
      <w:spacing w:after="40" w:line="240" w:lineRule="auto"/>
    </w:pPr>
    <w:rPr>
      <w:sz w:val="18"/>
    </w:rPr>
  </w:style>
  <w:style w:type="character" w:styleId="1025">
    <w:name w:val="Footnote Text Char"/>
    <w:link w:val="1024"/>
    <w:uiPriority w:val="99"/>
    <w:rPr>
      <w:sz w:val="18"/>
    </w:rPr>
  </w:style>
  <w:style w:type="character" w:styleId="1026">
    <w:name w:val="footnote reference"/>
    <w:uiPriority w:val="99"/>
    <w:unhideWhenUsed/>
    <w:rPr>
      <w:vertAlign w:val="superscript"/>
    </w:rPr>
  </w:style>
  <w:style w:type="paragraph" w:styleId="1027">
    <w:name w:val="endnote text"/>
    <w:basedOn w:val="1041"/>
    <w:link w:val="1028"/>
    <w:uiPriority w:val="99"/>
    <w:semiHidden/>
    <w:unhideWhenUsed/>
    <w:pPr>
      <w:spacing w:after="0" w:line="240" w:lineRule="auto"/>
    </w:pPr>
    <w:rPr>
      <w:sz w:val="20"/>
    </w:rPr>
  </w:style>
  <w:style w:type="character" w:styleId="1028">
    <w:name w:val="Endnote Text Char"/>
    <w:link w:val="1027"/>
    <w:uiPriority w:val="99"/>
    <w:rPr>
      <w:sz w:val="20"/>
    </w:rPr>
  </w:style>
  <w:style w:type="character" w:styleId="1029">
    <w:name w:val="endnote reference"/>
    <w:uiPriority w:val="99"/>
    <w:semiHidden/>
    <w:unhideWhenUsed/>
    <w:rPr>
      <w:vertAlign w:val="superscript"/>
    </w:rPr>
  </w:style>
  <w:style w:type="paragraph" w:styleId="1030">
    <w:name w:val="toc 1"/>
    <w:basedOn w:val="1041"/>
    <w:next w:val="1041"/>
    <w:uiPriority w:val="39"/>
    <w:unhideWhenUsed/>
    <w:pPr>
      <w:ind w:left="0" w:right="0" w:firstLine="0"/>
      <w:spacing w:after="57"/>
    </w:pPr>
  </w:style>
  <w:style w:type="paragraph" w:styleId="1031">
    <w:name w:val="toc 2"/>
    <w:basedOn w:val="1041"/>
    <w:next w:val="1041"/>
    <w:uiPriority w:val="39"/>
    <w:unhideWhenUsed/>
    <w:pPr>
      <w:ind w:left="283" w:right="0" w:firstLine="0"/>
      <w:spacing w:after="57"/>
    </w:pPr>
  </w:style>
  <w:style w:type="paragraph" w:styleId="1032">
    <w:name w:val="toc 3"/>
    <w:basedOn w:val="1041"/>
    <w:next w:val="1041"/>
    <w:uiPriority w:val="39"/>
    <w:unhideWhenUsed/>
    <w:pPr>
      <w:ind w:left="567" w:right="0" w:firstLine="0"/>
      <w:spacing w:after="57"/>
    </w:pPr>
  </w:style>
  <w:style w:type="paragraph" w:styleId="1033">
    <w:name w:val="toc 4"/>
    <w:basedOn w:val="1041"/>
    <w:next w:val="1041"/>
    <w:uiPriority w:val="39"/>
    <w:unhideWhenUsed/>
    <w:pPr>
      <w:ind w:left="850" w:right="0" w:firstLine="0"/>
      <w:spacing w:after="57"/>
    </w:pPr>
  </w:style>
  <w:style w:type="paragraph" w:styleId="1034">
    <w:name w:val="toc 5"/>
    <w:basedOn w:val="1041"/>
    <w:next w:val="1041"/>
    <w:uiPriority w:val="39"/>
    <w:unhideWhenUsed/>
    <w:pPr>
      <w:ind w:left="1134" w:right="0" w:firstLine="0"/>
      <w:spacing w:after="57"/>
    </w:pPr>
  </w:style>
  <w:style w:type="paragraph" w:styleId="1035">
    <w:name w:val="toc 6"/>
    <w:basedOn w:val="1041"/>
    <w:next w:val="1041"/>
    <w:uiPriority w:val="39"/>
    <w:unhideWhenUsed/>
    <w:pPr>
      <w:ind w:left="1417" w:right="0" w:firstLine="0"/>
      <w:spacing w:after="57"/>
    </w:pPr>
  </w:style>
  <w:style w:type="paragraph" w:styleId="1036">
    <w:name w:val="toc 7"/>
    <w:basedOn w:val="1041"/>
    <w:next w:val="1041"/>
    <w:uiPriority w:val="39"/>
    <w:unhideWhenUsed/>
    <w:pPr>
      <w:ind w:left="1701" w:right="0" w:firstLine="0"/>
      <w:spacing w:after="57"/>
    </w:pPr>
  </w:style>
  <w:style w:type="paragraph" w:styleId="1037">
    <w:name w:val="toc 8"/>
    <w:basedOn w:val="1041"/>
    <w:next w:val="1041"/>
    <w:uiPriority w:val="39"/>
    <w:unhideWhenUsed/>
    <w:pPr>
      <w:ind w:left="1984" w:right="0" w:firstLine="0"/>
      <w:spacing w:after="57"/>
    </w:pPr>
  </w:style>
  <w:style w:type="paragraph" w:styleId="1038">
    <w:name w:val="toc 9"/>
    <w:basedOn w:val="1041"/>
    <w:next w:val="1041"/>
    <w:uiPriority w:val="39"/>
    <w:unhideWhenUsed/>
    <w:pPr>
      <w:ind w:left="2268" w:right="0" w:firstLine="0"/>
      <w:spacing w:after="57"/>
    </w:p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41"/>
    <w:link w:val="1041"/>
    <w:qFormat/>
    <w:pPr>
      <w:jc w:val="both"/>
      <w:widowControl w:val="off"/>
    </w:pPr>
    <w:rPr>
      <w:sz w:val="21"/>
      <w:szCs w:val="24"/>
      <w:lang w:val="en-US" w:eastAsia="zh-CN" w:bidi="ar-SA"/>
    </w:rPr>
  </w:style>
  <w:style w:type="paragraph" w:styleId="1042">
    <w:name w:val="标题 1"/>
    <w:basedOn w:val="1041"/>
    <w:next w:val="1041"/>
    <w:link w:val="1053"/>
    <w:qFormat/>
    <w:pPr>
      <w:jc w:val="center"/>
      <w:keepLines/>
      <w:keepNext/>
      <w:spacing w:before="240" w:after="120" w:line="300" w:lineRule="auto"/>
      <w:outlineLvl w:val="0"/>
    </w:pPr>
    <w:rPr>
      <w:rFonts w:ascii="宋体"/>
      <w:b/>
      <w:sz w:val="32"/>
      <w:szCs w:val="20"/>
    </w:rPr>
  </w:style>
  <w:style w:type="paragraph" w:styleId="1043">
    <w:name w:val="标题 2"/>
    <w:basedOn w:val="1041"/>
    <w:next w:val="1055"/>
    <w:link w:val="1054"/>
    <w:qFormat/>
    <w:pPr>
      <w:jc w:val="center"/>
      <w:keepLines/>
      <w:keepNext/>
      <w:spacing w:before="120" w:line="300" w:lineRule="auto"/>
      <w:outlineLvl w:val="1"/>
    </w:pPr>
    <w:rPr>
      <w:rFonts w:ascii="Arial" w:hAnsi="Arial" w:eastAsia="黑体"/>
      <w:b/>
      <w:sz w:val="30"/>
      <w:szCs w:val="20"/>
    </w:rPr>
  </w:style>
  <w:style w:type="paragraph" w:styleId="1044">
    <w:name w:val="标题 3"/>
    <w:basedOn w:val="1041"/>
    <w:next w:val="1041"/>
    <w:link w:val="1057"/>
    <w:qFormat/>
    <w:pPr>
      <w:jc w:val="left"/>
      <w:keepLines/>
      <w:keepNext/>
      <w:spacing w:before="360" w:after="120"/>
      <w:outlineLvl w:val="2"/>
    </w:pPr>
    <w:rPr>
      <w:rFonts w:ascii="宋体"/>
      <w:b/>
      <w:sz w:val="24"/>
      <w:szCs w:val="20"/>
      <w:u w:val="single"/>
    </w:rPr>
  </w:style>
  <w:style w:type="paragraph" w:styleId="1045">
    <w:name w:val="标题 4"/>
    <w:basedOn w:val="1041"/>
    <w:next w:val="1041"/>
    <w:link w:val="1058"/>
    <w:qFormat/>
    <w:pPr>
      <w:keepLines/>
      <w:keepNext/>
      <w:spacing w:before="280" w:after="290" w:line="376" w:lineRule="atLeast"/>
      <w:outlineLvl w:val="3"/>
    </w:pPr>
    <w:rPr>
      <w:rFonts w:ascii="Arial" w:hAnsi="Arial" w:eastAsia="黑体"/>
      <w:b/>
      <w:sz w:val="28"/>
      <w:szCs w:val="20"/>
    </w:rPr>
  </w:style>
  <w:style w:type="paragraph" w:styleId="1046">
    <w:name w:val="标题 5"/>
    <w:basedOn w:val="1041"/>
    <w:next w:val="1041"/>
    <w:link w:val="1059"/>
    <w:qFormat/>
    <w:pPr>
      <w:keepLines/>
      <w:keepNext/>
      <w:spacing w:before="280" w:after="290" w:line="376" w:lineRule="atLeast"/>
      <w:outlineLvl w:val="4"/>
    </w:pPr>
    <w:rPr>
      <w:b/>
      <w:sz w:val="28"/>
      <w:szCs w:val="20"/>
    </w:rPr>
  </w:style>
  <w:style w:type="paragraph" w:styleId="1047">
    <w:name w:val="标题 6"/>
    <w:basedOn w:val="1041"/>
    <w:next w:val="1041"/>
    <w:link w:val="1060"/>
    <w:qFormat/>
    <w:pPr>
      <w:keepLines/>
      <w:keepNext/>
      <w:spacing w:before="240" w:after="64" w:line="320" w:lineRule="atLeast"/>
      <w:outlineLvl w:val="5"/>
    </w:pPr>
    <w:rPr>
      <w:rFonts w:ascii="Arial" w:hAnsi="Arial" w:eastAsia="黑体"/>
      <w:b/>
      <w:sz w:val="24"/>
      <w:szCs w:val="20"/>
    </w:rPr>
  </w:style>
  <w:style w:type="paragraph" w:styleId="1048">
    <w:name w:val="标题 7"/>
    <w:basedOn w:val="1041"/>
    <w:next w:val="1041"/>
    <w:link w:val="1061"/>
    <w:qFormat/>
    <w:pPr>
      <w:keepLines/>
      <w:keepNext/>
      <w:spacing w:before="240" w:after="64" w:line="320" w:lineRule="atLeast"/>
      <w:outlineLvl w:val="6"/>
    </w:pPr>
    <w:rPr>
      <w:b/>
      <w:sz w:val="24"/>
      <w:szCs w:val="20"/>
    </w:rPr>
  </w:style>
  <w:style w:type="paragraph" w:styleId="1049">
    <w:name w:val="标题 8"/>
    <w:basedOn w:val="1041"/>
    <w:next w:val="1041"/>
    <w:link w:val="1062"/>
    <w:qFormat/>
    <w:pPr>
      <w:keepLines/>
      <w:keepNext/>
      <w:spacing w:before="240" w:after="64" w:line="320" w:lineRule="atLeast"/>
      <w:outlineLvl w:val="7"/>
    </w:pPr>
    <w:rPr>
      <w:rFonts w:ascii="Arial" w:hAnsi="Arial" w:eastAsia="黑体"/>
      <w:sz w:val="24"/>
      <w:szCs w:val="20"/>
    </w:rPr>
  </w:style>
  <w:style w:type="paragraph" w:styleId="1050">
    <w:name w:val="标题 9"/>
    <w:basedOn w:val="1041"/>
    <w:next w:val="1041"/>
    <w:link w:val="1063"/>
    <w:qFormat/>
    <w:pPr>
      <w:keepLines/>
      <w:keepNext/>
      <w:spacing w:before="240" w:after="64" w:line="320" w:lineRule="atLeast"/>
      <w:outlineLvl w:val="8"/>
    </w:pPr>
    <w:rPr>
      <w:rFonts w:ascii="Arial" w:hAnsi="Arial" w:eastAsia="黑体"/>
      <w:szCs w:val="20"/>
    </w:rPr>
  </w:style>
  <w:style w:type="character" w:styleId="1051">
    <w:name w:val="默认段落字体"/>
    <w:next w:val="1051"/>
    <w:link w:val="1041"/>
    <w:uiPriority w:val="1"/>
    <w:unhideWhenUsed/>
    <w:qFormat/>
  </w:style>
  <w:style w:type="table" w:styleId="1052">
    <w:name w:val="普通表格"/>
    <w:next w:val="1052"/>
    <w:link w:val="1041"/>
    <w:uiPriority w:val="99"/>
    <w:unhideWhenUsed/>
    <w:qFormat/>
    <w:tblPr/>
  </w:style>
  <w:style w:type="character" w:styleId="1053">
    <w:name w:val="标题 1 字符"/>
    <w:next w:val="1053"/>
    <w:link w:val="1042"/>
    <w:qFormat/>
    <w:rPr>
      <w:rFonts w:ascii="宋体"/>
      <w:b/>
      <w:sz w:val="32"/>
    </w:rPr>
  </w:style>
  <w:style w:type="character" w:styleId="1054">
    <w:name w:val="标题 2 字符"/>
    <w:next w:val="1054"/>
    <w:link w:val="1043"/>
    <w:qFormat/>
    <w:rPr>
      <w:rFonts w:ascii="Arial" w:hAnsi="Arial" w:eastAsia="黑体"/>
      <w:b/>
      <w:sz w:val="30"/>
      <w:lang w:val="en-US" w:eastAsia="zh-CN" w:bidi="ar-SA"/>
    </w:rPr>
  </w:style>
  <w:style w:type="paragraph" w:styleId="1055">
    <w:name w:val="正文缩进"/>
    <w:basedOn w:val="1041"/>
    <w:next w:val="1041"/>
    <w:link w:val="1056"/>
    <w:qFormat/>
    <w:pPr>
      <w:ind w:firstLine="420"/>
      <w:jc w:val="left"/>
    </w:pPr>
    <w:rPr>
      <w:rFonts w:ascii="宋体"/>
      <w:sz w:val="24"/>
    </w:rPr>
  </w:style>
  <w:style w:type="character" w:styleId="1056">
    <w:name w:val="正文缩进 字符"/>
    <w:next w:val="1056"/>
    <w:link w:val="1055"/>
    <w:qFormat/>
    <w:rPr>
      <w:rFonts w:ascii="宋体" w:eastAsia="宋体"/>
      <w:sz w:val="24"/>
      <w:szCs w:val="24"/>
      <w:lang w:val="en-US" w:eastAsia="zh-CN" w:bidi="ar-SA"/>
    </w:rPr>
  </w:style>
  <w:style w:type="character" w:styleId="1057">
    <w:name w:val="标题 3 字符"/>
    <w:next w:val="1057"/>
    <w:link w:val="1044"/>
    <w:qFormat/>
    <w:rPr>
      <w:rFonts w:ascii="宋体" w:eastAsia="宋体"/>
      <w:b/>
      <w:sz w:val="24"/>
      <w:u w:val="single"/>
      <w:lang w:val="en-US" w:eastAsia="zh-CN" w:bidi="ar-SA"/>
    </w:rPr>
  </w:style>
  <w:style w:type="character" w:styleId="1058">
    <w:name w:val="标题 4 字符"/>
    <w:next w:val="1058"/>
    <w:link w:val="1045"/>
    <w:qFormat/>
    <w:rPr>
      <w:rFonts w:ascii="Arial" w:hAnsi="Arial" w:eastAsia="黑体"/>
      <w:b/>
      <w:sz w:val="28"/>
    </w:rPr>
  </w:style>
  <w:style w:type="character" w:styleId="1059">
    <w:name w:val="标题 5 字符"/>
    <w:next w:val="1059"/>
    <w:link w:val="1046"/>
    <w:qFormat/>
    <w:rPr>
      <w:b/>
      <w:sz w:val="28"/>
    </w:rPr>
  </w:style>
  <w:style w:type="character" w:styleId="1060">
    <w:name w:val="标题 6 字符"/>
    <w:next w:val="1060"/>
    <w:link w:val="1047"/>
    <w:qFormat/>
    <w:rPr>
      <w:rFonts w:ascii="Arial" w:hAnsi="Arial" w:eastAsia="黑体"/>
      <w:b/>
      <w:sz w:val="24"/>
    </w:rPr>
  </w:style>
  <w:style w:type="character" w:styleId="1061">
    <w:name w:val="标题 7 字符"/>
    <w:next w:val="1061"/>
    <w:link w:val="1048"/>
    <w:qFormat/>
    <w:rPr>
      <w:b/>
      <w:sz w:val="24"/>
    </w:rPr>
  </w:style>
  <w:style w:type="character" w:styleId="1062">
    <w:name w:val="标题 8 字符"/>
    <w:next w:val="1062"/>
    <w:link w:val="1049"/>
    <w:qFormat/>
    <w:rPr>
      <w:rFonts w:ascii="Arial" w:hAnsi="Arial" w:eastAsia="黑体"/>
      <w:sz w:val="24"/>
    </w:rPr>
  </w:style>
  <w:style w:type="character" w:styleId="1063">
    <w:name w:val="标题 9 字符"/>
    <w:next w:val="1063"/>
    <w:link w:val="1050"/>
    <w:qFormat/>
    <w:rPr>
      <w:rFonts w:ascii="Arial" w:hAnsi="Arial" w:eastAsia="黑体"/>
      <w:sz w:val="21"/>
    </w:rPr>
  </w:style>
  <w:style w:type="paragraph" w:styleId="1064">
    <w:name w:val="目录 7"/>
    <w:basedOn w:val="1041"/>
    <w:next w:val="1041"/>
    <w:link w:val="1041"/>
    <w:qFormat/>
    <w:pPr>
      <w:ind w:left="2520"/>
    </w:pPr>
  </w:style>
  <w:style w:type="paragraph" w:styleId="1065">
    <w:name w:val="题注"/>
    <w:basedOn w:val="1041"/>
    <w:next w:val="1041"/>
    <w:link w:val="1041"/>
    <w:qFormat/>
    <w:pPr>
      <w:spacing w:line="480" w:lineRule="auto"/>
    </w:pPr>
    <w:rPr>
      <w:rFonts w:ascii="华文中宋" w:hAnsi="华文中宋" w:eastAsia="华文中宋"/>
      <w:sz w:val="36"/>
      <w:szCs w:val="20"/>
    </w:rPr>
  </w:style>
  <w:style w:type="paragraph" w:styleId="1066">
    <w:name w:val="索引 5"/>
    <w:basedOn w:val="1041"/>
    <w:next w:val="1041"/>
    <w:link w:val="1041"/>
    <w:uiPriority w:val="99"/>
    <w:unhideWhenUsed/>
    <w:qFormat/>
    <w:pPr>
      <w:ind w:left="800"/>
    </w:pPr>
  </w:style>
  <w:style w:type="paragraph" w:styleId="1067">
    <w:name w:val="文档结构图"/>
    <w:basedOn w:val="1041"/>
    <w:next w:val="1041"/>
    <w:link w:val="1068"/>
    <w:qFormat/>
    <w:pPr>
      <w:shd w:val="clear" w:color="auto" w:fill="000080"/>
    </w:pPr>
  </w:style>
  <w:style w:type="character" w:styleId="1068">
    <w:name w:val="文档结构图 字符"/>
    <w:next w:val="1068"/>
    <w:link w:val="1067"/>
    <w:qFormat/>
    <w:rPr>
      <w:sz w:val="21"/>
      <w:szCs w:val="24"/>
      <w:shd w:val="clear" w:color="auto" w:fill="000080"/>
    </w:rPr>
  </w:style>
  <w:style w:type="paragraph" w:styleId="1069">
    <w:name w:val="批注文字"/>
    <w:basedOn w:val="1041"/>
    <w:next w:val="1069"/>
    <w:link w:val="1070"/>
    <w:uiPriority w:val="99"/>
    <w:qFormat/>
    <w:pPr>
      <w:jc w:val="left"/>
    </w:pPr>
  </w:style>
  <w:style w:type="character" w:styleId="1070">
    <w:name w:val="批注文字 字符1"/>
    <w:next w:val="1070"/>
    <w:link w:val="1069"/>
    <w:uiPriority w:val="99"/>
    <w:qFormat/>
    <w:rPr>
      <w:sz w:val="21"/>
      <w:szCs w:val="24"/>
    </w:rPr>
  </w:style>
  <w:style w:type="paragraph" w:styleId="1071">
    <w:name w:val="正文文本 3"/>
    <w:basedOn w:val="1041"/>
    <w:next w:val="1071"/>
    <w:link w:val="1072"/>
    <w:qFormat/>
    <w:pPr>
      <w:spacing w:after="120"/>
    </w:pPr>
    <w:rPr>
      <w:sz w:val="16"/>
      <w:szCs w:val="16"/>
    </w:rPr>
  </w:style>
  <w:style w:type="character" w:styleId="1072">
    <w:name w:val="正文文本 3 字符"/>
    <w:next w:val="1072"/>
    <w:link w:val="1071"/>
    <w:qFormat/>
    <w:rPr>
      <w:sz w:val="16"/>
      <w:szCs w:val="16"/>
    </w:rPr>
  </w:style>
  <w:style w:type="paragraph" w:styleId="1073">
    <w:name w:val="正文文本"/>
    <w:basedOn w:val="1041"/>
    <w:next w:val="1041"/>
    <w:link w:val="1074"/>
    <w:qFormat/>
    <w:pPr>
      <w:spacing w:before="120" w:line="22" w:lineRule="atLeast"/>
      <w:tabs>
        <w:tab w:val="left" w:pos="567" w:leader="none"/>
      </w:tabs>
    </w:pPr>
    <w:rPr>
      <w:rFonts w:ascii="宋体" w:hAnsi="宋体"/>
      <w:sz w:val="24"/>
    </w:rPr>
  </w:style>
  <w:style w:type="character" w:styleId="1074">
    <w:name w:val="正文文本 字符"/>
    <w:next w:val="1074"/>
    <w:link w:val="1073"/>
    <w:qFormat/>
    <w:rPr>
      <w:rFonts w:ascii="宋体" w:hAnsi="宋体"/>
      <w:sz w:val="24"/>
      <w:szCs w:val="24"/>
    </w:rPr>
  </w:style>
  <w:style w:type="paragraph" w:styleId="1075">
    <w:name w:val="正文文本缩进"/>
    <w:basedOn w:val="1041"/>
    <w:next w:val="1041"/>
    <w:link w:val="1076"/>
    <w:qFormat/>
    <w:pPr>
      <w:ind w:firstLine="570"/>
      <w:spacing w:line="360" w:lineRule="auto"/>
    </w:pPr>
    <w:rPr>
      <w:sz w:val="24"/>
    </w:rPr>
  </w:style>
  <w:style w:type="character" w:styleId="1076">
    <w:name w:val="正文文本缩进 字符"/>
    <w:next w:val="1076"/>
    <w:link w:val="1075"/>
    <w:qFormat/>
    <w:rPr>
      <w:rFonts w:eastAsia="宋体"/>
      <w:sz w:val="24"/>
      <w:szCs w:val="24"/>
      <w:lang w:val="en-US" w:eastAsia="zh-CN" w:bidi="ar-SA"/>
    </w:rPr>
  </w:style>
  <w:style w:type="paragraph" w:styleId="1077">
    <w:name w:val="列表 2"/>
    <w:basedOn w:val="1041"/>
    <w:next w:val="1077"/>
    <w:link w:val="1041"/>
    <w:qFormat/>
    <w:pPr>
      <w:ind w:left="100" w:hanging="200"/>
    </w:pPr>
  </w:style>
  <w:style w:type="paragraph" w:styleId="1078">
    <w:name w:val="文本块"/>
    <w:basedOn w:val="1041"/>
    <w:next w:val="1078"/>
    <w:link w:val="1041"/>
    <w:qFormat/>
    <w:pPr>
      <w:ind w:left="480" w:right="-341" w:firstLine="513"/>
      <w:widowControl/>
    </w:pPr>
    <w:rPr>
      <w:sz w:val="24"/>
      <w:szCs w:val="20"/>
    </w:rPr>
  </w:style>
  <w:style w:type="paragraph" w:styleId="1079">
    <w:name w:val="目录 5"/>
    <w:basedOn w:val="1041"/>
    <w:next w:val="1041"/>
    <w:link w:val="1041"/>
    <w:qFormat/>
    <w:pPr>
      <w:ind w:left="1680"/>
    </w:pPr>
  </w:style>
  <w:style w:type="paragraph" w:styleId="1080">
    <w:name w:val="目录 3"/>
    <w:basedOn w:val="1041"/>
    <w:next w:val="1041"/>
    <w:link w:val="1041"/>
    <w:uiPriority w:val="39"/>
    <w:qFormat/>
    <w:pPr>
      <w:ind w:left="840"/>
    </w:pPr>
  </w:style>
  <w:style w:type="paragraph" w:styleId="1081">
    <w:name w:val="纯文本"/>
    <w:basedOn w:val="1041"/>
    <w:next w:val="1081"/>
    <w:link w:val="1082"/>
    <w:qFormat/>
    <w:rPr>
      <w:rFonts w:hint="eastAsia" w:ascii="宋体" w:hAnsi="Courier New"/>
      <w:szCs w:val="20"/>
    </w:rPr>
  </w:style>
  <w:style w:type="character" w:styleId="1082">
    <w:name w:val="纯文本 字符2"/>
    <w:next w:val="1082"/>
    <w:link w:val="1081"/>
    <w:qFormat/>
    <w:rPr>
      <w:rFonts w:hint="eastAsia" w:ascii="宋体" w:hAnsi="Courier New" w:eastAsia="宋体" w:cs="宋体"/>
      <w:sz w:val="21"/>
    </w:rPr>
  </w:style>
  <w:style w:type="paragraph" w:styleId="1083">
    <w:name w:val="目录 8"/>
    <w:basedOn w:val="1041"/>
    <w:next w:val="1041"/>
    <w:link w:val="1041"/>
    <w:qFormat/>
    <w:pPr>
      <w:ind w:left="2940"/>
    </w:pPr>
  </w:style>
  <w:style w:type="paragraph" w:styleId="1084">
    <w:name w:val="日期"/>
    <w:basedOn w:val="1041"/>
    <w:next w:val="1041"/>
    <w:link w:val="1085"/>
    <w:qFormat/>
    <w:pPr>
      <w:ind w:left="100"/>
    </w:pPr>
    <w:rPr>
      <w:rFonts w:ascii="仿宋_GB2312" w:hAnsi="宋体" w:eastAsia="仿宋_GB2312"/>
      <w:color w:val="000000"/>
      <w:sz w:val="24"/>
    </w:rPr>
  </w:style>
  <w:style w:type="character" w:styleId="1085">
    <w:name w:val="日期 字符"/>
    <w:next w:val="1085"/>
    <w:link w:val="1084"/>
    <w:qFormat/>
    <w:rPr>
      <w:rFonts w:ascii="仿宋_GB2312" w:hAnsi="宋体" w:eastAsia="仿宋_GB2312"/>
      <w:color w:val="000000"/>
      <w:sz w:val="24"/>
      <w:szCs w:val="24"/>
    </w:rPr>
  </w:style>
  <w:style w:type="paragraph" w:styleId="1086">
    <w:name w:val="正文文本缩进 2"/>
    <w:basedOn w:val="1041"/>
    <w:next w:val="1086"/>
    <w:link w:val="1087"/>
    <w:qFormat/>
    <w:pPr>
      <w:ind w:firstLine="480"/>
    </w:pPr>
    <w:rPr>
      <w:rFonts w:ascii="仿宋_GB2312" w:eastAsia="仿宋_GB2312"/>
      <w:sz w:val="24"/>
    </w:rPr>
  </w:style>
  <w:style w:type="character" w:styleId="1087">
    <w:name w:val="正文文本缩进 2 字符"/>
    <w:next w:val="1087"/>
    <w:link w:val="1086"/>
    <w:qFormat/>
    <w:rPr>
      <w:rFonts w:ascii="仿宋_GB2312" w:eastAsia="仿宋_GB2312"/>
      <w:sz w:val="24"/>
      <w:szCs w:val="24"/>
    </w:rPr>
  </w:style>
  <w:style w:type="paragraph" w:styleId="1088">
    <w:name w:val="批注框文本"/>
    <w:basedOn w:val="1041"/>
    <w:next w:val="1088"/>
    <w:link w:val="1089"/>
    <w:qFormat/>
    <w:rPr>
      <w:sz w:val="18"/>
      <w:szCs w:val="18"/>
    </w:rPr>
  </w:style>
  <w:style w:type="character" w:styleId="1089">
    <w:name w:val="批注框文本 字符"/>
    <w:next w:val="1089"/>
    <w:link w:val="1088"/>
    <w:qFormat/>
    <w:rPr>
      <w:sz w:val="18"/>
      <w:szCs w:val="18"/>
    </w:rPr>
  </w:style>
  <w:style w:type="paragraph" w:styleId="1090">
    <w:name w:val="页脚"/>
    <w:basedOn w:val="1041"/>
    <w:next w:val="1090"/>
    <w:link w:val="1091"/>
    <w:uiPriority w:val="99"/>
    <w:qFormat/>
    <w:pPr>
      <w:jc w:val="left"/>
      <w:tabs>
        <w:tab w:val="center" w:pos="4153" w:leader="none"/>
        <w:tab w:val="right" w:pos="8306" w:leader="none"/>
      </w:tabs>
    </w:pPr>
    <w:rPr>
      <w:rFonts w:ascii="宋体"/>
      <w:sz w:val="18"/>
      <w:szCs w:val="20"/>
    </w:rPr>
  </w:style>
  <w:style w:type="character" w:styleId="1091">
    <w:name w:val="页脚 字符"/>
    <w:next w:val="1091"/>
    <w:link w:val="1090"/>
    <w:uiPriority w:val="99"/>
    <w:qFormat/>
    <w:rPr>
      <w:rFonts w:ascii="宋体" w:eastAsia="宋体"/>
      <w:sz w:val="18"/>
      <w:lang w:val="en-US" w:eastAsia="zh-CN" w:bidi="ar-SA"/>
    </w:rPr>
  </w:style>
  <w:style w:type="paragraph" w:styleId="1092">
    <w:name w:val="页眉"/>
    <w:basedOn w:val="1041"/>
    <w:next w:val="1092"/>
    <w:link w:val="1093"/>
    <w:qFormat/>
    <w:pPr>
      <w:jc w:val="center"/>
      <w:tabs>
        <w:tab w:val="center" w:pos="4153" w:leader="none"/>
        <w:tab w:val="right" w:pos="8306" w:leader="none"/>
      </w:tabs>
      <w:pBdr>
        <w:bottom w:val="single" w:color="000000" w:sz="6" w:space="1"/>
      </w:pBdr>
    </w:pPr>
    <w:rPr>
      <w:sz w:val="18"/>
      <w:szCs w:val="18"/>
    </w:rPr>
  </w:style>
  <w:style w:type="character" w:styleId="1093">
    <w:name w:val="页眉 字符"/>
    <w:next w:val="1093"/>
    <w:link w:val="1092"/>
    <w:qFormat/>
    <w:rPr>
      <w:rFonts w:eastAsia="宋体"/>
      <w:sz w:val="18"/>
      <w:szCs w:val="18"/>
      <w:lang w:val="en-US" w:eastAsia="zh-CN" w:bidi="ar-SA"/>
    </w:rPr>
  </w:style>
  <w:style w:type="paragraph" w:styleId="1094">
    <w:name w:val="目录 1"/>
    <w:basedOn w:val="1041"/>
    <w:next w:val="1041"/>
    <w:link w:val="1041"/>
    <w:uiPriority w:val="39"/>
    <w:qFormat/>
    <w:pPr>
      <w:spacing w:line="300" w:lineRule="auto"/>
      <w:tabs>
        <w:tab w:val="left" w:pos="1050" w:leader="none"/>
        <w:tab w:val="right" w:pos="8937" w:leader="dot"/>
      </w:tabs>
    </w:pPr>
    <w:rPr>
      <w:rFonts w:ascii="宋体" w:hAnsi="宋体"/>
      <w:b/>
      <w:sz w:val="24"/>
    </w:rPr>
  </w:style>
  <w:style w:type="paragraph" w:styleId="1095">
    <w:name w:val="目录 4"/>
    <w:basedOn w:val="1041"/>
    <w:next w:val="1041"/>
    <w:link w:val="1041"/>
    <w:qFormat/>
    <w:pPr>
      <w:ind w:left="1260"/>
    </w:pPr>
  </w:style>
  <w:style w:type="paragraph" w:styleId="1096">
    <w:name w:val="脚注文本"/>
    <w:basedOn w:val="1041"/>
    <w:next w:val="1066"/>
    <w:link w:val="1041"/>
    <w:qFormat/>
    <w:pPr>
      <w:ind w:firstLine="425"/>
      <w:jc w:val="left"/>
      <w:spacing w:before="120" w:line="360" w:lineRule="auto"/>
    </w:pPr>
    <w:rPr>
      <w:sz w:val="18"/>
      <w:szCs w:val="20"/>
    </w:rPr>
  </w:style>
  <w:style w:type="paragraph" w:styleId="1097">
    <w:name w:val="目录 6"/>
    <w:basedOn w:val="1041"/>
    <w:next w:val="1041"/>
    <w:link w:val="1041"/>
    <w:qFormat/>
    <w:pPr>
      <w:ind w:left="2100"/>
    </w:pPr>
  </w:style>
  <w:style w:type="paragraph" w:styleId="1098">
    <w:name w:val="正文文本缩进 3"/>
    <w:basedOn w:val="1041"/>
    <w:next w:val="1098"/>
    <w:link w:val="1099"/>
    <w:qFormat/>
    <w:pPr>
      <w:ind w:left="720" w:firstLine="480"/>
      <w:jc w:val="left"/>
      <w:spacing w:before="120" w:line="22" w:lineRule="atLeast"/>
    </w:pPr>
    <w:rPr>
      <w:rFonts w:ascii="宋体"/>
      <w:sz w:val="24"/>
      <w:szCs w:val="20"/>
    </w:rPr>
  </w:style>
  <w:style w:type="character" w:styleId="1099">
    <w:name w:val="正文文本缩进 3 字符"/>
    <w:next w:val="1099"/>
    <w:link w:val="1098"/>
    <w:qFormat/>
    <w:rPr>
      <w:rFonts w:ascii="宋体"/>
      <w:sz w:val="24"/>
    </w:rPr>
  </w:style>
  <w:style w:type="paragraph" w:styleId="1100">
    <w:name w:val="目录 2"/>
    <w:basedOn w:val="1041"/>
    <w:next w:val="1041"/>
    <w:link w:val="1041"/>
    <w:uiPriority w:val="39"/>
    <w:qFormat/>
    <w:pPr>
      <w:ind w:left="420"/>
      <w:spacing w:line="312" w:lineRule="auto"/>
      <w:tabs>
        <w:tab w:val="right" w:pos="8937" w:leader="dot"/>
      </w:tabs>
    </w:pPr>
  </w:style>
  <w:style w:type="paragraph" w:styleId="1101">
    <w:name w:val="目录 9"/>
    <w:basedOn w:val="1041"/>
    <w:next w:val="1041"/>
    <w:link w:val="1041"/>
    <w:qFormat/>
    <w:pPr>
      <w:ind w:left="3360"/>
    </w:pPr>
  </w:style>
  <w:style w:type="paragraph" w:styleId="1102">
    <w:name w:val="HTML 预设格式"/>
    <w:basedOn w:val="1041"/>
    <w:next w:val="1102"/>
    <w:link w:val="11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3">
    <w:name w:val="HTML 预设格式 字符"/>
    <w:next w:val="1103"/>
    <w:link w:val="1102"/>
    <w:qFormat/>
    <w:rPr>
      <w:rFonts w:ascii="宋体" w:hAnsi="宋体" w:cs="宋体"/>
      <w:sz w:val="24"/>
      <w:szCs w:val="24"/>
    </w:rPr>
  </w:style>
  <w:style w:type="paragraph" w:styleId="1104">
    <w:name w:val="普通(网站)"/>
    <w:basedOn w:val="1041"/>
    <w:next w:val="1104"/>
    <w:link w:val="1041"/>
    <w:uiPriority w:val="99"/>
    <w:unhideWhenUsed/>
    <w:qFormat/>
    <w:pPr>
      <w:jc w:val="left"/>
      <w:spacing w:before="100" w:beforeAutospacing="1" w:after="100" w:afterAutospacing="1"/>
      <w:widowControl/>
    </w:pPr>
    <w:rPr>
      <w:rFonts w:ascii="宋体" w:hAnsi="宋体" w:cs="宋体"/>
      <w:sz w:val="24"/>
    </w:rPr>
  </w:style>
  <w:style w:type="paragraph" w:styleId="1105">
    <w:name w:val="索引 1"/>
    <w:basedOn w:val="1041"/>
    <w:next w:val="1041"/>
    <w:link w:val="1041"/>
    <w:qFormat/>
    <w:rPr>
      <w:szCs w:val="20"/>
    </w:rPr>
  </w:style>
  <w:style w:type="paragraph" w:styleId="1106">
    <w:name w:val="标题"/>
    <w:basedOn w:val="1041"/>
    <w:next w:val="1106"/>
    <w:link w:val="1107"/>
    <w:qFormat/>
    <w:pPr>
      <w:jc w:val="center"/>
      <w:outlineLvl w:val="0"/>
    </w:pPr>
    <w:rPr>
      <w:b/>
      <w:sz w:val="32"/>
      <w:szCs w:val="20"/>
    </w:rPr>
  </w:style>
  <w:style w:type="character" w:styleId="1107">
    <w:name w:val="标题 字符"/>
    <w:next w:val="1107"/>
    <w:link w:val="1106"/>
    <w:qFormat/>
    <w:rPr>
      <w:b/>
      <w:sz w:val="32"/>
    </w:rPr>
  </w:style>
  <w:style w:type="paragraph" w:styleId="1108">
    <w:name w:val="批注主题"/>
    <w:basedOn w:val="1069"/>
    <w:next w:val="1069"/>
    <w:link w:val="1109"/>
    <w:qFormat/>
    <w:rPr>
      <w:b/>
      <w:bCs/>
    </w:rPr>
  </w:style>
  <w:style w:type="character" w:styleId="1109">
    <w:name w:val="批注主题 字符"/>
    <w:next w:val="1109"/>
    <w:link w:val="1108"/>
    <w:qFormat/>
    <w:rPr>
      <w:rFonts w:ascii="Times New Roman" w:hAnsi="Times New Roman" w:eastAsia="宋体" w:cs="Times New Roman"/>
      <w:b/>
      <w:bCs/>
      <w:sz w:val="21"/>
      <w:szCs w:val="24"/>
      <w:lang w:val="en-US" w:eastAsia="zh-CN" w:bidi="ar-SA"/>
    </w:rPr>
  </w:style>
  <w:style w:type="paragraph" w:styleId="1110">
    <w:name w:val="正文首行缩进 2"/>
    <w:basedOn w:val="1075"/>
    <w:next w:val="1041"/>
    <w:link w:val="1111"/>
    <w:qFormat/>
    <w:pPr>
      <w:ind w:left="420" w:firstLine="420"/>
      <w:spacing w:after="120" w:line="480" w:lineRule="exact"/>
    </w:pPr>
    <w:rPr>
      <w:szCs w:val="20"/>
    </w:rPr>
  </w:style>
  <w:style w:type="character" w:styleId="1111">
    <w:name w:val="正文首行缩进 2 字符"/>
    <w:next w:val="1111"/>
    <w:link w:val="1110"/>
    <w:qFormat/>
    <w:rPr>
      <w:rFonts w:eastAsia="宋体"/>
      <w:sz w:val="24"/>
      <w:szCs w:val="24"/>
      <w:lang w:val="en-US" w:eastAsia="zh-CN" w:bidi="ar-SA"/>
    </w:rPr>
  </w:style>
  <w:style w:type="table" w:styleId="1112">
    <w:name w:val="网格型"/>
    <w:basedOn w:val="1052"/>
    <w:next w:val="1112"/>
    <w:link w:val="1041"/>
    <w:uiPriority w:val="39"/>
    <w:qFormat/>
    <w:tblPr/>
  </w:style>
  <w:style w:type="table" w:styleId="1113">
    <w:name w:val="中等深浅网格 1 - 强调文字颜色 2"/>
    <w:basedOn w:val="1052"/>
    <w:next w:val="1113"/>
    <w:link w:val="1041"/>
    <w:qFormat/>
    <w:rPr>
      <w:sz w:val="21"/>
      <w:szCs w:val="24"/>
    </w:rPr>
    <w:tblPr/>
  </w:style>
  <w:style w:type="character" w:styleId="1114">
    <w:name w:val="要点"/>
    <w:next w:val="1114"/>
    <w:link w:val="1041"/>
    <w:qFormat/>
    <w:rPr>
      <w:b/>
      <w:bCs/>
    </w:rPr>
  </w:style>
  <w:style w:type="character" w:styleId="1115">
    <w:name w:val="页码"/>
    <w:next w:val="1115"/>
    <w:link w:val="1041"/>
    <w:qFormat/>
  </w:style>
  <w:style w:type="character" w:styleId="1116">
    <w:name w:val="已访问的超链接"/>
    <w:next w:val="1116"/>
    <w:link w:val="1041"/>
    <w:qFormat/>
    <w:rPr>
      <w:color w:val="800080"/>
      <w:u w:val="single"/>
    </w:rPr>
  </w:style>
  <w:style w:type="character" w:styleId="1117">
    <w:name w:val="强调"/>
    <w:next w:val="1117"/>
    <w:link w:val="1041"/>
    <w:qFormat/>
    <w:rPr>
      <w:color w:val="cc0033"/>
    </w:rPr>
  </w:style>
  <w:style w:type="character" w:styleId="1118">
    <w:name w:val="超链接"/>
    <w:next w:val="1118"/>
    <w:link w:val="1041"/>
    <w:uiPriority w:val="99"/>
    <w:qFormat/>
    <w:rPr>
      <w:color w:val="0000ff"/>
      <w:u w:val="single"/>
    </w:rPr>
  </w:style>
  <w:style w:type="character" w:styleId="1119">
    <w:name w:val="批注引用"/>
    <w:next w:val="1119"/>
    <w:link w:val="1041"/>
    <w:uiPriority w:val="99"/>
    <w:qFormat/>
    <w:rPr>
      <w:sz w:val="21"/>
      <w:szCs w:val="21"/>
    </w:rPr>
  </w:style>
  <w:style w:type="character" w:styleId="1120">
    <w:name w:val="HTML 引文"/>
    <w:next w:val="1120"/>
    <w:link w:val="1041"/>
    <w:qFormat/>
    <w:rPr>
      <w:i/>
      <w:iCs/>
    </w:rPr>
  </w:style>
  <w:style w:type="character" w:styleId="1121">
    <w:name w:val="批注文字 字符"/>
    <w:next w:val="1121"/>
    <w:link w:val="1041"/>
    <w:uiPriority w:val="99"/>
    <w:qFormat/>
    <w:rPr>
      <w:rFonts w:ascii="Times New Roman" w:hAnsi="Times New Roman" w:eastAsia="宋体" w:cs="Times New Roman"/>
      <w:sz w:val="24"/>
      <w:lang w:val="en-US" w:eastAsia="zh-CN" w:bidi="ar-SA"/>
    </w:rPr>
  </w:style>
  <w:style w:type="paragraph" w:styleId="1122">
    <w:name w:val="正文_2_0"/>
    <w:next w:val="1122"/>
    <w:link w:val="1041"/>
    <w:qFormat/>
    <w:pPr>
      <w:spacing w:line="440" w:lineRule="exact"/>
      <w:widowControl w:val="off"/>
    </w:pPr>
    <w:rPr>
      <w:rFonts w:ascii="Calibri" w:hAnsi="Calibri"/>
      <w:lang w:val="en-US" w:eastAsia="zh-CN" w:bidi="ar-SA"/>
    </w:rPr>
  </w:style>
  <w:style w:type="paragraph" w:styleId="1123">
    <w:name w:val="Normal_0"/>
    <w:next w:val="1073"/>
    <w:link w:val="1041"/>
    <w:qFormat/>
    <w:pPr>
      <w:jc w:val="both"/>
      <w:widowControl w:val="off"/>
    </w:pPr>
    <w:rPr>
      <w:rFonts w:ascii="Calibri" w:hAnsi="Calibri" w:eastAsia="Times New Roman"/>
      <w:lang w:val="en-US" w:eastAsia="zh-CN" w:bidi="ar-SA"/>
    </w:rPr>
  </w:style>
  <w:style w:type="character" w:styleId="1124">
    <w:name w:val="street-address"/>
    <w:next w:val="1124"/>
    <w:link w:val="1041"/>
    <w:qFormat/>
  </w:style>
  <w:style w:type="character" w:styleId="1125">
    <w:name w:val="注释 Char"/>
    <w:next w:val="1125"/>
    <w:link w:val="1126"/>
    <w:qFormat/>
    <w:rPr>
      <w:rFonts w:ascii="宋体" w:hAnsi="宋体"/>
      <w:sz w:val="21"/>
      <w:szCs w:val="21"/>
    </w:rPr>
  </w:style>
  <w:style w:type="paragraph" w:styleId="1126">
    <w:name w:val="注释"/>
    <w:basedOn w:val="1041"/>
    <w:next w:val="1126"/>
    <w:link w:val="1125"/>
    <w:qFormat/>
    <w:pPr>
      <w:ind w:left="420" w:hanging="420"/>
      <w:jc w:val="left"/>
    </w:pPr>
    <w:rPr>
      <w:rFonts w:ascii="宋体" w:hAnsi="宋体"/>
      <w:szCs w:val="21"/>
    </w:rPr>
  </w:style>
  <w:style w:type="character" w:styleId="1127">
    <w:name w:val="locality"/>
    <w:next w:val="1127"/>
    <w:link w:val="1041"/>
    <w:qFormat/>
  </w:style>
  <w:style w:type="character" w:styleId="1128">
    <w:name w:val="标题 Char"/>
    <w:next w:val="1128"/>
    <w:link w:val="1041"/>
    <w:qFormat/>
    <w:rPr>
      <w:b/>
      <w:sz w:val="32"/>
    </w:rPr>
  </w:style>
  <w:style w:type="character" w:styleId="1129">
    <w:name w:val="标题 2 Char"/>
    <w:next w:val="1129"/>
    <w:link w:val="1041"/>
    <w:qFormat/>
    <w:rPr>
      <w:rFonts w:ascii="Arial" w:hAnsi="Arial" w:eastAsia="黑体"/>
      <w:b/>
      <w:sz w:val="30"/>
      <w:lang w:val="en-US" w:eastAsia="zh-CN" w:bidi="ar-SA"/>
    </w:rPr>
  </w:style>
  <w:style w:type="character" w:styleId="1130">
    <w:name w:val="纯文本 Char1"/>
    <w:next w:val="1130"/>
    <w:link w:val="1041"/>
    <w:qFormat/>
    <w:rPr>
      <w:rFonts w:ascii="宋体" w:hAnsi="Courier New" w:eastAsia="宋体"/>
      <w:sz w:val="21"/>
      <w:lang w:val="en-US" w:eastAsia="zh-CN" w:bidi="ar-SA"/>
    </w:rPr>
  </w:style>
  <w:style w:type="character" w:styleId="1131">
    <w:name w:val="Char Char11"/>
    <w:next w:val="1131"/>
    <w:link w:val="1041"/>
    <w:qFormat/>
    <w:rPr>
      <w:rFonts w:ascii="宋体" w:eastAsia="宋体"/>
      <w:b/>
      <w:sz w:val="24"/>
      <w:u w:val="single"/>
      <w:lang w:val="en-US" w:eastAsia="zh-CN" w:bidi="ar-SA"/>
    </w:rPr>
  </w:style>
  <w:style w:type="character" w:styleId="1132">
    <w:name w:val="页脚 Char"/>
    <w:next w:val="1132"/>
    <w:link w:val="1041"/>
    <w:qFormat/>
    <w:rPr>
      <w:rFonts w:ascii="宋体" w:eastAsia="宋体"/>
      <w:sz w:val="18"/>
      <w:lang w:val="en-US" w:eastAsia="zh-CN" w:bidi="ar-SA"/>
    </w:rPr>
  </w:style>
  <w:style w:type="character" w:styleId="1133">
    <w:name w:val="列出段落 Char"/>
    <w:next w:val="1133"/>
    <w:link w:val="1041"/>
    <w:qFormat/>
    <w:rPr>
      <w:rFonts w:ascii="Calibri" w:hAnsi="Calibri" w:eastAsia="宋体"/>
      <w:sz w:val="21"/>
      <w:szCs w:val="22"/>
      <w:lang w:val="en-US" w:eastAsia="zh-CN" w:bidi="ar-SA"/>
    </w:rPr>
  </w:style>
  <w:style w:type="character" w:styleId="1134">
    <w:name w:val="纯文本 字符1"/>
    <w:next w:val="1134"/>
    <w:link w:val="1041"/>
    <w:qFormat/>
    <w:rPr>
      <w:rFonts w:ascii="宋体" w:hAnsi="Courier New"/>
    </w:rPr>
  </w:style>
  <w:style w:type="character" w:styleId="1135">
    <w:name w:val="chanpin1"/>
    <w:next w:val="1135"/>
    <w:link w:val="1041"/>
    <w:qFormat/>
    <w:rPr>
      <w:rFonts w:ascii="ˎ̥" w:hAnsi="ˎ̥"/>
      <w:color w:val="000000"/>
      <w:sz w:val="20"/>
      <w:szCs w:val="20"/>
      <w:u w:val="none"/>
    </w:rPr>
  </w:style>
  <w:style w:type="character" w:styleId="1136">
    <w:name w:val="apple-style-span"/>
    <w:next w:val="1136"/>
    <w:link w:val="1041"/>
    <w:qFormat/>
    <w:rPr>
      <w:rFonts w:cs="Times New Roman"/>
    </w:rPr>
  </w:style>
  <w:style w:type="character" w:styleId="1137">
    <w:name w:val="c21"/>
    <w:next w:val="1137"/>
    <w:link w:val="1041"/>
    <w:qFormat/>
    <w:rPr>
      <w:rFonts w:ascii="ˎ̥" w:hAnsi="ˎ̥"/>
      <w:color w:val="000000"/>
      <w:sz w:val="20"/>
      <w:szCs w:val="20"/>
      <w:u w:val="none"/>
    </w:rPr>
  </w:style>
  <w:style w:type="character" w:styleId="1138">
    <w:name w:val="正文缩进 Char Char"/>
    <w:next w:val="1138"/>
    <w:link w:val="1139"/>
    <w:qFormat/>
    <w:rPr>
      <w:rFonts w:ascii="宋体" w:eastAsia="宋体"/>
      <w:color w:val="000000"/>
      <w:sz w:val="28"/>
      <w:lang w:bidi="ar-SA"/>
    </w:rPr>
  </w:style>
  <w:style w:type="paragraph" w:styleId="1139">
    <w:name w:val="正文缩进1"/>
    <w:basedOn w:val="1041"/>
    <w:next w:val="1139"/>
    <w:link w:val="1138"/>
    <w:qFormat/>
    <w:pPr>
      <w:ind w:firstLine="567"/>
      <w:spacing w:line="480" w:lineRule="exact"/>
      <w:widowControl/>
    </w:pPr>
    <w:rPr>
      <w:rFonts w:ascii="宋体"/>
      <w:color w:val="000000"/>
      <w:sz w:val="28"/>
      <w:szCs w:val="20"/>
    </w:rPr>
  </w:style>
  <w:style w:type="character" w:styleId="1140">
    <w:name w:val="标题 2 Char Char"/>
    <w:next w:val="1140"/>
    <w:link w:val="1041"/>
    <w:qFormat/>
    <w:rPr>
      <w:rFonts w:ascii="Arial" w:hAnsi="Arial" w:eastAsia="黑体"/>
      <w:b/>
      <w:bCs/>
      <w:sz w:val="32"/>
      <w:szCs w:val="32"/>
      <w:lang w:val="en-US" w:eastAsia="zh-CN" w:bidi="ar-SA"/>
    </w:rPr>
  </w:style>
  <w:style w:type="character" w:styleId="1141">
    <w:name w:val="段1 Char"/>
    <w:next w:val="1141"/>
    <w:link w:val="1041"/>
    <w:qFormat/>
    <w:rPr>
      <w:rFonts w:ascii="宋体" w:eastAsia="宋体"/>
      <w:sz w:val="24"/>
      <w:lang w:val="en-US" w:eastAsia="zh-CN" w:bidi="ar-SA"/>
    </w:rPr>
  </w:style>
  <w:style w:type="character" w:styleId="1142">
    <w:name w:val="成文日期 Char"/>
    <w:next w:val="1142"/>
    <w:link w:val="1143"/>
    <w:rPr>
      <w:rFonts w:ascii="仿宋_GB2312" w:eastAsia="仿宋_GB2312"/>
      <w:sz w:val="32"/>
    </w:rPr>
  </w:style>
  <w:style w:type="paragraph" w:styleId="1143">
    <w:name w:val="成文日期"/>
    <w:basedOn w:val="1041"/>
    <w:next w:val="1143"/>
    <w:link w:val="1142"/>
    <w:qFormat/>
    <w:pPr>
      <w:ind w:right="400" w:firstLine="200"/>
      <w:jc w:val="right"/>
      <w:spacing w:line="570" w:lineRule="exact"/>
    </w:pPr>
    <w:rPr>
      <w:rFonts w:ascii="仿宋_GB2312" w:eastAsia="仿宋_GB2312"/>
      <w:sz w:val="32"/>
      <w:szCs w:val="20"/>
    </w:rPr>
  </w:style>
  <w:style w:type="character" w:styleId="1144">
    <w:name w:val="中等深浅网格 1 - 强调文字颜色 2 Char"/>
    <w:next w:val="1144"/>
    <w:link w:val="1145"/>
    <w:qFormat/>
    <w:rPr>
      <w:sz w:val="21"/>
      <w:szCs w:val="24"/>
      <w:lang w:val="zh-CN" w:eastAsia="zh-CN" w:bidi="ar-SA"/>
    </w:rPr>
  </w:style>
  <w:style w:type="paragraph" w:styleId="1145">
    <w:name w:val="1"/>
    <w:next w:val="1145"/>
    <w:link w:val="1144"/>
    <w:qFormat/>
    <w:rPr>
      <w:sz w:val="21"/>
      <w:szCs w:val="24"/>
      <w:lang w:val="zh-CN" w:eastAsia="zh-CN" w:bidi="ar-SA"/>
    </w:rPr>
  </w:style>
  <w:style w:type="character" w:styleId="1146">
    <w:name w:val="标题 3 Char Char"/>
    <w:next w:val="1146"/>
    <w:link w:val="1041"/>
    <w:qFormat/>
    <w:rPr>
      <w:rFonts w:eastAsia="宋体"/>
      <w:b/>
      <w:bCs/>
      <w:sz w:val="32"/>
      <w:szCs w:val="32"/>
      <w:lang w:val="en-US" w:eastAsia="zh-CN" w:bidi="ar-SA"/>
    </w:rPr>
  </w:style>
  <w:style w:type="character" w:styleId="1147">
    <w:name w:val="txt"/>
    <w:next w:val="1147"/>
    <w:link w:val="1041"/>
    <w:qFormat/>
  </w:style>
  <w:style w:type="character" w:styleId="1148">
    <w:name w:val="纯文本 字符"/>
    <w:next w:val="1148"/>
    <w:link w:val="1041"/>
    <w:uiPriority w:val="99"/>
    <w:qFormat/>
    <w:rPr>
      <w:rFonts w:ascii="宋体" w:hAnsi="Courier New" w:eastAsia="宋体" w:cs="Times New Roman"/>
      <w:sz w:val="21"/>
      <w:szCs w:val="21"/>
      <w:lang w:val="en-US" w:eastAsia="zh-CN" w:bidi="ar-SA"/>
    </w:rPr>
  </w:style>
  <w:style w:type="character" w:styleId="1149">
    <w:name w:val="正文大标题 Char"/>
    <w:next w:val="1149"/>
    <w:link w:val="1150"/>
    <w:qFormat/>
    <w:rPr>
      <w:rFonts w:ascii="宋体" w:hAnsi="宋体"/>
      <w:b/>
      <w:color w:val="000000"/>
      <w:sz w:val="28"/>
      <w:szCs w:val="21"/>
    </w:rPr>
  </w:style>
  <w:style w:type="paragraph" w:styleId="1150">
    <w:name w:val="正文大标题"/>
    <w:basedOn w:val="1151"/>
    <w:next w:val="1055"/>
    <w:link w:val="1149"/>
    <w:qFormat/>
    <w:pPr>
      <w:jc w:val="center"/>
    </w:pPr>
    <w:rPr>
      <w:i w:val="0"/>
      <w:color w:val="000000"/>
      <w:sz w:val="28"/>
      <w:szCs w:val="21"/>
    </w:rPr>
  </w:style>
  <w:style w:type="paragraph" w:styleId="1151">
    <w:name w:val="正文小标题"/>
    <w:basedOn w:val="1041"/>
    <w:next w:val="1055"/>
    <w:link w:val="1152"/>
    <w:qFormat/>
    <w:pPr>
      <w:ind w:firstLine="482"/>
      <w:jc w:val="left"/>
      <w:spacing w:before="312" w:after="312"/>
    </w:pPr>
    <w:rPr>
      <w:rFonts w:ascii="宋体" w:hAnsi="宋体"/>
      <w:b/>
      <w:i/>
      <w:color w:val="ff0000"/>
      <w:sz w:val="24"/>
      <w:szCs w:val="20"/>
    </w:rPr>
  </w:style>
  <w:style w:type="character" w:styleId="1152">
    <w:name w:val="正文小标题 Char"/>
    <w:next w:val="1152"/>
    <w:link w:val="1151"/>
    <w:qFormat/>
    <w:rPr>
      <w:rFonts w:ascii="宋体" w:hAnsi="宋体"/>
      <w:b/>
      <w:i/>
      <w:color w:val="ff0000"/>
      <w:sz w:val="24"/>
    </w:rPr>
  </w:style>
  <w:style w:type="character" w:styleId="1153">
    <w:name w:val="正文格式 Char"/>
    <w:next w:val="1153"/>
    <w:link w:val="1154"/>
    <w:qFormat/>
    <w:rPr>
      <w:rFonts w:ascii="宋体" w:hAnsi="宋体"/>
      <w:sz w:val="24"/>
      <w:szCs w:val="24"/>
      <w:lang w:val="en-GB"/>
    </w:rPr>
  </w:style>
  <w:style w:type="paragraph" w:styleId="1154">
    <w:name w:val="正文格式"/>
    <w:basedOn w:val="1041"/>
    <w:next w:val="1154"/>
    <w:link w:val="1153"/>
    <w:qFormat/>
    <w:pPr>
      <w:ind w:firstLine="480"/>
      <w:spacing w:line="360" w:lineRule="auto"/>
    </w:pPr>
    <w:rPr>
      <w:rFonts w:ascii="宋体" w:hAnsi="宋体"/>
      <w:sz w:val="24"/>
      <w:lang w:val="en-GB"/>
    </w:rPr>
  </w:style>
  <w:style w:type="character" w:styleId="1155">
    <w:name w:val="title4"/>
    <w:next w:val="1155"/>
    <w:link w:val="1041"/>
    <w:qFormat/>
    <w:rPr>
      <w:b/>
      <w:bCs/>
      <w:color w:val="1d87b3"/>
      <w:sz w:val="15"/>
      <w:szCs w:val="15"/>
    </w:rPr>
  </w:style>
  <w:style w:type="character" w:styleId="1156">
    <w:name w:val="列出段落 字符"/>
    <w:next w:val="1156"/>
    <w:link w:val="1157"/>
    <w:uiPriority w:val="34"/>
    <w:qFormat/>
    <w:rPr>
      <w:rFonts w:ascii="Calibri" w:hAnsi="Calibri" w:eastAsia="宋体"/>
      <w:sz w:val="21"/>
      <w:szCs w:val="22"/>
      <w:lang w:val="en-US" w:eastAsia="zh-CN" w:bidi="ar-SA"/>
    </w:rPr>
  </w:style>
  <w:style w:type="paragraph" w:styleId="1157">
    <w:name w:val="列出段落"/>
    <w:basedOn w:val="1041"/>
    <w:next w:val="1157"/>
    <w:link w:val="1156"/>
    <w:uiPriority w:val="34"/>
    <w:qFormat/>
    <w:pPr>
      <w:ind w:firstLine="420"/>
    </w:pPr>
    <w:rPr>
      <w:rFonts w:ascii="Calibri" w:hAnsi="Calibri"/>
      <w:szCs w:val="22"/>
    </w:rPr>
  </w:style>
  <w:style w:type="character" w:styleId="1158">
    <w:name w:val="批注文字 Char"/>
    <w:next w:val="1158"/>
    <w:link w:val="1041"/>
    <w:uiPriority w:val="99"/>
    <w:qFormat/>
    <w:rPr>
      <w:sz w:val="21"/>
      <w:szCs w:val="24"/>
    </w:rPr>
  </w:style>
  <w:style w:type="character" w:styleId="1159">
    <w:name w:val="chanpin拷贝"/>
    <w:next w:val="1159"/>
    <w:link w:val="1041"/>
    <w:qFormat/>
  </w:style>
  <w:style w:type="character" w:styleId="1160">
    <w:name w:val="普通文字1 Char1"/>
    <w:next w:val="1160"/>
    <w:link w:val="1041"/>
    <w:qFormat/>
    <w:rPr>
      <w:rFonts w:ascii="宋体" w:hAnsi="Courier New" w:eastAsia="宋体"/>
      <w:sz w:val="21"/>
      <w:lang w:val="en-US" w:eastAsia="zh-CN" w:bidi="ar-SA"/>
    </w:rPr>
  </w:style>
  <w:style w:type="character" w:styleId="1161">
    <w:name w:val="正文表格 Char"/>
    <w:next w:val="1161"/>
    <w:link w:val="1162"/>
    <w:qFormat/>
    <w:rPr>
      <w:rFonts w:ascii="宋体" w:hAnsi="宋体"/>
      <w:color w:val="000000"/>
      <w:sz w:val="21"/>
      <w:szCs w:val="21"/>
    </w:rPr>
  </w:style>
  <w:style w:type="paragraph" w:styleId="1162">
    <w:name w:val="正文表格"/>
    <w:basedOn w:val="1041"/>
    <w:next w:val="1162"/>
    <w:link w:val="1161"/>
    <w:qFormat/>
    <w:pPr>
      <w:jc w:val="left"/>
    </w:pPr>
    <w:rPr>
      <w:rFonts w:ascii="宋体" w:hAnsi="宋体"/>
      <w:color w:val="000000"/>
      <w:szCs w:val="21"/>
    </w:rPr>
  </w:style>
  <w:style w:type="character" w:styleId="1163">
    <w:name w:val="正文缩进 Char"/>
    <w:next w:val="1163"/>
    <w:link w:val="1041"/>
    <w:qFormat/>
    <w:rPr>
      <w:rFonts w:ascii="宋体" w:eastAsia="宋体"/>
      <w:sz w:val="24"/>
      <w:szCs w:val="24"/>
      <w:lang w:val="en-US" w:eastAsia="zh-CN" w:bidi="ar-SA"/>
    </w:rPr>
  </w:style>
  <w:style w:type="character" w:styleId="1164">
    <w:name w:val="页眉 Char"/>
    <w:next w:val="1164"/>
    <w:link w:val="1041"/>
    <w:qFormat/>
    <w:rPr>
      <w:rFonts w:eastAsia="宋体"/>
      <w:sz w:val="18"/>
      <w:szCs w:val="18"/>
      <w:lang w:val="en-US" w:eastAsia="zh-CN" w:bidi="ar-SA"/>
    </w:rPr>
  </w:style>
  <w:style w:type="character" w:styleId="1165">
    <w:name w:val="black1"/>
    <w:next w:val="1165"/>
    <w:link w:val="1041"/>
    <w:qFormat/>
    <w:rPr>
      <w:color w:val="000000"/>
    </w:rPr>
  </w:style>
  <w:style w:type="character" w:styleId="1166">
    <w:name w:val="正文文本缩进 Char"/>
    <w:next w:val="1166"/>
    <w:link w:val="1041"/>
    <w:qFormat/>
    <w:rPr>
      <w:rFonts w:eastAsia="宋体"/>
      <w:sz w:val="24"/>
      <w:szCs w:val="24"/>
      <w:lang w:val="en-US" w:eastAsia="zh-CN" w:bidi="ar-SA"/>
    </w:rPr>
  </w:style>
  <w:style w:type="character" w:styleId="1167">
    <w:name w:val="正文文本缩进 Char1"/>
    <w:next w:val="1167"/>
    <w:link w:val="1168"/>
    <w:qFormat/>
    <w:rPr>
      <w:rFonts w:ascii="宋体" w:hAnsi="宋体" w:eastAsia="宋体"/>
      <w:sz w:val="24"/>
      <w:szCs w:val="24"/>
      <w:lang w:bidi="ar-SA"/>
    </w:rPr>
  </w:style>
  <w:style w:type="paragraph" w:styleId="1168">
    <w:name w:val="正文文本缩进1"/>
    <w:basedOn w:val="1041"/>
    <w:next w:val="1168"/>
    <w:link w:val="1167"/>
    <w:qFormat/>
    <w:pPr>
      <w:ind w:firstLine="480"/>
      <w:spacing w:line="480" w:lineRule="exact"/>
    </w:pPr>
    <w:rPr>
      <w:rFonts w:ascii="宋体" w:hAnsi="宋体"/>
      <w:sz w:val="24"/>
    </w:rPr>
  </w:style>
  <w:style w:type="character" w:styleId="1169">
    <w:name w:val="正文重点 Char"/>
    <w:next w:val="1169"/>
    <w:link w:val="1170"/>
    <w:qFormat/>
    <w:rPr>
      <w:b/>
      <w:sz w:val="24"/>
    </w:rPr>
  </w:style>
  <w:style w:type="paragraph" w:styleId="1170">
    <w:name w:val="正文重点"/>
    <w:basedOn w:val="1041"/>
    <w:next w:val="1170"/>
    <w:link w:val="1169"/>
    <w:qFormat/>
    <w:pPr>
      <w:ind w:firstLine="482"/>
      <w:jc w:val="left"/>
      <w:spacing w:line="360" w:lineRule="auto"/>
    </w:pPr>
    <w:rPr>
      <w:b/>
      <w:sz w:val="24"/>
      <w:szCs w:val="20"/>
    </w:rPr>
  </w:style>
  <w:style w:type="character" w:styleId="1171">
    <w:name w:val="标题 3 Char"/>
    <w:next w:val="1171"/>
    <w:link w:val="1041"/>
    <w:qFormat/>
    <w:rPr>
      <w:rFonts w:ascii="宋体" w:eastAsia="宋体"/>
      <w:b/>
      <w:sz w:val="24"/>
      <w:u w:val="single"/>
      <w:lang w:val="en-US" w:eastAsia="zh-CN" w:bidi="ar-SA"/>
    </w:rPr>
  </w:style>
  <w:style w:type="character" w:styleId="1172">
    <w:name w:val="Char Char111"/>
    <w:next w:val="1172"/>
    <w:link w:val="1041"/>
    <w:qFormat/>
    <w:rPr>
      <w:rFonts w:ascii="宋体" w:eastAsia="宋体"/>
      <w:b/>
      <w:sz w:val="24"/>
      <w:u w:val="single"/>
      <w:lang w:val="en-US" w:eastAsia="zh-CN" w:bidi="ar-SA"/>
    </w:rPr>
  </w:style>
  <w:style w:type="character" w:styleId="1173">
    <w:name w:val="bjh-p"/>
    <w:next w:val="1173"/>
    <w:link w:val="1041"/>
    <w:qFormat/>
  </w:style>
  <w:style w:type="paragraph" w:styleId="1174">
    <w:name w:val="xl36"/>
    <w:basedOn w:val="1041"/>
    <w:next w:val="1174"/>
    <w:link w:val="104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5">
    <w:name w:val="font5"/>
    <w:basedOn w:val="1041"/>
    <w:next w:val="1175"/>
    <w:link w:val="1041"/>
    <w:qFormat/>
    <w:pPr>
      <w:jc w:val="left"/>
      <w:spacing w:before="100" w:beforeAutospacing="1" w:after="100" w:afterAutospacing="1"/>
      <w:widowControl/>
    </w:pPr>
    <w:rPr>
      <w:rFonts w:ascii="宋体" w:hAnsi="宋体" w:cs="宋体"/>
      <w:sz w:val="18"/>
      <w:szCs w:val="18"/>
    </w:rPr>
  </w:style>
  <w:style w:type="paragraph" w:styleId="1176">
    <w:name w:val="图中文字"/>
    <w:basedOn w:val="1041"/>
    <w:next w:val="1176"/>
    <w:link w:val="1041"/>
    <w:qFormat/>
    <w:pPr>
      <w:jc w:val="center"/>
      <w:spacing w:line="0" w:lineRule="atLeast"/>
    </w:pPr>
    <w:rPr>
      <w:sz w:val="24"/>
      <w:szCs w:val="20"/>
    </w:rPr>
  </w:style>
  <w:style w:type="paragraph" w:styleId="1177">
    <w:name w:val="1 Char Char Char Char"/>
    <w:basedOn w:val="1041"/>
    <w:next w:val="1177"/>
    <w:link w:val="1041"/>
    <w:qFormat/>
    <w:rPr>
      <w:rFonts w:ascii="Tahoma" w:hAnsi="Tahoma"/>
      <w:sz w:val="24"/>
      <w:szCs w:val="20"/>
    </w:rPr>
  </w:style>
  <w:style w:type="paragraph" w:styleId="1178">
    <w:name w:val="正文列项_字母"/>
    <w:basedOn w:val="1041"/>
    <w:next w:val="1178"/>
    <w:link w:val="1041"/>
    <w:qFormat/>
    <w:pPr>
      <w:numPr>
        <w:ilvl w:val="6"/>
        <w:numId w:val="1"/>
      </w:numPr>
      <w:ind w:left="480" w:hanging="180"/>
      <w:spacing w:line="460" w:lineRule="exact"/>
      <w:tabs>
        <w:tab w:val="clear" w:pos="635" w:leader="none"/>
      </w:tabs>
      <w:outlineLvl w:val="6"/>
    </w:pPr>
    <w:rPr>
      <w:rFonts w:ascii="宋体"/>
      <w:sz w:val="28"/>
      <w:szCs w:val="20"/>
    </w:rPr>
  </w:style>
  <w:style w:type="paragraph" w:styleId="1179">
    <w:name w:val="正文须知-2级"/>
    <w:basedOn w:val="1041"/>
    <w:next w:val="1179"/>
    <w:link w:val="1041"/>
    <w:qFormat/>
    <w:pPr>
      <w:numPr>
        <w:ilvl w:val="1"/>
        <w:numId w:val="2"/>
      </w:numPr>
      <w:spacing w:line="300" w:lineRule="auto"/>
    </w:pPr>
    <w:rPr>
      <w:rFonts w:ascii="宋体" w:hAnsi="Calibri"/>
      <w:sz w:val="24"/>
      <w:szCs w:val="21"/>
    </w:rPr>
  </w:style>
  <w:style w:type="paragraph" w:styleId="1180">
    <w:name w:val="Char1 Char Char Char1"/>
    <w:basedOn w:val="1041"/>
    <w:next w:val="1180"/>
    <w:link w:val="1041"/>
    <w:qFormat/>
    <w:rPr>
      <w:rFonts w:ascii="Tahoma" w:hAnsi="Tahoma" w:cs="仿宋_GB2312"/>
      <w:sz w:val="24"/>
      <w:szCs w:val="28"/>
    </w:rPr>
  </w:style>
  <w:style w:type="paragraph" w:styleId="1181">
    <w:name w:val="xl30"/>
    <w:basedOn w:val="1041"/>
    <w:next w:val="118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2">
    <w:name w:val="二级条标题"/>
    <w:basedOn w:val="1183"/>
    <w:next w:val="1041"/>
    <w:link w:val="1041"/>
    <w:qFormat/>
    <w:pPr>
      <w:numPr>
        <w:ilvl w:val="0"/>
        <w:numId w:val="0"/>
      </w:numPr>
      <w:ind w:hanging="840"/>
      <w:tabs>
        <w:tab w:val="left" w:pos="360" w:leader="none"/>
        <w:tab w:val="left" w:pos="840" w:leader="none"/>
      </w:tabs>
      <w:outlineLvl w:val="2"/>
    </w:pPr>
    <w:rPr>
      <w:rFonts w:ascii="宋体" w:eastAsia="宋体"/>
      <w:b w:val="0"/>
    </w:rPr>
  </w:style>
  <w:style w:type="paragraph" w:styleId="1183">
    <w:name w:val="一级条标题"/>
    <w:basedOn w:val="1184"/>
    <w:next w:val="1041"/>
    <w:link w:val="1041"/>
    <w:qFormat/>
    <w:pPr>
      <w:numPr>
        <w:ilvl w:val="1"/>
      </w:numPr>
      <w:ind w:left="0" w:hanging="840"/>
      <w:tabs>
        <w:tab w:val="left" w:pos="360" w:leader="none"/>
        <w:tab w:val="left" w:pos="840" w:leader="none"/>
      </w:tabs>
      <w:outlineLvl w:val="1"/>
    </w:pPr>
  </w:style>
  <w:style w:type="paragraph" w:styleId="1184">
    <w:name w:val="章标题"/>
    <w:next w:val="1041"/>
    <w:link w:val="104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5">
    <w:name w:val="xl29"/>
    <w:basedOn w:val="1041"/>
    <w:next w:val="11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6">
    <w:name w:val="正文文本样式"/>
    <w:basedOn w:val="1041"/>
    <w:next w:val="1186"/>
    <w:link w:val="1041"/>
    <w:qFormat/>
    <w:pPr>
      <w:ind w:firstLine="482"/>
      <w:spacing w:line="360" w:lineRule="auto"/>
    </w:pPr>
    <w:rPr>
      <w:rFonts w:cs="宋体"/>
      <w:sz w:val="24"/>
      <w:szCs w:val="20"/>
    </w:rPr>
  </w:style>
  <w:style w:type="paragraph" w:styleId="1187">
    <w:name w:val="Char2 Char Char Char Char Char Char"/>
    <w:basedOn w:val="1041"/>
    <w:next w:val="1187"/>
    <w:link w:val="1041"/>
    <w:qFormat/>
    <w:pPr>
      <w:jc w:val="center"/>
      <w:spacing w:line="400" w:lineRule="exact"/>
      <w:widowControl/>
    </w:pPr>
  </w:style>
  <w:style w:type="paragraph" w:styleId="1188">
    <w:name w:val="Char Char1 Char Char Char Char Char Char Char Char"/>
    <w:basedOn w:val="1041"/>
    <w:next w:val="1188"/>
    <w:link w:val="1041"/>
    <w:qFormat/>
    <w:pPr>
      <w:jc w:val="left"/>
      <w:spacing w:after="160" w:line="240" w:lineRule="exact"/>
      <w:widowControl/>
    </w:pPr>
    <w:rPr>
      <w:rFonts w:ascii="Verdana" w:hAnsi="Verdana"/>
      <w:sz w:val="20"/>
      <w:szCs w:val="20"/>
      <w:lang w:eastAsia="en-US"/>
    </w:rPr>
  </w:style>
  <w:style w:type="paragraph" w:styleId="1189">
    <w:name w:val="正文列项_数字"/>
    <w:basedOn w:val="1041"/>
    <w:next w:val="1189"/>
    <w:link w:val="1041"/>
    <w:qFormat/>
    <w:pPr>
      <w:numPr>
        <w:ilvl w:val="7"/>
        <w:numId w:val="1"/>
      </w:numPr>
      <w:ind w:left="680" w:hanging="150"/>
      <w:spacing w:line="460" w:lineRule="exact"/>
      <w:tabs>
        <w:tab w:val="clear" w:pos="860" w:leader="none"/>
      </w:tabs>
      <w:outlineLvl w:val="7"/>
    </w:pPr>
    <w:rPr>
      <w:rFonts w:ascii="宋体"/>
      <w:sz w:val="28"/>
      <w:szCs w:val="20"/>
    </w:rPr>
  </w:style>
  <w:style w:type="paragraph" w:styleId="1190">
    <w:name w:val="表格1"/>
    <w:basedOn w:val="1041"/>
    <w:next w:val="1190"/>
    <w:link w:val="1041"/>
    <w:qFormat/>
    <w:pPr>
      <w:ind w:firstLine="480"/>
      <w:jc w:val="center"/>
    </w:pPr>
    <w:rPr>
      <w:sz w:val="24"/>
      <w:szCs w:val="20"/>
    </w:rPr>
  </w:style>
  <w:style w:type="paragraph" w:styleId="1191">
    <w:name w:val="纯文本1"/>
    <w:next w:val="1191"/>
    <w:link w:val="1041"/>
    <w:qFormat/>
    <w:pPr>
      <w:jc w:val="both"/>
      <w:widowControl w:val="off"/>
    </w:pPr>
    <w:rPr>
      <w:rFonts w:ascii="宋体" w:hAnsi="宋体"/>
      <w:sz w:val="26"/>
      <w:lang w:val="en-US" w:eastAsia="zh-CN" w:bidi="ar-SA"/>
    </w:rPr>
  </w:style>
  <w:style w:type="paragraph" w:styleId="1192">
    <w:name w:val="xl23"/>
    <w:basedOn w:val="1041"/>
    <w:next w:val="1192"/>
    <w:link w:val="1041"/>
    <w:qFormat/>
    <w:pPr>
      <w:spacing w:before="100" w:beforeAutospacing="1" w:after="100" w:afterAutospacing="1" w:line="360" w:lineRule="auto"/>
      <w:widowControl/>
    </w:pPr>
    <w:rPr>
      <w:sz w:val="24"/>
      <w:szCs w:val="20"/>
    </w:rPr>
  </w:style>
  <w:style w:type="paragraph" w:styleId="1193">
    <w:name w:val="项目符号1"/>
    <w:basedOn w:val="1186"/>
    <w:next w:val="1193"/>
    <w:link w:val="1041"/>
    <w:qFormat/>
    <w:pPr>
      <w:ind w:left="-25" w:firstLine="0"/>
    </w:pPr>
  </w:style>
  <w:style w:type="paragraph" w:styleId="1194">
    <w:name w:val="正文 + 宋体"/>
    <w:basedOn w:val="1041"/>
    <w:next w:val="1194"/>
    <w:link w:val="1041"/>
    <w:qFormat/>
    <w:pPr>
      <w:ind w:left="360" w:hanging="360"/>
      <w:jc w:val="left"/>
      <w:widowControl/>
    </w:pPr>
    <w:rPr>
      <w:rFonts w:ascii="宋体" w:hAnsi="宋体" w:cs="宋体"/>
      <w:b/>
      <w:bCs/>
      <w:color w:val="000000"/>
      <w:sz w:val="18"/>
      <w:szCs w:val="18"/>
    </w:rPr>
  </w:style>
  <w:style w:type="paragraph" w:styleId="1195">
    <w:name w:val="xl52"/>
    <w:basedOn w:val="1041"/>
    <w:next w:val="1195"/>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name w:val="图文"/>
    <w:basedOn w:val="1041"/>
    <w:next w:val="1196"/>
    <w:link w:val="1041"/>
    <w:qFormat/>
    <w:pPr>
      <w:spacing w:after="50" w:line="360" w:lineRule="auto"/>
    </w:pPr>
    <w:rPr>
      <w:sz w:val="24"/>
    </w:rPr>
  </w:style>
  <w:style w:type="paragraph" w:styleId="1197">
    <w:name w:val="xl47"/>
    <w:basedOn w:val="1041"/>
    <w:next w:val="1197"/>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项目编号1"/>
    <w:basedOn w:val="1041"/>
    <w:next w:val="1198"/>
    <w:link w:val="1041"/>
    <w:qFormat/>
    <w:pPr>
      <w:numPr>
        <w:ilvl w:val="0"/>
        <w:numId w:val="3"/>
      </w:numPr>
      <w:spacing w:before="100" w:beforeAutospacing="1" w:after="100" w:afterAutospacing="1" w:line="360" w:lineRule="auto"/>
    </w:pPr>
    <w:rPr>
      <w:sz w:val="24"/>
    </w:rPr>
  </w:style>
  <w:style w:type="paragraph" w:styleId="1199">
    <w:name w:val="三级条标题"/>
    <w:basedOn w:val="1182"/>
    <w:next w:val="1041"/>
    <w:link w:val="1041"/>
    <w:qFormat/>
    <w:pPr>
      <w:numPr>
        <w:ilvl w:val="3"/>
        <w:numId w:val="1"/>
      </w:numPr>
      <w:ind w:left="0" w:hanging="840"/>
      <w:tabs>
        <w:tab w:val="left" w:pos="360" w:leader="none"/>
        <w:tab w:val="left" w:pos="840" w:leader="none"/>
      </w:tabs>
      <w:outlineLvl w:val="3"/>
    </w:pPr>
  </w:style>
  <w:style w:type="paragraph" w:styleId="1200">
    <w:name w:val="正文 A"/>
    <w:next w:val="1200"/>
    <w:link w:val="1041"/>
    <w:qFormat/>
    <w:pPr>
      <w:jc w:val="both"/>
      <w:widowControl w:val="off"/>
    </w:pPr>
    <w:rPr>
      <w:rFonts w:eastAsia="Times New Roman"/>
      <w:color w:val="000000"/>
      <w:sz w:val="21"/>
      <w:szCs w:val="21"/>
      <w:lang w:val="en-US" w:eastAsia="zh-CN" w:bidi="ar-SA"/>
    </w:rPr>
  </w:style>
  <w:style w:type="paragraph" w:styleId="1201">
    <w:name w:val="字元 字元1"/>
    <w:basedOn w:val="1041"/>
    <w:next w:val="1201"/>
    <w:link w:val="1041"/>
    <w:qFormat/>
    <w:rPr>
      <w:rFonts w:ascii="Tahoma" w:hAnsi="Tahoma"/>
      <w:sz w:val="24"/>
      <w:szCs w:val="20"/>
    </w:rPr>
  </w:style>
  <w:style w:type="paragraph" w:styleId="1202">
    <w:name w:val="Char3"/>
    <w:basedOn w:val="1041"/>
    <w:next w:val="1202"/>
    <w:link w:val="1041"/>
    <w:qFormat/>
    <w:pPr>
      <w:tabs>
        <w:tab w:val="left" w:pos="360" w:leader="none"/>
      </w:tabs>
    </w:pPr>
    <w:rPr>
      <w:sz w:val="24"/>
    </w:rPr>
  </w:style>
  <w:style w:type="paragraph" w:styleId="1203">
    <w:name w:val="xl43"/>
    <w:basedOn w:val="1041"/>
    <w:next w:val="1203"/>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xl50"/>
    <w:basedOn w:val="1041"/>
    <w:next w:val="120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5">
    <w:name w:val="Table Paragraph"/>
    <w:basedOn w:val="1041"/>
    <w:next w:val="1205"/>
    <w:link w:val="1041"/>
    <w:uiPriority w:val="1"/>
    <w:qFormat/>
    <w:pPr>
      <w:jc w:val="left"/>
    </w:pPr>
    <w:rPr>
      <w:rFonts w:ascii="宋体" w:hAnsi="宋体" w:cs="宋体"/>
      <w:sz w:val="22"/>
      <w:szCs w:val="22"/>
      <w:lang w:eastAsia="en-US"/>
    </w:rPr>
  </w:style>
  <w:style w:type="paragraph" w:styleId="1206">
    <w:name w:val="Char Char1"/>
    <w:basedOn w:val="1067"/>
    <w:next w:val="1206"/>
    <w:link w:val="1041"/>
    <w:qFormat/>
    <w:rPr>
      <w:rFonts w:ascii="Tahoma" w:hAnsi="Tahoma"/>
      <w:sz w:val="24"/>
    </w:rPr>
  </w:style>
  <w:style w:type="paragraph" w:styleId="1207">
    <w:name w:val="xl27"/>
    <w:basedOn w:val="1041"/>
    <w:next w:val="120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08">
    <w:name w:val="Char22"/>
    <w:basedOn w:val="1041"/>
    <w:next w:val="1208"/>
    <w:link w:val="1041"/>
    <w:qFormat/>
    <w:rPr>
      <w:rFonts w:ascii="Tahoma" w:hAnsi="Tahoma"/>
      <w:sz w:val="24"/>
      <w:szCs w:val="20"/>
    </w:rPr>
  </w:style>
  <w:style w:type="paragraph" w:styleId="1209">
    <w:name w:val="font9"/>
    <w:basedOn w:val="1041"/>
    <w:next w:val="1209"/>
    <w:link w:val="1041"/>
    <w:qFormat/>
    <w:pPr>
      <w:jc w:val="left"/>
      <w:spacing w:before="100" w:beforeAutospacing="1" w:after="100" w:afterAutospacing="1"/>
      <w:widowControl/>
    </w:pPr>
    <w:rPr>
      <w:rFonts w:hint="eastAsia" w:ascii="宋体" w:hAnsi="宋体" w:cs="Arial Unicode MS"/>
      <w:color w:val="000000"/>
      <w:sz w:val="20"/>
      <w:szCs w:val="20"/>
    </w:rPr>
  </w:style>
  <w:style w:type="paragraph" w:styleId="1210">
    <w:name w:val="xl25"/>
    <w:basedOn w:val="1041"/>
    <w:next w:val="121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1">
    <w:name w:val="Char2 Char Char Char Char Char Char1"/>
    <w:basedOn w:val="1041"/>
    <w:next w:val="1211"/>
    <w:link w:val="1041"/>
    <w:qFormat/>
    <w:pPr>
      <w:jc w:val="center"/>
      <w:spacing w:line="400" w:lineRule="exact"/>
      <w:widowControl/>
    </w:pPr>
  </w:style>
  <w:style w:type="paragraph" w:styleId="1212">
    <w:name w:val="Char Char Char Char Char Char Char Char Char Char1"/>
    <w:basedOn w:val="1041"/>
    <w:next w:val="1212"/>
    <w:link w:val="1041"/>
    <w:qFormat/>
    <w:rPr>
      <w:rFonts w:ascii="宋体" w:hAnsi="宋体" w:cs="Courier New"/>
      <w:sz w:val="32"/>
      <w:szCs w:val="32"/>
    </w:rPr>
  </w:style>
  <w:style w:type="paragraph" w:styleId="1213">
    <w:name w:val="Char Char Char1 Char"/>
    <w:basedOn w:val="1041"/>
    <w:next w:val="1213"/>
    <w:link w:val="1041"/>
    <w:qFormat/>
    <w:rPr>
      <w:rFonts w:ascii="Tahoma" w:hAnsi="Tahoma"/>
      <w:sz w:val="24"/>
      <w:szCs w:val="20"/>
    </w:rPr>
  </w:style>
  <w:style w:type="paragraph" w:styleId="1214">
    <w:name w:val="正文文本样式 加粗"/>
    <w:basedOn w:val="1186"/>
    <w:next w:val="1214"/>
    <w:link w:val="1041"/>
    <w:qFormat/>
    <w:rPr>
      <w:b/>
    </w:rPr>
  </w:style>
  <w:style w:type="paragraph" w:styleId="1215">
    <w:name w:val="xl33"/>
    <w:basedOn w:val="1041"/>
    <w:next w:val="1215"/>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xl39"/>
    <w:basedOn w:val="1041"/>
    <w:next w:val="1216"/>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7">
    <w:name w:val="xl26"/>
    <w:basedOn w:val="1041"/>
    <w:next w:val="1217"/>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8">
    <w:name w:val="xl53"/>
    <w:basedOn w:val="1041"/>
    <w:next w:val="1218"/>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9">
    <w:name w:val="font8"/>
    <w:basedOn w:val="1041"/>
    <w:next w:val="1219"/>
    <w:link w:val="1041"/>
    <w:qFormat/>
    <w:pPr>
      <w:jc w:val="left"/>
      <w:spacing w:before="100" w:beforeAutospacing="1" w:after="100" w:afterAutospacing="1"/>
      <w:widowControl/>
    </w:pPr>
    <w:rPr>
      <w:sz w:val="36"/>
      <w:szCs w:val="36"/>
    </w:rPr>
  </w:style>
  <w:style w:type="paragraph" w:styleId="1220">
    <w:name w:val="xl38"/>
    <w:basedOn w:val="1041"/>
    <w:next w:val="1220"/>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21">
    <w:name w:val="Char Char1 Char Char Char Char Char Char"/>
    <w:basedOn w:val="1041"/>
    <w:next w:val="1221"/>
    <w:link w:val="1041"/>
    <w:qFormat/>
    <w:pPr>
      <w:jc w:val="left"/>
      <w:spacing w:after="160" w:line="240" w:lineRule="exact"/>
      <w:widowControl/>
    </w:pPr>
    <w:rPr>
      <w:rFonts w:ascii="Verdana" w:hAnsi="Verdana" w:eastAsia="仿宋_GB2312"/>
      <w:sz w:val="24"/>
      <w:szCs w:val="20"/>
      <w:lang w:eastAsia="en-US"/>
    </w:rPr>
  </w:style>
  <w:style w:type="paragraph" w:styleId="1222">
    <w:name w:val="22222222222222"/>
    <w:basedOn w:val="1041"/>
    <w:next w:val="1222"/>
    <w:link w:val="1041"/>
    <w:qFormat/>
    <w:pPr>
      <w:ind w:firstLine="480"/>
      <w:jc w:val="left"/>
      <w:spacing w:line="360" w:lineRule="auto"/>
      <w:widowControl/>
    </w:pPr>
    <w:rPr>
      <w:color w:val="ff0000"/>
      <w:sz w:val="24"/>
      <w:szCs w:val="20"/>
    </w:rPr>
  </w:style>
  <w:style w:type="paragraph" w:styleId="1223">
    <w:name w:val="四级条标题"/>
    <w:basedOn w:val="1199"/>
    <w:next w:val="1041"/>
    <w:link w:val="1041"/>
    <w:qFormat/>
    <w:pPr>
      <w:numPr>
        <w:ilvl w:val="4"/>
      </w:numPr>
      <w:ind w:left="0" w:hanging="840"/>
      <w:tabs>
        <w:tab w:val="left" w:pos="360" w:leader="none"/>
        <w:tab w:val="left" w:pos="840" w:leader="none"/>
      </w:tabs>
      <w:outlineLvl w:val="4"/>
    </w:pPr>
  </w:style>
  <w:style w:type="paragraph" w:styleId="1224">
    <w:name w:val="项目编号2"/>
    <w:basedOn w:val="1198"/>
    <w:next w:val="1224"/>
    <w:link w:val="1041"/>
    <w:qFormat/>
    <w:pPr>
      <w:numPr>
        <w:numId w:val="4"/>
      </w:numPr>
    </w:pPr>
  </w:style>
  <w:style w:type="paragraph" w:styleId="1225">
    <w:name w:val="Char"/>
    <w:basedOn w:val="1041"/>
    <w:next w:val="1225"/>
    <w:link w:val="1041"/>
    <w:qFormat/>
    <w:pPr>
      <w:tabs>
        <w:tab w:val="left" w:pos="360" w:leader="none"/>
      </w:tabs>
    </w:pPr>
    <w:rPr>
      <w:sz w:val="24"/>
    </w:rPr>
  </w:style>
  <w:style w:type="paragraph" w:styleId="1226">
    <w:name w:val="Char Char Char1 Char2"/>
    <w:basedOn w:val="1041"/>
    <w:next w:val="1226"/>
    <w:link w:val="1041"/>
    <w:qFormat/>
    <w:rPr>
      <w:rFonts w:ascii="Tahoma" w:hAnsi="Tahoma"/>
      <w:sz w:val="24"/>
      <w:szCs w:val="20"/>
    </w:rPr>
  </w:style>
  <w:style w:type="paragraph" w:styleId="1227">
    <w:name w:val="Char1"/>
    <w:basedOn w:val="1041"/>
    <w:next w:val="1227"/>
    <w:link w:val="1041"/>
    <w:qFormat/>
    <w:pPr>
      <w:tabs>
        <w:tab w:val="left" w:pos="360" w:leader="none"/>
      </w:tabs>
    </w:pPr>
    <w:rPr>
      <w:sz w:val="24"/>
    </w:rPr>
  </w:style>
  <w:style w:type="paragraph" w:styleId="1228">
    <w:name w:val="Char Char Char Char Char Char Char"/>
    <w:basedOn w:val="1041"/>
    <w:next w:val="1228"/>
    <w:link w:val="1041"/>
    <w:qFormat/>
    <w:pPr>
      <w:ind w:firstLine="200"/>
      <w:spacing w:line="360" w:lineRule="auto"/>
    </w:pPr>
    <w:rPr>
      <w:rFonts w:eastAsia="仿宋_GB2312"/>
      <w:sz w:val="24"/>
    </w:rPr>
  </w:style>
  <w:style w:type="paragraph" w:styleId="1229">
    <w:name w:val="Char Char Char Char Char Char Char Char Char Char Char Char Char Char Char Char1"/>
    <w:basedOn w:val="1041"/>
    <w:next w:val="1229"/>
    <w:link w:val="1041"/>
    <w:qFormat/>
    <w:pPr>
      <w:jc w:val="center"/>
      <w:spacing w:after="160" w:line="240" w:lineRule="exact"/>
      <w:widowControl/>
    </w:pPr>
    <w:rPr>
      <w:rFonts w:ascii="宋体" w:hAnsi="宋体"/>
      <w:b/>
      <w:sz w:val="30"/>
      <w:szCs w:val="30"/>
      <w:lang w:eastAsia="en-US"/>
    </w:rPr>
  </w:style>
  <w:style w:type="paragraph" w:styleId="1230">
    <w:name w:val="Char Char Char2"/>
    <w:basedOn w:val="1041"/>
    <w:next w:val="1230"/>
    <w:link w:val="1041"/>
    <w:qFormat/>
    <w:rPr>
      <w:rFonts w:ascii="Tahoma" w:hAnsi="Tahoma"/>
      <w:sz w:val="24"/>
      <w:szCs w:val="20"/>
    </w:rPr>
  </w:style>
  <w:style w:type="paragraph" w:styleId="1231">
    <w:name w:val="xl49"/>
    <w:basedOn w:val="1041"/>
    <w:next w:val="1231"/>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2">
    <w:name w:val="xl34"/>
    <w:basedOn w:val="1041"/>
    <w:next w:val="1232"/>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33">
    <w:name w:val="样式2"/>
    <w:basedOn w:val="1105"/>
    <w:next w:val="1233"/>
    <w:link w:val="1041"/>
    <w:qFormat/>
    <w:pPr>
      <w:jc w:val="center"/>
      <w:spacing w:line="360" w:lineRule="auto"/>
    </w:pPr>
    <w:rPr>
      <w:sz w:val="24"/>
    </w:rPr>
  </w:style>
  <w:style w:type="paragraph" w:styleId="1234">
    <w:name w:val="Default"/>
    <w:next w:val="1234"/>
    <w:link w:val="1041"/>
    <w:qFormat/>
    <w:pPr>
      <w:widowControl w:val="off"/>
    </w:pPr>
    <w:rPr>
      <w:rFonts w:ascii="Symbol" w:hAnsi="Symbol" w:cs="Symbol"/>
      <w:color w:val="000000"/>
      <w:sz w:val="24"/>
      <w:szCs w:val="24"/>
      <w:lang w:val="en-US" w:eastAsia="zh-CN" w:bidi="ar-SA"/>
    </w:rPr>
  </w:style>
  <w:style w:type="paragraph" w:styleId="1235">
    <w:name w:val="正文须知-1级"/>
    <w:basedOn w:val="1041"/>
    <w:next w:val="1041"/>
    <w:link w:val="1041"/>
    <w:qFormat/>
    <w:pPr>
      <w:numPr>
        <w:ilvl w:val="0"/>
        <w:numId w:val="2"/>
      </w:numPr>
      <w:spacing w:line="300" w:lineRule="auto"/>
    </w:pPr>
    <w:rPr>
      <w:rFonts w:ascii="宋体" w:hAnsi="Calibri"/>
      <w:sz w:val="24"/>
      <w:szCs w:val="21"/>
    </w:rPr>
  </w:style>
  <w:style w:type="paragraph" w:styleId="1236">
    <w:name w:val="xl41"/>
    <w:basedOn w:val="1041"/>
    <w:next w:val="1236"/>
    <w:link w:val="104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37">
    <w:name w:val="font7"/>
    <w:basedOn w:val="1041"/>
    <w:next w:val="1237"/>
    <w:link w:val="1041"/>
    <w:qFormat/>
    <w:pPr>
      <w:jc w:val="left"/>
      <w:spacing w:before="100" w:beforeAutospacing="1" w:after="100" w:afterAutospacing="1"/>
      <w:widowControl/>
    </w:pPr>
    <w:rPr>
      <w:rFonts w:eastAsia="Arial Unicode MS"/>
      <w:b/>
      <w:bCs/>
      <w:color w:val="000000"/>
      <w:sz w:val="20"/>
      <w:szCs w:val="20"/>
    </w:rPr>
  </w:style>
  <w:style w:type="paragraph" w:styleId="1238">
    <w:name w:val="无间隔"/>
    <w:next w:val="1238"/>
    <w:link w:val="1041"/>
    <w:qFormat/>
    <w:pPr>
      <w:jc w:val="both"/>
      <w:widowControl w:val="off"/>
    </w:pPr>
    <w:rPr>
      <w:sz w:val="21"/>
      <w:szCs w:val="24"/>
      <w:lang w:val="en-US" w:eastAsia="zh-CN" w:bidi="ar-SA"/>
    </w:rPr>
  </w:style>
  <w:style w:type="paragraph" w:styleId="1239">
    <w:name w:val="_Style 160"/>
    <w:next w:val="1239"/>
    <w:link w:val="1041"/>
    <w:qFormat/>
    <w:rPr>
      <w:sz w:val="21"/>
      <w:szCs w:val="24"/>
      <w:lang w:val="en-US" w:eastAsia="zh-CN" w:bidi="ar-SA"/>
    </w:rPr>
  </w:style>
  <w:style w:type="paragraph" w:styleId="1240">
    <w:name w:val="xl31"/>
    <w:basedOn w:val="1041"/>
    <w:next w:val="1240"/>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1">
    <w:name w:val="Revision"/>
    <w:next w:val="1241"/>
    <w:link w:val="1041"/>
    <w:qFormat/>
    <w:rPr>
      <w:sz w:val="21"/>
      <w:szCs w:val="24"/>
      <w:lang w:val="en-US" w:eastAsia="zh-CN" w:bidi="ar-SA"/>
    </w:rPr>
  </w:style>
  <w:style w:type="paragraph" w:styleId="1242">
    <w:name w:val="xl46"/>
    <w:basedOn w:val="1041"/>
    <w:next w:val="1242"/>
    <w:link w:val="104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3">
    <w:name w:val="xl42"/>
    <w:basedOn w:val="1041"/>
    <w:next w:val="1243"/>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44">
    <w:name w:val="Char Char Char Char Char Char Char Char Char Char"/>
    <w:basedOn w:val="1041"/>
    <w:next w:val="1244"/>
    <w:link w:val="1041"/>
    <w:qFormat/>
  </w:style>
  <w:style w:type="paragraph" w:styleId="1245">
    <w:name w:val="xl35"/>
    <w:basedOn w:val="1041"/>
    <w:next w:val="1245"/>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6">
    <w:name w:val="Char Char Char Char Char Char Char Char Char Char2"/>
    <w:basedOn w:val="1041"/>
    <w:next w:val="1246"/>
    <w:link w:val="1041"/>
    <w:qFormat/>
    <w:rPr>
      <w:rFonts w:ascii="宋体" w:hAnsi="宋体" w:cs="Courier New"/>
      <w:sz w:val="32"/>
      <w:szCs w:val="32"/>
    </w:rPr>
  </w:style>
  <w:style w:type="paragraph" w:styleId="1247">
    <w:name w:val="xl40"/>
    <w:basedOn w:val="1041"/>
    <w:next w:val="1247"/>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无标题条"/>
    <w:next w:val="1041"/>
    <w:link w:val="1041"/>
    <w:qFormat/>
    <w:pPr>
      <w:jc w:val="both"/>
    </w:pPr>
    <w:rPr>
      <w:sz w:val="21"/>
      <w:lang w:val="en-US" w:eastAsia="zh-CN" w:bidi="ar-SA"/>
    </w:rPr>
  </w:style>
  <w:style w:type="paragraph" w:styleId="1249">
    <w:name w:val="缺省文本"/>
    <w:basedOn w:val="1041"/>
    <w:next w:val="1249"/>
    <w:link w:val="1041"/>
    <w:qFormat/>
    <w:pPr>
      <w:jc w:val="left"/>
    </w:pPr>
    <w:rPr>
      <w:sz w:val="24"/>
    </w:rPr>
  </w:style>
  <w:style w:type="paragraph" w:styleId="1250">
    <w:name w:val="默认段落字体 Para Char Char Char Char"/>
    <w:basedOn w:val="1041"/>
    <w:next w:val="1250"/>
    <w:link w:val="1041"/>
    <w:qFormat/>
    <w:rPr>
      <w:rFonts w:ascii="Arial" w:hAnsi="Arial" w:cs="Arial"/>
      <w:szCs w:val="21"/>
    </w:rPr>
  </w:style>
  <w:style w:type="paragraph" w:styleId="1251">
    <w:name w:val="列出段落2"/>
    <w:basedOn w:val="1041"/>
    <w:next w:val="1251"/>
    <w:link w:val="1041"/>
    <w:qFormat/>
    <w:pPr>
      <w:ind w:firstLine="420"/>
    </w:pPr>
    <w:rPr>
      <w:rFonts w:ascii="Calibri" w:hAnsi="Calibri"/>
      <w:szCs w:val="22"/>
    </w:rPr>
  </w:style>
  <w:style w:type="paragraph" w:styleId="1252">
    <w:name w:val="Char Char Char1"/>
    <w:basedOn w:val="1041"/>
    <w:next w:val="1252"/>
    <w:link w:val="1041"/>
    <w:qFormat/>
    <w:rPr>
      <w:rFonts w:ascii="Tahoma" w:hAnsi="Tahoma"/>
      <w:sz w:val="24"/>
      <w:szCs w:val="20"/>
    </w:rPr>
  </w:style>
  <w:style w:type="paragraph" w:styleId="1253">
    <w:name w:val="Char21"/>
    <w:basedOn w:val="1041"/>
    <w:next w:val="1253"/>
    <w:link w:val="1041"/>
    <w:qFormat/>
    <w:rPr>
      <w:rFonts w:ascii="Tahoma" w:hAnsi="Tahoma"/>
      <w:sz w:val="24"/>
      <w:szCs w:val="20"/>
    </w:rPr>
  </w:style>
  <w:style w:type="paragraph" w:styleId="1254">
    <w:name w:val="五级条标题"/>
    <w:basedOn w:val="1223"/>
    <w:next w:val="1041"/>
    <w:link w:val="1041"/>
    <w:qFormat/>
    <w:pPr>
      <w:numPr>
        <w:ilvl w:val="5"/>
      </w:numPr>
      <w:ind w:left="0" w:hanging="840"/>
      <w:tabs>
        <w:tab w:val="left" w:pos="360" w:leader="none"/>
        <w:tab w:val="left" w:pos="840" w:leader="none"/>
      </w:tabs>
      <w:outlineLvl w:val="5"/>
    </w:pPr>
  </w:style>
  <w:style w:type="paragraph" w:styleId="1255">
    <w:name w:val="正文 + 楷体_GB2312"/>
    <w:basedOn w:val="1041"/>
    <w:next w:val="1255"/>
    <w:link w:val="1041"/>
    <w:qFormat/>
    <w:pPr>
      <w:jc w:val="left"/>
      <w:widowControl/>
    </w:pPr>
    <w:rPr>
      <w:rFonts w:ascii="楷体_GB2312" w:eastAsia="楷体_GB2312" w:cs="Arial"/>
      <w:sz w:val="24"/>
    </w:rPr>
  </w:style>
  <w:style w:type="paragraph" w:styleId="1256">
    <w:name w:val="xl37"/>
    <w:basedOn w:val="1041"/>
    <w:next w:val="1256"/>
    <w:link w:val="104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7">
    <w:name w:val="xl32"/>
    <w:basedOn w:val="1041"/>
    <w:next w:val="1257"/>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字元 字元2"/>
    <w:basedOn w:val="1041"/>
    <w:next w:val="1258"/>
    <w:link w:val="1041"/>
    <w:qFormat/>
    <w:rPr>
      <w:rFonts w:ascii="Tahoma" w:hAnsi="Tahoma"/>
      <w:sz w:val="24"/>
      <w:szCs w:val="20"/>
    </w:rPr>
  </w:style>
  <w:style w:type="paragraph" w:styleId="1259">
    <w:name w:val="样式 宋体 五号 行距: 单倍行距"/>
    <w:basedOn w:val="1041"/>
    <w:next w:val="1259"/>
    <w:link w:val="1041"/>
    <w:qFormat/>
    <w:pPr>
      <w:jc w:val="left"/>
    </w:pPr>
    <w:rPr>
      <w:rFonts w:ascii="宋体" w:hAnsi="宋体"/>
      <w:szCs w:val="20"/>
    </w:rPr>
  </w:style>
  <w:style w:type="paragraph" w:styleId="1260">
    <w:name w:val="列出段落1"/>
    <w:basedOn w:val="1123"/>
    <w:next w:val="1260"/>
    <w:link w:val="1041"/>
    <w:qFormat/>
    <w:pPr>
      <w:ind w:firstLine="420"/>
    </w:pPr>
    <w:rPr>
      <w:rFonts w:ascii="Calibri" w:hAnsi="Calibri"/>
      <w:szCs w:val="22"/>
    </w:rPr>
  </w:style>
  <w:style w:type="paragraph" w:styleId="1261">
    <w:name w:val="Char2"/>
    <w:basedOn w:val="1041"/>
    <w:next w:val="1261"/>
    <w:link w:val="1041"/>
    <w:qFormat/>
    <w:rPr>
      <w:rFonts w:ascii="Tahoma" w:hAnsi="Tahoma"/>
      <w:sz w:val="24"/>
      <w:szCs w:val="20"/>
    </w:rPr>
  </w:style>
  <w:style w:type="paragraph" w:styleId="1262">
    <w:name w:val="字元 字元"/>
    <w:basedOn w:val="1041"/>
    <w:next w:val="1262"/>
    <w:link w:val="1041"/>
    <w:qFormat/>
    <w:rPr>
      <w:rFonts w:ascii="Tahoma" w:hAnsi="Tahoma"/>
      <w:sz w:val="24"/>
      <w:szCs w:val="20"/>
    </w:rPr>
  </w:style>
  <w:style w:type="paragraph" w:styleId="1263">
    <w:name w:val="文档正文"/>
    <w:basedOn w:val="1041"/>
    <w:next w:val="1263"/>
    <w:link w:val="1041"/>
    <w:qFormat/>
    <w:pPr>
      <w:spacing w:before="120" w:after="120" w:line="180" w:lineRule="auto"/>
    </w:pPr>
    <w:rPr>
      <w:rFonts w:ascii="Arial" w:hAnsi="Arial"/>
      <w:szCs w:val="20"/>
    </w:rPr>
  </w:style>
  <w:style w:type="paragraph" w:styleId="1264">
    <w:name w:val="正文缩进2"/>
    <w:basedOn w:val="1041"/>
    <w:next w:val="1264"/>
    <w:link w:val="1041"/>
    <w:qFormat/>
    <w:pPr>
      <w:ind w:firstLine="567"/>
      <w:spacing w:line="480" w:lineRule="exact"/>
      <w:widowControl/>
    </w:pPr>
    <w:rPr>
      <w:rFonts w:ascii="宋体"/>
      <w:color w:val="000000"/>
      <w:sz w:val="28"/>
      <w:szCs w:val="20"/>
      <w:lang w:val="zh-CN" w:eastAsia="zh-CN"/>
    </w:rPr>
  </w:style>
  <w:style w:type="paragraph" w:styleId="1265">
    <w:name w:val="Char3 Char Char Char1"/>
    <w:basedOn w:val="1041"/>
    <w:next w:val="1265"/>
    <w:link w:val="1041"/>
    <w:qFormat/>
    <w:rPr>
      <w:rFonts w:ascii="Tahoma" w:hAnsi="Tahoma"/>
      <w:sz w:val="24"/>
      <w:szCs w:val="20"/>
    </w:rPr>
  </w:style>
  <w:style w:type="paragraph" w:styleId="1266">
    <w:name w:val="Char Char Char Char Char Char Char Char Char Char Char Char Char Char Char Char"/>
    <w:basedOn w:val="1041"/>
    <w:next w:val="1266"/>
    <w:link w:val="1041"/>
    <w:qFormat/>
    <w:pPr>
      <w:jc w:val="center"/>
      <w:spacing w:after="160" w:line="240" w:lineRule="exact"/>
      <w:widowControl/>
    </w:pPr>
    <w:rPr>
      <w:rFonts w:ascii="宋体" w:hAnsi="宋体"/>
      <w:b/>
      <w:sz w:val="30"/>
      <w:szCs w:val="30"/>
      <w:lang w:eastAsia="en-US"/>
    </w:rPr>
  </w:style>
  <w:style w:type="paragraph" w:styleId="1267">
    <w:name w:val="图例"/>
    <w:basedOn w:val="1041"/>
    <w:next w:val="1267"/>
    <w:link w:val="1041"/>
    <w:qFormat/>
    <w:pPr>
      <w:jc w:val="center"/>
      <w:spacing w:before="120" w:after="120" w:line="360" w:lineRule="auto"/>
    </w:pPr>
    <w:rPr>
      <w:rFonts w:eastAsia="仿宋_GB2312"/>
      <w:b/>
      <w:sz w:val="24"/>
      <w:szCs w:val="20"/>
    </w:rPr>
  </w:style>
  <w:style w:type="paragraph" w:styleId="1268">
    <w:name w:val="xl24"/>
    <w:basedOn w:val="1041"/>
    <w:next w:val="1268"/>
    <w:link w:val="104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9">
    <w:name w:val="font6"/>
    <w:basedOn w:val="1041"/>
    <w:next w:val="1269"/>
    <w:link w:val="1041"/>
    <w:qFormat/>
    <w:pPr>
      <w:jc w:val="left"/>
      <w:spacing w:before="100" w:beforeAutospacing="1" w:after="100" w:afterAutospacing="1"/>
      <w:widowControl/>
    </w:pPr>
    <w:rPr>
      <w:rFonts w:ascii="宋体" w:hAnsi="宋体" w:cs="宋体"/>
      <w:sz w:val="20"/>
      <w:szCs w:val="20"/>
    </w:rPr>
  </w:style>
  <w:style w:type="paragraph" w:styleId="1270">
    <w:name w:val="项目编号3"/>
    <w:basedOn w:val="1186"/>
    <w:next w:val="1270"/>
    <w:link w:val="1041"/>
    <w:qFormat/>
    <w:pPr>
      <w:numPr>
        <w:ilvl w:val="0"/>
        <w:numId w:val="5"/>
      </w:numPr>
    </w:pPr>
  </w:style>
  <w:style w:type="paragraph" w:styleId="1271">
    <w:name w:val="样式 标题 2 + 宋体 五号 行距: 单倍行距"/>
    <w:basedOn w:val="1043"/>
    <w:next w:val="1271"/>
    <w:link w:val="1041"/>
    <w:qFormat/>
    <w:pPr>
      <w:numPr>
        <w:ilvl w:val="1"/>
        <w:numId w:val="6"/>
      </w:numPr>
      <w:jc w:val="left"/>
      <w:spacing w:before="260" w:after="260" w:line="240" w:lineRule="auto"/>
      <w:tabs>
        <w:tab w:val="left" w:pos="1188" w:leader="none"/>
      </w:tabs>
    </w:pPr>
    <w:rPr>
      <w:rFonts w:ascii="宋体" w:hAnsi="宋体" w:eastAsia="宋体"/>
      <w:bCs/>
      <w:sz w:val="21"/>
    </w:rPr>
  </w:style>
  <w:style w:type="paragraph" w:styleId="1272">
    <w:name w:val="Char Char Char1 Char1"/>
    <w:basedOn w:val="1041"/>
    <w:next w:val="1272"/>
    <w:link w:val="1041"/>
    <w:qFormat/>
    <w:rPr>
      <w:rFonts w:ascii="Tahoma" w:hAnsi="Tahoma"/>
      <w:sz w:val="24"/>
      <w:szCs w:val="20"/>
    </w:rPr>
  </w:style>
  <w:style w:type="paragraph" w:styleId="1273">
    <w:name w:val="1名"/>
    <w:basedOn w:val="1041"/>
    <w:next w:val="1273"/>
    <w:link w:val="1041"/>
    <w:qFormat/>
    <w:pPr>
      <w:numPr>
        <w:ilvl w:val="0"/>
        <w:numId w:val="7"/>
      </w:numPr>
      <w:spacing w:before="120"/>
      <w:tabs>
        <w:tab w:val="left" w:pos="360" w:leader="none"/>
      </w:tabs>
    </w:pPr>
    <w:rPr>
      <w:rFonts w:ascii="宋体"/>
      <w:sz w:val="28"/>
      <w:szCs w:val="20"/>
    </w:rPr>
  </w:style>
  <w:style w:type="paragraph" w:styleId="1274">
    <w:name w:val="Default_0"/>
    <w:basedOn w:val="1041"/>
    <w:next w:val="1274"/>
    <w:link w:val="1041"/>
    <w:qFormat/>
    <w:pPr>
      <w:ind w:left="0" w:right="0"/>
      <w:jc w:val="left"/>
      <w:keepLines w:val="0"/>
      <w:keepNext w:val="0"/>
      <w:spacing w:before="0" w:beforeAutospacing="0" w:after="0" w:afterAutospacing="0"/>
      <w:widowControl w:val="off"/>
      <w:suppressLineNumbers w:val="0"/>
    </w:pPr>
    <w:rPr>
      <w:rFonts w:hint="eastAsia" w:ascii="宋体" w:hAnsi="Times New Roman" w:eastAsia="宋体" w:cs="Times New Roman"/>
      <w:color w:val="000000"/>
      <w:sz w:val="24"/>
      <w:szCs w:val="24"/>
      <w:lang w:val="en-US" w:eastAsia="zh-CN" w:bidi="ar"/>
    </w:rPr>
  </w:style>
  <w:style w:type="paragraph" w:styleId="1275">
    <w:name w:val="background1"/>
    <w:basedOn w:val="1041"/>
    <w:next w:val="1275"/>
    <w:link w:val="1041"/>
    <w:qFormat/>
    <w:pPr>
      <w:jc w:val="left"/>
      <w:spacing w:before="100" w:beforeAutospacing="1" w:after="100" w:afterAutospacing="1"/>
      <w:widowControl/>
    </w:pPr>
    <w:rPr>
      <w:rFonts w:ascii="宋体" w:hAnsi="宋体" w:cs="宋体"/>
      <w:sz w:val="24"/>
    </w:rPr>
  </w:style>
  <w:style w:type="paragraph" w:styleId="1276">
    <w:name w:val="Char Char Char Char Char Char Char2"/>
    <w:basedOn w:val="1041"/>
    <w:next w:val="1276"/>
    <w:link w:val="1041"/>
    <w:qFormat/>
    <w:pPr>
      <w:ind w:firstLine="200"/>
      <w:spacing w:line="360" w:lineRule="auto"/>
    </w:pPr>
    <w:rPr>
      <w:rFonts w:eastAsia="仿宋_GB2312"/>
      <w:sz w:val="24"/>
    </w:rPr>
  </w:style>
  <w:style w:type="paragraph" w:styleId="1277">
    <w:name w:val="Char3 Char Char Char"/>
    <w:basedOn w:val="1041"/>
    <w:next w:val="1277"/>
    <w:link w:val="1041"/>
    <w:qFormat/>
    <w:rPr>
      <w:rFonts w:ascii="Tahoma" w:hAnsi="Tahoma"/>
      <w:sz w:val="24"/>
      <w:szCs w:val="20"/>
    </w:rPr>
  </w:style>
  <w:style w:type="paragraph" w:styleId="1278">
    <w:name w:val="xl45"/>
    <w:basedOn w:val="1041"/>
    <w:next w:val="1278"/>
    <w:link w:val="104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79">
    <w:name w:val="List Paragraph1"/>
    <w:basedOn w:val="1041"/>
    <w:next w:val="1279"/>
    <w:link w:val="1041"/>
    <w:qFormat/>
    <w:pPr>
      <w:ind w:firstLine="420"/>
    </w:pPr>
    <w:rPr>
      <w:rFonts w:ascii="Calibri" w:hAnsi="Calibri"/>
      <w:szCs w:val="22"/>
    </w:rPr>
  </w:style>
  <w:style w:type="paragraph" w:styleId="1280">
    <w:name w:val="xl44"/>
    <w:basedOn w:val="1041"/>
    <w:next w:val="1280"/>
    <w:link w:val="104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1">
    <w:name w:val="xl51"/>
    <w:basedOn w:val="1041"/>
    <w:next w:val="1281"/>
    <w:link w:val="104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2">
    <w:name w:val="??"/>
    <w:next w:val="1282"/>
    <w:link w:val="1041"/>
    <w:qFormat/>
    <w:pPr>
      <w:jc w:val="both"/>
      <w:widowControl w:val="off"/>
    </w:pPr>
    <w:rPr>
      <w:sz w:val="21"/>
      <w:lang w:val="en-US" w:eastAsia="en-US" w:bidi="ar-SA"/>
    </w:rPr>
  </w:style>
  <w:style w:type="paragraph" w:styleId="1283">
    <w:name w:val="Char3 Char Char Char2"/>
    <w:basedOn w:val="1041"/>
    <w:next w:val="1283"/>
    <w:link w:val="1041"/>
    <w:qFormat/>
    <w:rPr>
      <w:rFonts w:ascii="Tahoma" w:hAnsi="Tahoma"/>
      <w:sz w:val="24"/>
      <w:szCs w:val="20"/>
    </w:rPr>
  </w:style>
  <w:style w:type="paragraph" w:styleId="1284">
    <w:name w:val="xl48"/>
    <w:basedOn w:val="1041"/>
    <w:next w:val="1284"/>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5">
    <w:name w:val="xl28"/>
    <w:basedOn w:val="1041"/>
    <w:next w:val="1285"/>
    <w:link w:val="104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6">
    <w:name w:val="正文须知-3级"/>
    <w:basedOn w:val="1041"/>
    <w:next w:val="1286"/>
    <w:link w:val="1041"/>
    <w:qFormat/>
    <w:pPr>
      <w:numPr>
        <w:ilvl w:val="2"/>
        <w:numId w:val="2"/>
      </w:numPr>
      <w:ind w:hanging="355"/>
      <w:spacing w:line="300" w:lineRule="auto"/>
    </w:pPr>
    <w:rPr>
      <w:rFonts w:ascii="宋体" w:hAnsi="Calibri"/>
      <w:sz w:val="24"/>
      <w:szCs w:val="21"/>
    </w:rPr>
  </w:style>
  <w:style w:type="paragraph" w:styleId="1287">
    <w:name w:val="Char Char1 Char Char Char Char Char Char1"/>
    <w:basedOn w:val="1041"/>
    <w:next w:val="1287"/>
    <w:link w:val="1041"/>
    <w:qFormat/>
    <w:pPr>
      <w:jc w:val="left"/>
      <w:spacing w:after="160" w:line="240" w:lineRule="exact"/>
      <w:widowControl/>
    </w:pPr>
    <w:rPr>
      <w:rFonts w:ascii="Verdana" w:hAnsi="Verdana" w:eastAsia="仿宋_GB2312"/>
      <w:sz w:val="24"/>
      <w:szCs w:val="20"/>
      <w:lang w:eastAsia="en-US"/>
    </w:rPr>
  </w:style>
  <w:style w:type="paragraph" w:styleId="1288">
    <w:name w:val="Char Char Char Char Char Char Char1"/>
    <w:basedOn w:val="1041"/>
    <w:next w:val="1288"/>
    <w:link w:val="1041"/>
    <w:qFormat/>
    <w:pPr>
      <w:ind w:firstLine="200"/>
      <w:spacing w:line="360" w:lineRule="auto"/>
    </w:pPr>
    <w:rPr>
      <w:rFonts w:eastAsia="仿宋_GB2312"/>
      <w:sz w:val="24"/>
    </w:rPr>
  </w:style>
  <w:style w:type="paragraph" w:styleId="1289">
    <w:name w:val="Char Char41"/>
    <w:basedOn w:val="1041"/>
    <w:next w:val="1289"/>
    <w:link w:val="1041"/>
    <w:qFormat/>
    <w:pPr>
      <w:jc w:val="center"/>
      <w:spacing w:line="400" w:lineRule="exact"/>
      <w:widowControl/>
    </w:pPr>
  </w:style>
  <w:style w:type="paragraph" w:styleId="1290">
    <w:name w:val="Char Char4"/>
    <w:basedOn w:val="1041"/>
    <w:next w:val="1290"/>
    <w:link w:val="1041"/>
    <w:qFormat/>
    <w:pPr>
      <w:jc w:val="center"/>
      <w:spacing w:line="400" w:lineRule="exact"/>
      <w:widowControl/>
    </w:pPr>
  </w:style>
  <w:style w:type="paragraph" w:styleId="1291">
    <w:name w:val="一、"/>
    <w:basedOn w:val="1041"/>
    <w:next w:val="1291"/>
    <w:link w:val="1041"/>
    <w:qFormat/>
    <w:pPr>
      <w:ind w:firstLine="640"/>
    </w:pPr>
    <w:rPr>
      <w:rFonts w:ascii="黑体" w:hAnsi="黑体" w:eastAsia="黑体"/>
      <w:szCs w:val="32"/>
    </w:rPr>
  </w:style>
  <w:style w:type="paragraph" w:styleId="1292">
    <w:name w:val="标题1-附件"/>
    <w:basedOn w:val="1042"/>
    <w:next w:val="1292"/>
    <w:link w:val="1041"/>
    <w:qFormat/>
    <w:pPr>
      <w:jc w:val="left"/>
    </w:pPr>
    <w:rPr>
      <w:sz w:val="24"/>
      <w:szCs w:val="24"/>
    </w:rPr>
  </w:style>
  <w:style w:type="paragraph" w:styleId="1293">
    <w:name w:val="表格文字"/>
    <w:basedOn w:val="1075"/>
    <w:next w:val="1293"/>
    <w:link w:val="1041"/>
    <w:qFormat/>
    <w:pPr>
      <w:ind w:firstLine="0"/>
      <w:spacing w:before="20" w:after="20" w:line="240" w:lineRule="auto"/>
    </w:pPr>
    <w:rPr>
      <w:rFonts w:ascii="Century Gothic" w:hAnsi="Century Gothic"/>
      <w:sz w:val="20"/>
      <w:szCs w:val="20"/>
    </w:rPr>
  </w:style>
  <w:style w:type="paragraph" w:styleId="1294">
    <w:name w:val="正文_2"/>
    <w:next w:val="1294"/>
    <w:link w:val="1041"/>
    <w:qFormat/>
    <w:pPr>
      <w:jc w:val="both"/>
      <w:widowControl w:val="off"/>
    </w:pPr>
    <w:rPr>
      <w:rFonts w:ascii="Calibri" w:hAnsi="Calibri"/>
      <w:sz w:val="21"/>
      <w:szCs w:val="22"/>
      <w:lang w:val="en-US" w:eastAsia="zh-CN" w:bidi="ar-SA"/>
    </w:rPr>
  </w:style>
  <w:style w:type="paragraph" w:styleId="1295">
    <w:name w:val="Char Char Char"/>
    <w:basedOn w:val="1041"/>
    <w:next w:val="1295"/>
    <w:link w:val="1041"/>
    <w:qFormat/>
    <w:rPr>
      <w:rFonts w:ascii="Tahoma" w:hAnsi="Tahoma"/>
      <w:sz w:val="24"/>
      <w:szCs w:val="20"/>
    </w:rPr>
  </w:style>
  <w:style w:type="paragraph" w:styleId="1296">
    <w:name w:val="default"/>
    <w:basedOn w:val="1041"/>
    <w:next w:val="1296"/>
    <w:link w:val="1041"/>
    <w:qFormat/>
    <w:pPr>
      <w:jc w:val="left"/>
      <w:spacing w:before="100" w:beforeAutospacing="1" w:after="100" w:afterAutospacing="1"/>
      <w:widowControl/>
    </w:pPr>
    <w:rPr>
      <w:rFonts w:ascii="宋体" w:hAnsi="宋体" w:cs="宋体"/>
      <w:sz w:val="24"/>
    </w:rPr>
  </w:style>
  <w:style w:type="paragraph" w:styleId="1297">
    <w:name w:val="List Paragraph"/>
    <w:basedOn w:val="1041"/>
    <w:next w:val="1297"/>
    <w:link w:val="1041"/>
    <w:qFormat/>
    <w:pPr>
      <w:ind w:firstLine="420"/>
    </w:pPr>
    <w:rPr>
      <w:rFonts w:ascii="Calibri" w:hAnsi="Calibri" w:cs="黑体"/>
      <w:szCs w:val="22"/>
    </w:rPr>
  </w:style>
  <w:style w:type="paragraph" w:styleId="1298">
    <w:name w:val="正文文本缩进2"/>
    <w:basedOn w:val="1041"/>
    <w:next w:val="1298"/>
    <w:link w:val="1041"/>
    <w:qFormat/>
    <w:pPr>
      <w:ind w:firstLine="480"/>
      <w:spacing w:line="480" w:lineRule="exact"/>
    </w:pPr>
    <w:rPr>
      <w:rFonts w:ascii="宋体" w:hAnsi="宋体"/>
      <w:sz w:val="24"/>
      <w:lang w:val="zh-CN" w:eastAsia="zh-CN"/>
    </w:rPr>
  </w:style>
  <w:style w:type="paragraph" w:styleId="1299">
    <w:name w:val="正文_1_0"/>
    <w:basedOn w:val="1041"/>
    <w:next w:val="1299"/>
    <w:link w:val="1041"/>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table" w:styleId="1300">
    <w:name w:val="Table Normal"/>
    <w:next w:val="1300"/>
    <w:link w:val="1041"/>
    <w:uiPriority w:val="2"/>
    <w:semiHidden/>
    <w:qFormat/>
    <w:pPr>
      <w:widowControl w:val="off"/>
    </w:pPr>
    <w:rPr>
      <w:rFonts w:ascii="Calibri" w:hAnsi="Calibri"/>
      <w:sz w:val="22"/>
      <w:szCs w:val="22"/>
      <w:lang w:val="en-US" w:eastAsia="en-US" w:bidi="ar-SA"/>
    </w:rPr>
    <w:tblPr/>
  </w:style>
  <w:style w:type="character" w:styleId="1301">
    <w:name w:val="NormalCharacter1"/>
    <w:next w:val="1301"/>
    <w:link w:val="1041"/>
    <w:qFormat/>
    <w:rPr>
      <w:sz w:val="21"/>
      <w:szCs w:val="24"/>
      <w:lang w:val="en-US" w:eastAsia="zh-CN" w:bidi="ar-SA"/>
    </w:rPr>
  </w:style>
  <w:style w:type="paragraph" w:styleId="1302">
    <w:name w:val="null3"/>
    <w:next w:val="1302"/>
    <w:link w:val="1041"/>
    <w:qFormat/>
    <w:rPr>
      <w:rFonts w:hint="eastAsia" w:ascii="Calibri" w:hAnsi="Calibri"/>
      <w:lang w:val="en-US" w:eastAsia="zh-CN" w:bidi="ar-SA"/>
    </w:rPr>
  </w:style>
  <w:style w:type="paragraph" w:styleId="1303">
    <w:name w:val="_Style 3"/>
    <w:next w:val="1303"/>
    <w:link w:val="1041"/>
    <w:qFormat/>
    <w:pPr>
      <w:jc w:val="both"/>
      <w:widowControl w:val="off"/>
    </w:pPr>
    <w:rPr>
      <w:rFonts w:ascii="Calibri" w:hAnsi="Calibri"/>
      <w:sz w:val="21"/>
      <w:szCs w:val="22"/>
      <w:lang w:val="en-US" w:eastAsia="zh-CN" w:bidi="ar-SA"/>
    </w:rPr>
  </w:style>
  <w:style w:type="paragraph" w:styleId="1304">
    <w:name w:val="普通(网站)1"/>
    <w:basedOn w:val="1041"/>
    <w:next w:val="1304"/>
    <w:link w:val="1041"/>
    <w:uiPriority w:val="99"/>
    <w:unhideWhenUsed/>
    <w:qFormat/>
    <w:pPr>
      <w:jc w:val="left"/>
      <w:spacing w:before="100" w:beforeAutospacing="1" w:after="100" w:afterAutospacing="1"/>
      <w:widowControl/>
    </w:pPr>
    <w:rPr>
      <w:rFonts w:ascii="宋体" w:hAnsi="宋体" w:cs="宋体"/>
      <w:sz w:val="24"/>
    </w:rPr>
  </w:style>
  <w:style w:type="paragraph" w:styleId="1305">
    <w:name w:val="正文1"/>
    <w:basedOn w:val="1041"/>
    <w:next w:val="1041"/>
    <w:link w:val="1041"/>
    <w:qFormat/>
    <w:pPr>
      <w:ind w:left="420" w:firstLine="527"/>
      <w:spacing w:before="120" w:line="360" w:lineRule="auto"/>
    </w:pPr>
    <w:rPr>
      <w:rFonts w:ascii="宋体" w:hAnsi="宋体"/>
    </w:rPr>
  </w:style>
  <w:style w:type="character" w:styleId="1306">
    <w:name w:val="font31"/>
    <w:basedOn w:val="1051"/>
    <w:next w:val="1306"/>
    <w:link w:val="1041"/>
    <w:rPr>
      <w:rFonts w:hint="eastAsia" w:ascii="宋体" w:hAnsi="宋体" w:eastAsia="宋体" w:cs="宋体"/>
      <w:i w:val="0"/>
      <w:iCs w:val="0"/>
      <w:color w:val="000000"/>
      <w:sz w:val="21"/>
      <w:szCs w:val="21"/>
      <w:u w:val="none"/>
    </w:rPr>
  </w:style>
  <w:style w:type="character" w:styleId="1307" w:default="1">
    <w:name w:val="Default Paragraph Font"/>
    <w:uiPriority w:val="1"/>
    <w:semiHidden/>
    <w:unhideWhenUsed/>
  </w:style>
  <w:style w:type="numbering" w:styleId="1308" w:default="1">
    <w:name w:val="No List"/>
    <w:uiPriority w:val="99"/>
    <w:semiHidden/>
    <w:unhideWhenUsed/>
  </w:style>
  <w:style w:type="table" w:styleId="13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 Id="rId18" Type="http://schemas.openxmlformats.org/officeDocument/2006/relationships/image" Target="media/image2.emf"/><Relationship Id="rId19" Type="http://schemas.openxmlformats.org/officeDocument/2006/relationships/oleObject" Target="embeddings/oleObject1.bin"/><Relationship Id="rId20" Type="http://schemas.openxmlformats.org/officeDocument/2006/relationships/image" Target="media/image3.emf"/><Relationship Id="rId21"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张晓东</cp:lastModifiedBy>
  <cp:revision>5</cp:revision>
  <dcterms:created xsi:type="dcterms:W3CDTF">2026-05-14T06:20:00Z</dcterms:created>
  <dcterms:modified xsi:type="dcterms:W3CDTF">2026-05-25T08:10:37Z</dcterms:modified>
</cp:coreProperties>
</file>