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FED46">
      <w:pPr>
        <w:widowControl/>
        <w:shd w:val="clear" w:color="auto" w:fill="FFFFFF"/>
        <w:spacing w:line="360" w:lineRule="auto"/>
        <w:jc w:val="center"/>
        <w:rPr>
          <w:rFonts w:ascii="宋体" w:hAnsi="宋体" w:cs="宋体"/>
          <w:b/>
          <w:kern w:val="0"/>
          <w:sz w:val="48"/>
          <w:szCs w:val="48"/>
        </w:rPr>
      </w:pPr>
      <w:bookmarkStart w:id="0" w:name="_Hlk77778371"/>
      <w:bookmarkStart w:id="1" w:name="_Hlk74841385"/>
    </w:p>
    <w:p w14:paraId="2A9E8F97">
      <w:pPr>
        <w:pStyle w:val="58"/>
        <w:rPr>
          <w:rFonts w:ascii="宋体" w:hAnsi="宋体" w:cs="宋体"/>
        </w:rPr>
      </w:pPr>
    </w:p>
    <w:p w14:paraId="1FF762C2">
      <w:pPr>
        <w:widowControl/>
        <w:spacing w:line="360" w:lineRule="auto"/>
        <w:jc w:val="center"/>
        <w:rPr>
          <w:rFonts w:ascii="宋体" w:hAnsi="宋体" w:cs="宋体"/>
          <w:b/>
          <w:kern w:val="0"/>
          <w:sz w:val="72"/>
          <w:szCs w:val="72"/>
        </w:rPr>
      </w:pPr>
      <w:r>
        <w:rPr>
          <w:rFonts w:hint="eastAsia" w:ascii="宋体" w:hAnsi="宋体" w:cs="宋体"/>
          <w:b/>
          <w:bCs/>
          <w:sz w:val="52"/>
          <w:szCs w:val="52"/>
        </w:rPr>
        <w:t>南京师范大学真空磁性非晶条带、丝材喷铸机采购项目</w:t>
      </w:r>
    </w:p>
    <w:p w14:paraId="70946A37">
      <w:pPr>
        <w:pStyle w:val="58"/>
        <w:rPr>
          <w:rFonts w:ascii="宋体" w:hAnsi="宋体" w:cs="宋体"/>
        </w:rPr>
      </w:pPr>
    </w:p>
    <w:p w14:paraId="08BBB399">
      <w:pPr>
        <w:pStyle w:val="58"/>
        <w:rPr>
          <w:rFonts w:ascii="宋体" w:hAnsi="宋体" w:cs="宋体"/>
        </w:rPr>
      </w:pPr>
    </w:p>
    <w:p w14:paraId="23E5B28D">
      <w:pPr>
        <w:pStyle w:val="58"/>
        <w:rPr>
          <w:rFonts w:ascii="宋体" w:hAnsi="宋体" w:cs="宋体"/>
        </w:rPr>
      </w:pPr>
    </w:p>
    <w:p w14:paraId="3DFF8704">
      <w:pPr>
        <w:pStyle w:val="58"/>
        <w:rPr>
          <w:rFonts w:ascii="宋体" w:hAnsi="宋体" w:cs="宋体"/>
        </w:rPr>
      </w:pPr>
    </w:p>
    <w:p w14:paraId="0EEB7C59">
      <w:pPr>
        <w:pStyle w:val="58"/>
        <w:rPr>
          <w:rFonts w:ascii="宋体" w:hAnsi="宋体" w:cs="宋体"/>
        </w:rPr>
      </w:pPr>
    </w:p>
    <w:p w14:paraId="7B0E1847">
      <w:pPr>
        <w:widowControl/>
        <w:spacing w:line="360" w:lineRule="auto"/>
        <w:jc w:val="center"/>
        <w:rPr>
          <w:rFonts w:ascii="宋体" w:hAnsi="宋体" w:cs="宋体"/>
          <w:b/>
          <w:kern w:val="0"/>
          <w:sz w:val="72"/>
          <w:szCs w:val="72"/>
        </w:rPr>
      </w:pPr>
      <w:r>
        <w:rPr>
          <w:rFonts w:hint="eastAsia" w:ascii="宋体" w:hAnsi="宋体" w:cs="宋体"/>
          <w:b/>
          <w:kern w:val="0"/>
          <w:sz w:val="72"/>
          <w:szCs w:val="72"/>
        </w:rPr>
        <w:t>采购文件</w:t>
      </w:r>
    </w:p>
    <w:p w14:paraId="66C6539A">
      <w:pPr>
        <w:widowControl/>
        <w:spacing w:line="360" w:lineRule="auto"/>
        <w:jc w:val="center"/>
        <w:rPr>
          <w:rFonts w:ascii="宋体" w:hAnsi="宋体" w:cs="宋体"/>
          <w:b/>
          <w:kern w:val="0"/>
          <w:sz w:val="36"/>
          <w:szCs w:val="36"/>
        </w:rPr>
      </w:pPr>
    </w:p>
    <w:p w14:paraId="618225DE">
      <w:pPr>
        <w:widowControl/>
        <w:spacing w:line="360" w:lineRule="auto"/>
        <w:jc w:val="center"/>
        <w:rPr>
          <w:rFonts w:ascii="宋体" w:hAnsi="宋体" w:cs="宋体"/>
          <w:b/>
          <w:kern w:val="0"/>
          <w:sz w:val="32"/>
          <w:szCs w:val="32"/>
        </w:rPr>
      </w:pPr>
      <w:r>
        <w:rPr>
          <w:rFonts w:hint="eastAsia" w:ascii="宋体" w:hAnsi="宋体" w:cs="宋体"/>
          <w:b/>
          <w:kern w:val="0"/>
          <w:sz w:val="32"/>
          <w:szCs w:val="32"/>
        </w:rPr>
        <w:t>项目编号：JSZC-320000-JCEC-G2026-0163</w:t>
      </w:r>
    </w:p>
    <w:p w14:paraId="58F39734">
      <w:pPr>
        <w:widowControl/>
        <w:spacing w:line="360" w:lineRule="auto"/>
        <w:jc w:val="center"/>
        <w:rPr>
          <w:rFonts w:ascii="宋体" w:hAnsi="宋体" w:cs="宋体"/>
          <w:b/>
          <w:kern w:val="0"/>
          <w:sz w:val="32"/>
          <w:szCs w:val="32"/>
        </w:rPr>
      </w:pPr>
    </w:p>
    <w:p w14:paraId="13FC92C4">
      <w:pPr>
        <w:widowControl/>
        <w:spacing w:line="360" w:lineRule="auto"/>
        <w:jc w:val="center"/>
        <w:rPr>
          <w:rFonts w:ascii="宋体" w:hAnsi="宋体" w:cs="宋体"/>
          <w:b/>
          <w:kern w:val="0"/>
          <w:sz w:val="32"/>
          <w:szCs w:val="32"/>
        </w:rPr>
      </w:pPr>
    </w:p>
    <w:p w14:paraId="5B9719C1">
      <w:pPr>
        <w:widowControl/>
        <w:spacing w:line="360" w:lineRule="auto"/>
        <w:jc w:val="center"/>
        <w:rPr>
          <w:rFonts w:ascii="宋体" w:hAnsi="宋体" w:cs="宋体"/>
          <w:b/>
          <w:kern w:val="0"/>
          <w:sz w:val="36"/>
          <w:szCs w:val="36"/>
        </w:rPr>
      </w:pPr>
    </w:p>
    <w:p w14:paraId="4EC3F5ED">
      <w:pPr>
        <w:widowControl/>
        <w:spacing w:line="360" w:lineRule="auto"/>
        <w:jc w:val="center"/>
        <w:rPr>
          <w:rFonts w:ascii="宋体" w:hAnsi="宋体" w:cs="宋体"/>
          <w:b/>
          <w:kern w:val="0"/>
          <w:sz w:val="28"/>
          <w:szCs w:val="28"/>
        </w:rPr>
      </w:pPr>
    </w:p>
    <w:p w14:paraId="4EBE65C1">
      <w:pPr>
        <w:widowControl/>
        <w:shd w:val="clear" w:color="auto" w:fill="FFFFFF"/>
        <w:spacing w:line="360" w:lineRule="auto"/>
        <w:rPr>
          <w:rFonts w:ascii="宋体" w:hAnsi="宋体" w:cs="宋体"/>
          <w:b/>
          <w:kern w:val="0"/>
          <w:sz w:val="36"/>
          <w:szCs w:val="36"/>
        </w:rPr>
      </w:pPr>
      <w:r>
        <w:rPr>
          <w:rFonts w:hint="eastAsia" w:ascii="宋体" w:hAnsi="宋体" w:cs="宋体"/>
          <w:kern w:val="0"/>
          <w:sz w:val="32"/>
          <w:szCs w:val="32"/>
        </w:rPr>
        <w:t>  </w:t>
      </w:r>
    </w:p>
    <w:p w14:paraId="79528316">
      <w:pPr>
        <w:widowControl/>
        <w:spacing w:line="360" w:lineRule="auto"/>
        <w:jc w:val="center"/>
        <w:rPr>
          <w:rFonts w:ascii="宋体" w:hAnsi="宋体" w:cs="宋体"/>
          <w:b/>
          <w:kern w:val="0"/>
          <w:sz w:val="36"/>
          <w:szCs w:val="36"/>
        </w:rPr>
      </w:pPr>
    </w:p>
    <w:p w14:paraId="6D7BEB5C">
      <w:pPr>
        <w:spacing w:line="360" w:lineRule="auto"/>
        <w:jc w:val="center"/>
        <w:rPr>
          <w:rFonts w:ascii="Arial" w:hAnsi="宋体" w:cs="Arial"/>
          <w:b/>
          <w:color w:val="000000"/>
          <w:sz w:val="32"/>
          <w:szCs w:val="32"/>
        </w:rPr>
      </w:pPr>
      <w:r>
        <w:rPr>
          <w:rFonts w:hint="eastAsia" w:ascii="Arial" w:hAnsi="宋体" w:cs="Arial"/>
          <w:b/>
          <w:color w:val="000000"/>
          <w:sz w:val="32"/>
          <w:szCs w:val="32"/>
        </w:rPr>
        <w:t>采购人：南京师范大学</w:t>
      </w:r>
    </w:p>
    <w:p w14:paraId="460118BD">
      <w:pPr>
        <w:spacing w:line="360" w:lineRule="auto"/>
        <w:jc w:val="center"/>
        <w:rPr>
          <w:rFonts w:ascii="Arial" w:hAnsi="宋体" w:cs="Arial"/>
          <w:b/>
          <w:color w:val="000000"/>
          <w:sz w:val="32"/>
          <w:szCs w:val="32"/>
        </w:rPr>
      </w:pPr>
      <w:r>
        <w:rPr>
          <w:rFonts w:hint="eastAsia" w:ascii="Arial" w:hAnsi="宋体" w:cs="Arial"/>
          <w:b/>
          <w:color w:val="000000"/>
          <w:sz w:val="32"/>
          <w:szCs w:val="32"/>
        </w:rPr>
        <w:t>采购代理机构：</w:t>
      </w:r>
      <w:r>
        <w:rPr>
          <w:rFonts w:ascii="Arial" w:hAnsi="宋体" w:cs="Arial"/>
          <w:b/>
          <w:color w:val="000000"/>
          <w:sz w:val="32"/>
          <w:szCs w:val="32"/>
        </w:rPr>
        <w:t>江苏省设备成套股份有限公司</w:t>
      </w:r>
    </w:p>
    <w:p w14:paraId="331EEF4A">
      <w:pPr>
        <w:spacing w:line="360" w:lineRule="auto"/>
        <w:jc w:val="center"/>
        <w:rPr>
          <w:rFonts w:ascii="Arial" w:hAnsi="宋体" w:cs="Arial"/>
          <w:b/>
          <w:color w:val="000000"/>
          <w:sz w:val="32"/>
          <w:szCs w:val="32"/>
        </w:rPr>
      </w:pPr>
      <w:r>
        <w:rPr>
          <w:rFonts w:hint="eastAsia" w:ascii="Arial" w:hAnsi="宋体" w:cs="Arial"/>
          <w:b/>
          <w:color w:val="000000"/>
          <w:sz w:val="32"/>
          <w:szCs w:val="32"/>
        </w:rPr>
        <w:t>2026年5月</w:t>
      </w:r>
      <w:r>
        <w:rPr>
          <w:rFonts w:hint="eastAsia" w:ascii="Arial" w:hAnsi="宋体" w:cs="Arial"/>
          <w:b/>
          <w:color w:val="000000"/>
          <w:sz w:val="32"/>
          <w:szCs w:val="32"/>
          <w:lang w:val="en-US" w:eastAsia="zh-CN"/>
        </w:rPr>
        <w:t>29</w:t>
      </w:r>
      <w:r>
        <w:rPr>
          <w:rFonts w:hint="eastAsia" w:ascii="Arial" w:hAnsi="宋体" w:cs="Arial"/>
          <w:b/>
          <w:color w:val="000000"/>
          <w:sz w:val="32"/>
          <w:szCs w:val="32"/>
        </w:rPr>
        <w:t>日</w:t>
      </w:r>
    </w:p>
    <w:p w14:paraId="44CEC18D">
      <w:pPr>
        <w:widowControl/>
        <w:shd w:val="clear" w:color="auto" w:fill="FFFFFF"/>
        <w:spacing w:line="360" w:lineRule="auto"/>
        <w:jc w:val="center"/>
        <w:rPr>
          <w:rFonts w:ascii="宋体" w:hAnsi="宋体" w:cs="宋体"/>
          <w:b/>
          <w:kern w:val="0"/>
          <w:sz w:val="36"/>
          <w:szCs w:val="36"/>
        </w:rPr>
      </w:pPr>
      <w:r>
        <w:rPr>
          <w:rFonts w:hint="eastAsia" w:ascii="宋体" w:hAnsi="宋体" w:cs="宋体"/>
          <w:b/>
          <w:kern w:val="0"/>
          <w:sz w:val="36"/>
          <w:szCs w:val="36"/>
        </w:rPr>
        <w:br w:type="page"/>
      </w:r>
    </w:p>
    <w:p w14:paraId="4AE405A1">
      <w:pPr>
        <w:pStyle w:val="162"/>
        <w:jc w:val="center"/>
        <w:rPr>
          <w:rFonts w:ascii="宋体" w:hAnsi="宋体" w:cs="宋体"/>
          <w:color w:val="auto"/>
          <w:sz w:val="36"/>
          <w:szCs w:val="36"/>
        </w:rPr>
      </w:pPr>
      <w:r>
        <w:rPr>
          <w:rFonts w:hint="eastAsia" w:ascii="宋体" w:hAnsi="宋体" w:cs="宋体"/>
          <w:color w:val="auto"/>
          <w:sz w:val="36"/>
          <w:szCs w:val="36"/>
          <w:lang w:val="zh-CN"/>
        </w:rPr>
        <w:t>目录</w:t>
      </w:r>
    </w:p>
    <w:p w14:paraId="28B8CF4D">
      <w:pPr>
        <w:pStyle w:val="32"/>
        <w:tabs>
          <w:tab w:val="right" w:leader="dot" w:pos="8296"/>
        </w:tabs>
        <w:rPr>
          <w:rFonts w:ascii="宋体" w:hAnsi="宋体" w:cs="宋体"/>
          <w:sz w:val="28"/>
          <w:szCs w:val="28"/>
        </w:rPr>
      </w:pPr>
    </w:p>
    <w:p w14:paraId="54F58055">
      <w:pPr>
        <w:pStyle w:val="32"/>
        <w:tabs>
          <w:tab w:val="right" w:leader="dot" w:pos="8299"/>
        </w:tabs>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"_Toc20458" </w:instrText>
      </w:r>
      <w: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_Toc20458 \h </w:instrText>
      </w:r>
      <w:r>
        <w:fldChar w:fldCharType="separate"/>
      </w:r>
      <w:r>
        <w:t>1</w:t>
      </w:r>
      <w:r>
        <w:fldChar w:fldCharType="end"/>
      </w:r>
      <w:r>
        <w:fldChar w:fldCharType="end"/>
      </w:r>
    </w:p>
    <w:p w14:paraId="69492208">
      <w:pPr>
        <w:pStyle w:val="32"/>
        <w:tabs>
          <w:tab w:val="right" w:leader="dot" w:pos="8299"/>
        </w:tabs>
      </w:pPr>
      <w:r>
        <w:fldChar w:fldCharType="begin"/>
      </w:r>
      <w:r>
        <w:instrText xml:space="preserve"> HYPERLINK \l "_Toc22441" </w:instrText>
      </w:r>
      <w:r>
        <w:fldChar w:fldCharType="separate"/>
      </w:r>
      <w:r>
        <w:rPr>
          <w:rFonts w:hint="eastAsia" w:ascii="宋体" w:hAnsi="宋体" w:cs="宋体"/>
        </w:rPr>
        <w:t>第二章 供应商须知</w:t>
      </w:r>
      <w:r>
        <w:tab/>
      </w:r>
      <w:r>
        <w:fldChar w:fldCharType="begin"/>
      </w:r>
      <w:r>
        <w:instrText xml:space="preserve"> PAGEREF _Toc22441 \h </w:instrText>
      </w:r>
      <w:r>
        <w:fldChar w:fldCharType="separate"/>
      </w:r>
      <w:r>
        <w:t>5</w:t>
      </w:r>
      <w:r>
        <w:fldChar w:fldCharType="end"/>
      </w:r>
      <w:r>
        <w:fldChar w:fldCharType="end"/>
      </w:r>
    </w:p>
    <w:p w14:paraId="35AB6EFD">
      <w:pPr>
        <w:pStyle w:val="32"/>
        <w:tabs>
          <w:tab w:val="right" w:leader="dot" w:pos="8299"/>
        </w:tabs>
      </w:pPr>
      <w:r>
        <w:fldChar w:fldCharType="begin"/>
      </w:r>
      <w:r>
        <w:instrText xml:space="preserve"> HYPERLINK \l "_Toc20221" </w:instrText>
      </w:r>
      <w:r>
        <w:fldChar w:fldCharType="separate"/>
      </w:r>
      <w:r>
        <w:rPr>
          <w:rFonts w:hint="eastAsia" w:ascii="宋体" w:hAnsi="宋体" w:cs="宋体"/>
          <w:kern w:val="0"/>
        </w:rPr>
        <w:t>第三章 评标标准</w:t>
      </w:r>
      <w:r>
        <w:tab/>
      </w:r>
      <w:r>
        <w:fldChar w:fldCharType="begin"/>
      </w:r>
      <w:r>
        <w:instrText xml:space="preserve"> PAGEREF _Toc20221 \h </w:instrText>
      </w:r>
      <w:r>
        <w:fldChar w:fldCharType="separate"/>
      </w:r>
      <w:r>
        <w:t>20</w:t>
      </w:r>
      <w:r>
        <w:fldChar w:fldCharType="end"/>
      </w:r>
      <w:r>
        <w:fldChar w:fldCharType="end"/>
      </w:r>
    </w:p>
    <w:p w14:paraId="0CCDB0D6">
      <w:pPr>
        <w:pStyle w:val="32"/>
        <w:tabs>
          <w:tab w:val="right" w:leader="dot" w:pos="8299"/>
        </w:tabs>
      </w:pPr>
      <w:r>
        <w:fldChar w:fldCharType="begin"/>
      </w:r>
      <w:r>
        <w:instrText xml:space="preserve"> HYPERLINK \l "_Toc29436" </w:instrText>
      </w:r>
      <w:r>
        <w:fldChar w:fldCharType="separate"/>
      </w:r>
      <w:r>
        <w:rPr>
          <w:rFonts w:hint="eastAsia" w:ascii="宋体" w:hAnsi="宋体" w:cs="宋体"/>
          <w:kern w:val="0"/>
        </w:rPr>
        <w:t>第四章 采购需求</w:t>
      </w:r>
      <w:r>
        <w:tab/>
      </w:r>
      <w:r>
        <w:fldChar w:fldCharType="begin"/>
      </w:r>
      <w:r>
        <w:instrText xml:space="preserve"> PAGEREF _Toc29436 \h </w:instrText>
      </w:r>
      <w:r>
        <w:fldChar w:fldCharType="separate"/>
      </w:r>
      <w:r>
        <w:t>24</w:t>
      </w:r>
      <w:r>
        <w:fldChar w:fldCharType="end"/>
      </w:r>
      <w:r>
        <w:fldChar w:fldCharType="end"/>
      </w:r>
    </w:p>
    <w:p w14:paraId="4A05BBD0">
      <w:pPr>
        <w:pStyle w:val="32"/>
        <w:tabs>
          <w:tab w:val="right" w:leader="dot" w:pos="8299"/>
        </w:tabs>
      </w:pPr>
      <w:r>
        <w:fldChar w:fldCharType="begin"/>
      </w:r>
      <w:r>
        <w:instrText xml:space="preserve"> HYPERLINK \l "_Toc14613" </w:instrText>
      </w:r>
      <w:r>
        <w:fldChar w:fldCharType="separate"/>
      </w:r>
      <w:r>
        <w:rPr>
          <w:rFonts w:hint="eastAsia" w:ascii="宋体" w:hAnsi="宋体" w:cs="宋体"/>
        </w:rPr>
        <w:t>第五章 合同主要条款及格式</w:t>
      </w:r>
      <w:r>
        <w:tab/>
      </w:r>
      <w:r>
        <w:fldChar w:fldCharType="begin"/>
      </w:r>
      <w:r>
        <w:instrText xml:space="preserve"> PAGEREF _Toc14613 \h </w:instrText>
      </w:r>
      <w:r>
        <w:fldChar w:fldCharType="separate"/>
      </w:r>
      <w:r>
        <w:t>29</w:t>
      </w:r>
      <w:r>
        <w:fldChar w:fldCharType="end"/>
      </w:r>
      <w:r>
        <w:fldChar w:fldCharType="end"/>
      </w:r>
    </w:p>
    <w:p w14:paraId="5902EBA2">
      <w:pPr>
        <w:pStyle w:val="32"/>
        <w:tabs>
          <w:tab w:val="right" w:leader="dot" w:pos="8299"/>
        </w:tabs>
      </w:pPr>
      <w:r>
        <w:fldChar w:fldCharType="begin"/>
      </w:r>
      <w:r>
        <w:instrText xml:space="preserve"> HYPERLINK \l "_Toc15700" </w:instrText>
      </w:r>
      <w:r>
        <w:fldChar w:fldCharType="separate"/>
      </w:r>
      <w:r>
        <w:rPr>
          <w:rFonts w:hint="eastAsia" w:ascii="宋体" w:hAnsi="宋体" w:cs="宋体"/>
        </w:rPr>
        <w:t>第六章 附件</w:t>
      </w:r>
      <w:bookmarkStart w:id="54" w:name="_GoBack"/>
      <w:bookmarkEnd w:id="54"/>
      <w:r>
        <w:tab/>
      </w:r>
      <w:r>
        <w:fldChar w:fldCharType="begin"/>
      </w:r>
      <w:r>
        <w:instrText xml:space="preserve"> PAGEREF _Toc15700 \h </w:instrText>
      </w:r>
      <w:r>
        <w:fldChar w:fldCharType="separate"/>
      </w:r>
      <w:r>
        <w:t>34</w:t>
      </w:r>
      <w:r>
        <w:fldChar w:fldCharType="end"/>
      </w:r>
      <w:r>
        <w:fldChar w:fldCharType="end"/>
      </w:r>
    </w:p>
    <w:p w14:paraId="60169438">
      <w:pPr>
        <w:spacing w:line="360" w:lineRule="auto"/>
        <w:rPr>
          <w:rFonts w:ascii="宋体" w:hAnsi="宋体" w:cs="宋体"/>
          <w:b/>
          <w:kern w:val="0"/>
          <w:sz w:val="36"/>
          <w:szCs w:val="36"/>
        </w:rPr>
      </w:pPr>
      <w:r>
        <w:rPr>
          <w:rFonts w:hint="eastAsia" w:ascii="宋体" w:hAnsi="宋体" w:cs="宋体"/>
          <w:szCs w:val="52"/>
        </w:rPr>
        <w:fldChar w:fldCharType="end"/>
      </w:r>
    </w:p>
    <w:p w14:paraId="5D411789">
      <w:pPr>
        <w:pStyle w:val="2"/>
        <w:rPr>
          <w:rFonts w:ascii="宋体" w:hAnsi="宋体" w:cs="宋体"/>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530D1E4">
      <w:pPr>
        <w:pStyle w:val="2"/>
        <w:rPr>
          <w:rFonts w:ascii="宋体" w:hAnsi="宋体" w:cs="宋体"/>
          <w:kern w:val="0"/>
          <w:szCs w:val="21"/>
        </w:rPr>
      </w:pPr>
      <w:r>
        <w:rPr>
          <w:rFonts w:hint="eastAsia" w:ascii="宋体" w:hAnsi="宋体" w:cs="宋体"/>
          <w:kern w:val="0"/>
          <w:sz w:val="36"/>
          <w:szCs w:val="36"/>
          <w:shd w:val="clear" w:color="auto" w:fill="FFFFFF"/>
        </w:rPr>
        <w:t xml:space="preserve"> </w:t>
      </w:r>
      <w:bookmarkStart w:id="3" w:name="_Toc20458"/>
      <w:bookmarkStart w:id="4" w:name="_Hlk85716974"/>
      <w:r>
        <w:rPr>
          <w:rFonts w:hint="eastAsia" w:ascii="宋体" w:hAnsi="宋体" w:cs="宋体"/>
        </w:rPr>
        <w:t>招标公告</w:t>
      </w:r>
      <w:bookmarkEnd w:id="2"/>
      <w:bookmarkEnd w:id="3"/>
      <w:bookmarkStart w:id="5" w:name="OLE_LINK5"/>
      <w:bookmarkStart w:id="6" w:name="OLE_LINK1"/>
      <w:bookmarkStart w:id="7" w:name="OLE_LINK6"/>
      <w:bookmarkStart w:id="8" w:name="OLE_LINK7"/>
      <w:bookmarkStart w:id="9" w:name="_Hlk74842529"/>
    </w:p>
    <w:p w14:paraId="5CF0D99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bookmarkStart w:id="10" w:name="OLE_LINK2"/>
      <w:bookmarkStart w:id="11" w:name="OLE_LINK4"/>
      <w:bookmarkStart w:id="12" w:name="OLE_LINK3"/>
      <w:bookmarkStart w:id="13" w:name="_Hlk74841176"/>
      <w:r>
        <w:rPr>
          <w:rFonts w:hint="eastAsia" w:ascii="宋体" w:hAnsi="宋体" w:cs="宋体"/>
          <w:b/>
          <w:bCs/>
          <w:spacing w:val="8"/>
          <w:kern w:val="0"/>
          <w:szCs w:val="21"/>
        </w:rPr>
        <w:t>项目概况</w:t>
      </w:r>
    </w:p>
    <w:p w14:paraId="1ED9484F">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r>
        <w:rPr>
          <w:rFonts w:hint="eastAsia" w:ascii="宋体" w:hAnsi="宋体" w:cs="宋体"/>
          <w:b/>
          <w:bCs/>
          <w:kern w:val="0"/>
          <w:szCs w:val="21"/>
          <w:u w:val="single"/>
        </w:rPr>
        <w:t>南京师范大学真空磁性非晶条带、丝材喷铸机采购项目</w:t>
      </w:r>
      <w:r>
        <w:rPr>
          <w:rFonts w:hint="eastAsia" w:ascii="宋体" w:hAnsi="宋体" w:cs="宋体"/>
          <w:spacing w:val="8"/>
          <w:kern w:val="0"/>
          <w:szCs w:val="21"/>
        </w:rPr>
        <w:t>招标项目的潜在供应商应在</w:t>
      </w:r>
      <w:r>
        <w:rPr>
          <w:rFonts w:hint="eastAsia" w:ascii="宋体" w:hAnsi="宋体" w:cs="宋体"/>
          <w:b/>
          <w:bCs/>
          <w:kern w:val="0"/>
          <w:szCs w:val="21"/>
          <w:u w:val="single"/>
        </w:rPr>
        <w:t>江苏政府采购网</w:t>
      </w:r>
      <w:r>
        <w:rPr>
          <w:rFonts w:hint="eastAsia" w:ascii="宋体" w:hAnsi="宋体" w:cs="宋体"/>
          <w:spacing w:val="8"/>
          <w:kern w:val="0"/>
          <w:szCs w:val="21"/>
        </w:rPr>
        <w:t>获取招标文件，并于</w:t>
      </w:r>
      <w:r>
        <w:rPr>
          <w:rFonts w:hint="eastAsia" w:ascii="宋体" w:hAnsi="宋体" w:cs="宋体"/>
          <w:b/>
          <w:bCs/>
          <w:kern w:val="0"/>
          <w:szCs w:val="21"/>
          <w:u w:val="single"/>
        </w:rPr>
        <w:t>2026年6月</w:t>
      </w:r>
      <w:r>
        <w:rPr>
          <w:rFonts w:hint="eastAsia" w:ascii="宋体" w:hAnsi="宋体" w:cs="宋体"/>
          <w:b/>
          <w:bCs/>
          <w:kern w:val="0"/>
          <w:szCs w:val="21"/>
          <w:u w:val="single"/>
          <w:lang w:val="en-US" w:eastAsia="zh-CN"/>
        </w:rPr>
        <w:t>22</w:t>
      </w:r>
      <w:r>
        <w:rPr>
          <w:rFonts w:hint="eastAsia" w:ascii="宋体" w:hAnsi="宋体" w:cs="宋体"/>
          <w:b/>
          <w:bCs/>
          <w:kern w:val="0"/>
          <w:szCs w:val="21"/>
          <w:u w:val="single"/>
        </w:rPr>
        <w:t>日</w:t>
      </w:r>
      <w:r>
        <w:rPr>
          <w:rFonts w:hint="eastAsia" w:ascii="宋体" w:hAnsi="宋体" w:cs="宋体"/>
          <w:b/>
          <w:bCs/>
          <w:kern w:val="0"/>
          <w:szCs w:val="21"/>
          <w:u w:val="single"/>
          <w:lang w:val="en-US" w:eastAsia="zh-CN"/>
        </w:rPr>
        <w:t>14</w:t>
      </w:r>
      <w:r>
        <w:rPr>
          <w:rFonts w:hint="eastAsia" w:ascii="宋体" w:hAnsi="宋体" w:cs="宋体"/>
          <w:b/>
          <w:bCs/>
          <w:kern w:val="0"/>
          <w:szCs w:val="21"/>
          <w:u w:val="single"/>
        </w:rPr>
        <w:t>点30分</w:t>
      </w:r>
      <w:r>
        <w:rPr>
          <w:rFonts w:hint="eastAsia" w:ascii="宋体" w:hAnsi="宋体" w:cs="宋体"/>
          <w:spacing w:val="8"/>
          <w:kern w:val="0"/>
          <w:szCs w:val="21"/>
        </w:rPr>
        <w:t>（北京时间）前递交投标文件。</w:t>
      </w:r>
    </w:p>
    <w:p w14:paraId="10B7C43C">
      <w:pPr>
        <w:rPr>
          <w:rFonts w:ascii="宋体" w:hAnsi="宋体" w:cs="宋体"/>
        </w:rPr>
      </w:pPr>
    </w:p>
    <w:p w14:paraId="74EFFAD9">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一、项目基本情况</w:t>
      </w:r>
    </w:p>
    <w:p w14:paraId="35775ADB">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1.1项目编号：JSZC-320000-JCEC-G2026-0163</w:t>
      </w:r>
    </w:p>
    <w:p w14:paraId="3EE55F7F">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1.2项目名称：南京师范大学真空磁性非晶条带、丝材喷铸机采购项目</w:t>
      </w:r>
    </w:p>
    <w:p w14:paraId="008D601C">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1.3预算金额：110万元</w:t>
      </w:r>
    </w:p>
    <w:p w14:paraId="4AACC4E6">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1.4最高限价：110万元</w:t>
      </w:r>
    </w:p>
    <w:p w14:paraId="610A8445">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1.5采购需求：本设备要求在真空条件下制备各种金属带材、丝材和薄膜的专用实验设备。适用于各种非晶及微晶材料的研究和开发工作，广泛用于非晶软磁材料及其他新型材料的研究，详见采购文件第四章采购需求。</w:t>
      </w:r>
    </w:p>
    <w:p w14:paraId="6B8132C4">
      <w:pPr>
        <w:spacing w:line="360" w:lineRule="auto"/>
        <w:ind w:firstLine="420" w:firstLineChars="200"/>
        <w:rPr>
          <w:rFonts w:ascii="宋体" w:hAnsi="宋体" w:cs="宋体"/>
          <w:bCs/>
          <w:szCs w:val="21"/>
        </w:rPr>
      </w:pPr>
      <w:r>
        <w:rPr>
          <w:rFonts w:hint="eastAsia" w:ascii="宋体" w:hAnsi="宋体" w:cs="宋体"/>
          <w:bCs/>
          <w:szCs w:val="21"/>
        </w:rPr>
        <w:t>1.6合同履行期限：</w:t>
      </w:r>
      <w:r>
        <w:rPr>
          <w:rFonts w:hint="eastAsia" w:ascii="宋体" w:hAnsi="宋体" w:cs="宋体"/>
          <w:spacing w:val="8"/>
          <w:kern w:val="0"/>
          <w:szCs w:val="21"/>
        </w:rPr>
        <w:t>至所有合同内容履行完毕。</w:t>
      </w:r>
    </w:p>
    <w:p w14:paraId="56857207">
      <w:pPr>
        <w:spacing w:line="360" w:lineRule="auto"/>
        <w:ind w:firstLine="420" w:firstLineChars="200"/>
        <w:rPr>
          <w:rFonts w:ascii="宋体" w:hAnsi="宋体" w:cs="宋体"/>
          <w:bCs/>
          <w:szCs w:val="21"/>
        </w:rPr>
      </w:pPr>
      <w:r>
        <w:rPr>
          <w:rFonts w:hint="eastAsia" w:ascii="宋体" w:hAnsi="宋体" w:cs="宋体"/>
          <w:bCs/>
          <w:szCs w:val="21"/>
        </w:rPr>
        <w:t>1.7行业划分</w:t>
      </w:r>
      <w:r>
        <w:rPr>
          <w:rFonts w:hint="eastAsia" w:ascii="Arial" w:hAnsi="Arial" w:cs="Arial"/>
          <w:spacing w:val="8"/>
          <w:kern w:val="0"/>
          <w:szCs w:val="21"/>
        </w:rPr>
        <w:t>：工业。</w:t>
      </w:r>
    </w:p>
    <w:p w14:paraId="587454E0">
      <w:pPr>
        <w:spacing w:line="360" w:lineRule="auto"/>
        <w:ind w:firstLine="420" w:firstLineChars="200"/>
        <w:rPr>
          <w:rFonts w:ascii="宋体" w:hAnsi="宋体" w:cs="宋体"/>
          <w:bCs/>
          <w:szCs w:val="21"/>
        </w:rPr>
      </w:pPr>
      <w:r>
        <w:rPr>
          <w:rFonts w:hint="eastAsia" w:ascii="宋体" w:hAnsi="宋体" w:cs="宋体"/>
          <w:bCs/>
          <w:szCs w:val="21"/>
        </w:rPr>
        <w:t>1.8本项目非专门面向中小企业（或监狱企业或残疾人福利性单位），执行价格扣除优惠政策，详见第三章评标标准。</w:t>
      </w:r>
    </w:p>
    <w:p w14:paraId="01E90985">
      <w:pPr>
        <w:spacing w:line="360" w:lineRule="auto"/>
        <w:ind w:firstLine="420" w:firstLineChars="200"/>
        <w:rPr>
          <w:rFonts w:ascii="宋体" w:hAnsi="宋体" w:cs="宋体"/>
          <w:bCs/>
          <w:szCs w:val="21"/>
        </w:rPr>
      </w:pPr>
      <w:r>
        <w:rPr>
          <w:rFonts w:hint="eastAsia" w:ascii="宋体" w:hAnsi="宋体" w:cs="宋体"/>
          <w:bCs/>
          <w:szCs w:val="21"/>
        </w:rPr>
        <w:t>1.9本项目不接受联合体投标。</w:t>
      </w:r>
    </w:p>
    <w:p w14:paraId="641ED542">
      <w:pPr>
        <w:spacing w:line="360" w:lineRule="auto"/>
        <w:ind w:firstLine="420" w:firstLineChars="200"/>
        <w:rPr>
          <w:rFonts w:ascii="宋体" w:hAnsi="宋体" w:cs="宋体"/>
          <w:bCs/>
          <w:szCs w:val="21"/>
        </w:rPr>
      </w:pPr>
      <w:r>
        <w:rPr>
          <w:rFonts w:hint="eastAsia" w:ascii="宋体" w:hAnsi="宋体" w:cs="宋体"/>
          <w:bCs/>
          <w:szCs w:val="21"/>
        </w:rPr>
        <w:t>1.10本项目不接受进口产品投标。</w:t>
      </w:r>
    </w:p>
    <w:p w14:paraId="0DE829B0">
      <w:pPr>
        <w:spacing w:line="360" w:lineRule="auto"/>
        <w:ind w:firstLine="420" w:firstLineChars="200"/>
        <w:rPr>
          <w:rFonts w:ascii="宋体" w:hAnsi="宋体" w:cs="宋体"/>
          <w:bCs/>
          <w:szCs w:val="21"/>
        </w:rPr>
      </w:pPr>
    </w:p>
    <w:p w14:paraId="1E93EDDA">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二、申请人的资格要求</w:t>
      </w:r>
    </w:p>
    <w:p w14:paraId="2C187E6B">
      <w:pPr>
        <w:widowControl/>
        <w:shd w:val="clear" w:color="auto" w:fill="FFFFFF" w:themeFill="background1"/>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2.1满足《中华人民共和国政府采购法》第二十二条规定；</w:t>
      </w:r>
    </w:p>
    <w:p w14:paraId="42B68784">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6F79B914">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p>
    <w:p w14:paraId="2BBE2436">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387FED7B">
      <w:pPr>
        <w:spacing w:line="360" w:lineRule="auto"/>
        <w:ind w:firstLine="420" w:firstLineChars="200"/>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（4）有依法缴纳税收和社会保障资金的良好记录（提供参加本次政府采购活动前半年内至少一个月：①提供缴纳税收的凭证；②提供缴纳社会保险的凭据），依法享受免缴、缓缴的，提供证明材料；</w:t>
      </w:r>
    </w:p>
    <w:p w14:paraId="1EC65490">
      <w:pPr>
        <w:spacing w:line="360" w:lineRule="auto"/>
        <w:ind w:firstLine="420" w:firstLineChars="200"/>
        <w:rPr>
          <w:rFonts w:ascii="宋体" w:hAnsi="宋体" w:cs="宋体"/>
          <w:bCs/>
          <w:szCs w:val="21"/>
        </w:rPr>
      </w:pPr>
      <w:r>
        <w:rPr>
          <w:rFonts w:hint="eastAsia" w:ascii="宋体" w:hAnsi="宋体" w:cs="宋体"/>
          <w:bCs/>
          <w:szCs w:val="21"/>
        </w:rPr>
        <w:t>（5）参加采购活动前三年内，在经营活动中没有重大违法记录（提供承诺书）；</w:t>
      </w:r>
    </w:p>
    <w:p w14:paraId="39A6D9BA">
      <w:pPr>
        <w:spacing w:line="360" w:lineRule="auto"/>
        <w:ind w:firstLine="420" w:firstLineChars="200"/>
        <w:rPr>
          <w:rFonts w:ascii="宋体" w:hAnsi="宋体" w:cs="宋体"/>
          <w:bCs/>
          <w:szCs w:val="21"/>
        </w:rPr>
      </w:pPr>
      <w:r>
        <w:rPr>
          <w:rFonts w:hint="eastAsia" w:ascii="宋体" w:hAnsi="宋体" w:cs="宋体"/>
          <w:bCs/>
          <w:szCs w:val="21"/>
        </w:rPr>
        <w:t>（6）法律、行政法规规定的其他条件：无。</w:t>
      </w:r>
    </w:p>
    <w:p w14:paraId="50FB7E00">
      <w:pPr>
        <w:widowControl/>
        <w:shd w:val="clear" w:color="auto" w:fill="FFFFFF" w:themeFill="background1"/>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2.2落实政府采购政策需满足的资格要求：无。</w:t>
      </w:r>
    </w:p>
    <w:p w14:paraId="5B1DA023">
      <w:pPr>
        <w:spacing w:line="360" w:lineRule="auto"/>
        <w:ind w:firstLine="454" w:firstLineChars="200"/>
        <w:rPr>
          <w:rFonts w:ascii="宋体" w:hAnsi="宋体" w:cs="宋体"/>
          <w:b/>
          <w:spacing w:val="8"/>
          <w:kern w:val="0"/>
          <w:szCs w:val="21"/>
        </w:rPr>
      </w:pPr>
      <w:r>
        <w:rPr>
          <w:rFonts w:hint="eastAsia" w:ascii="宋体" w:hAnsi="宋体" w:cs="宋体"/>
          <w:b/>
          <w:spacing w:val="8"/>
          <w:kern w:val="0"/>
          <w:szCs w:val="21"/>
        </w:rPr>
        <w:t>2.3采购人根据采购项目的特殊要求规定的特定条件，并提供符合特殊要求的证明材料或者情况说明：</w:t>
      </w:r>
      <w:r>
        <w:rPr>
          <w:rFonts w:hint="eastAsia" w:ascii="宋体" w:hAnsi="宋体" w:cs="宋体"/>
          <w:b/>
          <w:bCs/>
          <w:spacing w:val="8"/>
          <w:kern w:val="0"/>
          <w:szCs w:val="21"/>
        </w:rPr>
        <w:t>无。</w:t>
      </w:r>
    </w:p>
    <w:p w14:paraId="1A954C43">
      <w:pPr>
        <w:spacing w:line="360" w:lineRule="auto"/>
        <w:ind w:firstLine="454" w:firstLineChars="200"/>
        <w:rPr>
          <w:rFonts w:ascii="宋体" w:hAnsi="宋体" w:cs="宋体"/>
          <w:b/>
          <w:spacing w:val="8"/>
          <w:kern w:val="0"/>
          <w:szCs w:val="21"/>
        </w:rPr>
      </w:pPr>
      <w:r>
        <w:rPr>
          <w:rFonts w:hint="eastAsia" w:ascii="宋体" w:hAnsi="宋体" w:cs="宋体"/>
          <w:b/>
          <w:spacing w:val="8"/>
          <w:kern w:val="0"/>
          <w:szCs w:val="21"/>
        </w:rPr>
        <w:t>2.4 拒绝下述供应商参加本次招标活动：</w:t>
      </w:r>
    </w:p>
    <w:p w14:paraId="6C9B6F3E">
      <w:pPr>
        <w:spacing w:line="360" w:lineRule="auto"/>
        <w:ind w:firstLine="452" w:firstLineChars="200"/>
        <w:rPr>
          <w:rFonts w:ascii="宋体" w:hAnsi="宋体" w:cs="宋体"/>
          <w:bCs/>
          <w:spacing w:val="8"/>
          <w:kern w:val="0"/>
          <w:szCs w:val="21"/>
        </w:rPr>
      </w:pPr>
      <w:r>
        <w:rPr>
          <w:rFonts w:hint="eastAsia" w:ascii="宋体" w:hAnsi="宋体" w:cs="宋体"/>
          <w:bCs/>
          <w:spacing w:val="8"/>
          <w:kern w:val="0"/>
          <w:szCs w:val="21"/>
        </w:rPr>
        <w:t>（1）单位负责人为同一人或者存在直接控股、管理关系的不同供应商，不得参加同一合同项下的政府采购活动。</w:t>
      </w:r>
    </w:p>
    <w:p w14:paraId="2207939D">
      <w:pPr>
        <w:spacing w:line="360" w:lineRule="auto"/>
        <w:ind w:firstLine="452" w:firstLineChars="200"/>
        <w:rPr>
          <w:rFonts w:ascii="宋体" w:hAnsi="宋体" w:cs="宋体"/>
          <w:bCs/>
          <w:spacing w:val="8"/>
          <w:kern w:val="0"/>
          <w:szCs w:val="21"/>
        </w:rPr>
      </w:pPr>
      <w:r>
        <w:rPr>
          <w:rFonts w:hint="eastAsia" w:ascii="宋体" w:hAnsi="宋体" w:cs="宋体"/>
          <w:bCs/>
          <w:spacing w:val="8"/>
          <w:kern w:val="0"/>
          <w:szCs w:val="21"/>
        </w:rPr>
        <w:t>（2）为采购项目提供整体设计、规范编制或者项目管理、监理、检测等服务的供应商，不得参加本项目的采购活动。</w:t>
      </w:r>
    </w:p>
    <w:p w14:paraId="17B6ABB4">
      <w:pPr>
        <w:spacing w:line="360" w:lineRule="auto"/>
        <w:ind w:firstLine="452" w:firstLineChars="200"/>
        <w:rPr>
          <w:rFonts w:ascii="宋体" w:hAnsi="宋体" w:cs="宋体"/>
          <w:bCs/>
          <w:szCs w:val="21"/>
        </w:rPr>
      </w:pPr>
      <w:r>
        <w:rPr>
          <w:rFonts w:hint="eastAsia" w:ascii="宋体" w:hAnsi="宋体" w:cs="宋体"/>
          <w:bCs/>
          <w:spacing w:val="8"/>
          <w:kern w:val="0"/>
          <w:szCs w:val="21"/>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w:t>
      </w:r>
    </w:p>
    <w:p w14:paraId="55E5DEAC">
      <w:pPr>
        <w:widowControl/>
        <w:shd w:val="clear" w:color="auto" w:fill="FFFFFF" w:themeFill="background1"/>
        <w:spacing w:line="360" w:lineRule="auto"/>
        <w:rPr>
          <w:rFonts w:ascii="宋体" w:hAnsi="宋体" w:cs="宋体"/>
          <w:b/>
          <w:spacing w:val="8"/>
          <w:kern w:val="0"/>
          <w:sz w:val="24"/>
        </w:rPr>
      </w:pPr>
    </w:p>
    <w:p w14:paraId="6E9C54DB">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三、获取招标文件</w:t>
      </w:r>
    </w:p>
    <w:p w14:paraId="7E7056BB">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3.1时间：自招标文件公告发布之日起5个工作日</w:t>
      </w:r>
    </w:p>
    <w:p w14:paraId="3ECB200B">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 xml:space="preserve">3.2地点：江苏政府采购网苏采云系统注册登记成功后系统内免费下载 </w:t>
      </w:r>
    </w:p>
    <w:p w14:paraId="70693AA1">
      <w:pPr>
        <w:widowControl/>
        <w:shd w:val="clear" w:color="auto" w:fill="FFFFFF" w:themeFill="background1"/>
        <w:spacing w:line="360" w:lineRule="auto"/>
        <w:ind w:firstLine="420" w:firstLineChars="200"/>
        <w:rPr>
          <w:rFonts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0FFB32EB">
      <w:pPr>
        <w:spacing w:line="360" w:lineRule="auto"/>
        <w:ind w:firstLine="424" w:firstLineChars="202"/>
        <w:rPr>
          <w:rFonts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32DD21BC">
      <w:pPr>
        <w:widowControl/>
        <w:shd w:val="clear" w:color="auto" w:fill="FFFFFF" w:themeFill="background1"/>
        <w:spacing w:line="360" w:lineRule="auto"/>
        <w:rPr>
          <w:rFonts w:ascii="宋体" w:hAnsi="宋体" w:cs="宋体"/>
          <w:b/>
          <w:spacing w:val="8"/>
          <w:kern w:val="0"/>
          <w:sz w:val="24"/>
        </w:rPr>
      </w:pPr>
    </w:p>
    <w:p w14:paraId="68640442">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四、提交投标文件开始时间、截止时间、地点和开标时间、地点</w:t>
      </w:r>
    </w:p>
    <w:p w14:paraId="60044572">
      <w:pPr>
        <w:spacing w:line="360" w:lineRule="auto"/>
        <w:ind w:firstLine="420" w:firstLineChars="200"/>
        <w:rPr>
          <w:rFonts w:ascii="宋体" w:hAnsi="宋体" w:cs="宋体"/>
          <w:bCs/>
          <w:szCs w:val="21"/>
        </w:rPr>
      </w:pPr>
      <w:r>
        <w:rPr>
          <w:rFonts w:hint="eastAsia" w:ascii="宋体" w:hAnsi="宋体" w:cs="宋体"/>
          <w:bCs/>
          <w:szCs w:val="21"/>
        </w:rPr>
        <w:t>4.1提交投标文件截止时间、开标时间：2026年6月</w:t>
      </w:r>
      <w:r>
        <w:rPr>
          <w:rFonts w:hint="eastAsia" w:ascii="宋体" w:hAnsi="宋体" w:cs="宋体"/>
          <w:bCs/>
          <w:szCs w:val="21"/>
          <w:lang w:val="en-US" w:eastAsia="zh-CN"/>
        </w:rPr>
        <w:t>22</w:t>
      </w:r>
      <w:r>
        <w:rPr>
          <w:rFonts w:hint="eastAsia" w:ascii="宋体" w:hAnsi="宋体" w:cs="宋体"/>
          <w:bCs/>
          <w:szCs w:val="21"/>
        </w:rPr>
        <w:t>日</w:t>
      </w:r>
      <w:r>
        <w:rPr>
          <w:rFonts w:hint="eastAsia" w:ascii="宋体" w:hAnsi="宋体" w:cs="宋体"/>
          <w:bCs/>
          <w:szCs w:val="21"/>
          <w:lang w:val="en-US" w:eastAsia="zh-CN"/>
        </w:rPr>
        <w:t>14</w:t>
      </w:r>
      <w:r>
        <w:rPr>
          <w:rFonts w:hint="eastAsia" w:ascii="宋体" w:hAnsi="宋体" w:cs="宋体"/>
          <w:bCs/>
          <w:szCs w:val="21"/>
        </w:rPr>
        <w:t>点30分（北京时间）</w:t>
      </w:r>
    </w:p>
    <w:p w14:paraId="1EE90EB7">
      <w:pPr>
        <w:spacing w:line="360" w:lineRule="auto"/>
        <w:ind w:firstLine="420" w:firstLineChars="200"/>
        <w:rPr>
          <w:rFonts w:ascii="宋体" w:hAnsi="宋体" w:cs="宋体"/>
          <w:bCs/>
          <w:szCs w:val="21"/>
        </w:rPr>
      </w:pPr>
      <w:r>
        <w:rPr>
          <w:rFonts w:hint="eastAsia" w:ascii="宋体" w:hAnsi="宋体" w:cs="宋体"/>
          <w:bCs/>
          <w:szCs w:val="21"/>
        </w:rPr>
        <w:t>4.2提交投标文件地点：江苏省政府采购管理交易系统（苏采云）（以下简称“苏采云”）（网址：http://jszfcg.jsczt.cn/）</w:t>
      </w:r>
    </w:p>
    <w:p w14:paraId="6DE65653">
      <w:pPr>
        <w:spacing w:line="360" w:lineRule="auto"/>
        <w:ind w:firstLine="420" w:firstLineChars="200"/>
        <w:rPr>
          <w:rFonts w:ascii="宋体" w:hAnsi="宋体" w:cs="宋体"/>
          <w:bCs/>
          <w:szCs w:val="21"/>
        </w:rPr>
      </w:pPr>
      <w:r>
        <w:rPr>
          <w:rFonts w:hint="eastAsia" w:ascii="宋体" w:hAnsi="宋体" w:cs="宋体"/>
          <w:bCs/>
          <w:szCs w:val="21"/>
        </w:rPr>
        <w:t>4.3开标地点：“苏采云”网上开标大厅。</w:t>
      </w:r>
    </w:p>
    <w:p w14:paraId="388A91CF">
      <w:pPr>
        <w:widowControl/>
        <w:shd w:val="clear" w:color="auto" w:fill="FFFFFF" w:themeFill="background1"/>
        <w:spacing w:line="360" w:lineRule="auto"/>
        <w:rPr>
          <w:rFonts w:ascii="宋体" w:hAnsi="宋体" w:cs="宋体"/>
          <w:b/>
          <w:spacing w:val="8"/>
          <w:kern w:val="0"/>
          <w:sz w:val="24"/>
        </w:rPr>
      </w:pPr>
    </w:p>
    <w:p w14:paraId="37087C28">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五、公告期限</w:t>
      </w:r>
    </w:p>
    <w:p w14:paraId="5B8FC8B8">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自本公告发布之日起5个工作日。</w:t>
      </w:r>
    </w:p>
    <w:p w14:paraId="361431E8">
      <w:pPr>
        <w:widowControl/>
        <w:shd w:val="clear" w:color="auto" w:fill="FFFFFF" w:themeFill="background1"/>
        <w:spacing w:line="360" w:lineRule="auto"/>
        <w:rPr>
          <w:rFonts w:ascii="宋体" w:hAnsi="宋体" w:cs="宋体"/>
          <w:b/>
          <w:spacing w:val="8"/>
          <w:kern w:val="0"/>
          <w:sz w:val="24"/>
        </w:rPr>
      </w:pPr>
    </w:p>
    <w:p w14:paraId="3FCB5CCF">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六、其他补充事宜</w:t>
      </w:r>
    </w:p>
    <w:p w14:paraId="77B44EA2">
      <w:pPr>
        <w:widowControl/>
        <w:shd w:val="clear" w:color="auto" w:fill="FFFFFF"/>
        <w:spacing w:line="360" w:lineRule="auto"/>
        <w:ind w:firstLine="420" w:firstLineChars="200"/>
        <w:rPr>
          <w:rFonts w:ascii="宋体" w:hAnsi="宋体" w:cs="宋体"/>
          <w:kern w:val="0"/>
          <w:shd w:val="clear" w:color="auto" w:fill="FFFFFF"/>
          <w:lang w:val="zh-CN"/>
        </w:rPr>
      </w:pPr>
      <w:r>
        <w:rPr>
          <w:rFonts w:hint="eastAsia" w:ascii="宋体" w:hAnsi="宋体" w:cs="宋体"/>
          <w:kern w:val="0"/>
          <w:shd w:val="clear" w:color="auto" w:fill="FFFFFF"/>
          <w:lang w:val="zh-CN"/>
        </w:rPr>
        <w:t>6.1本项目在</w:t>
      </w:r>
      <w:r>
        <w:rPr>
          <w:rFonts w:hint="eastAsia" w:ascii="Arial" w:hAnsi="Arial" w:cs="Arial"/>
          <w:b/>
          <w:szCs w:val="21"/>
          <w:u w:val="single"/>
        </w:rPr>
        <w:t>江苏政府采购网、中国政府采购网</w:t>
      </w:r>
      <w:r>
        <w:rPr>
          <w:rFonts w:hint="eastAsia" w:ascii="宋体" w:hAnsi="宋体" w:cs="宋体"/>
          <w:kern w:val="0"/>
          <w:shd w:val="clear" w:color="auto" w:fill="FFFFFF"/>
          <w:lang w:val="zh-CN"/>
        </w:rPr>
        <w:t>发布公告。</w:t>
      </w:r>
    </w:p>
    <w:p w14:paraId="4B49DFCB">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6.2勘察现场：无。</w:t>
      </w:r>
    </w:p>
    <w:p w14:paraId="1917D79A">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②潜在供应商访问“苏采云”系统的网络地址和方法：“苏采云”系统的网址：http：//jszfcg.jsczt.cn/。</w:t>
      </w:r>
    </w:p>
    <w:p w14:paraId="11BD0F6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③“CA数字证书”的获取：</w:t>
      </w:r>
    </w:p>
    <w:p w14:paraId="3C77389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通过苏采云系统首页（http：//jszfcg.jscz.gov.cn/）的“苏采云控件驱动下载”，选择“政务CA、方正签章控件驱动安装包及安装说明”下载安装，具体安装方法详见下载文件内的《安装说明》。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“苏采云”</w:t>
      </w:r>
      <w:r>
        <w:rPr>
          <w:rFonts w:hint="eastAsia" w:ascii="宋体" w:hAnsi="宋体" w:cs="宋体"/>
          <w:kern w:val="0"/>
          <w:shd w:val="clear" w:color="auto" w:fill="FFFFFF"/>
          <w:lang w:val="en-US" w:eastAsia="zh-CN"/>
        </w:rPr>
        <w:t>江苏省</w:t>
      </w:r>
      <w:r>
        <w:rPr>
          <w:rFonts w:hint="eastAsia" w:ascii="宋体" w:hAnsi="宋体" w:cs="宋体"/>
          <w:kern w:val="0"/>
          <w:shd w:val="clear" w:color="auto" w:fill="FFFFFF"/>
        </w:rPr>
        <w:t>客服热线025-83633744、025-83633743。</w:t>
      </w:r>
    </w:p>
    <w:p w14:paraId="2BCAD248">
      <w:pPr>
        <w:widowControl/>
        <w:shd w:val="clear" w:color="auto" w:fill="FFFFFF"/>
        <w:spacing w:line="360" w:lineRule="auto"/>
        <w:ind w:firstLine="420" w:firstLineChars="200"/>
        <w:rPr>
          <w:rFonts w:ascii="宋体" w:hAnsi="宋体" w:cs="宋体"/>
          <w:kern w:val="0"/>
          <w:shd w:val="clear" w:color="auto" w:fill="FFFFFF"/>
        </w:rPr>
      </w:pPr>
      <w:r>
        <w:rPr>
          <w:rFonts w:hint="eastAsia" w:ascii="宋体" w:hAnsi="宋体" w:cs="宋体"/>
          <w:kern w:val="0"/>
          <w:shd w:val="clear" w:color="auto" w:fill="FFFFFF"/>
        </w:rPr>
        <w:t>有关本次招标的事项若存在变动或修改，请及时关注“江苏政府采购网”（www.ccgp-jiangsu.gov.cn）更正公告。</w:t>
      </w:r>
    </w:p>
    <w:p w14:paraId="4973B4A0">
      <w:pPr>
        <w:widowControl/>
        <w:shd w:val="clear" w:color="auto" w:fill="FFFFFF" w:themeFill="background1"/>
        <w:spacing w:line="360" w:lineRule="auto"/>
        <w:rPr>
          <w:rFonts w:ascii="宋体" w:hAnsi="宋体" w:cs="宋体"/>
          <w:b/>
          <w:spacing w:val="8"/>
          <w:kern w:val="0"/>
          <w:sz w:val="24"/>
        </w:rPr>
      </w:pPr>
    </w:p>
    <w:p w14:paraId="76E54C44">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七、对本次招标提出询问，请按以下方式联系</w:t>
      </w:r>
    </w:p>
    <w:bookmarkEnd w:id="5"/>
    <w:bookmarkEnd w:id="6"/>
    <w:bookmarkEnd w:id="7"/>
    <w:bookmarkEnd w:id="8"/>
    <w:bookmarkEnd w:id="10"/>
    <w:bookmarkEnd w:id="11"/>
    <w:bookmarkEnd w:id="12"/>
    <w:p w14:paraId="55ABCD5B">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7.1采购人信息</w:t>
      </w:r>
    </w:p>
    <w:bookmarkEnd w:id="4"/>
    <w:bookmarkEnd w:id="9"/>
    <w:bookmarkEnd w:id="13"/>
    <w:p w14:paraId="3AF1F141">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名称：南京师范大学</w:t>
      </w:r>
    </w:p>
    <w:p w14:paraId="6EC1123E">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地    址：南京师范大学仙林校区</w:t>
      </w:r>
    </w:p>
    <w:p w14:paraId="7FE5C73C">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联系人：任老师</w:t>
      </w:r>
    </w:p>
    <w:p w14:paraId="2D194C99">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联系电话：025-85891187</w:t>
      </w:r>
    </w:p>
    <w:p w14:paraId="3E9C508A">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7.2采购代理机构信息</w:t>
      </w:r>
    </w:p>
    <w:p w14:paraId="0DCA9880">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名称：江苏省设备成套股份有限公司</w:t>
      </w:r>
    </w:p>
    <w:p w14:paraId="30491C3A">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 系 人：褚晶晶 左卢成</w:t>
      </w:r>
    </w:p>
    <w:p w14:paraId="7FCC999C">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    话：025-83314167</w:t>
      </w:r>
    </w:p>
    <w:p w14:paraId="672DECE1">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电子邮箱：chujj@jcec.cn</w:t>
      </w:r>
    </w:p>
    <w:p w14:paraId="67E573A4">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 xml:space="preserve">地址：江苏省南京市鼓楼区清江南路18号鼓楼创新广场D栋10楼1001室 </w:t>
      </w:r>
    </w:p>
    <w:p w14:paraId="689236BD">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7.3项目联系方式</w:t>
      </w:r>
    </w:p>
    <w:p w14:paraId="4C4ADA89">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项目联系人：褚晶晶 左卢成</w:t>
      </w:r>
    </w:p>
    <w:p w14:paraId="6EAE867E">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电话：025-83314167</w:t>
      </w:r>
    </w:p>
    <w:p w14:paraId="386A8FFA">
      <w:pPr>
        <w:rPr>
          <w:rFonts w:ascii="宋体" w:hAnsi="宋体" w:cs="宋体"/>
          <w:spacing w:val="15"/>
          <w:kern w:val="0"/>
          <w:shd w:val="clear" w:color="auto" w:fill="FFFFFF"/>
        </w:rPr>
      </w:pPr>
      <w:r>
        <w:rPr>
          <w:rFonts w:hint="eastAsia" w:ascii="宋体" w:hAnsi="宋体" w:cs="宋体"/>
          <w:spacing w:val="15"/>
          <w:kern w:val="0"/>
          <w:shd w:val="clear" w:color="auto" w:fill="FFFFFF"/>
        </w:rPr>
        <w:br w:type="page"/>
      </w:r>
    </w:p>
    <w:p w14:paraId="6B223B91">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 xml:space="preserve"> </w:t>
      </w:r>
    </w:p>
    <w:p w14:paraId="1B540A09">
      <w:pPr>
        <w:pStyle w:val="2"/>
        <w:numPr>
          <w:ilvl w:val="0"/>
          <w:numId w:val="0"/>
        </w:numPr>
        <w:rPr>
          <w:rFonts w:ascii="宋体" w:hAnsi="宋体" w:cs="宋体"/>
        </w:rPr>
      </w:pPr>
      <w:bookmarkStart w:id="14" w:name="_Toc22441"/>
      <w:r>
        <w:rPr>
          <w:rFonts w:hint="eastAsia" w:ascii="宋体" w:hAnsi="宋体" w:cs="宋体"/>
        </w:rPr>
        <w:t>第二章</w:t>
      </w:r>
      <w:bookmarkStart w:id="15" w:name="_Toc452625218"/>
      <w:r>
        <w:rPr>
          <w:rFonts w:hint="eastAsia" w:ascii="宋体" w:hAnsi="宋体" w:cs="宋体"/>
        </w:rPr>
        <w:t xml:space="preserve"> 供应商须知</w:t>
      </w:r>
      <w:bookmarkEnd w:id="14"/>
      <w:bookmarkEnd w:id="15"/>
    </w:p>
    <w:p w14:paraId="0211C587">
      <w:pPr>
        <w:widowControl/>
        <w:shd w:val="clear" w:color="auto" w:fill="FFFFFF"/>
        <w:spacing w:line="360" w:lineRule="auto"/>
        <w:ind w:firstLine="424" w:firstLineChars="201"/>
        <w:rPr>
          <w:rFonts w:ascii="宋体" w:hAnsi="宋体" w:cs="宋体"/>
          <w:kern w:val="0"/>
          <w:szCs w:val="21"/>
        </w:rPr>
      </w:pPr>
      <w:bookmarkStart w:id="16" w:name="_Toc25340"/>
      <w:bookmarkStart w:id="17" w:name="_Toc481057145"/>
      <w:r>
        <w:rPr>
          <w:rFonts w:hint="eastAsia" w:ascii="宋体" w:hAnsi="宋体" w:cs="宋体"/>
          <w:b/>
          <w:bCs/>
          <w:kern w:val="0"/>
          <w:szCs w:val="21"/>
        </w:rPr>
        <w:t>一、总 则</w:t>
      </w:r>
    </w:p>
    <w:p w14:paraId="7ED37FB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1、适用法律</w:t>
      </w:r>
    </w:p>
    <w:p w14:paraId="12D8829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71731FA">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2、定义</w:t>
      </w:r>
    </w:p>
    <w:p w14:paraId="6FE50A1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40C16FD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57EBA62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0652F2D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373B5B4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2.5“用户或使用单位”是指使用货物，接受服务的单位。</w:t>
      </w:r>
    </w:p>
    <w:p w14:paraId="7B28A01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3、政策功能</w:t>
      </w:r>
    </w:p>
    <w:p w14:paraId="60922CC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CDB95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94B5A8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ADBC6E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C6B578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4D0A93D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3.6进口产品政策</w:t>
      </w:r>
    </w:p>
    <w:p w14:paraId="29D579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7D9DC6B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（2）允许进口产品参加的，满足需求的国内产品可以参加。</w:t>
      </w:r>
    </w:p>
    <w:p w14:paraId="28DD43D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4B8004D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3.7 本国产品支持政策</w:t>
      </w:r>
    </w:p>
    <w:p w14:paraId="6960971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9468A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7236FEF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3.8未按要求提供相关材料的，不享受相关政策。</w:t>
      </w:r>
    </w:p>
    <w:p w14:paraId="42DFC96E">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二、招标文件构成</w:t>
      </w:r>
    </w:p>
    <w:p w14:paraId="1E3F654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4、招标文件组成</w:t>
      </w:r>
    </w:p>
    <w:p w14:paraId="011DAA0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4.1招标文件包括以下主要内容：</w:t>
      </w:r>
    </w:p>
    <w:p w14:paraId="6A11198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（1）招标公告；</w:t>
      </w:r>
    </w:p>
    <w:p w14:paraId="2D0D05F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（2）投标人须知；</w:t>
      </w:r>
    </w:p>
    <w:p w14:paraId="67ABBE2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（3）评标标准；</w:t>
      </w:r>
    </w:p>
    <w:p w14:paraId="42ABF3E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（4）采购需求；</w:t>
      </w:r>
    </w:p>
    <w:p w14:paraId="59B8D52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（5）合同主要条款及格式；</w:t>
      </w:r>
    </w:p>
    <w:p w14:paraId="22D6637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（6）投标文件格式及附件。</w:t>
      </w:r>
    </w:p>
    <w:p w14:paraId="15B33A8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如标书制作工具中格式和内容与“江苏政府采购网/中国政府采购网”发布的招标文件不一致的，以上述网站发布的招标文件为准。</w:t>
      </w:r>
    </w:p>
    <w:p w14:paraId="17D8320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5C03A46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12C72BA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7DE1B75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5、招标文件的澄清或者修改</w:t>
      </w:r>
    </w:p>
    <w:p w14:paraId="5744A95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020D21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6275B6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2EEB0D23">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三、投标文件的编制</w:t>
      </w:r>
    </w:p>
    <w:p w14:paraId="0A63C3D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6、投标文件的语言、计量单位、货币和编制</w:t>
      </w:r>
    </w:p>
    <w:p w14:paraId="305C73F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5D8D78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6.2投标人所使用的计量单位应为国家法定计量单位。</w:t>
      </w:r>
    </w:p>
    <w:p w14:paraId="4AD1389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5775A3A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6.4投标文件应按照招标文件的规定编写并制作目录。</w:t>
      </w:r>
    </w:p>
    <w:p w14:paraId="5714BFA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520905B1">
      <w:pPr>
        <w:widowControl/>
        <w:shd w:val="clear" w:color="auto" w:fill="FFFFFF"/>
        <w:spacing w:line="360" w:lineRule="auto"/>
        <w:ind w:firstLine="412"/>
        <w:rPr>
          <w:rFonts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3F2C2E98">
      <w:pPr>
        <w:widowControl/>
        <w:numPr>
          <w:ilvl w:val="0"/>
          <w:numId w:val="4"/>
        </w:numPr>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联合体投标（本项目不接受）</w:t>
      </w:r>
    </w:p>
    <w:p w14:paraId="1D04482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4850A5D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58F7AA6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30514E8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3A3F0084">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8、投标文件的组成</w:t>
      </w:r>
    </w:p>
    <w:p w14:paraId="1E038F83">
      <w:pPr>
        <w:widowControl/>
        <w:shd w:val="clear" w:color="auto" w:fill="FFFFFF"/>
        <w:spacing w:line="360" w:lineRule="auto"/>
        <w:ind w:firstLine="420"/>
        <w:jc w:val="left"/>
        <w:rPr>
          <w:rFonts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”）的技术条款在投标文件中提供技术支持资料（如白皮书、彩页、手册、检测报告等），具体以招标文件需求要求为准，未提供技术支持资料的，视为未对招标文件实质性要求作出响应，评审时不予认可。</w:t>
      </w:r>
    </w:p>
    <w:p w14:paraId="09A559F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277986F1">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9、投标文件的商务内容</w:t>
      </w:r>
    </w:p>
    <w:p w14:paraId="7C3A8B1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（1）-（4）所述材料不得有缺失或提供不全或不满足招标文件的实质性要求</w:t>
      </w:r>
      <w:r>
        <w:rPr>
          <w:rFonts w:hint="eastAsia" w:ascii="宋体" w:hAnsi="宋体" w:cs="宋体"/>
          <w:kern w:val="0"/>
          <w:szCs w:val="21"/>
        </w:rPr>
        <w:t>）：</w:t>
      </w:r>
    </w:p>
    <w:p w14:paraId="6CF6CC64">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530C0CD7">
      <w:pPr>
        <w:widowControl/>
        <w:shd w:val="clear" w:color="auto" w:fill="FFFFFF"/>
        <w:spacing w:line="360" w:lineRule="auto"/>
        <w:ind w:firstLine="420" w:firstLineChars="200"/>
        <w:jc w:val="left"/>
        <w:rPr>
          <w:rFonts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10557F5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（3）投标人资格资信证明文件：</w:t>
      </w:r>
    </w:p>
    <w:p w14:paraId="3B029095">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2.1《中华人民共和国政府采购法》规定的资格条件证明文件；</w:t>
      </w:r>
    </w:p>
    <w:p w14:paraId="6C718083">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595C205E">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3E529CE0">
      <w:pPr>
        <w:widowControl/>
        <w:shd w:val="clear" w:color="auto" w:fill="FFFFFF"/>
        <w:spacing w:line="360" w:lineRule="auto"/>
        <w:ind w:firstLine="420" w:firstLineChars="200"/>
        <w:jc w:val="left"/>
        <w:rPr>
          <w:rFonts w:ascii="宋体" w:hAnsi="宋体" w:cs="宋体"/>
          <w:kern w:val="0"/>
          <w:szCs w:val="21"/>
        </w:rPr>
      </w:pPr>
      <w:r>
        <w:rPr>
          <w:rFonts w:hint="eastAsia" w:ascii="宋体" w:hAnsi="宋体" w:cs="宋体"/>
          <w:kern w:val="0"/>
          <w:szCs w:val="21"/>
        </w:rPr>
        <w:t>（4）开标一览表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0259185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（5）《商务条款偏离表》；</w:t>
      </w:r>
    </w:p>
    <w:p w14:paraId="2F0788B7">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（6）第三章评标标准中对应的所需证明材料（如有自行添加）；</w:t>
      </w:r>
    </w:p>
    <w:p w14:paraId="4F14966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（7）要求采购人提供的配合（如有自拟并自行添加）；</w:t>
      </w:r>
    </w:p>
    <w:p w14:paraId="63DB71B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（8）其他（投标人认为有必要提供的声明和文件，如有，自行拟定并添加）。</w:t>
      </w:r>
    </w:p>
    <w:p w14:paraId="74A67A6E">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10、投标文件的技术内容</w:t>
      </w:r>
    </w:p>
    <w:p w14:paraId="31B3BEF4">
      <w:pPr>
        <w:widowControl/>
        <w:adjustRightInd w:val="0"/>
        <w:spacing w:line="360" w:lineRule="auto"/>
        <w:ind w:firstLine="420"/>
        <w:jc w:val="left"/>
        <w:rPr>
          <w:rFonts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57B16D2F">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（1）技术说明或服务方案；</w:t>
      </w:r>
    </w:p>
    <w:p w14:paraId="4CB6760C">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（2）《采购需求偏离表》；</w:t>
      </w:r>
    </w:p>
    <w:p w14:paraId="0EDB7943">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（3）服务承诺；</w:t>
      </w:r>
    </w:p>
    <w:p w14:paraId="14C7BD15">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（4）投标人拟投入本项目的设备、人员情况一览表；</w:t>
      </w:r>
    </w:p>
    <w:p w14:paraId="4DAD9BE1">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（5）投标人认为需要提供的其他技术资料。</w:t>
      </w:r>
    </w:p>
    <w:p w14:paraId="1841EAF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11、投标文件的价格内容</w:t>
      </w:r>
    </w:p>
    <w:p w14:paraId="33E0ED7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5702A3E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1B55CAA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454D23D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3B63E20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01E28C2C">
      <w:pPr>
        <w:widowControl/>
        <w:spacing w:line="360" w:lineRule="auto"/>
        <w:ind w:firstLine="420"/>
        <w:rPr>
          <w:rFonts w:ascii="宋体" w:hAnsi="宋体" w:cs="宋体"/>
          <w:kern w:val="0"/>
          <w:szCs w:val="21"/>
        </w:rPr>
      </w:pPr>
      <w:r>
        <w:rPr>
          <w:rFonts w:hint="eastAsia" w:ascii="宋体" w:hAnsi="宋体" w:cs="宋体"/>
          <w:b/>
          <w:bCs/>
          <w:kern w:val="0"/>
          <w:szCs w:val="21"/>
        </w:rPr>
        <w:t>11.7本项目预算为：详见第一章</w:t>
      </w:r>
      <w:r>
        <w:rPr>
          <w:rFonts w:hint="eastAsia" w:ascii="宋体" w:hAnsi="宋体" w:cs="宋体"/>
          <w:bCs/>
          <w:kern w:val="0"/>
          <w:szCs w:val="21"/>
        </w:rPr>
        <w:t>。</w:t>
      </w:r>
    </w:p>
    <w:p w14:paraId="6B2829D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12、投标文件的其他部分</w:t>
      </w:r>
    </w:p>
    <w:p w14:paraId="7EDAA76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2554FA1A">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480B8FA3">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13、投标保证金（本项目无需缴纳投标保证金）</w:t>
      </w:r>
    </w:p>
    <w:p w14:paraId="7E923208">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14、投标有效期</w:t>
      </w:r>
    </w:p>
    <w:p w14:paraId="49966A9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2A8435A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2D0AA80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15、投标文件签署</w:t>
      </w:r>
    </w:p>
    <w:p w14:paraId="0CDDBB8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15.1 投标文件应按照招标文件要求加盖电子公章。</w:t>
      </w:r>
    </w:p>
    <w:p w14:paraId="3170552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16、投标费用</w:t>
      </w:r>
    </w:p>
    <w:p w14:paraId="3D809A7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09B23EB1">
      <w:pPr>
        <w:widowControl/>
        <w:shd w:val="clear" w:color="auto" w:fill="FFFFFF"/>
        <w:spacing w:line="360" w:lineRule="auto"/>
        <w:ind w:firstLine="420"/>
        <w:rPr>
          <w:rFonts w:ascii="新宋体" w:hAnsi="新宋体" w:eastAsia="新宋体" w:cs="新宋体"/>
          <w:bCs/>
          <w:kern w:val="0"/>
          <w:szCs w:val="21"/>
        </w:rPr>
      </w:pPr>
      <w:r>
        <w:rPr>
          <w:rFonts w:hint="eastAsia" w:ascii="宋体" w:hAnsi="宋体" w:cs="宋体"/>
          <w:bCs/>
          <w:kern w:val="0"/>
          <w:szCs w:val="21"/>
        </w:rPr>
        <w:t>16.2 招标代理服务费：招标代理服务费</w:t>
      </w:r>
      <w:r>
        <w:rPr>
          <w:rFonts w:hint="eastAsia" w:ascii="新宋体" w:hAnsi="新宋体" w:eastAsia="新宋体" w:cs="新宋体"/>
          <w:bCs/>
          <w:kern w:val="0"/>
          <w:szCs w:val="21"/>
        </w:rPr>
        <w:t>：本次招标，中标人依据中标金额按照下表所列收费标准差额累进计算后的6折收取。单个项目按照以上标准计算低于4000元时，按照保底代理费4000元/项目收取。由中标人向招标代理机构支付中标服务费。本项费用无需在投标报价表中单列。</w:t>
      </w:r>
    </w:p>
    <w:tbl>
      <w:tblPr>
        <w:tblStyle w:val="45"/>
        <w:tblW w:w="8506" w:type="dxa"/>
        <w:jc w:val="center"/>
        <w:tblCellSpacing w:w="0" w:type="dxa"/>
        <w:shd w:val="clear" w:color="auto" w:fill="FFFFFF"/>
        <w:tblLayout w:type="autofit"/>
        <w:tblCellMar>
          <w:top w:w="0" w:type="dxa"/>
          <w:left w:w="0" w:type="dxa"/>
          <w:bottom w:w="0" w:type="dxa"/>
          <w:right w:w="0" w:type="dxa"/>
        </w:tblCellMar>
      </w:tblPr>
      <w:tblGrid>
        <w:gridCol w:w="2694"/>
        <w:gridCol w:w="1937"/>
        <w:gridCol w:w="1937"/>
        <w:gridCol w:w="1938"/>
      </w:tblGrid>
      <w:tr w14:paraId="020FD835">
        <w:tblPrEx>
          <w:tblCellMar>
            <w:top w:w="0" w:type="dxa"/>
            <w:left w:w="0" w:type="dxa"/>
            <w:bottom w:w="0" w:type="dxa"/>
            <w:right w:w="0" w:type="dxa"/>
          </w:tblCellMar>
        </w:tblPrEx>
        <w:trPr>
          <w:trHeight w:val="1125" w:hRule="atLeast"/>
          <w:tblCellSpacing w:w="0" w:type="dxa"/>
          <w:jc w:val="center"/>
        </w:trPr>
        <w:tc>
          <w:tcPr>
            <w:tcW w:w="2694" w:type="dxa"/>
            <w:tcBorders>
              <w:top w:val="single" w:color="000000" w:sz="6" w:space="0"/>
              <w:left w:val="single" w:color="000000" w:sz="6" w:space="0"/>
              <w:bottom w:val="single" w:color="000000" w:sz="6" w:space="0"/>
              <w:right w:val="single" w:color="000000" w:sz="6" w:space="0"/>
              <w:tl2br w:val="single" w:color="auto" w:sz="4" w:space="0"/>
            </w:tcBorders>
            <w:shd w:val="clear" w:color="auto" w:fill="FFFFFF"/>
            <w:tcMar>
              <w:top w:w="0" w:type="dxa"/>
              <w:left w:w="105" w:type="dxa"/>
              <w:bottom w:w="0" w:type="dxa"/>
              <w:right w:w="105" w:type="dxa"/>
            </w:tcMar>
          </w:tcPr>
          <w:p w14:paraId="161BCB05">
            <w:pPr>
              <w:tabs>
                <w:tab w:val="left" w:pos="900"/>
              </w:tabs>
              <w:spacing w:line="560" w:lineRule="exact"/>
              <w:ind w:firstLine="1050" w:firstLineChars="500"/>
              <w:rPr>
                <w:rFonts w:ascii="宋体" w:hAnsi="宋体"/>
                <w:kern w:val="0"/>
                <w:szCs w:val="21"/>
              </w:rPr>
            </w:pPr>
            <w:r>
              <w:rPr>
                <w:rFonts w:hint="eastAsia" w:ascii="宋体" w:hAnsi="宋体"/>
                <w:kern w:val="0"/>
                <w:szCs w:val="21"/>
              </w:rPr>
              <w:t>服务费率类型</w:t>
            </w:r>
          </w:p>
          <w:p w14:paraId="43483391">
            <w:pPr>
              <w:tabs>
                <w:tab w:val="left" w:pos="900"/>
              </w:tabs>
              <w:spacing w:line="560" w:lineRule="exact"/>
              <w:rPr>
                <w:rFonts w:ascii="宋体" w:hAnsi="宋体"/>
                <w:kern w:val="0"/>
                <w:szCs w:val="21"/>
              </w:rPr>
            </w:pPr>
            <w:r>
              <w:rPr>
                <w:rFonts w:hint="eastAsia" w:ascii="宋体" w:hAnsi="宋体"/>
                <w:kern w:val="0"/>
                <w:szCs w:val="21"/>
              </w:rPr>
              <w:t>中标金额（万元）</w:t>
            </w:r>
          </w:p>
        </w:tc>
        <w:tc>
          <w:tcPr>
            <w:tcW w:w="193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3EF16B8">
            <w:pPr>
              <w:tabs>
                <w:tab w:val="left" w:pos="900"/>
              </w:tabs>
              <w:spacing w:line="560" w:lineRule="exact"/>
              <w:ind w:firstLine="420" w:firstLineChars="200"/>
              <w:rPr>
                <w:rFonts w:ascii="宋体" w:hAnsi="宋体"/>
                <w:kern w:val="0"/>
                <w:szCs w:val="21"/>
              </w:rPr>
            </w:pPr>
            <w:r>
              <w:rPr>
                <w:rFonts w:hint="eastAsia" w:ascii="宋体" w:hAnsi="宋体"/>
                <w:kern w:val="0"/>
                <w:szCs w:val="21"/>
              </w:rPr>
              <w:t>货物项目</w:t>
            </w:r>
          </w:p>
        </w:tc>
        <w:tc>
          <w:tcPr>
            <w:tcW w:w="193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64770E7">
            <w:pPr>
              <w:tabs>
                <w:tab w:val="left" w:pos="900"/>
              </w:tabs>
              <w:spacing w:line="560" w:lineRule="exact"/>
              <w:ind w:firstLine="420" w:firstLineChars="200"/>
              <w:rPr>
                <w:rFonts w:ascii="宋体" w:hAnsi="宋体"/>
                <w:kern w:val="0"/>
                <w:szCs w:val="21"/>
              </w:rPr>
            </w:pPr>
            <w:r>
              <w:rPr>
                <w:rFonts w:hint="eastAsia" w:ascii="宋体" w:hAnsi="宋体"/>
                <w:kern w:val="0"/>
                <w:szCs w:val="21"/>
              </w:rPr>
              <w:t>服务项目</w:t>
            </w:r>
          </w:p>
        </w:tc>
        <w:tc>
          <w:tcPr>
            <w:tcW w:w="193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DC32283">
            <w:pPr>
              <w:tabs>
                <w:tab w:val="left" w:pos="900"/>
              </w:tabs>
              <w:spacing w:line="560" w:lineRule="exact"/>
              <w:ind w:firstLine="420" w:firstLineChars="200"/>
              <w:rPr>
                <w:rFonts w:ascii="宋体" w:hAnsi="宋体"/>
                <w:kern w:val="0"/>
                <w:szCs w:val="21"/>
              </w:rPr>
            </w:pPr>
            <w:r>
              <w:rPr>
                <w:rFonts w:hint="eastAsia" w:ascii="宋体" w:hAnsi="宋体"/>
                <w:kern w:val="0"/>
                <w:szCs w:val="21"/>
              </w:rPr>
              <w:t>工程项目</w:t>
            </w:r>
          </w:p>
        </w:tc>
      </w:tr>
      <w:tr w14:paraId="1ABDFBD1">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34E609D9">
            <w:pPr>
              <w:tabs>
                <w:tab w:val="left" w:pos="900"/>
              </w:tabs>
              <w:spacing w:line="560" w:lineRule="exact"/>
              <w:ind w:firstLine="420" w:firstLineChars="200"/>
              <w:rPr>
                <w:rFonts w:ascii="宋体" w:hAnsi="宋体"/>
                <w:kern w:val="0"/>
                <w:szCs w:val="21"/>
              </w:rPr>
            </w:pPr>
            <w:r>
              <w:rPr>
                <w:rFonts w:hint="eastAsia" w:ascii="宋体" w:hAnsi="宋体"/>
                <w:kern w:val="0"/>
                <w:szCs w:val="21"/>
              </w:rPr>
              <w:t>100以下</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814A432">
            <w:pPr>
              <w:tabs>
                <w:tab w:val="left" w:pos="900"/>
              </w:tabs>
              <w:spacing w:line="560" w:lineRule="exact"/>
              <w:ind w:firstLine="420" w:firstLineChars="200"/>
              <w:rPr>
                <w:rFonts w:ascii="宋体" w:hAnsi="宋体"/>
                <w:kern w:val="0"/>
                <w:szCs w:val="21"/>
              </w:rPr>
            </w:pPr>
            <w:r>
              <w:rPr>
                <w:rFonts w:hint="eastAsia" w:ascii="宋体" w:hAnsi="宋体"/>
                <w:kern w:val="0"/>
                <w:szCs w:val="21"/>
              </w:rPr>
              <w:t>1.5%</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AEC0541">
            <w:pPr>
              <w:tabs>
                <w:tab w:val="left" w:pos="900"/>
              </w:tabs>
              <w:spacing w:line="560" w:lineRule="exact"/>
              <w:ind w:firstLine="420" w:firstLineChars="200"/>
              <w:rPr>
                <w:rFonts w:ascii="宋体" w:hAnsi="宋体"/>
                <w:kern w:val="0"/>
                <w:szCs w:val="21"/>
              </w:rPr>
            </w:pPr>
            <w:r>
              <w:rPr>
                <w:rFonts w:hint="eastAsia" w:ascii="宋体" w:hAnsi="宋体"/>
                <w:kern w:val="0"/>
                <w:szCs w:val="21"/>
              </w:rPr>
              <w:t>1.5%</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5B926873">
            <w:pPr>
              <w:tabs>
                <w:tab w:val="left" w:pos="900"/>
              </w:tabs>
              <w:spacing w:line="560" w:lineRule="exact"/>
              <w:ind w:firstLine="420" w:firstLineChars="200"/>
              <w:rPr>
                <w:rFonts w:ascii="宋体" w:hAnsi="宋体"/>
                <w:kern w:val="0"/>
                <w:szCs w:val="21"/>
              </w:rPr>
            </w:pPr>
            <w:r>
              <w:rPr>
                <w:rFonts w:hint="eastAsia" w:ascii="宋体" w:hAnsi="宋体"/>
                <w:kern w:val="0"/>
                <w:szCs w:val="21"/>
              </w:rPr>
              <w:t>1.0%</w:t>
            </w:r>
          </w:p>
        </w:tc>
      </w:tr>
      <w:tr w14:paraId="46417BB9">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057233F5">
            <w:pPr>
              <w:tabs>
                <w:tab w:val="left" w:pos="900"/>
              </w:tabs>
              <w:spacing w:line="560" w:lineRule="exact"/>
              <w:ind w:firstLine="420" w:firstLineChars="200"/>
              <w:rPr>
                <w:rFonts w:ascii="宋体" w:hAnsi="宋体"/>
                <w:kern w:val="0"/>
                <w:szCs w:val="21"/>
              </w:rPr>
            </w:pPr>
            <w:r>
              <w:rPr>
                <w:rFonts w:hint="eastAsia" w:ascii="宋体" w:hAnsi="宋体"/>
                <w:kern w:val="0"/>
                <w:szCs w:val="21"/>
              </w:rPr>
              <w:t>100-500</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93FE5DF">
            <w:pPr>
              <w:tabs>
                <w:tab w:val="left" w:pos="900"/>
              </w:tabs>
              <w:spacing w:line="560" w:lineRule="exact"/>
              <w:ind w:firstLine="420" w:firstLineChars="200"/>
              <w:rPr>
                <w:rFonts w:ascii="宋体" w:hAnsi="宋体"/>
                <w:kern w:val="0"/>
                <w:szCs w:val="21"/>
              </w:rPr>
            </w:pPr>
            <w:r>
              <w:rPr>
                <w:rFonts w:hint="eastAsia" w:ascii="宋体" w:hAnsi="宋体"/>
                <w:kern w:val="0"/>
                <w:szCs w:val="21"/>
              </w:rPr>
              <w:t>1.1%</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3624166">
            <w:pPr>
              <w:tabs>
                <w:tab w:val="left" w:pos="900"/>
              </w:tabs>
              <w:spacing w:line="560" w:lineRule="exact"/>
              <w:ind w:firstLine="420" w:firstLineChars="200"/>
              <w:rPr>
                <w:rFonts w:ascii="宋体" w:hAnsi="宋体"/>
                <w:kern w:val="0"/>
                <w:szCs w:val="21"/>
              </w:rPr>
            </w:pPr>
            <w:r>
              <w:rPr>
                <w:rFonts w:hint="eastAsia" w:ascii="宋体" w:hAnsi="宋体"/>
                <w:kern w:val="0"/>
                <w:szCs w:val="21"/>
              </w:rPr>
              <w:t>0.8%</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1B73D866">
            <w:pPr>
              <w:tabs>
                <w:tab w:val="left" w:pos="900"/>
              </w:tabs>
              <w:spacing w:line="560" w:lineRule="exact"/>
              <w:ind w:firstLine="420" w:firstLineChars="200"/>
              <w:rPr>
                <w:rFonts w:ascii="宋体" w:hAnsi="宋体"/>
                <w:kern w:val="0"/>
                <w:szCs w:val="21"/>
              </w:rPr>
            </w:pPr>
            <w:r>
              <w:rPr>
                <w:rFonts w:hint="eastAsia" w:ascii="宋体" w:hAnsi="宋体"/>
                <w:kern w:val="0"/>
                <w:szCs w:val="21"/>
              </w:rPr>
              <w:t>0.7%</w:t>
            </w:r>
          </w:p>
        </w:tc>
      </w:tr>
      <w:tr w14:paraId="5C51CDEE">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59344AA9">
            <w:pPr>
              <w:tabs>
                <w:tab w:val="left" w:pos="900"/>
              </w:tabs>
              <w:spacing w:line="560" w:lineRule="exact"/>
              <w:ind w:firstLine="420" w:firstLineChars="200"/>
              <w:rPr>
                <w:rFonts w:ascii="宋体" w:hAnsi="宋体"/>
                <w:kern w:val="0"/>
                <w:szCs w:val="21"/>
              </w:rPr>
            </w:pPr>
            <w:r>
              <w:rPr>
                <w:rFonts w:hint="eastAsia" w:ascii="宋体" w:hAnsi="宋体"/>
                <w:kern w:val="0"/>
                <w:szCs w:val="21"/>
              </w:rPr>
              <w:t>500-1000</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6212929">
            <w:pPr>
              <w:tabs>
                <w:tab w:val="left" w:pos="900"/>
              </w:tabs>
              <w:spacing w:line="560" w:lineRule="exact"/>
              <w:ind w:firstLine="420" w:firstLineChars="200"/>
              <w:rPr>
                <w:rFonts w:ascii="宋体" w:hAnsi="宋体"/>
                <w:kern w:val="0"/>
                <w:szCs w:val="21"/>
              </w:rPr>
            </w:pPr>
            <w:r>
              <w:rPr>
                <w:rFonts w:hint="eastAsia" w:ascii="宋体" w:hAnsi="宋体"/>
                <w:kern w:val="0"/>
                <w:szCs w:val="21"/>
              </w:rPr>
              <w:t>0.8%</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134D5BA">
            <w:pPr>
              <w:tabs>
                <w:tab w:val="left" w:pos="900"/>
              </w:tabs>
              <w:spacing w:line="560" w:lineRule="exact"/>
              <w:ind w:firstLine="420" w:firstLineChars="200"/>
              <w:rPr>
                <w:rFonts w:ascii="宋体" w:hAnsi="宋体"/>
                <w:kern w:val="0"/>
                <w:szCs w:val="21"/>
              </w:rPr>
            </w:pPr>
            <w:r>
              <w:rPr>
                <w:rFonts w:hint="eastAsia" w:ascii="宋体" w:hAnsi="宋体"/>
                <w:kern w:val="0"/>
                <w:szCs w:val="21"/>
              </w:rPr>
              <w:t>0.45%</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2F7ED27">
            <w:pPr>
              <w:tabs>
                <w:tab w:val="left" w:pos="900"/>
              </w:tabs>
              <w:spacing w:line="560" w:lineRule="exact"/>
              <w:ind w:firstLine="420" w:firstLineChars="200"/>
              <w:rPr>
                <w:rFonts w:ascii="宋体" w:hAnsi="宋体"/>
                <w:kern w:val="0"/>
                <w:szCs w:val="21"/>
              </w:rPr>
            </w:pPr>
            <w:r>
              <w:rPr>
                <w:rFonts w:hint="eastAsia" w:ascii="宋体" w:hAnsi="宋体"/>
                <w:kern w:val="0"/>
                <w:szCs w:val="21"/>
              </w:rPr>
              <w:t>0.55%</w:t>
            </w:r>
          </w:p>
        </w:tc>
      </w:tr>
    </w:tbl>
    <w:p w14:paraId="495603D2">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四、投标文件的递交</w:t>
      </w:r>
    </w:p>
    <w:p w14:paraId="03DD5966">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17、投标文件的递交</w:t>
      </w:r>
    </w:p>
    <w:p w14:paraId="5DBB43D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742597BE">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18、投标文件的解密</w:t>
      </w:r>
    </w:p>
    <w:p w14:paraId="613B46A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3A12BE4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14:paraId="7C1B61F1">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19、投标文件的修改和撤回</w:t>
      </w:r>
    </w:p>
    <w:p w14:paraId="41894FD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BC7C2B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19.2 投标截止时间之后，投标文件不得撤回；如撤回，投标保证金不予退还。</w:t>
      </w:r>
    </w:p>
    <w:p w14:paraId="4986C73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20、诚实信用</w:t>
      </w:r>
    </w:p>
    <w:p w14:paraId="529675A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712C899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54A764B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五、开标、评标与定标</w:t>
      </w:r>
    </w:p>
    <w:p w14:paraId="34CF6186">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21、开标</w:t>
      </w:r>
    </w:p>
    <w:p w14:paraId="12DD2F7E">
      <w:pPr>
        <w:spacing w:line="360" w:lineRule="auto"/>
        <w:ind w:firstLine="420" w:firstLineChars="200"/>
        <w:rPr>
          <w:rFonts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4A73B822">
      <w:pPr>
        <w:spacing w:line="360" w:lineRule="auto"/>
        <w:ind w:firstLine="420" w:firstLineChars="200"/>
        <w:rPr>
          <w:rFonts w:ascii="宋体" w:hAnsi="宋体" w:cs="宋体"/>
        </w:rPr>
      </w:pPr>
      <w:r>
        <w:rPr>
          <w:rFonts w:hint="eastAsia" w:ascii="宋体" w:hAnsi="宋体" w:cs="宋体"/>
        </w:rPr>
        <w:t>21.2 投标人在开标过程中涉及到的投标文件解密、开标结果确认等工作，应按照《操作手册》规定执行。</w:t>
      </w:r>
    </w:p>
    <w:p w14:paraId="546BD581">
      <w:pPr>
        <w:spacing w:line="360" w:lineRule="auto"/>
        <w:ind w:firstLine="420" w:firstLineChars="200"/>
        <w:rPr>
          <w:rFonts w:ascii="宋体" w:hAnsi="宋体" w:cs="宋体"/>
        </w:rPr>
      </w:pPr>
      <w:r>
        <w:rPr>
          <w:rFonts w:hint="eastAsia" w:ascii="宋体" w:hAnsi="宋体" w:cs="宋体"/>
        </w:rPr>
        <w:t>21.3投标人不足3家的，不得开标。</w:t>
      </w:r>
      <w:r>
        <w:rPr>
          <w:rFonts w:hint="eastAsia" w:ascii="Arial" w:hAnsi="宋体" w:cs="Arial"/>
          <w:kern w:val="0"/>
          <w:szCs w:val="21"/>
        </w:rPr>
        <w:t>（苏教法</w:t>
      </w:r>
      <w:r>
        <w:rPr>
          <w:rFonts w:ascii="Arial" w:hAnsi="宋体" w:cs="Arial"/>
          <w:kern w:val="0"/>
          <w:szCs w:val="21"/>
        </w:rPr>
        <w:t>[2017]14</w:t>
      </w:r>
      <w:r>
        <w:rPr>
          <w:rFonts w:hint="eastAsia" w:ascii="Arial" w:hAnsi="宋体" w:cs="Arial"/>
          <w:kern w:val="0"/>
          <w:szCs w:val="21"/>
        </w:rPr>
        <w:t>号</w:t>
      </w:r>
      <w:r>
        <w:rPr>
          <w:rFonts w:ascii="Arial" w:hAnsi="宋体" w:cs="Arial"/>
          <w:kern w:val="0"/>
          <w:szCs w:val="21"/>
        </w:rPr>
        <w:t xml:space="preserve"> </w:t>
      </w:r>
      <w:r>
        <w:rPr>
          <w:rFonts w:hint="eastAsia" w:ascii="Arial" w:hAnsi="宋体" w:cs="Arial"/>
          <w:kern w:val="0"/>
          <w:szCs w:val="21"/>
        </w:rPr>
        <w:t>江苏省深化高等教育领域简政放权放管结合优化服务改革实施办法，第四条完善高校经费和资产使用管理制度（十三）优化高校办学设备招标采购流程。急需设备首次招标如不足</w:t>
      </w:r>
      <w:r>
        <w:rPr>
          <w:rFonts w:ascii="Arial" w:hAnsi="宋体" w:cs="Arial"/>
          <w:kern w:val="0"/>
          <w:szCs w:val="21"/>
        </w:rPr>
        <w:t>3</w:t>
      </w:r>
      <w:r>
        <w:rPr>
          <w:rFonts w:hint="eastAsia" w:ascii="Arial" w:hAnsi="宋体" w:cs="Arial"/>
          <w:kern w:val="0"/>
          <w:szCs w:val="21"/>
        </w:rPr>
        <w:t>家供应商的，可依据专家评委意见，并经得采购人同意，现场采用竞争性谈判或单一来源采购方式。简化科研仪器设备采购管理，高校对集中采购目录内的项目可自行采购和选择评审专家。对进口仪器设备实行备案制。</w:t>
      </w:r>
    </w:p>
    <w:p w14:paraId="47EA97F2">
      <w:pPr>
        <w:spacing w:line="360" w:lineRule="auto"/>
        <w:ind w:firstLine="420" w:firstLineChars="200"/>
        <w:rPr>
          <w:rFonts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0DD3EFD7">
      <w:pPr>
        <w:spacing w:line="360" w:lineRule="auto"/>
        <w:ind w:firstLine="420" w:firstLineChars="200"/>
        <w:rPr>
          <w:rFonts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16A4C52E">
      <w:pPr>
        <w:spacing w:line="360" w:lineRule="auto"/>
        <w:ind w:firstLine="420" w:firstLineChars="200"/>
        <w:rPr>
          <w:rFonts w:ascii="宋体" w:hAnsi="宋体" w:cs="宋体"/>
        </w:rPr>
      </w:pPr>
      <w:r>
        <w:rPr>
          <w:rFonts w:hint="eastAsia" w:ascii="宋体" w:hAnsi="宋体" w:cs="宋体"/>
        </w:rPr>
        <w:t>（1）招标文件存在不合理条款或者招标程序不符合规定的，采购人、采购代理机构改正后依法重新招标；</w:t>
      </w:r>
    </w:p>
    <w:p w14:paraId="4A2D206B">
      <w:pPr>
        <w:spacing w:line="360" w:lineRule="auto"/>
        <w:ind w:firstLine="420" w:firstLineChars="200"/>
        <w:rPr>
          <w:rFonts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041973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22、评标</w:t>
      </w:r>
    </w:p>
    <w:p w14:paraId="2F53EE5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22.1 评标委员会</w:t>
      </w:r>
    </w:p>
    <w:p w14:paraId="41EBE1D0">
      <w:pPr>
        <w:widowControl/>
        <w:shd w:val="clear" w:color="auto" w:fill="FFFFFF"/>
        <w:spacing w:line="360" w:lineRule="auto"/>
        <w:ind w:firstLine="420"/>
        <w:rPr>
          <w:rFonts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1142D0B7">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4B4DC263">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（二）要求投标人对投标文件有关事项作出澄清或者说明；</w:t>
      </w:r>
    </w:p>
    <w:p w14:paraId="01273BDE">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（三）对投标文件进行比较和评价；</w:t>
      </w:r>
    </w:p>
    <w:p w14:paraId="59305657">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（四）确定中标候选人名单，以及根据采购人委托直接确定中标人；</w:t>
      </w:r>
    </w:p>
    <w:p w14:paraId="2E6D2545">
      <w:pPr>
        <w:widowControl/>
        <w:shd w:val="clear" w:color="auto" w:fill="FFFFFF"/>
        <w:spacing w:line="360" w:lineRule="auto"/>
        <w:ind w:firstLine="420"/>
        <w:rPr>
          <w:rFonts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2C3B88F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0301DE06">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22.2  评标程序</w:t>
      </w:r>
    </w:p>
    <w:p w14:paraId="79AF3670">
      <w:pPr>
        <w:widowControl/>
        <w:shd w:val="clear" w:color="auto" w:fill="FFFFFF"/>
        <w:spacing w:line="360" w:lineRule="auto"/>
        <w:ind w:firstLine="420"/>
        <w:jc w:val="left"/>
        <w:rPr>
          <w:rFonts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51C8519D">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0CEFC63C">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（1）同一投标人提交两个（含两个）以上不同的投标报价的；</w:t>
      </w:r>
    </w:p>
    <w:p w14:paraId="6594A93C">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（2）投标文件未按照招标文件要求加盖电子公章的或者签字；</w:t>
      </w:r>
    </w:p>
    <w:p w14:paraId="132D60E7">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（3）报价超过招标文件中规定的预算金额或者最高限价的；</w:t>
      </w:r>
    </w:p>
    <w:p w14:paraId="4EEB4C4B">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（4）投标文件含有采购人不能接受的附加条件的；</w:t>
      </w:r>
    </w:p>
    <w:p w14:paraId="33DAB2F0">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（5）投标文件内容不全或不符合招标文件中规定的其他实质性要求的；</w:t>
      </w:r>
    </w:p>
    <w:p w14:paraId="680F64EC">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（6）现行法律、法规、规章和招标文件规定的其他无效情形。</w:t>
      </w:r>
    </w:p>
    <w:p w14:paraId="319F935E">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14:paraId="51E54AA0">
      <w:pPr>
        <w:widowControl/>
        <w:shd w:val="clear" w:color="auto" w:fill="FFFFFF"/>
        <w:spacing w:line="360" w:lineRule="auto"/>
        <w:ind w:firstLine="420"/>
        <w:rPr>
          <w:rFonts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646CAEEB">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22.2.2.3有下列情形之一的予以废标：</w:t>
      </w:r>
    </w:p>
    <w:p w14:paraId="387F628F">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09F4E517">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（2）出现影响采购公正的违法、违规行为的；</w:t>
      </w:r>
    </w:p>
    <w:p w14:paraId="13054E5E">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（3）投标人的报价均超过了采购预算，采购人不能支付的；</w:t>
      </w:r>
    </w:p>
    <w:p w14:paraId="4D9C29AA">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（4）因苏采云系统故障造成开标不成功的；</w:t>
      </w:r>
    </w:p>
    <w:p w14:paraId="7AF73D77">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（5）因重大变故，采购任务取消的。</w:t>
      </w:r>
    </w:p>
    <w:p w14:paraId="79FDEED8">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1DC0D4F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09B71BB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50AF0B5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66536DA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评委会并非对每个投标人都做澄清要求。</w:t>
      </w:r>
    </w:p>
    <w:p w14:paraId="0B2E436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9A2D0CD">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6310B3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0288D09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55B6275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4810E8B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（2）大写金额和小写金额不一致的，以大写金额为准；</w:t>
      </w:r>
    </w:p>
    <w:p w14:paraId="4BBC7B5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18D5722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（4）总价金额与按单价汇总金额不一致的，以单价金额计算结果为准。</w:t>
      </w:r>
    </w:p>
    <w:p w14:paraId="4F8A2EE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336CFE8">
      <w:pPr>
        <w:widowControl/>
        <w:shd w:val="clear" w:color="auto" w:fill="FFFFFF"/>
        <w:spacing w:line="360" w:lineRule="auto"/>
        <w:ind w:firstLine="420"/>
        <w:rPr>
          <w:rFonts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68D2A54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741BCF97">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69F7BE2D">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22.2.5相同品牌产品的投标</w:t>
      </w:r>
    </w:p>
    <w:p w14:paraId="6047BAF5">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3ADC377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2D480694">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非单一产品采购项目，确定核心产品的方法在招标文件技术需求中载明。多家供应商提供的核心产品品牌相同的，按前两款规定处理。</w:t>
      </w:r>
    </w:p>
    <w:p w14:paraId="3F312066">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22.3 评标方法和标准</w:t>
      </w:r>
    </w:p>
    <w:p w14:paraId="5AB4D194">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65D9038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5168B63E">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392459D1">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429672F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评审因素，包括价格、技术、商务等。</w:t>
      </w:r>
    </w:p>
    <w:p w14:paraId="20C5C8A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5EB03EE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2A693A1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评标总得分＝F1×A1＋F2×A2＋……＋Fn×An</w:t>
      </w:r>
    </w:p>
    <w:p w14:paraId="21E77ED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F1、F2……Fn分别为各项评审因素的得分；</w:t>
      </w:r>
    </w:p>
    <w:p w14:paraId="48F903A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A1、A2、……An 分别为各项评审因素所占的权重(A1＋A2＋……＋An＝1)。</w:t>
      </w:r>
    </w:p>
    <w:p w14:paraId="140EBEF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14C0EFA3">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48B5F4E4">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 xml:space="preserve">22.4.1评标过程中出现下列情形之一的，评标委员会应当启动异常低价投标审查程序： </w:t>
      </w:r>
    </w:p>
    <w:p w14:paraId="07809CE8">
      <w:pPr>
        <w:widowControl/>
        <w:spacing w:line="360" w:lineRule="auto"/>
        <w:ind w:firstLine="420"/>
        <w:rPr>
          <w:rFonts w:ascii="宋体" w:hAnsi="宋体" w:cs="宋体"/>
          <w:b/>
          <w:bCs/>
          <w:kern w:val="0"/>
          <w:szCs w:val="21"/>
        </w:rPr>
      </w:pPr>
      <w:r>
        <w:rPr>
          <w:rFonts w:hint="eastAsia" w:ascii="宋体" w:hAnsi="宋体" w:cs="宋体"/>
          <w:b/>
          <w:bCs/>
          <w:kern w:val="0"/>
          <w:szCs w:val="21"/>
        </w:rPr>
        <w:t>（1）投标报价低于全部通过符合性审查投标人投标报价平均值50%的，即投标报价&lt;全部通过符合性审查投标人投标报价平均值×50%；</w:t>
      </w:r>
    </w:p>
    <w:p w14:paraId="6C102E18">
      <w:pPr>
        <w:widowControl/>
        <w:spacing w:line="360" w:lineRule="auto"/>
        <w:ind w:firstLine="420"/>
        <w:rPr>
          <w:rFonts w:ascii="宋体" w:hAnsi="宋体" w:cs="宋体"/>
          <w:b/>
          <w:bCs/>
          <w:kern w:val="0"/>
          <w:szCs w:val="21"/>
        </w:rPr>
      </w:pPr>
      <w:r>
        <w:rPr>
          <w:rFonts w:hint="eastAsia" w:ascii="宋体" w:hAnsi="宋体" w:cs="宋体"/>
          <w:b/>
          <w:bCs/>
          <w:kern w:val="0"/>
          <w:szCs w:val="21"/>
        </w:rPr>
        <w:t>（2）投标报价低于通过符合性审查的次低报价投标人投标报价50%的，即投标报价&lt;通过符合性审查的次低报价投标人投标报价×50%；</w:t>
      </w:r>
    </w:p>
    <w:p w14:paraId="43C5494D">
      <w:pPr>
        <w:widowControl/>
        <w:spacing w:line="360" w:lineRule="auto"/>
        <w:ind w:firstLine="420"/>
        <w:rPr>
          <w:rFonts w:ascii="宋体" w:hAnsi="宋体" w:cs="宋体"/>
          <w:b/>
          <w:bCs/>
          <w:kern w:val="0"/>
          <w:szCs w:val="21"/>
        </w:rPr>
      </w:pPr>
      <w:r>
        <w:rPr>
          <w:rFonts w:hint="eastAsia" w:ascii="宋体" w:hAnsi="宋体" w:cs="宋体"/>
          <w:b/>
          <w:bCs/>
          <w:kern w:val="0"/>
          <w:szCs w:val="21"/>
        </w:rPr>
        <w:t>（3）投标报价低于本项目最高限价45%的，即投标报价&lt;本项目最高限价×45%；</w:t>
      </w:r>
    </w:p>
    <w:p w14:paraId="0299EF1C">
      <w:pPr>
        <w:widowControl/>
        <w:spacing w:line="360" w:lineRule="auto"/>
        <w:ind w:firstLine="420"/>
        <w:rPr>
          <w:rFonts w:ascii="宋体" w:hAnsi="宋体" w:cs="宋体"/>
          <w:b/>
          <w:bCs/>
          <w:kern w:val="0"/>
          <w:szCs w:val="21"/>
        </w:rPr>
      </w:pPr>
      <w:r>
        <w:rPr>
          <w:rFonts w:hint="eastAsia" w:ascii="宋体" w:hAnsi="宋体" w:cs="宋体"/>
          <w:b/>
          <w:bCs/>
          <w:kern w:val="0"/>
          <w:szCs w:val="21"/>
        </w:rPr>
        <w:t>（4）评标委员会基于专业判断，认为投标人报价过低，有可能影响产品质量或者不能诚信履约的其他情形。</w:t>
      </w:r>
    </w:p>
    <w:p w14:paraId="6676BA5E">
      <w:pPr>
        <w:widowControl/>
        <w:spacing w:line="360" w:lineRule="auto"/>
        <w:ind w:firstLine="420"/>
        <w:rPr>
          <w:rFonts w:ascii="宋体" w:hAnsi="宋体" w:cs="宋体"/>
          <w:kern w:val="0"/>
          <w:szCs w:val="21"/>
        </w:rPr>
      </w:pPr>
      <w:r>
        <w:rPr>
          <w:rFonts w:hint="eastAsia" w:ascii="宋体" w:hAnsi="宋体" w:cs="宋体"/>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73D8A700">
      <w:pPr>
        <w:widowControl/>
        <w:spacing w:line="360" w:lineRule="auto"/>
        <w:ind w:firstLine="420"/>
        <w:rPr>
          <w:rFonts w:ascii="宋体" w:hAnsi="宋体" w:cs="宋体"/>
          <w:kern w:val="0"/>
          <w:szCs w:val="21"/>
        </w:rPr>
      </w:pPr>
      <w:r>
        <w:rPr>
          <w:rFonts w:hint="eastAsia" w:ascii="宋体" w:hAnsi="宋体" w:cs="宋体"/>
          <w:kern w:val="0"/>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rPr>
        <w:t>投标人不能提供书面说明、证明材料，或者提供的书面说明、证明材料不能证明其报价合理性的，评审委员会应当将其作为无效投标处理。</w:t>
      </w:r>
    </w:p>
    <w:p w14:paraId="598BAFB2">
      <w:pPr>
        <w:widowControl/>
        <w:spacing w:line="360" w:lineRule="auto"/>
        <w:ind w:firstLine="420"/>
        <w:rPr>
          <w:rFonts w:ascii="宋体" w:hAnsi="宋体" w:cs="宋体"/>
          <w:b/>
          <w:bCs/>
          <w:kern w:val="0"/>
          <w:szCs w:val="21"/>
        </w:rPr>
      </w:pPr>
      <w:r>
        <w:rPr>
          <w:rFonts w:hint="eastAsia" w:ascii="宋体" w:hAnsi="宋体" w:cs="宋体"/>
          <w:kern w:val="0"/>
          <w:szCs w:val="21"/>
        </w:rPr>
        <w:t>22.4.4异常低价投标审查的启动原因、审查意见和审查结果应当在评标报告中记录，并随投标人提供的相关书面说明及证明材料，以及评标委员会有关互联网浏览、查询历史一并归档。</w:t>
      </w:r>
    </w:p>
    <w:p w14:paraId="5EE033E0">
      <w:pPr>
        <w:widowControl/>
        <w:shd w:val="clear" w:color="auto" w:fill="FFFFFF"/>
        <w:spacing w:line="360" w:lineRule="auto"/>
        <w:ind w:firstLine="420"/>
        <w:rPr>
          <w:rFonts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5A330E0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73AD69A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EBBCA7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55429E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68D84C7F">
      <w:pPr>
        <w:widowControl/>
        <w:shd w:val="clear" w:color="auto" w:fill="FFFFFF"/>
        <w:spacing w:line="360" w:lineRule="auto"/>
        <w:ind w:firstLine="420"/>
        <w:rPr>
          <w:rFonts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4CFB8C3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23.5 所有投标文件不论中标与否，均不退回。</w:t>
      </w:r>
    </w:p>
    <w:p w14:paraId="693ED8EB">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24、编写评标报告</w:t>
      </w:r>
    </w:p>
    <w:p w14:paraId="2B149F6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51338802">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25、评标过程的保密性</w:t>
      </w:r>
    </w:p>
    <w:p w14:paraId="40F595E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2884D5A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0B06130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0314004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六、签订合同</w:t>
      </w:r>
    </w:p>
    <w:p w14:paraId="315C7C3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26、签订合同</w:t>
      </w:r>
    </w:p>
    <w:p w14:paraId="44170A1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42EA6A8C">
      <w:pPr>
        <w:widowControl/>
        <w:shd w:val="clear" w:color="auto" w:fill="FFFFFF"/>
        <w:spacing w:line="360" w:lineRule="auto"/>
        <w:ind w:firstLine="420"/>
        <w:rPr>
          <w:rFonts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3606491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26.3采购人不得向中标人提出任何不合理的要求作为签订合同的条件。</w:t>
      </w:r>
    </w:p>
    <w:p w14:paraId="2A2DBA3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374E7E5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950C03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26.6 采购人与中标人应当根据合同的约定依法履行合同义务。</w:t>
      </w:r>
    </w:p>
    <w:p w14:paraId="09E9FEA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七、质疑和投诉</w:t>
      </w:r>
    </w:p>
    <w:p w14:paraId="70DC1BB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27、质疑</w:t>
      </w:r>
    </w:p>
    <w:p w14:paraId="4721539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6491972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4060D3A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DA4FD7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D9BCC58">
      <w:pPr>
        <w:widowControl/>
        <w:shd w:val="clear" w:color="auto" w:fill="FFFFFF"/>
        <w:spacing w:line="360" w:lineRule="auto"/>
        <w:ind w:firstLine="420"/>
        <w:rPr>
          <w:rFonts w:ascii="宋体" w:hAnsi="宋体" w:cs="宋体"/>
          <w:b/>
          <w:bCs/>
          <w:kern w:val="0"/>
          <w:szCs w:val="21"/>
        </w:rPr>
      </w:pPr>
      <w:r>
        <w:rPr>
          <w:rFonts w:hint="eastAsia" w:ascii="宋体" w:hAnsi="宋体" w:cs="宋体"/>
          <w:b/>
          <w:bCs/>
        </w:rPr>
        <w:t>供应商必须在法定质疑期内一次性提出针对同一采购程序环节的质疑。</w:t>
      </w:r>
    </w:p>
    <w:p w14:paraId="7CFAFBD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439C904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（一）供应商的姓名或者名称、地址、邮编、联系人及联系电话；</w:t>
      </w:r>
    </w:p>
    <w:p w14:paraId="68586CC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（二）质疑项目的名称、编号；</w:t>
      </w:r>
    </w:p>
    <w:p w14:paraId="2351FED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（三）具体、明确的质疑事项和与质疑事项相关的请求（具体条款）；</w:t>
      </w:r>
    </w:p>
    <w:p w14:paraId="1BAA2AD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（四）事实依据（具体条款）；</w:t>
      </w:r>
    </w:p>
    <w:p w14:paraId="6A3A3E7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（五）必要的法律依据（具体条款）；</w:t>
      </w:r>
    </w:p>
    <w:p w14:paraId="577A41B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（六）提出质疑的日期。</w:t>
      </w:r>
    </w:p>
    <w:p w14:paraId="08376944">
      <w:pPr>
        <w:widowControl/>
        <w:shd w:val="clear" w:color="auto" w:fill="FFFFFF"/>
        <w:spacing w:line="360" w:lineRule="auto"/>
        <w:ind w:firstLine="420"/>
        <w:rPr>
          <w:rFonts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0CE0522">
      <w:pPr>
        <w:widowControl/>
        <w:shd w:val="clear" w:color="auto" w:fill="FFFFFF"/>
        <w:spacing w:line="360" w:lineRule="auto"/>
        <w:ind w:firstLine="420"/>
        <w:rPr>
          <w:rFonts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0AA7C25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27.5质疑函应当现场提交至采购代理机构联系人处，提交时应出示有效身份证明。未按上述要求提交质疑函的，质疑不予受理。</w:t>
      </w:r>
    </w:p>
    <w:p w14:paraId="60D861E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68306E8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250DE154">
      <w:pPr>
        <w:widowControl/>
        <w:shd w:val="clear" w:color="auto" w:fill="FFFFFF"/>
        <w:spacing w:line="420" w:lineRule="exact"/>
        <w:ind w:firstLine="420"/>
        <w:rPr>
          <w:rFonts w:ascii="宋体" w:hAnsi="宋体" w:cs="宋体"/>
          <w:kern w:val="0"/>
          <w:szCs w:val="21"/>
        </w:rPr>
      </w:pPr>
      <w:r>
        <w:rPr>
          <w:rFonts w:hint="eastAsia" w:ascii="宋体" w:hAnsi="宋体" w:cs="宋体"/>
          <w:b/>
          <w:bCs/>
          <w:kern w:val="0"/>
          <w:szCs w:val="21"/>
        </w:rPr>
        <w:t>28、投诉</w:t>
      </w:r>
    </w:p>
    <w:p w14:paraId="208A1FA5">
      <w:pPr>
        <w:spacing w:line="420" w:lineRule="exact"/>
        <w:ind w:firstLine="420" w:firstLineChars="200"/>
        <w:rPr>
          <w:rFonts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6DECC565">
      <w:pPr>
        <w:spacing w:line="420" w:lineRule="exact"/>
        <w:ind w:firstLine="420" w:firstLineChars="200"/>
        <w:rPr>
          <w:rFonts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2F5DA655">
      <w:pPr>
        <w:spacing w:line="420" w:lineRule="exact"/>
        <w:ind w:firstLine="420" w:firstLineChars="200"/>
        <w:rPr>
          <w:rFonts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36C2E16C">
      <w:pPr>
        <w:spacing w:line="420" w:lineRule="exact"/>
        <w:ind w:firstLine="420" w:firstLineChars="200"/>
        <w:rPr>
          <w:rFonts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6D4EBE34">
      <w:pPr>
        <w:spacing w:line="420" w:lineRule="exact"/>
        <w:ind w:firstLine="420" w:firstLineChars="200"/>
        <w:rPr>
          <w:rFonts w:ascii="宋体" w:hAnsi="宋体" w:cs="宋体"/>
        </w:rPr>
      </w:pPr>
      <w:r>
        <w:rPr>
          <w:rFonts w:hint="eastAsia" w:ascii="宋体" w:hAnsi="宋体" w:cs="宋体"/>
        </w:rPr>
        <w:t>（1）投诉人在全国范围12个月内三次以上投诉查无实据的；</w:t>
      </w:r>
    </w:p>
    <w:p w14:paraId="00E3C628">
      <w:pPr>
        <w:spacing w:line="420" w:lineRule="exact"/>
        <w:ind w:firstLine="420" w:firstLineChars="200"/>
        <w:rPr>
          <w:rFonts w:ascii="宋体" w:hAnsi="宋体" w:cs="宋体"/>
        </w:rPr>
      </w:pPr>
      <w:r>
        <w:rPr>
          <w:rFonts w:hint="eastAsia" w:ascii="宋体" w:hAnsi="宋体" w:cs="宋体"/>
        </w:rPr>
        <w:t>（2）采用捏造事实、提供虚假材料或者以非法手段取得证明材料等方式进行虚假、恶意投诉。</w:t>
      </w:r>
    </w:p>
    <w:p w14:paraId="3D35AA59">
      <w:pPr>
        <w:spacing w:line="420" w:lineRule="exact"/>
        <w:ind w:firstLine="420" w:firstLineChars="200"/>
        <w:rPr>
          <w:rFonts w:ascii="宋体" w:hAnsi="宋体" w:cs="宋体"/>
        </w:rPr>
      </w:pPr>
      <w:r>
        <w:rPr>
          <w:rFonts w:hint="eastAsia" w:ascii="宋体" w:hAnsi="宋体" w:cs="宋体"/>
        </w:rPr>
        <w:t>证据来源的合法性存在明显疑问，投诉人无法证明其取得方式合法的，视为以非法手段取得证明材料。</w:t>
      </w:r>
    </w:p>
    <w:p w14:paraId="4ED4EC8D">
      <w:pPr>
        <w:widowControl/>
        <w:shd w:val="clear" w:color="auto" w:fill="FFFFFF"/>
        <w:spacing w:line="360" w:lineRule="auto"/>
        <w:ind w:firstLine="422" w:firstLineChars="200"/>
        <w:rPr>
          <w:rFonts w:ascii="宋体" w:hAnsi="宋体" w:cs="宋体"/>
          <w:b/>
          <w:bCs/>
          <w:kern w:val="0"/>
          <w:szCs w:val="21"/>
        </w:rPr>
      </w:pPr>
      <w:r>
        <w:rPr>
          <w:rFonts w:hint="eastAsia" w:ascii="宋体" w:hAnsi="宋体" w:cs="宋体"/>
          <w:b/>
          <w:bCs/>
          <w:kern w:val="0"/>
          <w:szCs w:val="21"/>
        </w:rPr>
        <w:t>29、其他</w:t>
      </w:r>
    </w:p>
    <w:p w14:paraId="5983C8D2">
      <w:pPr>
        <w:spacing w:line="360" w:lineRule="auto"/>
        <w:ind w:firstLine="420" w:firstLineChars="200"/>
        <w:rPr>
          <w:rFonts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2FBBF3D6">
      <w:pPr>
        <w:spacing w:line="360" w:lineRule="auto"/>
        <w:ind w:firstLine="420" w:firstLineChars="200"/>
        <w:rPr>
          <w:rFonts w:ascii="宋体" w:hAnsi="宋体" w:cs="宋体"/>
          <w:szCs w:val="20"/>
        </w:rPr>
      </w:pPr>
    </w:p>
    <w:p w14:paraId="58862086">
      <w:pPr>
        <w:rPr>
          <w:rFonts w:ascii="宋体" w:hAnsi="宋体" w:cs="宋体"/>
          <w:kern w:val="0"/>
        </w:rPr>
      </w:pPr>
      <w:r>
        <w:rPr>
          <w:rFonts w:hint="eastAsia" w:ascii="宋体" w:hAnsi="宋体" w:cs="宋体"/>
          <w:kern w:val="0"/>
        </w:rPr>
        <w:br w:type="page"/>
      </w:r>
    </w:p>
    <w:p w14:paraId="2C9A8EF8">
      <w:pPr>
        <w:pStyle w:val="2"/>
        <w:numPr>
          <w:ilvl w:val="0"/>
          <w:numId w:val="0"/>
        </w:numPr>
        <w:rPr>
          <w:rFonts w:ascii="宋体" w:hAnsi="宋体" w:cs="宋体"/>
          <w:kern w:val="0"/>
        </w:rPr>
      </w:pPr>
      <w:bookmarkStart w:id="18" w:name="_Toc20221"/>
      <w:r>
        <w:rPr>
          <w:rFonts w:hint="eastAsia" w:ascii="宋体" w:hAnsi="宋体" w:cs="宋体"/>
          <w:kern w:val="0"/>
        </w:rPr>
        <w:t>第三章 评标标准</w:t>
      </w:r>
      <w:bookmarkEnd w:id="16"/>
      <w:bookmarkEnd w:id="18"/>
    </w:p>
    <w:bookmarkEnd w:id="17"/>
    <w:p w14:paraId="406B9536">
      <w:pPr>
        <w:spacing w:line="360" w:lineRule="auto"/>
        <w:ind w:firstLine="420" w:firstLineChars="200"/>
        <w:rPr>
          <w:rFonts w:ascii="宋体" w:hAnsi="宋体" w:cs="宋体"/>
        </w:rPr>
      </w:pPr>
      <w:r>
        <w:rPr>
          <w:rFonts w:ascii="Arial" w:hAnsi="Arial" w:cs="Arial"/>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宋体" w:hAnsi="宋体" w:cs="宋体"/>
        </w:rPr>
        <w:t>。</w:t>
      </w:r>
    </w:p>
    <w:tbl>
      <w:tblPr>
        <w:tblStyle w:val="45"/>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192"/>
        <w:gridCol w:w="6983"/>
        <w:gridCol w:w="742"/>
      </w:tblGrid>
      <w:tr w14:paraId="60D9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3" w:type="dxa"/>
            <w:noWrap/>
            <w:vAlign w:val="center"/>
          </w:tcPr>
          <w:p w14:paraId="7A481FA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序号</w:t>
            </w:r>
          </w:p>
        </w:tc>
        <w:tc>
          <w:tcPr>
            <w:tcW w:w="1192" w:type="dxa"/>
            <w:noWrap/>
            <w:vAlign w:val="center"/>
          </w:tcPr>
          <w:p w14:paraId="3BF2CD6A">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评分因素</w:t>
            </w:r>
          </w:p>
        </w:tc>
        <w:tc>
          <w:tcPr>
            <w:tcW w:w="6983" w:type="dxa"/>
            <w:noWrap/>
            <w:vAlign w:val="center"/>
          </w:tcPr>
          <w:p w14:paraId="6CBF38A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szCs w:val="21"/>
              </w:rPr>
              <w:t>评审标准</w:t>
            </w:r>
          </w:p>
        </w:tc>
        <w:tc>
          <w:tcPr>
            <w:tcW w:w="742" w:type="dxa"/>
            <w:noWrap/>
            <w:vAlign w:val="center"/>
          </w:tcPr>
          <w:p w14:paraId="7EECE34F">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分值</w:t>
            </w:r>
          </w:p>
        </w:tc>
      </w:tr>
      <w:tr w14:paraId="68C6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0D15571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b/>
                <w:bCs/>
              </w:rPr>
              <w:t>1</w:t>
            </w:r>
          </w:p>
        </w:tc>
        <w:tc>
          <w:tcPr>
            <w:tcW w:w="1192" w:type="dxa"/>
            <w:noWrap/>
            <w:vAlign w:val="center"/>
          </w:tcPr>
          <w:p w14:paraId="06BA6340">
            <w:pPr>
              <w:jc w:val="center"/>
              <w:rPr>
                <w:rFonts w:ascii="宋体" w:hAnsi="宋体"/>
                <w:b/>
                <w:bCs/>
              </w:rPr>
            </w:pPr>
            <w:r>
              <w:rPr>
                <w:rFonts w:hint="eastAsia" w:ascii="宋体" w:hAnsi="宋体"/>
                <w:b/>
                <w:bCs/>
              </w:rPr>
              <w:t>价格</w:t>
            </w:r>
          </w:p>
          <w:p w14:paraId="377E3E94">
            <w:pPr>
              <w:jc w:val="center"/>
              <w:rPr>
                <w:rFonts w:ascii="宋体" w:hAnsi="宋体" w:cs="宋体"/>
                <w:b/>
                <w:bCs/>
                <w:kern w:val="0"/>
                <w:szCs w:val="21"/>
              </w:rPr>
            </w:pPr>
            <w:r>
              <w:rPr>
                <w:rFonts w:hint="eastAsia" w:ascii="宋体" w:hAnsi="宋体"/>
                <w:b/>
                <w:bCs/>
              </w:rPr>
              <w:t>30分</w:t>
            </w:r>
          </w:p>
        </w:tc>
        <w:tc>
          <w:tcPr>
            <w:tcW w:w="6983" w:type="dxa"/>
            <w:noWrap/>
            <w:vAlign w:val="center"/>
          </w:tcPr>
          <w:p w14:paraId="013393AE">
            <w:pPr>
              <w:adjustRightInd w:val="0"/>
              <w:spacing w:line="360" w:lineRule="auto"/>
              <w:rPr>
                <w:shd w:val="clear" w:color="auto" w:fill="FFFFFF"/>
              </w:rPr>
            </w:pPr>
            <w:r>
              <w:rPr>
                <w:shd w:val="clear" w:color="auto" w:fill="FFFFFF"/>
              </w:rPr>
              <w:t>采用低价优先法计算，即满足招标文件要求且投标价格最低的投标报价为评标基准价，其价格分为满分。其他供应商的价格分按照下列公式计算（小数点保留两位）：报价得分=（评标基准价／投标报价）×</w:t>
            </w:r>
            <w:r>
              <w:rPr>
                <w:rFonts w:hint="eastAsia"/>
                <w:shd w:val="clear" w:color="auto" w:fill="FFFFFF"/>
              </w:rPr>
              <w:t>30。</w:t>
            </w:r>
          </w:p>
        </w:tc>
        <w:tc>
          <w:tcPr>
            <w:tcW w:w="742" w:type="dxa"/>
            <w:noWrap/>
            <w:vAlign w:val="center"/>
          </w:tcPr>
          <w:p w14:paraId="32B51A82">
            <w:pPr>
              <w:widowControl/>
              <w:jc w:val="center"/>
              <w:rPr>
                <w:rFonts w:ascii="宋体" w:hAnsi="宋体" w:cs="宋体"/>
                <w:b/>
                <w:kern w:val="0"/>
                <w:szCs w:val="21"/>
              </w:rPr>
            </w:pPr>
            <w:r>
              <w:rPr>
                <w:rFonts w:hint="eastAsia" w:ascii="宋体" w:hAnsi="宋体" w:cs="宋体"/>
                <w:b/>
                <w:kern w:val="0"/>
                <w:szCs w:val="21"/>
              </w:rPr>
              <w:t>30</w:t>
            </w:r>
          </w:p>
        </w:tc>
      </w:tr>
      <w:tr w14:paraId="108F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28B6838E">
            <w:pPr>
              <w:widowControl/>
              <w:jc w:val="center"/>
              <w:rPr>
                <w:rFonts w:ascii="宋体" w:hAnsi="宋体"/>
                <w:b/>
                <w:bCs/>
              </w:rPr>
            </w:pPr>
            <w:r>
              <w:rPr>
                <w:rFonts w:hint="eastAsia" w:ascii="宋体" w:hAnsi="宋体"/>
                <w:b/>
                <w:bCs/>
              </w:rPr>
              <w:t>2</w:t>
            </w:r>
          </w:p>
        </w:tc>
        <w:tc>
          <w:tcPr>
            <w:tcW w:w="1192" w:type="dxa"/>
            <w:noWrap/>
            <w:vAlign w:val="center"/>
          </w:tcPr>
          <w:p w14:paraId="7CE1A850">
            <w:pPr>
              <w:jc w:val="center"/>
              <w:rPr>
                <w:rFonts w:ascii="宋体" w:hAnsi="宋体"/>
                <w:b/>
                <w:bCs/>
              </w:rPr>
            </w:pPr>
            <w:r>
              <w:rPr>
                <w:rFonts w:hint="eastAsia" w:ascii="宋体" w:hAnsi="宋体"/>
                <w:b/>
                <w:bCs/>
              </w:rPr>
              <w:t>产品指标响应情况33分</w:t>
            </w:r>
          </w:p>
        </w:tc>
        <w:tc>
          <w:tcPr>
            <w:tcW w:w="6983" w:type="dxa"/>
            <w:noWrap/>
            <w:vAlign w:val="center"/>
          </w:tcPr>
          <w:p w14:paraId="7802FB12">
            <w:pPr>
              <w:spacing w:line="340" w:lineRule="exact"/>
              <w:rPr>
                <w:rFonts w:ascii="宋体" w:hAnsi="宋体" w:cs="宋体"/>
                <w:szCs w:val="21"/>
              </w:rPr>
            </w:pPr>
            <w:r>
              <w:rPr>
                <w:rFonts w:hint="eastAsia" w:ascii="宋体" w:hAnsi="宋体" w:cs="宋体"/>
                <w:bCs/>
                <w:szCs w:val="21"/>
              </w:rPr>
              <w:t>评标委员会根据</w:t>
            </w:r>
            <w:r>
              <w:rPr>
                <w:rFonts w:hint="eastAsia" w:ascii="宋体" w:hAnsi="宋体" w:cs="宋体"/>
                <w:b/>
                <w:szCs w:val="21"/>
              </w:rPr>
              <w:t>采购标的需满足的质量、安全、技术规格、物理特性等要求</w:t>
            </w:r>
            <w:r>
              <w:rPr>
                <w:rFonts w:hint="eastAsia" w:ascii="宋体" w:hAnsi="宋体" w:cs="宋体"/>
                <w:szCs w:val="21"/>
              </w:rPr>
              <w:t>方面进行评分：</w:t>
            </w:r>
          </w:p>
          <w:p w14:paraId="2566E50A">
            <w:pPr>
              <w:spacing w:line="340" w:lineRule="exact"/>
              <w:rPr>
                <w:rFonts w:asciiTheme="minorEastAsia" w:hAnsiTheme="minorEastAsia" w:eastAsiaTheme="minorEastAsia" w:cstheme="minorEastAsia"/>
                <w:szCs w:val="21"/>
              </w:rPr>
            </w:pPr>
            <w:r>
              <w:rPr>
                <w:rFonts w:hint="eastAsia" w:ascii="宋体" w:hAnsi="宋体" w:cs="宋体"/>
                <w:szCs w:val="21"/>
              </w:rPr>
              <w:t>1.“★”的指标技术偏离为实质性条款，</w:t>
            </w:r>
            <w:r>
              <w:rPr>
                <w:rFonts w:hint="eastAsia" w:ascii="宋体" w:hAnsi="宋体" w:cs="宋体"/>
                <w:b/>
                <w:bCs/>
                <w:szCs w:val="21"/>
              </w:rPr>
              <w:t>如出现负偏离，视为无效投标响应</w:t>
            </w:r>
            <w:r>
              <w:rPr>
                <w:rFonts w:hint="eastAsia" w:ascii="宋体" w:hAnsi="宋体" w:cs="宋体"/>
                <w:szCs w:val="21"/>
              </w:rPr>
              <w:t>；</w:t>
            </w:r>
          </w:p>
          <w:p w14:paraId="776D8214">
            <w:pPr>
              <w:snapToGrid w:val="0"/>
              <w:spacing w:line="360" w:lineRule="exact"/>
              <w:jc w:val="left"/>
              <w:rPr>
                <w:rFonts w:asciiTheme="minorEastAsia" w:hAnsiTheme="minorEastAsia" w:eastAsiaTheme="minorEastAsia" w:cstheme="minorEastAsia"/>
                <w:szCs w:val="21"/>
              </w:rPr>
            </w:pPr>
            <w:r>
              <w:rPr>
                <w:rFonts w:hint="eastAsia" w:ascii="宋体" w:hAnsi="宋体" w:cs="宋体"/>
                <w:szCs w:val="21"/>
              </w:rPr>
              <w:t>2.“▲”的指标技术偏离为重要参数，出现负偏离每条减3分，共9条；</w:t>
            </w:r>
          </w:p>
          <w:p w14:paraId="3F24241D">
            <w:pPr>
              <w:snapToGrid w:val="0"/>
              <w:spacing w:line="360" w:lineRule="exact"/>
              <w:jc w:val="left"/>
              <w:rPr>
                <w:rFonts w:ascii="宋体" w:hAnsi="宋体" w:cs="宋体"/>
                <w:szCs w:val="21"/>
              </w:rPr>
            </w:pPr>
            <w:r>
              <w:rPr>
                <w:rFonts w:hint="eastAsia" w:ascii="宋体" w:hAnsi="宋体" w:cs="宋体"/>
                <w:szCs w:val="21"/>
              </w:rPr>
              <w:t>3.无标记的指标是一般技术条款，出现负偏离每条减1.5分，共4条；扣完为止。</w:t>
            </w:r>
          </w:p>
          <w:p w14:paraId="688A4745">
            <w:pPr>
              <w:widowControl/>
              <w:spacing w:line="36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本项最高得33分。</w:t>
            </w:r>
          </w:p>
          <w:p w14:paraId="1BDD20FF">
            <w:pPr>
              <w:pStyle w:val="17"/>
              <w:rPr>
                <w:shd w:val="clear" w:color="auto" w:fill="FFFFFF"/>
              </w:rPr>
            </w:pPr>
            <w:r>
              <w:rPr>
                <w:rFonts w:hint="eastAsia" w:asciiTheme="minorEastAsia" w:hAnsiTheme="minorEastAsia" w:eastAsiaTheme="minorEastAsia" w:cstheme="minorEastAsia"/>
                <w:b/>
                <w:bCs/>
                <w:szCs w:val="21"/>
              </w:rPr>
              <w:t>供应商须提供《采购需求偏离表》，如招标文件要求提供相应证明材料的，应在偏离表中注明证明材料所在投标文件的页码位置，如不提供按照负偏离处理。</w:t>
            </w:r>
          </w:p>
        </w:tc>
        <w:tc>
          <w:tcPr>
            <w:tcW w:w="742" w:type="dxa"/>
            <w:noWrap/>
            <w:vAlign w:val="center"/>
          </w:tcPr>
          <w:p w14:paraId="0D47A4F1">
            <w:pPr>
              <w:widowControl/>
              <w:jc w:val="center"/>
              <w:rPr>
                <w:rFonts w:ascii="宋体" w:hAnsi="宋体" w:cs="宋体"/>
                <w:b/>
                <w:kern w:val="0"/>
                <w:szCs w:val="21"/>
              </w:rPr>
            </w:pPr>
            <w:r>
              <w:rPr>
                <w:rFonts w:hint="eastAsia" w:ascii="宋体" w:hAnsi="宋体" w:cs="宋体"/>
                <w:b/>
                <w:kern w:val="0"/>
                <w:szCs w:val="21"/>
              </w:rPr>
              <w:t>33</w:t>
            </w:r>
          </w:p>
        </w:tc>
      </w:tr>
      <w:tr w14:paraId="3D8F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67127B80">
            <w:pPr>
              <w:widowControl/>
              <w:jc w:val="center"/>
              <w:rPr>
                <w:rFonts w:ascii="宋体" w:hAnsi="宋体"/>
                <w:b/>
                <w:bCs/>
              </w:rPr>
            </w:pPr>
            <w:r>
              <w:rPr>
                <w:rFonts w:hint="eastAsia" w:ascii="宋体" w:hAnsi="宋体"/>
                <w:b/>
                <w:bCs/>
              </w:rPr>
              <w:t>3</w:t>
            </w:r>
          </w:p>
        </w:tc>
        <w:tc>
          <w:tcPr>
            <w:tcW w:w="1192" w:type="dxa"/>
            <w:noWrap/>
            <w:vAlign w:val="center"/>
          </w:tcPr>
          <w:p w14:paraId="4B18BEC2">
            <w:pPr>
              <w:jc w:val="center"/>
              <w:rPr>
                <w:rFonts w:ascii="宋体" w:hAnsi="宋体"/>
                <w:b/>
                <w:bCs/>
              </w:rPr>
            </w:pPr>
            <w:r>
              <w:rPr>
                <w:rFonts w:hint="eastAsia" w:ascii="宋体" w:hAnsi="宋体"/>
                <w:b/>
                <w:bCs/>
              </w:rPr>
              <w:t>业绩</w:t>
            </w:r>
          </w:p>
          <w:p w14:paraId="0F5AE97A">
            <w:pPr>
              <w:jc w:val="center"/>
              <w:rPr>
                <w:rFonts w:ascii="宋体" w:hAnsi="宋体"/>
                <w:b/>
                <w:bCs/>
              </w:rPr>
            </w:pPr>
            <w:r>
              <w:rPr>
                <w:rFonts w:hint="eastAsia" w:ascii="宋体" w:hAnsi="宋体"/>
                <w:b/>
                <w:bCs/>
              </w:rPr>
              <w:t>10分</w:t>
            </w:r>
          </w:p>
        </w:tc>
        <w:tc>
          <w:tcPr>
            <w:tcW w:w="6983" w:type="dxa"/>
            <w:noWrap/>
            <w:vAlign w:val="center"/>
          </w:tcPr>
          <w:p w14:paraId="2DBBAE5C">
            <w:pPr>
              <w:widowControl/>
              <w:spacing w:line="360" w:lineRule="exact"/>
              <w:jc w:val="left"/>
              <w:rPr>
                <w:rFonts w:ascii="宋体" w:hAnsi="宋体" w:cs="宋体"/>
                <w:kern w:val="0"/>
                <w:szCs w:val="21"/>
              </w:rPr>
            </w:pPr>
            <w:r>
              <w:rPr>
                <w:rFonts w:hint="eastAsia" w:ascii="宋体" w:hAnsi="宋体" w:cs="宋体"/>
                <w:kern w:val="0"/>
                <w:szCs w:val="21"/>
              </w:rPr>
              <w:t>供应商具有同类产品（采购内容至少包含</w:t>
            </w:r>
            <w:r>
              <w:rPr>
                <w:rFonts w:hint="eastAsia" w:ascii="宋体" w:hAnsi="宋体" w:cs="宋体"/>
                <w:bCs/>
                <w:szCs w:val="21"/>
              </w:rPr>
              <w:t>真空磁控镀膜系统</w:t>
            </w:r>
            <w:r>
              <w:rPr>
                <w:rFonts w:hint="eastAsia" w:ascii="宋体" w:hAnsi="宋体" w:cs="宋体"/>
                <w:kern w:val="0"/>
                <w:szCs w:val="21"/>
              </w:rPr>
              <w:t>）销售业绩，每提供1项得2分，本项满分10分。</w:t>
            </w:r>
          </w:p>
          <w:p w14:paraId="141CCC60">
            <w:pPr>
              <w:widowControl/>
              <w:spacing w:line="360" w:lineRule="exact"/>
              <w:jc w:val="left"/>
              <w:rPr>
                <w:rFonts w:asciiTheme="minorEastAsia" w:hAnsiTheme="minorEastAsia" w:eastAsiaTheme="minorEastAsia" w:cstheme="minorEastAsia"/>
                <w:b/>
                <w:bCs/>
                <w:szCs w:val="21"/>
              </w:rPr>
            </w:pPr>
            <w:r>
              <w:rPr>
                <w:rFonts w:hint="eastAsia"/>
                <w:szCs w:val="21"/>
              </w:rPr>
              <w:t>注：提供合同复印件加盖公章，合同须能体现项目名称、主要标的物，签章清晰可见，否则不得分。</w:t>
            </w:r>
          </w:p>
        </w:tc>
        <w:tc>
          <w:tcPr>
            <w:tcW w:w="742" w:type="dxa"/>
            <w:noWrap/>
            <w:vAlign w:val="center"/>
          </w:tcPr>
          <w:p w14:paraId="2FD94742">
            <w:pPr>
              <w:widowControl/>
              <w:jc w:val="center"/>
              <w:rPr>
                <w:rFonts w:ascii="宋体" w:hAnsi="宋体" w:cs="宋体"/>
                <w:b/>
                <w:kern w:val="0"/>
                <w:szCs w:val="21"/>
              </w:rPr>
            </w:pPr>
            <w:r>
              <w:rPr>
                <w:rFonts w:hint="eastAsia" w:ascii="宋体" w:hAnsi="宋体" w:cs="宋体"/>
                <w:b/>
                <w:kern w:val="0"/>
                <w:szCs w:val="21"/>
              </w:rPr>
              <w:t>10</w:t>
            </w:r>
          </w:p>
        </w:tc>
      </w:tr>
      <w:tr w14:paraId="3CA7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436CEF08">
            <w:pPr>
              <w:widowControl/>
              <w:jc w:val="center"/>
              <w:rPr>
                <w:rFonts w:ascii="宋体" w:hAnsi="宋体"/>
                <w:b/>
                <w:bCs/>
              </w:rPr>
            </w:pPr>
            <w:r>
              <w:rPr>
                <w:rFonts w:hint="eastAsia" w:ascii="宋体" w:hAnsi="宋体"/>
                <w:b/>
                <w:bCs/>
              </w:rPr>
              <w:t>4</w:t>
            </w:r>
          </w:p>
        </w:tc>
        <w:tc>
          <w:tcPr>
            <w:tcW w:w="1192" w:type="dxa"/>
            <w:noWrap/>
            <w:vAlign w:val="center"/>
          </w:tcPr>
          <w:p w14:paraId="451AEFEE">
            <w:pPr>
              <w:jc w:val="center"/>
              <w:rPr>
                <w:rFonts w:ascii="宋体" w:hAnsi="宋体"/>
                <w:b/>
                <w:bCs/>
              </w:rPr>
            </w:pPr>
            <w:r>
              <w:rPr>
                <w:rFonts w:hint="eastAsia" w:ascii="宋体" w:hAnsi="宋体"/>
                <w:b/>
                <w:bCs/>
              </w:rPr>
              <w:t>质保期</w:t>
            </w:r>
          </w:p>
          <w:p w14:paraId="35735820">
            <w:pPr>
              <w:jc w:val="center"/>
              <w:rPr>
                <w:rFonts w:ascii="宋体" w:hAnsi="宋体"/>
                <w:b/>
                <w:bCs/>
              </w:rPr>
            </w:pPr>
            <w:r>
              <w:rPr>
                <w:rFonts w:hint="eastAsia" w:ascii="宋体" w:hAnsi="宋体"/>
                <w:b/>
                <w:bCs/>
              </w:rPr>
              <w:t>3分</w:t>
            </w:r>
          </w:p>
        </w:tc>
        <w:tc>
          <w:tcPr>
            <w:tcW w:w="6983" w:type="dxa"/>
            <w:noWrap/>
            <w:vAlign w:val="center"/>
          </w:tcPr>
          <w:p w14:paraId="25089539">
            <w:pPr>
              <w:widowControl/>
              <w:spacing w:line="360" w:lineRule="exact"/>
              <w:jc w:val="left"/>
              <w:rPr>
                <w:szCs w:val="21"/>
              </w:rPr>
            </w:pPr>
            <w:r>
              <w:rPr>
                <w:rFonts w:hint="eastAsia"/>
                <w:szCs w:val="21"/>
              </w:rPr>
              <w:t>投标产品满足招标文件免费质保期（1年）要求不得分，在此基础上免费质保每增加1年加1分，最高得3分。</w:t>
            </w:r>
          </w:p>
          <w:p w14:paraId="55517E21">
            <w:pPr>
              <w:widowControl/>
              <w:spacing w:line="360" w:lineRule="exact"/>
              <w:jc w:val="left"/>
              <w:rPr>
                <w:szCs w:val="21"/>
              </w:rPr>
            </w:pPr>
            <w:r>
              <w:rPr>
                <w:rFonts w:hint="eastAsia"/>
                <w:szCs w:val="21"/>
              </w:rPr>
              <w:t>注：须提供承诺书加盖公章，格式自拟。</w:t>
            </w:r>
          </w:p>
        </w:tc>
        <w:tc>
          <w:tcPr>
            <w:tcW w:w="742" w:type="dxa"/>
            <w:noWrap/>
            <w:vAlign w:val="center"/>
          </w:tcPr>
          <w:p w14:paraId="32608A56">
            <w:pPr>
              <w:widowControl/>
              <w:jc w:val="center"/>
              <w:rPr>
                <w:rFonts w:ascii="宋体" w:hAnsi="宋体" w:cs="宋体"/>
                <w:b/>
                <w:kern w:val="0"/>
                <w:szCs w:val="21"/>
              </w:rPr>
            </w:pPr>
            <w:r>
              <w:rPr>
                <w:rFonts w:hint="eastAsia" w:ascii="宋体" w:hAnsi="宋体" w:cs="宋体"/>
                <w:b/>
                <w:kern w:val="0"/>
                <w:szCs w:val="21"/>
              </w:rPr>
              <w:t>3</w:t>
            </w:r>
          </w:p>
        </w:tc>
      </w:tr>
      <w:tr w14:paraId="6806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3" w:type="dxa"/>
            <w:noWrap/>
            <w:vAlign w:val="center"/>
          </w:tcPr>
          <w:p w14:paraId="0CFB334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5.1</w:t>
            </w:r>
          </w:p>
        </w:tc>
        <w:tc>
          <w:tcPr>
            <w:tcW w:w="1192" w:type="dxa"/>
            <w:vMerge w:val="restart"/>
            <w:noWrap/>
            <w:vAlign w:val="center"/>
          </w:tcPr>
          <w:p w14:paraId="1BEA6077">
            <w:pPr>
              <w:widowControl/>
              <w:spacing w:line="360" w:lineRule="auto"/>
              <w:jc w:val="center"/>
              <w:rPr>
                <w:rFonts w:ascii="宋体" w:hAnsi="宋体" w:cs="宋体"/>
                <w:b/>
                <w:bCs/>
                <w:kern w:val="0"/>
                <w:szCs w:val="21"/>
              </w:rPr>
            </w:pPr>
            <w:r>
              <w:rPr>
                <w:rFonts w:hint="eastAsia" w:ascii="宋体" w:hAnsi="宋体" w:cs="宋体"/>
                <w:b/>
                <w:bCs/>
                <w:kern w:val="0"/>
                <w:szCs w:val="21"/>
              </w:rPr>
              <w:t>总体方案23分</w:t>
            </w:r>
          </w:p>
          <w:p w14:paraId="098387E1">
            <w:pPr>
              <w:widowControl/>
              <w:spacing w:line="360" w:lineRule="auto"/>
              <w:jc w:val="center"/>
              <w:rPr>
                <w:rFonts w:ascii="宋体" w:hAnsi="宋体" w:cs="宋体"/>
                <w:b/>
                <w:bCs/>
                <w:color w:val="000000" w:themeColor="text1"/>
                <w:kern w:val="0"/>
                <w:szCs w:val="21"/>
                <w14:textFill>
                  <w14:solidFill>
                    <w14:schemeClr w14:val="tx1"/>
                  </w14:solidFill>
                </w14:textFill>
              </w:rPr>
            </w:pPr>
          </w:p>
        </w:tc>
        <w:tc>
          <w:tcPr>
            <w:tcW w:w="6983" w:type="dxa"/>
            <w:noWrap/>
            <w:vAlign w:val="center"/>
          </w:tcPr>
          <w:p w14:paraId="160083A1">
            <w:pPr>
              <w:pStyle w:val="272"/>
              <w:spacing w:line="240" w:lineRule="auto"/>
              <w:ind w:firstLine="0" w:firstLineChars="0"/>
              <w:rPr>
                <w:b/>
                <w:bCs/>
                <w:sz w:val="21"/>
                <w:szCs w:val="21"/>
              </w:rPr>
            </w:pPr>
            <w:r>
              <w:rPr>
                <w:rFonts w:hint="eastAsia"/>
                <w:b/>
                <w:bCs/>
                <w:sz w:val="21"/>
                <w:szCs w:val="21"/>
              </w:rPr>
              <w:t>项目总体实施方案</w:t>
            </w:r>
          </w:p>
          <w:p w14:paraId="2CC67681">
            <w:pPr>
              <w:pStyle w:val="272"/>
              <w:spacing w:line="240" w:lineRule="auto"/>
              <w:ind w:firstLine="0" w:firstLineChars="0"/>
              <w:rPr>
                <w:sz w:val="21"/>
                <w:szCs w:val="21"/>
              </w:rPr>
            </w:pPr>
            <w:r>
              <w:rPr>
                <w:rFonts w:hint="eastAsia"/>
                <w:sz w:val="21"/>
                <w:szCs w:val="21"/>
              </w:rPr>
              <w:t>供应商应根据招标文件要求提供具体详实的项目实施方案：包括：1.项目整体方案；2.实施进度安排；3.质量保障措施；4.风险应对策略。以上每项内容逐条阐述。</w:t>
            </w:r>
          </w:p>
          <w:p w14:paraId="54BD037C">
            <w:pPr>
              <w:pStyle w:val="272"/>
              <w:spacing w:line="240" w:lineRule="auto"/>
              <w:ind w:firstLine="0" w:firstLineChars="0"/>
              <w:rPr>
                <w:sz w:val="21"/>
                <w:szCs w:val="21"/>
              </w:rPr>
            </w:pPr>
            <w:r>
              <w:rPr>
                <w:rFonts w:hint="eastAsia"/>
                <w:sz w:val="21"/>
                <w:szCs w:val="21"/>
              </w:rPr>
              <w:t>1）整体方案贴合招标要求、架构清晰可落地；进度符合工期，关键节点全覆盖，分工、交付物明确，管控可量化；质量贴合标准，含追溯机制；风险识别全面，应对措施可落地、可量化，有完善监测机制；无凭空编造内容得8分；</w:t>
            </w:r>
          </w:p>
          <w:p w14:paraId="723B96F8">
            <w:pPr>
              <w:pStyle w:val="272"/>
              <w:spacing w:line="240" w:lineRule="auto"/>
              <w:ind w:firstLine="0" w:firstLineChars="0"/>
              <w:rPr>
                <w:sz w:val="21"/>
                <w:szCs w:val="21"/>
              </w:rPr>
            </w:pPr>
            <w:r>
              <w:rPr>
                <w:rFonts w:hint="eastAsia"/>
                <w:sz w:val="21"/>
                <w:szCs w:val="21"/>
              </w:rPr>
              <w:t>2）整体方案基本贴合招标要求，架构较清晰，个别非核心模块缺失，简单调整可落地；进度基本符合工期，关键节点覆盖率≥80%，主要分工明确；质量基本贴合标准，管控较具体、可量化；核心风险识别基本全面，应对措施较具体，有基本监测机制得5分；</w:t>
            </w:r>
          </w:p>
          <w:p w14:paraId="731B89A6">
            <w:pPr>
              <w:pStyle w:val="272"/>
              <w:spacing w:line="240" w:lineRule="auto"/>
              <w:ind w:firstLine="0" w:firstLineChars="0"/>
              <w:rPr>
                <w:sz w:val="21"/>
                <w:szCs w:val="21"/>
              </w:rPr>
            </w:pPr>
            <w:r>
              <w:rPr>
                <w:rFonts w:hint="eastAsia"/>
                <w:sz w:val="21"/>
                <w:szCs w:val="21"/>
              </w:rPr>
              <w:t>3）整体方案架构不太清晰，关键模块有部分缺失，需较大调整落地；进度仅细化到阶段，分工、交付物不完善；质量检验标准、管控措施不完善，追溯机制不健全；核心风险有遗漏，分析简单，监测措施简单、无明确预警指标得</w:t>
            </w:r>
            <w:r>
              <w:rPr>
                <w:rFonts w:hint="eastAsia"/>
                <w:sz w:val="21"/>
                <w:szCs w:val="21"/>
                <w:lang w:val="en-US" w:eastAsia="zh-CN"/>
              </w:rPr>
              <w:t>2</w:t>
            </w:r>
            <w:r>
              <w:rPr>
                <w:rFonts w:hint="eastAsia"/>
                <w:sz w:val="21"/>
                <w:szCs w:val="21"/>
              </w:rPr>
              <w:t>分；</w:t>
            </w:r>
          </w:p>
          <w:p w14:paraId="027C9254">
            <w:pPr>
              <w:pStyle w:val="272"/>
              <w:spacing w:line="240" w:lineRule="auto"/>
              <w:ind w:firstLine="0" w:firstLineChars="0"/>
              <w:rPr>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00065F16">
            <w:pPr>
              <w:pStyle w:val="272"/>
              <w:spacing w:line="240" w:lineRule="auto"/>
              <w:ind w:firstLine="0" w:firstLineChars="0"/>
              <w:rPr>
                <w:sz w:val="21"/>
                <w:szCs w:val="21"/>
              </w:rPr>
            </w:pPr>
            <w:r>
              <w:rPr>
                <w:rFonts w:hint="eastAsia"/>
                <w:sz w:val="21"/>
                <w:szCs w:val="21"/>
              </w:rPr>
              <w:t>5）未提供的不得分。</w:t>
            </w:r>
          </w:p>
        </w:tc>
        <w:tc>
          <w:tcPr>
            <w:tcW w:w="742" w:type="dxa"/>
            <w:noWrap/>
            <w:vAlign w:val="center"/>
          </w:tcPr>
          <w:p w14:paraId="0F7A75D0">
            <w:pPr>
              <w:jc w:val="center"/>
              <w:rPr>
                <w:rFonts w:ascii="宋体" w:hAnsi="宋体" w:cs="宋体"/>
                <w:b/>
                <w:bCs/>
                <w:kern w:val="0"/>
                <w:szCs w:val="21"/>
              </w:rPr>
            </w:pPr>
            <w:r>
              <w:rPr>
                <w:rFonts w:hint="eastAsia" w:ascii="宋体" w:hAnsi="宋体" w:cs="宋体"/>
                <w:b/>
                <w:bCs/>
                <w:kern w:val="0"/>
                <w:szCs w:val="21"/>
              </w:rPr>
              <w:t>8</w:t>
            </w:r>
          </w:p>
        </w:tc>
      </w:tr>
      <w:tr w14:paraId="6D2B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3" w:type="dxa"/>
            <w:noWrap/>
            <w:vAlign w:val="center"/>
          </w:tcPr>
          <w:p w14:paraId="55D5EE88">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5.2</w:t>
            </w:r>
          </w:p>
        </w:tc>
        <w:tc>
          <w:tcPr>
            <w:tcW w:w="1192" w:type="dxa"/>
            <w:vMerge w:val="continue"/>
            <w:noWrap/>
            <w:vAlign w:val="center"/>
          </w:tcPr>
          <w:p w14:paraId="0B2CC1A8">
            <w:pPr>
              <w:widowControl/>
              <w:spacing w:line="360" w:lineRule="auto"/>
              <w:jc w:val="left"/>
              <w:rPr>
                <w:rFonts w:ascii="宋体" w:hAnsi="宋体" w:cs="宋体"/>
                <w:b/>
                <w:bCs/>
                <w:color w:val="000000" w:themeColor="text1"/>
                <w:kern w:val="0"/>
                <w:szCs w:val="21"/>
                <w14:textFill>
                  <w14:solidFill>
                    <w14:schemeClr w14:val="tx1"/>
                  </w14:solidFill>
                </w14:textFill>
              </w:rPr>
            </w:pPr>
          </w:p>
        </w:tc>
        <w:tc>
          <w:tcPr>
            <w:tcW w:w="6983" w:type="dxa"/>
            <w:noWrap/>
            <w:vAlign w:val="center"/>
          </w:tcPr>
          <w:p w14:paraId="4F0E133C">
            <w:pPr>
              <w:pStyle w:val="272"/>
              <w:spacing w:line="240" w:lineRule="auto"/>
              <w:ind w:firstLine="0" w:firstLineChars="0"/>
              <w:rPr>
                <w:b/>
                <w:bCs/>
                <w:sz w:val="21"/>
                <w:szCs w:val="21"/>
              </w:rPr>
            </w:pPr>
            <w:r>
              <w:rPr>
                <w:rFonts w:hint="eastAsia"/>
                <w:b/>
                <w:bCs/>
                <w:sz w:val="21"/>
                <w:szCs w:val="21"/>
              </w:rPr>
              <w:t>培训方案</w:t>
            </w:r>
          </w:p>
          <w:p w14:paraId="6A04D064">
            <w:pPr>
              <w:pStyle w:val="272"/>
              <w:spacing w:line="240" w:lineRule="auto"/>
              <w:ind w:firstLine="0" w:firstLineChars="0"/>
              <w:rPr>
                <w:sz w:val="21"/>
                <w:szCs w:val="21"/>
              </w:rPr>
            </w:pPr>
            <w:r>
              <w:rPr>
                <w:rFonts w:hint="eastAsia"/>
                <w:sz w:val="21"/>
                <w:szCs w:val="21"/>
              </w:rPr>
              <w:t>供应商应根据招标文件要求提供具体详实的项目培训方案：包括：1.培训计划；2.培训内容；3.定制化服务。以上每项内容逐条阐述。</w:t>
            </w:r>
          </w:p>
          <w:p w14:paraId="55BB863C">
            <w:pPr>
              <w:pStyle w:val="272"/>
              <w:spacing w:line="240" w:lineRule="auto"/>
              <w:ind w:firstLine="0" w:firstLineChars="0"/>
              <w:rPr>
                <w:sz w:val="21"/>
                <w:szCs w:val="21"/>
              </w:rPr>
            </w:pPr>
            <w:r>
              <w:rPr>
                <w:rFonts w:hint="eastAsia"/>
                <w:sz w:val="21"/>
                <w:szCs w:val="21"/>
              </w:rPr>
              <w:t>1）培训计划：培训时间、人员、频次、考核标准明确，贴合招标文件要求，可落地；培训内容详实，覆盖项目全流程，贴合项目实际需求，针对性极强，可根据项目特点、需求差异，提供个性化定制培训及后续支撑的得8分；</w:t>
            </w:r>
          </w:p>
          <w:p w14:paraId="161999F2">
            <w:pPr>
              <w:pStyle w:val="272"/>
              <w:spacing w:line="240" w:lineRule="auto"/>
              <w:ind w:firstLine="0" w:firstLineChars="0"/>
              <w:rPr>
                <w:sz w:val="21"/>
                <w:szCs w:val="21"/>
              </w:rPr>
            </w:pPr>
            <w:r>
              <w:rPr>
                <w:rFonts w:hint="eastAsia"/>
                <w:color w:val="000000"/>
                <w:sz w:val="21"/>
                <w:szCs w:val="21"/>
              </w:rPr>
              <w:t>2）</w:t>
            </w:r>
            <w:r>
              <w:rPr>
                <w:rFonts w:hint="eastAsia"/>
                <w:sz w:val="21"/>
                <w:szCs w:val="21"/>
              </w:rPr>
              <w:t>培训计划：</w:t>
            </w:r>
            <w:r>
              <w:rPr>
                <w:rFonts w:hint="eastAsia"/>
                <w:color w:val="000000"/>
                <w:sz w:val="21"/>
                <w:szCs w:val="21"/>
              </w:rPr>
              <w:t>有基本培训时间及人员安排，考核标准较简单，基本符合要求。</w:t>
            </w:r>
            <w:r>
              <w:rPr>
                <w:rFonts w:hint="eastAsia"/>
                <w:sz w:val="21"/>
                <w:szCs w:val="21"/>
              </w:rPr>
              <w:t>培训内容</w:t>
            </w:r>
            <w:r>
              <w:rPr>
                <w:rFonts w:hint="eastAsia"/>
                <w:color w:val="000000"/>
                <w:sz w:val="21"/>
                <w:szCs w:val="21"/>
              </w:rPr>
              <w:t>基本完整，覆盖核心模块，针对性一般，可满足基础需求。可提供简单定制服务，能基本适配项目部分个性化需求</w:t>
            </w:r>
            <w:r>
              <w:rPr>
                <w:rFonts w:hint="eastAsia"/>
                <w:sz w:val="21"/>
                <w:szCs w:val="21"/>
              </w:rPr>
              <w:t>得5分；</w:t>
            </w:r>
          </w:p>
          <w:p w14:paraId="6F338CD6">
            <w:pPr>
              <w:pStyle w:val="272"/>
              <w:spacing w:line="240" w:lineRule="auto"/>
              <w:ind w:firstLine="0" w:firstLineChars="0"/>
              <w:rPr>
                <w:sz w:val="21"/>
                <w:szCs w:val="21"/>
              </w:rPr>
            </w:pPr>
            <w:r>
              <w:rPr>
                <w:rFonts w:hint="eastAsia"/>
                <w:sz w:val="21"/>
                <w:szCs w:val="21"/>
              </w:rPr>
              <w:t>3）培训计划：仅提供简单培训框架，无具体时间、人员及考核安排。培训内容简略，仅提及基础知识点，无针对性，无法满足项目需求。无定制化服务，仅提供统一标准化培训，无法适配个性化需求得2分；</w:t>
            </w:r>
          </w:p>
          <w:p w14:paraId="27AEE93A">
            <w:pPr>
              <w:pStyle w:val="272"/>
              <w:spacing w:line="240" w:lineRule="auto"/>
              <w:ind w:firstLine="0" w:firstLineChars="0"/>
              <w:rPr>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7C3616BB">
            <w:pPr>
              <w:pStyle w:val="272"/>
              <w:spacing w:line="240" w:lineRule="auto"/>
              <w:ind w:firstLine="0" w:firstLineChars="0"/>
              <w:rPr>
                <w:sz w:val="21"/>
                <w:szCs w:val="21"/>
              </w:rPr>
            </w:pPr>
            <w:r>
              <w:rPr>
                <w:rFonts w:hint="eastAsia"/>
                <w:sz w:val="21"/>
                <w:szCs w:val="21"/>
              </w:rPr>
              <w:t>5）未提供的不得分。</w:t>
            </w:r>
          </w:p>
        </w:tc>
        <w:tc>
          <w:tcPr>
            <w:tcW w:w="742" w:type="dxa"/>
            <w:noWrap/>
            <w:vAlign w:val="center"/>
          </w:tcPr>
          <w:p w14:paraId="4212FAC5">
            <w:pPr>
              <w:jc w:val="center"/>
              <w:rPr>
                <w:rFonts w:ascii="宋体" w:hAnsi="宋体" w:cs="宋体"/>
                <w:b/>
                <w:bCs/>
                <w:kern w:val="0"/>
                <w:szCs w:val="21"/>
              </w:rPr>
            </w:pPr>
            <w:r>
              <w:rPr>
                <w:rFonts w:hint="eastAsia" w:ascii="宋体" w:hAnsi="宋体" w:cs="宋体"/>
                <w:b/>
                <w:bCs/>
                <w:kern w:val="0"/>
                <w:szCs w:val="21"/>
              </w:rPr>
              <w:t>8</w:t>
            </w:r>
          </w:p>
        </w:tc>
      </w:tr>
      <w:tr w14:paraId="3EB3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2D91AEC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5.3</w:t>
            </w:r>
          </w:p>
        </w:tc>
        <w:tc>
          <w:tcPr>
            <w:tcW w:w="1192" w:type="dxa"/>
            <w:vMerge w:val="continue"/>
            <w:noWrap/>
            <w:vAlign w:val="center"/>
          </w:tcPr>
          <w:p w14:paraId="48EA52DE">
            <w:pPr>
              <w:widowControl/>
              <w:spacing w:line="360" w:lineRule="auto"/>
              <w:jc w:val="left"/>
              <w:rPr>
                <w:rFonts w:ascii="宋体" w:hAnsi="宋体" w:cs="宋体"/>
                <w:b/>
                <w:bCs/>
                <w:color w:val="000000" w:themeColor="text1"/>
                <w:kern w:val="0"/>
                <w:szCs w:val="21"/>
                <w14:textFill>
                  <w14:solidFill>
                    <w14:schemeClr w14:val="tx1"/>
                  </w14:solidFill>
                </w14:textFill>
              </w:rPr>
            </w:pPr>
          </w:p>
        </w:tc>
        <w:tc>
          <w:tcPr>
            <w:tcW w:w="6983" w:type="dxa"/>
            <w:noWrap/>
            <w:vAlign w:val="center"/>
          </w:tcPr>
          <w:p w14:paraId="6079FB4B">
            <w:pPr>
              <w:pStyle w:val="272"/>
              <w:spacing w:line="240" w:lineRule="auto"/>
              <w:ind w:firstLine="0" w:firstLineChars="0"/>
              <w:rPr>
                <w:b/>
                <w:bCs/>
                <w:sz w:val="21"/>
                <w:szCs w:val="21"/>
              </w:rPr>
            </w:pPr>
            <w:r>
              <w:rPr>
                <w:rFonts w:hint="eastAsia"/>
                <w:b/>
                <w:bCs/>
                <w:sz w:val="21"/>
                <w:szCs w:val="21"/>
              </w:rPr>
              <w:t>售后服务方案</w:t>
            </w:r>
          </w:p>
          <w:p w14:paraId="42AA549F">
            <w:pPr>
              <w:pStyle w:val="272"/>
              <w:spacing w:line="240" w:lineRule="auto"/>
              <w:ind w:firstLine="0" w:firstLineChars="0"/>
              <w:rPr>
                <w:sz w:val="21"/>
                <w:szCs w:val="21"/>
              </w:rPr>
            </w:pPr>
            <w:r>
              <w:rPr>
                <w:rFonts w:hint="eastAsia"/>
                <w:sz w:val="21"/>
                <w:szCs w:val="21"/>
              </w:rPr>
              <w:t>供应商应根据招标文件要求提供具体详实的售后服务方案：包括：1.售后服务响应时间；2.售后服务体系；3.故障解决方案；4.人员保障方案。以上每项内容逐条阐述。</w:t>
            </w:r>
          </w:p>
          <w:p w14:paraId="1B7D3294">
            <w:pPr>
              <w:pStyle w:val="272"/>
              <w:spacing w:line="240" w:lineRule="auto"/>
              <w:ind w:firstLine="0" w:firstLineChars="0"/>
              <w:rPr>
                <w:sz w:val="21"/>
                <w:szCs w:val="21"/>
              </w:rPr>
            </w:pPr>
            <w:r>
              <w:rPr>
                <w:rFonts w:hint="eastAsia"/>
                <w:sz w:val="21"/>
                <w:szCs w:val="21"/>
              </w:rPr>
              <w:t>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7分；</w:t>
            </w:r>
          </w:p>
          <w:p w14:paraId="2D0A10F0">
            <w:pPr>
              <w:pStyle w:val="272"/>
              <w:spacing w:line="240" w:lineRule="auto"/>
              <w:ind w:firstLine="0" w:firstLineChars="0"/>
              <w:rPr>
                <w:color w:val="000000"/>
                <w:sz w:val="21"/>
                <w:szCs w:val="21"/>
              </w:rPr>
            </w:pPr>
            <w:r>
              <w:rPr>
                <w:rFonts w:hint="eastAsia"/>
                <w:color w:val="000000"/>
                <w:sz w:val="21"/>
                <w:szCs w:val="21"/>
              </w:rPr>
              <w:t>2）</w:t>
            </w:r>
            <w:r>
              <w:rPr>
                <w:rFonts w:hint="eastAsia"/>
                <w:sz w:val="21"/>
                <w:szCs w:val="21"/>
              </w:rPr>
              <w:t>售后</w:t>
            </w:r>
            <w:r>
              <w:rPr>
                <w:rFonts w:hint="eastAsia"/>
                <w:color w:val="000000"/>
                <w:sz w:val="21"/>
                <w:szCs w:val="21"/>
              </w:rPr>
              <w:t>有明确响应时间，基本符合要求，响应效率基本可行；</w:t>
            </w:r>
            <w:r>
              <w:rPr>
                <w:rFonts w:hint="eastAsia"/>
                <w:sz w:val="21"/>
                <w:szCs w:val="21"/>
              </w:rPr>
              <w:t>售后</w:t>
            </w:r>
            <w:r>
              <w:rPr>
                <w:rFonts w:hint="eastAsia"/>
                <w:color w:val="000000"/>
                <w:sz w:val="21"/>
                <w:szCs w:val="21"/>
              </w:rPr>
              <w:t>体系基本完整，有基础分工，流程较简单。有基础解决方案，可处理常见故障，效率一般。有基础保障人员，人员专业配置基本满足需求</w:t>
            </w:r>
            <w:r>
              <w:rPr>
                <w:rFonts w:hint="eastAsia"/>
                <w:sz w:val="21"/>
                <w:szCs w:val="21"/>
              </w:rPr>
              <w:t>的得5分；</w:t>
            </w:r>
          </w:p>
          <w:p w14:paraId="7638915D">
            <w:pPr>
              <w:pStyle w:val="272"/>
              <w:spacing w:line="240" w:lineRule="auto"/>
              <w:ind w:firstLine="0" w:firstLineChars="0"/>
              <w:rPr>
                <w:color w:val="000000"/>
                <w:sz w:val="21"/>
                <w:szCs w:val="21"/>
              </w:rPr>
            </w:pPr>
            <w:r>
              <w:rPr>
                <w:rFonts w:hint="eastAsia"/>
                <w:color w:val="000000"/>
                <w:sz w:val="21"/>
                <w:szCs w:val="21"/>
              </w:rPr>
              <w:t>3）</w:t>
            </w:r>
            <w:r>
              <w:rPr>
                <w:rFonts w:hint="eastAsia"/>
                <w:sz w:val="21"/>
                <w:szCs w:val="21"/>
              </w:rPr>
              <w:t>售后</w:t>
            </w:r>
            <w:r>
              <w:rPr>
                <w:rFonts w:hint="eastAsia"/>
                <w:color w:val="000000"/>
                <w:sz w:val="21"/>
                <w:szCs w:val="21"/>
              </w:rPr>
              <w:t>响应不及时，无法满足基础诉求；</w:t>
            </w:r>
            <w:r>
              <w:rPr>
                <w:rFonts w:hint="eastAsia"/>
                <w:sz w:val="21"/>
                <w:szCs w:val="21"/>
              </w:rPr>
              <w:t>售后服务</w:t>
            </w:r>
            <w:r>
              <w:rPr>
                <w:rFonts w:hint="eastAsia"/>
                <w:color w:val="000000"/>
                <w:sz w:val="21"/>
                <w:szCs w:val="21"/>
              </w:rPr>
              <w:t>无完整体系，分工模糊，无规范服务流程；</w:t>
            </w:r>
            <w:r>
              <w:rPr>
                <w:rFonts w:hint="eastAsia"/>
                <w:sz w:val="21"/>
                <w:szCs w:val="21"/>
              </w:rPr>
              <w:t>故障解决方案</w:t>
            </w:r>
            <w:r>
              <w:rPr>
                <w:rFonts w:hint="eastAsia"/>
                <w:color w:val="000000"/>
                <w:sz w:val="21"/>
                <w:szCs w:val="21"/>
              </w:rPr>
              <w:t>方案简略，无法应对复杂故障，解决效率低下；专业保障人员配置不足得2分；</w:t>
            </w:r>
          </w:p>
          <w:p w14:paraId="732D963E">
            <w:pPr>
              <w:pStyle w:val="272"/>
              <w:spacing w:line="240" w:lineRule="auto"/>
              <w:ind w:firstLine="0" w:firstLineChars="0"/>
              <w:rPr>
                <w:sz w:val="21"/>
                <w:szCs w:val="21"/>
              </w:rPr>
            </w:pPr>
            <w:r>
              <w:rPr>
                <w:rFonts w:hint="eastAsia"/>
                <w:color w:val="000000"/>
                <w:sz w:val="21"/>
                <w:szCs w:val="21"/>
              </w:rPr>
              <w:t>4）</w:t>
            </w:r>
            <w:r>
              <w:rPr>
                <w:rFonts w:hint="eastAsia"/>
                <w:sz w:val="21"/>
                <w:szCs w:val="21"/>
              </w:rPr>
              <w:t>有缺陷（缺陷是指：存在不适用项目实际情况的情形、凭空编造、方案中内容前后不一致、前后逻辑错误、涉及的规范及标准错误、不符合项目实际情况等）得1分；</w:t>
            </w:r>
          </w:p>
          <w:p w14:paraId="36E9B34C">
            <w:pPr>
              <w:pStyle w:val="272"/>
              <w:spacing w:line="240" w:lineRule="auto"/>
              <w:ind w:firstLine="0" w:firstLineChars="0"/>
              <w:rPr>
                <w:sz w:val="21"/>
                <w:szCs w:val="21"/>
              </w:rPr>
            </w:pPr>
            <w:r>
              <w:rPr>
                <w:rFonts w:hint="eastAsia"/>
                <w:sz w:val="21"/>
                <w:szCs w:val="21"/>
              </w:rPr>
              <w:t>5）未提供的不得分。</w:t>
            </w:r>
          </w:p>
        </w:tc>
        <w:tc>
          <w:tcPr>
            <w:tcW w:w="742" w:type="dxa"/>
            <w:noWrap/>
            <w:vAlign w:val="center"/>
          </w:tcPr>
          <w:p w14:paraId="3E903E4E">
            <w:pPr>
              <w:jc w:val="center"/>
              <w:rPr>
                <w:rFonts w:ascii="宋体" w:hAnsi="宋体" w:cs="宋体"/>
                <w:color w:val="000000" w:themeColor="text1"/>
                <w:kern w:val="0"/>
                <w:szCs w:val="21"/>
                <w14:textFill>
                  <w14:solidFill>
                    <w14:schemeClr w14:val="tx1"/>
                  </w14:solidFill>
                </w14:textFill>
              </w:rPr>
            </w:pPr>
            <w:r>
              <w:rPr>
                <w:rFonts w:hint="eastAsia" w:ascii="宋体" w:hAnsi="宋体" w:cs="宋体"/>
                <w:b/>
                <w:bCs/>
                <w:kern w:val="0"/>
                <w:szCs w:val="21"/>
              </w:rPr>
              <w:t>7</w:t>
            </w:r>
          </w:p>
        </w:tc>
      </w:tr>
      <w:tr w14:paraId="7901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75E24721">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6</w:t>
            </w:r>
          </w:p>
        </w:tc>
        <w:tc>
          <w:tcPr>
            <w:tcW w:w="1192" w:type="dxa"/>
            <w:noWrap/>
            <w:vAlign w:val="center"/>
          </w:tcPr>
          <w:p w14:paraId="04CFB939">
            <w:pPr>
              <w:widowControl/>
              <w:spacing w:line="360" w:lineRule="auto"/>
              <w:jc w:val="left"/>
              <w:rPr>
                <w:rFonts w:ascii="宋体" w:hAnsi="宋体" w:cs="宋体"/>
                <w:b/>
                <w:bCs/>
                <w:kern w:val="0"/>
                <w:szCs w:val="21"/>
              </w:rPr>
            </w:pPr>
            <w:r>
              <w:rPr>
                <w:rFonts w:hint="eastAsia" w:ascii="宋体" w:hAnsi="宋体" w:cs="宋体"/>
                <w:b/>
                <w:bCs/>
                <w:kern w:val="0"/>
                <w:szCs w:val="21"/>
              </w:rPr>
              <w:t>节能环保</w:t>
            </w:r>
          </w:p>
          <w:p w14:paraId="3001797A">
            <w:pPr>
              <w:widowControl/>
              <w:spacing w:line="360" w:lineRule="auto"/>
              <w:jc w:val="center"/>
              <w:rPr>
                <w:rFonts w:ascii="宋体" w:hAnsi="宋体" w:cs="宋体"/>
                <w:b/>
                <w:bCs/>
                <w:kern w:val="0"/>
                <w:szCs w:val="21"/>
              </w:rPr>
            </w:pPr>
            <w:r>
              <w:rPr>
                <w:rFonts w:hint="eastAsia" w:ascii="宋体" w:hAnsi="宋体" w:cs="宋体"/>
                <w:b/>
                <w:bCs/>
                <w:kern w:val="0"/>
                <w:szCs w:val="21"/>
              </w:rPr>
              <w:t>1分</w:t>
            </w:r>
          </w:p>
        </w:tc>
        <w:tc>
          <w:tcPr>
            <w:tcW w:w="6983" w:type="dxa"/>
            <w:noWrap/>
            <w:vAlign w:val="center"/>
          </w:tcPr>
          <w:p w14:paraId="439E18E2">
            <w:pPr>
              <w:pStyle w:val="272"/>
              <w:spacing w:line="240" w:lineRule="auto"/>
              <w:ind w:firstLine="0" w:firstLineChars="0"/>
              <w:rPr>
                <w:sz w:val="21"/>
                <w:szCs w:val="21"/>
              </w:rPr>
            </w:pPr>
            <w:r>
              <w:rPr>
                <w:rFonts w:hint="eastAsia"/>
                <w:sz w:val="21"/>
                <w:szCs w:val="21"/>
              </w:rPr>
              <w:t>6.1投标产品属于财政部、国家发改委公布的“节能产品品目清单”范围内的，投标人提供国家确定的认证机构出具的、处于有效期之内的该节能产品认证证书复印件的，有1个得0.5分，最多得0.5分。</w:t>
            </w:r>
            <w:r>
              <w:rPr>
                <w:rFonts w:hint="eastAsia"/>
                <w:b/>
                <w:bCs/>
                <w:sz w:val="21"/>
                <w:szCs w:val="21"/>
              </w:rPr>
              <w:t>如投标产品均属于政府强制采购节能产品品目清单范围内，本项不得分。</w:t>
            </w:r>
          </w:p>
          <w:p w14:paraId="232D6E98">
            <w:pPr>
              <w:pStyle w:val="272"/>
              <w:spacing w:line="240" w:lineRule="auto"/>
              <w:ind w:firstLine="0" w:firstLineChars="0"/>
              <w:rPr>
                <w:sz w:val="21"/>
                <w:szCs w:val="21"/>
              </w:rPr>
            </w:pPr>
            <w:r>
              <w:rPr>
                <w:rFonts w:hint="eastAsia"/>
                <w:sz w:val="21"/>
                <w:szCs w:val="21"/>
              </w:rPr>
              <w:t>6.2投标产品属于财政部、生态环境部公布的“环境标志产品品目清单”范围内的，投标人提供国家确定的认证机构出具的、处于有效期内的该环保产品认证证书复印件的，有1个得0.5分，最多得0.5分。</w:t>
            </w:r>
          </w:p>
        </w:tc>
        <w:tc>
          <w:tcPr>
            <w:tcW w:w="742" w:type="dxa"/>
            <w:noWrap/>
            <w:vAlign w:val="center"/>
          </w:tcPr>
          <w:p w14:paraId="20F8848D">
            <w:pPr>
              <w:jc w:val="center"/>
              <w:rPr>
                <w:rFonts w:ascii="宋体" w:hAnsi="宋体" w:cs="宋体"/>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1</w:t>
            </w:r>
          </w:p>
        </w:tc>
      </w:tr>
      <w:tr w14:paraId="1334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53" w:type="dxa"/>
            <w:noWrap/>
            <w:vAlign w:val="center"/>
          </w:tcPr>
          <w:p w14:paraId="59CA0FA8">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7</w:t>
            </w:r>
          </w:p>
        </w:tc>
        <w:tc>
          <w:tcPr>
            <w:tcW w:w="1192" w:type="dxa"/>
            <w:noWrap/>
            <w:vAlign w:val="center"/>
          </w:tcPr>
          <w:p w14:paraId="37C784F6">
            <w:pPr>
              <w:widowControl/>
              <w:spacing w:line="360" w:lineRule="auto"/>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合计</w:t>
            </w:r>
          </w:p>
        </w:tc>
        <w:tc>
          <w:tcPr>
            <w:tcW w:w="6983" w:type="dxa"/>
            <w:noWrap/>
            <w:vAlign w:val="center"/>
          </w:tcPr>
          <w:p w14:paraId="7C449E8A">
            <w:pPr>
              <w:autoSpaceDE w:val="0"/>
              <w:autoSpaceDN w:val="0"/>
              <w:adjustRightInd w:val="0"/>
              <w:rPr>
                <w:rFonts w:ascii="宋体" w:hAnsi="宋体" w:cs="宋体"/>
                <w:kern w:val="0"/>
                <w:szCs w:val="21"/>
              </w:rPr>
            </w:pPr>
          </w:p>
        </w:tc>
        <w:tc>
          <w:tcPr>
            <w:tcW w:w="742" w:type="dxa"/>
            <w:noWrap/>
            <w:vAlign w:val="center"/>
          </w:tcPr>
          <w:p w14:paraId="6F8317C7">
            <w:pPr>
              <w:widowControl/>
              <w:jc w:val="center"/>
              <w:rPr>
                <w:rFonts w:ascii="宋体" w:hAnsi="宋体" w:cs="宋体"/>
                <w:b/>
                <w:kern w:val="0"/>
                <w:szCs w:val="21"/>
              </w:rPr>
            </w:pPr>
            <w:r>
              <w:rPr>
                <w:rFonts w:hint="eastAsia" w:ascii="宋体" w:hAnsi="宋体" w:cs="宋体"/>
                <w:b/>
                <w:kern w:val="0"/>
                <w:szCs w:val="21"/>
              </w:rPr>
              <w:t>100</w:t>
            </w:r>
          </w:p>
        </w:tc>
      </w:tr>
    </w:tbl>
    <w:p w14:paraId="5496E950">
      <w:pPr>
        <w:spacing w:line="360" w:lineRule="auto"/>
        <w:ind w:firstLine="420" w:firstLineChars="200"/>
        <w:rPr>
          <w:rFonts w:ascii="宋体" w:hAnsi="宋体" w:cs="宋体"/>
        </w:rPr>
      </w:pPr>
    </w:p>
    <w:p w14:paraId="3C81845E">
      <w:pPr>
        <w:spacing w:line="360" w:lineRule="auto"/>
        <w:ind w:firstLine="440" w:firstLineChars="200"/>
        <w:rPr>
          <w:rFonts w:ascii="宋体" w:hAnsi="宋体" w:cs="宋体"/>
          <w:bCs/>
          <w:sz w:val="22"/>
          <w:szCs w:val="28"/>
        </w:rPr>
      </w:pPr>
      <w:r>
        <w:rPr>
          <w:rFonts w:hint="eastAsia" w:ascii="宋体" w:hAnsi="宋体" w:cs="宋体"/>
          <w:bCs/>
          <w:sz w:val="22"/>
          <w:szCs w:val="28"/>
        </w:rPr>
        <w:t>说明：1.所有认证、证明和业绩均以有效清晰的证明文件的复印件为依据，原件备查。</w:t>
      </w:r>
    </w:p>
    <w:p w14:paraId="4FBFEFFA">
      <w:pPr>
        <w:spacing w:line="360" w:lineRule="auto"/>
        <w:ind w:firstLine="440" w:firstLineChars="200"/>
        <w:rPr>
          <w:rFonts w:ascii="宋体" w:hAnsi="宋体" w:cs="宋体"/>
          <w:bCs/>
          <w:sz w:val="22"/>
          <w:szCs w:val="28"/>
        </w:rPr>
      </w:pPr>
      <w:r>
        <w:rPr>
          <w:rFonts w:hint="eastAsia" w:ascii="宋体" w:hAnsi="宋体" w:cs="宋体"/>
          <w:bCs/>
          <w:sz w:val="22"/>
          <w:szCs w:val="28"/>
        </w:rPr>
        <w:t>2.小微企业价格扣除</w:t>
      </w:r>
    </w:p>
    <w:p w14:paraId="11661DE5">
      <w:pPr>
        <w:spacing w:line="360" w:lineRule="auto"/>
        <w:ind w:firstLine="440" w:firstLineChars="200"/>
        <w:rPr>
          <w:rFonts w:ascii="宋体" w:hAnsi="宋体" w:cs="宋体"/>
          <w:bCs/>
        </w:rPr>
      </w:pPr>
      <w:r>
        <w:rPr>
          <w:rFonts w:hint="eastAsia" w:ascii="宋体" w:hAnsi="宋体" w:cs="宋体"/>
          <w:bCs/>
          <w:sz w:val="22"/>
          <w:szCs w:val="28"/>
        </w:rPr>
        <w:t>2.1对于专门面向中小企业或小型、微型企业的项目，只面向中小企业或小型、微型企业采购。对于非专门面向中小企业的项目，对小型和微型企业的价格给予10%的扣除，用扣除后的价格参与评审。</w:t>
      </w:r>
    </w:p>
    <w:p w14:paraId="15958607">
      <w:pPr>
        <w:spacing w:line="360" w:lineRule="auto"/>
        <w:ind w:firstLine="440" w:firstLineChars="200"/>
        <w:rPr>
          <w:rFonts w:ascii="宋体" w:hAnsi="宋体" w:cs="宋体"/>
          <w:bCs/>
          <w:sz w:val="22"/>
          <w:szCs w:val="28"/>
        </w:rPr>
      </w:pPr>
      <w:r>
        <w:rPr>
          <w:rFonts w:hint="eastAsia" w:ascii="宋体" w:hAnsi="宋体" w:cs="宋体"/>
          <w:bCs/>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44377FC">
      <w:pPr>
        <w:spacing w:line="360" w:lineRule="auto"/>
        <w:ind w:firstLine="440" w:firstLineChars="200"/>
        <w:rPr>
          <w:rFonts w:ascii="宋体" w:hAnsi="宋体" w:cs="宋体"/>
          <w:bCs/>
          <w:sz w:val="22"/>
          <w:szCs w:val="28"/>
        </w:rPr>
      </w:pPr>
      <w:r>
        <w:rPr>
          <w:rFonts w:hint="eastAsia" w:ascii="宋体" w:hAnsi="宋体" w:cs="宋体"/>
          <w:bCs/>
          <w:sz w:val="22"/>
          <w:szCs w:val="28"/>
        </w:rPr>
        <w:t>3.监狱和戒毒企业的价格扣除</w:t>
      </w:r>
    </w:p>
    <w:p w14:paraId="4B5ED64A">
      <w:pPr>
        <w:spacing w:line="360" w:lineRule="auto"/>
        <w:ind w:firstLine="440" w:firstLineChars="200"/>
        <w:rPr>
          <w:rFonts w:ascii="宋体" w:hAnsi="宋体" w:cs="宋体"/>
          <w:bCs/>
          <w:sz w:val="22"/>
          <w:szCs w:val="28"/>
        </w:rPr>
      </w:pPr>
      <w:r>
        <w:rPr>
          <w:rFonts w:hint="eastAsia" w:ascii="宋体" w:hAnsi="宋体" w:cs="宋体"/>
          <w:bCs/>
          <w:sz w:val="22"/>
          <w:szCs w:val="28"/>
        </w:rPr>
        <w:t>3.1 本项目对监狱和戒毒企业，给予10%的价格扣除，用扣除后的价格参与评审。</w:t>
      </w:r>
    </w:p>
    <w:p w14:paraId="104FA343">
      <w:pPr>
        <w:spacing w:line="360" w:lineRule="auto"/>
        <w:ind w:firstLine="440" w:firstLineChars="200"/>
        <w:rPr>
          <w:rFonts w:ascii="宋体" w:hAnsi="宋体" w:cs="宋体"/>
          <w:bCs/>
          <w:sz w:val="22"/>
          <w:szCs w:val="28"/>
        </w:rPr>
      </w:pPr>
      <w:r>
        <w:rPr>
          <w:rFonts w:hint="eastAsia" w:ascii="宋体" w:hAnsi="宋体" w:cs="宋体"/>
          <w:bCs/>
          <w:sz w:val="22"/>
          <w:szCs w:val="28"/>
        </w:rPr>
        <w:t>3.2 监狱企业需提供由省级以上监狱管理局、戒毒管理局（含新疆生产建设兵团）出具的属于监狱企业的证明文件。</w:t>
      </w:r>
    </w:p>
    <w:p w14:paraId="5A36F4AA">
      <w:pPr>
        <w:spacing w:line="360" w:lineRule="auto"/>
        <w:ind w:firstLine="440" w:firstLineChars="200"/>
        <w:rPr>
          <w:rFonts w:ascii="宋体" w:hAnsi="宋体" w:cs="宋体"/>
          <w:bCs/>
          <w:sz w:val="22"/>
          <w:szCs w:val="28"/>
        </w:rPr>
      </w:pPr>
      <w:r>
        <w:rPr>
          <w:rFonts w:hint="eastAsia" w:ascii="宋体" w:hAnsi="宋体" w:cs="宋体"/>
          <w:bCs/>
          <w:sz w:val="22"/>
          <w:szCs w:val="28"/>
        </w:rPr>
        <w:t>3.3 监狱企业标准请参照《关于政府采购支持监狱企业发展有关问题的通知》（财库〔2014〕68号）。</w:t>
      </w:r>
    </w:p>
    <w:p w14:paraId="095507DC">
      <w:pPr>
        <w:spacing w:line="360" w:lineRule="auto"/>
        <w:ind w:firstLine="440" w:firstLineChars="200"/>
        <w:rPr>
          <w:rFonts w:ascii="宋体" w:hAnsi="宋体" w:cs="宋体"/>
          <w:bCs/>
          <w:sz w:val="22"/>
          <w:szCs w:val="28"/>
        </w:rPr>
      </w:pPr>
      <w:r>
        <w:rPr>
          <w:rFonts w:hint="eastAsia" w:ascii="宋体" w:hAnsi="宋体" w:cs="宋体"/>
          <w:bCs/>
          <w:sz w:val="22"/>
          <w:szCs w:val="28"/>
        </w:rPr>
        <w:t>4.残疾人福利性单位的价格扣除</w:t>
      </w:r>
    </w:p>
    <w:p w14:paraId="1E1B3E31">
      <w:pPr>
        <w:spacing w:line="360" w:lineRule="auto"/>
        <w:ind w:firstLine="440" w:firstLineChars="200"/>
        <w:rPr>
          <w:rFonts w:ascii="宋体" w:hAnsi="宋体" w:cs="宋体"/>
          <w:bCs/>
          <w:sz w:val="22"/>
          <w:szCs w:val="28"/>
        </w:rPr>
      </w:pPr>
      <w:r>
        <w:rPr>
          <w:rFonts w:hint="eastAsia" w:ascii="宋体" w:hAnsi="宋体" w:cs="宋体"/>
          <w:bCs/>
          <w:sz w:val="22"/>
          <w:szCs w:val="28"/>
        </w:rPr>
        <w:t>4.1 本项目对残疾人福利性单位，给予10%的价格扣除，用扣除后的价格参与评审。</w:t>
      </w:r>
    </w:p>
    <w:p w14:paraId="162DAB48">
      <w:pPr>
        <w:spacing w:line="360" w:lineRule="auto"/>
        <w:ind w:firstLine="440" w:firstLineChars="200"/>
        <w:rPr>
          <w:rFonts w:ascii="宋体" w:hAnsi="宋体" w:cs="宋体"/>
          <w:bCs/>
          <w:sz w:val="22"/>
          <w:szCs w:val="28"/>
        </w:rPr>
      </w:pPr>
      <w:r>
        <w:rPr>
          <w:rFonts w:hint="eastAsia" w:ascii="宋体" w:hAnsi="宋体" w:cs="宋体"/>
          <w:bCs/>
          <w:sz w:val="22"/>
          <w:szCs w:val="28"/>
        </w:rPr>
        <w:t>4.2 残疾人福利性单位需提供《残疾人福利性单位声明函》</w:t>
      </w:r>
    </w:p>
    <w:p w14:paraId="71109596">
      <w:pPr>
        <w:spacing w:line="360" w:lineRule="auto"/>
        <w:ind w:firstLine="440" w:firstLineChars="200"/>
        <w:rPr>
          <w:rFonts w:ascii="宋体" w:hAnsi="宋体" w:cs="宋体"/>
          <w:bCs/>
          <w:sz w:val="22"/>
          <w:szCs w:val="28"/>
        </w:rPr>
      </w:pPr>
      <w:r>
        <w:rPr>
          <w:rFonts w:hint="eastAsia" w:ascii="宋体" w:hAnsi="宋体" w:cs="宋体"/>
          <w:bCs/>
          <w:sz w:val="22"/>
          <w:szCs w:val="28"/>
        </w:rPr>
        <w:t>4.3 残疾人福利性单位标准请参照《关于促进残疾人就业政府采购政策的通知》（财库〔2017〕141号）。</w:t>
      </w:r>
    </w:p>
    <w:p w14:paraId="244790AF">
      <w:pPr>
        <w:spacing w:line="360" w:lineRule="auto"/>
        <w:ind w:firstLine="440" w:firstLineChars="200"/>
        <w:rPr>
          <w:rFonts w:ascii="宋体" w:hAnsi="宋体" w:cs="宋体"/>
          <w:bCs/>
          <w:sz w:val="22"/>
          <w:szCs w:val="28"/>
        </w:rPr>
      </w:pPr>
      <w:r>
        <w:rPr>
          <w:rFonts w:hint="eastAsia" w:ascii="宋体" w:hAnsi="宋体" w:cs="宋体"/>
          <w:bCs/>
          <w:sz w:val="22"/>
          <w:szCs w:val="28"/>
        </w:rPr>
        <w:t>5. 监狱企业、残疾人福利性单位属于小型、微型企业的，不重复享受政策。</w:t>
      </w:r>
    </w:p>
    <w:p w14:paraId="68864058">
      <w:pPr>
        <w:spacing w:line="360" w:lineRule="auto"/>
        <w:ind w:firstLine="440" w:firstLineChars="200"/>
        <w:rPr>
          <w:rFonts w:ascii="宋体" w:hAnsi="宋体" w:cs="宋体"/>
          <w:bCs/>
          <w:sz w:val="22"/>
          <w:szCs w:val="28"/>
        </w:rPr>
      </w:pPr>
      <w:r>
        <w:rPr>
          <w:rFonts w:hint="eastAsia" w:ascii="宋体" w:hAnsi="宋体" w:cs="宋体"/>
          <w:bCs/>
          <w:sz w:val="22"/>
          <w:szCs w:val="28"/>
        </w:rPr>
        <w:t>6.本国产品的价格扣除</w:t>
      </w:r>
    </w:p>
    <w:p w14:paraId="015F67B5">
      <w:pPr>
        <w:spacing w:line="360" w:lineRule="auto"/>
        <w:ind w:firstLine="440" w:firstLineChars="200"/>
        <w:rPr>
          <w:rFonts w:ascii="宋体" w:hAnsi="宋体" w:cs="宋体"/>
          <w:bCs/>
          <w:sz w:val="22"/>
          <w:szCs w:val="28"/>
        </w:rPr>
      </w:pPr>
      <w:r>
        <w:rPr>
          <w:rFonts w:hint="eastAsia" w:ascii="宋体" w:hAnsi="宋体" w:cs="宋体"/>
          <w:bCs/>
          <w:sz w:val="22"/>
          <w:szCs w:val="28"/>
        </w:rPr>
        <w:t>6.1本国产品标准、本国产品标准的适用范围、对本国产品的支持政策等详见《国务院办公厅关于在政府采购中实施本国产品标准及相关政策的通知》（国办发〔2025〕34号）。</w:t>
      </w:r>
    </w:p>
    <w:p w14:paraId="441A4845">
      <w:pPr>
        <w:spacing w:line="360" w:lineRule="auto"/>
        <w:ind w:firstLine="440" w:firstLineChars="200"/>
        <w:rPr>
          <w:rFonts w:ascii="宋体" w:hAnsi="宋体" w:cs="宋体"/>
          <w:bCs/>
          <w:sz w:val="22"/>
          <w:szCs w:val="28"/>
        </w:rPr>
      </w:pPr>
      <w:r>
        <w:rPr>
          <w:rFonts w:hint="eastAsia" w:ascii="宋体" w:hAnsi="宋体" w:cs="宋体"/>
          <w:bCs/>
          <w:sz w:val="22"/>
          <w:szCs w:val="28"/>
        </w:rPr>
        <w:t>6.2 政府采购活动中既有本国产品又有非本国产品参与竞争的，依法对本国产品给予价格评审优惠，对本国产品的报价给予20%的价格扣除，用扣除后的价格参与评审。</w:t>
      </w:r>
    </w:p>
    <w:p w14:paraId="3F535DC7">
      <w:pPr>
        <w:spacing w:line="360" w:lineRule="auto"/>
        <w:ind w:firstLine="440" w:firstLineChars="200"/>
        <w:rPr>
          <w:rFonts w:ascii="宋体" w:hAnsi="宋体" w:cs="宋体"/>
          <w:bCs/>
          <w:sz w:val="22"/>
          <w:szCs w:val="28"/>
        </w:rPr>
      </w:pPr>
      <w:r>
        <w:rPr>
          <w:rFonts w:hint="eastAsia" w:ascii="宋体" w:hAnsi="宋体" w:cs="宋体"/>
          <w:bCs/>
          <w:sz w:val="22"/>
          <w:szCs w:val="28"/>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C417102">
      <w:pPr>
        <w:rPr>
          <w:rFonts w:ascii="宋体" w:hAnsi="宋体" w:cs="宋体"/>
          <w:bCs/>
          <w:sz w:val="22"/>
          <w:szCs w:val="28"/>
        </w:rPr>
      </w:pPr>
      <w:r>
        <w:rPr>
          <w:rFonts w:hint="eastAsia" w:ascii="宋体" w:hAnsi="宋体" w:cs="宋体"/>
          <w:bCs/>
          <w:sz w:val="22"/>
          <w:szCs w:val="28"/>
        </w:rPr>
        <w:br w:type="page"/>
      </w:r>
    </w:p>
    <w:p w14:paraId="75995222">
      <w:pPr>
        <w:spacing w:line="360" w:lineRule="auto"/>
        <w:ind w:firstLine="440" w:firstLineChars="200"/>
        <w:rPr>
          <w:rFonts w:ascii="宋体" w:hAnsi="宋体" w:cs="宋体"/>
          <w:bCs/>
          <w:sz w:val="22"/>
          <w:szCs w:val="28"/>
        </w:rPr>
      </w:pPr>
    </w:p>
    <w:p w14:paraId="15F0DEA9">
      <w:pPr>
        <w:pStyle w:val="2"/>
        <w:numPr>
          <w:ilvl w:val="0"/>
          <w:numId w:val="0"/>
        </w:numPr>
        <w:rPr>
          <w:rFonts w:ascii="宋体" w:hAnsi="宋体" w:cs="宋体"/>
          <w:kern w:val="0"/>
        </w:rPr>
      </w:pPr>
      <w:bookmarkStart w:id="19" w:name="_Toc29436"/>
      <w:r>
        <w:rPr>
          <w:rFonts w:hint="eastAsia" w:ascii="宋体" w:hAnsi="宋体" w:cs="宋体"/>
          <w:kern w:val="0"/>
        </w:rPr>
        <w:t>第四章 采购需求</w:t>
      </w:r>
      <w:bookmarkEnd w:id="19"/>
    </w:p>
    <w:p w14:paraId="549ABA0F">
      <w:pPr>
        <w:spacing w:line="500" w:lineRule="exact"/>
        <w:rPr>
          <w:rFonts w:ascii="宋体" w:hAnsi="宋体" w:cs="宋体"/>
          <w:b/>
          <w:szCs w:val="21"/>
        </w:rPr>
      </w:pPr>
      <w:bookmarkStart w:id="20" w:name="_Toc481057147"/>
      <w:r>
        <w:rPr>
          <w:rFonts w:hint="eastAsia" w:ascii="宋体" w:hAnsi="宋体" w:cs="宋体"/>
          <w:b/>
          <w:szCs w:val="21"/>
        </w:rPr>
        <w:t>一、项目需求</w:t>
      </w:r>
    </w:p>
    <w:p w14:paraId="4EE0A1EC">
      <w:pPr>
        <w:spacing w:line="500" w:lineRule="exact"/>
        <w:rPr>
          <w:rFonts w:ascii="宋体" w:hAnsi="宋体" w:cs="宋体"/>
          <w:b/>
          <w:szCs w:val="21"/>
        </w:rPr>
      </w:pPr>
      <w:r>
        <w:rPr>
          <w:rFonts w:hint="eastAsia" w:ascii="宋体" w:hAnsi="宋体" w:cs="宋体"/>
          <w:b/>
          <w:szCs w:val="21"/>
        </w:rPr>
        <w:t>（一）采购标的需实现的功能或者目标</w:t>
      </w:r>
    </w:p>
    <w:p w14:paraId="1AB0B7B9">
      <w:pPr>
        <w:spacing w:line="360" w:lineRule="auto"/>
        <w:ind w:firstLine="420" w:firstLineChars="200"/>
        <w:rPr>
          <w:rFonts w:ascii="宋体" w:hAnsi="宋体" w:cs="宋体"/>
          <w:bCs/>
          <w:szCs w:val="21"/>
        </w:rPr>
      </w:pPr>
      <w:r>
        <w:rPr>
          <w:rFonts w:hint="eastAsia" w:ascii="宋体" w:hAnsi="宋体" w:cs="宋体"/>
          <w:bCs/>
          <w:szCs w:val="21"/>
        </w:rPr>
        <w:t>本设备要求在真空条件下制备各种金属带材、丝材和薄膜的专用实验设备。适用于各种非晶及微晶材料的研究和开发工作，广泛用于非晶软磁材料及其他新型材料的研究。</w:t>
      </w:r>
    </w:p>
    <w:p w14:paraId="0884F7A5">
      <w:pPr>
        <w:spacing w:line="500" w:lineRule="exact"/>
        <w:rPr>
          <w:rFonts w:ascii="宋体" w:hAnsi="宋体" w:cs="宋体"/>
          <w:b/>
          <w:szCs w:val="21"/>
        </w:rPr>
      </w:pPr>
      <w:r>
        <w:rPr>
          <w:rFonts w:hint="eastAsia" w:ascii="宋体" w:hAnsi="宋体" w:cs="宋体"/>
          <w:b/>
          <w:szCs w:val="21"/>
        </w:rPr>
        <w:t>（二）采购清单</w:t>
      </w:r>
    </w:p>
    <w:tbl>
      <w:tblPr>
        <w:tblStyle w:val="4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227"/>
        <w:gridCol w:w="1843"/>
        <w:gridCol w:w="2268"/>
      </w:tblGrid>
      <w:tr w14:paraId="5C1F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701D3AB2">
            <w:pPr>
              <w:spacing w:line="500" w:lineRule="exact"/>
              <w:ind w:left="368" w:hanging="367" w:hangingChars="175"/>
              <w:jc w:val="center"/>
              <w:rPr>
                <w:rFonts w:ascii="宋体" w:hAnsi="宋体"/>
                <w:szCs w:val="21"/>
              </w:rPr>
            </w:pPr>
            <w:r>
              <w:rPr>
                <w:rFonts w:hint="eastAsia" w:ascii="宋体" w:hAnsi="宋体"/>
                <w:szCs w:val="21"/>
              </w:rPr>
              <w:t>序号</w:t>
            </w:r>
          </w:p>
        </w:tc>
        <w:tc>
          <w:tcPr>
            <w:tcW w:w="3227" w:type="dxa"/>
            <w:vAlign w:val="center"/>
          </w:tcPr>
          <w:p w14:paraId="2C61C2FD">
            <w:pPr>
              <w:spacing w:line="500" w:lineRule="exact"/>
              <w:ind w:left="368" w:hanging="367" w:hangingChars="175"/>
              <w:jc w:val="center"/>
              <w:rPr>
                <w:rFonts w:ascii="宋体" w:hAnsi="宋体"/>
                <w:szCs w:val="21"/>
              </w:rPr>
            </w:pPr>
            <w:r>
              <w:rPr>
                <w:rFonts w:hint="eastAsia" w:ascii="宋体" w:hAnsi="宋体"/>
                <w:szCs w:val="21"/>
              </w:rPr>
              <w:t>设备名称</w:t>
            </w:r>
          </w:p>
        </w:tc>
        <w:tc>
          <w:tcPr>
            <w:tcW w:w="1843" w:type="dxa"/>
            <w:vAlign w:val="center"/>
          </w:tcPr>
          <w:p w14:paraId="3D82355C">
            <w:pPr>
              <w:spacing w:line="500" w:lineRule="exact"/>
              <w:ind w:left="368" w:hanging="367" w:hangingChars="175"/>
              <w:jc w:val="center"/>
              <w:rPr>
                <w:rFonts w:ascii="宋体" w:hAnsi="宋体"/>
                <w:szCs w:val="21"/>
              </w:rPr>
            </w:pPr>
            <w:r>
              <w:rPr>
                <w:rFonts w:hint="eastAsia" w:ascii="宋体" w:hAnsi="宋体"/>
                <w:szCs w:val="21"/>
              </w:rPr>
              <w:t>数量</w:t>
            </w:r>
          </w:p>
        </w:tc>
        <w:tc>
          <w:tcPr>
            <w:tcW w:w="2268" w:type="dxa"/>
            <w:vAlign w:val="center"/>
          </w:tcPr>
          <w:p w14:paraId="4745CEE8">
            <w:pPr>
              <w:spacing w:line="500" w:lineRule="exact"/>
              <w:ind w:left="368" w:hanging="367" w:hangingChars="175"/>
              <w:jc w:val="center"/>
              <w:rPr>
                <w:rFonts w:ascii="宋体" w:hAnsi="宋体"/>
                <w:szCs w:val="21"/>
              </w:rPr>
            </w:pPr>
            <w:r>
              <w:rPr>
                <w:rFonts w:hint="eastAsia" w:ascii="宋体" w:hAnsi="宋体"/>
                <w:szCs w:val="21"/>
              </w:rPr>
              <w:t>备注</w:t>
            </w:r>
          </w:p>
        </w:tc>
      </w:tr>
      <w:tr w14:paraId="5FD7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3DD359A4">
            <w:pPr>
              <w:spacing w:line="500" w:lineRule="exact"/>
              <w:ind w:left="420" w:hanging="420" w:hangingChars="175"/>
              <w:jc w:val="center"/>
              <w:rPr>
                <w:rFonts w:ascii="宋体" w:hAnsi="宋体"/>
                <w:szCs w:val="21"/>
              </w:rPr>
            </w:pPr>
            <w:r>
              <w:rPr>
                <w:rFonts w:hint="eastAsia" w:ascii="宋体" w:hAnsi="宋体"/>
                <w:sz w:val="24"/>
              </w:rPr>
              <w:t>1</w:t>
            </w:r>
          </w:p>
        </w:tc>
        <w:tc>
          <w:tcPr>
            <w:tcW w:w="3227" w:type="dxa"/>
            <w:vAlign w:val="center"/>
          </w:tcPr>
          <w:p w14:paraId="7022BF1E">
            <w:pPr>
              <w:spacing w:line="360" w:lineRule="auto"/>
              <w:ind w:firstLine="420" w:firstLineChars="200"/>
              <w:jc w:val="center"/>
              <w:rPr>
                <w:rFonts w:ascii="宋体" w:hAnsi="宋体" w:cs="宋体"/>
                <w:bCs/>
                <w:szCs w:val="21"/>
              </w:rPr>
            </w:pPr>
            <w:r>
              <w:rPr>
                <w:rFonts w:hint="eastAsia" w:ascii="宋体" w:hAnsi="宋体" w:cs="宋体"/>
                <w:bCs/>
                <w:szCs w:val="21"/>
              </w:rPr>
              <w:t>真空磁性非晶条带、丝材喷铸机</w:t>
            </w:r>
          </w:p>
        </w:tc>
        <w:tc>
          <w:tcPr>
            <w:tcW w:w="1843" w:type="dxa"/>
            <w:vAlign w:val="center"/>
          </w:tcPr>
          <w:p w14:paraId="000ADA3D">
            <w:pPr>
              <w:spacing w:line="360" w:lineRule="auto"/>
              <w:ind w:firstLine="420" w:firstLineChars="200"/>
              <w:rPr>
                <w:rFonts w:ascii="宋体" w:hAnsi="宋体" w:cs="宋体"/>
                <w:bCs/>
                <w:szCs w:val="21"/>
              </w:rPr>
            </w:pPr>
            <w:r>
              <w:rPr>
                <w:rFonts w:hint="eastAsia" w:ascii="宋体" w:hAnsi="宋体" w:cs="宋体"/>
                <w:bCs/>
                <w:szCs w:val="21"/>
              </w:rPr>
              <w:t>1套</w:t>
            </w:r>
          </w:p>
        </w:tc>
        <w:tc>
          <w:tcPr>
            <w:tcW w:w="2268" w:type="dxa"/>
            <w:vAlign w:val="center"/>
          </w:tcPr>
          <w:p w14:paraId="3B62FED9">
            <w:pPr>
              <w:spacing w:line="500" w:lineRule="exact"/>
              <w:ind w:left="368" w:hanging="367" w:hangingChars="175"/>
              <w:jc w:val="center"/>
              <w:rPr>
                <w:rFonts w:ascii="宋体" w:hAnsi="宋体"/>
                <w:szCs w:val="21"/>
              </w:rPr>
            </w:pPr>
          </w:p>
        </w:tc>
      </w:tr>
    </w:tbl>
    <w:p w14:paraId="6CB5F23C">
      <w:pPr>
        <w:spacing w:line="360" w:lineRule="auto"/>
        <w:ind w:firstLine="420" w:firstLineChars="200"/>
        <w:rPr>
          <w:rFonts w:ascii="宋体" w:hAnsi="宋体" w:cs="宋体"/>
          <w:bCs/>
          <w:szCs w:val="21"/>
        </w:rPr>
      </w:pPr>
    </w:p>
    <w:p w14:paraId="1B1ACF0D">
      <w:pPr>
        <w:numPr>
          <w:ilvl w:val="0"/>
          <w:numId w:val="6"/>
        </w:numPr>
        <w:spacing w:line="360" w:lineRule="auto"/>
        <w:rPr>
          <w:rFonts w:ascii="宋体" w:hAnsi="宋体" w:cs="宋体"/>
          <w:b/>
          <w:szCs w:val="21"/>
        </w:rPr>
      </w:pPr>
      <w:bookmarkStart w:id="21" w:name="_Hlk229300957"/>
      <w:r>
        <w:rPr>
          <w:rFonts w:hint="eastAsia" w:ascii="宋体" w:hAnsi="宋体" w:cs="宋体"/>
          <w:b/>
          <w:szCs w:val="21"/>
        </w:rPr>
        <w:t>采购标的需满足的质量、安全、技术规格、物理特性等要求（“★”的指标技术偏离为实质性条款，如出现负偏离，视为无效投标响应）</w:t>
      </w:r>
    </w:p>
    <w:p w14:paraId="6E85E4E2">
      <w:pPr>
        <w:spacing w:line="360" w:lineRule="auto"/>
        <w:ind w:firstLine="420" w:firstLineChars="200"/>
        <w:rPr>
          <w:bCs/>
          <w:szCs w:val="21"/>
        </w:rPr>
      </w:pPr>
      <w:r>
        <w:rPr>
          <w:rFonts w:ascii="Segoe UI Symbol" w:hAnsi="Segoe UI Symbol" w:cs="Segoe UI Symbol"/>
          <w:bCs/>
          <w:szCs w:val="21"/>
        </w:rPr>
        <w:t>★</w:t>
      </w:r>
      <w:r>
        <w:rPr>
          <w:bCs/>
          <w:szCs w:val="21"/>
        </w:rPr>
        <w:t>1.设备应包含镀膜室、进样室、磁控靶、样品架、工作气路、镀膜电源</w:t>
      </w:r>
      <w:r>
        <w:rPr>
          <w:rFonts w:hint="eastAsia"/>
          <w:bCs/>
          <w:szCs w:val="21"/>
        </w:rPr>
        <w:t>、真空获得泵组</w:t>
      </w:r>
      <w:r>
        <w:rPr>
          <w:bCs/>
          <w:szCs w:val="21"/>
        </w:rPr>
        <w:t>及样品生长控制系统。</w:t>
      </w:r>
    </w:p>
    <w:p w14:paraId="21AAB707">
      <w:pPr>
        <w:spacing w:line="360" w:lineRule="auto"/>
        <w:ind w:firstLine="420" w:firstLineChars="200"/>
        <w:rPr>
          <w:bCs/>
          <w:szCs w:val="21"/>
          <w:highlight w:val="none"/>
        </w:rPr>
      </w:pPr>
      <w:r>
        <w:rPr>
          <w:szCs w:val="21"/>
        </w:rPr>
        <w:t>▲</w:t>
      </w:r>
      <w:r>
        <w:rPr>
          <w:bCs/>
          <w:szCs w:val="21"/>
        </w:rPr>
        <w:t>2.镀</w:t>
      </w:r>
      <w:r>
        <w:rPr>
          <w:bCs/>
          <w:szCs w:val="21"/>
          <w:highlight w:val="none"/>
        </w:rPr>
        <w:t>膜室尺寸</w:t>
      </w:r>
      <w:r>
        <w:rPr>
          <w:rFonts w:hint="eastAsia"/>
          <w:bCs/>
          <w:szCs w:val="21"/>
          <w:highlight w:val="none"/>
          <w:lang w:val="en-US" w:eastAsia="zh-CN"/>
        </w:rPr>
        <w:t>≥</w:t>
      </w:r>
      <w:r>
        <w:rPr>
          <w:bCs/>
          <w:szCs w:val="21"/>
          <w:highlight w:val="none"/>
        </w:rPr>
        <w:t>Φ660 mm×H450 mm，极限真空优于5×10</w:t>
      </w:r>
      <w:r>
        <w:rPr>
          <w:bCs/>
          <w:szCs w:val="21"/>
          <w:highlight w:val="none"/>
          <w:vertAlign w:val="superscript"/>
        </w:rPr>
        <w:t>-6</w:t>
      </w:r>
      <w:r>
        <w:rPr>
          <w:bCs/>
          <w:szCs w:val="21"/>
          <w:highlight w:val="none"/>
        </w:rPr>
        <w:t xml:space="preserve"> Pa，系统检漏漏率≤1.5×10</w:t>
      </w:r>
      <w:r>
        <w:rPr>
          <w:bCs/>
          <w:szCs w:val="21"/>
          <w:highlight w:val="none"/>
          <w:vertAlign w:val="superscript"/>
        </w:rPr>
        <w:t>-8</w:t>
      </w:r>
      <w:r>
        <w:rPr>
          <w:bCs/>
          <w:szCs w:val="21"/>
          <w:highlight w:val="none"/>
        </w:rPr>
        <w:t xml:space="preserve"> Pa·L/S，停机24小时后真空度不高于1 Pa。</w:t>
      </w:r>
    </w:p>
    <w:p w14:paraId="2D3C4403">
      <w:pPr>
        <w:spacing w:line="360" w:lineRule="auto"/>
        <w:ind w:firstLine="420" w:firstLineChars="200"/>
        <w:rPr>
          <w:bCs/>
          <w:szCs w:val="21"/>
          <w:highlight w:val="none"/>
        </w:rPr>
      </w:pPr>
      <w:r>
        <w:rPr>
          <w:szCs w:val="21"/>
          <w:highlight w:val="none"/>
        </w:rPr>
        <w:t>▲</w:t>
      </w:r>
      <w:r>
        <w:rPr>
          <w:bCs/>
          <w:szCs w:val="21"/>
          <w:highlight w:val="none"/>
        </w:rPr>
        <w:t>3.进样室尺寸</w:t>
      </w:r>
      <w:r>
        <w:rPr>
          <w:rFonts w:hint="eastAsia"/>
          <w:bCs/>
          <w:szCs w:val="21"/>
          <w:highlight w:val="none"/>
          <w:lang w:val="en-US" w:eastAsia="zh-CN"/>
        </w:rPr>
        <w:t>≥</w:t>
      </w:r>
      <w:r>
        <w:rPr>
          <w:bCs/>
          <w:szCs w:val="21"/>
          <w:highlight w:val="none"/>
        </w:rPr>
        <w:t>Φ280×L480 mm，极限真空优于5×10</w:t>
      </w:r>
      <w:r>
        <w:rPr>
          <w:bCs/>
          <w:szCs w:val="21"/>
          <w:highlight w:val="none"/>
          <w:vertAlign w:val="superscript"/>
        </w:rPr>
        <w:t>-5</w:t>
      </w:r>
      <w:r>
        <w:rPr>
          <w:bCs/>
          <w:szCs w:val="21"/>
          <w:highlight w:val="none"/>
        </w:rPr>
        <w:t xml:space="preserve"> Pa，系统检漏漏率≤1×10</w:t>
      </w:r>
      <w:r>
        <w:rPr>
          <w:bCs/>
          <w:szCs w:val="21"/>
          <w:highlight w:val="none"/>
          <w:vertAlign w:val="superscript"/>
        </w:rPr>
        <w:t>-6</w:t>
      </w:r>
      <w:r>
        <w:rPr>
          <w:bCs/>
          <w:szCs w:val="21"/>
          <w:highlight w:val="none"/>
        </w:rPr>
        <w:t xml:space="preserve"> Pa·L/S。</w:t>
      </w:r>
    </w:p>
    <w:p w14:paraId="7C09F0F7">
      <w:pPr>
        <w:spacing w:line="360" w:lineRule="auto"/>
        <w:ind w:firstLine="420" w:firstLineChars="200"/>
        <w:rPr>
          <w:bCs/>
          <w:szCs w:val="21"/>
          <w:highlight w:val="none"/>
        </w:rPr>
      </w:pPr>
      <w:r>
        <w:rPr>
          <w:rFonts w:ascii="Segoe UI Symbol" w:hAnsi="Segoe UI Symbol" w:cs="Segoe UI Symbol"/>
          <w:bCs/>
          <w:szCs w:val="21"/>
          <w:highlight w:val="none"/>
        </w:rPr>
        <w:t>★</w:t>
      </w:r>
      <w:r>
        <w:rPr>
          <w:bCs/>
          <w:szCs w:val="21"/>
          <w:highlight w:val="none"/>
        </w:rPr>
        <w:t>4.镀膜室设计磁控靶位8个，各靶位</w:t>
      </w:r>
      <w:r>
        <w:rPr>
          <w:rFonts w:hint="eastAsia"/>
          <w:bCs/>
          <w:szCs w:val="21"/>
          <w:highlight w:val="none"/>
        </w:rPr>
        <w:t>之</w:t>
      </w:r>
      <w:r>
        <w:rPr>
          <w:bCs/>
          <w:szCs w:val="21"/>
          <w:highlight w:val="none"/>
        </w:rPr>
        <w:t>间独立无交叉污染。配备磁控</w:t>
      </w:r>
      <w:r>
        <w:rPr>
          <w:rFonts w:hint="eastAsia"/>
          <w:bCs/>
          <w:szCs w:val="21"/>
          <w:highlight w:val="none"/>
        </w:rPr>
        <w:t>靶机与</w:t>
      </w:r>
      <w:r>
        <w:rPr>
          <w:bCs/>
          <w:szCs w:val="21"/>
          <w:highlight w:val="none"/>
        </w:rPr>
        <w:t>2英寸靶材</w:t>
      </w:r>
      <w:r>
        <w:rPr>
          <w:rFonts w:hint="eastAsia"/>
          <w:bCs/>
          <w:szCs w:val="21"/>
          <w:highlight w:val="none"/>
        </w:rPr>
        <w:t>适配，靶机总</w:t>
      </w:r>
      <w:r>
        <w:rPr>
          <w:bCs/>
          <w:szCs w:val="21"/>
          <w:highlight w:val="none"/>
        </w:rPr>
        <w:t>数量不少于5个</w:t>
      </w:r>
      <w:r>
        <w:rPr>
          <w:rFonts w:hint="eastAsia"/>
          <w:bCs/>
          <w:szCs w:val="21"/>
          <w:highlight w:val="none"/>
        </w:rPr>
        <w:t>，并且</w:t>
      </w:r>
      <w:r>
        <w:rPr>
          <w:bCs/>
          <w:szCs w:val="21"/>
          <w:highlight w:val="none"/>
        </w:rPr>
        <w:t>包含强磁靶及标磁靶</w:t>
      </w:r>
      <w:r>
        <w:rPr>
          <w:rFonts w:hint="eastAsia"/>
          <w:bCs/>
          <w:szCs w:val="21"/>
          <w:highlight w:val="none"/>
        </w:rPr>
        <w:t>两种</w:t>
      </w:r>
      <w:r>
        <w:rPr>
          <w:bCs/>
          <w:szCs w:val="21"/>
          <w:highlight w:val="none"/>
        </w:rPr>
        <w:t>配置，</w:t>
      </w:r>
      <w:r>
        <w:rPr>
          <w:rFonts w:hint="eastAsia"/>
          <w:bCs/>
          <w:szCs w:val="21"/>
          <w:highlight w:val="none"/>
        </w:rPr>
        <w:t>强磁靶机不少于</w:t>
      </w:r>
      <w:r>
        <w:rPr>
          <w:bCs/>
          <w:szCs w:val="21"/>
          <w:highlight w:val="none"/>
        </w:rPr>
        <w:t>2</w:t>
      </w:r>
      <w:r>
        <w:rPr>
          <w:rFonts w:hint="eastAsia"/>
          <w:bCs/>
          <w:szCs w:val="21"/>
          <w:highlight w:val="none"/>
        </w:rPr>
        <w:t>个，标磁靶机不少于3个</w:t>
      </w:r>
      <w:r>
        <w:rPr>
          <w:bCs/>
          <w:szCs w:val="21"/>
          <w:highlight w:val="none"/>
        </w:rPr>
        <w:t>。</w:t>
      </w:r>
    </w:p>
    <w:p w14:paraId="246E37AE">
      <w:pPr>
        <w:spacing w:line="500" w:lineRule="exact"/>
        <w:ind w:firstLine="420" w:firstLineChars="200"/>
        <w:rPr>
          <w:bCs/>
          <w:color w:val="000000"/>
          <w:szCs w:val="21"/>
        </w:rPr>
      </w:pPr>
      <w:r>
        <w:rPr>
          <w:szCs w:val="21"/>
          <w:highlight w:val="none"/>
        </w:rPr>
        <w:t>▲</w:t>
      </w:r>
      <w:r>
        <w:rPr>
          <w:bCs/>
          <w:color w:val="000000"/>
          <w:szCs w:val="21"/>
          <w:highlight w:val="none"/>
        </w:rPr>
        <w:t>5.镀膜室具有制备多层膜、楔形膜及原子掺杂膜功</w:t>
      </w:r>
      <w:r>
        <w:rPr>
          <w:bCs/>
          <w:color w:val="000000"/>
          <w:szCs w:val="21"/>
        </w:rPr>
        <w:t>能。</w:t>
      </w:r>
    </w:p>
    <w:p w14:paraId="335AE31B">
      <w:pPr>
        <w:spacing w:line="360" w:lineRule="auto"/>
        <w:ind w:firstLine="420" w:firstLineChars="200"/>
        <w:rPr>
          <w:szCs w:val="21"/>
        </w:rPr>
      </w:pPr>
      <w:r>
        <w:rPr>
          <w:szCs w:val="21"/>
        </w:rPr>
        <w:t>▲6.样品架应支持连续旋转，最大转速不低于25 rpm，移动精度可达到1º/min，样品加热温度范围为室温至800℃，温度控制误差的绝对值不超过1℃。</w:t>
      </w:r>
    </w:p>
    <w:p w14:paraId="40C754EE">
      <w:pPr>
        <w:spacing w:line="500" w:lineRule="exact"/>
        <w:ind w:firstLine="420" w:firstLineChars="200"/>
        <w:rPr>
          <w:color w:val="000000"/>
          <w:szCs w:val="21"/>
        </w:rPr>
      </w:pPr>
      <w:r>
        <w:rPr>
          <w:szCs w:val="21"/>
        </w:rPr>
        <w:t>▲</w:t>
      </w:r>
      <w:r>
        <w:rPr>
          <w:color w:val="000000"/>
          <w:szCs w:val="21"/>
        </w:rPr>
        <w:t>7.样品架应支持多样品位沉积，样品位数量不少于14个。</w:t>
      </w:r>
    </w:p>
    <w:p w14:paraId="3A120B4C">
      <w:pPr>
        <w:spacing w:line="500" w:lineRule="exact"/>
        <w:ind w:firstLine="420" w:firstLineChars="200"/>
        <w:rPr>
          <w:color w:val="000000"/>
          <w:szCs w:val="21"/>
        </w:rPr>
      </w:pPr>
      <w:r>
        <w:rPr>
          <w:szCs w:val="21"/>
        </w:rPr>
        <w:t>▲</w:t>
      </w:r>
      <w:r>
        <w:rPr>
          <w:color w:val="000000"/>
          <w:szCs w:val="21"/>
        </w:rPr>
        <w:t>8.一个样品位设计为液氮低温沉积模式，样品台最低温度不高于100 K。</w:t>
      </w:r>
    </w:p>
    <w:p w14:paraId="61483E78">
      <w:pPr>
        <w:spacing w:line="500" w:lineRule="exact"/>
        <w:ind w:firstLine="420" w:firstLineChars="200"/>
        <w:rPr>
          <w:bCs/>
          <w:color w:val="000000"/>
          <w:szCs w:val="21"/>
        </w:rPr>
      </w:pPr>
      <w:r>
        <w:rPr>
          <w:szCs w:val="21"/>
        </w:rPr>
        <w:t>▲</w:t>
      </w:r>
      <w:r>
        <w:rPr>
          <w:bCs/>
          <w:color w:val="000000"/>
          <w:szCs w:val="21"/>
        </w:rPr>
        <w:t>9.样品台应具备基片偏压功能，可对基片施加连续可调负偏压，偏压范围覆盖-5V～-200V。</w:t>
      </w:r>
    </w:p>
    <w:p w14:paraId="2B9175F5">
      <w:pPr>
        <w:spacing w:line="500" w:lineRule="exact"/>
        <w:ind w:firstLine="630" w:firstLineChars="300"/>
        <w:rPr>
          <w:bCs/>
          <w:color w:val="000000"/>
          <w:szCs w:val="21"/>
        </w:rPr>
      </w:pPr>
      <w:r>
        <w:rPr>
          <w:bCs/>
          <w:color w:val="000000"/>
          <w:szCs w:val="21"/>
        </w:rPr>
        <w:t>10.进样室应包含6个样品位，并且可以进行竖直升降调节。</w:t>
      </w:r>
    </w:p>
    <w:p w14:paraId="06671538">
      <w:pPr>
        <w:spacing w:line="360" w:lineRule="auto"/>
        <w:ind w:firstLine="630" w:firstLineChars="300"/>
        <w:rPr>
          <w:bCs/>
          <w:szCs w:val="21"/>
        </w:rPr>
      </w:pPr>
      <w:r>
        <w:rPr>
          <w:bCs/>
          <w:szCs w:val="21"/>
        </w:rPr>
        <w:t>11.镀膜室气路4路，其中3路通过质量流量计进气，另外1路充氮气气路。</w:t>
      </w:r>
    </w:p>
    <w:p w14:paraId="3BA5B752">
      <w:pPr>
        <w:spacing w:line="360" w:lineRule="auto"/>
        <w:ind w:firstLine="420" w:firstLineChars="200"/>
        <w:rPr>
          <w:bCs/>
          <w:szCs w:val="21"/>
        </w:rPr>
      </w:pPr>
      <w:r>
        <w:rPr>
          <w:rFonts w:ascii="Segoe UI Symbol" w:hAnsi="Segoe UI Symbol" w:cs="Segoe UI Symbol"/>
          <w:bCs/>
          <w:szCs w:val="21"/>
        </w:rPr>
        <w:t>★</w:t>
      </w:r>
      <w:r>
        <w:rPr>
          <w:bCs/>
          <w:szCs w:val="21"/>
        </w:rPr>
        <w:t>12.配备不少于3套镀膜电源，其中包括1套射频电源</w:t>
      </w:r>
      <w:r>
        <w:rPr>
          <w:rFonts w:hint="eastAsia"/>
          <w:bCs/>
          <w:szCs w:val="21"/>
        </w:rPr>
        <w:t>及配套射频匹配器</w:t>
      </w:r>
      <w:r>
        <w:rPr>
          <w:bCs/>
          <w:szCs w:val="21"/>
        </w:rPr>
        <w:t>和2套直流电源。</w:t>
      </w:r>
    </w:p>
    <w:p w14:paraId="5F76A48C">
      <w:pPr>
        <w:spacing w:line="360" w:lineRule="auto"/>
        <w:ind w:firstLine="420" w:firstLineChars="200"/>
        <w:rPr>
          <w:bCs/>
          <w:szCs w:val="21"/>
        </w:rPr>
      </w:pPr>
      <w:r>
        <w:rPr>
          <w:szCs w:val="21"/>
        </w:rPr>
        <w:t>▲</w:t>
      </w:r>
      <w:r>
        <w:rPr>
          <w:bCs/>
          <w:szCs w:val="21"/>
        </w:rPr>
        <w:t>13.射频电源功率可达到600W</w:t>
      </w:r>
      <w:r>
        <w:rPr>
          <w:rFonts w:hint="eastAsia"/>
          <w:bCs/>
          <w:szCs w:val="21"/>
        </w:rPr>
        <w:t>，</w:t>
      </w:r>
      <w:r>
        <w:rPr>
          <w:bCs/>
          <w:szCs w:val="21"/>
        </w:rPr>
        <w:t>具有自动匹配功能。直流电源功率可达到500W</w:t>
      </w:r>
      <w:r>
        <w:rPr>
          <w:rFonts w:hint="eastAsia"/>
          <w:bCs/>
          <w:szCs w:val="21"/>
        </w:rPr>
        <w:t>，</w:t>
      </w:r>
      <w:r>
        <w:rPr>
          <w:bCs/>
          <w:szCs w:val="21"/>
        </w:rPr>
        <w:t>具有恒流、恒压、恒功率三种模式，配置2路切换器。</w:t>
      </w:r>
    </w:p>
    <w:p w14:paraId="65936DF1">
      <w:pPr>
        <w:spacing w:line="360" w:lineRule="auto"/>
        <w:ind w:firstLine="630" w:firstLineChars="300"/>
        <w:rPr>
          <w:bCs/>
          <w:szCs w:val="21"/>
        </w:rPr>
      </w:pPr>
      <w:r>
        <w:rPr>
          <w:bCs/>
          <w:szCs w:val="21"/>
        </w:rPr>
        <w:t>14.具有磁力传递机构，可实现样品在进样室与镀膜室之间的转移。</w:t>
      </w:r>
    </w:p>
    <w:p w14:paraId="63EDA3A5">
      <w:pPr>
        <w:spacing w:line="360" w:lineRule="auto"/>
        <w:ind w:firstLine="420" w:firstLineChars="200"/>
        <w:rPr>
          <w:bCs/>
          <w:szCs w:val="21"/>
        </w:rPr>
      </w:pPr>
      <w:r>
        <w:rPr>
          <w:rFonts w:ascii="Segoe UI Symbol" w:hAnsi="Segoe UI Symbol" w:cs="Segoe UI Symbol"/>
          <w:bCs/>
          <w:szCs w:val="21"/>
        </w:rPr>
        <w:t>★</w:t>
      </w:r>
      <w:r>
        <w:rPr>
          <w:rFonts w:hint="eastAsia"/>
          <w:bCs/>
          <w:szCs w:val="21"/>
        </w:rPr>
        <w:t>1</w:t>
      </w:r>
      <w:r>
        <w:rPr>
          <w:bCs/>
          <w:szCs w:val="21"/>
        </w:rPr>
        <w:t>5.</w:t>
      </w:r>
      <w:r>
        <w:rPr>
          <w:rFonts w:hint="eastAsia"/>
          <w:bCs/>
          <w:szCs w:val="21"/>
        </w:rPr>
        <w:t>配置真空插板阀3套，分别用于进样室，镀膜室及两腔室间的隔离。</w:t>
      </w:r>
    </w:p>
    <w:p w14:paraId="2EABDCC4">
      <w:pPr>
        <w:spacing w:line="360" w:lineRule="auto"/>
        <w:ind w:firstLine="420" w:firstLineChars="200"/>
        <w:rPr>
          <w:bCs/>
          <w:szCs w:val="21"/>
        </w:rPr>
      </w:pPr>
      <w:r>
        <w:rPr>
          <w:szCs w:val="21"/>
        </w:rPr>
        <w:t>▲</w:t>
      </w:r>
      <w:r>
        <w:rPr>
          <w:bCs/>
          <w:szCs w:val="21"/>
        </w:rPr>
        <w:t>16.具有水冷系统及水压报警功能，可对靶源和真空泵进行冷却，并在缺水等异常情况下自动报警。</w:t>
      </w:r>
    </w:p>
    <w:p w14:paraId="12410D4B">
      <w:pPr>
        <w:spacing w:line="360" w:lineRule="auto"/>
        <w:ind w:firstLine="630" w:firstLineChars="300"/>
        <w:rPr>
          <w:bCs/>
          <w:szCs w:val="21"/>
        </w:rPr>
      </w:pPr>
      <w:r>
        <w:rPr>
          <w:bCs/>
          <w:szCs w:val="21"/>
        </w:rPr>
        <w:t>17.设备控制系统采用380V供电，配备控制机柜，计算机及样品生长控制软件。</w:t>
      </w:r>
    </w:p>
    <w:bookmarkEnd w:id="21"/>
    <w:p w14:paraId="64A7B1AA">
      <w:pPr>
        <w:spacing w:line="500" w:lineRule="exact"/>
        <w:ind w:firstLine="632" w:firstLineChars="300"/>
        <w:rPr>
          <w:rFonts w:ascii="宋体" w:hAnsi="宋体" w:cs="宋体"/>
          <w:b/>
          <w:color w:val="000000"/>
          <w:szCs w:val="21"/>
        </w:rPr>
      </w:pPr>
    </w:p>
    <w:p w14:paraId="1057A22C">
      <w:pPr>
        <w:spacing w:line="500" w:lineRule="exact"/>
        <w:rPr>
          <w:rFonts w:ascii="宋体" w:hAnsi="宋体" w:cs="宋体"/>
          <w:b/>
          <w:color w:val="000000"/>
          <w:szCs w:val="21"/>
        </w:rPr>
      </w:pPr>
      <w:r>
        <w:rPr>
          <w:rFonts w:hint="eastAsia" w:ascii="宋体" w:hAnsi="宋体" w:cs="宋体"/>
          <w:b/>
          <w:color w:val="000000"/>
          <w:szCs w:val="21"/>
        </w:rPr>
        <w:t>三、采购项目投标币种，付款，交付或者实施的时间和地点</w:t>
      </w:r>
    </w:p>
    <w:p w14:paraId="0CF53C8B">
      <w:pPr>
        <w:spacing w:line="500" w:lineRule="exact"/>
        <w:ind w:firstLine="420" w:firstLineChars="200"/>
        <w:jc w:val="left"/>
        <w:rPr>
          <w:rFonts w:ascii="宋体" w:hAnsi="宋体"/>
          <w:szCs w:val="21"/>
        </w:rPr>
      </w:pPr>
      <w:r>
        <w:rPr>
          <w:rFonts w:hint="eastAsia" w:ascii="宋体" w:hAnsi="宋体"/>
          <w:szCs w:val="21"/>
        </w:rPr>
        <w:t>1.投标币种：人民币；</w:t>
      </w:r>
    </w:p>
    <w:p w14:paraId="372049B5">
      <w:pPr>
        <w:spacing w:line="500" w:lineRule="exact"/>
        <w:ind w:firstLine="420" w:firstLineChars="200"/>
        <w:jc w:val="left"/>
        <w:rPr>
          <w:rFonts w:ascii="宋体" w:hAnsi="宋体"/>
          <w:szCs w:val="21"/>
        </w:rPr>
      </w:pPr>
      <w:r>
        <w:rPr>
          <w:rFonts w:hint="eastAsia" w:ascii="宋体" w:hAnsi="宋体"/>
          <w:szCs w:val="21"/>
        </w:rPr>
        <w:t>2.履约保证金：中标后，中标人需交纳中标金额5%的履约保证金，履约保证金</w:t>
      </w:r>
      <w:r>
        <w:rPr>
          <w:rFonts w:hint="eastAsia"/>
        </w:rPr>
        <w:t>在免费质保期满后且经用户单位确认质量、服务无问题的情况下退还（不计息）</w:t>
      </w:r>
      <w:r>
        <w:rPr>
          <w:rFonts w:hint="eastAsia" w:ascii="宋体" w:hAnsi="宋体"/>
          <w:szCs w:val="21"/>
        </w:rPr>
        <w:t>；</w:t>
      </w:r>
    </w:p>
    <w:p w14:paraId="6CB87AD8">
      <w:pPr>
        <w:spacing w:line="500" w:lineRule="exact"/>
        <w:ind w:firstLine="422" w:firstLineChars="200"/>
        <w:jc w:val="left"/>
        <w:rPr>
          <w:rFonts w:ascii="宋体" w:hAnsi="宋体"/>
          <w:b/>
          <w:bCs/>
          <w:szCs w:val="21"/>
        </w:rPr>
      </w:pPr>
      <w:r>
        <w:rPr>
          <w:rFonts w:hint="eastAsia" w:ascii="宋体" w:hAnsi="宋体"/>
          <w:b/>
          <w:bCs/>
          <w:szCs w:val="21"/>
        </w:rPr>
        <w:t>履约保证金汇款账户信息：</w:t>
      </w:r>
    </w:p>
    <w:p w14:paraId="7C4DA55B">
      <w:pPr>
        <w:spacing w:line="500" w:lineRule="exact"/>
        <w:ind w:firstLine="420" w:firstLineChars="200"/>
        <w:jc w:val="left"/>
        <w:rPr>
          <w:rFonts w:ascii="宋体" w:hAnsi="宋体"/>
          <w:szCs w:val="21"/>
        </w:rPr>
      </w:pPr>
      <w:r>
        <w:rPr>
          <w:rFonts w:hint="eastAsia" w:ascii="宋体" w:hAnsi="宋体"/>
          <w:szCs w:val="21"/>
        </w:rPr>
        <w:t>名称：南京师范大学</w:t>
      </w:r>
    </w:p>
    <w:p w14:paraId="49CD7BAF">
      <w:pPr>
        <w:spacing w:line="500" w:lineRule="exact"/>
        <w:ind w:firstLine="420" w:firstLineChars="200"/>
        <w:jc w:val="left"/>
        <w:rPr>
          <w:rFonts w:ascii="宋体" w:hAnsi="宋体"/>
          <w:szCs w:val="21"/>
        </w:rPr>
      </w:pPr>
      <w:r>
        <w:rPr>
          <w:rFonts w:hint="eastAsia" w:ascii="宋体" w:hAnsi="宋体"/>
          <w:szCs w:val="21"/>
        </w:rPr>
        <w:t>纳税人识别号：123200004660067976</w:t>
      </w:r>
    </w:p>
    <w:p w14:paraId="6B0ECA81">
      <w:pPr>
        <w:spacing w:line="500" w:lineRule="exact"/>
        <w:ind w:firstLine="420" w:firstLineChars="200"/>
        <w:jc w:val="left"/>
        <w:rPr>
          <w:rFonts w:ascii="宋体" w:hAnsi="宋体"/>
          <w:szCs w:val="21"/>
        </w:rPr>
      </w:pPr>
      <w:r>
        <w:rPr>
          <w:rFonts w:hint="eastAsia" w:ascii="宋体" w:hAnsi="宋体"/>
          <w:szCs w:val="21"/>
        </w:rPr>
        <w:t>地址：江苏省南京市文苑路1号</w:t>
      </w:r>
    </w:p>
    <w:p w14:paraId="317BA037">
      <w:pPr>
        <w:spacing w:line="500" w:lineRule="exact"/>
        <w:ind w:firstLine="420" w:firstLineChars="200"/>
        <w:jc w:val="left"/>
        <w:rPr>
          <w:rFonts w:ascii="宋体" w:hAnsi="宋体"/>
          <w:szCs w:val="21"/>
        </w:rPr>
      </w:pPr>
      <w:r>
        <w:rPr>
          <w:rFonts w:hint="eastAsia" w:ascii="宋体" w:hAnsi="宋体"/>
          <w:szCs w:val="21"/>
        </w:rPr>
        <w:t>电话：025-83598180</w:t>
      </w:r>
    </w:p>
    <w:p w14:paraId="6EBE2070">
      <w:pPr>
        <w:spacing w:line="500" w:lineRule="exact"/>
        <w:ind w:firstLine="420" w:firstLineChars="200"/>
        <w:jc w:val="left"/>
        <w:rPr>
          <w:rFonts w:ascii="宋体" w:hAnsi="宋体"/>
          <w:szCs w:val="21"/>
        </w:rPr>
      </w:pPr>
      <w:r>
        <w:rPr>
          <w:rFonts w:hint="eastAsia" w:ascii="宋体" w:hAnsi="宋体"/>
          <w:szCs w:val="21"/>
        </w:rPr>
        <w:t>开户行：交通银行南京广州路支行</w:t>
      </w:r>
    </w:p>
    <w:p w14:paraId="0EEF6D50">
      <w:pPr>
        <w:spacing w:line="500" w:lineRule="exact"/>
        <w:ind w:firstLine="420" w:firstLineChars="200"/>
        <w:jc w:val="left"/>
        <w:rPr>
          <w:rFonts w:ascii="宋体" w:hAnsi="宋体"/>
          <w:szCs w:val="21"/>
        </w:rPr>
      </w:pPr>
      <w:r>
        <w:rPr>
          <w:rFonts w:hint="eastAsia" w:ascii="宋体" w:hAnsi="宋体"/>
          <w:szCs w:val="21"/>
        </w:rPr>
        <w:t>账号：320006607010149040493</w:t>
      </w:r>
    </w:p>
    <w:p w14:paraId="12415D06">
      <w:pPr>
        <w:spacing w:line="500" w:lineRule="exact"/>
        <w:ind w:firstLine="420" w:firstLineChars="200"/>
        <w:jc w:val="left"/>
        <w:rPr>
          <w:szCs w:val="21"/>
        </w:rPr>
      </w:pPr>
      <w:r>
        <w:rPr>
          <w:rFonts w:hint="eastAsia" w:ascii="宋体" w:hAnsi="宋体"/>
          <w:szCs w:val="21"/>
        </w:rPr>
        <w:t>联行号：301301000476</w:t>
      </w:r>
    </w:p>
    <w:p w14:paraId="709A632D">
      <w:pPr>
        <w:spacing w:line="500" w:lineRule="exact"/>
        <w:ind w:firstLine="420" w:firstLineChars="200"/>
        <w:jc w:val="left"/>
        <w:rPr>
          <w:rFonts w:ascii="宋体" w:hAnsi="宋体"/>
          <w:szCs w:val="21"/>
        </w:rPr>
      </w:pPr>
      <w:r>
        <w:rPr>
          <w:rFonts w:hint="eastAsia" w:ascii="宋体" w:hAnsi="宋体"/>
          <w:szCs w:val="21"/>
        </w:rPr>
        <w:t>3.付款方式：验收合格后支付合同总价的</w:t>
      </w:r>
      <w:r>
        <w:rPr>
          <w:rFonts w:hint="eastAsia" w:ascii="宋体" w:hAnsi="宋体"/>
          <w:szCs w:val="21"/>
          <w:lang w:val="en-US" w:eastAsia="zh-CN"/>
        </w:rPr>
        <w:t>10</w:t>
      </w:r>
      <w:r>
        <w:rPr>
          <w:rFonts w:hint="eastAsia" w:ascii="宋体" w:hAnsi="宋体"/>
          <w:szCs w:val="21"/>
        </w:rPr>
        <w:t>0%</w:t>
      </w:r>
      <w:r>
        <w:rPr>
          <w:rFonts w:hint="eastAsia" w:ascii="宋体" w:hAnsi="宋体"/>
          <w:szCs w:val="21"/>
          <w:lang w:eastAsia="zh-CN"/>
        </w:rPr>
        <w:t>。</w:t>
      </w:r>
      <w:r>
        <w:rPr>
          <w:rFonts w:hint="eastAsia" w:ascii="宋体" w:hAnsi="宋体"/>
          <w:szCs w:val="21"/>
        </w:rPr>
        <w:t xml:space="preserve"> </w:t>
      </w:r>
    </w:p>
    <w:p w14:paraId="6DDBB7CC">
      <w:pPr>
        <w:spacing w:line="500" w:lineRule="exact"/>
        <w:ind w:firstLine="420" w:firstLineChars="200"/>
        <w:jc w:val="left"/>
        <w:rPr>
          <w:rFonts w:ascii="宋体" w:hAnsi="宋体"/>
          <w:szCs w:val="21"/>
        </w:rPr>
      </w:pPr>
      <w:r>
        <w:rPr>
          <w:rFonts w:hint="eastAsia" w:ascii="宋体" w:hAnsi="宋体"/>
          <w:szCs w:val="21"/>
        </w:rPr>
        <w:t>4.供货期≤150日，交货方式：送到用户指定实验室并负责安装调试，交货地点：用户指定实验室。</w:t>
      </w:r>
    </w:p>
    <w:p w14:paraId="2126F018">
      <w:pPr>
        <w:spacing w:line="500" w:lineRule="exact"/>
        <w:ind w:firstLine="420" w:firstLineChars="200"/>
        <w:jc w:val="left"/>
        <w:rPr>
          <w:rFonts w:ascii="宋体" w:hAnsi="宋体"/>
          <w:szCs w:val="21"/>
        </w:rPr>
      </w:pPr>
      <w:r>
        <w:rPr>
          <w:rFonts w:hint="eastAsia" w:ascii="宋体" w:hAnsi="宋体"/>
          <w:szCs w:val="21"/>
        </w:rPr>
        <w:t>5.免费质保期：1年；</w:t>
      </w:r>
    </w:p>
    <w:p w14:paraId="6DD57A3E">
      <w:pPr>
        <w:spacing w:line="500" w:lineRule="exact"/>
        <w:ind w:firstLine="420" w:firstLineChars="200"/>
        <w:jc w:val="left"/>
        <w:rPr>
          <w:rFonts w:ascii="宋体" w:hAnsi="宋体"/>
          <w:szCs w:val="21"/>
        </w:rPr>
      </w:pPr>
    </w:p>
    <w:p w14:paraId="31BF9F33">
      <w:pPr>
        <w:spacing w:line="500" w:lineRule="exact"/>
        <w:rPr>
          <w:rFonts w:ascii="宋体" w:hAnsi="宋体" w:cs="宋体"/>
          <w:b/>
          <w:color w:val="000000"/>
          <w:szCs w:val="21"/>
        </w:rPr>
      </w:pPr>
      <w:r>
        <w:rPr>
          <w:rFonts w:hint="eastAsia" w:ascii="宋体" w:hAnsi="宋体" w:cs="宋体"/>
          <w:b/>
          <w:color w:val="000000"/>
          <w:szCs w:val="21"/>
        </w:rPr>
        <w:t>四、验收标准：</w:t>
      </w:r>
    </w:p>
    <w:p w14:paraId="1F4B38FA">
      <w:pPr>
        <w:spacing w:line="500" w:lineRule="exact"/>
        <w:ind w:firstLine="420" w:firstLineChars="200"/>
        <w:jc w:val="left"/>
        <w:rPr>
          <w:rFonts w:ascii="宋体" w:hAnsi="宋体"/>
          <w:szCs w:val="21"/>
        </w:rPr>
      </w:pPr>
      <w:r>
        <w:rPr>
          <w:rFonts w:hint="eastAsia" w:ascii="宋体" w:hAnsi="宋体"/>
          <w:szCs w:val="21"/>
        </w:rPr>
        <w:t>1.原厂原包装；</w:t>
      </w:r>
    </w:p>
    <w:p w14:paraId="23D5934F">
      <w:pPr>
        <w:spacing w:line="500" w:lineRule="exact"/>
        <w:ind w:firstLine="420" w:firstLineChars="200"/>
        <w:jc w:val="left"/>
        <w:rPr>
          <w:rFonts w:ascii="宋体" w:hAnsi="宋体"/>
          <w:szCs w:val="21"/>
        </w:rPr>
      </w:pPr>
      <w:r>
        <w:rPr>
          <w:rFonts w:hint="eastAsia" w:ascii="宋体" w:hAnsi="宋体"/>
          <w:szCs w:val="21"/>
        </w:rPr>
        <w:t>2.包装完好；</w:t>
      </w:r>
    </w:p>
    <w:p w14:paraId="5380F1EC">
      <w:pPr>
        <w:spacing w:line="500" w:lineRule="exact"/>
        <w:ind w:firstLine="420" w:firstLineChars="200"/>
        <w:jc w:val="left"/>
        <w:rPr>
          <w:rFonts w:ascii="宋体" w:hAnsi="宋体"/>
          <w:szCs w:val="21"/>
        </w:rPr>
      </w:pPr>
      <w:r>
        <w:rPr>
          <w:rFonts w:hint="eastAsia" w:ascii="宋体" w:hAnsi="宋体"/>
          <w:szCs w:val="21"/>
        </w:rPr>
        <w:t>3.设备清单与采购文件一致；</w:t>
      </w:r>
    </w:p>
    <w:p w14:paraId="14CDDBBB">
      <w:pPr>
        <w:spacing w:line="500" w:lineRule="exact"/>
        <w:ind w:firstLine="420" w:firstLineChars="200"/>
        <w:jc w:val="left"/>
        <w:rPr>
          <w:rFonts w:ascii="宋体" w:hAnsi="宋体"/>
          <w:szCs w:val="21"/>
        </w:rPr>
      </w:pPr>
      <w:r>
        <w:rPr>
          <w:rFonts w:hint="eastAsia" w:ascii="宋体" w:hAnsi="宋体"/>
          <w:szCs w:val="21"/>
        </w:rPr>
        <w:t>4.设备外观无损；</w:t>
      </w:r>
    </w:p>
    <w:p w14:paraId="3873451D">
      <w:pPr>
        <w:spacing w:line="500" w:lineRule="exact"/>
        <w:ind w:firstLine="420" w:firstLineChars="200"/>
        <w:jc w:val="left"/>
        <w:rPr>
          <w:rFonts w:ascii="宋体" w:hAnsi="宋体"/>
          <w:szCs w:val="21"/>
        </w:rPr>
      </w:pPr>
      <w:r>
        <w:rPr>
          <w:rFonts w:hint="eastAsia" w:ascii="宋体" w:hAnsi="宋体"/>
          <w:szCs w:val="21"/>
        </w:rPr>
        <w:t>5.调试后正常运行；</w:t>
      </w:r>
    </w:p>
    <w:p w14:paraId="392F3B82">
      <w:pPr>
        <w:spacing w:line="500" w:lineRule="exact"/>
        <w:ind w:firstLine="420" w:firstLineChars="200"/>
        <w:jc w:val="left"/>
        <w:rPr>
          <w:rFonts w:ascii="宋体" w:hAnsi="宋体"/>
          <w:szCs w:val="21"/>
        </w:rPr>
      </w:pPr>
      <w:r>
        <w:rPr>
          <w:rFonts w:hint="eastAsia" w:ascii="宋体" w:hAnsi="宋体"/>
          <w:szCs w:val="21"/>
        </w:rPr>
        <w:t>6.技术参数按投标文件逐条对应。</w:t>
      </w:r>
    </w:p>
    <w:p w14:paraId="640AB920">
      <w:pPr>
        <w:spacing w:line="500" w:lineRule="exact"/>
        <w:ind w:firstLine="420" w:firstLineChars="200"/>
        <w:jc w:val="left"/>
        <w:rPr>
          <w:rFonts w:ascii="宋体" w:hAnsi="宋体"/>
          <w:szCs w:val="21"/>
        </w:rPr>
      </w:pPr>
    </w:p>
    <w:p w14:paraId="0A6CE4BC">
      <w:pPr>
        <w:spacing w:line="500" w:lineRule="exact"/>
        <w:rPr>
          <w:rFonts w:ascii="宋体" w:hAnsi="宋体" w:cs="宋体"/>
          <w:b/>
          <w:color w:val="000000"/>
          <w:szCs w:val="21"/>
        </w:rPr>
      </w:pPr>
      <w:r>
        <w:rPr>
          <w:rFonts w:hint="eastAsia" w:ascii="宋体" w:hAnsi="宋体" w:cs="宋体"/>
          <w:b/>
          <w:color w:val="000000"/>
          <w:szCs w:val="21"/>
        </w:rPr>
        <w:t>五、其他技术、服务要求：</w:t>
      </w:r>
    </w:p>
    <w:p w14:paraId="0E8FA730">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（一）项目实施要求</w:t>
      </w:r>
    </w:p>
    <w:p w14:paraId="380D9A54">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 xml:space="preserve">. </w:t>
      </w:r>
      <w:r>
        <w:t>供应商应具备本项目相关领域的实施经验，能够提供专业技术团队及高质量服务。</w:t>
      </w:r>
    </w:p>
    <w:p w14:paraId="7CE663B3">
      <w:pPr>
        <w:spacing w:line="520" w:lineRule="exact"/>
        <w:ind w:firstLine="480"/>
        <w:rPr>
          <w:strike/>
        </w:rPr>
      </w:pPr>
      <w:r>
        <w:rPr>
          <w:rFonts w:hint="eastAsia"/>
        </w:rPr>
        <w:t>2</w:t>
      </w:r>
      <w:r>
        <w:t xml:space="preserve">. </w:t>
      </w:r>
      <w:r>
        <w:rPr>
          <w:rFonts w:hint="eastAsia"/>
        </w:rPr>
        <w:t>项目实施方案，包括但不限于：项目进度计划、风险评估与控制措施、质量控制体系。方案应体现完整性、针对性，供应商需针对本项目成立专门的实施团队，在规定的时间内，保证质量完成投标所提供设备的规划、安装、调试及投入运行，达成项目目标</w:t>
      </w:r>
      <w:r>
        <w:rPr>
          <w:rFonts w:hint="eastAsia"/>
          <w:b/>
          <w:bCs/>
        </w:rPr>
        <w:t>。</w:t>
      </w:r>
      <w:r>
        <w:rPr>
          <w:rFonts w:hint="eastAsia"/>
        </w:rPr>
        <w:t>针对本项目的安装地点提供针对性的安装方案，安装调试期间，采购人有权派技术人员参加，供应商有义务对其提出问题进行解答。</w:t>
      </w:r>
    </w:p>
    <w:p w14:paraId="2D8BCC67">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安装标准：符合我国国家有关技术规范要求和技术标准，所有的软件和硬件必须保证同时安装到位。</w:t>
      </w:r>
    </w:p>
    <w:p w14:paraId="672D675A">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r>
        <w:rPr>
          <w:rFonts w:ascii="宋体" w:hAnsi="宋体" w:cs="宋体"/>
          <w:bCs/>
          <w:color w:val="000000" w:themeColor="text1"/>
          <w:szCs w:val="21"/>
          <w14:textFill>
            <w14:solidFill>
              <w14:schemeClr w14:val="tx1"/>
            </w14:solidFill>
          </w14:textFill>
        </w:rPr>
        <w:t>.</w:t>
      </w:r>
      <w:r>
        <w:t xml:space="preserve"> 供应商承担本项目实施期间产生的全部费用，包括但不限于设备、配件、辅材、运输、安装、调试、测试、验收、技术支持等，过程须接受采购</w:t>
      </w:r>
      <w:r>
        <w:rPr>
          <w:rFonts w:hint="eastAsia"/>
        </w:rPr>
        <w:t>人</w:t>
      </w:r>
      <w:r>
        <w:t>监督。</w:t>
      </w:r>
    </w:p>
    <w:p w14:paraId="53E2E307">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（二）项目培训要求</w:t>
      </w:r>
    </w:p>
    <w:p w14:paraId="422C5CA2">
      <w:pPr>
        <w:spacing w:line="520" w:lineRule="exact"/>
        <w:ind w:firstLine="480"/>
        <w:rPr>
          <w:rFonts w:ascii="宋体" w:hAnsi="宋体"/>
          <w:szCs w:val="21"/>
        </w:rPr>
      </w:pPr>
      <w:r>
        <w:rPr>
          <w:rFonts w:hint="eastAsia" w:ascii="宋体" w:hAnsi="宋体" w:cs="宋体"/>
          <w:bCs/>
          <w:color w:val="000000" w:themeColor="text1"/>
          <w:szCs w:val="21"/>
          <w14:textFill>
            <w14:solidFill>
              <w14:schemeClr w14:val="tx1"/>
            </w14:solidFill>
          </w14:textFill>
        </w:rPr>
        <w:t>1.中标供应商</w:t>
      </w:r>
      <w:r>
        <w:rPr>
          <w:rFonts w:hint="eastAsia" w:ascii="宋体" w:hAnsi="宋体"/>
          <w:szCs w:val="21"/>
        </w:rPr>
        <w:t>对人员培训不低于3人；需在货物调试安装完成后的15个工作日内，为采购人提供一次现场培训服务，培训内容包括但不限于：产品设备功能说明、常见问题及解决办法、运维培训等。</w:t>
      </w:r>
    </w:p>
    <w:p w14:paraId="3AEA8B91">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szCs w:val="21"/>
        </w:rPr>
        <w:t>中标供应商在项目实施和交付过程中，须根据采购人需求，制定覆盖系统操作、管理维护、日常运维、常见故障应急处理等内容的专项培训计划。需要对采购人相关管理人员进行免费现场培训，培训内容包括：所有硬件设备的基本操作原理和设备运行注意事项、日常维护保养等。通过培训确保采购人的管理人员能够了解系统的安装及配置，掌握各种软件安装调试及使用、</w:t>
      </w:r>
      <w:r>
        <w:rPr>
          <w:rFonts w:hint="eastAsia" w:ascii="宋体" w:hAnsi="宋体" w:cs="宋体"/>
          <w:bCs/>
          <w:color w:val="000000" w:themeColor="text1"/>
          <w:szCs w:val="21"/>
          <w14:textFill>
            <w14:solidFill>
              <w14:schemeClr w14:val="tx1"/>
            </w14:solidFill>
          </w14:textFill>
        </w:rPr>
        <w:t>常见故障的解决办法、系统的简易性恢复等技能。应</w:t>
      </w:r>
      <w:r>
        <w:t>提供定制化案例教学和后续在线/远程答疑服务。</w:t>
      </w:r>
      <w:r>
        <w:rPr>
          <w:rFonts w:hint="eastAsia" w:ascii="宋体" w:hAnsi="宋体" w:cs="宋体"/>
          <w:bCs/>
          <w:color w:val="000000" w:themeColor="text1"/>
          <w:szCs w:val="21"/>
          <w14:textFill>
            <w14:solidFill>
              <w14:schemeClr w14:val="tx1"/>
            </w14:solidFill>
          </w14:textFill>
        </w:rPr>
        <w:t>投标文件中提供详细的培训计划及方案。</w:t>
      </w:r>
    </w:p>
    <w:p w14:paraId="52F915E9">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（三）售后服务要求</w:t>
      </w:r>
    </w:p>
    <w:p w14:paraId="38CA7C7D">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供应商在合同期内，向采购人免费提供系统维护、技术支持服务；如系统出现错误和故障，供应商应根据采购人要求给予修正。</w:t>
      </w:r>
    </w:p>
    <w:p w14:paraId="4B169004">
      <w:pPr>
        <w:spacing w:line="520" w:lineRule="exact"/>
        <w:ind w:firstLine="480"/>
        <w:rPr>
          <w:rFonts w:ascii="宋体" w:hAnsi="宋体" w:cs="宋体"/>
          <w:bCs/>
          <w:szCs w:val="21"/>
        </w:rPr>
      </w:pPr>
      <w:r>
        <w:rPr>
          <w:rFonts w:hint="eastAsia" w:ascii="宋体" w:hAnsi="宋体" w:cs="宋体"/>
          <w:bCs/>
          <w:szCs w:val="21"/>
        </w:rPr>
        <w:t>2.售后技术服务要求：提供不少于1年免费售后服务，以及技术支持，远程技术支持：应具有稳定的技术支持队伍和完善的服务支持网络，提供 7×24小时技术支持服务，及时响应采购人的技术服务支持需求，提出有效的解决方案，解决采购人在货物使用过程中遇到的实际问题。对于通过电话、邮件等远程技术支持不能解决的问题，应在 48小时内派遣相关人员赶赴现场，72小时内维修完毕；发生紧急抢修事故的，应在接到采购人通知后12小时内到达现场抢修，并于到达现场48小时之内排除故障；</w:t>
      </w:r>
    </w:p>
    <w:p w14:paraId="3B9FC3AB">
      <w:pPr>
        <w:spacing w:line="520" w:lineRule="exact"/>
        <w:ind w:firstLine="480"/>
        <w:rPr>
          <w:rFonts w:ascii="宋体" w:hAnsi="宋体" w:cs="宋体"/>
          <w:bCs/>
          <w:szCs w:val="21"/>
        </w:rPr>
      </w:pPr>
      <w:r>
        <w:rPr>
          <w:rFonts w:hint="eastAsia" w:ascii="宋体" w:hAnsi="宋体" w:cs="宋体"/>
          <w:bCs/>
          <w:szCs w:val="21"/>
        </w:rPr>
        <w:t>3.其他服务要求：免费质保期满后，提供备件，出现故障后，上门维修，不收取人工费；</w:t>
      </w:r>
    </w:p>
    <w:p w14:paraId="7B224545">
      <w:pPr>
        <w:spacing w:line="520" w:lineRule="exact"/>
        <w:ind w:firstLine="480"/>
        <w:rPr>
          <w:rFonts w:ascii="宋体" w:hAnsi="宋体" w:cs="宋体"/>
          <w:bCs/>
          <w:szCs w:val="21"/>
        </w:rPr>
      </w:pPr>
      <w:r>
        <w:rPr>
          <w:rFonts w:hint="eastAsia" w:ascii="宋体" w:hAnsi="宋体" w:cs="宋体"/>
          <w:bCs/>
          <w:szCs w:val="21"/>
        </w:rPr>
        <w:t>4</w:t>
      </w:r>
      <w:r>
        <w:rPr>
          <w:rFonts w:ascii="宋体" w:hAnsi="宋体" w:cs="宋体"/>
          <w:bCs/>
          <w:szCs w:val="21"/>
        </w:rPr>
        <w:t>.</w:t>
      </w:r>
      <w:r>
        <w:rPr>
          <w:rFonts w:hint="eastAsia" w:ascii="宋体" w:hAnsi="宋体" w:cs="宋体"/>
          <w:bCs/>
          <w:szCs w:val="21"/>
        </w:rPr>
        <w:t>供应商应提供自身及所投货物品牌的响应标准、服务体系、备件体系、故障解决方案、专业技术人员保障等服务方案，服务方案应科学合理、具备针对性，并指定专门的售后服务人员，确保供应商中标后提供的各项售后服务能满足招标文件要求。</w:t>
      </w:r>
    </w:p>
    <w:p w14:paraId="6CC85336">
      <w:pPr>
        <w:spacing w:line="500" w:lineRule="exact"/>
        <w:rPr>
          <w:rFonts w:ascii="宋体" w:hAnsi="宋体" w:cs="宋体"/>
          <w:b/>
          <w:color w:val="000000"/>
          <w:szCs w:val="21"/>
        </w:rPr>
      </w:pPr>
    </w:p>
    <w:p w14:paraId="5C2D353A">
      <w:pPr>
        <w:spacing w:line="500" w:lineRule="exact"/>
        <w:rPr>
          <w:rFonts w:ascii="宋体" w:hAnsi="宋体" w:cs="宋体"/>
          <w:b/>
          <w:color w:val="000000"/>
          <w:szCs w:val="21"/>
        </w:rPr>
      </w:pPr>
      <w:r>
        <w:rPr>
          <w:rFonts w:hint="eastAsia" w:ascii="宋体" w:hAnsi="宋体" w:cs="宋体"/>
          <w:b/>
          <w:color w:val="000000"/>
          <w:szCs w:val="21"/>
        </w:rPr>
        <w:t>六、违约认定及赔偿要求：</w:t>
      </w:r>
    </w:p>
    <w:p w14:paraId="4D5FE097">
      <w:pPr>
        <w:spacing w:line="500" w:lineRule="exact"/>
        <w:ind w:firstLine="420" w:firstLineChars="200"/>
        <w:jc w:val="left"/>
        <w:rPr>
          <w:rFonts w:ascii="宋体" w:hAnsi="宋体"/>
          <w:szCs w:val="21"/>
        </w:rPr>
      </w:pPr>
      <w:r>
        <w:rPr>
          <w:rFonts w:hint="eastAsia" w:ascii="宋体" w:hAnsi="宋体"/>
          <w:szCs w:val="21"/>
        </w:rPr>
        <w:t>（一）以下情况视为供应商违约：</w:t>
      </w:r>
    </w:p>
    <w:p w14:paraId="7237D79F">
      <w:pPr>
        <w:spacing w:line="500" w:lineRule="exact"/>
        <w:ind w:firstLine="420" w:firstLineChars="200"/>
        <w:jc w:val="left"/>
        <w:rPr>
          <w:rFonts w:ascii="宋体" w:hAnsi="宋体"/>
          <w:szCs w:val="21"/>
        </w:rPr>
      </w:pPr>
      <w:r>
        <w:rPr>
          <w:rFonts w:hint="eastAsia" w:ascii="宋体" w:hAnsi="宋体"/>
          <w:szCs w:val="21"/>
        </w:rPr>
        <w:t>1.逾期交货；</w:t>
      </w:r>
    </w:p>
    <w:p w14:paraId="6357D5A3">
      <w:pPr>
        <w:spacing w:line="500" w:lineRule="exact"/>
        <w:ind w:firstLine="420" w:firstLineChars="200"/>
        <w:jc w:val="left"/>
        <w:rPr>
          <w:rFonts w:ascii="宋体" w:hAnsi="宋体"/>
          <w:szCs w:val="21"/>
        </w:rPr>
      </w:pPr>
      <w:r>
        <w:rPr>
          <w:rFonts w:hint="eastAsia" w:ascii="宋体" w:hAnsi="宋体"/>
          <w:szCs w:val="21"/>
        </w:rPr>
        <w:t>2.货物不全或与标书所列清单不符；</w:t>
      </w:r>
    </w:p>
    <w:p w14:paraId="3BABB731">
      <w:pPr>
        <w:spacing w:line="500" w:lineRule="exact"/>
        <w:ind w:firstLine="420" w:firstLineChars="200"/>
        <w:jc w:val="left"/>
        <w:rPr>
          <w:rFonts w:ascii="宋体" w:hAnsi="宋体"/>
          <w:szCs w:val="21"/>
        </w:rPr>
      </w:pPr>
      <w:r>
        <w:rPr>
          <w:rFonts w:hint="eastAsia" w:ascii="宋体" w:hAnsi="宋体"/>
          <w:szCs w:val="21"/>
        </w:rPr>
        <w:t>3.未通过验收；</w:t>
      </w:r>
    </w:p>
    <w:p w14:paraId="459F98A2">
      <w:pPr>
        <w:spacing w:line="500" w:lineRule="exact"/>
        <w:ind w:firstLine="420" w:firstLineChars="200"/>
        <w:jc w:val="left"/>
        <w:rPr>
          <w:rFonts w:ascii="宋体" w:hAnsi="宋体"/>
          <w:szCs w:val="21"/>
        </w:rPr>
      </w:pPr>
      <w:r>
        <w:rPr>
          <w:rFonts w:hint="eastAsia" w:ascii="宋体" w:hAnsi="宋体"/>
          <w:szCs w:val="21"/>
        </w:rPr>
        <w:t>4.提供伪劣产品；</w:t>
      </w:r>
    </w:p>
    <w:p w14:paraId="16AF63C8">
      <w:pPr>
        <w:spacing w:line="500" w:lineRule="exact"/>
        <w:ind w:firstLine="420" w:firstLineChars="200"/>
        <w:jc w:val="left"/>
        <w:rPr>
          <w:rFonts w:ascii="宋体" w:hAnsi="宋体"/>
          <w:szCs w:val="21"/>
        </w:rPr>
      </w:pPr>
      <w:r>
        <w:rPr>
          <w:rFonts w:hint="eastAsia" w:ascii="宋体" w:hAnsi="宋体"/>
          <w:szCs w:val="21"/>
        </w:rPr>
        <w:t>5.未按合同规定提供售后服务。</w:t>
      </w:r>
    </w:p>
    <w:p w14:paraId="6193BCD5">
      <w:pPr>
        <w:spacing w:line="500" w:lineRule="exact"/>
        <w:ind w:firstLine="420" w:firstLineChars="200"/>
        <w:jc w:val="left"/>
        <w:rPr>
          <w:rFonts w:ascii="宋体" w:hAnsi="宋体"/>
          <w:szCs w:val="21"/>
        </w:rPr>
      </w:pPr>
      <w:r>
        <w:rPr>
          <w:rFonts w:hint="eastAsia" w:ascii="宋体" w:hAnsi="宋体"/>
          <w:szCs w:val="21"/>
        </w:rPr>
        <w:t>（二）违约赔偿</w:t>
      </w:r>
    </w:p>
    <w:p w14:paraId="7BC014A9">
      <w:pPr>
        <w:spacing w:line="500" w:lineRule="exact"/>
        <w:ind w:firstLine="420" w:firstLineChars="200"/>
        <w:jc w:val="left"/>
        <w:rPr>
          <w:rFonts w:ascii="宋体" w:hAnsi="宋体"/>
          <w:szCs w:val="21"/>
        </w:rPr>
      </w:pPr>
      <w:r>
        <w:rPr>
          <w:rFonts w:hint="eastAsia" w:ascii="宋体" w:hAnsi="宋体"/>
          <w:szCs w:val="21"/>
        </w:rPr>
        <w:t>1.中标供应商不履行本合同义务或履行义务不符合约定的，采购人有权扣除履约保证金并要求中标供应商承担继续履行、赔偿损失或支付违约金等违约责任。</w:t>
      </w:r>
    </w:p>
    <w:p w14:paraId="12E59D12">
      <w:pPr>
        <w:spacing w:line="500" w:lineRule="exact"/>
        <w:ind w:firstLine="420" w:firstLineChars="200"/>
        <w:jc w:val="left"/>
        <w:rPr>
          <w:rFonts w:ascii="宋体" w:hAnsi="宋体"/>
          <w:szCs w:val="21"/>
        </w:rPr>
      </w:pPr>
      <w:r>
        <w:rPr>
          <w:rFonts w:hint="eastAsia" w:ascii="宋体" w:hAnsi="宋体"/>
          <w:szCs w:val="21"/>
        </w:rPr>
        <w:t>2.中标供应商未按期完成技术服务工作的，每逾期1天，应向采购人支付相当于技术服务报酬1%的违约金，逾期超过90日的，采购人有权单方解除合同。</w:t>
      </w:r>
    </w:p>
    <w:p w14:paraId="0DC770D1">
      <w:pPr>
        <w:spacing w:line="500" w:lineRule="exact"/>
        <w:ind w:firstLine="420" w:firstLineChars="200"/>
        <w:jc w:val="left"/>
        <w:rPr>
          <w:rFonts w:ascii="宋体" w:hAnsi="宋体"/>
          <w:szCs w:val="21"/>
        </w:rPr>
      </w:pPr>
      <w:r>
        <w:rPr>
          <w:rFonts w:hint="eastAsia" w:ascii="宋体" w:hAnsi="宋体"/>
          <w:szCs w:val="21"/>
        </w:rPr>
        <w:t>3.中标供应商未按合同约定履行合同义务，经采购人催告仍未纠正的，采购人有权单方解除合同。由于整改纠正造成进度延期交付的视同逾期交付。</w:t>
      </w:r>
    </w:p>
    <w:p w14:paraId="373FBB06">
      <w:pPr>
        <w:spacing w:line="500" w:lineRule="exact"/>
        <w:ind w:firstLine="420" w:firstLineChars="200"/>
        <w:jc w:val="left"/>
        <w:rPr>
          <w:rFonts w:ascii="宋体" w:hAnsi="宋体"/>
          <w:szCs w:val="21"/>
        </w:rPr>
      </w:pPr>
      <w:r>
        <w:rPr>
          <w:rFonts w:hint="eastAsia" w:ascii="宋体" w:hAnsi="宋体"/>
          <w:szCs w:val="21"/>
        </w:rPr>
        <w:t>4.中标供应商提供的技术服务不符合本合同约定的验收标准，未通过采购人验收的，中标供应商应退还采购人已支付的全部款项，并向采购人支付相当于技术服务报酬 5%的违约金。</w:t>
      </w:r>
    </w:p>
    <w:p w14:paraId="22F69864">
      <w:pPr>
        <w:spacing w:line="500" w:lineRule="exact"/>
        <w:ind w:firstLine="420" w:firstLineChars="200"/>
        <w:rPr>
          <w:rFonts w:ascii="宋体" w:hAnsi="宋体"/>
          <w:szCs w:val="21"/>
        </w:rPr>
      </w:pPr>
      <w:r>
        <w:rPr>
          <w:rFonts w:hint="eastAsia" w:ascii="宋体" w:hAnsi="宋体"/>
          <w:szCs w:val="21"/>
        </w:rPr>
        <w:t>5.合同因中标供应商原因解除的，采购人有权停止支付并要求中标供应商退还采购人已支付的全部款项，且中标供应商应向采购人支付相当于技术服务报酬 5%的违约金。</w:t>
      </w:r>
    </w:p>
    <w:p w14:paraId="69410B8B">
      <w:pPr>
        <w:rPr>
          <w:rFonts w:ascii="宋体" w:hAnsi="宋体"/>
          <w:szCs w:val="21"/>
        </w:rPr>
      </w:pPr>
      <w:r>
        <w:rPr>
          <w:rFonts w:hint="eastAsia" w:ascii="宋体" w:hAnsi="宋体"/>
          <w:szCs w:val="21"/>
        </w:rPr>
        <w:br w:type="page"/>
      </w:r>
    </w:p>
    <w:p w14:paraId="7F64BDD1">
      <w:pPr>
        <w:pStyle w:val="2"/>
        <w:numPr>
          <w:ilvl w:val="0"/>
          <w:numId w:val="0"/>
        </w:numPr>
        <w:rPr>
          <w:rFonts w:ascii="宋体" w:hAnsi="宋体" w:cs="宋体"/>
        </w:rPr>
      </w:pPr>
      <w:bookmarkStart w:id="22" w:name="_Toc14613"/>
      <w:r>
        <w:rPr>
          <w:rFonts w:hint="eastAsia" w:ascii="宋体" w:hAnsi="宋体" w:cs="宋体"/>
        </w:rPr>
        <w:t>第五章 合同主要条款及格式</w:t>
      </w:r>
      <w:bookmarkEnd w:id="20"/>
      <w:bookmarkEnd w:id="22"/>
    </w:p>
    <w:p w14:paraId="56D2F176">
      <w:pPr>
        <w:pStyle w:val="24"/>
        <w:snapToGrid w:val="0"/>
        <w:spacing w:before="120" w:after="120" w:line="360" w:lineRule="auto"/>
        <w:ind w:firstLine="480" w:firstLineChars="200"/>
        <w:jc w:val="right"/>
        <w:rPr>
          <w:rFonts w:ascii="宋体" w:hAnsi="宋体"/>
          <w:sz w:val="16"/>
          <w:szCs w:val="16"/>
        </w:rPr>
      </w:pPr>
      <w:r>
        <w:rPr>
          <w:rFonts w:hint="eastAsia" w:ascii="宋体" w:hAnsi="宋体" w:cs="宋体"/>
          <w:kern w:val="0"/>
          <w:sz w:val="24"/>
        </w:rPr>
        <w:t xml:space="preserve"> </w:t>
      </w:r>
      <w:r>
        <w:rPr>
          <w:rFonts w:hint="eastAsia" w:ascii="宋体" w:hAnsi="宋体" w:cs="宋体"/>
          <w:sz w:val="24"/>
        </w:rPr>
        <w:t xml:space="preserve"> </w:t>
      </w:r>
      <w:r>
        <w:rPr>
          <w:rFonts w:hint="eastAsia" w:ascii="宋体" w:hAnsi="宋体" w:cs="宋体"/>
          <w:b/>
          <w:bCs/>
          <w:sz w:val="24"/>
        </w:rPr>
        <w:t> </w:t>
      </w:r>
      <w:r>
        <w:rPr>
          <w:rFonts w:hint="eastAsia" w:ascii="宋体" w:hAnsi="宋体"/>
          <w:sz w:val="16"/>
          <w:szCs w:val="16"/>
        </w:rPr>
        <w:t>南师大合同编号：</w:t>
      </w:r>
      <w:bookmarkStart w:id="23" w:name="合同编号"/>
      <w:bookmarkEnd w:id="23"/>
    </w:p>
    <w:p w14:paraId="7586237D">
      <w:pPr>
        <w:pStyle w:val="24"/>
        <w:snapToGrid w:val="0"/>
        <w:spacing w:before="120" w:after="120" w:line="360" w:lineRule="auto"/>
        <w:ind w:firstLine="643" w:firstLineChars="200"/>
        <w:jc w:val="center"/>
        <w:rPr>
          <w:rFonts w:ascii="宋体" w:hAnsi="宋体" w:cs="宋体"/>
          <w:kern w:val="0"/>
          <w:sz w:val="44"/>
          <w:szCs w:val="44"/>
        </w:rPr>
      </w:pPr>
      <w:r>
        <w:rPr>
          <w:rFonts w:hint="eastAsia" w:ascii="宋体" w:hAnsi="宋体"/>
          <w:b/>
          <w:sz w:val="32"/>
        </w:rPr>
        <w:t>南京师范大学货物采购合同</w:t>
      </w:r>
    </w:p>
    <w:p w14:paraId="360C7AA1">
      <w:pPr>
        <w:pStyle w:val="24"/>
        <w:snapToGrid w:val="0"/>
        <w:spacing w:line="360" w:lineRule="auto"/>
        <w:ind w:firstLine="420" w:firstLineChars="200"/>
        <w:rPr>
          <w:rFonts w:hAnsi="宋体"/>
          <w:szCs w:val="21"/>
        </w:rPr>
      </w:pPr>
      <w:r>
        <w:rPr>
          <w:rFonts w:hAnsi="宋体"/>
          <w:szCs w:val="21"/>
        </w:rPr>
        <w:t xml:space="preserve">项目名称：                        </w:t>
      </w:r>
      <w:r>
        <w:rPr>
          <w:rFonts w:hint="eastAsia" w:hAnsi="宋体"/>
          <w:szCs w:val="21"/>
        </w:rPr>
        <w:t>南师大</w:t>
      </w:r>
      <w:r>
        <w:rPr>
          <w:rFonts w:hAnsi="宋体"/>
          <w:szCs w:val="21"/>
        </w:rPr>
        <w:t>项目</w:t>
      </w:r>
      <w:r>
        <w:rPr>
          <w:rFonts w:hint="eastAsia" w:hAnsi="宋体"/>
          <w:szCs w:val="21"/>
        </w:rPr>
        <w:t>采购</w:t>
      </w:r>
      <w:r>
        <w:rPr>
          <w:rFonts w:hAnsi="宋体"/>
          <w:szCs w:val="21"/>
        </w:rPr>
        <w:t>编号：</w:t>
      </w:r>
    </w:p>
    <w:p w14:paraId="17C95506">
      <w:pPr>
        <w:pStyle w:val="24"/>
        <w:snapToGrid w:val="0"/>
        <w:spacing w:line="360" w:lineRule="auto"/>
        <w:ind w:firstLine="420" w:firstLineChars="200"/>
        <w:rPr>
          <w:rFonts w:ascii="宋体" w:hAnsi="宋体"/>
          <w:szCs w:val="21"/>
        </w:rPr>
      </w:pPr>
      <w:r>
        <w:rPr>
          <w:rFonts w:ascii="宋体" w:hAnsi="宋体"/>
          <w:szCs w:val="21"/>
        </w:rPr>
        <w:t>甲方：（买方）</w:t>
      </w:r>
      <w:r>
        <w:rPr>
          <w:rFonts w:hint="eastAsia" w:ascii="宋体" w:hAnsi="宋体"/>
          <w:szCs w:val="21"/>
        </w:rPr>
        <w:t>南京师范大学</w:t>
      </w:r>
    </w:p>
    <w:p w14:paraId="21CF7530">
      <w:pPr>
        <w:pStyle w:val="24"/>
        <w:snapToGrid w:val="0"/>
        <w:spacing w:line="360" w:lineRule="auto"/>
        <w:ind w:firstLine="420" w:firstLineChars="200"/>
        <w:rPr>
          <w:rFonts w:ascii="宋体" w:hAnsi="宋体"/>
          <w:szCs w:val="21"/>
        </w:rPr>
      </w:pPr>
      <w:r>
        <w:rPr>
          <w:rFonts w:ascii="宋体" w:hAnsi="宋体"/>
          <w:szCs w:val="21"/>
        </w:rPr>
        <w:t>乙方：（卖方）_________</w:t>
      </w:r>
    </w:p>
    <w:p w14:paraId="2ECF7A25">
      <w:pPr>
        <w:spacing w:line="360" w:lineRule="auto"/>
        <w:ind w:firstLine="420" w:firstLineChars="200"/>
      </w:pPr>
      <w:r>
        <w:rPr>
          <w:rFonts w:hint="eastAsia"/>
        </w:rPr>
        <w:t>甲、乙双方根据</w:t>
      </w:r>
      <w:r>
        <w:rPr>
          <w:rFonts w:hint="eastAsia"/>
          <w:u w:val="single"/>
        </w:rPr>
        <w:t xml:space="preserve">                   </w:t>
      </w:r>
      <w:r>
        <w:rPr>
          <w:rFonts w:hint="eastAsia"/>
        </w:rPr>
        <w:t>采购的结果，签署本合同。</w:t>
      </w:r>
    </w:p>
    <w:p w14:paraId="688DB0C2">
      <w:pPr>
        <w:spacing w:line="360" w:lineRule="auto"/>
        <w:ind w:firstLine="422" w:firstLineChars="200"/>
        <w:rPr>
          <w:szCs w:val="21"/>
        </w:rPr>
      </w:pPr>
      <w:r>
        <w:rPr>
          <w:rFonts w:hint="eastAsia"/>
          <w:b/>
          <w:bCs/>
          <w:szCs w:val="21"/>
        </w:rPr>
        <w:t>一、采购标的</w:t>
      </w:r>
      <w:r>
        <w:rPr>
          <w:rFonts w:hint="eastAsia"/>
          <w:b/>
          <w:bCs/>
          <w:szCs w:val="21"/>
        </w:rPr>
        <w:tab/>
      </w:r>
      <w:r>
        <w:rPr>
          <w:rFonts w:hint="eastAsia"/>
          <w:szCs w:val="21"/>
        </w:rPr>
        <w:tab/>
      </w: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560"/>
        <w:gridCol w:w="1984"/>
        <w:gridCol w:w="1276"/>
      </w:tblGrid>
      <w:tr w14:paraId="7B56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1EC30215">
            <w:pPr>
              <w:spacing w:line="360" w:lineRule="auto"/>
              <w:ind w:firstLine="420" w:firstLineChars="200"/>
              <w:rPr>
                <w:szCs w:val="21"/>
              </w:rPr>
            </w:pPr>
            <w:r>
              <w:rPr>
                <w:rFonts w:hint="eastAsia"/>
                <w:szCs w:val="21"/>
              </w:rPr>
              <w:t>标  的  名    称</w:t>
            </w:r>
          </w:p>
        </w:tc>
        <w:tc>
          <w:tcPr>
            <w:tcW w:w="1560" w:type="dxa"/>
          </w:tcPr>
          <w:p w14:paraId="3A339FEB">
            <w:pPr>
              <w:spacing w:line="360" w:lineRule="auto"/>
              <w:rPr>
                <w:szCs w:val="21"/>
              </w:rPr>
            </w:pPr>
            <w:r>
              <w:rPr>
                <w:rFonts w:hint="eastAsia"/>
                <w:szCs w:val="21"/>
              </w:rPr>
              <w:t>品   牌</w:t>
            </w:r>
          </w:p>
        </w:tc>
        <w:tc>
          <w:tcPr>
            <w:tcW w:w="1984" w:type="dxa"/>
          </w:tcPr>
          <w:p w14:paraId="698ACE5D">
            <w:pPr>
              <w:spacing w:line="360" w:lineRule="auto"/>
              <w:rPr>
                <w:szCs w:val="21"/>
              </w:rPr>
            </w:pPr>
            <w:r>
              <w:rPr>
                <w:rFonts w:hint="eastAsia"/>
                <w:szCs w:val="21"/>
              </w:rPr>
              <w:t>厂   家</w:t>
            </w:r>
          </w:p>
        </w:tc>
        <w:tc>
          <w:tcPr>
            <w:tcW w:w="1276" w:type="dxa"/>
          </w:tcPr>
          <w:p w14:paraId="0D1BB761">
            <w:pPr>
              <w:spacing w:line="360" w:lineRule="auto"/>
              <w:rPr>
                <w:szCs w:val="21"/>
              </w:rPr>
            </w:pPr>
            <w:r>
              <w:rPr>
                <w:rFonts w:hint="eastAsia"/>
                <w:szCs w:val="21"/>
              </w:rPr>
              <w:t>产  地</w:t>
            </w:r>
          </w:p>
        </w:tc>
      </w:tr>
      <w:tr w14:paraId="42A2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AEF20D7">
            <w:pPr>
              <w:spacing w:line="360" w:lineRule="auto"/>
              <w:ind w:firstLine="420" w:firstLineChars="200"/>
              <w:rPr>
                <w:szCs w:val="21"/>
              </w:rPr>
            </w:pPr>
          </w:p>
        </w:tc>
        <w:tc>
          <w:tcPr>
            <w:tcW w:w="1560" w:type="dxa"/>
          </w:tcPr>
          <w:p w14:paraId="52CBAA27">
            <w:pPr>
              <w:spacing w:line="360" w:lineRule="auto"/>
              <w:ind w:firstLine="420" w:firstLineChars="200"/>
              <w:rPr>
                <w:szCs w:val="21"/>
              </w:rPr>
            </w:pPr>
          </w:p>
        </w:tc>
        <w:tc>
          <w:tcPr>
            <w:tcW w:w="1984" w:type="dxa"/>
          </w:tcPr>
          <w:p w14:paraId="6A4B7009">
            <w:pPr>
              <w:spacing w:line="360" w:lineRule="auto"/>
              <w:ind w:firstLine="420" w:firstLineChars="200"/>
              <w:rPr>
                <w:szCs w:val="21"/>
              </w:rPr>
            </w:pPr>
          </w:p>
        </w:tc>
        <w:tc>
          <w:tcPr>
            <w:tcW w:w="1276" w:type="dxa"/>
          </w:tcPr>
          <w:p w14:paraId="6B15E940">
            <w:pPr>
              <w:spacing w:line="360" w:lineRule="auto"/>
              <w:ind w:firstLine="420" w:firstLineChars="200"/>
              <w:rPr>
                <w:szCs w:val="21"/>
              </w:rPr>
            </w:pPr>
          </w:p>
        </w:tc>
      </w:tr>
    </w:tbl>
    <w:p w14:paraId="632174E4">
      <w:pPr>
        <w:rPr>
          <w:szCs w:val="21"/>
        </w:rPr>
      </w:pPr>
    </w:p>
    <w:p w14:paraId="158E3BC7">
      <w:pPr>
        <w:rPr>
          <w:szCs w:val="21"/>
        </w:rPr>
      </w:pP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418"/>
        <w:gridCol w:w="1134"/>
        <w:gridCol w:w="2268"/>
      </w:tblGrid>
      <w:tr w14:paraId="64EB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0C97F8D1">
            <w:pPr>
              <w:spacing w:line="360" w:lineRule="auto"/>
              <w:ind w:firstLine="420" w:firstLineChars="200"/>
              <w:rPr>
                <w:szCs w:val="21"/>
              </w:rPr>
            </w:pPr>
            <w:r>
              <w:rPr>
                <w:rFonts w:hint="eastAsia"/>
                <w:szCs w:val="21"/>
              </w:rPr>
              <w:t>型 号 规 格</w:t>
            </w:r>
          </w:p>
        </w:tc>
        <w:tc>
          <w:tcPr>
            <w:tcW w:w="1418" w:type="dxa"/>
          </w:tcPr>
          <w:p w14:paraId="3D313441">
            <w:pPr>
              <w:spacing w:line="360" w:lineRule="auto"/>
              <w:rPr>
                <w:szCs w:val="21"/>
              </w:rPr>
            </w:pPr>
            <w:r>
              <w:rPr>
                <w:rFonts w:hint="eastAsia"/>
                <w:szCs w:val="21"/>
              </w:rPr>
              <w:t>数  量</w:t>
            </w:r>
          </w:p>
        </w:tc>
        <w:tc>
          <w:tcPr>
            <w:tcW w:w="1134" w:type="dxa"/>
          </w:tcPr>
          <w:p w14:paraId="23AE82A6">
            <w:pPr>
              <w:spacing w:line="360" w:lineRule="auto"/>
              <w:rPr>
                <w:szCs w:val="21"/>
              </w:rPr>
            </w:pPr>
            <w:r>
              <w:rPr>
                <w:rFonts w:hint="eastAsia"/>
                <w:szCs w:val="21"/>
              </w:rPr>
              <w:t>单  价</w:t>
            </w:r>
          </w:p>
        </w:tc>
        <w:tc>
          <w:tcPr>
            <w:tcW w:w="2268" w:type="dxa"/>
          </w:tcPr>
          <w:p w14:paraId="78D6D665">
            <w:pPr>
              <w:spacing w:line="360" w:lineRule="auto"/>
              <w:ind w:firstLine="420" w:firstLineChars="200"/>
              <w:rPr>
                <w:szCs w:val="21"/>
              </w:rPr>
            </w:pPr>
            <w:r>
              <w:rPr>
                <w:rFonts w:hint="eastAsia"/>
                <w:szCs w:val="21"/>
              </w:rPr>
              <w:t>总   价</w:t>
            </w:r>
          </w:p>
        </w:tc>
      </w:tr>
      <w:tr w14:paraId="19DD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6425868">
            <w:pPr>
              <w:spacing w:line="360" w:lineRule="auto"/>
              <w:ind w:firstLine="420" w:firstLineChars="200"/>
              <w:rPr>
                <w:szCs w:val="21"/>
              </w:rPr>
            </w:pPr>
          </w:p>
        </w:tc>
        <w:tc>
          <w:tcPr>
            <w:tcW w:w="1418" w:type="dxa"/>
          </w:tcPr>
          <w:p w14:paraId="7A4667B1">
            <w:pPr>
              <w:spacing w:line="360" w:lineRule="auto"/>
              <w:ind w:firstLine="420" w:firstLineChars="200"/>
              <w:rPr>
                <w:szCs w:val="21"/>
              </w:rPr>
            </w:pPr>
          </w:p>
        </w:tc>
        <w:tc>
          <w:tcPr>
            <w:tcW w:w="1134" w:type="dxa"/>
          </w:tcPr>
          <w:p w14:paraId="7A04F04D">
            <w:pPr>
              <w:spacing w:line="360" w:lineRule="auto"/>
              <w:ind w:firstLine="420" w:firstLineChars="200"/>
              <w:rPr>
                <w:szCs w:val="21"/>
              </w:rPr>
            </w:pPr>
          </w:p>
        </w:tc>
        <w:tc>
          <w:tcPr>
            <w:tcW w:w="2268" w:type="dxa"/>
          </w:tcPr>
          <w:p w14:paraId="2A83B5AE">
            <w:pPr>
              <w:spacing w:line="360" w:lineRule="auto"/>
              <w:ind w:firstLine="420" w:firstLineChars="200"/>
              <w:rPr>
                <w:szCs w:val="21"/>
              </w:rPr>
            </w:pPr>
          </w:p>
        </w:tc>
      </w:tr>
    </w:tbl>
    <w:p w14:paraId="67CA01A2">
      <w:pPr>
        <w:rPr>
          <w:szCs w:val="21"/>
        </w:rPr>
      </w:pPr>
      <w:r>
        <w:rPr>
          <w:rFonts w:hint="eastAsia"/>
          <w:szCs w:val="21"/>
        </w:rPr>
        <w:tab/>
      </w:r>
      <w:r>
        <w:rPr>
          <w:rFonts w:hint="eastAsia"/>
          <w:szCs w:val="21"/>
        </w:rPr>
        <w:tab/>
      </w:r>
      <w:r>
        <w:rPr>
          <w:rFonts w:hint="eastAsia"/>
          <w:szCs w:val="21"/>
        </w:rPr>
        <w:tab/>
      </w:r>
    </w:p>
    <w:p w14:paraId="4BADA434">
      <w:pPr>
        <w:spacing w:line="360" w:lineRule="auto"/>
        <w:ind w:firstLine="422" w:firstLineChars="200"/>
        <w:rPr>
          <w:b/>
          <w:bCs/>
        </w:rPr>
      </w:pPr>
      <w:r>
        <w:rPr>
          <w:rFonts w:hint="eastAsia"/>
          <w:b/>
          <w:bCs/>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5F813E7F">
      <w:pPr>
        <w:spacing w:line="360" w:lineRule="auto"/>
        <w:ind w:firstLine="422" w:firstLineChars="200"/>
        <w:rPr>
          <w:b/>
          <w:bCs/>
        </w:rPr>
      </w:pPr>
      <w:r>
        <w:rPr>
          <w:rFonts w:hint="eastAsia"/>
          <w:b/>
          <w:bCs/>
        </w:rPr>
        <w:t>二、合同金额</w:t>
      </w:r>
    </w:p>
    <w:p w14:paraId="35EC21DB">
      <w:pPr>
        <w:spacing w:line="360" w:lineRule="auto"/>
        <w:ind w:firstLine="420" w:firstLineChars="200"/>
      </w:pPr>
      <w:r>
        <w:rPr>
          <w:rFonts w:hint="eastAsia"/>
        </w:rPr>
        <w:t>本合同总金额为（大写）：____________元整（￥_______元）人民币。</w:t>
      </w:r>
    </w:p>
    <w:p w14:paraId="2F374F02">
      <w:pPr>
        <w:spacing w:line="360" w:lineRule="auto"/>
        <w:ind w:firstLine="420" w:firstLineChars="200"/>
        <w:rPr>
          <w:rFonts w:hint="eastAsia"/>
        </w:rPr>
      </w:pPr>
      <w:r>
        <w:rPr>
          <w:rFonts w:hint="eastAsia"/>
        </w:rPr>
        <w:t>本合同价款包含所有乙方提供合同约定产品的报酬及乙方提供合同中产品所支出的必要的税、及上下力资费、运输费、安装费用等，甲方在上述合同价款之外不再向乙方支付其他任何费用。</w:t>
      </w:r>
    </w:p>
    <w:p w14:paraId="2C1A8F04">
      <w:pPr>
        <w:spacing w:line="360" w:lineRule="auto"/>
        <w:ind w:firstLine="420" w:firstLineChars="200"/>
        <w:rPr>
          <w:b/>
          <w:bCs/>
        </w:rPr>
      </w:pPr>
      <w:r>
        <w:rPr>
          <w:rFonts w:hint="eastAsia"/>
        </w:rPr>
        <w:t>乙方应先行向甲方开具与拟交付货物的全额合规税务增值税【】（专用/普通）发票，由甲方审核确认无误后支付合同价款，否则甲方有权拒绝或迟延支付应付款项，且不影响乙方履行本合同项下的义务。</w:t>
      </w:r>
    </w:p>
    <w:p w14:paraId="11ED6386">
      <w:pPr>
        <w:spacing w:line="360" w:lineRule="auto"/>
        <w:ind w:firstLine="422" w:firstLineChars="200"/>
        <w:rPr>
          <w:b/>
          <w:bCs/>
        </w:rPr>
      </w:pPr>
      <w:r>
        <w:rPr>
          <w:rFonts w:hint="eastAsia"/>
          <w:b/>
          <w:bCs/>
        </w:rPr>
        <w:t>三、技术资料及保密</w:t>
      </w:r>
    </w:p>
    <w:p w14:paraId="5B0FC1B4">
      <w:pPr>
        <w:spacing w:line="360" w:lineRule="auto"/>
        <w:ind w:firstLine="420" w:firstLineChars="200"/>
      </w:pPr>
      <w:r>
        <w:rPr>
          <w:rFonts w:hint="eastAsia"/>
        </w:rPr>
        <w:t>3.1乙方应按采购文件规定的时间向甲方提供有关技术资料。</w:t>
      </w:r>
    </w:p>
    <w:p w14:paraId="0686EECF">
      <w:pPr>
        <w:spacing w:line="360" w:lineRule="auto"/>
        <w:ind w:firstLine="420" w:firstLineChars="200"/>
      </w:pPr>
      <w:r>
        <w:rPr>
          <w:rFonts w:hint="eastAsia"/>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01843B91">
      <w:pPr>
        <w:spacing w:line="360" w:lineRule="auto"/>
        <w:ind w:firstLine="422" w:firstLineChars="200"/>
        <w:rPr>
          <w:b/>
          <w:bCs/>
        </w:rPr>
      </w:pPr>
      <w:r>
        <w:rPr>
          <w:rFonts w:hint="eastAsia"/>
          <w:b/>
          <w:bCs/>
        </w:rPr>
        <w:t>四、产权</w:t>
      </w:r>
    </w:p>
    <w:p w14:paraId="48EDDE46">
      <w:pPr>
        <w:spacing w:line="360" w:lineRule="auto"/>
        <w:ind w:firstLine="420" w:firstLineChars="200"/>
      </w:pPr>
      <w:r>
        <w:rPr>
          <w:rFonts w:hint="eastAsia"/>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687510E6">
      <w:pPr>
        <w:spacing w:line="360" w:lineRule="auto"/>
        <w:ind w:firstLine="422" w:firstLineChars="200"/>
        <w:rPr>
          <w:b/>
          <w:bCs/>
        </w:rPr>
      </w:pPr>
      <w:r>
        <w:rPr>
          <w:rFonts w:hint="eastAsia"/>
          <w:b/>
          <w:bCs/>
        </w:rPr>
        <w:t>五、交付及免保</w:t>
      </w:r>
    </w:p>
    <w:p w14:paraId="6E163B51">
      <w:pPr>
        <w:spacing w:line="360" w:lineRule="auto"/>
        <w:ind w:firstLine="420" w:firstLineChars="200"/>
      </w:pPr>
      <w:r>
        <w:rPr>
          <w:rFonts w:hint="eastAsia"/>
        </w:rPr>
        <w:t xml:space="preserve">5.1交付期：_________。   </w:t>
      </w:r>
    </w:p>
    <w:p w14:paraId="65EE849D">
      <w:pPr>
        <w:spacing w:line="360" w:lineRule="auto"/>
        <w:ind w:firstLine="420" w:firstLineChars="200"/>
      </w:pPr>
      <w:r>
        <w:rPr>
          <w:rFonts w:hint="eastAsia"/>
        </w:rPr>
        <w:t>5.2乙方免费、安全送达，</w:t>
      </w:r>
      <w:r>
        <w:rPr>
          <w:rFonts w:hint="eastAsia" w:ascii="宋体" w:hAnsi="宋体"/>
          <w:szCs w:val="21"/>
        </w:rPr>
        <w:t xml:space="preserve">交货方式： ，交货地点： </w:t>
      </w:r>
      <w:r>
        <w:rPr>
          <w:rFonts w:hint="eastAsia"/>
        </w:rPr>
        <w:t>。</w:t>
      </w:r>
    </w:p>
    <w:p w14:paraId="0A627459">
      <w:pPr>
        <w:spacing w:line="360" w:lineRule="auto"/>
        <w:ind w:firstLine="420" w:firstLineChars="200"/>
      </w:pPr>
      <w:r>
        <w:rPr>
          <w:rFonts w:hint="eastAsia"/>
        </w:rPr>
        <w:t>5.3免费质保期：    年   月   日至     年     月   日。</w:t>
      </w:r>
    </w:p>
    <w:p w14:paraId="7E1630BA">
      <w:pPr>
        <w:spacing w:line="360" w:lineRule="auto"/>
        <w:ind w:firstLine="420" w:firstLineChars="200"/>
      </w:pPr>
      <w:r>
        <w:rPr>
          <w:rFonts w:hint="eastAsia"/>
        </w:rPr>
        <w:t>（具体自项目验收合格之日起计）</w:t>
      </w:r>
    </w:p>
    <w:p w14:paraId="34584AD4">
      <w:pPr>
        <w:spacing w:line="360" w:lineRule="auto"/>
        <w:ind w:firstLine="422" w:firstLineChars="200"/>
        <w:rPr>
          <w:b/>
          <w:bCs/>
        </w:rPr>
      </w:pPr>
      <w:r>
        <w:rPr>
          <w:rFonts w:hint="eastAsia"/>
          <w:b/>
          <w:bCs/>
        </w:rPr>
        <w:t>六、合同款支付及履约保证金</w:t>
      </w:r>
    </w:p>
    <w:p w14:paraId="3A3B7936">
      <w:pPr>
        <w:spacing w:line="360" w:lineRule="auto"/>
        <w:ind w:firstLine="420" w:firstLineChars="200"/>
        <w:rPr>
          <w:rFonts w:ascii="宋体" w:hAnsi="宋体"/>
          <w:szCs w:val="21"/>
        </w:rPr>
      </w:pPr>
      <w:r>
        <w:rPr>
          <w:rFonts w:hint="eastAsia" w:ascii="宋体" w:hAnsi="宋体"/>
          <w:szCs w:val="21"/>
        </w:rPr>
        <w:t>付款方式：验收合格后支付合同总价的</w:t>
      </w:r>
      <w:r>
        <w:rPr>
          <w:rFonts w:hint="eastAsia" w:ascii="宋体" w:hAnsi="宋体"/>
          <w:szCs w:val="21"/>
          <w:lang w:val="en-US" w:eastAsia="zh-CN"/>
        </w:rPr>
        <w:t>10</w:t>
      </w:r>
      <w:r>
        <w:rPr>
          <w:rFonts w:hint="eastAsia" w:ascii="宋体" w:hAnsi="宋体"/>
          <w:szCs w:val="21"/>
        </w:rPr>
        <w:t>0%</w:t>
      </w:r>
      <w:r>
        <w:rPr>
          <w:rFonts w:hint="eastAsia" w:ascii="宋体" w:hAnsi="宋体"/>
          <w:szCs w:val="21"/>
          <w:lang w:eastAsia="zh-CN"/>
        </w:rPr>
        <w:t>。</w:t>
      </w:r>
      <w:r>
        <w:rPr>
          <w:rFonts w:hint="eastAsia" w:ascii="宋体" w:hAnsi="宋体"/>
          <w:szCs w:val="21"/>
        </w:rPr>
        <w:t xml:space="preserve"> </w:t>
      </w:r>
    </w:p>
    <w:p w14:paraId="16A5F06D">
      <w:pPr>
        <w:spacing w:line="500" w:lineRule="exact"/>
        <w:ind w:firstLine="420" w:firstLineChars="200"/>
        <w:jc w:val="left"/>
        <w:rPr>
          <w:rFonts w:ascii="宋体" w:hAnsi="宋体"/>
          <w:szCs w:val="21"/>
        </w:rPr>
      </w:pPr>
      <w:r>
        <w:rPr>
          <w:rFonts w:hint="eastAsia" w:ascii="宋体" w:hAnsi="宋体"/>
          <w:szCs w:val="21"/>
        </w:rPr>
        <w:t>履约保证金：中标后，乙方需交纳中标金额5%的履约保证金，履约保证金</w:t>
      </w:r>
      <w:r>
        <w:rPr>
          <w:rFonts w:hint="eastAsia"/>
        </w:rPr>
        <w:t>在免费质保期满后且经用户单位确认质量、服务无问题的情况下退还（不计息）</w:t>
      </w:r>
      <w:r>
        <w:rPr>
          <w:rFonts w:hint="eastAsia" w:ascii="宋体" w:hAnsi="宋体"/>
          <w:szCs w:val="21"/>
        </w:rPr>
        <w:t>；</w:t>
      </w:r>
    </w:p>
    <w:p w14:paraId="770536F9">
      <w:pPr>
        <w:spacing w:line="500" w:lineRule="exact"/>
        <w:ind w:firstLine="422" w:firstLineChars="200"/>
        <w:jc w:val="left"/>
        <w:rPr>
          <w:rFonts w:ascii="宋体" w:hAnsi="宋体"/>
          <w:b/>
          <w:bCs/>
          <w:szCs w:val="21"/>
        </w:rPr>
      </w:pPr>
      <w:r>
        <w:rPr>
          <w:rFonts w:hint="eastAsia" w:ascii="宋体" w:hAnsi="宋体"/>
          <w:b/>
          <w:bCs/>
          <w:szCs w:val="21"/>
        </w:rPr>
        <w:t>履约保证金汇款账户信息：</w:t>
      </w:r>
    </w:p>
    <w:p w14:paraId="1E1AE333">
      <w:pPr>
        <w:spacing w:line="500" w:lineRule="exact"/>
        <w:ind w:firstLine="420" w:firstLineChars="200"/>
        <w:jc w:val="left"/>
        <w:rPr>
          <w:rFonts w:ascii="宋体" w:hAnsi="宋体"/>
          <w:szCs w:val="21"/>
        </w:rPr>
      </w:pPr>
      <w:r>
        <w:rPr>
          <w:rFonts w:hint="eastAsia" w:ascii="宋体" w:hAnsi="宋体"/>
          <w:szCs w:val="21"/>
        </w:rPr>
        <w:t>名称：南京师范大学</w:t>
      </w:r>
    </w:p>
    <w:p w14:paraId="088ACF02">
      <w:pPr>
        <w:spacing w:line="500" w:lineRule="exact"/>
        <w:ind w:firstLine="420" w:firstLineChars="200"/>
        <w:jc w:val="left"/>
        <w:rPr>
          <w:rFonts w:ascii="宋体" w:hAnsi="宋体"/>
          <w:szCs w:val="21"/>
        </w:rPr>
      </w:pPr>
      <w:r>
        <w:rPr>
          <w:rFonts w:hint="eastAsia" w:ascii="宋体" w:hAnsi="宋体"/>
          <w:szCs w:val="21"/>
        </w:rPr>
        <w:t>纳税人识别号：123200004660067976</w:t>
      </w:r>
    </w:p>
    <w:p w14:paraId="50342B09">
      <w:pPr>
        <w:spacing w:line="500" w:lineRule="exact"/>
        <w:ind w:firstLine="420" w:firstLineChars="200"/>
        <w:jc w:val="left"/>
        <w:rPr>
          <w:rFonts w:ascii="宋体" w:hAnsi="宋体"/>
          <w:szCs w:val="21"/>
        </w:rPr>
      </w:pPr>
      <w:r>
        <w:rPr>
          <w:rFonts w:hint="eastAsia" w:ascii="宋体" w:hAnsi="宋体"/>
          <w:szCs w:val="21"/>
        </w:rPr>
        <w:t>地址：江苏省南京市文苑路1号</w:t>
      </w:r>
    </w:p>
    <w:p w14:paraId="7C63D1A8">
      <w:pPr>
        <w:spacing w:line="500" w:lineRule="exact"/>
        <w:ind w:firstLine="420" w:firstLineChars="200"/>
        <w:jc w:val="left"/>
        <w:rPr>
          <w:rFonts w:ascii="宋体" w:hAnsi="宋体"/>
          <w:szCs w:val="21"/>
        </w:rPr>
      </w:pPr>
      <w:r>
        <w:rPr>
          <w:rFonts w:hint="eastAsia" w:ascii="宋体" w:hAnsi="宋体"/>
          <w:szCs w:val="21"/>
        </w:rPr>
        <w:t>电话：025-83598180</w:t>
      </w:r>
    </w:p>
    <w:p w14:paraId="1C6F0E9F">
      <w:pPr>
        <w:spacing w:line="500" w:lineRule="exact"/>
        <w:ind w:firstLine="420" w:firstLineChars="200"/>
        <w:jc w:val="left"/>
        <w:rPr>
          <w:rFonts w:ascii="宋体" w:hAnsi="宋体"/>
          <w:szCs w:val="21"/>
        </w:rPr>
      </w:pPr>
      <w:r>
        <w:rPr>
          <w:rFonts w:hint="eastAsia" w:ascii="宋体" w:hAnsi="宋体"/>
          <w:szCs w:val="21"/>
        </w:rPr>
        <w:t>开户行：交通银行南京广州路支行</w:t>
      </w:r>
    </w:p>
    <w:p w14:paraId="6B90B583">
      <w:pPr>
        <w:spacing w:line="500" w:lineRule="exact"/>
        <w:ind w:firstLine="420" w:firstLineChars="200"/>
        <w:jc w:val="left"/>
        <w:rPr>
          <w:rFonts w:ascii="宋体" w:hAnsi="宋体"/>
          <w:szCs w:val="21"/>
        </w:rPr>
      </w:pPr>
      <w:r>
        <w:rPr>
          <w:rFonts w:hint="eastAsia" w:ascii="宋体" w:hAnsi="宋体"/>
          <w:szCs w:val="21"/>
        </w:rPr>
        <w:t>账号：320006607010149040493</w:t>
      </w:r>
    </w:p>
    <w:p w14:paraId="299054EF">
      <w:pPr>
        <w:spacing w:line="500" w:lineRule="exact"/>
        <w:ind w:firstLine="420" w:firstLineChars="200"/>
        <w:jc w:val="left"/>
        <w:rPr>
          <w:szCs w:val="21"/>
        </w:rPr>
      </w:pPr>
      <w:r>
        <w:rPr>
          <w:rFonts w:hint="eastAsia" w:ascii="宋体" w:hAnsi="宋体"/>
          <w:szCs w:val="21"/>
        </w:rPr>
        <w:t>联行号：301301000476</w:t>
      </w:r>
    </w:p>
    <w:p w14:paraId="21170F7F">
      <w:pPr>
        <w:spacing w:line="360" w:lineRule="auto"/>
      </w:pPr>
    </w:p>
    <w:p w14:paraId="0CBA373C">
      <w:pPr>
        <w:spacing w:line="360" w:lineRule="auto"/>
        <w:ind w:firstLine="422" w:firstLineChars="200"/>
        <w:rPr>
          <w:b/>
          <w:bCs/>
        </w:rPr>
      </w:pPr>
      <w:r>
        <w:rPr>
          <w:rFonts w:hint="eastAsia"/>
          <w:b/>
          <w:bCs/>
        </w:rPr>
        <w:t>七、质量保证及售后服务承诺</w:t>
      </w:r>
    </w:p>
    <w:p w14:paraId="5EE59FD5">
      <w:pPr>
        <w:spacing w:line="360" w:lineRule="auto"/>
        <w:ind w:firstLine="420" w:firstLineChars="200"/>
      </w:pPr>
      <w:r>
        <w:rPr>
          <w:rFonts w:hint="eastAsia"/>
        </w:rPr>
        <w:t>7.1乙方应按采购文件规定和响应文件承诺的性能、技术要求、质量标准等向甲方提供产品。</w:t>
      </w:r>
    </w:p>
    <w:p w14:paraId="2A31A092">
      <w:pPr>
        <w:spacing w:line="360" w:lineRule="auto"/>
        <w:ind w:firstLine="420" w:firstLineChars="200"/>
      </w:pPr>
      <w:r>
        <w:rPr>
          <w:rFonts w:hint="eastAsia"/>
        </w:rPr>
        <w:t>7.2乙方提供的产品在免费质保期内出现质量问题，根据实际情况，经双方协商，可按以下第</w:t>
      </w:r>
      <w:r>
        <w:rPr>
          <w:rFonts w:hint="eastAsia"/>
          <w:u w:val="single"/>
        </w:rPr>
        <w:t xml:space="preserve">  （1）  </w:t>
      </w:r>
      <w:r>
        <w:rPr>
          <w:rFonts w:hint="eastAsia"/>
        </w:rPr>
        <w:t>种办法处理（处理办法可按货物特性另行约定）：</w:t>
      </w:r>
    </w:p>
    <w:p w14:paraId="4CE9D3FC">
      <w:pPr>
        <w:spacing w:line="360" w:lineRule="auto"/>
        <w:ind w:firstLine="420" w:firstLineChars="200"/>
      </w:pPr>
      <w:r>
        <w:rPr>
          <w:rFonts w:hint="eastAsia"/>
        </w:rPr>
        <w:t>（1）更换：由乙方承担所发生的全部费用。</w:t>
      </w:r>
    </w:p>
    <w:p w14:paraId="4176474F">
      <w:pPr>
        <w:spacing w:line="360" w:lineRule="auto"/>
        <w:ind w:firstLine="420" w:firstLineChars="200"/>
      </w:pPr>
      <w:r>
        <w:rPr>
          <w:rFonts w:hint="eastAsia"/>
        </w:rPr>
        <w:t>（2）合同终止：合同终止，并退还甲方支付的合同款，同时应承担由此产生的所有费用，甲方不承担发生任何费用。</w:t>
      </w:r>
    </w:p>
    <w:p w14:paraId="719A7697">
      <w:pPr>
        <w:spacing w:line="360" w:lineRule="auto"/>
        <w:ind w:firstLine="420" w:firstLineChars="200"/>
      </w:pPr>
      <w:r>
        <w:rPr>
          <w:rFonts w:hint="eastAsia"/>
        </w:rPr>
        <w:t xml:space="preserve">（3）其他处理办法：                                           </w:t>
      </w:r>
    </w:p>
    <w:p w14:paraId="4DC47757">
      <w:pPr>
        <w:spacing w:line="360" w:lineRule="auto"/>
        <w:ind w:firstLine="420" w:firstLineChars="200"/>
      </w:pPr>
      <w:r>
        <w:rPr>
          <w:rFonts w:hint="eastAsia"/>
        </w:rPr>
        <w:t>7.3在使用过程中发生质量问题，乙方在接到甲方通知后</w:t>
      </w:r>
      <w:r>
        <w:rPr>
          <w:rFonts w:hint="eastAsia"/>
          <w:u w:val="single"/>
        </w:rPr>
        <w:t xml:space="preserve"> </w:t>
      </w:r>
      <w:r>
        <w:rPr>
          <w:u w:val="single"/>
        </w:rPr>
        <w:t>48</w:t>
      </w:r>
      <w:r>
        <w:rPr>
          <w:rFonts w:hint="eastAsia"/>
          <w:u w:val="single"/>
        </w:rPr>
        <w:t xml:space="preserve"> </w:t>
      </w:r>
      <w:r>
        <w:rPr>
          <w:rFonts w:hint="eastAsia"/>
        </w:rPr>
        <w:t>小时内到达现场。</w:t>
      </w:r>
    </w:p>
    <w:p w14:paraId="05232172">
      <w:pPr>
        <w:spacing w:line="360" w:lineRule="auto"/>
        <w:ind w:firstLine="420" w:firstLineChars="200"/>
      </w:pPr>
      <w:r>
        <w:rPr>
          <w:rFonts w:hint="eastAsia"/>
        </w:rPr>
        <w:t>7.4在免费质保期内，乙方应对产品出现的质量及安全问题负责解决并承担一切费用。</w:t>
      </w:r>
    </w:p>
    <w:p w14:paraId="2FC6C7EA">
      <w:pPr>
        <w:spacing w:line="360" w:lineRule="auto"/>
        <w:ind w:firstLine="420" w:firstLineChars="200"/>
        <w:rPr>
          <w:b/>
          <w:bCs/>
        </w:rPr>
      </w:pPr>
      <w:r>
        <w:rPr>
          <w:rFonts w:hint="eastAsia"/>
        </w:rPr>
        <w:t>7.5供应商响应的承诺（7.1—7.4中与本条承诺不一致的，以本条为准）</w:t>
      </w:r>
      <w:r>
        <w:rPr>
          <w:rFonts w:hint="eastAsia"/>
          <w:b/>
          <w:bCs/>
        </w:rPr>
        <w:t xml:space="preserve">                                     </w:t>
      </w:r>
    </w:p>
    <w:p w14:paraId="77F02A01">
      <w:pPr>
        <w:spacing w:line="360" w:lineRule="auto"/>
        <w:ind w:firstLine="422" w:firstLineChars="200"/>
        <w:rPr>
          <w:b/>
          <w:bCs/>
        </w:rPr>
      </w:pPr>
      <w:r>
        <w:rPr>
          <w:rFonts w:hint="eastAsia"/>
          <w:b/>
          <w:bCs/>
        </w:rPr>
        <w:t>八、合同内容的交付</w:t>
      </w:r>
    </w:p>
    <w:p w14:paraId="53886BF0">
      <w:pPr>
        <w:spacing w:line="360" w:lineRule="auto"/>
        <w:ind w:firstLine="420" w:firstLineChars="200"/>
      </w:pPr>
      <w:r>
        <w:rPr>
          <w:rFonts w:hint="eastAsia"/>
        </w:rPr>
        <w:t>8.1提交使用说明书、质量检验证明书等资料。</w:t>
      </w:r>
    </w:p>
    <w:p w14:paraId="33A1AE87">
      <w:pPr>
        <w:spacing w:line="360" w:lineRule="auto"/>
        <w:ind w:firstLine="420" w:firstLineChars="200"/>
      </w:pPr>
      <w:r>
        <w:rPr>
          <w:rFonts w:hint="eastAsia"/>
        </w:rPr>
        <w:t>8.2乙方在合同标的交付甲方48小时（工作日）前通知甲方准备接收。</w:t>
      </w:r>
    </w:p>
    <w:p w14:paraId="5CB150CD">
      <w:pPr>
        <w:spacing w:line="360" w:lineRule="auto"/>
        <w:ind w:firstLine="420" w:firstLineChars="200"/>
      </w:pPr>
      <w:r>
        <w:rPr>
          <w:rFonts w:hint="eastAsia"/>
        </w:rPr>
        <w:t xml:space="preserve">8.3合同标的验收合格视为交付，交付前发生的风险均由乙方负责。 </w:t>
      </w:r>
    </w:p>
    <w:p w14:paraId="1975A78F">
      <w:pPr>
        <w:spacing w:line="360" w:lineRule="auto"/>
        <w:ind w:firstLine="422" w:firstLineChars="200"/>
        <w:rPr>
          <w:b/>
          <w:bCs/>
        </w:rPr>
      </w:pPr>
      <w:r>
        <w:rPr>
          <w:rFonts w:hint="eastAsia"/>
          <w:b/>
          <w:bCs/>
        </w:rPr>
        <w:t>九、验收</w:t>
      </w:r>
    </w:p>
    <w:p w14:paraId="51A9DFAE">
      <w:pPr>
        <w:spacing w:line="360" w:lineRule="auto"/>
        <w:ind w:firstLine="420" w:firstLineChars="200"/>
      </w:pPr>
      <w:r>
        <w:rPr>
          <w:rFonts w:hint="eastAsia"/>
        </w:rPr>
        <w:t>9.1甲方对乙方提交的产品，依据采购文件上的项目需求、乙方响应文件及国家有关标准及学校有关文件规定进行验收。</w:t>
      </w:r>
    </w:p>
    <w:p w14:paraId="7CF70208">
      <w:pPr>
        <w:spacing w:line="360" w:lineRule="auto"/>
        <w:ind w:firstLine="420" w:firstLineChars="200"/>
      </w:pPr>
      <w:r>
        <w:rPr>
          <w:rFonts w:hint="eastAsia"/>
        </w:rPr>
        <w:t>9.2乙方交付前应对产品作出全面检查和对验收文件进行整理，并列出清单，作为甲方验收依据。</w:t>
      </w:r>
    </w:p>
    <w:p w14:paraId="2B15D55C">
      <w:pPr>
        <w:spacing w:line="360" w:lineRule="auto"/>
        <w:ind w:firstLine="420" w:firstLineChars="200"/>
      </w:pPr>
      <w:r>
        <w:rPr>
          <w:rFonts w:hint="eastAsia"/>
        </w:rPr>
        <w:t>9.3甲方对乙方提供的产品在使用前，乙方需负责培训甲方的使用操作人员，并协助甲方一起试用，直到符合技术规范后，甲方才实施验收。</w:t>
      </w:r>
    </w:p>
    <w:p w14:paraId="7FA6E5FC">
      <w:pPr>
        <w:spacing w:line="360" w:lineRule="auto"/>
        <w:ind w:firstLine="420" w:firstLineChars="200"/>
      </w:pPr>
      <w:r>
        <w:rPr>
          <w:rFonts w:hint="eastAsia"/>
        </w:rPr>
        <w:t>9.4需对技术复杂的产品进行第三方检测时，如检测合格，费用由甲方承担，如检测不合格（部分不合格）时，乙方承担所有的检测、验收等相关费用。</w:t>
      </w:r>
    </w:p>
    <w:p w14:paraId="40D20442">
      <w:pPr>
        <w:spacing w:line="360" w:lineRule="auto"/>
        <w:ind w:firstLine="420" w:firstLineChars="200"/>
      </w:pPr>
      <w:r>
        <w:rPr>
          <w:rFonts w:hint="eastAsia"/>
        </w:rPr>
        <w:t>9.5 验收涉及宣传甲方或甲方所属（含挂靠）各单位的图、音视频、文字等形式资料前，需提交甲方宣传部审核、初验，通过后方可实施项目验收。</w:t>
      </w:r>
    </w:p>
    <w:p w14:paraId="53FA40CD">
      <w:pPr>
        <w:spacing w:line="360" w:lineRule="auto"/>
        <w:ind w:firstLine="420" w:firstLineChars="200"/>
      </w:pPr>
      <w:r>
        <w:rPr>
          <w:rFonts w:hint="eastAsia"/>
        </w:rPr>
        <w:t>9.6验收时乙方相关人员必须到场，验收完毕后出具验收结果报告。</w:t>
      </w:r>
    </w:p>
    <w:p w14:paraId="4294D6BC">
      <w:pPr>
        <w:spacing w:line="360" w:lineRule="auto"/>
        <w:ind w:firstLine="420" w:firstLineChars="200"/>
        <w:rPr>
          <w:b/>
          <w:bCs/>
        </w:rPr>
      </w:pPr>
      <w:r>
        <w:rPr>
          <w:rFonts w:hint="eastAsia"/>
        </w:rPr>
        <w:t xml:space="preserve">9.7其他验收要求：                                      </w:t>
      </w:r>
      <w:r>
        <w:rPr>
          <w:rFonts w:hint="eastAsia"/>
          <w:b/>
          <w:bCs/>
        </w:rPr>
        <w:t xml:space="preserve">      </w:t>
      </w:r>
    </w:p>
    <w:p w14:paraId="62FEB11A">
      <w:pPr>
        <w:spacing w:line="360" w:lineRule="auto"/>
        <w:ind w:firstLine="422" w:firstLineChars="200"/>
        <w:rPr>
          <w:b/>
          <w:bCs/>
        </w:rPr>
      </w:pPr>
      <w:r>
        <w:rPr>
          <w:rFonts w:hint="eastAsia"/>
          <w:b/>
          <w:bCs/>
        </w:rPr>
        <w:t>十、违约责任</w:t>
      </w:r>
    </w:p>
    <w:p w14:paraId="5FDD253C">
      <w:pPr>
        <w:spacing w:line="360" w:lineRule="auto"/>
        <w:ind w:firstLine="420" w:firstLineChars="200"/>
      </w:pPr>
      <w:r>
        <w:rPr>
          <w:rFonts w:hint="eastAsia"/>
        </w:rPr>
        <w:t>10.1 甲方无正当理由拒收的，向乙方支付拒收货款总值百分之一的违约金。</w:t>
      </w:r>
    </w:p>
    <w:p w14:paraId="41EA5320">
      <w:pPr>
        <w:spacing w:line="360" w:lineRule="auto"/>
        <w:ind w:firstLine="420" w:firstLineChars="200"/>
      </w:pPr>
      <w:r>
        <w:rPr>
          <w:rFonts w:hint="eastAsia"/>
        </w:rPr>
        <w:t>10.2 甲方无故逾期验收和办理合同款支付手续的（节假日除外）, 按逾期付款总额的每日万分之一向乙方支付违约金。</w:t>
      </w:r>
    </w:p>
    <w:p w14:paraId="5583D4C8">
      <w:pPr>
        <w:spacing w:line="360" w:lineRule="auto"/>
        <w:ind w:firstLine="420" w:firstLineChars="200"/>
      </w:pPr>
      <w:r>
        <w:rPr>
          <w:rFonts w:hint="eastAsia"/>
        </w:rPr>
        <w:t>10.3乙方无故逾期（节假日除外）交付货物的, 按逾期付款总额的每日万分之一向甲方支付违约金。</w:t>
      </w:r>
    </w:p>
    <w:p w14:paraId="3D86D48C">
      <w:pPr>
        <w:spacing w:line="360" w:lineRule="auto"/>
        <w:ind w:firstLine="420" w:firstLineChars="200"/>
      </w:pPr>
      <w:r>
        <w:rPr>
          <w:rFonts w:hint="eastAsia"/>
        </w:rPr>
        <w:t>10.4乙方交付的货物有质量或产权瑕疵等问题时，愿意更换/整改的，按逾期交付处理；乙方拒绝更换/整改的，甲方可解除合同，没收履约保证金并追回全部已付款项，由此造成的损失由乙方全责承担。</w:t>
      </w:r>
    </w:p>
    <w:p w14:paraId="7894DB2B">
      <w:pPr>
        <w:spacing w:line="360" w:lineRule="auto"/>
        <w:ind w:firstLine="420" w:firstLineChars="200"/>
      </w:pPr>
      <w:r>
        <w:rPr>
          <w:rFonts w:hint="eastAsia"/>
        </w:rPr>
        <w:t>10.5出现但不限于下列情形之一的，即视为乙方违约：</w:t>
      </w:r>
    </w:p>
    <w:p w14:paraId="01A8F870">
      <w:pPr>
        <w:spacing w:line="360" w:lineRule="auto"/>
        <w:ind w:firstLine="420" w:firstLineChars="200"/>
      </w:pPr>
      <w:r>
        <w:rPr>
          <w:rFonts w:hint="eastAsia"/>
        </w:rPr>
        <w:t>①未按合同约定时间交付的；②交付的标的不符合合同要求的；③交付后经验收不合格的；④违反有关采购规定的；⑤因乙方原因导致甲方不能取得所有权的。</w:t>
      </w:r>
    </w:p>
    <w:p w14:paraId="4A4F7EE2">
      <w:pPr>
        <w:spacing w:line="360" w:lineRule="auto"/>
        <w:ind w:firstLine="420" w:firstLineChars="200"/>
      </w:pPr>
      <w:r>
        <w:rPr>
          <w:rFonts w:hint="eastAsia"/>
        </w:rPr>
        <w:t>10.6乙方违约的，甲方有权没收乙方交纳的履约保证金、停止支付剩余应付款，并采取包括但不限于下列一种或数种措施维护权益：</w:t>
      </w:r>
    </w:p>
    <w:p w14:paraId="66C385A8">
      <w:pPr>
        <w:spacing w:line="360" w:lineRule="auto"/>
        <w:ind w:firstLine="420" w:firstLineChars="200"/>
      </w:pPr>
      <w:r>
        <w:rPr>
          <w:rFonts w:hint="eastAsia"/>
        </w:rPr>
        <w:t>①拒收因乙方违约所交付的产品，终止合同，并向乙方索赔，另行组织采购；</w:t>
      </w:r>
    </w:p>
    <w:p w14:paraId="75EB765D">
      <w:pPr>
        <w:spacing w:line="360" w:lineRule="auto"/>
        <w:ind w:firstLine="420" w:firstLineChars="200"/>
      </w:pPr>
      <w:r>
        <w:rPr>
          <w:rFonts w:hint="eastAsia"/>
        </w:rPr>
        <w:t>②没收乙方缴纳的履约保证金；</w:t>
      </w:r>
    </w:p>
    <w:p w14:paraId="6528C30C">
      <w:pPr>
        <w:spacing w:line="360" w:lineRule="auto"/>
        <w:ind w:firstLine="420" w:firstLineChars="200"/>
      </w:pPr>
      <w:r>
        <w:rPr>
          <w:rFonts w:hint="eastAsia"/>
        </w:rPr>
        <w:t>③将乙方录入学校不良行为供应商名录，视情节轻重决定是否上报江苏省财政厅，涉嫌犯罪的，移送司法机关处理。</w:t>
      </w:r>
    </w:p>
    <w:p w14:paraId="67CF8789">
      <w:pPr>
        <w:spacing w:line="360" w:lineRule="auto"/>
        <w:ind w:firstLine="420" w:firstLineChars="200"/>
      </w:pPr>
      <w:r>
        <w:rPr>
          <w:rFonts w:hint="eastAsia"/>
        </w:rPr>
        <w:t>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1F8F8D5B">
      <w:pPr>
        <w:spacing w:line="360" w:lineRule="auto"/>
        <w:ind w:firstLine="420" w:firstLineChars="200"/>
      </w:pPr>
      <w:r>
        <w:rPr>
          <w:rFonts w:hint="eastAsia"/>
        </w:rPr>
        <w:t>10.7 任何一方违反本合同约定，除承担违约金外，还承担守约方向违约方追责所支付的一切费用，包括但不限于律师费、诉讼费、保全费、公告费、鉴定费、交通费、食宿费、保函费等。</w:t>
      </w:r>
    </w:p>
    <w:p w14:paraId="612E95D4">
      <w:pPr>
        <w:spacing w:line="360" w:lineRule="auto"/>
        <w:ind w:firstLine="420" w:firstLineChars="200"/>
        <w:rPr>
          <w:b/>
          <w:bCs/>
        </w:rPr>
      </w:pPr>
      <w:r>
        <w:rPr>
          <w:rFonts w:hint="eastAsia"/>
        </w:rPr>
        <w:t xml:space="preserve">10.8供应商响应的违约责任（10.1—10.7中与本条承诺不一致的，以本条为准）。    </w:t>
      </w:r>
      <w:r>
        <w:rPr>
          <w:rFonts w:hint="eastAsia"/>
          <w:b/>
          <w:bCs/>
        </w:rPr>
        <w:t xml:space="preserve">                                  </w:t>
      </w:r>
    </w:p>
    <w:p w14:paraId="5336C194">
      <w:pPr>
        <w:spacing w:line="360" w:lineRule="auto"/>
        <w:ind w:firstLine="422" w:firstLineChars="200"/>
        <w:rPr>
          <w:b/>
          <w:bCs/>
        </w:rPr>
      </w:pPr>
      <w:r>
        <w:rPr>
          <w:rFonts w:hint="eastAsia"/>
          <w:b/>
          <w:bCs/>
        </w:rPr>
        <w:t>十一、不可抗力事件处理</w:t>
      </w:r>
    </w:p>
    <w:p w14:paraId="76AD2341">
      <w:pPr>
        <w:spacing w:line="360" w:lineRule="auto"/>
        <w:ind w:firstLine="420" w:firstLineChars="200"/>
      </w:pPr>
      <w:r>
        <w:rPr>
          <w:rFonts w:hint="eastAsia"/>
        </w:rPr>
        <w:t>11.1 本合同不可抗力事件及影响按《中华人民共和国民法典》等相关法律法规相关规定执行和处理。</w:t>
      </w:r>
    </w:p>
    <w:p w14:paraId="6B2E624E">
      <w:pPr>
        <w:spacing w:line="360" w:lineRule="auto"/>
        <w:ind w:firstLine="420" w:firstLineChars="200"/>
      </w:pPr>
      <w:r>
        <w:rPr>
          <w:rFonts w:hint="eastAsia"/>
        </w:rPr>
        <w:t>11.2 在合同有效期内，任何一方因不可抗力事件导致不能履行合同，则合同履行期延长，其延长期与不可抗力影响期相同。</w:t>
      </w:r>
    </w:p>
    <w:p w14:paraId="6D7E478A">
      <w:pPr>
        <w:spacing w:line="360" w:lineRule="auto"/>
        <w:ind w:firstLine="420" w:firstLineChars="200"/>
      </w:pPr>
      <w:r>
        <w:rPr>
          <w:rFonts w:hint="eastAsia"/>
        </w:rPr>
        <w:t>11.3 不可抗力事件发生后，应立即通知对方，并寄送有关权威机构出具的证明。</w:t>
      </w:r>
    </w:p>
    <w:p w14:paraId="208B670E">
      <w:pPr>
        <w:spacing w:line="360" w:lineRule="auto"/>
        <w:ind w:firstLine="420" w:firstLineChars="200"/>
      </w:pPr>
      <w:r>
        <w:rPr>
          <w:rFonts w:hint="eastAsia"/>
        </w:rPr>
        <w:t>11.4 不可抗力事件延续120天以上，双方应通过友好协商，确定是否继续履行合同。</w:t>
      </w:r>
    </w:p>
    <w:p w14:paraId="1EFD498C">
      <w:pPr>
        <w:spacing w:line="360" w:lineRule="auto"/>
        <w:ind w:firstLine="422" w:firstLineChars="200"/>
        <w:rPr>
          <w:b/>
          <w:bCs/>
        </w:rPr>
      </w:pPr>
      <w:r>
        <w:rPr>
          <w:rFonts w:hint="eastAsia"/>
          <w:b/>
          <w:bCs/>
        </w:rPr>
        <w:t>十二、诉讼</w:t>
      </w:r>
    </w:p>
    <w:p w14:paraId="75FB41F1">
      <w:pPr>
        <w:spacing w:line="360" w:lineRule="auto"/>
        <w:ind w:firstLine="420" w:firstLineChars="200"/>
      </w:pPr>
      <w:r>
        <w:rPr>
          <w:rFonts w:hint="eastAsia"/>
        </w:rPr>
        <w:t>双方在执行合同中所发生的一切争议，应通过协商解决。如协商不成，可向甲方所在地人民法院。</w:t>
      </w:r>
    </w:p>
    <w:p w14:paraId="431DC2B2">
      <w:pPr>
        <w:spacing w:line="360" w:lineRule="auto"/>
        <w:ind w:firstLine="422" w:firstLineChars="200"/>
        <w:rPr>
          <w:b/>
          <w:bCs/>
        </w:rPr>
      </w:pPr>
      <w:r>
        <w:rPr>
          <w:rFonts w:hint="eastAsia"/>
          <w:b/>
          <w:bCs/>
        </w:rPr>
        <w:t>十三、合同生效及其它</w:t>
      </w:r>
    </w:p>
    <w:p w14:paraId="67C30226">
      <w:pPr>
        <w:spacing w:line="360" w:lineRule="auto"/>
        <w:ind w:firstLine="420" w:firstLineChars="200"/>
      </w:pPr>
      <w:r>
        <w:rPr>
          <w:rFonts w:hint="eastAsia"/>
        </w:rPr>
        <w:t>13.1 合同经双方法定代表人或授权委托代表人签字并加盖公章后生效。</w:t>
      </w:r>
    </w:p>
    <w:p w14:paraId="3F3663B1">
      <w:pPr>
        <w:spacing w:line="360" w:lineRule="auto"/>
        <w:ind w:firstLine="420" w:firstLineChars="200"/>
      </w:pPr>
      <w:r>
        <w:rPr>
          <w:rFonts w:hint="eastAsia"/>
        </w:rPr>
        <w:t>13.2本合同未尽事宜，遵照与合同相关的现行法律规定执行。</w:t>
      </w:r>
    </w:p>
    <w:p w14:paraId="249B48C1">
      <w:pPr>
        <w:spacing w:line="360" w:lineRule="auto"/>
        <w:ind w:firstLine="420" w:firstLineChars="200"/>
      </w:pPr>
      <w:r>
        <w:rPr>
          <w:rFonts w:hint="eastAsia"/>
        </w:rPr>
        <w:t>13.3 本合同正本一式六份，具有同等法律效力，甲方执四份、乙方执二份。</w:t>
      </w:r>
    </w:p>
    <w:p w14:paraId="7442EA94">
      <w:pPr>
        <w:spacing w:line="360" w:lineRule="auto"/>
        <w:ind w:firstLine="420" w:firstLineChars="200"/>
      </w:pPr>
      <w:r>
        <w:rPr>
          <w:rFonts w:hint="eastAsia"/>
        </w:rPr>
        <w:t>附件一：技术参数或规格型号；</w:t>
      </w:r>
    </w:p>
    <w:p w14:paraId="462E2122">
      <w:pPr>
        <w:spacing w:line="360" w:lineRule="auto"/>
        <w:ind w:firstLine="420" w:firstLineChars="200"/>
      </w:pPr>
      <w:r>
        <w:rPr>
          <w:rFonts w:hint="eastAsia"/>
        </w:rPr>
        <w:t>附件二：售后服务承诺。</w:t>
      </w:r>
    </w:p>
    <w:p w14:paraId="72B9E872">
      <w:pPr>
        <w:spacing w:line="360" w:lineRule="auto"/>
        <w:ind w:firstLine="420" w:firstLineChars="200"/>
      </w:pPr>
    </w:p>
    <w:p w14:paraId="6117481C">
      <w:pPr>
        <w:pStyle w:val="24"/>
        <w:snapToGrid w:val="0"/>
        <w:spacing w:line="360" w:lineRule="auto"/>
        <w:ind w:firstLine="630" w:firstLineChars="300"/>
        <w:rPr>
          <w:rFonts w:ascii="宋体" w:hAnsi="宋体"/>
          <w:szCs w:val="21"/>
        </w:rPr>
      </w:pPr>
      <w:r>
        <w:rPr>
          <w:rFonts w:ascii="宋体" w:hAnsi="宋体"/>
          <w:szCs w:val="21"/>
        </w:rPr>
        <w:t xml:space="preserve">甲方：                                   乙方： </w:t>
      </w:r>
    </w:p>
    <w:p w14:paraId="55364D30">
      <w:pPr>
        <w:pStyle w:val="24"/>
        <w:snapToGrid w:val="0"/>
        <w:spacing w:line="360" w:lineRule="auto"/>
        <w:ind w:firstLine="420" w:firstLineChars="200"/>
        <w:rPr>
          <w:rFonts w:ascii="宋体" w:hAnsi="宋体"/>
          <w:szCs w:val="21"/>
        </w:rPr>
      </w:pPr>
      <w:r>
        <w:rPr>
          <w:rFonts w:ascii="宋体" w:hAnsi="宋体"/>
          <w:szCs w:val="21"/>
        </w:rPr>
        <w:t xml:space="preserve">  地址：                                   地址： </w:t>
      </w:r>
    </w:p>
    <w:p w14:paraId="1F3BFD4F">
      <w:pPr>
        <w:pStyle w:val="24"/>
        <w:snapToGrid w:val="0"/>
        <w:spacing w:line="360" w:lineRule="auto"/>
        <w:ind w:firstLine="420" w:firstLineChars="200"/>
        <w:rPr>
          <w:rFonts w:ascii="宋体" w:hAnsi="宋体"/>
          <w:szCs w:val="21"/>
        </w:rPr>
      </w:pPr>
      <w:r>
        <w:rPr>
          <w:rFonts w:ascii="宋体" w:hAnsi="宋体"/>
          <w:szCs w:val="21"/>
        </w:rPr>
        <w:t xml:space="preserve">  法定代表人或授权代表：                   法定代表人或授权代表：</w:t>
      </w:r>
    </w:p>
    <w:p w14:paraId="5B71957E">
      <w:pPr>
        <w:pStyle w:val="24"/>
        <w:snapToGrid w:val="0"/>
        <w:spacing w:line="360" w:lineRule="auto"/>
        <w:ind w:firstLine="420" w:firstLineChars="200"/>
        <w:rPr>
          <w:rFonts w:ascii="宋体" w:hAnsi="宋体"/>
          <w:szCs w:val="21"/>
        </w:rPr>
      </w:pPr>
      <w:r>
        <w:rPr>
          <w:rFonts w:ascii="宋体" w:hAnsi="宋体"/>
          <w:szCs w:val="21"/>
        </w:rPr>
        <w:t xml:space="preserve">  联系电话：                               联系电话：</w:t>
      </w:r>
    </w:p>
    <w:p w14:paraId="2F80DBCA">
      <w:pPr>
        <w:pStyle w:val="24"/>
        <w:snapToGrid w:val="0"/>
        <w:spacing w:line="360" w:lineRule="auto"/>
        <w:ind w:firstLine="420" w:firstLineChars="200"/>
        <w:rPr>
          <w:rFonts w:ascii="宋体" w:hAnsi="宋体"/>
          <w:szCs w:val="21"/>
        </w:rPr>
      </w:pPr>
      <w:r>
        <w:rPr>
          <w:rFonts w:hint="eastAsia" w:ascii="宋体" w:hAnsi="宋体"/>
          <w:szCs w:val="21"/>
        </w:rPr>
        <w:t xml:space="preserve">  统一社会信用代码： </w:t>
      </w:r>
      <w:r>
        <w:rPr>
          <w:rFonts w:ascii="宋体" w:hAnsi="宋体"/>
          <w:szCs w:val="21"/>
        </w:rPr>
        <w:t xml:space="preserve">                      </w:t>
      </w:r>
      <w:r>
        <w:rPr>
          <w:rFonts w:hint="eastAsia" w:ascii="宋体" w:hAnsi="宋体"/>
          <w:szCs w:val="21"/>
        </w:rPr>
        <w:t>统一社会信用代码：</w:t>
      </w:r>
    </w:p>
    <w:p w14:paraId="7D7CA620">
      <w:pPr>
        <w:pStyle w:val="24"/>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 </w:t>
      </w:r>
      <w:r>
        <w:rPr>
          <w:rFonts w:ascii="宋体" w:hAnsi="宋体"/>
          <w:szCs w:val="21"/>
        </w:rPr>
        <w:t xml:space="preserve">                              </w:t>
      </w:r>
      <w:r>
        <w:rPr>
          <w:rFonts w:hint="eastAsia" w:ascii="宋体" w:hAnsi="宋体"/>
          <w:szCs w:val="21"/>
        </w:rPr>
        <w:t>开户银行：</w:t>
      </w:r>
    </w:p>
    <w:p w14:paraId="31FE2059">
      <w:pPr>
        <w:pStyle w:val="24"/>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户名： </w:t>
      </w:r>
      <w:r>
        <w:rPr>
          <w:rFonts w:ascii="宋体" w:hAnsi="宋体"/>
          <w:szCs w:val="21"/>
        </w:rPr>
        <w:t xml:space="preserve">                                  </w:t>
      </w:r>
      <w:r>
        <w:rPr>
          <w:rFonts w:hint="eastAsia" w:ascii="宋体" w:hAnsi="宋体"/>
          <w:szCs w:val="21"/>
        </w:rPr>
        <w:t>户名：</w:t>
      </w:r>
    </w:p>
    <w:p w14:paraId="7D2BC095">
      <w:pPr>
        <w:pStyle w:val="24"/>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r>
        <w:rPr>
          <w:rFonts w:ascii="宋体" w:hAnsi="宋体"/>
          <w:szCs w:val="21"/>
        </w:rPr>
        <w:t xml:space="preserve">                                  </w:t>
      </w:r>
      <w:r>
        <w:rPr>
          <w:rFonts w:hint="eastAsia" w:ascii="宋体" w:hAnsi="宋体"/>
          <w:szCs w:val="21"/>
        </w:rPr>
        <w:t>账号：</w:t>
      </w:r>
    </w:p>
    <w:p w14:paraId="1288148F">
      <w:pPr>
        <w:pStyle w:val="24"/>
        <w:snapToGrid w:val="0"/>
        <w:spacing w:line="360" w:lineRule="auto"/>
        <w:ind w:firstLine="630" w:firstLineChars="300"/>
        <w:rPr>
          <w:rFonts w:ascii="宋体" w:hAnsi="宋体"/>
          <w:sz w:val="24"/>
        </w:rPr>
      </w:pPr>
      <w:r>
        <w:rPr>
          <w:rFonts w:ascii="宋体" w:hAnsi="宋体"/>
          <w:szCs w:val="21"/>
        </w:rPr>
        <w:t xml:space="preserve">日期： </w:t>
      </w:r>
      <w:r>
        <w:rPr>
          <w:rFonts w:hint="eastAsia" w:ascii="宋体" w:hAnsi="宋体"/>
          <w:szCs w:val="21"/>
        </w:rPr>
        <w:t xml:space="preserve">                                  日期</w:t>
      </w:r>
      <w:r>
        <w:rPr>
          <w:rFonts w:hint="eastAsia" w:ascii="宋体" w:hAnsi="宋体"/>
          <w:sz w:val="24"/>
        </w:rPr>
        <w:t>：</w:t>
      </w:r>
      <w:r>
        <w:rPr>
          <w:rFonts w:ascii="宋体" w:hAnsi="宋体"/>
          <w:sz w:val="24"/>
        </w:rPr>
        <w:t xml:space="preserve"> </w:t>
      </w:r>
    </w:p>
    <w:p w14:paraId="09897251">
      <w:pPr>
        <w:rPr>
          <w:rFonts w:ascii="宋体" w:hAnsi="宋体" w:cs="宋体"/>
        </w:rPr>
      </w:pPr>
      <w:r>
        <w:rPr>
          <w:rFonts w:hint="eastAsia" w:ascii="宋体" w:hAnsi="宋体" w:cs="宋体"/>
        </w:rPr>
        <w:br w:type="page"/>
      </w:r>
    </w:p>
    <w:p w14:paraId="78F34206">
      <w:pPr>
        <w:pStyle w:val="2"/>
        <w:numPr>
          <w:ilvl w:val="0"/>
          <w:numId w:val="0"/>
        </w:numPr>
        <w:rPr>
          <w:rFonts w:ascii="宋体" w:hAnsi="宋体" w:cs="宋体"/>
        </w:rPr>
      </w:pPr>
      <w:bookmarkStart w:id="24" w:name="_Toc15700"/>
      <w:r>
        <w:rPr>
          <w:rFonts w:hint="eastAsia" w:ascii="宋体" w:hAnsi="宋体" w:cs="宋体"/>
        </w:rPr>
        <w:t>第六章 附件</w:t>
      </w:r>
      <w:bookmarkEnd w:id="24"/>
    </w:p>
    <w:p w14:paraId="2738CDA7">
      <w:pPr>
        <w:widowControl/>
        <w:adjustRightInd w:val="0"/>
        <w:spacing w:line="240" w:lineRule="atLeast"/>
        <w:jc w:val="left"/>
        <w:rPr>
          <w:rFonts w:ascii="宋体" w:hAnsi="宋体" w:cs="宋体"/>
          <w:b/>
          <w:bCs/>
          <w:szCs w:val="21"/>
        </w:rPr>
      </w:pPr>
    </w:p>
    <w:bookmarkEnd w:id="0"/>
    <w:bookmarkEnd w:id="1"/>
    <w:p w14:paraId="493641AE">
      <w:pPr>
        <w:widowControl/>
        <w:adjustRightInd w:val="0"/>
        <w:spacing w:line="240" w:lineRule="atLeast"/>
        <w:jc w:val="left"/>
        <w:rPr>
          <w:rFonts w:ascii="Arial" w:hAnsi="Arial" w:cs="Arial"/>
          <w:b/>
          <w:bCs/>
          <w:szCs w:val="21"/>
        </w:rPr>
      </w:pPr>
      <w:bookmarkStart w:id="25" w:name="_Toc26810"/>
    </w:p>
    <w:p w14:paraId="41828B06">
      <w:pPr>
        <w:spacing w:line="440" w:lineRule="exact"/>
        <w:rPr>
          <w:rFonts w:ascii="Arial" w:hAnsi="Arial" w:eastAsia="黑体" w:cs="Arial"/>
          <w:sz w:val="20"/>
          <w:szCs w:val="20"/>
        </w:rPr>
      </w:pPr>
    </w:p>
    <w:p w14:paraId="481C44B7">
      <w:pPr>
        <w:spacing w:line="440" w:lineRule="exact"/>
        <w:rPr>
          <w:rFonts w:ascii="Arial" w:hAnsi="Arial" w:eastAsia="黑体" w:cs="Arial"/>
          <w:sz w:val="20"/>
          <w:szCs w:val="20"/>
        </w:rPr>
      </w:pPr>
    </w:p>
    <w:p w14:paraId="7F84EAA8">
      <w:pPr>
        <w:jc w:val="center"/>
        <w:rPr>
          <w:rFonts w:ascii="宋体" w:hAnsi="宋体" w:cs="宋体"/>
          <w:sz w:val="52"/>
          <w:szCs w:val="52"/>
        </w:rPr>
      </w:pPr>
      <w:r>
        <w:rPr>
          <w:rFonts w:hint="eastAsia" w:ascii="宋体" w:hAnsi="宋体" w:cs="宋体"/>
          <w:sz w:val="52"/>
          <w:szCs w:val="52"/>
        </w:rPr>
        <w:t>投标文件</w:t>
      </w:r>
    </w:p>
    <w:p w14:paraId="292B287E">
      <w:pPr>
        <w:rPr>
          <w:rFonts w:ascii="宋体" w:hAnsi="宋体" w:cs="宋体"/>
          <w:sz w:val="36"/>
          <w:szCs w:val="36"/>
        </w:rPr>
      </w:pPr>
    </w:p>
    <w:p w14:paraId="77BD2E2E">
      <w:pPr>
        <w:rPr>
          <w:rFonts w:ascii="宋体" w:hAnsi="宋体" w:cs="宋体"/>
          <w:sz w:val="36"/>
          <w:szCs w:val="36"/>
        </w:rPr>
      </w:pPr>
    </w:p>
    <w:p w14:paraId="2FA194B2">
      <w:pPr>
        <w:rPr>
          <w:rFonts w:ascii="宋体" w:hAnsi="宋体" w:cs="宋体"/>
          <w:sz w:val="36"/>
          <w:szCs w:val="36"/>
        </w:rPr>
      </w:pPr>
    </w:p>
    <w:p w14:paraId="64D23F69">
      <w:pPr>
        <w:ind w:firstLine="720" w:firstLineChars="200"/>
        <w:rPr>
          <w:rFonts w:ascii="宋体" w:hAnsi="宋体" w:cs="宋体"/>
          <w:sz w:val="36"/>
          <w:szCs w:val="36"/>
        </w:rPr>
      </w:pPr>
      <w:r>
        <w:rPr>
          <w:rFonts w:hint="eastAsia" w:ascii="宋体" w:hAnsi="宋体" w:cs="宋体"/>
          <w:sz w:val="36"/>
          <w:szCs w:val="36"/>
        </w:rPr>
        <w:t>项目名称：</w:t>
      </w:r>
    </w:p>
    <w:p w14:paraId="70D79BAC">
      <w:pPr>
        <w:ind w:firstLine="720" w:firstLineChars="200"/>
        <w:rPr>
          <w:rFonts w:ascii="宋体" w:hAnsi="宋体" w:cs="宋体"/>
          <w:sz w:val="36"/>
          <w:szCs w:val="36"/>
        </w:rPr>
      </w:pPr>
      <w:r>
        <w:rPr>
          <w:rFonts w:hint="eastAsia" w:ascii="宋体" w:hAnsi="宋体" w:cs="宋体"/>
          <w:sz w:val="36"/>
          <w:szCs w:val="36"/>
        </w:rPr>
        <w:t>招标编号：</w:t>
      </w:r>
    </w:p>
    <w:p w14:paraId="1A7C1158">
      <w:pPr>
        <w:ind w:firstLine="720" w:firstLineChars="200"/>
        <w:rPr>
          <w:rFonts w:ascii="宋体" w:hAnsi="宋体" w:cs="宋体"/>
          <w:sz w:val="36"/>
          <w:szCs w:val="36"/>
          <w:u w:val="single"/>
        </w:rPr>
      </w:pPr>
      <w:r>
        <w:rPr>
          <w:rFonts w:hint="eastAsia" w:ascii="宋体" w:hAnsi="宋体" w:cs="宋体"/>
          <w:sz w:val="36"/>
          <w:szCs w:val="36"/>
        </w:rPr>
        <w:t>投标人名称：（加盖电子公章）</w:t>
      </w:r>
    </w:p>
    <w:p w14:paraId="24B21A30">
      <w:pPr>
        <w:widowControl/>
        <w:ind w:firstLine="720" w:firstLineChars="200"/>
        <w:jc w:val="left"/>
        <w:rPr>
          <w:rFonts w:ascii="宋体" w:hAnsi="宋体" w:cs="宋体"/>
          <w:sz w:val="28"/>
          <w:szCs w:val="28"/>
        </w:rPr>
      </w:pPr>
      <w:r>
        <w:rPr>
          <w:rFonts w:hint="eastAsia" w:ascii="宋体" w:hAnsi="宋体" w:cs="宋体"/>
          <w:sz w:val="36"/>
          <w:szCs w:val="36"/>
        </w:rPr>
        <w:t>日期：</w:t>
      </w:r>
    </w:p>
    <w:p w14:paraId="5FA36646">
      <w:pPr>
        <w:rPr>
          <w:rFonts w:eastAsia="黑体"/>
          <w:sz w:val="32"/>
          <w:szCs w:val="32"/>
        </w:rPr>
      </w:pPr>
      <w:r>
        <w:rPr>
          <w:rFonts w:eastAsia="黑体"/>
          <w:sz w:val="32"/>
          <w:szCs w:val="32"/>
        </w:rPr>
        <w:br w:type="page"/>
      </w:r>
    </w:p>
    <w:p w14:paraId="1A97662C">
      <w:pPr>
        <w:spacing w:before="312" w:beforeLines="100" w:after="312" w:afterLines="100"/>
        <w:jc w:val="center"/>
        <w:rPr>
          <w:rFonts w:eastAsia="黑体"/>
          <w:sz w:val="32"/>
          <w:szCs w:val="32"/>
        </w:rPr>
      </w:pPr>
      <w:r>
        <w:rPr>
          <w:rFonts w:eastAsia="黑体"/>
          <w:sz w:val="32"/>
          <w:szCs w:val="32"/>
        </w:rPr>
        <w:t>目录</w:t>
      </w:r>
    </w:p>
    <w:p w14:paraId="3D375830">
      <w:pPr>
        <w:jc w:val="center"/>
        <w:rPr>
          <w:rFonts w:ascii="宋体" w:hAnsi="宋体" w:cs="宋体"/>
          <w:szCs w:val="21"/>
        </w:rPr>
      </w:pPr>
      <w:r>
        <w:rPr>
          <w:rFonts w:hint="eastAsia" w:ascii="宋体" w:hAnsi="宋体" w:cs="宋体"/>
          <w:szCs w:val="21"/>
        </w:rPr>
        <w:t>（注：供应商根据附件顺序编制投标文件并制作目录（须生成页码））</w:t>
      </w:r>
    </w:p>
    <w:p w14:paraId="0F3EF7BE">
      <w:pPr>
        <w:spacing w:line="440" w:lineRule="exact"/>
        <w:rPr>
          <w:rFonts w:ascii="宋体" w:hAnsi="宋体" w:cs="宋体"/>
          <w:kern w:val="0"/>
          <w:szCs w:val="21"/>
        </w:rPr>
      </w:pPr>
      <w:r>
        <w:rPr>
          <w:rFonts w:ascii="Arial" w:hAnsi="Arial" w:cs="Arial"/>
        </w:rPr>
        <w:br w:type="page"/>
      </w:r>
      <w:r>
        <w:rPr>
          <w:rFonts w:hint="eastAsia" w:ascii="宋体" w:hAnsi="宋体" w:cs="宋体"/>
          <w:b/>
          <w:bCs/>
          <w:kern w:val="0"/>
          <w:szCs w:val="21"/>
        </w:rPr>
        <w:t>附件一、投标申请及声明格式</w:t>
      </w:r>
    </w:p>
    <w:p w14:paraId="7DB2E061">
      <w:pPr>
        <w:widowControl/>
        <w:shd w:val="clear" w:color="auto" w:fill="FFFFFF"/>
        <w:spacing w:line="360" w:lineRule="auto"/>
        <w:jc w:val="center"/>
        <w:rPr>
          <w:rFonts w:ascii="宋体" w:hAnsi="宋体" w:cs="宋体"/>
          <w:b/>
          <w:kern w:val="0"/>
          <w:szCs w:val="21"/>
        </w:rPr>
      </w:pPr>
      <w:r>
        <w:rPr>
          <w:rFonts w:hint="eastAsia" w:ascii="宋体" w:hAnsi="宋体" w:cs="宋体"/>
          <w:b/>
          <w:kern w:val="0"/>
          <w:sz w:val="36"/>
          <w:szCs w:val="36"/>
        </w:rPr>
        <w:t>投标申请及声明</w:t>
      </w:r>
    </w:p>
    <w:p w14:paraId="5256D775">
      <w:pPr>
        <w:widowControl/>
        <w:shd w:val="clear" w:color="auto" w:fill="FFFFFF"/>
        <w:spacing w:line="400" w:lineRule="exact"/>
        <w:rPr>
          <w:rFonts w:ascii="宋体" w:hAnsi="宋体" w:cs="宋体"/>
          <w:kern w:val="0"/>
          <w:szCs w:val="21"/>
        </w:rPr>
      </w:pPr>
      <w:r>
        <w:rPr>
          <w:rFonts w:hint="eastAsia" w:ascii="宋体" w:hAnsi="宋体" w:cs="宋体"/>
          <w:kern w:val="0"/>
          <w:szCs w:val="21"/>
        </w:rPr>
        <w:t> 致：江苏省设备成套股份有限公司</w:t>
      </w:r>
    </w:p>
    <w:p w14:paraId="689484D5">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24B8DDB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据此函，签字人兹宣布声明和承诺如下：</w:t>
      </w:r>
    </w:p>
    <w:p w14:paraId="631E4C0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1C57C299">
      <w:pPr>
        <w:widowControl/>
        <w:shd w:val="clear" w:color="auto" w:fill="FFFFFF"/>
        <w:spacing w:line="400" w:lineRule="exact"/>
        <w:ind w:left="1470" w:hanging="1050"/>
        <w:rPr>
          <w:rFonts w:ascii="宋体" w:hAnsi="宋体" w:cs="宋体"/>
          <w:kern w:val="0"/>
          <w:szCs w:val="21"/>
        </w:rPr>
      </w:pPr>
      <w:r>
        <w:rPr>
          <w:rFonts w:hint="eastAsia" w:ascii="宋体" w:hAnsi="宋体" w:cs="宋体"/>
          <w:kern w:val="0"/>
          <w:szCs w:val="21"/>
        </w:rPr>
        <w:t>2、按招标要求，我们的投标报价详见开标一览表。</w:t>
      </w:r>
    </w:p>
    <w:p w14:paraId="6DD12C70">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0CA2C21F">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5AFDD56F">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56F1E9AD">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贵方组织的其他采购方式采购</w:t>
      </w:r>
      <w:r>
        <w:rPr>
          <w:rFonts w:hint="eastAsia" w:ascii="宋体" w:hAnsi="宋体" w:cs="宋体"/>
          <w:kern w:val="0"/>
          <w:szCs w:val="21"/>
        </w:rPr>
        <w:t>。</w:t>
      </w:r>
    </w:p>
    <w:p w14:paraId="199E705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6E484897">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615AF4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9、与本投标有关的正式联系方式为：</w:t>
      </w:r>
    </w:p>
    <w:p w14:paraId="68F242AF">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30F5122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44C5850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688D663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开户银行：</w:t>
      </w:r>
    </w:p>
    <w:p w14:paraId="13970B7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银行账号：</w:t>
      </w:r>
    </w:p>
    <w:p w14:paraId="249EE87C">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7F49AF3D">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48D4C154">
      <w:pPr>
        <w:widowControl/>
        <w:shd w:val="clear" w:color="auto" w:fill="FFFFFF"/>
        <w:spacing w:line="400" w:lineRule="exact"/>
        <w:ind w:firstLine="420"/>
        <w:rPr>
          <w:rFonts w:ascii="宋体" w:hAnsi="宋体" w:cs="宋体"/>
          <w:kern w:val="0"/>
          <w:szCs w:val="21"/>
        </w:rPr>
      </w:pPr>
    </w:p>
    <w:p w14:paraId="25098B42">
      <w:pPr>
        <w:widowControl/>
        <w:shd w:val="clear" w:color="auto" w:fill="FFFFFF"/>
        <w:spacing w:line="360" w:lineRule="auto"/>
        <w:rPr>
          <w:rFonts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7A303159">
      <w:pPr>
        <w:widowControl/>
        <w:shd w:val="clear" w:color="auto" w:fill="FFFFFF"/>
        <w:spacing w:line="360" w:lineRule="auto"/>
        <w:ind w:firstLine="720"/>
        <w:jc w:val="center"/>
        <w:rPr>
          <w:rFonts w:ascii="宋体" w:hAnsi="宋体" w:cs="宋体"/>
          <w:kern w:val="0"/>
          <w:sz w:val="36"/>
          <w:szCs w:val="36"/>
        </w:rPr>
      </w:pPr>
    </w:p>
    <w:p w14:paraId="25E22363">
      <w:pPr>
        <w:widowControl/>
        <w:shd w:val="clear" w:color="auto" w:fill="FFFFFF"/>
        <w:spacing w:line="360" w:lineRule="auto"/>
        <w:ind w:firstLine="720"/>
        <w:jc w:val="center"/>
        <w:rPr>
          <w:rFonts w:ascii="宋体" w:hAnsi="宋体" w:cs="宋体"/>
          <w:b/>
          <w:kern w:val="0"/>
          <w:szCs w:val="21"/>
        </w:rPr>
      </w:pPr>
      <w:r>
        <w:rPr>
          <w:rFonts w:hint="eastAsia" w:ascii="宋体" w:hAnsi="宋体" w:cs="宋体"/>
          <w:b/>
          <w:kern w:val="0"/>
          <w:sz w:val="36"/>
          <w:szCs w:val="36"/>
        </w:rPr>
        <w:t>法人授权书</w:t>
      </w:r>
    </w:p>
    <w:p w14:paraId="6F7450C6">
      <w:pPr>
        <w:widowControl/>
        <w:shd w:val="clear" w:color="auto" w:fill="FFFFFF"/>
        <w:spacing w:line="360" w:lineRule="auto"/>
        <w:jc w:val="left"/>
        <w:rPr>
          <w:rFonts w:ascii="宋体" w:hAnsi="宋体" w:cs="宋体"/>
          <w:kern w:val="0"/>
          <w:szCs w:val="21"/>
        </w:rPr>
      </w:pPr>
    </w:p>
    <w:p w14:paraId="5C4BA487">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5CF3BEC2">
      <w:pPr>
        <w:spacing w:line="480" w:lineRule="exact"/>
        <w:ind w:firstLine="480"/>
        <w:rPr>
          <w:rFonts w:ascii="宋体" w:hAnsi="宋体"/>
          <w:szCs w:val="21"/>
        </w:rPr>
      </w:pPr>
      <w:r>
        <w:rPr>
          <w:rFonts w:hint="eastAsia" w:ascii="宋体" w:hAnsi="宋体"/>
          <w:szCs w:val="21"/>
        </w:rPr>
        <w:t>本授权书自______年____月____日起生效，特此声明。</w:t>
      </w:r>
    </w:p>
    <w:p w14:paraId="0DEA1203">
      <w:pPr>
        <w:spacing w:line="480" w:lineRule="exact"/>
        <w:ind w:firstLine="480"/>
        <w:rPr>
          <w:rFonts w:ascii="宋体" w:hAnsi="宋体"/>
          <w:szCs w:val="21"/>
        </w:rPr>
      </w:pPr>
      <w:r>
        <w:rPr>
          <w:rFonts w:hint="eastAsia" w:ascii="宋体" w:hAnsi="宋体"/>
          <w:szCs w:val="21"/>
        </w:rPr>
        <w:t>被授权人身份证号码：</w:t>
      </w:r>
    </w:p>
    <w:p w14:paraId="67C1C864">
      <w:pPr>
        <w:spacing w:line="480" w:lineRule="exact"/>
        <w:ind w:firstLine="480"/>
        <w:rPr>
          <w:rFonts w:ascii="宋体" w:hAnsi="宋体"/>
          <w:szCs w:val="21"/>
          <w:u w:val="single"/>
        </w:rPr>
      </w:pPr>
      <w:r>
        <w:rPr>
          <w:rFonts w:hint="eastAsia" w:ascii="宋体" w:hAnsi="宋体"/>
          <w:szCs w:val="21"/>
        </w:rPr>
        <w:t>被授权人联系电话：           （手机）</w:t>
      </w:r>
    </w:p>
    <w:p w14:paraId="1031933A">
      <w:pPr>
        <w:spacing w:line="480" w:lineRule="exact"/>
        <w:ind w:firstLine="480"/>
        <w:rPr>
          <w:rFonts w:ascii="宋体" w:hAnsi="宋体"/>
          <w:szCs w:val="21"/>
          <w:u w:val="single"/>
        </w:rPr>
      </w:pPr>
      <w:r>
        <w:rPr>
          <w:rFonts w:hint="eastAsia" w:ascii="宋体" w:hAnsi="宋体"/>
          <w:szCs w:val="21"/>
        </w:rPr>
        <w:t>投标人名称：              （加盖电子公章）</w:t>
      </w:r>
    </w:p>
    <w:p w14:paraId="58E9C4F3">
      <w:pPr>
        <w:spacing w:line="480" w:lineRule="exact"/>
        <w:ind w:firstLine="480"/>
        <w:rPr>
          <w:rFonts w:ascii="宋体" w:hAnsi="宋体"/>
          <w:szCs w:val="21"/>
          <w:u w:val="single"/>
        </w:rPr>
      </w:pPr>
      <w:r>
        <w:rPr>
          <w:rFonts w:hint="eastAsia" w:ascii="宋体" w:hAnsi="宋体"/>
          <w:szCs w:val="21"/>
        </w:rPr>
        <w:t>单位地址：</w:t>
      </w:r>
    </w:p>
    <w:p w14:paraId="1B3596EA">
      <w:pPr>
        <w:spacing w:line="480" w:lineRule="exact"/>
        <w:ind w:firstLine="480"/>
        <w:rPr>
          <w:rFonts w:ascii="宋体" w:hAnsi="宋体"/>
          <w:szCs w:val="21"/>
        </w:rPr>
      </w:pPr>
      <w:r>
        <w:rPr>
          <w:rFonts w:hint="eastAsia" w:ascii="宋体" w:hAnsi="宋体"/>
          <w:szCs w:val="21"/>
        </w:rPr>
        <w:t>日    期：</w:t>
      </w:r>
    </w:p>
    <w:p w14:paraId="71EB536A">
      <w:pPr>
        <w:rPr>
          <w:rFonts w:ascii="宋体" w:hAnsi="宋体"/>
          <w:szCs w:val="21"/>
        </w:rPr>
      </w:pPr>
      <w:r>
        <w:rPr>
          <w:rFonts w:ascii="宋体" w:hAnsi="宋体"/>
          <w:szCs w:val="21"/>
        </w:rPr>
        <w:br w:type="page"/>
      </w:r>
    </w:p>
    <w:p w14:paraId="6BEC037D">
      <w:pPr>
        <w:rPr>
          <w:rFonts w:ascii="宋体" w:hAnsi="宋体"/>
          <w:szCs w:val="21"/>
        </w:rPr>
      </w:pPr>
    </w:p>
    <w:p w14:paraId="584EC786">
      <w:pPr>
        <w:autoSpaceDE w:val="0"/>
        <w:autoSpaceDN w:val="0"/>
        <w:adjustRightInd w:val="0"/>
        <w:spacing w:line="360" w:lineRule="auto"/>
        <w:rPr>
          <w:rFonts w:ascii="宋体" w:hAnsi="宋体" w:cs="宋体"/>
        </w:rPr>
      </w:pPr>
      <w:r>
        <w:rPr>
          <w:rFonts w:hint="eastAsia" w:ascii="宋体" w:hAnsi="宋体" w:cs="宋体"/>
          <w:b/>
          <w:bCs/>
          <w:kern w:val="0"/>
          <w:szCs w:val="21"/>
          <w:lang w:val="zh-CN"/>
        </w:rPr>
        <w:t>附件三、</w:t>
      </w:r>
      <w:bookmarkEnd w:id="25"/>
      <w:r>
        <w:rPr>
          <w:rFonts w:hint="eastAsia" w:ascii="宋体" w:hAnsi="宋体" w:cs="宋体"/>
          <w:b/>
          <w:bCs/>
          <w:kern w:val="0"/>
          <w:szCs w:val="21"/>
        </w:rPr>
        <w:t>开标一览表</w:t>
      </w:r>
    </w:p>
    <w:p w14:paraId="614935EC">
      <w:pPr>
        <w:autoSpaceDE w:val="0"/>
        <w:autoSpaceDN w:val="0"/>
        <w:adjustRightInd w:val="0"/>
        <w:rPr>
          <w:rFonts w:ascii="宋体" w:hAnsi="宋体" w:cs="宋体"/>
          <w:b/>
          <w:bCs/>
          <w:lang w:val="zh-CN"/>
        </w:rPr>
      </w:pPr>
    </w:p>
    <w:p w14:paraId="50A67B32">
      <w:pPr>
        <w:jc w:val="center"/>
        <w:rPr>
          <w:rFonts w:ascii="宋体" w:hAnsi="宋体" w:cs="宋体"/>
          <w:b/>
          <w:sz w:val="36"/>
          <w:szCs w:val="36"/>
        </w:rPr>
      </w:pPr>
      <w:r>
        <w:rPr>
          <w:rFonts w:hint="eastAsia" w:ascii="宋体" w:hAnsi="宋体" w:cs="宋体"/>
          <w:b/>
          <w:sz w:val="36"/>
          <w:szCs w:val="36"/>
        </w:rPr>
        <w:t>开标一览表</w:t>
      </w:r>
    </w:p>
    <w:tbl>
      <w:tblPr>
        <w:tblStyle w:val="4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4519"/>
        <w:gridCol w:w="1425"/>
      </w:tblGrid>
      <w:tr w14:paraId="74ED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8" w:hRule="atLeast"/>
        </w:trPr>
        <w:tc>
          <w:tcPr>
            <w:tcW w:w="2696" w:type="dxa"/>
            <w:vAlign w:val="center"/>
          </w:tcPr>
          <w:p w14:paraId="1DD10C8D">
            <w:pPr>
              <w:spacing w:line="360" w:lineRule="auto"/>
              <w:jc w:val="center"/>
              <w:textAlignment w:val="baseline"/>
            </w:pPr>
            <w:r>
              <w:rPr>
                <w:rFonts w:hint="eastAsia"/>
              </w:rPr>
              <w:t>投标报价</w:t>
            </w:r>
          </w:p>
        </w:tc>
        <w:tc>
          <w:tcPr>
            <w:tcW w:w="4519" w:type="dxa"/>
            <w:vAlign w:val="center"/>
          </w:tcPr>
          <w:p w14:paraId="77DB3976">
            <w:pPr>
              <w:pStyle w:val="14"/>
              <w:spacing w:line="360" w:lineRule="auto"/>
              <w:ind w:firstLine="0"/>
              <w:rPr>
                <w:rFonts w:ascii="宋体" w:hAnsi="宋体" w:cs="宋体"/>
                <w:b w:val="0"/>
                <w:bCs/>
                <w:sz w:val="21"/>
                <w:szCs w:val="21"/>
              </w:rPr>
            </w:pPr>
            <w:r>
              <w:rPr>
                <w:rFonts w:hint="eastAsia" w:ascii="宋体" w:hAnsi="宋体" w:cs="Arial"/>
                <w:sz w:val="21"/>
                <w:szCs w:val="21"/>
              </w:rPr>
              <w:t>详见苏彩云系统</w:t>
            </w:r>
          </w:p>
        </w:tc>
        <w:tc>
          <w:tcPr>
            <w:tcW w:w="1425" w:type="dxa"/>
            <w:vMerge w:val="restart"/>
            <w:vAlign w:val="center"/>
          </w:tcPr>
          <w:p w14:paraId="30386592">
            <w:pPr>
              <w:spacing w:line="360" w:lineRule="auto"/>
              <w:jc w:val="center"/>
              <w:textAlignment w:val="baseline"/>
              <w:rPr>
                <w:rFonts w:ascii="宋体" w:hAnsi="宋体" w:cs="宋体"/>
                <w:b/>
                <w:bCs/>
                <w:color w:val="FF0000"/>
                <w:szCs w:val="21"/>
              </w:rPr>
            </w:pPr>
          </w:p>
          <w:p w14:paraId="7E9D55B2">
            <w:pPr>
              <w:spacing w:line="360" w:lineRule="auto"/>
              <w:jc w:val="center"/>
              <w:textAlignment w:val="baseline"/>
              <w:rPr>
                <w:rFonts w:ascii="宋体" w:hAnsi="宋体" w:cs="宋体"/>
                <w:szCs w:val="21"/>
              </w:rPr>
            </w:pPr>
          </w:p>
        </w:tc>
      </w:tr>
      <w:tr w14:paraId="62E1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96" w:type="dxa"/>
            <w:vAlign w:val="center"/>
          </w:tcPr>
          <w:p w14:paraId="5887EE0C">
            <w:pPr>
              <w:spacing w:line="360" w:lineRule="auto"/>
              <w:jc w:val="center"/>
              <w:textAlignment w:val="baseline"/>
              <w:rPr>
                <w:rFonts w:ascii="宋体" w:hAnsi="宋体" w:cs="宋体"/>
                <w:szCs w:val="21"/>
              </w:rPr>
            </w:pPr>
            <w:r>
              <w:rPr>
                <w:rFonts w:hint="eastAsia" w:ascii="宋体" w:hAnsi="宋体" w:cs="宋体"/>
                <w:szCs w:val="21"/>
              </w:rPr>
              <w:t>服务时间/交付使用时间</w:t>
            </w:r>
          </w:p>
        </w:tc>
        <w:tc>
          <w:tcPr>
            <w:tcW w:w="4519" w:type="dxa"/>
            <w:vAlign w:val="center"/>
          </w:tcPr>
          <w:p w14:paraId="71C422CA">
            <w:pPr>
              <w:pStyle w:val="14"/>
              <w:spacing w:line="360" w:lineRule="auto"/>
              <w:ind w:firstLine="472" w:firstLineChars="225"/>
              <w:jc w:val="center"/>
              <w:rPr>
                <w:rFonts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1425" w:type="dxa"/>
            <w:vMerge w:val="continue"/>
            <w:vAlign w:val="center"/>
          </w:tcPr>
          <w:p w14:paraId="0C7796D2">
            <w:pPr>
              <w:spacing w:line="360" w:lineRule="auto"/>
              <w:ind w:firstLine="472" w:firstLineChars="225"/>
              <w:jc w:val="center"/>
              <w:textAlignment w:val="baseline"/>
              <w:rPr>
                <w:rFonts w:ascii="宋体" w:hAnsi="宋体" w:cs="宋体"/>
                <w:szCs w:val="21"/>
              </w:rPr>
            </w:pPr>
          </w:p>
        </w:tc>
      </w:tr>
      <w:tr w14:paraId="45C5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0953F22F">
            <w:pPr>
              <w:pStyle w:val="14"/>
              <w:spacing w:line="360" w:lineRule="auto"/>
              <w:ind w:firstLine="0"/>
              <w:jc w:val="center"/>
              <w:rPr>
                <w:rFonts w:ascii="宋体" w:hAnsi="宋体" w:cs="宋体"/>
                <w:szCs w:val="21"/>
              </w:rPr>
            </w:pPr>
            <w:r>
              <w:rPr>
                <w:rFonts w:hint="eastAsia" w:ascii="宋体" w:hAnsi="宋体" w:cs="宋体"/>
                <w:sz w:val="21"/>
                <w:szCs w:val="21"/>
              </w:rPr>
              <w:t>投标标的是否全部由小微企业（含视同小微企业）提供</w:t>
            </w:r>
          </w:p>
        </w:tc>
        <w:tc>
          <w:tcPr>
            <w:tcW w:w="4519" w:type="dxa"/>
            <w:vAlign w:val="center"/>
          </w:tcPr>
          <w:p w14:paraId="747EB596">
            <w:pPr>
              <w:pStyle w:val="14"/>
              <w:spacing w:line="360" w:lineRule="auto"/>
              <w:ind w:firstLine="474" w:firstLineChars="225"/>
              <w:jc w:val="center"/>
              <w:rPr>
                <w:rFonts w:ascii="宋体" w:hAnsi="宋体" w:cs="宋体"/>
                <w:szCs w:val="21"/>
                <w:u w:val="single"/>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425" w:type="dxa"/>
            <w:vMerge w:val="continue"/>
            <w:vAlign w:val="center"/>
          </w:tcPr>
          <w:p w14:paraId="3C092464">
            <w:pPr>
              <w:spacing w:line="360" w:lineRule="auto"/>
              <w:ind w:firstLine="472" w:firstLineChars="225"/>
              <w:jc w:val="center"/>
              <w:textAlignment w:val="baseline"/>
              <w:rPr>
                <w:rFonts w:ascii="宋体" w:hAnsi="宋体" w:cs="宋体"/>
                <w:szCs w:val="21"/>
              </w:rPr>
            </w:pPr>
          </w:p>
        </w:tc>
      </w:tr>
      <w:tr w14:paraId="539D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179C34CC">
            <w:pPr>
              <w:pStyle w:val="14"/>
              <w:spacing w:line="360" w:lineRule="auto"/>
              <w:ind w:firstLine="0" w:firstLineChars="0"/>
              <w:jc w:val="center"/>
              <w:rPr>
                <w:rFonts w:hint="eastAsia" w:ascii="宋体" w:hAnsi="宋体" w:cs="宋体"/>
                <w:sz w:val="21"/>
                <w:szCs w:val="21"/>
              </w:rPr>
            </w:pPr>
            <w:r>
              <w:rPr>
                <w:rFonts w:hint="eastAsia" w:ascii="宋体" w:hAnsi="宋体" w:cs="宋体"/>
                <w:sz w:val="21"/>
                <w:szCs w:val="21"/>
              </w:rPr>
              <w:t>符合本国产品标准的产品成本之和占其提供的全部产品成本之和比例是否达到80%</w:t>
            </w:r>
          </w:p>
        </w:tc>
        <w:tc>
          <w:tcPr>
            <w:tcW w:w="4519" w:type="dxa"/>
            <w:vAlign w:val="center"/>
          </w:tcPr>
          <w:p w14:paraId="48671739">
            <w:pPr>
              <w:pStyle w:val="14"/>
              <w:spacing w:line="360" w:lineRule="auto"/>
              <w:ind w:firstLine="474" w:firstLineChars="225"/>
              <w:jc w:val="center"/>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425" w:type="dxa"/>
            <w:vAlign w:val="center"/>
          </w:tcPr>
          <w:p w14:paraId="494D4FA4">
            <w:pPr>
              <w:spacing w:line="360" w:lineRule="auto"/>
              <w:ind w:firstLine="472" w:firstLineChars="225"/>
              <w:jc w:val="center"/>
              <w:textAlignment w:val="baseline"/>
              <w:rPr>
                <w:rFonts w:ascii="宋体" w:hAnsi="宋体" w:cs="宋体"/>
                <w:szCs w:val="21"/>
              </w:rPr>
            </w:pPr>
          </w:p>
        </w:tc>
      </w:tr>
    </w:tbl>
    <w:p w14:paraId="566A31A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2FF0704">
      <w:pPr>
        <w:widowControl/>
        <w:spacing w:line="360" w:lineRule="auto"/>
        <w:jc w:val="left"/>
        <w:rPr>
          <w:rFonts w:ascii="宋体" w:hAnsi="宋体" w:cs="宋体"/>
          <w:kern w:val="0"/>
          <w:szCs w:val="21"/>
        </w:rPr>
      </w:pPr>
      <w:r>
        <w:rPr>
          <w:rFonts w:hint="eastAsia" w:ascii="宋体" w:hAnsi="宋体" w:cs="宋体"/>
          <w:kern w:val="0"/>
          <w:szCs w:val="21"/>
        </w:rPr>
        <w:t>说明：</w:t>
      </w:r>
    </w:p>
    <w:p w14:paraId="4CBD0543">
      <w:pPr>
        <w:widowControl/>
        <w:numPr>
          <w:ilvl w:val="0"/>
          <w:numId w:val="7"/>
        </w:numPr>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本项目仅接受一个价格，不得填报有选择性报价方案。如有优惠条款须注明，但不得影响报价，影响项目履约交付。</w:t>
      </w:r>
    </w:p>
    <w:p w14:paraId="0A7FA8E5">
      <w:pPr>
        <w:widowControl/>
        <w:spacing w:line="360" w:lineRule="auto"/>
        <w:ind w:firstLine="420"/>
        <w:jc w:val="left"/>
        <w:rPr>
          <w:rFonts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14:paraId="5E7F0C97">
      <w:pPr>
        <w:widowControl/>
        <w:spacing w:line="360" w:lineRule="auto"/>
        <w:ind w:firstLine="420"/>
        <w:jc w:val="left"/>
        <w:rPr>
          <w:rFonts w:ascii="宋体" w:hAnsi="宋体" w:cs="宋体"/>
          <w:b/>
          <w:bCs/>
          <w:kern w:val="0"/>
          <w:szCs w:val="21"/>
        </w:rPr>
      </w:pPr>
    </w:p>
    <w:p w14:paraId="4B12EDEC">
      <w:pPr>
        <w:widowControl/>
        <w:spacing w:line="360" w:lineRule="auto"/>
        <w:jc w:val="left"/>
        <w:rPr>
          <w:rFonts w:ascii="宋体" w:hAnsi="宋体" w:cs="宋体"/>
          <w:b/>
          <w:bCs/>
          <w:kern w:val="0"/>
          <w:szCs w:val="21"/>
          <w:lang w:val="zh-CN"/>
        </w:rPr>
      </w:pPr>
      <w:bookmarkStart w:id="26" w:name="_Toc12264"/>
      <w:r>
        <w:rPr>
          <w:rFonts w:hint="eastAsia" w:ascii="宋体" w:hAnsi="宋体" w:cs="宋体"/>
          <w:b/>
          <w:bCs/>
          <w:kern w:val="0"/>
          <w:szCs w:val="21"/>
          <w:lang w:val="zh-CN"/>
        </w:rPr>
        <w:br w:type="page"/>
      </w:r>
    </w:p>
    <w:p w14:paraId="303E543F">
      <w:pPr>
        <w:widowControl/>
        <w:spacing w:line="360" w:lineRule="auto"/>
        <w:jc w:val="left"/>
        <w:rPr>
          <w:rFonts w:ascii="宋体" w:hAnsi="宋体" w:cs="宋体"/>
          <w:b/>
          <w:bCs/>
          <w:kern w:val="0"/>
          <w:szCs w:val="21"/>
          <w:lang w:val="zh-CN"/>
        </w:rPr>
      </w:pPr>
      <w:r>
        <w:rPr>
          <w:rFonts w:hint="eastAsia" w:ascii="宋体" w:hAnsi="宋体" w:cs="宋体"/>
          <w:b/>
          <w:bCs/>
          <w:kern w:val="0"/>
          <w:szCs w:val="21"/>
        </w:rPr>
        <w:t>附表</w:t>
      </w:r>
      <w:r>
        <w:rPr>
          <w:rFonts w:hint="eastAsia" w:ascii="宋体" w:hAnsi="宋体" w:cs="宋体"/>
          <w:b/>
          <w:bCs/>
          <w:kern w:val="0"/>
          <w:szCs w:val="21"/>
          <w:lang w:val="zh-CN"/>
        </w:rPr>
        <w:t>：分项报价表格式</w:t>
      </w:r>
      <w:bookmarkEnd w:id="26"/>
    </w:p>
    <w:p w14:paraId="6232C2BC">
      <w:pPr>
        <w:widowControl/>
        <w:adjustRightInd w:val="0"/>
        <w:spacing w:line="240" w:lineRule="atLeast"/>
        <w:jc w:val="left"/>
        <w:rPr>
          <w:rFonts w:ascii="宋体" w:hAnsi="宋体" w:cs="宋体"/>
          <w:b/>
          <w:bCs/>
          <w:kern w:val="0"/>
          <w:lang w:val="zh-CN"/>
        </w:rPr>
      </w:pPr>
    </w:p>
    <w:p w14:paraId="50659BEF">
      <w:pPr>
        <w:widowControl/>
        <w:spacing w:line="360" w:lineRule="auto"/>
        <w:jc w:val="center"/>
        <w:rPr>
          <w:rFonts w:ascii="宋体" w:hAnsi="宋体" w:cs="宋体"/>
          <w:b/>
          <w:kern w:val="0"/>
          <w:sz w:val="36"/>
          <w:szCs w:val="36"/>
        </w:rPr>
      </w:pPr>
      <w:r>
        <w:rPr>
          <w:rFonts w:hint="eastAsia" w:ascii="宋体" w:hAnsi="宋体" w:cs="宋体"/>
          <w:b/>
          <w:kern w:val="0"/>
          <w:sz w:val="36"/>
          <w:szCs w:val="36"/>
        </w:rPr>
        <w:t>分项报价表</w:t>
      </w:r>
    </w:p>
    <w:p w14:paraId="651C0068">
      <w:pPr>
        <w:widowControl/>
        <w:spacing w:line="360" w:lineRule="auto"/>
        <w:jc w:val="left"/>
        <w:rPr>
          <w:rFonts w:ascii="宋体" w:hAnsi="宋体" w:cs="宋体"/>
          <w:kern w:val="0"/>
          <w:szCs w:val="21"/>
        </w:rPr>
      </w:pPr>
    </w:p>
    <w:tbl>
      <w:tblPr>
        <w:tblStyle w:val="45"/>
        <w:tblW w:w="847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767"/>
        <w:gridCol w:w="2010"/>
        <w:gridCol w:w="2010"/>
      </w:tblGrid>
      <w:tr w14:paraId="3C52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7E4874C9">
            <w:pPr>
              <w:spacing w:line="500" w:lineRule="exact"/>
              <w:ind w:left="420" w:hanging="420" w:hangingChars="175"/>
              <w:jc w:val="center"/>
              <w:rPr>
                <w:rFonts w:ascii="宋体" w:hAnsi="宋体"/>
                <w:sz w:val="24"/>
              </w:rPr>
            </w:pPr>
            <w:r>
              <w:rPr>
                <w:rFonts w:hint="eastAsia" w:ascii="宋体" w:hAnsi="宋体"/>
                <w:sz w:val="24"/>
              </w:rPr>
              <w:t>序号</w:t>
            </w:r>
          </w:p>
        </w:tc>
        <w:tc>
          <w:tcPr>
            <w:tcW w:w="2269" w:type="dxa"/>
            <w:vAlign w:val="center"/>
          </w:tcPr>
          <w:p w14:paraId="3CB54F83">
            <w:pPr>
              <w:spacing w:line="500" w:lineRule="exact"/>
              <w:ind w:left="420" w:hanging="420" w:hangingChars="175"/>
              <w:jc w:val="center"/>
              <w:rPr>
                <w:rFonts w:ascii="宋体" w:hAnsi="宋体"/>
                <w:sz w:val="24"/>
              </w:rPr>
            </w:pPr>
            <w:r>
              <w:rPr>
                <w:rFonts w:hint="eastAsia" w:ascii="宋体" w:hAnsi="宋体"/>
                <w:sz w:val="24"/>
              </w:rPr>
              <w:t>设备名称</w:t>
            </w:r>
          </w:p>
        </w:tc>
        <w:tc>
          <w:tcPr>
            <w:tcW w:w="767" w:type="dxa"/>
            <w:vAlign w:val="center"/>
          </w:tcPr>
          <w:p w14:paraId="12B81E3F">
            <w:pPr>
              <w:spacing w:line="500" w:lineRule="exact"/>
              <w:ind w:left="420" w:hanging="420" w:hangingChars="175"/>
              <w:jc w:val="center"/>
              <w:rPr>
                <w:rFonts w:ascii="宋体" w:hAnsi="宋体"/>
                <w:sz w:val="24"/>
              </w:rPr>
            </w:pPr>
            <w:r>
              <w:rPr>
                <w:rFonts w:hint="eastAsia" w:ascii="宋体" w:hAnsi="宋体"/>
                <w:sz w:val="24"/>
              </w:rPr>
              <w:t>数量</w:t>
            </w:r>
          </w:p>
        </w:tc>
        <w:tc>
          <w:tcPr>
            <w:tcW w:w="2010" w:type="dxa"/>
            <w:vAlign w:val="center"/>
          </w:tcPr>
          <w:p w14:paraId="3C6D1F91">
            <w:pPr>
              <w:spacing w:line="500" w:lineRule="exact"/>
              <w:ind w:left="420" w:hanging="420" w:hangingChars="175"/>
              <w:jc w:val="center"/>
              <w:rPr>
                <w:rFonts w:ascii="宋体" w:hAnsi="宋体"/>
                <w:sz w:val="24"/>
              </w:rPr>
            </w:pPr>
            <w:r>
              <w:rPr>
                <w:rFonts w:hint="eastAsia" w:ascii="宋体" w:hAnsi="宋体"/>
                <w:sz w:val="24"/>
              </w:rPr>
              <w:t>报价（元）</w:t>
            </w:r>
          </w:p>
        </w:tc>
        <w:tc>
          <w:tcPr>
            <w:tcW w:w="2010" w:type="dxa"/>
            <w:vAlign w:val="center"/>
          </w:tcPr>
          <w:p w14:paraId="4160DEDC">
            <w:pPr>
              <w:spacing w:line="500" w:lineRule="exact"/>
              <w:ind w:left="420" w:hanging="420" w:hangingChars="175"/>
              <w:jc w:val="center"/>
              <w:rPr>
                <w:rFonts w:ascii="宋体" w:hAnsi="宋体"/>
                <w:sz w:val="24"/>
              </w:rPr>
            </w:pPr>
            <w:r>
              <w:rPr>
                <w:rFonts w:hint="eastAsia" w:ascii="宋体" w:hAnsi="宋体"/>
                <w:sz w:val="24"/>
              </w:rPr>
              <w:t>品牌及型号</w:t>
            </w:r>
          </w:p>
        </w:tc>
      </w:tr>
      <w:tr w14:paraId="3B63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406AC0CD">
            <w:pPr>
              <w:spacing w:line="500" w:lineRule="exact"/>
              <w:ind w:left="368" w:hanging="367" w:hangingChars="175"/>
              <w:jc w:val="center"/>
              <w:rPr>
                <w:rFonts w:ascii="宋体" w:hAnsi="宋体"/>
                <w:sz w:val="24"/>
              </w:rPr>
            </w:pPr>
            <w:r>
              <w:rPr>
                <w:rFonts w:hint="eastAsia" w:ascii="宋体" w:hAnsi="宋体"/>
                <w:szCs w:val="21"/>
              </w:rPr>
              <w:t>1</w:t>
            </w:r>
          </w:p>
        </w:tc>
        <w:tc>
          <w:tcPr>
            <w:tcW w:w="2269" w:type="dxa"/>
            <w:vAlign w:val="center"/>
          </w:tcPr>
          <w:p w14:paraId="5A73450C">
            <w:pPr>
              <w:spacing w:line="500" w:lineRule="exact"/>
              <w:ind w:left="368" w:hanging="367" w:hangingChars="175"/>
              <w:jc w:val="center"/>
              <w:rPr>
                <w:rFonts w:ascii="宋体" w:hAnsi="宋体"/>
                <w:sz w:val="24"/>
              </w:rPr>
            </w:pPr>
            <w:r>
              <w:rPr>
                <w:rFonts w:hint="eastAsia" w:ascii="宋体" w:hAnsi="宋体" w:cs="宋体"/>
                <w:bCs/>
                <w:szCs w:val="21"/>
              </w:rPr>
              <w:t>真空磁性非晶条带、丝材喷铸机</w:t>
            </w:r>
          </w:p>
        </w:tc>
        <w:tc>
          <w:tcPr>
            <w:tcW w:w="767" w:type="dxa"/>
            <w:vAlign w:val="center"/>
          </w:tcPr>
          <w:p w14:paraId="132CCFA1">
            <w:pPr>
              <w:spacing w:line="500" w:lineRule="exact"/>
              <w:ind w:left="420" w:hanging="420" w:hangingChars="175"/>
              <w:jc w:val="center"/>
              <w:rPr>
                <w:rFonts w:ascii="宋体" w:hAnsi="宋体"/>
                <w:sz w:val="24"/>
              </w:rPr>
            </w:pPr>
            <w:r>
              <w:rPr>
                <w:rFonts w:hint="eastAsia" w:ascii="宋体" w:hAnsi="宋体"/>
                <w:sz w:val="24"/>
              </w:rPr>
              <w:t>1套</w:t>
            </w:r>
          </w:p>
        </w:tc>
        <w:tc>
          <w:tcPr>
            <w:tcW w:w="2010" w:type="dxa"/>
            <w:vAlign w:val="center"/>
          </w:tcPr>
          <w:p w14:paraId="3926070A">
            <w:pPr>
              <w:spacing w:line="500" w:lineRule="exact"/>
              <w:ind w:left="420" w:hanging="420" w:hangingChars="175"/>
              <w:jc w:val="center"/>
              <w:rPr>
                <w:rFonts w:ascii="宋体" w:hAnsi="宋体"/>
                <w:sz w:val="24"/>
              </w:rPr>
            </w:pPr>
          </w:p>
        </w:tc>
        <w:tc>
          <w:tcPr>
            <w:tcW w:w="2010" w:type="dxa"/>
            <w:vAlign w:val="center"/>
          </w:tcPr>
          <w:p w14:paraId="02E8E347">
            <w:pPr>
              <w:spacing w:line="500" w:lineRule="exact"/>
              <w:ind w:left="420" w:hanging="420" w:hangingChars="175"/>
              <w:jc w:val="center"/>
              <w:rPr>
                <w:rFonts w:ascii="宋体" w:hAnsi="宋体"/>
                <w:sz w:val="24"/>
              </w:rPr>
            </w:pPr>
          </w:p>
        </w:tc>
      </w:tr>
      <w:tr w14:paraId="7E8F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7E3DA6A0">
            <w:pPr>
              <w:spacing w:line="500" w:lineRule="exact"/>
              <w:ind w:left="420" w:hanging="420" w:hangingChars="175"/>
              <w:jc w:val="center"/>
              <w:rPr>
                <w:rFonts w:ascii="宋体" w:hAnsi="宋体"/>
                <w:sz w:val="24"/>
              </w:rPr>
            </w:pPr>
          </w:p>
        </w:tc>
        <w:tc>
          <w:tcPr>
            <w:tcW w:w="3036" w:type="dxa"/>
            <w:gridSpan w:val="2"/>
            <w:vAlign w:val="center"/>
          </w:tcPr>
          <w:p w14:paraId="1E2E4DB9">
            <w:pPr>
              <w:spacing w:line="500" w:lineRule="exact"/>
              <w:ind w:left="420" w:hanging="420" w:hangingChars="175"/>
              <w:jc w:val="center"/>
              <w:rPr>
                <w:rFonts w:ascii="宋体" w:hAnsi="宋体"/>
                <w:sz w:val="24"/>
              </w:rPr>
            </w:pPr>
            <w:r>
              <w:rPr>
                <w:rFonts w:hint="eastAsia" w:ascii="宋体" w:hAnsi="宋体"/>
                <w:sz w:val="24"/>
              </w:rPr>
              <w:t>合计</w:t>
            </w:r>
          </w:p>
        </w:tc>
        <w:tc>
          <w:tcPr>
            <w:tcW w:w="2010" w:type="dxa"/>
            <w:vAlign w:val="center"/>
          </w:tcPr>
          <w:p w14:paraId="716886F3">
            <w:pPr>
              <w:spacing w:line="500" w:lineRule="exact"/>
              <w:ind w:left="420" w:hanging="420" w:hangingChars="175"/>
              <w:jc w:val="center"/>
              <w:rPr>
                <w:rFonts w:ascii="宋体" w:hAnsi="宋体"/>
                <w:sz w:val="24"/>
              </w:rPr>
            </w:pPr>
          </w:p>
        </w:tc>
        <w:tc>
          <w:tcPr>
            <w:tcW w:w="2010" w:type="dxa"/>
            <w:vAlign w:val="center"/>
          </w:tcPr>
          <w:p w14:paraId="520E02D3">
            <w:pPr>
              <w:spacing w:line="500" w:lineRule="exact"/>
              <w:ind w:left="420" w:hanging="420" w:hangingChars="175"/>
              <w:jc w:val="center"/>
              <w:rPr>
                <w:rFonts w:ascii="宋体" w:hAnsi="宋体"/>
                <w:sz w:val="24"/>
              </w:rPr>
            </w:pPr>
          </w:p>
        </w:tc>
      </w:tr>
    </w:tbl>
    <w:p w14:paraId="5845C9C9">
      <w:pPr>
        <w:widowControl/>
        <w:spacing w:line="360" w:lineRule="auto"/>
        <w:jc w:val="left"/>
        <w:rPr>
          <w:rFonts w:ascii="宋体" w:hAnsi="宋体" w:cs="宋体"/>
          <w:kern w:val="0"/>
          <w:szCs w:val="21"/>
        </w:rPr>
      </w:pPr>
    </w:p>
    <w:p w14:paraId="085B1757">
      <w:pPr>
        <w:widowControl/>
        <w:spacing w:line="360" w:lineRule="auto"/>
        <w:jc w:val="left"/>
        <w:rPr>
          <w:rFonts w:ascii="宋体" w:hAnsi="宋体" w:cs="宋体"/>
          <w:kern w:val="0"/>
          <w:szCs w:val="21"/>
        </w:rPr>
      </w:pPr>
    </w:p>
    <w:p w14:paraId="299B06A0">
      <w:pPr>
        <w:widowControl/>
        <w:spacing w:line="360" w:lineRule="auto"/>
        <w:jc w:val="left"/>
        <w:rPr>
          <w:rFonts w:ascii="宋体" w:hAnsi="宋体" w:cs="宋体"/>
          <w:kern w:val="0"/>
          <w:szCs w:val="21"/>
        </w:rPr>
      </w:pPr>
    </w:p>
    <w:p w14:paraId="3B59ED6F">
      <w:pPr>
        <w:widowControl/>
        <w:spacing w:line="360" w:lineRule="auto"/>
        <w:jc w:val="left"/>
        <w:rPr>
          <w:rFonts w:ascii="宋体" w:hAnsi="宋体" w:cs="宋体"/>
          <w:kern w:val="0"/>
          <w:szCs w:val="21"/>
        </w:rPr>
      </w:pPr>
    </w:p>
    <w:p w14:paraId="03F695D7">
      <w:pPr>
        <w:widowControl/>
        <w:spacing w:line="360" w:lineRule="auto"/>
        <w:jc w:val="left"/>
        <w:rPr>
          <w:rFonts w:ascii="宋体" w:hAnsi="宋体" w:cs="宋体"/>
          <w:kern w:val="0"/>
          <w:szCs w:val="21"/>
        </w:rPr>
      </w:pPr>
    </w:p>
    <w:p w14:paraId="25DF1CC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B5F65DD">
      <w:pPr>
        <w:widowControl/>
        <w:spacing w:line="360" w:lineRule="auto"/>
        <w:jc w:val="left"/>
        <w:rPr>
          <w:rFonts w:ascii="宋体" w:hAnsi="宋体" w:cs="宋体"/>
          <w:kern w:val="0"/>
          <w:szCs w:val="21"/>
          <w:u w:val="single"/>
        </w:rPr>
      </w:pPr>
    </w:p>
    <w:p w14:paraId="15D3C740">
      <w:pPr>
        <w:widowControl/>
        <w:spacing w:line="360" w:lineRule="auto"/>
        <w:jc w:val="left"/>
        <w:rPr>
          <w:rFonts w:ascii="宋体" w:hAnsi="宋体" w:cs="宋体"/>
          <w:kern w:val="0"/>
          <w:szCs w:val="21"/>
        </w:rPr>
      </w:pPr>
    </w:p>
    <w:p w14:paraId="788F8E61">
      <w:pPr>
        <w:widowControl/>
        <w:spacing w:line="360" w:lineRule="auto"/>
        <w:jc w:val="left"/>
        <w:rPr>
          <w:rFonts w:ascii="宋体" w:hAnsi="宋体" w:cs="宋体"/>
          <w:kern w:val="0"/>
          <w:szCs w:val="21"/>
        </w:rPr>
      </w:pPr>
    </w:p>
    <w:p w14:paraId="36561EEB">
      <w:pPr>
        <w:widowControl/>
        <w:spacing w:line="360" w:lineRule="auto"/>
        <w:jc w:val="left"/>
        <w:rPr>
          <w:rFonts w:ascii="宋体" w:hAnsi="宋体" w:cs="宋体"/>
          <w:kern w:val="0"/>
          <w:szCs w:val="21"/>
        </w:rPr>
      </w:pPr>
    </w:p>
    <w:p w14:paraId="20ECE4A1">
      <w:pPr>
        <w:widowControl/>
        <w:spacing w:line="360" w:lineRule="auto"/>
        <w:jc w:val="left"/>
        <w:rPr>
          <w:rFonts w:ascii="宋体" w:hAnsi="宋体" w:cs="宋体"/>
          <w:kern w:val="0"/>
          <w:szCs w:val="21"/>
        </w:rPr>
      </w:pPr>
    </w:p>
    <w:p w14:paraId="3B0BC45D">
      <w:pPr>
        <w:widowControl/>
        <w:spacing w:line="360" w:lineRule="auto"/>
        <w:jc w:val="left"/>
        <w:rPr>
          <w:rFonts w:ascii="宋体" w:hAnsi="宋体" w:cs="宋体"/>
          <w:kern w:val="0"/>
          <w:szCs w:val="21"/>
        </w:rPr>
      </w:pPr>
      <w:r>
        <w:rPr>
          <w:rFonts w:hint="eastAsia" w:ascii="宋体" w:hAnsi="宋体" w:cs="宋体"/>
          <w:kern w:val="0"/>
          <w:szCs w:val="21"/>
        </w:rPr>
        <w:t> </w:t>
      </w:r>
    </w:p>
    <w:p w14:paraId="4D78EF63">
      <w:pPr>
        <w:widowControl/>
        <w:jc w:val="left"/>
        <w:rPr>
          <w:rFonts w:ascii="宋体" w:hAnsi="宋体" w:cs="宋体"/>
          <w:kern w:val="0"/>
          <w:szCs w:val="21"/>
        </w:rPr>
      </w:pPr>
      <w:r>
        <w:rPr>
          <w:rFonts w:hint="eastAsia" w:ascii="宋体" w:hAnsi="宋体" w:cs="宋体"/>
          <w:kern w:val="0"/>
          <w:szCs w:val="21"/>
        </w:rPr>
        <w:br w:type="page"/>
      </w:r>
    </w:p>
    <w:p w14:paraId="33848D5F">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附件五、采购需求偏离表格式</w:t>
      </w:r>
    </w:p>
    <w:p w14:paraId="7F303845">
      <w:pPr>
        <w:widowControl/>
        <w:shd w:val="clear" w:color="auto" w:fill="FFFFFF"/>
        <w:spacing w:line="360" w:lineRule="auto"/>
        <w:ind w:left="435"/>
        <w:jc w:val="left"/>
        <w:rPr>
          <w:rFonts w:ascii="宋体" w:hAnsi="宋体" w:cs="宋体"/>
          <w:kern w:val="0"/>
          <w:szCs w:val="21"/>
        </w:rPr>
      </w:pPr>
    </w:p>
    <w:p w14:paraId="77EBA932">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采购需求偏离表</w:t>
      </w:r>
    </w:p>
    <w:p w14:paraId="26C6E65E">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378059B9">
      <w:pPr>
        <w:widowControl/>
        <w:tabs>
          <w:tab w:val="left" w:pos="5397"/>
        </w:tabs>
        <w:spacing w:line="360" w:lineRule="auto"/>
        <w:ind w:firstLine="84" w:firstLineChars="40"/>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5"/>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5"/>
        <w:gridCol w:w="1648"/>
        <w:gridCol w:w="680"/>
        <w:gridCol w:w="680"/>
      </w:tblGrid>
      <w:tr w14:paraId="2838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1FEE32D">
            <w:pPr>
              <w:pStyle w:val="61"/>
              <w:spacing w:line="360" w:lineRule="auto"/>
              <w:ind w:firstLine="0" w:firstLineChars="0"/>
              <w:jc w:val="center"/>
              <w:rPr>
                <w:rFonts w:ascii="宋体" w:hAnsi="宋体" w:cs="宋体"/>
                <w:b/>
                <w:bCs/>
                <w:kern w:val="0"/>
                <w:szCs w:val="21"/>
              </w:rPr>
            </w:pPr>
            <w:r>
              <w:rPr>
                <w:rFonts w:hint="eastAsia"/>
                <w:b/>
                <w:bCs/>
              </w:rPr>
              <w:t>序号</w:t>
            </w:r>
          </w:p>
        </w:tc>
        <w:tc>
          <w:tcPr>
            <w:tcW w:w="951" w:type="dxa"/>
            <w:tcMar>
              <w:top w:w="0" w:type="dxa"/>
              <w:left w:w="10" w:type="dxa"/>
              <w:bottom w:w="0" w:type="dxa"/>
              <w:right w:w="10" w:type="dxa"/>
            </w:tcMar>
            <w:vAlign w:val="center"/>
          </w:tcPr>
          <w:p w14:paraId="3A5E0E70">
            <w:pPr>
              <w:pStyle w:val="61"/>
              <w:spacing w:line="360" w:lineRule="auto"/>
              <w:ind w:firstLine="0" w:firstLineChars="0"/>
              <w:jc w:val="center"/>
              <w:rPr>
                <w:rFonts w:ascii="宋体" w:hAnsi="宋体" w:cs="宋体"/>
                <w:b/>
                <w:bCs/>
                <w:kern w:val="0"/>
                <w:szCs w:val="21"/>
              </w:rPr>
            </w:pPr>
            <w:r>
              <w:rPr>
                <w:rFonts w:hint="eastAsia"/>
                <w:b/>
                <w:bCs/>
              </w:rPr>
              <w:t>产品名称</w:t>
            </w:r>
          </w:p>
        </w:tc>
        <w:tc>
          <w:tcPr>
            <w:tcW w:w="3536" w:type="dxa"/>
            <w:tcMar>
              <w:top w:w="0" w:type="dxa"/>
              <w:left w:w="10" w:type="dxa"/>
              <w:bottom w:w="0" w:type="dxa"/>
              <w:right w:w="10" w:type="dxa"/>
            </w:tcMar>
            <w:vAlign w:val="center"/>
          </w:tcPr>
          <w:p w14:paraId="455CB767">
            <w:pPr>
              <w:widowControl/>
              <w:spacing w:line="360" w:lineRule="auto"/>
              <w:jc w:val="center"/>
              <w:rPr>
                <w:rFonts w:ascii="宋体" w:hAnsi="宋体" w:cs="宋体"/>
                <w:b/>
                <w:kern w:val="0"/>
                <w:szCs w:val="21"/>
              </w:rPr>
            </w:pPr>
            <w:r>
              <w:rPr>
                <w:rFonts w:hint="eastAsia" w:ascii="宋体" w:hAnsi="宋体" w:cs="宋体"/>
                <w:b/>
                <w:kern w:val="0"/>
                <w:szCs w:val="21"/>
              </w:rPr>
              <w:t>招标要求</w:t>
            </w:r>
            <w:r>
              <w:rPr>
                <w:rFonts w:hint="eastAsia"/>
                <w:b/>
              </w:rPr>
              <w:t>技术参数</w:t>
            </w:r>
          </w:p>
        </w:tc>
        <w:tc>
          <w:tcPr>
            <w:tcW w:w="1648" w:type="dxa"/>
            <w:tcMar>
              <w:top w:w="0" w:type="dxa"/>
              <w:left w:w="10" w:type="dxa"/>
              <w:bottom w:w="0" w:type="dxa"/>
              <w:right w:w="10" w:type="dxa"/>
            </w:tcMar>
            <w:vAlign w:val="center"/>
          </w:tcPr>
          <w:p w14:paraId="10F4C6A8">
            <w:pPr>
              <w:widowControl/>
              <w:spacing w:line="360" w:lineRule="auto"/>
              <w:jc w:val="center"/>
              <w:rPr>
                <w:rFonts w:ascii="宋体" w:hAnsi="宋体" w:cs="宋体"/>
                <w:b/>
                <w:kern w:val="0"/>
                <w:szCs w:val="21"/>
              </w:rPr>
            </w:pPr>
            <w:r>
              <w:rPr>
                <w:rFonts w:hint="eastAsia" w:ascii="宋体" w:hAnsi="宋体" w:cs="宋体"/>
                <w:b/>
                <w:kern w:val="0"/>
                <w:szCs w:val="21"/>
              </w:rPr>
              <w:t>技术参数响应情况</w:t>
            </w:r>
          </w:p>
        </w:tc>
        <w:tc>
          <w:tcPr>
            <w:tcW w:w="680" w:type="dxa"/>
            <w:tcMar>
              <w:top w:w="0" w:type="dxa"/>
              <w:left w:w="10" w:type="dxa"/>
              <w:bottom w:w="0" w:type="dxa"/>
              <w:right w:w="10" w:type="dxa"/>
            </w:tcMar>
            <w:vAlign w:val="center"/>
          </w:tcPr>
          <w:p w14:paraId="1975E583">
            <w:pPr>
              <w:widowControl/>
              <w:spacing w:line="360" w:lineRule="auto"/>
              <w:jc w:val="center"/>
              <w:rPr>
                <w:rFonts w:ascii="宋体" w:hAnsi="宋体" w:cs="宋体"/>
                <w:b/>
                <w:kern w:val="0"/>
                <w:szCs w:val="21"/>
              </w:rPr>
            </w:pPr>
            <w:r>
              <w:rPr>
                <w:rFonts w:hint="eastAsia" w:ascii="宋体" w:hAnsi="宋体" w:cs="宋体"/>
                <w:b/>
                <w:kern w:val="0"/>
                <w:szCs w:val="21"/>
              </w:rPr>
              <w:t>是否偏离</w:t>
            </w:r>
          </w:p>
        </w:tc>
        <w:tc>
          <w:tcPr>
            <w:tcW w:w="680" w:type="dxa"/>
            <w:tcMar>
              <w:top w:w="0" w:type="dxa"/>
              <w:left w:w="10" w:type="dxa"/>
              <w:bottom w:w="0" w:type="dxa"/>
              <w:right w:w="10" w:type="dxa"/>
            </w:tcMar>
            <w:vAlign w:val="center"/>
          </w:tcPr>
          <w:p w14:paraId="5AF29B32">
            <w:pPr>
              <w:widowControl/>
              <w:spacing w:line="360" w:lineRule="auto"/>
              <w:jc w:val="center"/>
              <w:rPr>
                <w:rFonts w:ascii="宋体" w:hAnsi="宋体" w:cs="宋体"/>
                <w:b/>
                <w:kern w:val="0"/>
                <w:szCs w:val="21"/>
              </w:rPr>
            </w:pPr>
            <w:r>
              <w:rPr>
                <w:rFonts w:hint="eastAsia" w:ascii="宋体" w:hAnsi="宋体" w:cs="宋体"/>
                <w:b/>
                <w:kern w:val="0"/>
                <w:szCs w:val="21"/>
              </w:rPr>
              <w:t>证明材料所在页码</w:t>
            </w:r>
          </w:p>
        </w:tc>
      </w:tr>
      <w:tr w14:paraId="42ED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07A0264">
            <w:pPr>
              <w:widowControl/>
              <w:jc w:val="center"/>
              <w:textAlignment w:val="center"/>
              <w:rPr>
                <w:rFonts w:ascii="宋体" w:hAnsi="宋体" w:cs="宋体"/>
                <w:kern w:val="0"/>
                <w:szCs w:val="21"/>
              </w:rPr>
            </w:pPr>
            <w:r>
              <w:rPr>
                <w:rFonts w:hint="eastAsia" w:ascii="宋体" w:hAnsi="宋体" w:cs="宋体"/>
                <w:color w:val="000000"/>
                <w:kern w:val="0"/>
                <w:szCs w:val="21"/>
                <w:lang w:bidi="ar"/>
              </w:rPr>
              <w:t>1</w:t>
            </w:r>
          </w:p>
        </w:tc>
        <w:tc>
          <w:tcPr>
            <w:tcW w:w="951" w:type="dxa"/>
            <w:tcMar>
              <w:top w:w="0" w:type="dxa"/>
              <w:left w:w="10" w:type="dxa"/>
              <w:bottom w:w="0" w:type="dxa"/>
              <w:right w:w="10" w:type="dxa"/>
            </w:tcMar>
            <w:vAlign w:val="center"/>
          </w:tcPr>
          <w:p w14:paraId="03BA7B1E">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2411D7A3">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5B8A425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62209B76">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17F8E81E">
            <w:pPr>
              <w:widowControl/>
              <w:spacing w:line="360" w:lineRule="auto"/>
              <w:jc w:val="center"/>
              <w:rPr>
                <w:rFonts w:ascii="宋体" w:hAnsi="宋体" w:cs="宋体"/>
                <w:kern w:val="0"/>
                <w:szCs w:val="21"/>
              </w:rPr>
            </w:pPr>
          </w:p>
        </w:tc>
      </w:tr>
      <w:tr w14:paraId="37F0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EBE210B">
            <w:pPr>
              <w:widowControl/>
              <w:jc w:val="center"/>
              <w:textAlignment w:val="center"/>
              <w:rPr>
                <w:rFonts w:ascii="宋体" w:hAnsi="宋体" w:cs="宋体"/>
                <w:kern w:val="0"/>
                <w:szCs w:val="21"/>
              </w:rPr>
            </w:pPr>
            <w:r>
              <w:rPr>
                <w:rFonts w:hint="eastAsia" w:ascii="宋体" w:hAnsi="宋体" w:cs="宋体"/>
                <w:color w:val="000000"/>
                <w:kern w:val="0"/>
                <w:szCs w:val="21"/>
                <w:lang w:bidi="ar"/>
              </w:rPr>
              <w:t>2</w:t>
            </w:r>
          </w:p>
        </w:tc>
        <w:tc>
          <w:tcPr>
            <w:tcW w:w="951" w:type="dxa"/>
            <w:tcMar>
              <w:top w:w="0" w:type="dxa"/>
              <w:left w:w="10" w:type="dxa"/>
              <w:bottom w:w="0" w:type="dxa"/>
              <w:right w:w="10" w:type="dxa"/>
            </w:tcMar>
            <w:vAlign w:val="center"/>
          </w:tcPr>
          <w:p w14:paraId="4F06768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45FE7A47">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EA5D01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4A2C8AB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29D3A86A">
            <w:pPr>
              <w:widowControl/>
              <w:spacing w:line="360" w:lineRule="auto"/>
              <w:jc w:val="center"/>
              <w:rPr>
                <w:rFonts w:ascii="宋体" w:hAnsi="宋体" w:cs="宋体"/>
                <w:kern w:val="0"/>
                <w:szCs w:val="21"/>
              </w:rPr>
            </w:pPr>
          </w:p>
        </w:tc>
      </w:tr>
      <w:tr w14:paraId="60B0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9420C2C">
            <w:pPr>
              <w:widowControl/>
              <w:jc w:val="center"/>
              <w:textAlignment w:val="center"/>
              <w:rPr>
                <w:rFonts w:ascii="宋体" w:hAnsi="宋体" w:cs="宋体"/>
                <w:kern w:val="0"/>
                <w:szCs w:val="21"/>
              </w:rPr>
            </w:pPr>
            <w:r>
              <w:rPr>
                <w:rFonts w:hint="eastAsia" w:ascii="宋体" w:hAnsi="宋体" w:cs="宋体"/>
                <w:color w:val="000000"/>
                <w:kern w:val="0"/>
                <w:szCs w:val="21"/>
                <w:lang w:bidi="ar"/>
              </w:rPr>
              <w:t>3</w:t>
            </w:r>
          </w:p>
        </w:tc>
        <w:tc>
          <w:tcPr>
            <w:tcW w:w="951" w:type="dxa"/>
            <w:tcMar>
              <w:top w:w="0" w:type="dxa"/>
              <w:left w:w="10" w:type="dxa"/>
              <w:bottom w:w="0" w:type="dxa"/>
              <w:right w:w="10" w:type="dxa"/>
            </w:tcMar>
            <w:vAlign w:val="center"/>
          </w:tcPr>
          <w:p w14:paraId="65D9B76B">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C5E6FFE">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7DFB413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2B026C3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16FF7173">
            <w:pPr>
              <w:widowControl/>
              <w:spacing w:line="360" w:lineRule="auto"/>
              <w:jc w:val="center"/>
              <w:rPr>
                <w:rFonts w:ascii="宋体" w:hAnsi="宋体" w:cs="宋体"/>
                <w:kern w:val="0"/>
                <w:szCs w:val="21"/>
              </w:rPr>
            </w:pPr>
          </w:p>
        </w:tc>
      </w:tr>
      <w:tr w14:paraId="3093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952DF7">
            <w:pPr>
              <w:widowControl/>
              <w:jc w:val="center"/>
              <w:textAlignment w:val="center"/>
              <w:rPr>
                <w:rFonts w:ascii="宋体" w:hAnsi="宋体" w:cs="宋体"/>
                <w:kern w:val="0"/>
                <w:szCs w:val="21"/>
              </w:rPr>
            </w:pPr>
            <w:r>
              <w:rPr>
                <w:rFonts w:hint="eastAsia" w:ascii="宋体" w:hAnsi="宋体" w:cs="宋体"/>
                <w:color w:val="000000"/>
                <w:kern w:val="0"/>
                <w:szCs w:val="21"/>
                <w:lang w:bidi="ar"/>
              </w:rPr>
              <w:t>4</w:t>
            </w:r>
          </w:p>
        </w:tc>
        <w:tc>
          <w:tcPr>
            <w:tcW w:w="951" w:type="dxa"/>
            <w:tcMar>
              <w:top w:w="0" w:type="dxa"/>
              <w:left w:w="10" w:type="dxa"/>
              <w:bottom w:w="0" w:type="dxa"/>
              <w:right w:w="10" w:type="dxa"/>
            </w:tcMar>
            <w:vAlign w:val="center"/>
          </w:tcPr>
          <w:p w14:paraId="051133A7">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7FF735C0">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9D60DC5">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3DB24B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791B8A3E">
            <w:pPr>
              <w:widowControl/>
              <w:spacing w:line="360" w:lineRule="auto"/>
              <w:jc w:val="center"/>
              <w:rPr>
                <w:rFonts w:ascii="宋体" w:hAnsi="宋体" w:cs="宋体"/>
                <w:kern w:val="0"/>
                <w:szCs w:val="21"/>
              </w:rPr>
            </w:pPr>
          </w:p>
        </w:tc>
      </w:tr>
      <w:tr w14:paraId="0CF2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F2156F6">
            <w:pPr>
              <w:widowControl/>
              <w:jc w:val="center"/>
              <w:textAlignment w:val="center"/>
              <w:rPr>
                <w:rFonts w:ascii="宋体" w:hAnsi="宋体" w:cs="宋体"/>
                <w:kern w:val="0"/>
                <w:szCs w:val="21"/>
              </w:rPr>
            </w:pPr>
            <w:r>
              <w:rPr>
                <w:rFonts w:hint="eastAsia" w:ascii="宋体" w:hAnsi="宋体" w:cs="宋体"/>
                <w:color w:val="000000"/>
                <w:kern w:val="0"/>
                <w:szCs w:val="21"/>
                <w:lang w:bidi="ar"/>
              </w:rPr>
              <w:t>5</w:t>
            </w:r>
          </w:p>
        </w:tc>
        <w:tc>
          <w:tcPr>
            <w:tcW w:w="951" w:type="dxa"/>
            <w:tcMar>
              <w:top w:w="0" w:type="dxa"/>
              <w:left w:w="10" w:type="dxa"/>
              <w:bottom w:w="0" w:type="dxa"/>
              <w:right w:w="10" w:type="dxa"/>
            </w:tcMar>
            <w:vAlign w:val="center"/>
          </w:tcPr>
          <w:p w14:paraId="5D11EBFD">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139733D6">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2AAC53F0">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01CE4B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F7E5794">
            <w:pPr>
              <w:widowControl/>
              <w:spacing w:line="360" w:lineRule="auto"/>
              <w:jc w:val="center"/>
              <w:rPr>
                <w:rFonts w:ascii="宋体" w:hAnsi="宋体" w:cs="宋体"/>
                <w:kern w:val="0"/>
                <w:szCs w:val="21"/>
              </w:rPr>
            </w:pPr>
          </w:p>
        </w:tc>
      </w:tr>
      <w:tr w14:paraId="7890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75FB76C">
            <w:pPr>
              <w:widowControl/>
              <w:jc w:val="center"/>
              <w:textAlignment w:val="center"/>
              <w:rPr>
                <w:rFonts w:ascii="宋体" w:hAnsi="宋体" w:cs="宋体"/>
                <w:kern w:val="0"/>
                <w:szCs w:val="21"/>
              </w:rPr>
            </w:pPr>
            <w:r>
              <w:rPr>
                <w:rFonts w:hint="eastAsia" w:ascii="宋体" w:hAnsi="宋体" w:cs="宋体"/>
                <w:color w:val="000000"/>
                <w:kern w:val="0"/>
                <w:szCs w:val="21"/>
                <w:lang w:bidi="ar"/>
              </w:rPr>
              <w:t>6</w:t>
            </w:r>
          </w:p>
        </w:tc>
        <w:tc>
          <w:tcPr>
            <w:tcW w:w="951" w:type="dxa"/>
            <w:tcMar>
              <w:top w:w="0" w:type="dxa"/>
              <w:left w:w="10" w:type="dxa"/>
              <w:bottom w:w="0" w:type="dxa"/>
              <w:right w:w="10" w:type="dxa"/>
            </w:tcMar>
            <w:vAlign w:val="center"/>
          </w:tcPr>
          <w:p w14:paraId="0E0C9037">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130549A0">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CE64914">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98E68D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275810FD">
            <w:pPr>
              <w:widowControl/>
              <w:spacing w:line="360" w:lineRule="auto"/>
              <w:jc w:val="center"/>
              <w:rPr>
                <w:rFonts w:ascii="宋体" w:hAnsi="宋体" w:cs="宋体"/>
                <w:kern w:val="0"/>
                <w:szCs w:val="21"/>
              </w:rPr>
            </w:pPr>
          </w:p>
        </w:tc>
      </w:tr>
      <w:tr w14:paraId="37F7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5BF71F">
            <w:pPr>
              <w:widowControl/>
              <w:jc w:val="center"/>
              <w:textAlignment w:val="center"/>
              <w:rPr>
                <w:rFonts w:ascii="宋体" w:hAnsi="宋体" w:cs="宋体"/>
                <w:kern w:val="0"/>
                <w:szCs w:val="21"/>
              </w:rPr>
            </w:pPr>
            <w:r>
              <w:rPr>
                <w:rFonts w:hint="eastAsia" w:ascii="宋体" w:hAnsi="宋体" w:cs="宋体"/>
                <w:color w:val="000000"/>
                <w:kern w:val="0"/>
                <w:szCs w:val="21"/>
                <w:lang w:bidi="ar"/>
              </w:rPr>
              <w:t>7</w:t>
            </w:r>
          </w:p>
        </w:tc>
        <w:tc>
          <w:tcPr>
            <w:tcW w:w="951" w:type="dxa"/>
            <w:tcMar>
              <w:top w:w="0" w:type="dxa"/>
              <w:left w:w="10" w:type="dxa"/>
              <w:bottom w:w="0" w:type="dxa"/>
              <w:right w:w="10" w:type="dxa"/>
            </w:tcMar>
            <w:vAlign w:val="center"/>
          </w:tcPr>
          <w:p w14:paraId="72244D94">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75C1277D">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0E14E903">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33BE2A5">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B72A384">
            <w:pPr>
              <w:widowControl/>
              <w:spacing w:line="360" w:lineRule="auto"/>
              <w:jc w:val="center"/>
              <w:rPr>
                <w:rFonts w:ascii="宋体" w:hAnsi="宋体" w:cs="宋体"/>
                <w:kern w:val="0"/>
                <w:szCs w:val="21"/>
              </w:rPr>
            </w:pPr>
          </w:p>
        </w:tc>
      </w:tr>
      <w:tr w14:paraId="3334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9B4FBE3">
            <w:pPr>
              <w:widowControl/>
              <w:jc w:val="center"/>
              <w:textAlignment w:val="center"/>
              <w:rPr>
                <w:rFonts w:ascii="宋体" w:hAnsi="宋体" w:cs="宋体"/>
                <w:kern w:val="0"/>
                <w:szCs w:val="21"/>
              </w:rPr>
            </w:pPr>
            <w:r>
              <w:rPr>
                <w:rFonts w:hint="eastAsia" w:ascii="宋体" w:hAnsi="宋体" w:cs="宋体"/>
                <w:color w:val="000000"/>
                <w:kern w:val="0"/>
                <w:szCs w:val="21"/>
                <w:lang w:bidi="ar"/>
              </w:rPr>
              <w:t>8</w:t>
            </w:r>
          </w:p>
        </w:tc>
        <w:tc>
          <w:tcPr>
            <w:tcW w:w="951" w:type="dxa"/>
            <w:tcMar>
              <w:top w:w="0" w:type="dxa"/>
              <w:left w:w="10" w:type="dxa"/>
              <w:bottom w:w="0" w:type="dxa"/>
              <w:right w:w="10" w:type="dxa"/>
            </w:tcMar>
            <w:vAlign w:val="center"/>
          </w:tcPr>
          <w:p w14:paraId="6F2FF4B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1DCC656E">
            <w:pPr>
              <w:pStyle w:val="61"/>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55BE921">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720B6B5B">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B227021">
            <w:pPr>
              <w:widowControl/>
              <w:spacing w:line="360" w:lineRule="auto"/>
              <w:jc w:val="center"/>
              <w:rPr>
                <w:rFonts w:ascii="宋体" w:hAnsi="宋体" w:cs="宋体"/>
                <w:kern w:val="0"/>
                <w:szCs w:val="21"/>
              </w:rPr>
            </w:pPr>
          </w:p>
        </w:tc>
      </w:tr>
      <w:tr w14:paraId="6CD1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E8810CE">
            <w:pPr>
              <w:widowControl/>
              <w:jc w:val="center"/>
              <w:textAlignment w:val="center"/>
              <w:rPr>
                <w:rFonts w:ascii="宋体" w:hAnsi="宋体" w:cs="宋体"/>
                <w:kern w:val="0"/>
                <w:szCs w:val="21"/>
              </w:rPr>
            </w:pPr>
            <w:r>
              <w:rPr>
                <w:rFonts w:hint="eastAsia" w:ascii="宋体" w:hAnsi="宋体" w:cs="宋体"/>
                <w:color w:val="000000"/>
                <w:kern w:val="0"/>
                <w:szCs w:val="21"/>
                <w:lang w:bidi="ar"/>
              </w:rPr>
              <w:t>9</w:t>
            </w:r>
          </w:p>
        </w:tc>
        <w:tc>
          <w:tcPr>
            <w:tcW w:w="951" w:type="dxa"/>
            <w:tcMar>
              <w:top w:w="0" w:type="dxa"/>
              <w:left w:w="10" w:type="dxa"/>
              <w:bottom w:w="0" w:type="dxa"/>
              <w:right w:w="10" w:type="dxa"/>
            </w:tcMar>
            <w:vAlign w:val="center"/>
          </w:tcPr>
          <w:p w14:paraId="44F9B7BB">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3B0A5561">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167A38EA">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9E63834">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400722DE">
            <w:pPr>
              <w:widowControl/>
              <w:spacing w:line="360" w:lineRule="auto"/>
              <w:jc w:val="center"/>
              <w:rPr>
                <w:rFonts w:ascii="宋体" w:hAnsi="宋体" w:cs="宋体"/>
                <w:kern w:val="0"/>
                <w:szCs w:val="21"/>
              </w:rPr>
            </w:pPr>
          </w:p>
        </w:tc>
      </w:tr>
      <w:tr w14:paraId="1B31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C6C950C">
            <w:pPr>
              <w:widowControl/>
              <w:jc w:val="center"/>
              <w:textAlignment w:val="center"/>
              <w:rPr>
                <w:rFonts w:ascii="宋体" w:hAnsi="宋体" w:cs="宋体"/>
                <w:kern w:val="0"/>
                <w:szCs w:val="21"/>
              </w:rPr>
            </w:pPr>
            <w:r>
              <w:rPr>
                <w:rFonts w:hint="eastAsia" w:ascii="宋体" w:hAnsi="宋体" w:cs="宋体"/>
                <w:color w:val="000000"/>
                <w:kern w:val="0"/>
                <w:szCs w:val="21"/>
                <w:lang w:bidi="ar"/>
              </w:rPr>
              <w:t>10</w:t>
            </w:r>
          </w:p>
        </w:tc>
        <w:tc>
          <w:tcPr>
            <w:tcW w:w="951" w:type="dxa"/>
            <w:tcMar>
              <w:top w:w="0" w:type="dxa"/>
              <w:left w:w="10" w:type="dxa"/>
              <w:bottom w:w="0" w:type="dxa"/>
              <w:right w:w="10" w:type="dxa"/>
            </w:tcMar>
            <w:vAlign w:val="center"/>
          </w:tcPr>
          <w:p w14:paraId="2C9EBA9D">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069D6ED">
            <w:pPr>
              <w:pStyle w:val="61"/>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57671D49">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29DB5588">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E6D1E57">
            <w:pPr>
              <w:widowControl/>
              <w:spacing w:line="360" w:lineRule="auto"/>
              <w:jc w:val="center"/>
              <w:rPr>
                <w:rFonts w:ascii="宋体" w:hAnsi="宋体" w:cs="宋体"/>
                <w:kern w:val="0"/>
                <w:szCs w:val="21"/>
              </w:rPr>
            </w:pPr>
          </w:p>
        </w:tc>
      </w:tr>
      <w:tr w14:paraId="7D8ED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50ED246">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w:t>
            </w:r>
          </w:p>
        </w:tc>
        <w:tc>
          <w:tcPr>
            <w:tcW w:w="951" w:type="dxa"/>
            <w:tcMar>
              <w:top w:w="0" w:type="dxa"/>
              <w:left w:w="10" w:type="dxa"/>
              <w:bottom w:w="0" w:type="dxa"/>
              <w:right w:w="10" w:type="dxa"/>
            </w:tcMar>
            <w:vAlign w:val="center"/>
          </w:tcPr>
          <w:p w14:paraId="04A5C683">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6BD4576">
            <w:pPr>
              <w:pStyle w:val="61"/>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061EB0B7">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26DFEB9">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0D1D96C">
            <w:pPr>
              <w:widowControl/>
              <w:spacing w:line="360" w:lineRule="auto"/>
              <w:jc w:val="center"/>
              <w:rPr>
                <w:rFonts w:ascii="宋体" w:hAnsi="宋体" w:cs="宋体"/>
                <w:kern w:val="0"/>
                <w:szCs w:val="21"/>
              </w:rPr>
            </w:pPr>
          </w:p>
        </w:tc>
      </w:tr>
    </w:tbl>
    <w:p w14:paraId="6B29E4B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41396A00">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投标文件的采购需求部分内容响应存在正偏离或负偏离或无偏离的，请在本表中列出。未列出的，视为响应采购文件要求。</w:t>
      </w:r>
      <w:r>
        <w:rPr>
          <w:rFonts w:ascii="Arial" w:hAnsi="Arial"/>
          <w:kern w:val="0"/>
          <w:szCs w:val="21"/>
        </w:rPr>
        <w:t>如果行数不够，请自行增加。</w:t>
      </w:r>
    </w:p>
    <w:p w14:paraId="52A44A28">
      <w:pPr>
        <w:widowControl/>
        <w:shd w:val="clear" w:color="auto" w:fill="FFFFFF"/>
        <w:spacing w:line="360" w:lineRule="auto"/>
        <w:jc w:val="left"/>
        <w:rPr>
          <w:rFonts w:ascii="宋体" w:hAnsi="宋体" w:cs="宋体"/>
          <w:b/>
          <w:bCs/>
          <w:kern w:val="0"/>
          <w:szCs w:val="21"/>
        </w:rPr>
      </w:pPr>
    </w:p>
    <w:p w14:paraId="03BDB74D">
      <w:pPr>
        <w:widowControl/>
        <w:shd w:val="clear" w:color="auto" w:fill="FFFFFF"/>
        <w:spacing w:line="360" w:lineRule="auto"/>
        <w:jc w:val="left"/>
        <w:rPr>
          <w:rFonts w:ascii="宋体" w:hAnsi="宋体" w:cs="宋体"/>
          <w:kern w:val="0"/>
          <w:szCs w:val="21"/>
        </w:rPr>
      </w:pPr>
    </w:p>
    <w:p w14:paraId="202DC57D">
      <w:pPr>
        <w:widowControl/>
        <w:shd w:val="clear" w:color="auto" w:fill="FFFFFF"/>
        <w:spacing w:line="360" w:lineRule="auto"/>
        <w:jc w:val="left"/>
        <w:rPr>
          <w:rFonts w:ascii="宋体" w:hAnsi="宋体" w:cs="宋体"/>
          <w:kern w:val="0"/>
          <w:szCs w:val="21"/>
        </w:rPr>
      </w:pPr>
    </w:p>
    <w:p w14:paraId="16FE0EF3">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B903F25">
      <w:pPr>
        <w:widowControl/>
        <w:shd w:val="clear" w:color="auto" w:fill="FFFFFF"/>
        <w:spacing w:line="360" w:lineRule="auto"/>
        <w:jc w:val="left"/>
        <w:rPr>
          <w:rFonts w:ascii="宋体" w:hAnsi="宋体" w:cs="宋体"/>
          <w:kern w:val="0"/>
          <w:szCs w:val="21"/>
        </w:rPr>
      </w:pPr>
    </w:p>
    <w:p w14:paraId="57D3312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5C108BC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01CFA53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1601165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42C35476">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附件六、商务条款偏离表格式</w:t>
      </w:r>
    </w:p>
    <w:p w14:paraId="5A8C149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4AFE1FD9">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商务条款偏离表</w:t>
      </w:r>
    </w:p>
    <w:p w14:paraId="12189683">
      <w:pPr>
        <w:widowControl/>
        <w:shd w:val="clear" w:color="auto" w:fill="FFFFFF"/>
        <w:spacing w:line="360" w:lineRule="auto"/>
        <w:jc w:val="left"/>
        <w:rPr>
          <w:rFonts w:ascii="宋体" w:hAnsi="宋体" w:cs="宋体"/>
          <w:kern w:val="0"/>
          <w:szCs w:val="21"/>
        </w:rPr>
      </w:pPr>
      <w:r>
        <w:rPr>
          <w:rFonts w:hint="eastAsia" w:ascii="宋体" w:hAnsi="宋体" w:cs="宋体"/>
          <w:kern w:val="0"/>
          <w:sz w:val="24"/>
        </w:rPr>
        <w:t> </w:t>
      </w:r>
    </w:p>
    <w:p w14:paraId="5452C86D">
      <w:pPr>
        <w:widowControl/>
        <w:tabs>
          <w:tab w:val="left" w:pos="5366"/>
        </w:tabs>
        <w:spacing w:line="360" w:lineRule="auto"/>
        <w:ind w:firstLine="96" w:firstLineChars="46"/>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1B9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DFD737">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14:paraId="545015BF">
            <w:pPr>
              <w:widowControl/>
              <w:spacing w:line="360" w:lineRule="auto"/>
              <w:jc w:val="center"/>
              <w:rPr>
                <w:rFonts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14:paraId="1F5F2624">
            <w:pPr>
              <w:widowControl/>
              <w:spacing w:line="360" w:lineRule="auto"/>
              <w:jc w:val="center"/>
              <w:rPr>
                <w:rFonts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14:paraId="2047002E">
            <w:pPr>
              <w:widowControl/>
              <w:spacing w:line="360" w:lineRule="auto"/>
              <w:jc w:val="center"/>
              <w:rPr>
                <w:rFonts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14:paraId="5EDEBB07">
            <w:pPr>
              <w:widowControl/>
              <w:spacing w:line="360" w:lineRule="auto"/>
              <w:jc w:val="center"/>
              <w:rPr>
                <w:rFonts w:ascii="宋体" w:hAnsi="宋体" w:cs="宋体"/>
                <w:b/>
                <w:kern w:val="0"/>
                <w:szCs w:val="21"/>
              </w:rPr>
            </w:pPr>
            <w:r>
              <w:rPr>
                <w:rFonts w:hint="eastAsia" w:ascii="宋体" w:hAnsi="宋体" w:cs="宋体"/>
                <w:b/>
                <w:kern w:val="0"/>
                <w:szCs w:val="21"/>
              </w:rPr>
              <w:t>偏离</w:t>
            </w:r>
          </w:p>
        </w:tc>
      </w:tr>
      <w:tr w14:paraId="75E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2ABD1B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449962D3">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4B71108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4B9480C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1B1E56A6">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418A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87F39F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73DFD02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6C41926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2A9A6DA2">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016CAF34">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2383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AD71D2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59865322">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113023D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7EDB6C1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42CF3DD2">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636A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95ECF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40B0C9F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5941342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357B1FE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4F82AE70">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7F1A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6EA2EB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310F8B4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3C5F30B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2ADC6AA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64F3FC14">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5BEF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56E6E69">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688E731B">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3BE2BF28">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04CC2E09">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280ED435">
            <w:pPr>
              <w:widowControl/>
              <w:spacing w:line="360" w:lineRule="auto"/>
              <w:jc w:val="center"/>
              <w:rPr>
                <w:rFonts w:ascii="宋体" w:hAnsi="宋体" w:cs="宋体"/>
                <w:kern w:val="0"/>
                <w:szCs w:val="21"/>
              </w:rPr>
            </w:pPr>
          </w:p>
        </w:tc>
      </w:tr>
      <w:tr w14:paraId="7906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4C9D85E">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1E7E4094">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6C802A9B">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0BEF6908">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7A9D20F5">
            <w:pPr>
              <w:widowControl/>
              <w:spacing w:line="360" w:lineRule="auto"/>
              <w:jc w:val="center"/>
              <w:rPr>
                <w:rFonts w:ascii="宋体" w:hAnsi="宋体" w:cs="宋体"/>
                <w:kern w:val="0"/>
                <w:szCs w:val="21"/>
              </w:rPr>
            </w:pPr>
          </w:p>
        </w:tc>
      </w:tr>
    </w:tbl>
    <w:p w14:paraId="03DEF77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1BC8FEBB">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投标文件的商务部分内容响应存在正偏离或负偏离或无偏离的，请在本表中逐条列出。未列出的，视为响应采购文件要求。</w:t>
      </w:r>
      <w:r>
        <w:rPr>
          <w:rFonts w:ascii="Arial" w:hAnsi="Arial"/>
          <w:kern w:val="0"/>
          <w:szCs w:val="21"/>
        </w:rPr>
        <w:t>如果行数不够，请自行增加。</w:t>
      </w:r>
    </w:p>
    <w:p w14:paraId="08E105A2">
      <w:pPr>
        <w:widowControl/>
        <w:shd w:val="clear" w:color="auto" w:fill="FFFFFF"/>
        <w:spacing w:line="360" w:lineRule="auto"/>
        <w:jc w:val="left"/>
        <w:rPr>
          <w:rFonts w:ascii="宋体" w:hAnsi="宋体" w:cs="宋体"/>
          <w:kern w:val="0"/>
          <w:szCs w:val="21"/>
        </w:rPr>
      </w:pPr>
    </w:p>
    <w:p w14:paraId="3BA1C615">
      <w:pPr>
        <w:widowControl/>
        <w:shd w:val="clear" w:color="auto" w:fill="FFFFFF"/>
        <w:spacing w:line="360" w:lineRule="auto"/>
        <w:jc w:val="left"/>
        <w:rPr>
          <w:rFonts w:ascii="宋体" w:hAnsi="宋体" w:cs="宋体"/>
          <w:kern w:val="0"/>
          <w:szCs w:val="21"/>
        </w:rPr>
      </w:pPr>
    </w:p>
    <w:p w14:paraId="4838F03D">
      <w:pPr>
        <w:widowControl/>
        <w:shd w:val="clear" w:color="auto" w:fill="FFFFFF"/>
        <w:spacing w:line="360" w:lineRule="auto"/>
        <w:jc w:val="left"/>
        <w:rPr>
          <w:rFonts w:ascii="宋体" w:hAnsi="宋体" w:cs="宋体"/>
          <w:kern w:val="0"/>
          <w:szCs w:val="21"/>
        </w:rPr>
      </w:pPr>
    </w:p>
    <w:p w14:paraId="4B65417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68DE60D">
      <w:pPr>
        <w:widowControl/>
        <w:shd w:val="clear" w:color="auto" w:fill="FFFFFF"/>
        <w:spacing w:line="360" w:lineRule="auto"/>
        <w:jc w:val="left"/>
        <w:rPr>
          <w:rFonts w:ascii="宋体" w:hAnsi="宋体" w:cs="宋体"/>
          <w:kern w:val="0"/>
          <w:szCs w:val="21"/>
        </w:rPr>
      </w:pPr>
    </w:p>
    <w:p w14:paraId="0CBF3673">
      <w:pPr>
        <w:widowControl/>
        <w:spacing w:line="360" w:lineRule="auto"/>
        <w:jc w:val="left"/>
        <w:rPr>
          <w:rFonts w:ascii="宋体" w:hAnsi="宋体" w:cs="宋体"/>
          <w:kern w:val="0"/>
          <w:szCs w:val="21"/>
        </w:rPr>
      </w:pPr>
      <w:r>
        <w:rPr>
          <w:rFonts w:hint="eastAsia" w:ascii="宋体" w:hAnsi="宋体" w:cs="宋体"/>
          <w:kern w:val="0"/>
          <w:szCs w:val="21"/>
        </w:rPr>
        <w:t> </w:t>
      </w:r>
    </w:p>
    <w:p w14:paraId="1E989652">
      <w:pPr>
        <w:widowControl/>
        <w:spacing w:line="360" w:lineRule="auto"/>
        <w:jc w:val="left"/>
        <w:rPr>
          <w:rFonts w:ascii="宋体" w:hAnsi="宋体" w:cs="宋体"/>
          <w:kern w:val="0"/>
          <w:szCs w:val="21"/>
        </w:rPr>
      </w:pPr>
    </w:p>
    <w:p w14:paraId="5ECB98A3">
      <w:pPr>
        <w:widowControl/>
        <w:spacing w:line="360" w:lineRule="auto"/>
        <w:jc w:val="left"/>
        <w:rPr>
          <w:rFonts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43AB7EAE">
      <w:pPr>
        <w:widowControl/>
        <w:spacing w:line="360" w:lineRule="auto"/>
        <w:jc w:val="left"/>
        <w:rPr>
          <w:rFonts w:ascii="宋体" w:hAnsi="宋体" w:cs="宋体"/>
          <w:b/>
          <w:szCs w:val="21"/>
          <w:lang w:val="zh-CN"/>
        </w:rPr>
      </w:pPr>
    </w:p>
    <w:p w14:paraId="2527AE68">
      <w:pPr>
        <w:adjustRightInd w:val="0"/>
        <w:snapToGrid w:val="0"/>
        <w:spacing w:line="360" w:lineRule="auto"/>
        <w:jc w:val="left"/>
        <w:textAlignment w:val="baseline"/>
        <w:rPr>
          <w:rFonts w:ascii="宋体" w:hAnsi="宋体" w:cs="宋体"/>
          <w:szCs w:val="21"/>
        </w:rPr>
      </w:pPr>
      <w:r>
        <w:rPr>
          <w:rFonts w:hint="eastAsia" w:ascii="宋体" w:hAnsi="宋体" w:cs="宋体"/>
          <w:szCs w:val="21"/>
        </w:rPr>
        <w:t>技术方案及服务承诺应根据招标人对项目的要求、评标标准的要求及项目本身的特点编写。</w:t>
      </w:r>
    </w:p>
    <w:p w14:paraId="7E5A9369">
      <w:pPr>
        <w:adjustRightInd w:val="0"/>
        <w:snapToGrid w:val="0"/>
        <w:spacing w:line="360" w:lineRule="auto"/>
        <w:ind w:firstLine="420" w:firstLineChars="200"/>
        <w:jc w:val="left"/>
        <w:textAlignment w:val="baseline"/>
        <w:rPr>
          <w:rFonts w:ascii="宋体" w:hAnsi="宋体" w:cs="宋体"/>
          <w:szCs w:val="21"/>
        </w:rPr>
      </w:pPr>
    </w:p>
    <w:p w14:paraId="73D615DB">
      <w:pPr>
        <w:widowControl/>
        <w:spacing w:line="360" w:lineRule="auto"/>
        <w:jc w:val="left"/>
        <w:rPr>
          <w:rFonts w:ascii="宋体" w:hAnsi="宋体" w:cs="宋体"/>
          <w:kern w:val="0"/>
          <w:szCs w:val="21"/>
        </w:rPr>
      </w:pPr>
    </w:p>
    <w:p w14:paraId="7711765B">
      <w:pPr>
        <w:widowControl/>
        <w:spacing w:line="360" w:lineRule="auto"/>
        <w:jc w:val="left"/>
        <w:rPr>
          <w:rFonts w:ascii="宋体" w:hAnsi="宋体" w:cs="宋体"/>
          <w:kern w:val="0"/>
          <w:szCs w:val="21"/>
        </w:rPr>
      </w:pPr>
    </w:p>
    <w:p w14:paraId="73F66E60">
      <w:pPr>
        <w:widowControl/>
        <w:spacing w:line="360" w:lineRule="auto"/>
        <w:jc w:val="left"/>
        <w:rPr>
          <w:rFonts w:ascii="宋体" w:hAnsi="宋体" w:cs="宋体"/>
          <w:b/>
          <w:bCs/>
          <w:kern w:val="0"/>
          <w:szCs w:val="21"/>
        </w:rPr>
      </w:pPr>
      <w:r>
        <w:rPr>
          <w:rFonts w:hint="eastAsia" w:ascii="宋体" w:hAnsi="宋体" w:cs="宋体"/>
          <w:b/>
          <w:bCs/>
          <w:kern w:val="0"/>
          <w:szCs w:val="21"/>
        </w:rPr>
        <w:t> </w:t>
      </w:r>
    </w:p>
    <w:p w14:paraId="4FF559AD">
      <w:pPr>
        <w:widowControl/>
        <w:adjustRightInd w:val="0"/>
        <w:spacing w:line="460" w:lineRule="atLeast"/>
        <w:rPr>
          <w:rFonts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127E24FB">
      <w:pPr>
        <w:widowControl/>
        <w:adjustRightInd w:val="0"/>
        <w:spacing w:line="460" w:lineRule="atLeast"/>
        <w:rPr>
          <w:rFonts w:ascii="宋体" w:hAnsi="宋体" w:cs="宋体"/>
          <w:b/>
          <w:bCs/>
          <w:kern w:val="0"/>
          <w:sz w:val="24"/>
        </w:rPr>
      </w:pPr>
    </w:p>
    <w:p w14:paraId="0C5D7094">
      <w:pPr>
        <w:widowControl/>
        <w:adjustRightInd w:val="0"/>
        <w:jc w:val="center"/>
        <w:rPr>
          <w:rFonts w:ascii="宋体" w:hAnsi="宋体" w:cs="宋体"/>
          <w:b/>
          <w:bCs/>
          <w:kern w:val="0"/>
          <w:sz w:val="24"/>
        </w:rPr>
      </w:pPr>
      <w:r>
        <w:rPr>
          <w:rFonts w:hint="eastAsia" w:ascii="宋体" w:hAnsi="宋体" w:cs="宋体"/>
          <w:b/>
          <w:bCs/>
          <w:kern w:val="0"/>
          <w:sz w:val="24"/>
        </w:rPr>
        <w:t>拟参与本项目服务人员一览表</w:t>
      </w:r>
    </w:p>
    <w:p w14:paraId="77B48480">
      <w:pPr>
        <w:widowControl/>
        <w:adjustRightInd w:val="0"/>
        <w:jc w:val="center"/>
        <w:rPr>
          <w:rFonts w:ascii="宋体" w:hAnsi="宋体" w:cs="宋体"/>
          <w:b/>
          <w:bCs/>
          <w:kern w:val="0"/>
          <w:sz w:val="24"/>
        </w:rPr>
      </w:pPr>
    </w:p>
    <w:p w14:paraId="634C1F2E">
      <w:pPr>
        <w:widowControl/>
        <w:adjustRightInd w:val="0"/>
        <w:rPr>
          <w:rFonts w:ascii="宋体" w:hAnsi="宋体" w:cs="宋体"/>
          <w:kern w:val="0"/>
          <w:szCs w:val="21"/>
        </w:rPr>
      </w:pPr>
      <w:r>
        <w:rPr>
          <w:rFonts w:hint="eastAsia" w:ascii="宋体" w:hAnsi="宋体" w:cs="宋体"/>
          <w:kern w:val="0"/>
          <w:szCs w:val="21"/>
        </w:rPr>
        <w:t>项目名称：                项目编号：</w:t>
      </w:r>
    </w:p>
    <w:tbl>
      <w:tblPr>
        <w:tblStyle w:val="4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7DAB11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A550B23">
            <w:pPr>
              <w:widowControl/>
              <w:adjustRightInd w:val="0"/>
              <w:jc w:val="center"/>
              <w:rPr>
                <w:rFonts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2B993F58">
            <w:pPr>
              <w:widowControl/>
              <w:adjustRightInd w:val="0"/>
              <w:jc w:val="center"/>
              <w:rPr>
                <w:rFonts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311FCFBD">
            <w:pPr>
              <w:widowControl/>
              <w:adjustRightInd w:val="0"/>
              <w:jc w:val="center"/>
              <w:rPr>
                <w:rFonts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2C71450D">
            <w:pPr>
              <w:widowControl/>
              <w:adjustRightInd w:val="0"/>
              <w:jc w:val="center"/>
              <w:rPr>
                <w:rFonts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072D0D4">
            <w:pPr>
              <w:widowControl/>
              <w:adjustRightInd w:val="0"/>
              <w:jc w:val="center"/>
              <w:rPr>
                <w:rFonts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1FC204F9">
            <w:pPr>
              <w:widowControl/>
              <w:adjustRightInd w:val="0"/>
              <w:jc w:val="center"/>
              <w:rPr>
                <w:rFonts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71458185">
            <w:pPr>
              <w:widowControl/>
              <w:adjustRightInd w:val="0"/>
              <w:jc w:val="center"/>
              <w:rPr>
                <w:rFonts w:ascii="宋体" w:hAnsi="宋体" w:cs="宋体"/>
                <w:b/>
                <w:bCs/>
                <w:kern w:val="0"/>
                <w:szCs w:val="21"/>
              </w:rPr>
            </w:pPr>
            <w:r>
              <w:rPr>
                <w:rFonts w:hint="eastAsia" w:ascii="宋体" w:hAnsi="宋体" w:cs="宋体"/>
                <w:b/>
                <w:bCs/>
                <w:kern w:val="0"/>
                <w:szCs w:val="21"/>
              </w:rPr>
              <w:t>执业</w:t>
            </w:r>
          </w:p>
          <w:p w14:paraId="1286CCF2">
            <w:pPr>
              <w:widowControl/>
              <w:adjustRightInd w:val="0"/>
              <w:jc w:val="center"/>
              <w:rPr>
                <w:rFonts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58711CAE">
            <w:pPr>
              <w:widowControl/>
              <w:adjustRightInd w:val="0"/>
              <w:jc w:val="center"/>
              <w:rPr>
                <w:rFonts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066624F8">
            <w:pPr>
              <w:widowControl/>
              <w:adjustRightInd w:val="0"/>
              <w:jc w:val="center"/>
              <w:rPr>
                <w:rFonts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17A4E4D6">
            <w:pPr>
              <w:widowControl/>
              <w:adjustRightInd w:val="0"/>
              <w:jc w:val="center"/>
              <w:rPr>
                <w:rFonts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2BEB95B3">
            <w:pPr>
              <w:widowControl/>
              <w:adjustRightInd w:val="0"/>
              <w:jc w:val="center"/>
              <w:rPr>
                <w:rFonts w:ascii="宋体" w:hAnsi="宋体" w:cs="宋体"/>
                <w:b/>
                <w:bCs/>
                <w:kern w:val="0"/>
                <w:szCs w:val="21"/>
              </w:rPr>
            </w:pPr>
            <w:r>
              <w:rPr>
                <w:rFonts w:hint="eastAsia" w:ascii="宋体" w:hAnsi="宋体" w:cs="宋体"/>
                <w:b/>
                <w:bCs/>
                <w:kern w:val="0"/>
                <w:szCs w:val="21"/>
              </w:rPr>
              <w:t>备注</w:t>
            </w:r>
          </w:p>
        </w:tc>
      </w:tr>
      <w:tr w14:paraId="3C3272E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8C0FB">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FA0402B">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1CA6327">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C4A851E">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1E1A158">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7F797D0">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708807A9">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D9ADD66">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92C6766">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78789A0">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5B7833D">
            <w:pPr>
              <w:widowControl/>
              <w:adjustRightInd w:val="0"/>
              <w:rPr>
                <w:rFonts w:ascii="宋体" w:hAnsi="宋体" w:cs="宋体"/>
                <w:kern w:val="0"/>
                <w:szCs w:val="21"/>
              </w:rPr>
            </w:pPr>
          </w:p>
        </w:tc>
      </w:tr>
      <w:tr w14:paraId="6169EE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66F0D83">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D6655A0">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9EF987D">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7B9EA8B">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267CF82">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906F30">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70670C8">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D219B85">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D58289E">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A1AED13">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605A3CE">
            <w:pPr>
              <w:widowControl/>
              <w:adjustRightInd w:val="0"/>
              <w:rPr>
                <w:rFonts w:ascii="宋体" w:hAnsi="宋体" w:cs="宋体"/>
                <w:kern w:val="0"/>
                <w:szCs w:val="21"/>
              </w:rPr>
            </w:pPr>
          </w:p>
        </w:tc>
      </w:tr>
      <w:tr w14:paraId="45469E9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7F45355">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32DAA3D">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9E8AF23">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6E93CEC5">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7703B8D">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67A95DEC">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7850E6F">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687A125">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C3E0D10">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3880C23">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5464EB8">
            <w:pPr>
              <w:widowControl/>
              <w:adjustRightInd w:val="0"/>
              <w:rPr>
                <w:rFonts w:ascii="宋体" w:hAnsi="宋体" w:cs="宋体"/>
                <w:kern w:val="0"/>
                <w:szCs w:val="21"/>
              </w:rPr>
            </w:pPr>
          </w:p>
        </w:tc>
      </w:tr>
      <w:tr w14:paraId="57ADA33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13E0395">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31C3BFB">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D35BF48">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1F828B7">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83ED31D">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D35E92F">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83F8E43">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941602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C139542">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651E8EF">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2F61D824">
            <w:pPr>
              <w:widowControl/>
              <w:adjustRightInd w:val="0"/>
              <w:rPr>
                <w:rFonts w:ascii="宋体" w:hAnsi="宋体" w:cs="宋体"/>
                <w:kern w:val="0"/>
                <w:szCs w:val="21"/>
              </w:rPr>
            </w:pPr>
          </w:p>
        </w:tc>
      </w:tr>
      <w:tr w14:paraId="4B6795C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B5B290E">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342E124">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7C400DD">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2561EF82">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92E242C">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3A2E6C93">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2080CE9">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9E40164">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B161C64">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A4BF19D">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E80B9E0">
            <w:pPr>
              <w:widowControl/>
              <w:adjustRightInd w:val="0"/>
              <w:rPr>
                <w:rFonts w:ascii="宋体" w:hAnsi="宋体" w:cs="宋体"/>
                <w:kern w:val="0"/>
                <w:szCs w:val="21"/>
              </w:rPr>
            </w:pPr>
          </w:p>
        </w:tc>
      </w:tr>
      <w:tr w14:paraId="147F8E6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FEAA1A1">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47477441">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B43C87E">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26F4C5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2CF57ED">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76D0825">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CDE669C">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B132930">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59201152">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3E454C6F">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3920968">
            <w:pPr>
              <w:widowControl/>
              <w:adjustRightInd w:val="0"/>
              <w:rPr>
                <w:rFonts w:ascii="宋体" w:hAnsi="宋体" w:cs="宋体"/>
                <w:kern w:val="0"/>
                <w:szCs w:val="21"/>
              </w:rPr>
            </w:pPr>
          </w:p>
        </w:tc>
      </w:tr>
      <w:tr w14:paraId="691E023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C870B63">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3CCCC79">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42CD335F">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55388F3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5DA0FCF">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99D5D34">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350D6809">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E5CFA6F">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0005402">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7A3A8D8">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7C913152">
            <w:pPr>
              <w:widowControl/>
              <w:adjustRightInd w:val="0"/>
              <w:rPr>
                <w:rFonts w:ascii="宋体" w:hAnsi="宋体" w:cs="宋体"/>
                <w:kern w:val="0"/>
                <w:szCs w:val="21"/>
              </w:rPr>
            </w:pPr>
          </w:p>
        </w:tc>
      </w:tr>
      <w:tr w14:paraId="37314A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F48A3EB">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0C54C54">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0C0E2A2E">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674DD43">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C590FCF">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FC04215">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DB3D6DA">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7463E03">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CC5EA9C">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FC61D45">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E5D9532">
            <w:pPr>
              <w:widowControl/>
              <w:adjustRightInd w:val="0"/>
              <w:rPr>
                <w:rFonts w:ascii="宋体" w:hAnsi="宋体" w:cs="宋体"/>
                <w:kern w:val="0"/>
                <w:szCs w:val="21"/>
              </w:rPr>
            </w:pPr>
          </w:p>
        </w:tc>
      </w:tr>
    </w:tbl>
    <w:p w14:paraId="78FD1D9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16599C7">
      <w:pPr>
        <w:widowControl/>
        <w:spacing w:line="360" w:lineRule="auto"/>
        <w:jc w:val="left"/>
        <w:rPr>
          <w:rFonts w:ascii="宋体" w:hAnsi="宋体" w:cs="宋体"/>
          <w:kern w:val="0"/>
          <w:szCs w:val="21"/>
          <w:u w:val="single"/>
        </w:rPr>
      </w:pPr>
    </w:p>
    <w:p w14:paraId="51C93272">
      <w:pPr>
        <w:widowControl/>
        <w:adjustRightInd w:val="0"/>
        <w:rPr>
          <w:rFonts w:ascii="宋体" w:hAnsi="宋体" w:cs="宋体"/>
          <w:kern w:val="0"/>
          <w:szCs w:val="21"/>
        </w:rPr>
      </w:pPr>
    </w:p>
    <w:p w14:paraId="2EA1205F">
      <w:pPr>
        <w:widowControl/>
        <w:adjustRightInd w:val="0"/>
        <w:rPr>
          <w:rFonts w:ascii="宋体" w:hAnsi="宋体" w:cs="宋体"/>
          <w:b/>
          <w:bCs/>
          <w:kern w:val="0"/>
          <w:szCs w:val="21"/>
        </w:rPr>
      </w:pPr>
    </w:p>
    <w:p w14:paraId="7663B7FF">
      <w:pPr>
        <w:widowControl/>
        <w:adjustRightInd w:val="0"/>
        <w:spacing w:line="360" w:lineRule="auto"/>
        <w:rPr>
          <w:rFonts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附件九、投标人类似业绩情况表</w:t>
      </w:r>
    </w:p>
    <w:p w14:paraId="6A96A985">
      <w:pPr>
        <w:widowControl/>
        <w:adjustRightInd w:val="0"/>
        <w:spacing w:line="360" w:lineRule="auto"/>
        <w:jc w:val="center"/>
        <w:rPr>
          <w:rFonts w:ascii="宋体" w:hAnsi="宋体" w:cs="宋体"/>
          <w:b/>
          <w:bCs/>
          <w:kern w:val="0"/>
          <w:sz w:val="24"/>
        </w:rPr>
      </w:pPr>
    </w:p>
    <w:p w14:paraId="30F24522">
      <w:pPr>
        <w:widowControl/>
        <w:adjustRightInd w:val="0"/>
        <w:spacing w:line="360" w:lineRule="auto"/>
        <w:jc w:val="center"/>
        <w:rPr>
          <w:rFonts w:ascii="宋体" w:hAnsi="宋体" w:cs="宋体"/>
          <w:b/>
          <w:bCs/>
          <w:kern w:val="0"/>
          <w:sz w:val="24"/>
        </w:rPr>
      </w:pPr>
      <w:r>
        <w:rPr>
          <w:rFonts w:hint="eastAsia" w:ascii="宋体" w:hAnsi="宋体" w:cs="宋体"/>
          <w:b/>
          <w:bCs/>
          <w:kern w:val="0"/>
          <w:sz w:val="24"/>
        </w:rPr>
        <w:t>投标人类似业绩情况表</w:t>
      </w:r>
    </w:p>
    <w:tbl>
      <w:tblPr>
        <w:tblStyle w:val="45"/>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4CA351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952FFD1">
            <w:pPr>
              <w:widowControl/>
              <w:spacing w:line="400" w:lineRule="atLeast"/>
              <w:jc w:val="center"/>
              <w:rPr>
                <w:rFonts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602CE64A">
            <w:pPr>
              <w:widowControl/>
              <w:spacing w:line="400" w:lineRule="atLeast"/>
              <w:jc w:val="center"/>
              <w:rPr>
                <w:rFonts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358B9E45">
            <w:pPr>
              <w:widowControl/>
              <w:spacing w:line="400" w:lineRule="atLeast"/>
              <w:jc w:val="center"/>
              <w:rPr>
                <w:rFonts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8437A6F">
            <w:pPr>
              <w:widowControl/>
              <w:spacing w:line="400" w:lineRule="atLeast"/>
              <w:jc w:val="center"/>
              <w:rPr>
                <w:rFonts w:ascii="宋体" w:hAnsi="宋体" w:cs="宋体"/>
                <w:kern w:val="0"/>
                <w:szCs w:val="21"/>
              </w:rPr>
            </w:pPr>
            <w:r>
              <w:rPr>
                <w:rFonts w:hint="eastAsia" w:ascii="宋体" w:hAnsi="宋体" w:cs="宋体"/>
                <w:kern w:val="0"/>
                <w:szCs w:val="21"/>
              </w:rPr>
              <w:t>项目</w:t>
            </w:r>
          </w:p>
          <w:p w14:paraId="5FBCC518">
            <w:pPr>
              <w:widowControl/>
              <w:spacing w:line="400" w:lineRule="atLeast"/>
              <w:jc w:val="center"/>
              <w:rPr>
                <w:rFonts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67E22293">
            <w:pPr>
              <w:widowControl/>
              <w:spacing w:line="400" w:lineRule="atLeast"/>
              <w:jc w:val="center"/>
              <w:rPr>
                <w:rFonts w:ascii="宋体" w:hAnsi="宋体" w:cs="宋体"/>
                <w:kern w:val="0"/>
                <w:szCs w:val="21"/>
              </w:rPr>
            </w:pPr>
            <w:r>
              <w:rPr>
                <w:rFonts w:hint="eastAsia" w:ascii="宋体" w:hAnsi="宋体" w:cs="宋体"/>
                <w:kern w:val="0"/>
                <w:szCs w:val="21"/>
              </w:rPr>
              <w:t>获奖</w:t>
            </w:r>
          </w:p>
          <w:p w14:paraId="69556114">
            <w:pPr>
              <w:widowControl/>
              <w:spacing w:line="400" w:lineRule="atLeast"/>
              <w:jc w:val="center"/>
              <w:rPr>
                <w:rFonts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0B7A29E4">
            <w:pPr>
              <w:widowControl/>
              <w:spacing w:line="400" w:lineRule="atLeast"/>
              <w:jc w:val="center"/>
              <w:rPr>
                <w:rFonts w:ascii="宋体" w:hAnsi="宋体" w:cs="宋体"/>
                <w:kern w:val="0"/>
                <w:szCs w:val="21"/>
              </w:rPr>
            </w:pPr>
            <w:r>
              <w:rPr>
                <w:rFonts w:hint="eastAsia" w:ascii="宋体" w:hAnsi="宋体" w:cs="宋体"/>
                <w:kern w:val="0"/>
                <w:szCs w:val="21"/>
              </w:rPr>
              <w:t>签约及服务</w:t>
            </w:r>
          </w:p>
          <w:p w14:paraId="68A5B956">
            <w:pPr>
              <w:widowControl/>
              <w:spacing w:line="400" w:lineRule="atLeast"/>
              <w:jc w:val="center"/>
              <w:rPr>
                <w:rFonts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38C40A35">
            <w:pPr>
              <w:widowControl/>
              <w:spacing w:line="400" w:lineRule="atLeast"/>
              <w:jc w:val="center"/>
              <w:rPr>
                <w:rFonts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53C877A8">
            <w:pPr>
              <w:widowControl/>
              <w:spacing w:line="400" w:lineRule="atLeast"/>
              <w:jc w:val="center"/>
              <w:rPr>
                <w:rFonts w:ascii="宋体" w:hAnsi="宋体" w:cs="宋体"/>
                <w:kern w:val="0"/>
                <w:szCs w:val="21"/>
              </w:rPr>
            </w:pPr>
            <w:r>
              <w:rPr>
                <w:rFonts w:hint="eastAsia" w:ascii="宋体" w:hAnsi="宋体" w:cs="宋体"/>
                <w:kern w:val="0"/>
                <w:szCs w:val="21"/>
              </w:rPr>
              <w:t>备注</w:t>
            </w:r>
          </w:p>
        </w:tc>
      </w:tr>
      <w:tr w14:paraId="7EEDD79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6D3F4D">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6A2249A8">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070A652">
            <w:pPr>
              <w:widowControl/>
              <w:spacing w:line="400" w:lineRule="atLeast"/>
              <w:ind w:firstLine="120"/>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CA96E08">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AEF055E">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4EADC688">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BA63202">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1D9786E">
            <w:pPr>
              <w:widowControl/>
              <w:spacing w:line="400" w:lineRule="atLeast"/>
              <w:jc w:val="center"/>
              <w:rPr>
                <w:rFonts w:ascii="宋体" w:hAnsi="宋体" w:cs="宋体"/>
                <w:kern w:val="0"/>
                <w:szCs w:val="21"/>
              </w:rPr>
            </w:pPr>
          </w:p>
        </w:tc>
      </w:tr>
      <w:tr w14:paraId="4AA7EE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575C96E">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2BD2C59">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E5B0C53">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5F4BCA0">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8F4EBF7">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70D3229">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049F0B1">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FA366B4">
            <w:pPr>
              <w:widowControl/>
              <w:spacing w:line="400" w:lineRule="atLeast"/>
              <w:jc w:val="center"/>
              <w:rPr>
                <w:rFonts w:ascii="宋体" w:hAnsi="宋体" w:cs="宋体"/>
                <w:kern w:val="0"/>
                <w:szCs w:val="21"/>
              </w:rPr>
            </w:pPr>
          </w:p>
        </w:tc>
      </w:tr>
      <w:tr w14:paraId="6C0051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76C8F9B">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ACDEC2D">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8EA3D09">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D344F12">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0ACA465A">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CF991E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D5E64D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950635B">
            <w:pPr>
              <w:widowControl/>
              <w:spacing w:line="400" w:lineRule="atLeast"/>
              <w:jc w:val="center"/>
              <w:rPr>
                <w:rFonts w:ascii="宋体" w:hAnsi="宋体" w:cs="宋体"/>
                <w:kern w:val="0"/>
                <w:szCs w:val="21"/>
              </w:rPr>
            </w:pPr>
          </w:p>
        </w:tc>
      </w:tr>
      <w:tr w14:paraId="42BDE8E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382C1A">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7D00D727">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244B0116">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C755DAA">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D973732">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D2D5D7E">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0688D01">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5F63E39">
            <w:pPr>
              <w:widowControl/>
              <w:spacing w:line="400" w:lineRule="atLeast"/>
              <w:jc w:val="center"/>
              <w:rPr>
                <w:rFonts w:ascii="宋体" w:hAnsi="宋体" w:cs="宋体"/>
                <w:kern w:val="0"/>
                <w:szCs w:val="21"/>
              </w:rPr>
            </w:pPr>
          </w:p>
        </w:tc>
      </w:tr>
      <w:tr w14:paraId="1C3D689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9C9161">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81F734">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BF54BE0">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C6C9CE1">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5DCB28AC">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5E42C85">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D8CC295">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C11A6EC">
            <w:pPr>
              <w:widowControl/>
              <w:spacing w:line="400" w:lineRule="atLeast"/>
              <w:jc w:val="center"/>
              <w:rPr>
                <w:rFonts w:ascii="宋体" w:hAnsi="宋体" w:cs="宋体"/>
                <w:kern w:val="0"/>
                <w:szCs w:val="21"/>
              </w:rPr>
            </w:pPr>
          </w:p>
        </w:tc>
      </w:tr>
      <w:tr w14:paraId="742DE88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AE1BC1F">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40FAE09B">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3877126">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E0CACA7">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748413C">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9FB67F9">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CD098BE">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9809056">
            <w:pPr>
              <w:widowControl/>
              <w:spacing w:line="400" w:lineRule="atLeast"/>
              <w:jc w:val="center"/>
              <w:rPr>
                <w:rFonts w:ascii="宋体" w:hAnsi="宋体" w:cs="宋体"/>
                <w:kern w:val="0"/>
                <w:szCs w:val="21"/>
              </w:rPr>
            </w:pPr>
          </w:p>
        </w:tc>
      </w:tr>
      <w:tr w14:paraId="5796DBD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03DEF6A">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31678DF">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027C1CE">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042B78E">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7A88AA82">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8023AF4">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89C9B0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AF51797">
            <w:pPr>
              <w:widowControl/>
              <w:spacing w:line="400" w:lineRule="atLeast"/>
              <w:jc w:val="center"/>
              <w:rPr>
                <w:rFonts w:ascii="宋体" w:hAnsi="宋体" w:cs="宋体"/>
                <w:kern w:val="0"/>
                <w:szCs w:val="21"/>
              </w:rPr>
            </w:pPr>
          </w:p>
        </w:tc>
      </w:tr>
      <w:tr w14:paraId="2C90C18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17C94CE">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658A8A">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9809298">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484AF7B">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14CC87D">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9B4563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65BC6DA">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9E8A1B7">
            <w:pPr>
              <w:widowControl/>
              <w:spacing w:line="400" w:lineRule="atLeast"/>
              <w:jc w:val="center"/>
              <w:rPr>
                <w:rFonts w:ascii="宋体" w:hAnsi="宋体" w:cs="宋体"/>
                <w:kern w:val="0"/>
                <w:szCs w:val="21"/>
              </w:rPr>
            </w:pPr>
          </w:p>
        </w:tc>
      </w:tr>
    </w:tbl>
    <w:p w14:paraId="485CF59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14584E2">
      <w:pPr>
        <w:widowControl/>
        <w:spacing w:line="360" w:lineRule="auto"/>
        <w:jc w:val="left"/>
        <w:rPr>
          <w:rFonts w:ascii="宋体" w:hAnsi="宋体" w:cs="宋体"/>
          <w:kern w:val="0"/>
          <w:szCs w:val="21"/>
          <w:u w:val="single"/>
        </w:rPr>
      </w:pPr>
    </w:p>
    <w:p w14:paraId="53079756">
      <w:pPr>
        <w:widowControl/>
        <w:adjustRightInd w:val="0"/>
        <w:spacing w:line="360" w:lineRule="auto"/>
        <w:rPr>
          <w:rFonts w:ascii="宋体" w:hAnsi="宋体" w:cs="宋体"/>
          <w:b/>
          <w:bCs/>
          <w:kern w:val="0"/>
          <w:szCs w:val="21"/>
        </w:rPr>
      </w:pPr>
    </w:p>
    <w:p w14:paraId="654591C9">
      <w:pPr>
        <w:widowControl/>
        <w:adjustRightInd w:val="0"/>
        <w:spacing w:line="360" w:lineRule="auto"/>
        <w:rPr>
          <w:rFonts w:ascii="宋体" w:hAnsi="宋体" w:cs="宋体"/>
          <w:b/>
          <w:bCs/>
          <w:kern w:val="0"/>
          <w:szCs w:val="21"/>
        </w:rPr>
      </w:pPr>
    </w:p>
    <w:p w14:paraId="38F6BA2A">
      <w:pPr>
        <w:spacing w:line="360" w:lineRule="auto"/>
        <w:rPr>
          <w:rFonts w:ascii="宋体" w:hAnsi="宋体" w:cs="宋体"/>
        </w:rPr>
      </w:pPr>
    </w:p>
    <w:p w14:paraId="6C50B78B">
      <w:pPr>
        <w:spacing w:line="360" w:lineRule="auto"/>
        <w:rPr>
          <w:rFonts w:ascii="宋体" w:hAnsi="宋体" w:cs="宋体"/>
          <w:b/>
          <w:bCs/>
        </w:rPr>
      </w:pPr>
      <w:r>
        <w:rPr>
          <w:rFonts w:hint="eastAsia" w:ascii="宋体" w:hAnsi="宋体" w:cs="宋体"/>
          <w:b/>
        </w:rPr>
        <w:br w:type="page"/>
      </w:r>
      <w:r>
        <w:rPr>
          <w:rFonts w:hint="eastAsia" w:ascii="宋体" w:hAnsi="宋体" w:cs="宋体"/>
          <w:b/>
        </w:rPr>
        <w:t>附件十</w:t>
      </w:r>
      <w:r>
        <w:rPr>
          <w:rFonts w:hint="eastAsia" w:ascii="宋体" w:hAnsi="宋体" w:cs="宋体"/>
          <w:b/>
          <w:bCs/>
        </w:rPr>
        <w:t>、企业声明函格式</w:t>
      </w:r>
    </w:p>
    <w:p w14:paraId="6F9E4AFA">
      <w:pPr>
        <w:spacing w:before="312" w:beforeLines="100" w:line="480" w:lineRule="auto"/>
        <w:jc w:val="center"/>
        <w:rPr>
          <w:rFonts w:ascii="宋体" w:hAnsi="宋体" w:cs="宋体"/>
          <w:b/>
          <w:bCs/>
          <w:sz w:val="28"/>
          <w:szCs w:val="28"/>
        </w:rPr>
      </w:pPr>
      <w:bookmarkStart w:id="27" w:name="OLE_LINK14"/>
      <w:bookmarkStart w:id="28" w:name="OLE_LINK13"/>
      <w:r>
        <w:rPr>
          <w:rFonts w:hint="eastAsia" w:ascii="宋体" w:hAnsi="宋体" w:cs="宋体"/>
          <w:b/>
          <w:bCs/>
          <w:sz w:val="28"/>
          <w:szCs w:val="28"/>
        </w:rPr>
        <w:t>中小企业声明函（货物）</w:t>
      </w:r>
    </w:p>
    <w:p w14:paraId="26AF3FD9">
      <w:pPr>
        <w:widowControl/>
        <w:spacing w:line="440" w:lineRule="exact"/>
        <w:ind w:firstLine="420" w:firstLineChars="200"/>
        <w:jc w:val="left"/>
        <w:rPr>
          <w:rFonts w:ascii="宋体" w:hAnsi="宋体" w:cs="宋体"/>
          <w:kern w:val="0"/>
        </w:rPr>
      </w:pPr>
    </w:p>
    <w:p w14:paraId="2C313862">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（联合体）参加（单位名称）的（项目名称）采购活动,提供的货物全部由符合政策要求的中小企业制造。相关企业（含联合体中的中小企业、签订采购包意向协议的中小企业）的具体情况如下：</w:t>
      </w:r>
    </w:p>
    <w:p w14:paraId="774CC531">
      <w:pPr>
        <w:widowControl/>
        <w:spacing w:line="440" w:lineRule="exact"/>
        <w:ind w:firstLine="420" w:firstLineChars="200"/>
        <w:jc w:val="left"/>
        <w:rPr>
          <w:rFonts w:ascii="宋体" w:hAnsi="宋体" w:cs="宋体"/>
          <w:kern w:val="0"/>
        </w:rPr>
      </w:pPr>
      <w:r>
        <w:rPr>
          <w:rFonts w:hint="eastAsia" w:ascii="宋体" w:hAnsi="宋体" w:cs="宋体"/>
          <w:kern w:val="0"/>
        </w:rPr>
        <w:t>1.</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万</w:t>
      </w:r>
      <w:r>
        <w:rPr>
          <w:rFonts w:hint="eastAsia" w:ascii="宋体" w:hAnsi="宋体" w:cs="宋体"/>
          <w:kern w:val="0"/>
        </w:rPr>
        <w:t>元，属于（中型企业、小型企业、微型企业）；</w:t>
      </w:r>
    </w:p>
    <w:p w14:paraId="5735CE7A">
      <w:pPr>
        <w:widowControl/>
        <w:spacing w:line="440" w:lineRule="exact"/>
        <w:ind w:firstLine="420" w:firstLineChars="200"/>
        <w:jc w:val="left"/>
        <w:rPr>
          <w:rFonts w:ascii="宋体" w:hAnsi="宋体" w:cs="宋体"/>
          <w:kern w:val="0"/>
        </w:rPr>
      </w:pPr>
      <w:r>
        <w:rPr>
          <w:rFonts w:hint="eastAsia" w:ascii="宋体" w:hAnsi="宋体" w:cs="宋体"/>
          <w:kern w:val="0"/>
        </w:rPr>
        <w:t>2.</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14:paraId="463F0AE4">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7B91AE3B">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1ED612BC">
      <w:pPr>
        <w:widowControl/>
        <w:spacing w:line="440" w:lineRule="exact"/>
        <w:ind w:firstLine="420" w:firstLineChars="200"/>
        <w:jc w:val="left"/>
        <w:rPr>
          <w:rFonts w:ascii="宋体" w:hAnsi="宋体" w:cs="宋体"/>
          <w:kern w:val="0"/>
        </w:rPr>
      </w:pPr>
    </w:p>
    <w:p w14:paraId="15996F2C">
      <w:pPr>
        <w:widowControl/>
        <w:spacing w:line="440" w:lineRule="exact"/>
        <w:ind w:firstLine="420" w:firstLineChars="200"/>
        <w:jc w:val="left"/>
        <w:rPr>
          <w:rFonts w:ascii="宋体" w:hAnsi="宋体" w:cs="宋体"/>
          <w:kern w:val="0"/>
        </w:rPr>
      </w:pPr>
    </w:p>
    <w:p w14:paraId="3A4A994A">
      <w:pPr>
        <w:widowControl/>
        <w:spacing w:line="440" w:lineRule="exact"/>
        <w:ind w:firstLine="420" w:firstLineChars="200"/>
        <w:jc w:val="left"/>
        <w:rPr>
          <w:rFonts w:ascii="宋体" w:hAnsi="宋体" w:cs="宋体"/>
          <w:kern w:val="0"/>
        </w:rPr>
      </w:pPr>
    </w:p>
    <w:p w14:paraId="5AE78F76">
      <w:pPr>
        <w:widowControl/>
        <w:shd w:val="clear" w:color="auto" w:fill="FFFFFF"/>
        <w:spacing w:line="360" w:lineRule="auto"/>
        <w:jc w:val="left"/>
        <w:rPr>
          <w:rFonts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00778B12">
      <w:pPr>
        <w:spacing w:line="360" w:lineRule="auto"/>
        <w:jc w:val="left"/>
        <w:rPr>
          <w:rFonts w:ascii="宋体" w:hAnsi="宋体" w:cs="宋体"/>
          <w:b/>
          <w:bCs/>
          <w:sz w:val="28"/>
        </w:rPr>
      </w:pPr>
      <w:r>
        <w:rPr>
          <w:rFonts w:hint="eastAsia" w:ascii="宋体" w:hAnsi="宋体" w:cs="宋体"/>
          <w:snapToGrid w:val="0"/>
          <w:kern w:val="0"/>
          <w:szCs w:val="21"/>
        </w:rPr>
        <w:t>日 期：</w:t>
      </w:r>
    </w:p>
    <w:p w14:paraId="051EE5EB">
      <w:pPr>
        <w:keepNext/>
        <w:keepLines/>
        <w:ind w:firstLine="420"/>
        <w:outlineLvl w:val="0"/>
        <w:rPr>
          <w:rFonts w:ascii="宋体" w:hAnsi="宋体" w:cs="宋体"/>
          <w:kern w:val="0"/>
        </w:rPr>
      </w:pPr>
      <w:bookmarkStart w:id="29" w:name="_Toc12370"/>
      <w:bookmarkStart w:id="30" w:name="_Toc31857"/>
      <w:bookmarkStart w:id="31" w:name="_Toc15368"/>
      <w:bookmarkStart w:id="32" w:name="_Toc9170"/>
    </w:p>
    <w:p w14:paraId="0D671A94">
      <w:pPr>
        <w:keepNext/>
        <w:keepLines/>
        <w:outlineLvl w:val="0"/>
        <w:rPr>
          <w:rFonts w:ascii="宋体" w:hAnsi="宋体" w:cs="宋体"/>
          <w:kern w:val="0"/>
        </w:rPr>
      </w:pPr>
      <w:bookmarkStart w:id="33" w:name="_Toc1861"/>
      <w:r>
        <w:rPr>
          <w:rFonts w:hint="eastAsia" w:ascii="宋体" w:hAnsi="宋体" w:cs="宋体"/>
          <w:kern w:val="0"/>
        </w:rPr>
        <w:t>备注：</w:t>
      </w:r>
      <w:bookmarkEnd w:id="29"/>
      <w:bookmarkEnd w:id="30"/>
      <w:bookmarkEnd w:id="31"/>
      <w:bookmarkEnd w:id="32"/>
      <w:bookmarkEnd w:id="33"/>
    </w:p>
    <w:p w14:paraId="47735333">
      <w:pPr>
        <w:keepNext/>
        <w:keepLines/>
        <w:ind w:firstLine="632" w:firstLineChars="300"/>
        <w:outlineLvl w:val="0"/>
        <w:rPr>
          <w:rFonts w:ascii="宋体" w:hAnsi="宋体" w:cs="宋体"/>
          <w:b/>
          <w:bCs/>
          <w:kern w:val="0"/>
        </w:rPr>
      </w:pPr>
      <w:bookmarkStart w:id="34" w:name="_Toc3322"/>
      <w:bookmarkStart w:id="35" w:name="_Toc18101"/>
      <w:bookmarkStart w:id="36" w:name="_Toc22289"/>
      <w:bookmarkStart w:id="37" w:name="_Toc26583"/>
      <w:bookmarkStart w:id="38" w:name="_Toc4087"/>
      <w:r>
        <w:rPr>
          <w:rFonts w:hint="eastAsia" w:ascii="宋体" w:hAnsi="宋体" w:cs="宋体"/>
          <w:b/>
          <w:bCs/>
          <w:kern w:val="0"/>
        </w:rPr>
        <w:t>1.从业人员、营业收入、资产总额填报上一年度数据，无上一年度数据的新成立企业可不填报。</w:t>
      </w:r>
      <w:bookmarkEnd w:id="34"/>
      <w:bookmarkEnd w:id="35"/>
      <w:bookmarkEnd w:id="36"/>
      <w:bookmarkEnd w:id="37"/>
      <w:bookmarkEnd w:id="38"/>
    </w:p>
    <w:p w14:paraId="2E4BA546">
      <w:pPr>
        <w:keepNext/>
        <w:keepLines/>
        <w:ind w:firstLine="630"/>
        <w:outlineLvl w:val="0"/>
        <w:rPr>
          <w:rFonts w:ascii="宋体" w:hAnsi="宋体" w:cs="宋体"/>
          <w:b/>
          <w:bCs/>
          <w:kern w:val="0"/>
        </w:rPr>
      </w:pPr>
      <w:bookmarkStart w:id="39" w:name="_Toc10475"/>
      <w:bookmarkStart w:id="40" w:name="_Toc927"/>
      <w:bookmarkStart w:id="41" w:name="_Toc18057"/>
      <w:bookmarkStart w:id="42" w:name="_Toc2574"/>
      <w:bookmarkStart w:id="43" w:name="_Toc7010"/>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bookmarkEnd w:id="39"/>
      <w:bookmarkEnd w:id="40"/>
      <w:bookmarkEnd w:id="41"/>
      <w:bookmarkEnd w:id="42"/>
      <w:bookmarkEnd w:id="43"/>
    </w:p>
    <w:p w14:paraId="27104101">
      <w:pPr>
        <w:keepNext/>
        <w:keepLines/>
        <w:ind w:firstLine="630"/>
        <w:outlineLvl w:val="0"/>
        <w:rPr>
          <w:rFonts w:ascii="宋体" w:hAnsi="宋体" w:cs="宋体"/>
          <w:b/>
          <w:bCs/>
          <w:kern w:val="0"/>
        </w:rPr>
      </w:pPr>
      <w:bookmarkStart w:id="44" w:name="_Toc10358"/>
      <w:bookmarkStart w:id="45" w:name="_Toc12857"/>
      <w:bookmarkStart w:id="46" w:name="_Toc17905"/>
      <w:bookmarkStart w:id="47" w:name="_Toc19903"/>
      <w:bookmarkStart w:id="48" w:name="_Toc30404"/>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bookmarkEnd w:id="44"/>
      <w:bookmarkEnd w:id="45"/>
      <w:bookmarkEnd w:id="46"/>
      <w:bookmarkEnd w:id="47"/>
      <w:bookmarkEnd w:id="48"/>
    </w:p>
    <w:p w14:paraId="359A7D49">
      <w:pPr>
        <w:keepNext/>
        <w:keepLines/>
        <w:ind w:firstLine="632"/>
        <w:outlineLvl w:val="0"/>
        <w:rPr>
          <w:rFonts w:ascii="宋体" w:hAnsi="宋体" w:cs="宋体"/>
          <w:b/>
          <w:snapToGrid w:val="0"/>
          <w:kern w:val="0"/>
          <w:szCs w:val="21"/>
        </w:rPr>
      </w:pPr>
      <w:bookmarkStart w:id="49" w:name="_Toc25066"/>
      <w:bookmarkStart w:id="50" w:name="_Toc21794"/>
      <w:bookmarkStart w:id="51" w:name="_Toc29908"/>
      <w:bookmarkStart w:id="52" w:name="_Toc10257"/>
      <w:bookmarkStart w:id="53" w:name="_Toc8833"/>
      <w:r>
        <w:rPr>
          <w:rFonts w:hint="eastAsia" w:ascii="宋体" w:hAnsi="宋体" w:cs="宋体"/>
          <w:b/>
          <w:bCs/>
          <w:kern w:val="0"/>
        </w:rPr>
        <w:t>4.如未对（中型企业、小型企业、微型企业）进行勾选，视同非中小微企业，不可享受相应扶持政策。</w:t>
      </w:r>
      <w:bookmarkEnd w:id="49"/>
      <w:bookmarkEnd w:id="50"/>
      <w:bookmarkEnd w:id="51"/>
      <w:bookmarkEnd w:id="52"/>
      <w:bookmarkEnd w:id="53"/>
    </w:p>
    <w:p w14:paraId="02C51CA9">
      <w:pPr>
        <w:rPr>
          <w:rFonts w:ascii="宋体" w:hAnsi="宋体"/>
          <w:b/>
          <w:kern w:val="0"/>
        </w:rPr>
      </w:pPr>
      <w:r>
        <w:rPr>
          <w:rFonts w:hint="eastAsia" w:ascii="宋体" w:hAnsi="宋体"/>
          <w:b/>
          <w:kern w:val="0"/>
        </w:rPr>
        <w:t>附：中小企业划型标准规定</w:t>
      </w:r>
    </w:p>
    <w:p w14:paraId="5EE92947">
      <w:pPr>
        <w:ind w:firstLine="422"/>
        <w:rPr>
          <w:rFonts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31E1773E">
      <w:pPr>
        <w:ind w:firstLine="422"/>
        <w:rPr>
          <w:rFonts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A845F7">
      <w:pPr>
        <w:ind w:firstLine="422"/>
        <w:rPr>
          <w:rFonts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F90D04D">
      <w:pPr>
        <w:ind w:firstLine="422"/>
        <w:rPr>
          <w:rFonts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193DCF6">
      <w:pPr>
        <w:ind w:firstLine="422"/>
        <w:rPr>
          <w:rFonts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908BAD">
      <w:pPr>
        <w:ind w:firstLine="422"/>
        <w:rPr>
          <w:rFonts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44B6288">
      <w:pPr>
        <w:ind w:firstLine="422"/>
        <w:rPr>
          <w:rFonts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B0FF0D3">
      <w:pPr>
        <w:ind w:firstLine="422"/>
        <w:rPr>
          <w:rFonts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D96740A">
      <w:pPr>
        <w:ind w:firstLine="422"/>
        <w:rPr>
          <w:rFonts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FEE95FA">
      <w:pPr>
        <w:ind w:firstLine="422"/>
        <w:rPr>
          <w:rFonts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EFC527D">
      <w:pPr>
        <w:ind w:firstLine="422"/>
        <w:rPr>
          <w:rFonts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0F567DE">
      <w:pPr>
        <w:ind w:firstLine="422"/>
        <w:rPr>
          <w:rFonts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19E7D0D">
      <w:pPr>
        <w:ind w:firstLine="422"/>
        <w:rPr>
          <w:rFonts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830278D">
      <w:pPr>
        <w:ind w:firstLine="422"/>
        <w:rPr>
          <w:rFonts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A6A1F2B">
      <w:pPr>
        <w:ind w:firstLine="422"/>
        <w:rPr>
          <w:rFonts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3A9161">
      <w:pPr>
        <w:ind w:firstLine="422"/>
        <w:rPr>
          <w:rFonts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35E8317F">
      <w:pPr>
        <w:spacing w:line="360" w:lineRule="auto"/>
        <w:rPr>
          <w:rFonts w:ascii="宋体" w:hAnsi="宋体" w:cs="宋体"/>
          <w:b/>
          <w:bCs/>
          <w:sz w:val="28"/>
        </w:rPr>
      </w:pPr>
    </w:p>
    <w:p w14:paraId="27BFA743">
      <w:pPr>
        <w:spacing w:line="360" w:lineRule="auto"/>
        <w:jc w:val="center"/>
        <w:rPr>
          <w:rFonts w:ascii="宋体" w:hAnsi="宋体" w:cs="宋体"/>
          <w:b/>
          <w:bCs/>
          <w:sz w:val="28"/>
        </w:rPr>
      </w:pPr>
    </w:p>
    <w:p w14:paraId="7E806BCF">
      <w:pPr>
        <w:spacing w:line="360" w:lineRule="auto"/>
        <w:rPr>
          <w:rFonts w:ascii="宋体" w:hAnsi="宋体" w:cs="宋体"/>
          <w:b/>
          <w:bCs/>
          <w:sz w:val="28"/>
        </w:rPr>
        <w:sectPr>
          <w:footerReference r:id="rId4" w:type="first"/>
          <w:footerReference r:id="rId3" w:type="default"/>
          <w:pgSz w:w="11906" w:h="16838"/>
          <w:pgMar w:top="1440" w:right="1800" w:bottom="1440" w:left="1600" w:header="851" w:footer="992" w:gutter="0"/>
          <w:pgNumType w:start="1"/>
          <w:cols w:space="720" w:num="1"/>
          <w:titlePg/>
          <w:docGrid w:type="lines" w:linePitch="312" w:charSpace="0"/>
        </w:sectPr>
      </w:pPr>
    </w:p>
    <w:p w14:paraId="1FB4E66D">
      <w:pPr>
        <w:spacing w:line="360" w:lineRule="auto"/>
        <w:jc w:val="center"/>
        <w:rPr>
          <w:rFonts w:ascii="宋体" w:hAnsi="宋体" w:cs="宋体"/>
          <w:b/>
          <w:bCs/>
          <w:sz w:val="28"/>
        </w:rPr>
      </w:pPr>
      <w:r>
        <w:rPr>
          <w:rFonts w:hint="eastAsia" w:ascii="宋体" w:hAnsi="宋体" w:cs="宋体"/>
          <w:b/>
          <w:bCs/>
          <w:sz w:val="28"/>
        </w:rPr>
        <w:t>残疾人福利性单位声明函</w:t>
      </w:r>
    </w:p>
    <w:bookmarkEnd w:id="27"/>
    <w:bookmarkEnd w:id="28"/>
    <w:p w14:paraId="79F8B1BF">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C7D789">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11A47305">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单位名称</w:t>
      </w:r>
      <w:r>
        <w:rPr>
          <w:rFonts w:hint="eastAsia" w:ascii="宋体" w:hAnsi="宋体" w:cs="宋体"/>
          <w:kern w:val="0"/>
          <w:szCs w:val="21"/>
        </w:rPr>
        <w:t>（加盖电子公章）</w:t>
      </w:r>
      <w:r>
        <w:rPr>
          <w:rFonts w:hint="eastAsia" w:ascii="宋体" w:hAnsi="宋体" w:cs="宋体"/>
          <w:snapToGrid w:val="0"/>
          <w:kern w:val="0"/>
          <w:szCs w:val="21"/>
        </w:rPr>
        <w:t>：</w:t>
      </w:r>
    </w:p>
    <w:p w14:paraId="6CDD4EE5">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日  期：</w:t>
      </w:r>
    </w:p>
    <w:p w14:paraId="01289D5C">
      <w:pPr>
        <w:spacing w:line="360" w:lineRule="auto"/>
        <w:rPr>
          <w:rFonts w:ascii="宋体" w:hAnsi="宋体" w:cs="宋体"/>
          <w:b/>
          <w:bCs/>
        </w:rPr>
      </w:pPr>
    </w:p>
    <w:p w14:paraId="0E2970C5">
      <w:pPr>
        <w:spacing w:line="360" w:lineRule="auto"/>
        <w:rPr>
          <w:rFonts w:ascii="宋体" w:hAnsi="宋体" w:cs="宋体"/>
          <w:b/>
          <w:bCs/>
        </w:rPr>
      </w:pPr>
    </w:p>
    <w:p w14:paraId="66D7FEB2">
      <w:pPr>
        <w:spacing w:line="360" w:lineRule="auto"/>
        <w:jc w:val="center"/>
        <w:rPr>
          <w:rFonts w:ascii="宋体" w:hAnsi="宋体" w:cs="宋体"/>
          <w:b/>
          <w:bCs/>
          <w:sz w:val="28"/>
        </w:rPr>
      </w:pPr>
      <w:r>
        <w:rPr>
          <w:rFonts w:hint="eastAsia" w:ascii="宋体" w:hAnsi="宋体" w:cs="宋体"/>
          <w:b/>
          <w:bCs/>
          <w:sz w:val="28"/>
        </w:rPr>
        <w:t>属于监狱企业的证明文件</w:t>
      </w:r>
    </w:p>
    <w:p w14:paraId="0752E2CC">
      <w:pPr>
        <w:spacing w:line="360" w:lineRule="auto"/>
        <w:rPr>
          <w:rFonts w:ascii="宋体" w:hAnsi="宋体" w:cs="宋体"/>
        </w:rPr>
      </w:pPr>
      <w:r>
        <w:rPr>
          <w:rFonts w:hint="eastAsia" w:ascii="宋体" w:hAnsi="宋体" w:cs="宋体"/>
        </w:rPr>
        <w:t>（提供由省级以上监狱管理局、戒毒管理局(含新疆生产建设兵团)出具的属于监狱企业的证明文件）</w:t>
      </w:r>
    </w:p>
    <w:p w14:paraId="11D36C1A">
      <w:pPr>
        <w:spacing w:line="360" w:lineRule="auto"/>
        <w:rPr>
          <w:rFonts w:ascii="宋体" w:hAnsi="宋体" w:cs="宋体"/>
          <w:b/>
          <w:bCs/>
        </w:rPr>
      </w:pPr>
    </w:p>
    <w:p w14:paraId="76E6D990">
      <w:pPr>
        <w:spacing w:line="360" w:lineRule="auto"/>
        <w:rPr>
          <w:rFonts w:ascii="宋体" w:hAnsi="宋体" w:cs="宋体"/>
          <w:b/>
          <w:bCs/>
        </w:rPr>
      </w:pPr>
    </w:p>
    <w:p w14:paraId="11356B64">
      <w:pPr>
        <w:spacing w:line="360" w:lineRule="auto"/>
        <w:jc w:val="center"/>
        <w:rPr>
          <w:rFonts w:ascii="宋体" w:hAnsi="宋体" w:cs="宋体"/>
          <w:b/>
          <w:bCs/>
        </w:rPr>
      </w:pPr>
      <w:r>
        <w:rPr>
          <w:rFonts w:hint="eastAsia" w:ascii="宋体" w:hAnsi="宋体" w:cs="宋体"/>
          <w:b/>
          <w:bCs/>
          <w:sz w:val="28"/>
        </w:rPr>
        <w:t>节能产品认证证书</w:t>
      </w:r>
    </w:p>
    <w:p w14:paraId="49659B64">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5A0730C8">
      <w:pPr>
        <w:spacing w:line="360" w:lineRule="auto"/>
        <w:rPr>
          <w:rFonts w:ascii="宋体" w:hAnsi="宋体" w:cs="宋体"/>
          <w:b/>
          <w:bCs/>
        </w:rPr>
      </w:pPr>
    </w:p>
    <w:p w14:paraId="60E7403F">
      <w:pPr>
        <w:spacing w:line="360" w:lineRule="auto"/>
        <w:rPr>
          <w:rFonts w:ascii="宋体" w:hAnsi="宋体" w:cs="宋体"/>
          <w:b/>
          <w:bCs/>
        </w:rPr>
      </w:pPr>
    </w:p>
    <w:p w14:paraId="229897B1">
      <w:pPr>
        <w:spacing w:line="360" w:lineRule="auto"/>
        <w:rPr>
          <w:rFonts w:ascii="宋体" w:hAnsi="宋体" w:cs="宋体"/>
          <w:b/>
          <w:bCs/>
        </w:rPr>
      </w:pPr>
    </w:p>
    <w:p w14:paraId="53001CDE">
      <w:pPr>
        <w:spacing w:line="360" w:lineRule="auto"/>
        <w:jc w:val="center"/>
        <w:rPr>
          <w:rFonts w:ascii="宋体" w:hAnsi="宋体" w:cs="宋体"/>
          <w:b/>
          <w:bCs/>
        </w:rPr>
      </w:pPr>
      <w:r>
        <w:rPr>
          <w:rFonts w:hint="eastAsia" w:ascii="宋体" w:hAnsi="宋体" w:cs="宋体"/>
          <w:b/>
          <w:bCs/>
          <w:sz w:val="28"/>
        </w:rPr>
        <w:t>环境标志产品认证证书</w:t>
      </w:r>
    </w:p>
    <w:p w14:paraId="466059FF">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7969744F">
      <w:pPr>
        <w:ind w:firstLine="420" w:firstLineChars="200"/>
        <w:rPr>
          <w:rFonts w:ascii="宋体" w:hAnsi="宋体" w:cs="宋体"/>
          <w:bCs/>
          <w:szCs w:val="20"/>
        </w:rPr>
      </w:pPr>
    </w:p>
    <w:p w14:paraId="5D9FF162">
      <w:pPr>
        <w:ind w:firstLine="420" w:firstLineChars="200"/>
        <w:rPr>
          <w:rFonts w:ascii="宋体" w:hAnsi="宋体" w:cs="宋体"/>
          <w:bCs/>
          <w:szCs w:val="20"/>
        </w:rPr>
      </w:pPr>
    </w:p>
    <w:p w14:paraId="5BFC3203">
      <w:pPr>
        <w:ind w:firstLine="420" w:firstLineChars="200"/>
        <w:rPr>
          <w:rFonts w:ascii="宋体" w:hAnsi="宋体" w:cs="宋体"/>
          <w:bCs/>
          <w:szCs w:val="20"/>
        </w:rPr>
      </w:pPr>
    </w:p>
    <w:p w14:paraId="75178F21">
      <w:pPr>
        <w:spacing w:line="360" w:lineRule="auto"/>
        <w:jc w:val="center"/>
        <w:rPr>
          <w:rFonts w:ascii="宋体" w:hAnsi="宋体" w:cs="宋体"/>
          <w:b/>
          <w:bCs/>
          <w:sz w:val="28"/>
        </w:rPr>
      </w:pPr>
      <w:r>
        <w:rPr>
          <w:rFonts w:hint="eastAsia" w:ascii="宋体" w:hAnsi="宋体" w:cs="宋体"/>
          <w:b/>
          <w:bCs/>
          <w:sz w:val="28"/>
        </w:rPr>
        <w:t>进口产品转让技术、消化吸收再创新方案</w:t>
      </w:r>
    </w:p>
    <w:p w14:paraId="23DAD05D">
      <w:pPr>
        <w:spacing w:line="360" w:lineRule="auto"/>
        <w:rPr>
          <w:rFonts w:ascii="宋体" w:hAnsi="宋体" w:cs="宋体"/>
          <w:bCs/>
        </w:rPr>
      </w:pPr>
      <w:r>
        <w:rPr>
          <w:rFonts w:hint="eastAsia" w:ascii="宋体" w:hAnsi="宋体" w:cs="宋体"/>
          <w:bCs/>
        </w:rPr>
        <w:t>（对于允许进口产品参加的项目）</w:t>
      </w:r>
    </w:p>
    <w:p w14:paraId="1C783E81">
      <w:pPr>
        <w:widowControl/>
        <w:shd w:val="clear" w:color="auto" w:fill="FFFFFF"/>
        <w:spacing w:before="24" w:after="24" w:line="360" w:lineRule="auto"/>
        <w:jc w:val="center"/>
        <w:rPr>
          <w:rFonts w:ascii="宋体" w:hAnsi="宋体" w:cs="宋体"/>
          <w:b/>
          <w:bCs/>
          <w:sz w:val="28"/>
        </w:rPr>
      </w:pPr>
    </w:p>
    <w:p w14:paraId="4C028F9D">
      <w:pPr>
        <w:widowControl/>
        <w:shd w:val="clear" w:color="auto" w:fill="FFFFFF"/>
        <w:spacing w:before="24" w:after="24" w:line="360" w:lineRule="auto"/>
        <w:jc w:val="left"/>
        <w:rPr>
          <w:rFonts w:ascii="宋体" w:hAnsi="宋体" w:cs="宋体"/>
          <w:b/>
          <w:bCs/>
        </w:rPr>
      </w:pPr>
      <w:r>
        <w:rPr>
          <w:rFonts w:hint="eastAsia" w:ascii="宋体" w:hAnsi="宋体" w:cs="宋体"/>
          <w:b/>
        </w:rPr>
        <w:t>附件十一</w:t>
      </w:r>
      <w:r>
        <w:rPr>
          <w:rFonts w:hint="eastAsia" w:ascii="宋体" w:hAnsi="宋体" w:cs="宋体"/>
          <w:b/>
          <w:bCs/>
        </w:rPr>
        <w:t>、关于符合本国产品标准的声明函</w:t>
      </w:r>
    </w:p>
    <w:p w14:paraId="194C4F15">
      <w:pPr>
        <w:widowControl/>
        <w:shd w:val="clear" w:color="auto" w:fill="FFFFFF"/>
        <w:spacing w:before="24" w:after="24" w:line="360" w:lineRule="auto"/>
        <w:jc w:val="center"/>
        <w:rPr>
          <w:rFonts w:ascii="宋体" w:hAnsi="宋体" w:cs="宋体"/>
          <w:b/>
          <w:bCs/>
          <w:sz w:val="28"/>
        </w:rPr>
      </w:pPr>
      <w:r>
        <w:rPr>
          <w:rFonts w:hint="eastAsia" w:ascii="宋体" w:hAnsi="宋体" w:cs="宋体"/>
          <w:b/>
          <w:bCs/>
          <w:sz w:val="28"/>
        </w:rPr>
        <w:t>关于符合本国产品标准的声明函</w:t>
      </w:r>
    </w:p>
    <w:p w14:paraId="1F829253">
      <w:pPr>
        <w:pStyle w:val="39"/>
        <w:spacing w:before="0" w:beforeAutospacing="0" w:after="0" w:afterAutospacing="0"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F344EBE">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1"/>
          <w:rFonts w:hint="eastAsia"/>
          <w:color w:val="000000" w:themeColor="text1"/>
          <w:u w:val="single"/>
          <w:shd w:val="clear" w:color="auto" w:fill="FFFFFF"/>
          <w14:textFill>
            <w14:solidFill>
              <w14:schemeClr w14:val="tx1"/>
            </w14:solidFill>
          </w14:textFill>
        </w:rPr>
        <w:t>（产品名称1）</w:t>
      </w:r>
      <w:r>
        <w:rPr>
          <w:rStyle w:val="51"/>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Style w:val="51"/>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44BDD200">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1"/>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412E10F5">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w:t>
      </w:r>
    </w:p>
    <w:p w14:paraId="1F4D615F">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本公司（单位）对上述声明内容的真实性负责。如有虚假，愿承担相应法律责任。</w:t>
      </w:r>
    </w:p>
    <w:p w14:paraId="769D2F3B">
      <w:pPr>
        <w:pStyle w:val="39"/>
        <w:spacing w:before="30" w:beforeAutospacing="0" w:after="30" w:afterAutospacing="0" w:line="0" w:lineRule="atLeast"/>
        <w:rPr>
          <w:color w:val="000000" w:themeColor="text1"/>
          <w14:textFill>
            <w14:solidFill>
              <w14:schemeClr w14:val="tx1"/>
            </w14:solidFill>
          </w14:textFill>
        </w:rPr>
      </w:pPr>
    </w:p>
    <w:p w14:paraId="0729F3B5">
      <w:pPr>
        <w:pStyle w:val="39"/>
        <w:spacing w:before="30" w:beforeAutospacing="0" w:after="30" w:afterAutospacing="0" w:line="360" w:lineRule="auto"/>
        <w:jc w:val="righ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p>
    <w:p w14:paraId="6F77113C">
      <w:pPr>
        <w:pStyle w:val="39"/>
        <w:spacing w:before="30" w:beforeAutospacing="0" w:after="30" w:afterAutospacing="0" w:line="360" w:lineRule="auto"/>
        <w:jc w:val="center"/>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p>
    <w:p w14:paraId="45DD2AA0">
      <w:pPr>
        <w:pStyle w:val="39"/>
        <w:spacing w:before="30" w:beforeAutospacing="0" w:after="30" w:afterAutospacing="0" w:line="0" w:lineRule="atLeast"/>
        <w:rPr>
          <w:color w:val="000000" w:themeColor="text1"/>
          <w:shd w:val="clear" w:color="auto" w:fill="FFFFFF"/>
          <w14:textFill>
            <w14:solidFill>
              <w14:schemeClr w14:val="tx1"/>
            </w14:solidFill>
          </w14:textFill>
        </w:rPr>
      </w:pPr>
    </w:p>
    <w:p w14:paraId="50B91178">
      <w:pPr>
        <w:pStyle w:val="39"/>
        <w:spacing w:before="30" w:beforeAutospacing="0" w:after="30" w:afterAutospacing="0" w:line="0" w:lineRule="atLeast"/>
        <w:rPr>
          <w:color w:val="000000" w:themeColor="text1"/>
          <w:shd w:val="clear" w:color="auto" w:fill="FFFFFF"/>
          <w14:textFill>
            <w14:solidFill>
              <w14:schemeClr w14:val="tx1"/>
            </w14:solidFill>
          </w14:textFill>
        </w:rPr>
      </w:pPr>
    </w:p>
    <w:p w14:paraId="66DFFE29">
      <w:pPr>
        <w:pStyle w:val="39"/>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_________________</w:t>
      </w:r>
    </w:p>
    <w:p w14:paraId="3A26555E">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1.产品如有型号，请在“产品名称”栏一并填写。</w:t>
      </w:r>
    </w:p>
    <w:p w14:paraId="6BA5D542">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2.生产厂名与厂址应与生产厂营业执照载明的相关信息保持一致。</w:t>
      </w:r>
    </w:p>
    <w:p w14:paraId="53F32436">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3.该产品的中国境内生产的组件成本占比相关要求实施前，“规定比例”栏可不填，下同。</w:t>
      </w:r>
    </w:p>
    <w:p w14:paraId="31C1005D">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4.该产品的关键组件要求实施前，“关键组件”栏可不填，下同。</w:t>
      </w:r>
    </w:p>
    <w:p w14:paraId="5437B3F8">
      <w:pPr>
        <w:pStyle w:val="39"/>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5.该产品的关键工序要求实施前，“关键工序”栏可不填，下同。</w:t>
      </w:r>
    </w:p>
    <w:p w14:paraId="7800162B">
      <w:pPr>
        <w:pStyle w:val="39"/>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6.《声明函》中标注“</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”的地方无需填写。</w:t>
      </w:r>
    </w:p>
    <w:p w14:paraId="2369AE59">
      <w:pPr>
        <w:rPr>
          <w:rFonts w:hint="eastAsia"/>
          <w:b/>
          <w:bCs/>
        </w:rPr>
      </w:pPr>
      <w:r>
        <w:rPr>
          <w:rFonts w:hint="eastAsia"/>
          <w:b/>
          <w:bCs/>
        </w:rPr>
        <w:t>本国产品标准适用于货物，包括政府采购货物项目和服务项目中涉及的货物</w:t>
      </w:r>
    </w:p>
    <w:p w14:paraId="7E8A05AA">
      <w:pPr>
        <w:rPr>
          <w:b/>
          <w:bCs/>
        </w:rPr>
      </w:pPr>
      <w:r>
        <w:rPr>
          <w:rFonts w:hint="eastAsia"/>
          <w:b/>
          <w:bCs/>
        </w:rPr>
        <w:t>供应商如实作出声明承诺。供应商应按照采购文件要求，规范、真实、准确地填写并提交《声明函》。涉及多种产品的，应逐一列明。</w:t>
      </w:r>
    </w:p>
    <w:p w14:paraId="624EE423">
      <w:pPr>
        <w:rPr>
          <w:rStyle w:val="48"/>
          <w:rFonts w:hint="eastAsia"/>
          <w:sz w:val="36"/>
          <w:szCs w:val="36"/>
        </w:rPr>
      </w:pPr>
      <w:r>
        <w:rPr>
          <w:rStyle w:val="48"/>
          <w:rFonts w:hint="eastAsia"/>
          <w:sz w:val="36"/>
          <w:szCs w:val="36"/>
        </w:rPr>
        <w:br w:type="page"/>
      </w:r>
    </w:p>
    <w:p w14:paraId="4C55792F">
      <w:pPr>
        <w:pStyle w:val="39"/>
        <w:shd w:val="clear" w:color="auto" w:fill="FFFFFF"/>
        <w:spacing w:before="30" w:beforeAutospacing="0" w:after="30" w:afterAutospacing="0"/>
        <w:jc w:val="center"/>
        <w:rPr>
          <w:rStyle w:val="48"/>
          <w:sz w:val="36"/>
          <w:szCs w:val="36"/>
        </w:rPr>
      </w:pPr>
      <w:r>
        <w:rPr>
          <w:rStyle w:val="48"/>
          <w:rFonts w:hint="eastAsia"/>
          <w:sz w:val="36"/>
          <w:szCs w:val="36"/>
        </w:rPr>
        <w:t>产品成本占比承诺函</w:t>
      </w:r>
    </w:p>
    <w:p w14:paraId="266BF12B">
      <w:pPr>
        <w:pStyle w:val="39"/>
        <w:shd w:val="clear" w:color="auto" w:fill="FFFFFF"/>
        <w:spacing w:before="30" w:beforeAutospacing="0" w:after="30" w:afterAutospacing="0"/>
        <w:rPr>
          <w:rStyle w:val="48"/>
          <w:sz w:val="36"/>
          <w:szCs w:val="36"/>
        </w:rPr>
      </w:pPr>
    </w:p>
    <w:p w14:paraId="53CA2AF2">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E8EB144">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6E05314">
      <w:pPr>
        <w:widowControl/>
        <w:spacing w:line="360" w:lineRule="auto"/>
        <w:ind w:firstLine="480" w:firstLineChars="200"/>
        <w:jc w:val="left"/>
        <w:rPr>
          <w:color w:val="000000"/>
          <w:sz w:val="24"/>
        </w:rPr>
      </w:pPr>
    </w:p>
    <w:p w14:paraId="1A54119C">
      <w:pPr>
        <w:pStyle w:val="39"/>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702A5DF3">
      <w:pPr>
        <w:spacing w:line="360" w:lineRule="auto"/>
        <w:jc w:val="right"/>
        <w:rPr>
          <w:rFonts w:ascii="宋体" w:hAnsi="宋体" w:cs="宋体"/>
          <w:b/>
          <w:bCs/>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5C6C28AF">
      <w:pPr>
        <w:autoSpaceDE w:val="0"/>
        <w:autoSpaceDN w:val="0"/>
        <w:adjustRightInd w:val="0"/>
        <w:spacing w:line="360" w:lineRule="auto"/>
        <w:rPr>
          <w:rFonts w:ascii="宋体" w:hAnsi="宋体" w:cs="宋体"/>
          <w:b/>
        </w:rPr>
      </w:pPr>
      <w:r>
        <w:rPr>
          <w:rFonts w:hint="eastAsia" w:ascii="宋体" w:hAnsi="宋体" w:cs="宋体"/>
          <w:b/>
          <w:szCs w:val="21"/>
          <w:lang w:val="zh-CN"/>
        </w:rPr>
        <w:br w:type="page"/>
      </w:r>
      <w:r>
        <w:rPr>
          <w:rFonts w:hint="eastAsia" w:ascii="宋体" w:hAnsi="宋体" w:cs="宋体"/>
          <w:b/>
        </w:rPr>
        <w:t>附件十二、无重大违法记录声明格式</w:t>
      </w:r>
    </w:p>
    <w:p w14:paraId="3C61962B">
      <w:pPr>
        <w:spacing w:line="240" w:lineRule="atLeast"/>
        <w:jc w:val="center"/>
        <w:rPr>
          <w:rFonts w:ascii="宋体" w:hAnsi="宋体" w:cs="宋体"/>
          <w:sz w:val="28"/>
          <w:szCs w:val="36"/>
        </w:rPr>
      </w:pPr>
    </w:p>
    <w:p w14:paraId="06CACC3C">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2D09E0C1">
      <w:pPr>
        <w:spacing w:line="360" w:lineRule="auto"/>
        <w:rPr>
          <w:rFonts w:ascii="宋体" w:hAnsi="宋体" w:cs="宋体"/>
          <w:szCs w:val="21"/>
        </w:rPr>
      </w:pPr>
    </w:p>
    <w:p w14:paraId="6F002679">
      <w:pPr>
        <w:spacing w:line="360" w:lineRule="auto"/>
        <w:rPr>
          <w:rFonts w:ascii="宋体" w:hAnsi="宋体" w:cs="宋体"/>
          <w:szCs w:val="21"/>
        </w:rPr>
      </w:pPr>
      <w:r>
        <w:rPr>
          <w:rFonts w:hint="eastAsia" w:ascii="宋体" w:hAnsi="宋体" w:cs="宋体"/>
          <w:szCs w:val="21"/>
        </w:rPr>
        <w:t>江苏省设备成套股份有限公司：</w:t>
      </w:r>
    </w:p>
    <w:p w14:paraId="73D0F268">
      <w:pPr>
        <w:spacing w:line="360" w:lineRule="auto"/>
        <w:rPr>
          <w:rFonts w:ascii="宋体" w:hAnsi="宋体" w:cs="宋体"/>
        </w:rPr>
      </w:pPr>
    </w:p>
    <w:p w14:paraId="31F062C3">
      <w:pPr>
        <w:spacing w:line="360" w:lineRule="auto"/>
        <w:ind w:firstLine="336" w:firstLineChars="160"/>
        <w:rPr>
          <w:rFonts w:ascii="宋体" w:hAnsi="宋体" w:cs="宋体"/>
        </w:rPr>
      </w:pPr>
      <w:r>
        <w:rPr>
          <w:rFonts w:hint="eastAsia" w:ascii="宋体" w:hAnsi="宋体" w:cs="宋体"/>
        </w:rPr>
        <w:t>我单位（供应商名称）郑重声明：</w:t>
      </w:r>
    </w:p>
    <w:p w14:paraId="6E09AABA">
      <w:pPr>
        <w:widowControl/>
        <w:spacing w:line="360" w:lineRule="auto"/>
        <w:ind w:firstLine="308" w:firstLineChars="147"/>
        <w:rPr>
          <w:rFonts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，且不是失信被执行人、重大税收违法失信主体名单、政府采购严重违法失信行为记录名单的供应商。</w:t>
      </w:r>
    </w:p>
    <w:p w14:paraId="03E7A440">
      <w:pPr>
        <w:spacing w:line="360" w:lineRule="auto"/>
        <w:ind w:firstLine="420" w:firstLineChars="200"/>
        <w:rPr>
          <w:rFonts w:ascii="宋体" w:hAnsi="宋体" w:cs="宋体"/>
        </w:rPr>
      </w:pPr>
    </w:p>
    <w:p w14:paraId="6894D655">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30EF65BA">
      <w:pPr>
        <w:spacing w:line="360" w:lineRule="auto"/>
        <w:rPr>
          <w:rFonts w:ascii="宋体" w:hAnsi="宋体" w:cs="宋体"/>
        </w:rPr>
      </w:pPr>
    </w:p>
    <w:p w14:paraId="6B1E6B28">
      <w:pPr>
        <w:spacing w:line="360" w:lineRule="auto"/>
        <w:rPr>
          <w:rFonts w:ascii="宋体" w:hAnsi="宋体" w:cs="宋体"/>
        </w:rPr>
      </w:pPr>
    </w:p>
    <w:p w14:paraId="0901CE87">
      <w:pPr>
        <w:spacing w:line="360" w:lineRule="auto"/>
        <w:ind w:firstLine="5103" w:firstLineChars="2430"/>
        <w:rPr>
          <w:rFonts w:ascii="宋体" w:hAnsi="宋体" w:cs="宋体"/>
        </w:rPr>
      </w:pPr>
      <w:r>
        <w:rPr>
          <w:rFonts w:hint="eastAsia" w:ascii="宋体" w:hAnsi="宋体" w:cs="宋体"/>
        </w:rPr>
        <w:t>声明人：</w:t>
      </w:r>
      <w:r>
        <w:rPr>
          <w:rFonts w:hint="eastAsia" w:ascii="宋体" w:hAnsi="宋体" w:cs="宋体"/>
          <w:kern w:val="0"/>
          <w:szCs w:val="21"/>
        </w:rPr>
        <w:t>（加盖电子公章）</w:t>
      </w:r>
    </w:p>
    <w:p w14:paraId="255CC139">
      <w:pPr>
        <w:autoSpaceDE w:val="0"/>
        <w:autoSpaceDN w:val="0"/>
        <w:adjustRightInd w:val="0"/>
        <w:spacing w:line="360" w:lineRule="auto"/>
        <w:ind w:firstLine="5040" w:firstLineChars="2400"/>
        <w:rPr>
          <w:rFonts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726D79AD">
      <w:pPr>
        <w:autoSpaceDE w:val="0"/>
        <w:autoSpaceDN w:val="0"/>
        <w:adjustRightInd w:val="0"/>
        <w:spacing w:line="360" w:lineRule="auto"/>
        <w:rPr>
          <w:rFonts w:ascii="宋体" w:hAnsi="宋体" w:cs="宋体"/>
          <w:b/>
        </w:rPr>
      </w:pPr>
      <w:r>
        <w:rPr>
          <w:rFonts w:hint="eastAsia" w:ascii="宋体" w:hAnsi="宋体" w:cs="宋体"/>
          <w:b/>
        </w:rPr>
        <w:t>附件十三、资格资信证明文件</w:t>
      </w:r>
    </w:p>
    <w:p w14:paraId="6CE1D71C">
      <w:pPr>
        <w:autoSpaceDE w:val="0"/>
        <w:autoSpaceDN w:val="0"/>
        <w:adjustRightInd w:val="0"/>
        <w:spacing w:line="360" w:lineRule="auto"/>
        <w:rPr>
          <w:rFonts w:ascii="宋体" w:hAnsi="宋体" w:cs="宋体"/>
          <w:b/>
        </w:rPr>
      </w:pPr>
    </w:p>
    <w:p w14:paraId="2F06315A">
      <w:pPr>
        <w:autoSpaceDE w:val="0"/>
        <w:autoSpaceDN w:val="0"/>
        <w:adjustRightInd w:val="0"/>
        <w:spacing w:line="360" w:lineRule="auto"/>
        <w:rPr>
          <w:rFonts w:ascii="宋体" w:hAnsi="宋体" w:cs="宋体"/>
          <w:b/>
        </w:rPr>
      </w:pPr>
      <w:r>
        <w:rPr>
          <w:rFonts w:hint="eastAsia" w:ascii="宋体" w:hAnsi="宋体" w:cs="宋体"/>
          <w:b/>
        </w:rPr>
        <w:t>附件十四、联合体协议及联合体授权委托书（如允许联合体、格式自拟）</w:t>
      </w:r>
    </w:p>
    <w:p w14:paraId="1BA01DFE">
      <w:pPr>
        <w:pStyle w:val="274"/>
      </w:pPr>
    </w:p>
    <w:p w14:paraId="68AB5A02">
      <w:pPr>
        <w:autoSpaceDE w:val="0"/>
        <w:autoSpaceDN w:val="0"/>
        <w:adjustRightInd w:val="0"/>
        <w:spacing w:line="360" w:lineRule="auto"/>
        <w:rPr>
          <w:rFonts w:ascii="宋体" w:hAnsi="宋体" w:cs="宋体"/>
          <w:b/>
        </w:rPr>
      </w:pPr>
    </w:p>
    <w:p w14:paraId="10A8FC89">
      <w:pPr>
        <w:pStyle w:val="274"/>
        <w:spacing w:line="360" w:lineRule="auto"/>
        <w:ind w:firstLine="0"/>
        <w:jc w:val="left"/>
        <w:rPr>
          <w:rFonts w:ascii="宋体" w:hAnsi="宋体" w:cs="宋体"/>
          <w:b/>
        </w:rPr>
      </w:pPr>
    </w:p>
    <w:p w14:paraId="3DECC646">
      <w:pPr>
        <w:pStyle w:val="274"/>
        <w:spacing w:line="360" w:lineRule="auto"/>
        <w:ind w:firstLine="0"/>
        <w:jc w:val="left"/>
        <w:rPr>
          <w:rFonts w:ascii="宋体" w:hAnsi="宋体" w:cs="宋体"/>
          <w:b/>
        </w:rPr>
      </w:pPr>
      <w:r>
        <w:rPr>
          <w:rFonts w:hint="eastAsia" w:ascii="宋体" w:hAnsi="宋体" w:cs="宋体"/>
          <w:b/>
        </w:rPr>
        <w:t>附件十五、投标人需要提供的其他材料</w:t>
      </w:r>
    </w:p>
    <w:p w14:paraId="3F7F2F3D">
      <w:pPr>
        <w:pStyle w:val="17"/>
        <w:rPr>
          <w:rFonts w:ascii="宋体" w:hAnsi="宋体" w:cs="宋体"/>
          <w:b/>
        </w:rPr>
      </w:pPr>
    </w:p>
    <w:p w14:paraId="0D441FC3"/>
    <w:sectPr>
      <w:footerReference r:id="rId7" w:type="first"/>
      <w:headerReference r:id="rId5" w:type="default"/>
      <w:footerReference r:id="rId6"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1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6FB55">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8E37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3F48E37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51BD9">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A35F9">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B3A35F9">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68EF">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6B5AA">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076B5AA">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1C29">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E15A12">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DE15A12">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97E4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2E83AAD"/>
    <w:multiLevelType w:val="singleLevel"/>
    <w:tmpl w:val="22E83AAD"/>
    <w:lvl w:ilvl="0" w:tentative="0">
      <w:start w:val="2"/>
      <w:numFmt w:val="chineseCounting"/>
      <w:suff w:val="nothing"/>
      <w:lvlText w:val="%1、"/>
      <w:lvlJc w:val="left"/>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4DB3"/>
    <w:rsid w:val="00016168"/>
    <w:rsid w:val="000163B7"/>
    <w:rsid w:val="000207B3"/>
    <w:rsid w:val="00020832"/>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779"/>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3C4"/>
    <w:rsid w:val="00096BB7"/>
    <w:rsid w:val="00097207"/>
    <w:rsid w:val="00097293"/>
    <w:rsid w:val="00097411"/>
    <w:rsid w:val="000978F6"/>
    <w:rsid w:val="00097A13"/>
    <w:rsid w:val="00097C5F"/>
    <w:rsid w:val="000A2C8C"/>
    <w:rsid w:val="000A45A0"/>
    <w:rsid w:val="000A573E"/>
    <w:rsid w:val="000A72E5"/>
    <w:rsid w:val="000A7583"/>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1793"/>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47CDD"/>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5B1B"/>
    <w:rsid w:val="003C7F64"/>
    <w:rsid w:val="003D11A8"/>
    <w:rsid w:val="003D1C4F"/>
    <w:rsid w:val="003D5379"/>
    <w:rsid w:val="003E0214"/>
    <w:rsid w:val="003E1379"/>
    <w:rsid w:val="003E35F2"/>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1DDE"/>
    <w:rsid w:val="00452E04"/>
    <w:rsid w:val="00453FD6"/>
    <w:rsid w:val="00454259"/>
    <w:rsid w:val="0045464A"/>
    <w:rsid w:val="0045557D"/>
    <w:rsid w:val="00455EC9"/>
    <w:rsid w:val="00455F44"/>
    <w:rsid w:val="004567B7"/>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1B30"/>
    <w:rsid w:val="004820F0"/>
    <w:rsid w:val="00483480"/>
    <w:rsid w:val="00484798"/>
    <w:rsid w:val="00485414"/>
    <w:rsid w:val="00485D05"/>
    <w:rsid w:val="004860C3"/>
    <w:rsid w:val="00491064"/>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0E27"/>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0FE"/>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07ABA"/>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676"/>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62B4"/>
    <w:rsid w:val="0068770C"/>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148E"/>
    <w:rsid w:val="006F31BB"/>
    <w:rsid w:val="006F3293"/>
    <w:rsid w:val="006F36D3"/>
    <w:rsid w:val="006F6030"/>
    <w:rsid w:val="006F62A0"/>
    <w:rsid w:val="006F689C"/>
    <w:rsid w:val="006F75D1"/>
    <w:rsid w:val="006F7B4F"/>
    <w:rsid w:val="00700959"/>
    <w:rsid w:val="007011BE"/>
    <w:rsid w:val="007013E4"/>
    <w:rsid w:val="00701A01"/>
    <w:rsid w:val="00702945"/>
    <w:rsid w:val="0070316B"/>
    <w:rsid w:val="00703446"/>
    <w:rsid w:val="007045EC"/>
    <w:rsid w:val="00705AB6"/>
    <w:rsid w:val="007077A6"/>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750"/>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318"/>
    <w:rsid w:val="007A67CC"/>
    <w:rsid w:val="007A6D30"/>
    <w:rsid w:val="007A7822"/>
    <w:rsid w:val="007B00C4"/>
    <w:rsid w:val="007B0587"/>
    <w:rsid w:val="007B2825"/>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2509"/>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3F9C"/>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70D02"/>
    <w:rsid w:val="00870D28"/>
    <w:rsid w:val="00871321"/>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4B5"/>
    <w:rsid w:val="008E2642"/>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249A"/>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1CA"/>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D7596"/>
    <w:rsid w:val="00AE1C40"/>
    <w:rsid w:val="00AE1CDC"/>
    <w:rsid w:val="00AE3DF9"/>
    <w:rsid w:val="00AE5721"/>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6A86"/>
    <w:rsid w:val="00B26F8E"/>
    <w:rsid w:val="00B3135E"/>
    <w:rsid w:val="00B33FE4"/>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DA7"/>
    <w:rsid w:val="00B51E6A"/>
    <w:rsid w:val="00B52ABC"/>
    <w:rsid w:val="00B52BCB"/>
    <w:rsid w:val="00B53034"/>
    <w:rsid w:val="00B60C6E"/>
    <w:rsid w:val="00B621D6"/>
    <w:rsid w:val="00B62640"/>
    <w:rsid w:val="00B62C19"/>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5CF4"/>
    <w:rsid w:val="00C3442B"/>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56105"/>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96268"/>
    <w:rsid w:val="00CA0C53"/>
    <w:rsid w:val="00CA138A"/>
    <w:rsid w:val="00CA17E5"/>
    <w:rsid w:val="00CA2B62"/>
    <w:rsid w:val="00CA3030"/>
    <w:rsid w:val="00CA3CD3"/>
    <w:rsid w:val="00CA4B97"/>
    <w:rsid w:val="00CA5876"/>
    <w:rsid w:val="00CA6209"/>
    <w:rsid w:val="00CA62D1"/>
    <w:rsid w:val="00CB0495"/>
    <w:rsid w:val="00CB08A2"/>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3213"/>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1E1"/>
    <w:rsid w:val="00E17DAE"/>
    <w:rsid w:val="00E21A85"/>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62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4D67"/>
    <w:rsid w:val="00FC4F35"/>
    <w:rsid w:val="00FC546B"/>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675C"/>
    <w:rsid w:val="00FE71E2"/>
    <w:rsid w:val="00FE74FC"/>
    <w:rsid w:val="00FF0106"/>
    <w:rsid w:val="00FF04AB"/>
    <w:rsid w:val="00FF0DB2"/>
    <w:rsid w:val="00FF19BA"/>
    <w:rsid w:val="00FF2F69"/>
    <w:rsid w:val="00FF617C"/>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502B5"/>
    <w:rsid w:val="0194102D"/>
    <w:rsid w:val="0194674A"/>
    <w:rsid w:val="019B2A51"/>
    <w:rsid w:val="01A076E1"/>
    <w:rsid w:val="01BB069A"/>
    <w:rsid w:val="01BB3CD7"/>
    <w:rsid w:val="01BD17FD"/>
    <w:rsid w:val="01C00AFF"/>
    <w:rsid w:val="01CA09D6"/>
    <w:rsid w:val="01E4322D"/>
    <w:rsid w:val="01EE6DBE"/>
    <w:rsid w:val="020E7F3F"/>
    <w:rsid w:val="020F5B76"/>
    <w:rsid w:val="021A6004"/>
    <w:rsid w:val="022E08B9"/>
    <w:rsid w:val="023A07E4"/>
    <w:rsid w:val="023C3F99"/>
    <w:rsid w:val="025D291A"/>
    <w:rsid w:val="0261662C"/>
    <w:rsid w:val="027202B1"/>
    <w:rsid w:val="02721F48"/>
    <w:rsid w:val="02805163"/>
    <w:rsid w:val="02815E8D"/>
    <w:rsid w:val="0299522D"/>
    <w:rsid w:val="029B032D"/>
    <w:rsid w:val="02DC5445"/>
    <w:rsid w:val="02E41BF4"/>
    <w:rsid w:val="02F07CB0"/>
    <w:rsid w:val="03054218"/>
    <w:rsid w:val="030D75EF"/>
    <w:rsid w:val="031168BC"/>
    <w:rsid w:val="032D331F"/>
    <w:rsid w:val="032E3A9C"/>
    <w:rsid w:val="0330036D"/>
    <w:rsid w:val="03343D40"/>
    <w:rsid w:val="03426C59"/>
    <w:rsid w:val="03433AF1"/>
    <w:rsid w:val="034D095E"/>
    <w:rsid w:val="03501AE4"/>
    <w:rsid w:val="0358051C"/>
    <w:rsid w:val="03716722"/>
    <w:rsid w:val="037A0524"/>
    <w:rsid w:val="037E7D41"/>
    <w:rsid w:val="03802C3C"/>
    <w:rsid w:val="039B623A"/>
    <w:rsid w:val="03A10CAA"/>
    <w:rsid w:val="03B31109"/>
    <w:rsid w:val="03B44AA5"/>
    <w:rsid w:val="03BC22A0"/>
    <w:rsid w:val="03F10150"/>
    <w:rsid w:val="040020A7"/>
    <w:rsid w:val="04090D29"/>
    <w:rsid w:val="041E1308"/>
    <w:rsid w:val="042747BE"/>
    <w:rsid w:val="04473247"/>
    <w:rsid w:val="044D2B93"/>
    <w:rsid w:val="04785F16"/>
    <w:rsid w:val="047C435C"/>
    <w:rsid w:val="04833676"/>
    <w:rsid w:val="04930DBB"/>
    <w:rsid w:val="04A2371F"/>
    <w:rsid w:val="04A53BA4"/>
    <w:rsid w:val="04AA1834"/>
    <w:rsid w:val="04C726C7"/>
    <w:rsid w:val="04C97F5D"/>
    <w:rsid w:val="04D17C83"/>
    <w:rsid w:val="04E374DE"/>
    <w:rsid w:val="04FF00EB"/>
    <w:rsid w:val="0501459E"/>
    <w:rsid w:val="05175FCF"/>
    <w:rsid w:val="052263A0"/>
    <w:rsid w:val="054E1F78"/>
    <w:rsid w:val="054E23E8"/>
    <w:rsid w:val="05586075"/>
    <w:rsid w:val="058E5789"/>
    <w:rsid w:val="059C5E7A"/>
    <w:rsid w:val="059F3F35"/>
    <w:rsid w:val="05AB2DB2"/>
    <w:rsid w:val="05C127AF"/>
    <w:rsid w:val="05C342DE"/>
    <w:rsid w:val="05C869C2"/>
    <w:rsid w:val="05D56659"/>
    <w:rsid w:val="05E530D0"/>
    <w:rsid w:val="05EA2DDC"/>
    <w:rsid w:val="05EB76F4"/>
    <w:rsid w:val="05EC4B85"/>
    <w:rsid w:val="05F56B6A"/>
    <w:rsid w:val="05F7106C"/>
    <w:rsid w:val="06027766"/>
    <w:rsid w:val="061B11E8"/>
    <w:rsid w:val="06235043"/>
    <w:rsid w:val="06255BC2"/>
    <w:rsid w:val="06305727"/>
    <w:rsid w:val="06322461"/>
    <w:rsid w:val="06341A12"/>
    <w:rsid w:val="06440D68"/>
    <w:rsid w:val="064F49ED"/>
    <w:rsid w:val="06500E91"/>
    <w:rsid w:val="0661309E"/>
    <w:rsid w:val="06647C6C"/>
    <w:rsid w:val="06652B20"/>
    <w:rsid w:val="06665E33"/>
    <w:rsid w:val="067F1204"/>
    <w:rsid w:val="06936D88"/>
    <w:rsid w:val="069845E6"/>
    <w:rsid w:val="06A25465"/>
    <w:rsid w:val="06A31CA0"/>
    <w:rsid w:val="06D31947"/>
    <w:rsid w:val="06D70734"/>
    <w:rsid w:val="06D92562"/>
    <w:rsid w:val="06E760D7"/>
    <w:rsid w:val="06EA54F3"/>
    <w:rsid w:val="06F3181D"/>
    <w:rsid w:val="06F650AE"/>
    <w:rsid w:val="07075B45"/>
    <w:rsid w:val="070A76BD"/>
    <w:rsid w:val="071A149F"/>
    <w:rsid w:val="071E0F8F"/>
    <w:rsid w:val="072E5643"/>
    <w:rsid w:val="073D7196"/>
    <w:rsid w:val="07504429"/>
    <w:rsid w:val="07517B0E"/>
    <w:rsid w:val="07612720"/>
    <w:rsid w:val="07656730"/>
    <w:rsid w:val="07792B42"/>
    <w:rsid w:val="077E3D0B"/>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80D0CE3"/>
    <w:rsid w:val="08161C67"/>
    <w:rsid w:val="0842419B"/>
    <w:rsid w:val="084C38DA"/>
    <w:rsid w:val="086626CB"/>
    <w:rsid w:val="087522BE"/>
    <w:rsid w:val="08790814"/>
    <w:rsid w:val="08817F9A"/>
    <w:rsid w:val="08933F38"/>
    <w:rsid w:val="089E56D2"/>
    <w:rsid w:val="08B472FE"/>
    <w:rsid w:val="08B614BD"/>
    <w:rsid w:val="08B937A7"/>
    <w:rsid w:val="08CA572C"/>
    <w:rsid w:val="08CD671D"/>
    <w:rsid w:val="08D46E3C"/>
    <w:rsid w:val="08D83875"/>
    <w:rsid w:val="08F56067"/>
    <w:rsid w:val="08F56798"/>
    <w:rsid w:val="09072AF5"/>
    <w:rsid w:val="090C4E18"/>
    <w:rsid w:val="090D78C9"/>
    <w:rsid w:val="09101FB3"/>
    <w:rsid w:val="091B65FD"/>
    <w:rsid w:val="092403B3"/>
    <w:rsid w:val="09296C06"/>
    <w:rsid w:val="09311994"/>
    <w:rsid w:val="09A334F2"/>
    <w:rsid w:val="09B66FAD"/>
    <w:rsid w:val="09BB0D18"/>
    <w:rsid w:val="09CA0506"/>
    <w:rsid w:val="09D5558C"/>
    <w:rsid w:val="09F8752F"/>
    <w:rsid w:val="0A0D439F"/>
    <w:rsid w:val="0A0F0D09"/>
    <w:rsid w:val="0A1D4600"/>
    <w:rsid w:val="0A1F68B2"/>
    <w:rsid w:val="0A210F95"/>
    <w:rsid w:val="0A2836E0"/>
    <w:rsid w:val="0A29194C"/>
    <w:rsid w:val="0A4D56E8"/>
    <w:rsid w:val="0A593073"/>
    <w:rsid w:val="0A690774"/>
    <w:rsid w:val="0A6F1B02"/>
    <w:rsid w:val="0A7B3CEB"/>
    <w:rsid w:val="0A8A2603"/>
    <w:rsid w:val="0A8E5529"/>
    <w:rsid w:val="0A9B43BB"/>
    <w:rsid w:val="0AA27AB9"/>
    <w:rsid w:val="0AA96DC2"/>
    <w:rsid w:val="0AB44EF5"/>
    <w:rsid w:val="0ABD33E4"/>
    <w:rsid w:val="0AC159A6"/>
    <w:rsid w:val="0AC736EC"/>
    <w:rsid w:val="0AD35BED"/>
    <w:rsid w:val="0AE34BB1"/>
    <w:rsid w:val="0AEC3153"/>
    <w:rsid w:val="0AED0B6E"/>
    <w:rsid w:val="0B493559"/>
    <w:rsid w:val="0B4B7099"/>
    <w:rsid w:val="0B623A2E"/>
    <w:rsid w:val="0B747542"/>
    <w:rsid w:val="0B974E6D"/>
    <w:rsid w:val="0B9E1A60"/>
    <w:rsid w:val="0BAD70EA"/>
    <w:rsid w:val="0BCD088E"/>
    <w:rsid w:val="0BD460C1"/>
    <w:rsid w:val="0BE60C5C"/>
    <w:rsid w:val="0BFC5617"/>
    <w:rsid w:val="0C161A76"/>
    <w:rsid w:val="0C296CAE"/>
    <w:rsid w:val="0C365370"/>
    <w:rsid w:val="0C41127C"/>
    <w:rsid w:val="0C442C80"/>
    <w:rsid w:val="0C4B30F1"/>
    <w:rsid w:val="0C4D7C21"/>
    <w:rsid w:val="0C5C35DE"/>
    <w:rsid w:val="0C5E2560"/>
    <w:rsid w:val="0C716C43"/>
    <w:rsid w:val="0C7376A8"/>
    <w:rsid w:val="0C801F53"/>
    <w:rsid w:val="0C8076E1"/>
    <w:rsid w:val="0C8D626F"/>
    <w:rsid w:val="0CA97841"/>
    <w:rsid w:val="0CAF7FF4"/>
    <w:rsid w:val="0CED0068"/>
    <w:rsid w:val="0CF22F65"/>
    <w:rsid w:val="0CF32701"/>
    <w:rsid w:val="0CF5297F"/>
    <w:rsid w:val="0CFD3771"/>
    <w:rsid w:val="0D001BEA"/>
    <w:rsid w:val="0D0A7F77"/>
    <w:rsid w:val="0D1122FB"/>
    <w:rsid w:val="0D167C75"/>
    <w:rsid w:val="0D1B1ACD"/>
    <w:rsid w:val="0D3C25EF"/>
    <w:rsid w:val="0D455E22"/>
    <w:rsid w:val="0D4D0748"/>
    <w:rsid w:val="0D5F5515"/>
    <w:rsid w:val="0D8943DC"/>
    <w:rsid w:val="0D8A04E4"/>
    <w:rsid w:val="0D932BB8"/>
    <w:rsid w:val="0D98461B"/>
    <w:rsid w:val="0DB00467"/>
    <w:rsid w:val="0DB904D9"/>
    <w:rsid w:val="0DBB0918"/>
    <w:rsid w:val="0DC70662"/>
    <w:rsid w:val="0DC83A03"/>
    <w:rsid w:val="0DE25782"/>
    <w:rsid w:val="0DEE271A"/>
    <w:rsid w:val="0DF148E8"/>
    <w:rsid w:val="0E210D90"/>
    <w:rsid w:val="0E280BF1"/>
    <w:rsid w:val="0E2A2732"/>
    <w:rsid w:val="0E2F7B01"/>
    <w:rsid w:val="0E3177FA"/>
    <w:rsid w:val="0E4B5699"/>
    <w:rsid w:val="0E512E80"/>
    <w:rsid w:val="0E644A75"/>
    <w:rsid w:val="0E6C0832"/>
    <w:rsid w:val="0E6E1A32"/>
    <w:rsid w:val="0E8C683F"/>
    <w:rsid w:val="0E915BD0"/>
    <w:rsid w:val="0E940398"/>
    <w:rsid w:val="0ECD4128"/>
    <w:rsid w:val="0ED40186"/>
    <w:rsid w:val="0ED73668"/>
    <w:rsid w:val="0EDB0027"/>
    <w:rsid w:val="0EE52393"/>
    <w:rsid w:val="0EEE1C53"/>
    <w:rsid w:val="0EF05635"/>
    <w:rsid w:val="0F0913A4"/>
    <w:rsid w:val="0F360DD3"/>
    <w:rsid w:val="0F3E453D"/>
    <w:rsid w:val="0F6B1793"/>
    <w:rsid w:val="0F7B5DFB"/>
    <w:rsid w:val="0F953DB9"/>
    <w:rsid w:val="0FC8388F"/>
    <w:rsid w:val="0FE46ECC"/>
    <w:rsid w:val="0FF07241"/>
    <w:rsid w:val="0FF37EF3"/>
    <w:rsid w:val="0FFE4C46"/>
    <w:rsid w:val="10024DAE"/>
    <w:rsid w:val="10064480"/>
    <w:rsid w:val="100930B7"/>
    <w:rsid w:val="10156FD1"/>
    <w:rsid w:val="10235C2C"/>
    <w:rsid w:val="10371F2F"/>
    <w:rsid w:val="105A6D80"/>
    <w:rsid w:val="107B23CF"/>
    <w:rsid w:val="107E1871"/>
    <w:rsid w:val="10824E25"/>
    <w:rsid w:val="10AF0EAA"/>
    <w:rsid w:val="10BB79B4"/>
    <w:rsid w:val="10BD5626"/>
    <w:rsid w:val="10C34956"/>
    <w:rsid w:val="10C5422A"/>
    <w:rsid w:val="10C85301"/>
    <w:rsid w:val="10EA1EE2"/>
    <w:rsid w:val="10F5099F"/>
    <w:rsid w:val="11046680"/>
    <w:rsid w:val="112A0531"/>
    <w:rsid w:val="112C24FB"/>
    <w:rsid w:val="113B273E"/>
    <w:rsid w:val="11423CF0"/>
    <w:rsid w:val="1159255C"/>
    <w:rsid w:val="115D038D"/>
    <w:rsid w:val="11627CCB"/>
    <w:rsid w:val="116741A8"/>
    <w:rsid w:val="11785740"/>
    <w:rsid w:val="11887A9E"/>
    <w:rsid w:val="11906E7E"/>
    <w:rsid w:val="119D5213"/>
    <w:rsid w:val="119E030F"/>
    <w:rsid w:val="11A37371"/>
    <w:rsid w:val="11A402E3"/>
    <w:rsid w:val="11AB1672"/>
    <w:rsid w:val="11AC3296"/>
    <w:rsid w:val="11B43285"/>
    <w:rsid w:val="11BF3764"/>
    <w:rsid w:val="11BF5D6D"/>
    <w:rsid w:val="11D61938"/>
    <w:rsid w:val="11EA4C32"/>
    <w:rsid w:val="11EE77B0"/>
    <w:rsid w:val="11EF6486"/>
    <w:rsid w:val="11F75962"/>
    <w:rsid w:val="11FC0451"/>
    <w:rsid w:val="120C4EB8"/>
    <w:rsid w:val="122D760A"/>
    <w:rsid w:val="12311F5A"/>
    <w:rsid w:val="12427601"/>
    <w:rsid w:val="125944FB"/>
    <w:rsid w:val="125F062A"/>
    <w:rsid w:val="12624EB7"/>
    <w:rsid w:val="12672FB7"/>
    <w:rsid w:val="126B2BAF"/>
    <w:rsid w:val="126E605B"/>
    <w:rsid w:val="127952CC"/>
    <w:rsid w:val="127E3DE4"/>
    <w:rsid w:val="1282388F"/>
    <w:rsid w:val="128572E6"/>
    <w:rsid w:val="128A0F8B"/>
    <w:rsid w:val="129139EE"/>
    <w:rsid w:val="12B26461"/>
    <w:rsid w:val="12CF75E2"/>
    <w:rsid w:val="12D228CA"/>
    <w:rsid w:val="12E3308D"/>
    <w:rsid w:val="12F36759"/>
    <w:rsid w:val="12F9465F"/>
    <w:rsid w:val="1300045E"/>
    <w:rsid w:val="130A6921"/>
    <w:rsid w:val="13392CAD"/>
    <w:rsid w:val="133D024F"/>
    <w:rsid w:val="133D6D87"/>
    <w:rsid w:val="13436291"/>
    <w:rsid w:val="135E2A54"/>
    <w:rsid w:val="13716BB4"/>
    <w:rsid w:val="137D6E8E"/>
    <w:rsid w:val="13821EE1"/>
    <w:rsid w:val="138516B3"/>
    <w:rsid w:val="13890B9C"/>
    <w:rsid w:val="138A52B7"/>
    <w:rsid w:val="13963C5C"/>
    <w:rsid w:val="13A2174F"/>
    <w:rsid w:val="13CB4137"/>
    <w:rsid w:val="13D11AEC"/>
    <w:rsid w:val="13D42386"/>
    <w:rsid w:val="13F27FD8"/>
    <w:rsid w:val="13F53078"/>
    <w:rsid w:val="13FA3C10"/>
    <w:rsid w:val="141334FE"/>
    <w:rsid w:val="14197590"/>
    <w:rsid w:val="141C7AF8"/>
    <w:rsid w:val="142D5867"/>
    <w:rsid w:val="14311C3C"/>
    <w:rsid w:val="14667AD2"/>
    <w:rsid w:val="148F7029"/>
    <w:rsid w:val="14A05CEA"/>
    <w:rsid w:val="14A800EA"/>
    <w:rsid w:val="14BA7BD0"/>
    <w:rsid w:val="14BE0DA8"/>
    <w:rsid w:val="14C10F31"/>
    <w:rsid w:val="14DF2DE8"/>
    <w:rsid w:val="14E20E88"/>
    <w:rsid w:val="14E71B9C"/>
    <w:rsid w:val="14ED24C4"/>
    <w:rsid w:val="14FE6E45"/>
    <w:rsid w:val="15030DD2"/>
    <w:rsid w:val="151246C1"/>
    <w:rsid w:val="151D69CC"/>
    <w:rsid w:val="15300534"/>
    <w:rsid w:val="15430081"/>
    <w:rsid w:val="1549179A"/>
    <w:rsid w:val="155855A0"/>
    <w:rsid w:val="15760A82"/>
    <w:rsid w:val="15771F23"/>
    <w:rsid w:val="15885993"/>
    <w:rsid w:val="15943580"/>
    <w:rsid w:val="15954377"/>
    <w:rsid w:val="15993399"/>
    <w:rsid w:val="159F71E4"/>
    <w:rsid w:val="15D252B6"/>
    <w:rsid w:val="15DA54BE"/>
    <w:rsid w:val="15DE1A29"/>
    <w:rsid w:val="15F15AC1"/>
    <w:rsid w:val="16091932"/>
    <w:rsid w:val="1629525B"/>
    <w:rsid w:val="16325D9E"/>
    <w:rsid w:val="166636FC"/>
    <w:rsid w:val="16753FFC"/>
    <w:rsid w:val="16883ABF"/>
    <w:rsid w:val="169D3553"/>
    <w:rsid w:val="16A90098"/>
    <w:rsid w:val="16AA3EEF"/>
    <w:rsid w:val="16AD19E8"/>
    <w:rsid w:val="16B33439"/>
    <w:rsid w:val="16BB65F1"/>
    <w:rsid w:val="16C30E50"/>
    <w:rsid w:val="16DF70C3"/>
    <w:rsid w:val="16E13DB6"/>
    <w:rsid w:val="16E36A8E"/>
    <w:rsid w:val="16E6312D"/>
    <w:rsid w:val="170C16D5"/>
    <w:rsid w:val="17174321"/>
    <w:rsid w:val="171B1048"/>
    <w:rsid w:val="17382C6C"/>
    <w:rsid w:val="174C1201"/>
    <w:rsid w:val="17950C6C"/>
    <w:rsid w:val="179901BE"/>
    <w:rsid w:val="179B360F"/>
    <w:rsid w:val="17AC7EF2"/>
    <w:rsid w:val="17B2733D"/>
    <w:rsid w:val="17D32110"/>
    <w:rsid w:val="17DF4157"/>
    <w:rsid w:val="17EF333D"/>
    <w:rsid w:val="17F736BA"/>
    <w:rsid w:val="180B1C8C"/>
    <w:rsid w:val="18273A1C"/>
    <w:rsid w:val="183B45F3"/>
    <w:rsid w:val="1856228A"/>
    <w:rsid w:val="18655549"/>
    <w:rsid w:val="18673E19"/>
    <w:rsid w:val="187266B8"/>
    <w:rsid w:val="18731F52"/>
    <w:rsid w:val="189D5730"/>
    <w:rsid w:val="18A24E51"/>
    <w:rsid w:val="18AE6BDF"/>
    <w:rsid w:val="18BC41FE"/>
    <w:rsid w:val="18D255E8"/>
    <w:rsid w:val="18E73115"/>
    <w:rsid w:val="190A6030"/>
    <w:rsid w:val="191206D3"/>
    <w:rsid w:val="191752E5"/>
    <w:rsid w:val="191F53BB"/>
    <w:rsid w:val="192D3625"/>
    <w:rsid w:val="192E2BD3"/>
    <w:rsid w:val="19362545"/>
    <w:rsid w:val="194D74B2"/>
    <w:rsid w:val="196A1E12"/>
    <w:rsid w:val="197B5636"/>
    <w:rsid w:val="19864E1F"/>
    <w:rsid w:val="198C7FDB"/>
    <w:rsid w:val="198D30EC"/>
    <w:rsid w:val="199926F8"/>
    <w:rsid w:val="19A834D4"/>
    <w:rsid w:val="19EB4862"/>
    <w:rsid w:val="19F274CB"/>
    <w:rsid w:val="19F62F82"/>
    <w:rsid w:val="1A134258"/>
    <w:rsid w:val="1A200C49"/>
    <w:rsid w:val="1A2340A7"/>
    <w:rsid w:val="1A2C7C12"/>
    <w:rsid w:val="1A382E26"/>
    <w:rsid w:val="1A3A5DAF"/>
    <w:rsid w:val="1A564A70"/>
    <w:rsid w:val="1A5B175B"/>
    <w:rsid w:val="1A5C16D9"/>
    <w:rsid w:val="1A5C6D63"/>
    <w:rsid w:val="1A705206"/>
    <w:rsid w:val="1A7636B6"/>
    <w:rsid w:val="1A7B17BE"/>
    <w:rsid w:val="1A9A04D5"/>
    <w:rsid w:val="1ABF7F3C"/>
    <w:rsid w:val="1AC8028B"/>
    <w:rsid w:val="1AE133EF"/>
    <w:rsid w:val="1AEF4DAE"/>
    <w:rsid w:val="1AF77FAB"/>
    <w:rsid w:val="1AFB020E"/>
    <w:rsid w:val="1B19589E"/>
    <w:rsid w:val="1B324BB2"/>
    <w:rsid w:val="1B3D1939"/>
    <w:rsid w:val="1B46240B"/>
    <w:rsid w:val="1B492FF3"/>
    <w:rsid w:val="1B4950A4"/>
    <w:rsid w:val="1B556620"/>
    <w:rsid w:val="1B7A20B5"/>
    <w:rsid w:val="1B924A70"/>
    <w:rsid w:val="1BA324C2"/>
    <w:rsid w:val="1BA61267"/>
    <w:rsid w:val="1BA710FC"/>
    <w:rsid w:val="1BAF2B44"/>
    <w:rsid w:val="1BC1484E"/>
    <w:rsid w:val="1BE0460E"/>
    <w:rsid w:val="1BF400B9"/>
    <w:rsid w:val="1C0F6CA1"/>
    <w:rsid w:val="1C1147C7"/>
    <w:rsid w:val="1C2663BF"/>
    <w:rsid w:val="1C36433C"/>
    <w:rsid w:val="1C376E21"/>
    <w:rsid w:val="1C422BD3"/>
    <w:rsid w:val="1C473B3B"/>
    <w:rsid w:val="1C607E4F"/>
    <w:rsid w:val="1C6C7C4F"/>
    <w:rsid w:val="1C721035"/>
    <w:rsid w:val="1C751981"/>
    <w:rsid w:val="1C7F7983"/>
    <w:rsid w:val="1C821221"/>
    <w:rsid w:val="1C887DF5"/>
    <w:rsid w:val="1C89288A"/>
    <w:rsid w:val="1C9547C0"/>
    <w:rsid w:val="1CA47846"/>
    <w:rsid w:val="1CCC4B05"/>
    <w:rsid w:val="1CD565D5"/>
    <w:rsid w:val="1CD929FD"/>
    <w:rsid w:val="1CDF6675"/>
    <w:rsid w:val="1CEF14EF"/>
    <w:rsid w:val="1CF43006"/>
    <w:rsid w:val="1CFE1CEE"/>
    <w:rsid w:val="1D077570"/>
    <w:rsid w:val="1D13456F"/>
    <w:rsid w:val="1D1A4F19"/>
    <w:rsid w:val="1D325942"/>
    <w:rsid w:val="1D52260D"/>
    <w:rsid w:val="1D672B1F"/>
    <w:rsid w:val="1D68660F"/>
    <w:rsid w:val="1D7C2114"/>
    <w:rsid w:val="1D856076"/>
    <w:rsid w:val="1D8B3670"/>
    <w:rsid w:val="1D8E2134"/>
    <w:rsid w:val="1DA73124"/>
    <w:rsid w:val="1DAE0556"/>
    <w:rsid w:val="1DB1270C"/>
    <w:rsid w:val="1DB25B36"/>
    <w:rsid w:val="1DB67C12"/>
    <w:rsid w:val="1DC55869"/>
    <w:rsid w:val="1DD50B1E"/>
    <w:rsid w:val="1E060554"/>
    <w:rsid w:val="1E0F6E32"/>
    <w:rsid w:val="1E407A47"/>
    <w:rsid w:val="1E415560"/>
    <w:rsid w:val="1E4A7C66"/>
    <w:rsid w:val="1E5D18EA"/>
    <w:rsid w:val="1E5D3CF4"/>
    <w:rsid w:val="1E604A81"/>
    <w:rsid w:val="1E706AC5"/>
    <w:rsid w:val="1E706D9C"/>
    <w:rsid w:val="1E841A5F"/>
    <w:rsid w:val="1EA33881"/>
    <w:rsid w:val="1EA40105"/>
    <w:rsid w:val="1EA972F9"/>
    <w:rsid w:val="1EAC6298"/>
    <w:rsid w:val="1EB12291"/>
    <w:rsid w:val="1EBC7CC4"/>
    <w:rsid w:val="1EC665E8"/>
    <w:rsid w:val="1ED01E61"/>
    <w:rsid w:val="1EDA5344"/>
    <w:rsid w:val="1EDC6093"/>
    <w:rsid w:val="1EE20644"/>
    <w:rsid w:val="1F06438B"/>
    <w:rsid w:val="1F0C725C"/>
    <w:rsid w:val="1F325E08"/>
    <w:rsid w:val="1F3507CD"/>
    <w:rsid w:val="1F494278"/>
    <w:rsid w:val="1F4C5B16"/>
    <w:rsid w:val="1F524DE1"/>
    <w:rsid w:val="1F542354"/>
    <w:rsid w:val="1F69585D"/>
    <w:rsid w:val="1F6B38B0"/>
    <w:rsid w:val="1F730709"/>
    <w:rsid w:val="1F811C64"/>
    <w:rsid w:val="1FA6791C"/>
    <w:rsid w:val="1FBC7140"/>
    <w:rsid w:val="1FD0749B"/>
    <w:rsid w:val="1FE35ADC"/>
    <w:rsid w:val="1FF2076E"/>
    <w:rsid w:val="1FF24910"/>
    <w:rsid w:val="2003301C"/>
    <w:rsid w:val="201D72F1"/>
    <w:rsid w:val="20211FF7"/>
    <w:rsid w:val="203A5CDB"/>
    <w:rsid w:val="203F40E9"/>
    <w:rsid w:val="205A5568"/>
    <w:rsid w:val="206823A1"/>
    <w:rsid w:val="206A4B72"/>
    <w:rsid w:val="20743577"/>
    <w:rsid w:val="207540D6"/>
    <w:rsid w:val="20781B6F"/>
    <w:rsid w:val="207A43DF"/>
    <w:rsid w:val="207F6629"/>
    <w:rsid w:val="20B24112"/>
    <w:rsid w:val="20B63B8F"/>
    <w:rsid w:val="20C5523A"/>
    <w:rsid w:val="20CB4F5C"/>
    <w:rsid w:val="20D91DD8"/>
    <w:rsid w:val="20DD5762"/>
    <w:rsid w:val="20EE43F2"/>
    <w:rsid w:val="20F301B2"/>
    <w:rsid w:val="20F716A2"/>
    <w:rsid w:val="20F903BB"/>
    <w:rsid w:val="20FA3A7C"/>
    <w:rsid w:val="21011A51"/>
    <w:rsid w:val="21096B24"/>
    <w:rsid w:val="210B25F8"/>
    <w:rsid w:val="21116BA3"/>
    <w:rsid w:val="211E2099"/>
    <w:rsid w:val="2123675E"/>
    <w:rsid w:val="213D605E"/>
    <w:rsid w:val="213E6057"/>
    <w:rsid w:val="215C1EE3"/>
    <w:rsid w:val="21611D4D"/>
    <w:rsid w:val="21637A27"/>
    <w:rsid w:val="216C08BA"/>
    <w:rsid w:val="21724815"/>
    <w:rsid w:val="217D46AD"/>
    <w:rsid w:val="21A665AD"/>
    <w:rsid w:val="21A734D8"/>
    <w:rsid w:val="21B33C19"/>
    <w:rsid w:val="21BB34D8"/>
    <w:rsid w:val="21D722C1"/>
    <w:rsid w:val="21DF24FF"/>
    <w:rsid w:val="21E14D78"/>
    <w:rsid w:val="21F11F6F"/>
    <w:rsid w:val="22136A87"/>
    <w:rsid w:val="222C0C93"/>
    <w:rsid w:val="222F1E4B"/>
    <w:rsid w:val="224B3D5F"/>
    <w:rsid w:val="2258252F"/>
    <w:rsid w:val="225E4F1E"/>
    <w:rsid w:val="22811875"/>
    <w:rsid w:val="228F63A9"/>
    <w:rsid w:val="22A177E6"/>
    <w:rsid w:val="22B67E76"/>
    <w:rsid w:val="22B83BEE"/>
    <w:rsid w:val="22D447A0"/>
    <w:rsid w:val="22D95913"/>
    <w:rsid w:val="22E6677E"/>
    <w:rsid w:val="22EA23F7"/>
    <w:rsid w:val="22F17100"/>
    <w:rsid w:val="230E7CE8"/>
    <w:rsid w:val="231D3794"/>
    <w:rsid w:val="23216ED5"/>
    <w:rsid w:val="233236E3"/>
    <w:rsid w:val="23384D2F"/>
    <w:rsid w:val="233B768D"/>
    <w:rsid w:val="2346752C"/>
    <w:rsid w:val="23470F6E"/>
    <w:rsid w:val="23585DD8"/>
    <w:rsid w:val="235B4AD3"/>
    <w:rsid w:val="237613B4"/>
    <w:rsid w:val="23774E19"/>
    <w:rsid w:val="237D05D8"/>
    <w:rsid w:val="2385331C"/>
    <w:rsid w:val="239B1C02"/>
    <w:rsid w:val="23AB3963"/>
    <w:rsid w:val="23B819CC"/>
    <w:rsid w:val="23BA793E"/>
    <w:rsid w:val="23D17044"/>
    <w:rsid w:val="23D172B3"/>
    <w:rsid w:val="23D841ED"/>
    <w:rsid w:val="23DF2B6D"/>
    <w:rsid w:val="23E40684"/>
    <w:rsid w:val="23F23381"/>
    <w:rsid w:val="23FC435C"/>
    <w:rsid w:val="2411563C"/>
    <w:rsid w:val="241158DE"/>
    <w:rsid w:val="242447AF"/>
    <w:rsid w:val="24334C53"/>
    <w:rsid w:val="243C16A4"/>
    <w:rsid w:val="24431BDE"/>
    <w:rsid w:val="24442987"/>
    <w:rsid w:val="245260B7"/>
    <w:rsid w:val="246D27B7"/>
    <w:rsid w:val="24771FAD"/>
    <w:rsid w:val="247F2309"/>
    <w:rsid w:val="24845B00"/>
    <w:rsid w:val="24941BD4"/>
    <w:rsid w:val="24A15D95"/>
    <w:rsid w:val="24C41DFA"/>
    <w:rsid w:val="24CF3471"/>
    <w:rsid w:val="24D75451"/>
    <w:rsid w:val="24DB6206"/>
    <w:rsid w:val="24DC47FF"/>
    <w:rsid w:val="24F904EE"/>
    <w:rsid w:val="25005256"/>
    <w:rsid w:val="250439EF"/>
    <w:rsid w:val="252E0198"/>
    <w:rsid w:val="2557729C"/>
    <w:rsid w:val="255A6A4F"/>
    <w:rsid w:val="257239B5"/>
    <w:rsid w:val="2573525C"/>
    <w:rsid w:val="2573603F"/>
    <w:rsid w:val="257A3E03"/>
    <w:rsid w:val="258C3DF5"/>
    <w:rsid w:val="25B60C44"/>
    <w:rsid w:val="25D72DB2"/>
    <w:rsid w:val="25E1786F"/>
    <w:rsid w:val="25E83AD3"/>
    <w:rsid w:val="25EB11E1"/>
    <w:rsid w:val="25F252DE"/>
    <w:rsid w:val="25F453F1"/>
    <w:rsid w:val="25F574EA"/>
    <w:rsid w:val="260B280F"/>
    <w:rsid w:val="263F3EBB"/>
    <w:rsid w:val="26574DB8"/>
    <w:rsid w:val="265A05A4"/>
    <w:rsid w:val="266E1364"/>
    <w:rsid w:val="268E2249"/>
    <w:rsid w:val="269229A8"/>
    <w:rsid w:val="26A67D94"/>
    <w:rsid w:val="26C52C94"/>
    <w:rsid w:val="26D703BB"/>
    <w:rsid w:val="26E51871"/>
    <w:rsid w:val="26E56F7C"/>
    <w:rsid w:val="26EC52C4"/>
    <w:rsid w:val="26FD1062"/>
    <w:rsid w:val="2712322F"/>
    <w:rsid w:val="2718121A"/>
    <w:rsid w:val="27224B0F"/>
    <w:rsid w:val="27271343"/>
    <w:rsid w:val="272F1E9F"/>
    <w:rsid w:val="27313F6F"/>
    <w:rsid w:val="274E1A68"/>
    <w:rsid w:val="2764417B"/>
    <w:rsid w:val="27795A37"/>
    <w:rsid w:val="278476CC"/>
    <w:rsid w:val="27B54BA0"/>
    <w:rsid w:val="27F710A0"/>
    <w:rsid w:val="27FC457D"/>
    <w:rsid w:val="27FD20A3"/>
    <w:rsid w:val="280653FC"/>
    <w:rsid w:val="280E2503"/>
    <w:rsid w:val="28136B87"/>
    <w:rsid w:val="282E0D0A"/>
    <w:rsid w:val="283659E1"/>
    <w:rsid w:val="284F7247"/>
    <w:rsid w:val="2851741F"/>
    <w:rsid w:val="2854115A"/>
    <w:rsid w:val="286744CD"/>
    <w:rsid w:val="287B2854"/>
    <w:rsid w:val="2887096F"/>
    <w:rsid w:val="28891A68"/>
    <w:rsid w:val="28996270"/>
    <w:rsid w:val="289D6BC0"/>
    <w:rsid w:val="289E3886"/>
    <w:rsid w:val="28B0142C"/>
    <w:rsid w:val="28B031C4"/>
    <w:rsid w:val="28B813D8"/>
    <w:rsid w:val="28C05393"/>
    <w:rsid w:val="28C15F16"/>
    <w:rsid w:val="28C46D91"/>
    <w:rsid w:val="28C8217E"/>
    <w:rsid w:val="28D13A25"/>
    <w:rsid w:val="28D728F5"/>
    <w:rsid w:val="28D8259C"/>
    <w:rsid w:val="28DC615D"/>
    <w:rsid w:val="28DE402A"/>
    <w:rsid w:val="28E23AA6"/>
    <w:rsid w:val="28E60D8A"/>
    <w:rsid w:val="291433AE"/>
    <w:rsid w:val="292274D8"/>
    <w:rsid w:val="29257B04"/>
    <w:rsid w:val="29347D47"/>
    <w:rsid w:val="29432A42"/>
    <w:rsid w:val="294D2BB7"/>
    <w:rsid w:val="294F62D4"/>
    <w:rsid w:val="29542197"/>
    <w:rsid w:val="2976043F"/>
    <w:rsid w:val="29826D04"/>
    <w:rsid w:val="29834CA6"/>
    <w:rsid w:val="298429E5"/>
    <w:rsid w:val="29871592"/>
    <w:rsid w:val="299627B0"/>
    <w:rsid w:val="29A94291"/>
    <w:rsid w:val="29AA7F26"/>
    <w:rsid w:val="29C70BBB"/>
    <w:rsid w:val="29D250A3"/>
    <w:rsid w:val="29D97152"/>
    <w:rsid w:val="29DA563F"/>
    <w:rsid w:val="29E03A2B"/>
    <w:rsid w:val="29EA6773"/>
    <w:rsid w:val="29F64FFC"/>
    <w:rsid w:val="2A1738F0"/>
    <w:rsid w:val="2A1757C0"/>
    <w:rsid w:val="2A2622F9"/>
    <w:rsid w:val="2A2E7A7E"/>
    <w:rsid w:val="2A323B4A"/>
    <w:rsid w:val="2A4735A8"/>
    <w:rsid w:val="2A5F40B6"/>
    <w:rsid w:val="2A66617B"/>
    <w:rsid w:val="2A7C3754"/>
    <w:rsid w:val="2A9456D6"/>
    <w:rsid w:val="2A9F070C"/>
    <w:rsid w:val="2A9F5694"/>
    <w:rsid w:val="2B1A174A"/>
    <w:rsid w:val="2B3002E1"/>
    <w:rsid w:val="2B332625"/>
    <w:rsid w:val="2B565C6F"/>
    <w:rsid w:val="2B565E56"/>
    <w:rsid w:val="2B721990"/>
    <w:rsid w:val="2B7865F9"/>
    <w:rsid w:val="2B8C374E"/>
    <w:rsid w:val="2B8F46B6"/>
    <w:rsid w:val="2B991DFF"/>
    <w:rsid w:val="2BA00853"/>
    <w:rsid w:val="2BBB64FD"/>
    <w:rsid w:val="2BCF3B14"/>
    <w:rsid w:val="2BD22877"/>
    <w:rsid w:val="2BDC385F"/>
    <w:rsid w:val="2BF24C23"/>
    <w:rsid w:val="2BFA5278"/>
    <w:rsid w:val="2BFC6B25"/>
    <w:rsid w:val="2BFD08C4"/>
    <w:rsid w:val="2C291E13"/>
    <w:rsid w:val="2C421FD2"/>
    <w:rsid w:val="2C570661"/>
    <w:rsid w:val="2C6B4093"/>
    <w:rsid w:val="2C884F4B"/>
    <w:rsid w:val="2C997AF3"/>
    <w:rsid w:val="2C997CDE"/>
    <w:rsid w:val="2C9C00DD"/>
    <w:rsid w:val="2C9E14E5"/>
    <w:rsid w:val="2CA62764"/>
    <w:rsid w:val="2CCA2E9C"/>
    <w:rsid w:val="2CD25FF8"/>
    <w:rsid w:val="2CD6311F"/>
    <w:rsid w:val="2CE67F8C"/>
    <w:rsid w:val="2CEB4BC0"/>
    <w:rsid w:val="2CF3392B"/>
    <w:rsid w:val="2CFC0B7C"/>
    <w:rsid w:val="2D297BC6"/>
    <w:rsid w:val="2D377655"/>
    <w:rsid w:val="2D403484"/>
    <w:rsid w:val="2D651E34"/>
    <w:rsid w:val="2DAB5DC1"/>
    <w:rsid w:val="2DD12008"/>
    <w:rsid w:val="2DEE2D62"/>
    <w:rsid w:val="2DF14475"/>
    <w:rsid w:val="2DF83CAE"/>
    <w:rsid w:val="2E1036F7"/>
    <w:rsid w:val="2E24038A"/>
    <w:rsid w:val="2E244B0B"/>
    <w:rsid w:val="2E2760CC"/>
    <w:rsid w:val="2E2F76FC"/>
    <w:rsid w:val="2E3507E9"/>
    <w:rsid w:val="2E3B3187"/>
    <w:rsid w:val="2E422DCC"/>
    <w:rsid w:val="2E754540"/>
    <w:rsid w:val="2E905186"/>
    <w:rsid w:val="2EA313FB"/>
    <w:rsid w:val="2EAF3631"/>
    <w:rsid w:val="2EC13E2B"/>
    <w:rsid w:val="2ED2330B"/>
    <w:rsid w:val="2ED705EB"/>
    <w:rsid w:val="2EDC447A"/>
    <w:rsid w:val="2EE5733A"/>
    <w:rsid w:val="2EEE11AC"/>
    <w:rsid w:val="2EFE35E8"/>
    <w:rsid w:val="2F315682"/>
    <w:rsid w:val="2F4E6128"/>
    <w:rsid w:val="2F593497"/>
    <w:rsid w:val="2F5B2585"/>
    <w:rsid w:val="2F6D2390"/>
    <w:rsid w:val="2F80221D"/>
    <w:rsid w:val="2F805A94"/>
    <w:rsid w:val="2F81648B"/>
    <w:rsid w:val="2F8E1FB0"/>
    <w:rsid w:val="2FA6202F"/>
    <w:rsid w:val="2FC75471"/>
    <w:rsid w:val="2FD47B8E"/>
    <w:rsid w:val="2FDB47FA"/>
    <w:rsid w:val="2FE870C5"/>
    <w:rsid w:val="2FEC4ED7"/>
    <w:rsid w:val="30222090"/>
    <w:rsid w:val="302C79CA"/>
    <w:rsid w:val="303F08C7"/>
    <w:rsid w:val="30412492"/>
    <w:rsid w:val="304704C5"/>
    <w:rsid w:val="30581961"/>
    <w:rsid w:val="305C1F96"/>
    <w:rsid w:val="30615FED"/>
    <w:rsid w:val="30717AD3"/>
    <w:rsid w:val="3086532C"/>
    <w:rsid w:val="308F3CE9"/>
    <w:rsid w:val="30933F17"/>
    <w:rsid w:val="309713C6"/>
    <w:rsid w:val="30981D7F"/>
    <w:rsid w:val="309B5A24"/>
    <w:rsid w:val="30A232E4"/>
    <w:rsid w:val="30BA4FD6"/>
    <w:rsid w:val="30C50C66"/>
    <w:rsid w:val="30DC319E"/>
    <w:rsid w:val="30ED1711"/>
    <w:rsid w:val="30EF17E0"/>
    <w:rsid w:val="3103697D"/>
    <w:rsid w:val="31167200"/>
    <w:rsid w:val="312C69BA"/>
    <w:rsid w:val="3135798D"/>
    <w:rsid w:val="31393DCB"/>
    <w:rsid w:val="31636DC3"/>
    <w:rsid w:val="316A224B"/>
    <w:rsid w:val="316D2854"/>
    <w:rsid w:val="31712EBC"/>
    <w:rsid w:val="31772EC7"/>
    <w:rsid w:val="317B29B7"/>
    <w:rsid w:val="317D5FB6"/>
    <w:rsid w:val="31837ABD"/>
    <w:rsid w:val="318C7F04"/>
    <w:rsid w:val="319C5AA7"/>
    <w:rsid w:val="319F465C"/>
    <w:rsid w:val="31B50B0C"/>
    <w:rsid w:val="31C32FA3"/>
    <w:rsid w:val="31CD468B"/>
    <w:rsid w:val="31D13B19"/>
    <w:rsid w:val="31D91BE1"/>
    <w:rsid w:val="31E60856"/>
    <w:rsid w:val="31EA35E8"/>
    <w:rsid w:val="322C0610"/>
    <w:rsid w:val="322E1BFD"/>
    <w:rsid w:val="32303773"/>
    <w:rsid w:val="323963CE"/>
    <w:rsid w:val="323A3E96"/>
    <w:rsid w:val="323E22F7"/>
    <w:rsid w:val="32487229"/>
    <w:rsid w:val="3252691D"/>
    <w:rsid w:val="328B4E7C"/>
    <w:rsid w:val="32A5173A"/>
    <w:rsid w:val="32BB148C"/>
    <w:rsid w:val="32BB6217"/>
    <w:rsid w:val="32D16607"/>
    <w:rsid w:val="33111456"/>
    <w:rsid w:val="33184235"/>
    <w:rsid w:val="33291ACF"/>
    <w:rsid w:val="332C1220"/>
    <w:rsid w:val="332D2447"/>
    <w:rsid w:val="333D7CDA"/>
    <w:rsid w:val="33407A27"/>
    <w:rsid w:val="336C20F6"/>
    <w:rsid w:val="337D6DD6"/>
    <w:rsid w:val="33824B11"/>
    <w:rsid w:val="33867AAC"/>
    <w:rsid w:val="33907FCF"/>
    <w:rsid w:val="33941B0E"/>
    <w:rsid w:val="339670C9"/>
    <w:rsid w:val="33982C90"/>
    <w:rsid w:val="339B1966"/>
    <w:rsid w:val="33A23507"/>
    <w:rsid w:val="33A45AC9"/>
    <w:rsid w:val="33C1178D"/>
    <w:rsid w:val="33CD5CBF"/>
    <w:rsid w:val="33CF6A93"/>
    <w:rsid w:val="33D52CF0"/>
    <w:rsid w:val="33D91C17"/>
    <w:rsid w:val="33DE6AB5"/>
    <w:rsid w:val="33E3198C"/>
    <w:rsid w:val="33EB5AE0"/>
    <w:rsid w:val="33F352AE"/>
    <w:rsid w:val="341063AE"/>
    <w:rsid w:val="3411315F"/>
    <w:rsid w:val="341663D8"/>
    <w:rsid w:val="342009F1"/>
    <w:rsid w:val="342D0975"/>
    <w:rsid w:val="34491953"/>
    <w:rsid w:val="344F1FA8"/>
    <w:rsid w:val="345721E6"/>
    <w:rsid w:val="346C65E7"/>
    <w:rsid w:val="34751483"/>
    <w:rsid w:val="347A51A8"/>
    <w:rsid w:val="34825689"/>
    <w:rsid w:val="348778C5"/>
    <w:rsid w:val="34A20947"/>
    <w:rsid w:val="34B44B7E"/>
    <w:rsid w:val="34B57235"/>
    <w:rsid w:val="34CD0D87"/>
    <w:rsid w:val="34D42DBE"/>
    <w:rsid w:val="35056F41"/>
    <w:rsid w:val="350A4AD0"/>
    <w:rsid w:val="350F0702"/>
    <w:rsid w:val="35417A73"/>
    <w:rsid w:val="35537C83"/>
    <w:rsid w:val="3569521C"/>
    <w:rsid w:val="356D46C3"/>
    <w:rsid w:val="35872663"/>
    <w:rsid w:val="358D2CB9"/>
    <w:rsid w:val="35A873D1"/>
    <w:rsid w:val="35C76FEA"/>
    <w:rsid w:val="35ED6974"/>
    <w:rsid w:val="35EF127D"/>
    <w:rsid w:val="360D6F99"/>
    <w:rsid w:val="36160F00"/>
    <w:rsid w:val="36312097"/>
    <w:rsid w:val="36427105"/>
    <w:rsid w:val="36460B81"/>
    <w:rsid w:val="36495886"/>
    <w:rsid w:val="364A0BAA"/>
    <w:rsid w:val="36637A63"/>
    <w:rsid w:val="366C3D62"/>
    <w:rsid w:val="367F4F73"/>
    <w:rsid w:val="368220F2"/>
    <w:rsid w:val="36A00700"/>
    <w:rsid w:val="36BB5604"/>
    <w:rsid w:val="36C95F72"/>
    <w:rsid w:val="36CC5A63"/>
    <w:rsid w:val="36CF7301"/>
    <w:rsid w:val="36D97DE3"/>
    <w:rsid w:val="36DF1B09"/>
    <w:rsid w:val="36F54FB9"/>
    <w:rsid w:val="36F5558D"/>
    <w:rsid w:val="36FA75CB"/>
    <w:rsid w:val="36FE69CC"/>
    <w:rsid w:val="37077031"/>
    <w:rsid w:val="370A446C"/>
    <w:rsid w:val="370D11A6"/>
    <w:rsid w:val="37171462"/>
    <w:rsid w:val="37186290"/>
    <w:rsid w:val="371F5514"/>
    <w:rsid w:val="37236D14"/>
    <w:rsid w:val="37275392"/>
    <w:rsid w:val="372B01F6"/>
    <w:rsid w:val="374A1271"/>
    <w:rsid w:val="37667C65"/>
    <w:rsid w:val="376806DB"/>
    <w:rsid w:val="3784633D"/>
    <w:rsid w:val="37846EE5"/>
    <w:rsid w:val="37904CE2"/>
    <w:rsid w:val="379461DF"/>
    <w:rsid w:val="379C5527"/>
    <w:rsid w:val="379F25AA"/>
    <w:rsid w:val="37A95DA4"/>
    <w:rsid w:val="37B7331B"/>
    <w:rsid w:val="37BE432D"/>
    <w:rsid w:val="37C0269B"/>
    <w:rsid w:val="37C20289"/>
    <w:rsid w:val="37C87C23"/>
    <w:rsid w:val="37CC113C"/>
    <w:rsid w:val="37D437CC"/>
    <w:rsid w:val="37D50947"/>
    <w:rsid w:val="37DD3769"/>
    <w:rsid w:val="37FE4685"/>
    <w:rsid w:val="383046D1"/>
    <w:rsid w:val="38316343"/>
    <w:rsid w:val="38540962"/>
    <w:rsid w:val="386A72E1"/>
    <w:rsid w:val="38727B02"/>
    <w:rsid w:val="38812AD7"/>
    <w:rsid w:val="389F5CD8"/>
    <w:rsid w:val="38AA6BDA"/>
    <w:rsid w:val="38B279EB"/>
    <w:rsid w:val="38B82AF5"/>
    <w:rsid w:val="38C7204D"/>
    <w:rsid w:val="38EA6C83"/>
    <w:rsid w:val="3914724D"/>
    <w:rsid w:val="392B1828"/>
    <w:rsid w:val="39415A8A"/>
    <w:rsid w:val="3942200C"/>
    <w:rsid w:val="394D58E5"/>
    <w:rsid w:val="398656D3"/>
    <w:rsid w:val="39873EC3"/>
    <w:rsid w:val="399027B5"/>
    <w:rsid w:val="39933B19"/>
    <w:rsid w:val="39A33CED"/>
    <w:rsid w:val="39A44A75"/>
    <w:rsid w:val="39B34CB8"/>
    <w:rsid w:val="39B63F14"/>
    <w:rsid w:val="39BB11C0"/>
    <w:rsid w:val="39CC2A82"/>
    <w:rsid w:val="39E55B1B"/>
    <w:rsid w:val="39E66E3B"/>
    <w:rsid w:val="39ED5AEC"/>
    <w:rsid w:val="39F25C1A"/>
    <w:rsid w:val="39F33306"/>
    <w:rsid w:val="39FC665F"/>
    <w:rsid w:val="39FD5585"/>
    <w:rsid w:val="3A0D241C"/>
    <w:rsid w:val="3A1A5808"/>
    <w:rsid w:val="3A2B463D"/>
    <w:rsid w:val="3A386A14"/>
    <w:rsid w:val="3A3C0A2C"/>
    <w:rsid w:val="3A453174"/>
    <w:rsid w:val="3A5133D0"/>
    <w:rsid w:val="3A52381C"/>
    <w:rsid w:val="3A58654F"/>
    <w:rsid w:val="3A687E26"/>
    <w:rsid w:val="3A7C1BE1"/>
    <w:rsid w:val="3A804B9A"/>
    <w:rsid w:val="3A830B2E"/>
    <w:rsid w:val="3A8322BE"/>
    <w:rsid w:val="3A8521B0"/>
    <w:rsid w:val="3A9F68CE"/>
    <w:rsid w:val="3ABD57F2"/>
    <w:rsid w:val="3AC16F61"/>
    <w:rsid w:val="3AC7029B"/>
    <w:rsid w:val="3AC7728A"/>
    <w:rsid w:val="3ACB380C"/>
    <w:rsid w:val="3AE64634"/>
    <w:rsid w:val="3AE80991"/>
    <w:rsid w:val="3AF6205F"/>
    <w:rsid w:val="3B050D2B"/>
    <w:rsid w:val="3B117EE8"/>
    <w:rsid w:val="3B1D2FE9"/>
    <w:rsid w:val="3B1F566C"/>
    <w:rsid w:val="3B265D2B"/>
    <w:rsid w:val="3B343BD6"/>
    <w:rsid w:val="3B384250"/>
    <w:rsid w:val="3B420F75"/>
    <w:rsid w:val="3B497D60"/>
    <w:rsid w:val="3B4D0406"/>
    <w:rsid w:val="3B4E2EEA"/>
    <w:rsid w:val="3B4F3729"/>
    <w:rsid w:val="3B5C1C29"/>
    <w:rsid w:val="3B716F78"/>
    <w:rsid w:val="3B8725C8"/>
    <w:rsid w:val="3B9119EE"/>
    <w:rsid w:val="3BB54638"/>
    <w:rsid w:val="3BBD376F"/>
    <w:rsid w:val="3BD50879"/>
    <w:rsid w:val="3BD62991"/>
    <w:rsid w:val="3BD95935"/>
    <w:rsid w:val="3BE55FE8"/>
    <w:rsid w:val="3BF34A5A"/>
    <w:rsid w:val="3BFD046C"/>
    <w:rsid w:val="3BFE376A"/>
    <w:rsid w:val="3C0812EB"/>
    <w:rsid w:val="3C264489"/>
    <w:rsid w:val="3C2A50F0"/>
    <w:rsid w:val="3C2B11E4"/>
    <w:rsid w:val="3C40286C"/>
    <w:rsid w:val="3C4373C4"/>
    <w:rsid w:val="3C6329C5"/>
    <w:rsid w:val="3C7050E2"/>
    <w:rsid w:val="3C720E5A"/>
    <w:rsid w:val="3C9508B9"/>
    <w:rsid w:val="3CAD3C40"/>
    <w:rsid w:val="3CB3794A"/>
    <w:rsid w:val="3CBE1861"/>
    <w:rsid w:val="3CD06F1D"/>
    <w:rsid w:val="3CD9405C"/>
    <w:rsid w:val="3CDB019A"/>
    <w:rsid w:val="3CDF7E51"/>
    <w:rsid w:val="3CE82ECA"/>
    <w:rsid w:val="3CE83CA8"/>
    <w:rsid w:val="3CF672F5"/>
    <w:rsid w:val="3D11065F"/>
    <w:rsid w:val="3D32517E"/>
    <w:rsid w:val="3D364DBF"/>
    <w:rsid w:val="3D43120E"/>
    <w:rsid w:val="3D43157A"/>
    <w:rsid w:val="3D5B4B1B"/>
    <w:rsid w:val="3D7778E1"/>
    <w:rsid w:val="3D7D0CF0"/>
    <w:rsid w:val="3DB17760"/>
    <w:rsid w:val="3DD64A42"/>
    <w:rsid w:val="3DE91F16"/>
    <w:rsid w:val="3DE9514C"/>
    <w:rsid w:val="3DFB5A2F"/>
    <w:rsid w:val="3DFF7691"/>
    <w:rsid w:val="3E0E5257"/>
    <w:rsid w:val="3E21293C"/>
    <w:rsid w:val="3E414576"/>
    <w:rsid w:val="3E5B0DA3"/>
    <w:rsid w:val="3E6A644A"/>
    <w:rsid w:val="3E704F26"/>
    <w:rsid w:val="3E711D4C"/>
    <w:rsid w:val="3E720C9E"/>
    <w:rsid w:val="3E7A3FF6"/>
    <w:rsid w:val="3E7F552E"/>
    <w:rsid w:val="3E861F2A"/>
    <w:rsid w:val="3E865C72"/>
    <w:rsid w:val="3E920965"/>
    <w:rsid w:val="3E92378D"/>
    <w:rsid w:val="3E9C5D1B"/>
    <w:rsid w:val="3EBC63BD"/>
    <w:rsid w:val="3EC57D85"/>
    <w:rsid w:val="3ED41958"/>
    <w:rsid w:val="3ED81093"/>
    <w:rsid w:val="3EED2A1A"/>
    <w:rsid w:val="3EF76DEB"/>
    <w:rsid w:val="3F147322"/>
    <w:rsid w:val="3F185CE9"/>
    <w:rsid w:val="3F1B7BDA"/>
    <w:rsid w:val="3F3E3276"/>
    <w:rsid w:val="3F47212A"/>
    <w:rsid w:val="3F4F53D8"/>
    <w:rsid w:val="3F4F7231"/>
    <w:rsid w:val="3F6C7DE3"/>
    <w:rsid w:val="3F7561FB"/>
    <w:rsid w:val="3F7647BE"/>
    <w:rsid w:val="3F7930E1"/>
    <w:rsid w:val="3F7B12CB"/>
    <w:rsid w:val="3F8175A9"/>
    <w:rsid w:val="3F9110FB"/>
    <w:rsid w:val="3F970AC9"/>
    <w:rsid w:val="3F983970"/>
    <w:rsid w:val="3FA04C1F"/>
    <w:rsid w:val="3FA05CDE"/>
    <w:rsid w:val="3FAB3EF2"/>
    <w:rsid w:val="3FB64F82"/>
    <w:rsid w:val="3FB74B79"/>
    <w:rsid w:val="3FB857E0"/>
    <w:rsid w:val="3FB97FE1"/>
    <w:rsid w:val="3FC02BDF"/>
    <w:rsid w:val="3FC62C11"/>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31573F"/>
    <w:rsid w:val="403645F3"/>
    <w:rsid w:val="40491F46"/>
    <w:rsid w:val="40651646"/>
    <w:rsid w:val="40750522"/>
    <w:rsid w:val="408847A8"/>
    <w:rsid w:val="40A86353"/>
    <w:rsid w:val="40B41A41"/>
    <w:rsid w:val="40CC47B9"/>
    <w:rsid w:val="40E41DEF"/>
    <w:rsid w:val="40F17FA1"/>
    <w:rsid w:val="40F2485A"/>
    <w:rsid w:val="40F410CA"/>
    <w:rsid w:val="40FC47E1"/>
    <w:rsid w:val="411C4B49"/>
    <w:rsid w:val="41345493"/>
    <w:rsid w:val="4138297C"/>
    <w:rsid w:val="41557FD3"/>
    <w:rsid w:val="41610010"/>
    <w:rsid w:val="417B430D"/>
    <w:rsid w:val="4188317F"/>
    <w:rsid w:val="41924FB9"/>
    <w:rsid w:val="41B34DF1"/>
    <w:rsid w:val="41B62002"/>
    <w:rsid w:val="41BB0480"/>
    <w:rsid w:val="41BF708C"/>
    <w:rsid w:val="41D91E7D"/>
    <w:rsid w:val="42041BE8"/>
    <w:rsid w:val="42097713"/>
    <w:rsid w:val="420D42E6"/>
    <w:rsid w:val="42132798"/>
    <w:rsid w:val="42186FAF"/>
    <w:rsid w:val="421A58D4"/>
    <w:rsid w:val="4226071D"/>
    <w:rsid w:val="423000FD"/>
    <w:rsid w:val="42436B6D"/>
    <w:rsid w:val="424C6F4F"/>
    <w:rsid w:val="424D5765"/>
    <w:rsid w:val="42507548"/>
    <w:rsid w:val="42552980"/>
    <w:rsid w:val="42635B8E"/>
    <w:rsid w:val="4269685C"/>
    <w:rsid w:val="426D00FA"/>
    <w:rsid w:val="427D17F0"/>
    <w:rsid w:val="427E41C7"/>
    <w:rsid w:val="427E7BC1"/>
    <w:rsid w:val="42804160"/>
    <w:rsid w:val="428E5B12"/>
    <w:rsid w:val="42BB2A5D"/>
    <w:rsid w:val="42CB6444"/>
    <w:rsid w:val="42F27836"/>
    <w:rsid w:val="430A6E5A"/>
    <w:rsid w:val="43122A4F"/>
    <w:rsid w:val="43133B07"/>
    <w:rsid w:val="431C1B20"/>
    <w:rsid w:val="4323476C"/>
    <w:rsid w:val="4323717C"/>
    <w:rsid w:val="4330416F"/>
    <w:rsid w:val="433E2AAC"/>
    <w:rsid w:val="434F7A62"/>
    <w:rsid w:val="43670FED"/>
    <w:rsid w:val="436752A6"/>
    <w:rsid w:val="43690EAC"/>
    <w:rsid w:val="436E61ED"/>
    <w:rsid w:val="43784FA8"/>
    <w:rsid w:val="43804E58"/>
    <w:rsid w:val="43843FDD"/>
    <w:rsid w:val="439253D7"/>
    <w:rsid w:val="439F0E69"/>
    <w:rsid w:val="43B43B06"/>
    <w:rsid w:val="43D7406A"/>
    <w:rsid w:val="43D877F5"/>
    <w:rsid w:val="43DC5799"/>
    <w:rsid w:val="43EA1140"/>
    <w:rsid w:val="43EB3248"/>
    <w:rsid w:val="43F42B17"/>
    <w:rsid w:val="441A3D23"/>
    <w:rsid w:val="441E1F6C"/>
    <w:rsid w:val="44226CC2"/>
    <w:rsid w:val="44284DFE"/>
    <w:rsid w:val="443B29FC"/>
    <w:rsid w:val="443B4DCB"/>
    <w:rsid w:val="443D5D23"/>
    <w:rsid w:val="44444E8A"/>
    <w:rsid w:val="4464327A"/>
    <w:rsid w:val="446A3FBF"/>
    <w:rsid w:val="44953938"/>
    <w:rsid w:val="44A96D12"/>
    <w:rsid w:val="44CA076D"/>
    <w:rsid w:val="44CC2B81"/>
    <w:rsid w:val="44D83825"/>
    <w:rsid w:val="44D8473A"/>
    <w:rsid w:val="44E37827"/>
    <w:rsid w:val="44E4666D"/>
    <w:rsid w:val="44E701A5"/>
    <w:rsid w:val="44E87F0C"/>
    <w:rsid w:val="45080D22"/>
    <w:rsid w:val="450E74EC"/>
    <w:rsid w:val="450F36EA"/>
    <w:rsid w:val="451340A4"/>
    <w:rsid w:val="45265484"/>
    <w:rsid w:val="452B429C"/>
    <w:rsid w:val="452D74E0"/>
    <w:rsid w:val="45396AC7"/>
    <w:rsid w:val="4550115B"/>
    <w:rsid w:val="457C4123"/>
    <w:rsid w:val="45855844"/>
    <w:rsid w:val="458B69F6"/>
    <w:rsid w:val="458D5460"/>
    <w:rsid w:val="45905EAD"/>
    <w:rsid w:val="45A647C9"/>
    <w:rsid w:val="45C73FC5"/>
    <w:rsid w:val="45C943D0"/>
    <w:rsid w:val="45DA6D30"/>
    <w:rsid w:val="45DE14B8"/>
    <w:rsid w:val="45E36925"/>
    <w:rsid w:val="461832BD"/>
    <w:rsid w:val="461E71F2"/>
    <w:rsid w:val="4626526C"/>
    <w:rsid w:val="463842DE"/>
    <w:rsid w:val="46386E53"/>
    <w:rsid w:val="4639036D"/>
    <w:rsid w:val="463A05A5"/>
    <w:rsid w:val="463A5557"/>
    <w:rsid w:val="46460291"/>
    <w:rsid w:val="464A0A81"/>
    <w:rsid w:val="46625A9D"/>
    <w:rsid w:val="4666004F"/>
    <w:rsid w:val="46707BA3"/>
    <w:rsid w:val="468F6164"/>
    <w:rsid w:val="469506DA"/>
    <w:rsid w:val="469B1818"/>
    <w:rsid w:val="46A9385A"/>
    <w:rsid w:val="46AE0CE1"/>
    <w:rsid w:val="46CA4E0D"/>
    <w:rsid w:val="46E2098A"/>
    <w:rsid w:val="47037361"/>
    <w:rsid w:val="470B23CA"/>
    <w:rsid w:val="471A1ED2"/>
    <w:rsid w:val="47227A3A"/>
    <w:rsid w:val="47260E83"/>
    <w:rsid w:val="472762D3"/>
    <w:rsid w:val="472D4D19"/>
    <w:rsid w:val="47454177"/>
    <w:rsid w:val="474B6530"/>
    <w:rsid w:val="474F15D8"/>
    <w:rsid w:val="475278BE"/>
    <w:rsid w:val="4754049B"/>
    <w:rsid w:val="47595FA4"/>
    <w:rsid w:val="475E7C0D"/>
    <w:rsid w:val="476415D8"/>
    <w:rsid w:val="47701558"/>
    <w:rsid w:val="477426A5"/>
    <w:rsid w:val="47857C94"/>
    <w:rsid w:val="47873BD6"/>
    <w:rsid w:val="47B2336A"/>
    <w:rsid w:val="47BA4F6E"/>
    <w:rsid w:val="47D51BDC"/>
    <w:rsid w:val="47D7366E"/>
    <w:rsid w:val="47E12DA0"/>
    <w:rsid w:val="47EB386F"/>
    <w:rsid w:val="47F347CD"/>
    <w:rsid w:val="48057437"/>
    <w:rsid w:val="480E5EDB"/>
    <w:rsid w:val="481B23A6"/>
    <w:rsid w:val="482A083B"/>
    <w:rsid w:val="486C3D94"/>
    <w:rsid w:val="48900E0E"/>
    <w:rsid w:val="48A226AD"/>
    <w:rsid w:val="48B2699F"/>
    <w:rsid w:val="48B3438D"/>
    <w:rsid w:val="48B64853"/>
    <w:rsid w:val="48B67D8D"/>
    <w:rsid w:val="48BD345D"/>
    <w:rsid w:val="48C260C0"/>
    <w:rsid w:val="48C7608A"/>
    <w:rsid w:val="48FA020D"/>
    <w:rsid w:val="4902628A"/>
    <w:rsid w:val="490B2882"/>
    <w:rsid w:val="492412C0"/>
    <w:rsid w:val="493A38BD"/>
    <w:rsid w:val="49454B79"/>
    <w:rsid w:val="494E7D53"/>
    <w:rsid w:val="495A62DA"/>
    <w:rsid w:val="495E69EE"/>
    <w:rsid w:val="496D4E83"/>
    <w:rsid w:val="49804BB7"/>
    <w:rsid w:val="4988006D"/>
    <w:rsid w:val="499646A6"/>
    <w:rsid w:val="499F4D25"/>
    <w:rsid w:val="49A27FA8"/>
    <w:rsid w:val="49B26E0D"/>
    <w:rsid w:val="49BB06FB"/>
    <w:rsid w:val="49BC2A68"/>
    <w:rsid w:val="49DC1BF0"/>
    <w:rsid w:val="49F04BCB"/>
    <w:rsid w:val="49F11559"/>
    <w:rsid w:val="49FD451C"/>
    <w:rsid w:val="4A1452FF"/>
    <w:rsid w:val="4A152F65"/>
    <w:rsid w:val="4A3E0914"/>
    <w:rsid w:val="4A3F1207"/>
    <w:rsid w:val="4A470F8E"/>
    <w:rsid w:val="4A4A158E"/>
    <w:rsid w:val="4A4B1595"/>
    <w:rsid w:val="4A57472F"/>
    <w:rsid w:val="4A715E3D"/>
    <w:rsid w:val="4A835FE1"/>
    <w:rsid w:val="4AB72982"/>
    <w:rsid w:val="4AD056CA"/>
    <w:rsid w:val="4AEC002A"/>
    <w:rsid w:val="4AF40C8C"/>
    <w:rsid w:val="4B1B2082"/>
    <w:rsid w:val="4B1F3F5B"/>
    <w:rsid w:val="4B34383E"/>
    <w:rsid w:val="4B497EFB"/>
    <w:rsid w:val="4B635F8B"/>
    <w:rsid w:val="4B65032C"/>
    <w:rsid w:val="4B712A43"/>
    <w:rsid w:val="4B75001F"/>
    <w:rsid w:val="4B82202B"/>
    <w:rsid w:val="4B920BD1"/>
    <w:rsid w:val="4B942E31"/>
    <w:rsid w:val="4BBA1ED6"/>
    <w:rsid w:val="4BBE1692"/>
    <w:rsid w:val="4BCA0C2B"/>
    <w:rsid w:val="4BD65A7B"/>
    <w:rsid w:val="4BD765E4"/>
    <w:rsid w:val="4BEA4569"/>
    <w:rsid w:val="4BEB0A1B"/>
    <w:rsid w:val="4BFC604B"/>
    <w:rsid w:val="4C0B49E3"/>
    <w:rsid w:val="4C180EC0"/>
    <w:rsid w:val="4C333DA3"/>
    <w:rsid w:val="4C696745"/>
    <w:rsid w:val="4C6D18EF"/>
    <w:rsid w:val="4C737423"/>
    <w:rsid w:val="4C885B30"/>
    <w:rsid w:val="4C955322"/>
    <w:rsid w:val="4C987A51"/>
    <w:rsid w:val="4C993ABE"/>
    <w:rsid w:val="4CAA2DCE"/>
    <w:rsid w:val="4CB46925"/>
    <w:rsid w:val="4CB96EE9"/>
    <w:rsid w:val="4CD66C96"/>
    <w:rsid w:val="4CDC5A3B"/>
    <w:rsid w:val="4CDF0E5D"/>
    <w:rsid w:val="4CE376D5"/>
    <w:rsid w:val="4D0D3FCB"/>
    <w:rsid w:val="4D12010F"/>
    <w:rsid w:val="4D20220D"/>
    <w:rsid w:val="4D280486"/>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C65A69"/>
    <w:rsid w:val="4DE44FE8"/>
    <w:rsid w:val="4DEF11A1"/>
    <w:rsid w:val="4DF4626D"/>
    <w:rsid w:val="4DFC20A2"/>
    <w:rsid w:val="4DFC2C44"/>
    <w:rsid w:val="4DFF1B97"/>
    <w:rsid w:val="4E020B1B"/>
    <w:rsid w:val="4E043535"/>
    <w:rsid w:val="4E13324D"/>
    <w:rsid w:val="4E1362FB"/>
    <w:rsid w:val="4E25360E"/>
    <w:rsid w:val="4E2719FC"/>
    <w:rsid w:val="4E5E12F1"/>
    <w:rsid w:val="4E62045F"/>
    <w:rsid w:val="4E783F31"/>
    <w:rsid w:val="4E870795"/>
    <w:rsid w:val="4E8F5CE6"/>
    <w:rsid w:val="4EAC689C"/>
    <w:rsid w:val="4EB25AA5"/>
    <w:rsid w:val="4EC70B92"/>
    <w:rsid w:val="4ECC61A8"/>
    <w:rsid w:val="4ED96B17"/>
    <w:rsid w:val="4EDD2691"/>
    <w:rsid w:val="4EDE5EDB"/>
    <w:rsid w:val="4EE96D5A"/>
    <w:rsid w:val="4EEC05F8"/>
    <w:rsid w:val="4EF911E3"/>
    <w:rsid w:val="4EF94046"/>
    <w:rsid w:val="4F0048E8"/>
    <w:rsid w:val="4F0C760F"/>
    <w:rsid w:val="4F15188C"/>
    <w:rsid w:val="4F1B712F"/>
    <w:rsid w:val="4F255836"/>
    <w:rsid w:val="4F29165C"/>
    <w:rsid w:val="4F3F24FD"/>
    <w:rsid w:val="4F4F67C3"/>
    <w:rsid w:val="4F512B51"/>
    <w:rsid w:val="4F580453"/>
    <w:rsid w:val="4F647CAE"/>
    <w:rsid w:val="4F7A20A8"/>
    <w:rsid w:val="4F7F4759"/>
    <w:rsid w:val="4F8A3560"/>
    <w:rsid w:val="4F8A6E9D"/>
    <w:rsid w:val="4FA00EA1"/>
    <w:rsid w:val="4FA7410F"/>
    <w:rsid w:val="4FB10DBD"/>
    <w:rsid w:val="4FD02150"/>
    <w:rsid w:val="4FD47514"/>
    <w:rsid w:val="4FDC31A9"/>
    <w:rsid w:val="4FE15CB0"/>
    <w:rsid w:val="4FF525AA"/>
    <w:rsid w:val="4FF63DCE"/>
    <w:rsid w:val="4FF85503"/>
    <w:rsid w:val="500A5543"/>
    <w:rsid w:val="501516A2"/>
    <w:rsid w:val="501D01A2"/>
    <w:rsid w:val="501D19C7"/>
    <w:rsid w:val="502344EE"/>
    <w:rsid w:val="50372FFC"/>
    <w:rsid w:val="50381A05"/>
    <w:rsid w:val="504305E6"/>
    <w:rsid w:val="504C6018"/>
    <w:rsid w:val="50500C93"/>
    <w:rsid w:val="505C17AE"/>
    <w:rsid w:val="506E1264"/>
    <w:rsid w:val="507408A5"/>
    <w:rsid w:val="50812D7E"/>
    <w:rsid w:val="508B7406"/>
    <w:rsid w:val="509F73B0"/>
    <w:rsid w:val="50B26A6B"/>
    <w:rsid w:val="50B4221A"/>
    <w:rsid w:val="50C20F4E"/>
    <w:rsid w:val="50D40C4B"/>
    <w:rsid w:val="50D77086"/>
    <w:rsid w:val="50E46F54"/>
    <w:rsid w:val="50FF7A17"/>
    <w:rsid w:val="5100482F"/>
    <w:rsid w:val="5144267E"/>
    <w:rsid w:val="514D07CA"/>
    <w:rsid w:val="51604849"/>
    <w:rsid w:val="516E79EA"/>
    <w:rsid w:val="51747844"/>
    <w:rsid w:val="51777F08"/>
    <w:rsid w:val="517F7AC8"/>
    <w:rsid w:val="518F170F"/>
    <w:rsid w:val="51912DDA"/>
    <w:rsid w:val="51915487"/>
    <w:rsid w:val="519354F5"/>
    <w:rsid w:val="51AB47E1"/>
    <w:rsid w:val="51B047FE"/>
    <w:rsid w:val="51B204B9"/>
    <w:rsid w:val="51B56296"/>
    <w:rsid w:val="51C72834"/>
    <w:rsid w:val="51D11D27"/>
    <w:rsid w:val="51E23791"/>
    <w:rsid w:val="51E74EF3"/>
    <w:rsid w:val="520008D8"/>
    <w:rsid w:val="520C2961"/>
    <w:rsid w:val="5216600B"/>
    <w:rsid w:val="5223678D"/>
    <w:rsid w:val="522657D8"/>
    <w:rsid w:val="522F500B"/>
    <w:rsid w:val="523852D6"/>
    <w:rsid w:val="523E768F"/>
    <w:rsid w:val="5242577E"/>
    <w:rsid w:val="52592449"/>
    <w:rsid w:val="526D7CA2"/>
    <w:rsid w:val="527076ED"/>
    <w:rsid w:val="52727066"/>
    <w:rsid w:val="52783884"/>
    <w:rsid w:val="52860D64"/>
    <w:rsid w:val="529038D5"/>
    <w:rsid w:val="5292552E"/>
    <w:rsid w:val="52AC28BC"/>
    <w:rsid w:val="52B05067"/>
    <w:rsid w:val="52CC23E6"/>
    <w:rsid w:val="52D7787C"/>
    <w:rsid w:val="52E07238"/>
    <w:rsid w:val="52EA11D5"/>
    <w:rsid w:val="52FB52AE"/>
    <w:rsid w:val="52FC40BD"/>
    <w:rsid w:val="53010E60"/>
    <w:rsid w:val="530254EA"/>
    <w:rsid w:val="531D3476"/>
    <w:rsid w:val="53210238"/>
    <w:rsid w:val="532366DF"/>
    <w:rsid w:val="5329120F"/>
    <w:rsid w:val="53355CDF"/>
    <w:rsid w:val="534575E0"/>
    <w:rsid w:val="534A7FE3"/>
    <w:rsid w:val="536F68C7"/>
    <w:rsid w:val="53804755"/>
    <w:rsid w:val="5382736B"/>
    <w:rsid w:val="53901867"/>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125F57"/>
    <w:rsid w:val="54187343"/>
    <w:rsid w:val="541C31AF"/>
    <w:rsid w:val="5420466B"/>
    <w:rsid w:val="542F4AAF"/>
    <w:rsid w:val="5433414C"/>
    <w:rsid w:val="54442C85"/>
    <w:rsid w:val="54465F20"/>
    <w:rsid w:val="545D4199"/>
    <w:rsid w:val="54831B18"/>
    <w:rsid w:val="549502FD"/>
    <w:rsid w:val="549B1310"/>
    <w:rsid w:val="549C03CB"/>
    <w:rsid w:val="54A6749B"/>
    <w:rsid w:val="54AB09A6"/>
    <w:rsid w:val="54AF20D4"/>
    <w:rsid w:val="54B72A99"/>
    <w:rsid w:val="54BC49A0"/>
    <w:rsid w:val="54D51764"/>
    <w:rsid w:val="54E8205E"/>
    <w:rsid w:val="54FE1085"/>
    <w:rsid w:val="55022976"/>
    <w:rsid w:val="55067F3A"/>
    <w:rsid w:val="551408A9"/>
    <w:rsid w:val="55180399"/>
    <w:rsid w:val="551C096F"/>
    <w:rsid w:val="55240097"/>
    <w:rsid w:val="55280F4B"/>
    <w:rsid w:val="55282615"/>
    <w:rsid w:val="552C3D46"/>
    <w:rsid w:val="55483D0E"/>
    <w:rsid w:val="554D13EE"/>
    <w:rsid w:val="55546EF7"/>
    <w:rsid w:val="557936E5"/>
    <w:rsid w:val="557945E4"/>
    <w:rsid w:val="557B26D6"/>
    <w:rsid w:val="559341A6"/>
    <w:rsid w:val="55BD2CEE"/>
    <w:rsid w:val="55C57ADE"/>
    <w:rsid w:val="55CC1183"/>
    <w:rsid w:val="55CD2CA6"/>
    <w:rsid w:val="55CE22F2"/>
    <w:rsid w:val="561072C2"/>
    <w:rsid w:val="56160365"/>
    <w:rsid w:val="561717F3"/>
    <w:rsid w:val="5624351D"/>
    <w:rsid w:val="565047BF"/>
    <w:rsid w:val="56552F27"/>
    <w:rsid w:val="566E6821"/>
    <w:rsid w:val="569325EA"/>
    <w:rsid w:val="569577C7"/>
    <w:rsid w:val="569C4DDB"/>
    <w:rsid w:val="56B5345C"/>
    <w:rsid w:val="56DD747D"/>
    <w:rsid w:val="56EE039D"/>
    <w:rsid w:val="56F16387"/>
    <w:rsid w:val="56F96728"/>
    <w:rsid w:val="570861EB"/>
    <w:rsid w:val="571F273F"/>
    <w:rsid w:val="57203535"/>
    <w:rsid w:val="572F7A73"/>
    <w:rsid w:val="574D3BFE"/>
    <w:rsid w:val="57511940"/>
    <w:rsid w:val="575B5634"/>
    <w:rsid w:val="575D7EC0"/>
    <w:rsid w:val="576138FC"/>
    <w:rsid w:val="57672F12"/>
    <w:rsid w:val="578736CD"/>
    <w:rsid w:val="578739BB"/>
    <w:rsid w:val="57893C0F"/>
    <w:rsid w:val="578A4E52"/>
    <w:rsid w:val="5798256F"/>
    <w:rsid w:val="579840C7"/>
    <w:rsid w:val="57C2221D"/>
    <w:rsid w:val="57C85CE0"/>
    <w:rsid w:val="57CC4F2E"/>
    <w:rsid w:val="57D83E10"/>
    <w:rsid w:val="57E1536E"/>
    <w:rsid w:val="57FD673B"/>
    <w:rsid w:val="581375D9"/>
    <w:rsid w:val="583A7FA8"/>
    <w:rsid w:val="583E35C6"/>
    <w:rsid w:val="584E40D2"/>
    <w:rsid w:val="58544955"/>
    <w:rsid w:val="58566AE7"/>
    <w:rsid w:val="585962B5"/>
    <w:rsid w:val="585C4D9F"/>
    <w:rsid w:val="585F5B75"/>
    <w:rsid w:val="587A4269"/>
    <w:rsid w:val="58825B29"/>
    <w:rsid w:val="589A5A5F"/>
    <w:rsid w:val="58A3441E"/>
    <w:rsid w:val="58B303D9"/>
    <w:rsid w:val="58B94375"/>
    <w:rsid w:val="58BA4A70"/>
    <w:rsid w:val="58C17CFE"/>
    <w:rsid w:val="58D95E36"/>
    <w:rsid w:val="59017396"/>
    <w:rsid w:val="5902444F"/>
    <w:rsid w:val="591B5CBF"/>
    <w:rsid w:val="5927514C"/>
    <w:rsid w:val="592858A0"/>
    <w:rsid w:val="592941F7"/>
    <w:rsid w:val="59394528"/>
    <w:rsid w:val="594F610B"/>
    <w:rsid w:val="59600EE5"/>
    <w:rsid w:val="59634BDC"/>
    <w:rsid w:val="59690770"/>
    <w:rsid w:val="598D69D9"/>
    <w:rsid w:val="599228E0"/>
    <w:rsid w:val="59941B20"/>
    <w:rsid w:val="599A4004"/>
    <w:rsid w:val="599B086D"/>
    <w:rsid w:val="59A2180E"/>
    <w:rsid w:val="59B927ED"/>
    <w:rsid w:val="59BB12F3"/>
    <w:rsid w:val="59BF5C8E"/>
    <w:rsid w:val="59C75EEA"/>
    <w:rsid w:val="59D44CEE"/>
    <w:rsid w:val="59D97EC2"/>
    <w:rsid w:val="59E27409"/>
    <w:rsid w:val="59E52BA1"/>
    <w:rsid w:val="59ED36DC"/>
    <w:rsid w:val="59FC781F"/>
    <w:rsid w:val="59FE7432"/>
    <w:rsid w:val="5A026F22"/>
    <w:rsid w:val="5A221372"/>
    <w:rsid w:val="5A296BA4"/>
    <w:rsid w:val="5A3526A3"/>
    <w:rsid w:val="5A412E86"/>
    <w:rsid w:val="5A4E41C1"/>
    <w:rsid w:val="5A6210CC"/>
    <w:rsid w:val="5A621727"/>
    <w:rsid w:val="5A7348C9"/>
    <w:rsid w:val="5A7521D8"/>
    <w:rsid w:val="5A7E7218"/>
    <w:rsid w:val="5A9725BE"/>
    <w:rsid w:val="5AC34ADF"/>
    <w:rsid w:val="5AC76508"/>
    <w:rsid w:val="5AD45AFB"/>
    <w:rsid w:val="5AFC1624"/>
    <w:rsid w:val="5B0373F5"/>
    <w:rsid w:val="5B095493"/>
    <w:rsid w:val="5B115BA8"/>
    <w:rsid w:val="5B235AE9"/>
    <w:rsid w:val="5B246A53"/>
    <w:rsid w:val="5B370E4D"/>
    <w:rsid w:val="5B416E74"/>
    <w:rsid w:val="5B437EA2"/>
    <w:rsid w:val="5B527A35"/>
    <w:rsid w:val="5B534ED1"/>
    <w:rsid w:val="5B814D34"/>
    <w:rsid w:val="5B8859A0"/>
    <w:rsid w:val="5B9F7743"/>
    <w:rsid w:val="5BB522B5"/>
    <w:rsid w:val="5BB94B97"/>
    <w:rsid w:val="5BBA4618"/>
    <w:rsid w:val="5BD448EE"/>
    <w:rsid w:val="5BE32D83"/>
    <w:rsid w:val="5BF84DDB"/>
    <w:rsid w:val="5C0C22DA"/>
    <w:rsid w:val="5C0F3B78"/>
    <w:rsid w:val="5C111338"/>
    <w:rsid w:val="5C3A6E47"/>
    <w:rsid w:val="5C691941"/>
    <w:rsid w:val="5C7165E1"/>
    <w:rsid w:val="5C7919DF"/>
    <w:rsid w:val="5C7A1FAE"/>
    <w:rsid w:val="5C885591"/>
    <w:rsid w:val="5C8C4ACF"/>
    <w:rsid w:val="5CAF2C65"/>
    <w:rsid w:val="5CB35D47"/>
    <w:rsid w:val="5CC85C68"/>
    <w:rsid w:val="5CD050B5"/>
    <w:rsid w:val="5CEC3A93"/>
    <w:rsid w:val="5CEF405D"/>
    <w:rsid w:val="5CFE5040"/>
    <w:rsid w:val="5CFF599B"/>
    <w:rsid w:val="5D1341B2"/>
    <w:rsid w:val="5D251093"/>
    <w:rsid w:val="5D287B54"/>
    <w:rsid w:val="5D3047D1"/>
    <w:rsid w:val="5D4723BF"/>
    <w:rsid w:val="5D494018"/>
    <w:rsid w:val="5D541610"/>
    <w:rsid w:val="5D6B14A2"/>
    <w:rsid w:val="5D6F7055"/>
    <w:rsid w:val="5D777911"/>
    <w:rsid w:val="5D9B0E6A"/>
    <w:rsid w:val="5D9E1AED"/>
    <w:rsid w:val="5D9E4E16"/>
    <w:rsid w:val="5D9F097F"/>
    <w:rsid w:val="5DB03139"/>
    <w:rsid w:val="5DB83D3A"/>
    <w:rsid w:val="5DBA0135"/>
    <w:rsid w:val="5DCD5DE5"/>
    <w:rsid w:val="5DD437EF"/>
    <w:rsid w:val="5DF16302"/>
    <w:rsid w:val="5DF94AE0"/>
    <w:rsid w:val="5DFF4B46"/>
    <w:rsid w:val="5E27164D"/>
    <w:rsid w:val="5E3653EC"/>
    <w:rsid w:val="5E3B0A10"/>
    <w:rsid w:val="5E424B71"/>
    <w:rsid w:val="5E5B6A34"/>
    <w:rsid w:val="5E7128C8"/>
    <w:rsid w:val="5E881A80"/>
    <w:rsid w:val="5EA70098"/>
    <w:rsid w:val="5EB51AB3"/>
    <w:rsid w:val="5EC33621"/>
    <w:rsid w:val="5EC43A2E"/>
    <w:rsid w:val="5ED75BF1"/>
    <w:rsid w:val="5EF31C67"/>
    <w:rsid w:val="5EF4004E"/>
    <w:rsid w:val="5EF96ED2"/>
    <w:rsid w:val="5EFA106E"/>
    <w:rsid w:val="5EFF06CD"/>
    <w:rsid w:val="5EFF08E7"/>
    <w:rsid w:val="5F010576"/>
    <w:rsid w:val="5F0251FA"/>
    <w:rsid w:val="5F261904"/>
    <w:rsid w:val="5F3062DF"/>
    <w:rsid w:val="5F366419"/>
    <w:rsid w:val="5F4475AE"/>
    <w:rsid w:val="5F4A6799"/>
    <w:rsid w:val="5F520AB8"/>
    <w:rsid w:val="5F685A79"/>
    <w:rsid w:val="5F6C2424"/>
    <w:rsid w:val="5F784CF1"/>
    <w:rsid w:val="5F946A7C"/>
    <w:rsid w:val="5FBA79B0"/>
    <w:rsid w:val="5FBB029F"/>
    <w:rsid w:val="5FC61813"/>
    <w:rsid w:val="5FD57CF6"/>
    <w:rsid w:val="5FE80968"/>
    <w:rsid w:val="5FF50EAD"/>
    <w:rsid w:val="600676E3"/>
    <w:rsid w:val="60111CAB"/>
    <w:rsid w:val="601C5687"/>
    <w:rsid w:val="601D636B"/>
    <w:rsid w:val="602B7B91"/>
    <w:rsid w:val="602D6CC3"/>
    <w:rsid w:val="602F2C44"/>
    <w:rsid w:val="60391C4C"/>
    <w:rsid w:val="603B021E"/>
    <w:rsid w:val="604C38C0"/>
    <w:rsid w:val="60584683"/>
    <w:rsid w:val="605E3C41"/>
    <w:rsid w:val="60647840"/>
    <w:rsid w:val="606F768E"/>
    <w:rsid w:val="608D00E3"/>
    <w:rsid w:val="60992490"/>
    <w:rsid w:val="609E3C6B"/>
    <w:rsid w:val="60A1419A"/>
    <w:rsid w:val="60A43A47"/>
    <w:rsid w:val="60C33C2B"/>
    <w:rsid w:val="60E530CD"/>
    <w:rsid w:val="60E97ACC"/>
    <w:rsid w:val="61025A59"/>
    <w:rsid w:val="61160E7E"/>
    <w:rsid w:val="61251748"/>
    <w:rsid w:val="612B536C"/>
    <w:rsid w:val="61311E12"/>
    <w:rsid w:val="613A2575"/>
    <w:rsid w:val="613A51F3"/>
    <w:rsid w:val="614147D4"/>
    <w:rsid w:val="61637659"/>
    <w:rsid w:val="617C570B"/>
    <w:rsid w:val="61817FB0"/>
    <w:rsid w:val="61840B64"/>
    <w:rsid w:val="61853804"/>
    <w:rsid w:val="619B53CA"/>
    <w:rsid w:val="61A56DFA"/>
    <w:rsid w:val="61CB22EF"/>
    <w:rsid w:val="61DC654E"/>
    <w:rsid w:val="61DE11B3"/>
    <w:rsid w:val="61EB5F1D"/>
    <w:rsid w:val="61FC06FB"/>
    <w:rsid w:val="62117133"/>
    <w:rsid w:val="62167684"/>
    <w:rsid w:val="621B5631"/>
    <w:rsid w:val="621F3644"/>
    <w:rsid w:val="6230510D"/>
    <w:rsid w:val="626B762E"/>
    <w:rsid w:val="626D5F91"/>
    <w:rsid w:val="627E7D9D"/>
    <w:rsid w:val="628232F6"/>
    <w:rsid w:val="628407FE"/>
    <w:rsid w:val="62880405"/>
    <w:rsid w:val="629073C4"/>
    <w:rsid w:val="62996318"/>
    <w:rsid w:val="629C7308"/>
    <w:rsid w:val="62AA6D2C"/>
    <w:rsid w:val="62B0179B"/>
    <w:rsid w:val="62B9550B"/>
    <w:rsid w:val="62CC094F"/>
    <w:rsid w:val="62E95123"/>
    <w:rsid w:val="630334E9"/>
    <w:rsid w:val="6313173E"/>
    <w:rsid w:val="631B72A6"/>
    <w:rsid w:val="63242B23"/>
    <w:rsid w:val="635C73A1"/>
    <w:rsid w:val="63743838"/>
    <w:rsid w:val="637455EF"/>
    <w:rsid w:val="637509AF"/>
    <w:rsid w:val="63844E4C"/>
    <w:rsid w:val="638F4A5D"/>
    <w:rsid w:val="63A23228"/>
    <w:rsid w:val="63AB5D44"/>
    <w:rsid w:val="63AC705A"/>
    <w:rsid w:val="63B04CF8"/>
    <w:rsid w:val="63BA7188"/>
    <w:rsid w:val="63DF59C2"/>
    <w:rsid w:val="63E6136F"/>
    <w:rsid w:val="63EA625B"/>
    <w:rsid w:val="63F91396"/>
    <w:rsid w:val="63FC6F31"/>
    <w:rsid w:val="642E4F72"/>
    <w:rsid w:val="64392087"/>
    <w:rsid w:val="643C5726"/>
    <w:rsid w:val="64591E34"/>
    <w:rsid w:val="646469D4"/>
    <w:rsid w:val="647A419D"/>
    <w:rsid w:val="64813139"/>
    <w:rsid w:val="64846083"/>
    <w:rsid w:val="64851089"/>
    <w:rsid w:val="64983CC9"/>
    <w:rsid w:val="64A73F2B"/>
    <w:rsid w:val="64A82A93"/>
    <w:rsid w:val="64AB6F55"/>
    <w:rsid w:val="64AF414A"/>
    <w:rsid w:val="64B109D5"/>
    <w:rsid w:val="64CA0F84"/>
    <w:rsid w:val="64E43E7F"/>
    <w:rsid w:val="64EA5182"/>
    <w:rsid w:val="64F8151B"/>
    <w:rsid w:val="64FE5C71"/>
    <w:rsid w:val="65107E36"/>
    <w:rsid w:val="654E476E"/>
    <w:rsid w:val="65640A91"/>
    <w:rsid w:val="657B11CD"/>
    <w:rsid w:val="6582705D"/>
    <w:rsid w:val="658A6BCD"/>
    <w:rsid w:val="65942372"/>
    <w:rsid w:val="659D0782"/>
    <w:rsid w:val="659D7C90"/>
    <w:rsid w:val="65D04EEB"/>
    <w:rsid w:val="65D424B9"/>
    <w:rsid w:val="65D976D1"/>
    <w:rsid w:val="66001BA4"/>
    <w:rsid w:val="66025947"/>
    <w:rsid w:val="663C7469"/>
    <w:rsid w:val="6651279A"/>
    <w:rsid w:val="665F6454"/>
    <w:rsid w:val="66884C53"/>
    <w:rsid w:val="669064F3"/>
    <w:rsid w:val="669D39BC"/>
    <w:rsid w:val="66A62086"/>
    <w:rsid w:val="66B07D06"/>
    <w:rsid w:val="66B8269C"/>
    <w:rsid w:val="66DA6749"/>
    <w:rsid w:val="66E77BCB"/>
    <w:rsid w:val="66F94ADD"/>
    <w:rsid w:val="66FE6CC3"/>
    <w:rsid w:val="67191D4F"/>
    <w:rsid w:val="671D46C8"/>
    <w:rsid w:val="671F22A3"/>
    <w:rsid w:val="67266031"/>
    <w:rsid w:val="67291A35"/>
    <w:rsid w:val="673669FF"/>
    <w:rsid w:val="67393CB7"/>
    <w:rsid w:val="673C6439"/>
    <w:rsid w:val="674A015A"/>
    <w:rsid w:val="676A0B2B"/>
    <w:rsid w:val="676C3006"/>
    <w:rsid w:val="67827A7F"/>
    <w:rsid w:val="67851192"/>
    <w:rsid w:val="67A54CA2"/>
    <w:rsid w:val="67A65546"/>
    <w:rsid w:val="67A667D3"/>
    <w:rsid w:val="67A74C82"/>
    <w:rsid w:val="67A95111"/>
    <w:rsid w:val="67C365BF"/>
    <w:rsid w:val="67D4225B"/>
    <w:rsid w:val="67D8341E"/>
    <w:rsid w:val="67E46FF5"/>
    <w:rsid w:val="67ED6C16"/>
    <w:rsid w:val="680A6C82"/>
    <w:rsid w:val="680E607A"/>
    <w:rsid w:val="681B3FAD"/>
    <w:rsid w:val="681E0A45"/>
    <w:rsid w:val="6824034C"/>
    <w:rsid w:val="683706DE"/>
    <w:rsid w:val="683E3347"/>
    <w:rsid w:val="6841155D"/>
    <w:rsid w:val="68444BA9"/>
    <w:rsid w:val="684E469A"/>
    <w:rsid w:val="68501E11"/>
    <w:rsid w:val="685E57CE"/>
    <w:rsid w:val="685F4AA0"/>
    <w:rsid w:val="68623D3F"/>
    <w:rsid w:val="686C7E0A"/>
    <w:rsid w:val="687416FD"/>
    <w:rsid w:val="68757042"/>
    <w:rsid w:val="687D6111"/>
    <w:rsid w:val="68817BAC"/>
    <w:rsid w:val="6886166B"/>
    <w:rsid w:val="68954A3C"/>
    <w:rsid w:val="689B0DF8"/>
    <w:rsid w:val="68A87665"/>
    <w:rsid w:val="68B5096E"/>
    <w:rsid w:val="68B81BD2"/>
    <w:rsid w:val="68CC10BC"/>
    <w:rsid w:val="68D04C43"/>
    <w:rsid w:val="68D128E1"/>
    <w:rsid w:val="68EE1FD2"/>
    <w:rsid w:val="68F44B09"/>
    <w:rsid w:val="68FA1B9A"/>
    <w:rsid w:val="69197DE4"/>
    <w:rsid w:val="691E3D24"/>
    <w:rsid w:val="692D08A7"/>
    <w:rsid w:val="69307272"/>
    <w:rsid w:val="694E046E"/>
    <w:rsid w:val="69652D27"/>
    <w:rsid w:val="69782D5D"/>
    <w:rsid w:val="6981433F"/>
    <w:rsid w:val="69952A0C"/>
    <w:rsid w:val="699A1218"/>
    <w:rsid w:val="699B4BDB"/>
    <w:rsid w:val="69A51678"/>
    <w:rsid w:val="69BB329B"/>
    <w:rsid w:val="69BD4C61"/>
    <w:rsid w:val="69C77525"/>
    <w:rsid w:val="69FC56C6"/>
    <w:rsid w:val="69FD3B6F"/>
    <w:rsid w:val="6A0065EF"/>
    <w:rsid w:val="6A1119AC"/>
    <w:rsid w:val="6A112F7C"/>
    <w:rsid w:val="6A1F1C32"/>
    <w:rsid w:val="6A445335"/>
    <w:rsid w:val="6A486BD3"/>
    <w:rsid w:val="6A576E16"/>
    <w:rsid w:val="6A594E5C"/>
    <w:rsid w:val="6A6137B1"/>
    <w:rsid w:val="6A616283"/>
    <w:rsid w:val="6A641407"/>
    <w:rsid w:val="6A656882"/>
    <w:rsid w:val="6A7C4ACE"/>
    <w:rsid w:val="6A7F3555"/>
    <w:rsid w:val="6A841BD5"/>
    <w:rsid w:val="6A8B60FB"/>
    <w:rsid w:val="6A9674BF"/>
    <w:rsid w:val="6A9A37E0"/>
    <w:rsid w:val="6AA604CA"/>
    <w:rsid w:val="6AB04778"/>
    <w:rsid w:val="6AB67B97"/>
    <w:rsid w:val="6AC76CC7"/>
    <w:rsid w:val="6ACE3652"/>
    <w:rsid w:val="6ADB41F3"/>
    <w:rsid w:val="6ADD5CCB"/>
    <w:rsid w:val="6AFB4F4A"/>
    <w:rsid w:val="6B12444F"/>
    <w:rsid w:val="6B1B6095"/>
    <w:rsid w:val="6B2A12A7"/>
    <w:rsid w:val="6B4533C9"/>
    <w:rsid w:val="6B5C39DF"/>
    <w:rsid w:val="6B5E11EE"/>
    <w:rsid w:val="6B611EB1"/>
    <w:rsid w:val="6B621F16"/>
    <w:rsid w:val="6B961766"/>
    <w:rsid w:val="6BA37C5C"/>
    <w:rsid w:val="6BB6063D"/>
    <w:rsid w:val="6BBB5183"/>
    <w:rsid w:val="6BC8334A"/>
    <w:rsid w:val="6BD61A98"/>
    <w:rsid w:val="6BE272A9"/>
    <w:rsid w:val="6BF54B38"/>
    <w:rsid w:val="6BF77F96"/>
    <w:rsid w:val="6BFE19E1"/>
    <w:rsid w:val="6C050A47"/>
    <w:rsid w:val="6C0B1A74"/>
    <w:rsid w:val="6C16659B"/>
    <w:rsid w:val="6C27235B"/>
    <w:rsid w:val="6C3342D8"/>
    <w:rsid w:val="6C394A8B"/>
    <w:rsid w:val="6C420156"/>
    <w:rsid w:val="6C44161C"/>
    <w:rsid w:val="6C5142B7"/>
    <w:rsid w:val="6C5E4626"/>
    <w:rsid w:val="6C7457E7"/>
    <w:rsid w:val="6C783074"/>
    <w:rsid w:val="6C7D6E82"/>
    <w:rsid w:val="6C8311C3"/>
    <w:rsid w:val="6C8B0FF9"/>
    <w:rsid w:val="6C8C62B9"/>
    <w:rsid w:val="6CA5691E"/>
    <w:rsid w:val="6CDD3B27"/>
    <w:rsid w:val="6CFC1EEB"/>
    <w:rsid w:val="6CFD2D93"/>
    <w:rsid w:val="6D192AA9"/>
    <w:rsid w:val="6D1A237D"/>
    <w:rsid w:val="6D1B3C07"/>
    <w:rsid w:val="6D290842"/>
    <w:rsid w:val="6D305867"/>
    <w:rsid w:val="6D321190"/>
    <w:rsid w:val="6D372F2F"/>
    <w:rsid w:val="6D4742BE"/>
    <w:rsid w:val="6D4A0EB4"/>
    <w:rsid w:val="6D631F76"/>
    <w:rsid w:val="6D680792"/>
    <w:rsid w:val="6D8B2F05"/>
    <w:rsid w:val="6D917649"/>
    <w:rsid w:val="6D965EA7"/>
    <w:rsid w:val="6DAA54AF"/>
    <w:rsid w:val="6DAB0FE0"/>
    <w:rsid w:val="6DCF760B"/>
    <w:rsid w:val="6DEE7FF8"/>
    <w:rsid w:val="6DF40E20"/>
    <w:rsid w:val="6E0B6604"/>
    <w:rsid w:val="6E1E5CB1"/>
    <w:rsid w:val="6E244ACA"/>
    <w:rsid w:val="6E4771A1"/>
    <w:rsid w:val="6E494CC8"/>
    <w:rsid w:val="6E51496A"/>
    <w:rsid w:val="6E776E1A"/>
    <w:rsid w:val="6E8555D0"/>
    <w:rsid w:val="6E876629"/>
    <w:rsid w:val="6E893B3A"/>
    <w:rsid w:val="6E8E3022"/>
    <w:rsid w:val="6E906D9A"/>
    <w:rsid w:val="6EA13A4A"/>
    <w:rsid w:val="6EDA7020"/>
    <w:rsid w:val="6EDF1C43"/>
    <w:rsid w:val="6F08338C"/>
    <w:rsid w:val="6F122FD4"/>
    <w:rsid w:val="6F416D8D"/>
    <w:rsid w:val="6F492FDA"/>
    <w:rsid w:val="6F51694A"/>
    <w:rsid w:val="6F561A7D"/>
    <w:rsid w:val="6F6005AE"/>
    <w:rsid w:val="6F997ED1"/>
    <w:rsid w:val="6FA629B9"/>
    <w:rsid w:val="6FB41CDF"/>
    <w:rsid w:val="6FD70D7C"/>
    <w:rsid w:val="6FE52B7F"/>
    <w:rsid w:val="6FEE1FCA"/>
    <w:rsid w:val="70001CFE"/>
    <w:rsid w:val="70047746"/>
    <w:rsid w:val="70096E76"/>
    <w:rsid w:val="700C06A3"/>
    <w:rsid w:val="701B22C2"/>
    <w:rsid w:val="703674CE"/>
    <w:rsid w:val="70367F85"/>
    <w:rsid w:val="704A18A5"/>
    <w:rsid w:val="704E2A69"/>
    <w:rsid w:val="70535193"/>
    <w:rsid w:val="705353D7"/>
    <w:rsid w:val="70595CFD"/>
    <w:rsid w:val="70731CBA"/>
    <w:rsid w:val="70802164"/>
    <w:rsid w:val="709D579F"/>
    <w:rsid w:val="70AB2A5F"/>
    <w:rsid w:val="70C40F6B"/>
    <w:rsid w:val="70ED2282"/>
    <w:rsid w:val="70FF2B52"/>
    <w:rsid w:val="71017ADB"/>
    <w:rsid w:val="71053071"/>
    <w:rsid w:val="710C4547"/>
    <w:rsid w:val="71132EB6"/>
    <w:rsid w:val="71146B3B"/>
    <w:rsid w:val="711E1A75"/>
    <w:rsid w:val="713711A7"/>
    <w:rsid w:val="715E5257"/>
    <w:rsid w:val="717B788E"/>
    <w:rsid w:val="718176C8"/>
    <w:rsid w:val="718B2F22"/>
    <w:rsid w:val="71A60683"/>
    <w:rsid w:val="71AF5789"/>
    <w:rsid w:val="71BB1264"/>
    <w:rsid w:val="71C14470"/>
    <w:rsid w:val="71D23226"/>
    <w:rsid w:val="71DD01AD"/>
    <w:rsid w:val="71E01DDD"/>
    <w:rsid w:val="71EF3DD8"/>
    <w:rsid w:val="720B63C0"/>
    <w:rsid w:val="723D68AF"/>
    <w:rsid w:val="724721AC"/>
    <w:rsid w:val="725378F4"/>
    <w:rsid w:val="72553913"/>
    <w:rsid w:val="726259F7"/>
    <w:rsid w:val="72670308"/>
    <w:rsid w:val="72705108"/>
    <w:rsid w:val="72750781"/>
    <w:rsid w:val="729452D5"/>
    <w:rsid w:val="72992944"/>
    <w:rsid w:val="72B15531"/>
    <w:rsid w:val="72D07765"/>
    <w:rsid w:val="72D30125"/>
    <w:rsid w:val="72F657B0"/>
    <w:rsid w:val="72FC409A"/>
    <w:rsid w:val="73032FC0"/>
    <w:rsid w:val="730D6C0C"/>
    <w:rsid w:val="730F48D7"/>
    <w:rsid w:val="73253B84"/>
    <w:rsid w:val="73302A16"/>
    <w:rsid w:val="733D0BED"/>
    <w:rsid w:val="735A34D3"/>
    <w:rsid w:val="735E0012"/>
    <w:rsid w:val="738707F8"/>
    <w:rsid w:val="738754CA"/>
    <w:rsid w:val="738B6F89"/>
    <w:rsid w:val="738F72FB"/>
    <w:rsid w:val="73927111"/>
    <w:rsid w:val="739A0276"/>
    <w:rsid w:val="73C056D8"/>
    <w:rsid w:val="73C51294"/>
    <w:rsid w:val="73CB6AC4"/>
    <w:rsid w:val="73ED1A3A"/>
    <w:rsid w:val="73F05696"/>
    <w:rsid w:val="73F43927"/>
    <w:rsid w:val="73F50B6F"/>
    <w:rsid w:val="740011C8"/>
    <w:rsid w:val="74146799"/>
    <w:rsid w:val="741A1B16"/>
    <w:rsid w:val="741C3D5C"/>
    <w:rsid w:val="741E67C6"/>
    <w:rsid w:val="742C5E27"/>
    <w:rsid w:val="74472122"/>
    <w:rsid w:val="74551D23"/>
    <w:rsid w:val="745919DD"/>
    <w:rsid w:val="745D7B18"/>
    <w:rsid w:val="745F299C"/>
    <w:rsid w:val="746F1484"/>
    <w:rsid w:val="74A40EAA"/>
    <w:rsid w:val="74B800CA"/>
    <w:rsid w:val="74D774D1"/>
    <w:rsid w:val="74EE65C9"/>
    <w:rsid w:val="74F55B27"/>
    <w:rsid w:val="752F1C4C"/>
    <w:rsid w:val="753D165B"/>
    <w:rsid w:val="75511543"/>
    <w:rsid w:val="755D54FC"/>
    <w:rsid w:val="756B2471"/>
    <w:rsid w:val="75726F76"/>
    <w:rsid w:val="75805B4E"/>
    <w:rsid w:val="758D6086"/>
    <w:rsid w:val="758F1A33"/>
    <w:rsid w:val="75BE41ED"/>
    <w:rsid w:val="75BF7F65"/>
    <w:rsid w:val="75C8596C"/>
    <w:rsid w:val="75F8009A"/>
    <w:rsid w:val="76120095"/>
    <w:rsid w:val="76161571"/>
    <w:rsid w:val="76277FE4"/>
    <w:rsid w:val="763653BA"/>
    <w:rsid w:val="763A138B"/>
    <w:rsid w:val="763A3819"/>
    <w:rsid w:val="76464EFD"/>
    <w:rsid w:val="76471DE8"/>
    <w:rsid w:val="764C1D57"/>
    <w:rsid w:val="76701D3D"/>
    <w:rsid w:val="76911902"/>
    <w:rsid w:val="76951140"/>
    <w:rsid w:val="76974BD9"/>
    <w:rsid w:val="76974C1D"/>
    <w:rsid w:val="76977026"/>
    <w:rsid w:val="769B77F4"/>
    <w:rsid w:val="76A70C95"/>
    <w:rsid w:val="76D15D09"/>
    <w:rsid w:val="76E56BA6"/>
    <w:rsid w:val="76EB626F"/>
    <w:rsid w:val="76F57B1F"/>
    <w:rsid w:val="76F679B7"/>
    <w:rsid w:val="771349E5"/>
    <w:rsid w:val="7714635C"/>
    <w:rsid w:val="771C30FA"/>
    <w:rsid w:val="77206134"/>
    <w:rsid w:val="772C06BD"/>
    <w:rsid w:val="772F3A61"/>
    <w:rsid w:val="773553A7"/>
    <w:rsid w:val="77470212"/>
    <w:rsid w:val="77580A66"/>
    <w:rsid w:val="778D01FE"/>
    <w:rsid w:val="77974F54"/>
    <w:rsid w:val="77A3436B"/>
    <w:rsid w:val="77B86288"/>
    <w:rsid w:val="77C76754"/>
    <w:rsid w:val="77F437B1"/>
    <w:rsid w:val="780738D1"/>
    <w:rsid w:val="78140E63"/>
    <w:rsid w:val="782226C6"/>
    <w:rsid w:val="783D4AFF"/>
    <w:rsid w:val="784D30F3"/>
    <w:rsid w:val="78686692"/>
    <w:rsid w:val="78693C27"/>
    <w:rsid w:val="78747106"/>
    <w:rsid w:val="78764DC8"/>
    <w:rsid w:val="788A2C6A"/>
    <w:rsid w:val="78A27DF6"/>
    <w:rsid w:val="78AD0D21"/>
    <w:rsid w:val="78AE679B"/>
    <w:rsid w:val="78B5001F"/>
    <w:rsid w:val="78B65A67"/>
    <w:rsid w:val="78B73B4F"/>
    <w:rsid w:val="78B934ED"/>
    <w:rsid w:val="78C37C8A"/>
    <w:rsid w:val="78DE2D7C"/>
    <w:rsid w:val="78EA6025"/>
    <w:rsid w:val="78FA1FA9"/>
    <w:rsid w:val="78FF6FF6"/>
    <w:rsid w:val="790C1C51"/>
    <w:rsid w:val="7922596C"/>
    <w:rsid w:val="792F01A6"/>
    <w:rsid w:val="79382965"/>
    <w:rsid w:val="793B7903"/>
    <w:rsid w:val="794C1894"/>
    <w:rsid w:val="795161CA"/>
    <w:rsid w:val="79820F11"/>
    <w:rsid w:val="799F172E"/>
    <w:rsid w:val="79A22FB7"/>
    <w:rsid w:val="79A71D90"/>
    <w:rsid w:val="79A81252"/>
    <w:rsid w:val="79AC037E"/>
    <w:rsid w:val="79AE4579"/>
    <w:rsid w:val="79B4594A"/>
    <w:rsid w:val="79B978EA"/>
    <w:rsid w:val="79BC708D"/>
    <w:rsid w:val="79EB1C7D"/>
    <w:rsid w:val="79FA5A10"/>
    <w:rsid w:val="79FC3536"/>
    <w:rsid w:val="7A063B66"/>
    <w:rsid w:val="7A1268B5"/>
    <w:rsid w:val="7A187C44"/>
    <w:rsid w:val="7A1B476E"/>
    <w:rsid w:val="7A241CE1"/>
    <w:rsid w:val="7A50702E"/>
    <w:rsid w:val="7A721A4A"/>
    <w:rsid w:val="7A85352B"/>
    <w:rsid w:val="7A9722EA"/>
    <w:rsid w:val="7AA240DD"/>
    <w:rsid w:val="7AA274F5"/>
    <w:rsid w:val="7AA65250"/>
    <w:rsid w:val="7AA8721A"/>
    <w:rsid w:val="7AB756AF"/>
    <w:rsid w:val="7AF27BF0"/>
    <w:rsid w:val="7AF64429"/>
    <w:rsid w:val="7B1A6AB5"/>
    <w:rsid w:val="7B327BB5"/>
    <w:rsid w:val="7B33563C"/>
    <w:rsid w:val="7B4C0E94"/>
    <w:rsid w:val="7B4C1878"/>
    <w:rsid w:val="7B5737ED"/>
    <w:rsid w:val="7B576EF9"/>
    <w:rsid w:val="7B594633"/>
    <w:rsid w:val="7B5C21FC"/>
    <w:rsid w:val="7B6D1672"/>
    <w:rsid w:val="7B763FD0"/>
    <w:rsid w:val="7B8D6D12"/>
    <w:rsid w:val="7B9147B3"/>
    <w:rsid w:val="7BAB0D70"/>
    <w:rsid w:val="7BAC1017"/>
    <w:rsid w:val="7BB06C82"/>
    <w:rsid w:val="7BC5015F"/>
    <w:rsid w:val="7BDB40C8"/>
    <w:rsid w:val="7BE129E3"/>
    <w:rsid w:val="7BEE6EAE"/>
    <w:rsid w:val="7BFC639E"/>
    <w:rsid w:val="7C1060A4"/>
    <w:rsid w:val="7C212B16"/>
    <w:rsid w:val="7C344D27"/>
    <w:rsid w:val="7C546CFC"/>
    <w:rsid w:val="7C5F7DAC"/>
    <w:rsid w:val="7C6034EF"/>
    <w:rsid w:val="7C605FFE"/>
    <w:rsid w:val="7C6929D9"/>
    <w:rsid w:val="7C8F3841"/>
    <w:rsid w:val="7C927737"/>
    <w:rsid w:val="7CCA16C9"/>
    <w:rsid w:val="7CE055BA"/>
    <w:rsid w:val="7CE11A06"/>
    <w:rsid w:val="7CE72D65"/>
    <w:rsid w:val="7CF12392"/>
    <w:rsid w:val="7CFC1051"/>
    <w:rsid w:val="7D15058B"/>
    <w:rsid w:val="7D157DA1"/>
    <w:rsid w:val="7D213138"/>
    <w:rsid w:val="7D2521B2"/>
    <w:rsid w:val="7D317598"/>
    <w:rsid w:val="7D3230DC"/>
    <w:rsid w:val="7D353F3A"/>
    <w:rsid w:val="7D364FB1"/>
    <w:rsid w:val="7D3D4761"/>
    <w:rsid w:val="7D4172EA"/>
    <w:rsid w:val="7D4D08D5"/>
    <w:rsid w:val="7D510DB8"/>
    <w:rsid w:val="7D511DEB"/>
    <w:rsid w:val="7D551F58"/>
    <w:rsid w:val="7D5611AF"/>
    <w:rsid w:val="7D6A282B"/>
    <w:rsid w:val="7D6C2781"/>
    <w:rsid w:val="7D7405B4"/>
    <w:rsid w:val="7D8775BA"/>
    <w:rsid w:val="7D8D7458"/>
    <w:rsid w:val="7D9046C1"/>
    <w:rsid w:val="7DA0478D"/>
    <w:rsid w:val="7DB042A2"/>
    <w:rsid w:val="7DB859C6"/>
    <w:rsid w:val="7DD345AE"/>
    <w:rsid w:val="7DE844FD"/>
    <w:rsid w:val="7DF04831"/>
    <w:rsid w:val="7DF22A1C"/>
    <w:rsid w:val="7DF806EE"/>
    <w:rsid w:val="7E091328"/>
    <w:rsid w:val="7E0E1134"/>
    <w:rsid w:val="7E282CD5"/>
    <w:rsid w:val="7E3672A9"/>
    <w:rsid w:val="7E4618EE"/>
    <w:rsid w:val="7E49452F"/>
    <w:rsid w:val="7E4D2A1C"/>
    <w:rsid w:val="7E505923"/>
    <w:rsid w:val="7E550AA9"/>
    <w:rsid w:val="7E577B57"/>
    <w:rsid w:val="7E5E656D"/>
    <w:rsid w:val="7E670FB0"/>
    <w:rsid w:val="7E7A400D"/>
    <w:rsid w:val="7E852C8D"/>
    <w:rsid w:val="7E872237"/>
    <w:rsid w:val="7E873820"/>
    <w:rsid w:val="7E8C3F75"/>
    <w:rsid w:val="7E9832EF"/>
    <w:rsid w:val="7EA55C41"/>
    <w:rsid w:val="7EA55D91"/>
    <w:rsid w:val="7EA80241"/>
    <w:rsid w:val="7EAB6E1B"/>
    <w:rsid w:val="7EB96890"/>
    <w:rsid w:val="7ED76DD4"/>
    <w:rsid w:val="7EE354CD"/>
    <w:rsid w:val="7EF150E4"/>
    <w:rsid w:val="7EF23159"/>
    <w:rsid w:val="7F06366D"/>
    <w:rsid w:val="7F0709B3"/>
    <w:rsid w:val="7F075B6E"/>
    <w:rsid w:val="7F0E1779"/>
    <w:rsid w:val="7F13011A"/>
    <w:rsid w:val="7F5456A0"/>
    <w:rsid w:val="7F5C0130"/>
    <w:rsid w:val="7F7221CA"/>
    <w:rsid w:val="7F79289E"/>
    <w:rsid w:val="7F8F1F7C"/>
    <w:rsid w:val="7FA02BB5"/>
    <w:rsid w:val="7FA8445B"/>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7"/>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6"/>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6"/>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0"/>
    <w:qFormat/>
    <w:uiPriority w:val="0"/>
    <w:pPr>
      <w:keepNext/>
      <w:keepLines/>
      <w:numPr>
        <w:ilvl w:val="8"/>
        <w:numId w:val="1"/>
      </w:numPr>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0"/>
    <w:qFormat/>
    <w:uiPriority w:val="0"/>
    <w:rPr>
      <w:rFonts w:ascii="宋体"/>
      <w:sz w:val="18"/>
      <w:szCs w:val="18"/>
    </w:rPr>
  </w:style>
  <w:style w:type="paragraph" w:styleId="17">
    <w:name w:val="annotation text"/>
    <w:basedOn w:val="1"/>
    <w:link w:val="114"/>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next w:val="1"/>
    <w:link w:val="77"/>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8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91"/>
    <w:unhideWhenUsed/>
    <w:qFormat/>
    <w:uiPriority w:val="0"/>
  </w:style>
  <w:style w:type="paragraph" w:styleId="27">
    <w:name w:val="Body Text Indent 2"/>
    <w:basedOn w:val="1"/>
    <w:link w:val="113"/>
    <w:unhideWhenUsed/>
    <w:qFormat/>
    <w:uiPriority w:val="99"/>
    <w:pPr>
      <w:spacing w:line="420" w:lineRule="exact"/>
      <w:ind w:firstLine="525"/>
    </w:pPr>
    <w:rPr>
      <w:rFonts w:ascii="宋体"/>
      <w:kern w:val="0"/>
      <w:sz w:val="20"/>
      <w:szCs w:val="20"/>
    </w:rPr>
  </w:style>
  <w:style w:type="paragraph" w:styleId="28">
    <w:name w:val="Balloon Text"/>
    <w:basedOn w:val="1"/>
    <w:link w:val="136"/>
    <w:qFormat/>
    <w:uiPriority w:val="0"/>
    <w:rPr>
      <w:sz w:val="18"/>
      <w:szCs w:val="18"/>
    </w:rPr>
  </w:style>
  <w:style w:type="paragraph" w:styleId="29">
    <w:name w:val="footer"/>
    <w:basedOn w:val="1"/>
    <w:next w:val="30"/>
    <w:link w:val="126"/>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09"/>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4"/>
    <w:qFormat/>
    <w:uiPriority w:val="0"/>
    <w:pPr>
      <w:spacing w:after="120"/>
      <w:ind w:left="420" w:leftChars="200"/>
    </w:pPr>
    <w:rPr>
      <w:sz w:val="16"/>
      <w:szCs w:val="20"/>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8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24"/>
    <w:qFormat/>
    <w:uiPriority w:val="0"/>
    <w:rPr>
      <w:b/>
      <w:bCs/>
    </w:rPr>
  </w:style>
  <w:style w:type="paragraph" w:styleId="43">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4">
    <w:name w:val="Body Text First Indent 2"/>
    <w:basedOn w:val="20"/>
    <w:next w:val="43"/>
    <w:semiHidden/>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cs="Times New Roman"/>
      <w:b/>
    </w:rPr>
  </w:style>
  <w:style w:type="character" w:styleId="49">
    <w:name w:val="page number"/>
    <w:qFormat/>
    <w:uiPriority w:val="0"/>
    <w:rPr>
      <w:rFonts w:eastAsia="宋体"/>
      <w:b/>
      <w:spacing w:val="0"/>
      <w:kern w:val="2"/>
      <w:sz w:val="24"/>
      <w:szCs w:val="24"/>
      <w:vertAlign w:val="baseline"/>
      <w:lang w:val="en-US" w:eastAsia="zh-CN" w:bidi="ar-SA"/>
    </w:rPr>
  </w:style>
  <w:style w:type="character" w:styleId="50">
    <w:name w:val="FollowedHyperlink"/>
    <w:qFormat/>
    <w:uiPriority w:val="0"/>
    <w:rPr>
      <w:color w:val="800080"/>
      <w:u w:val="single"/>
    </w:rPr>
  </w:style>
  <w:style w:type="character" w:styleId="51">
    <w:name w:val="Emphasis"/>
    <w:basedOn w:val="47"/>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color w:val="008000"/>
    </w:rPr>
  </w:style>
  <w:style w:type="paragraph" w:customStyle="1" w:styleId="55">
    <w:name w:val="索引 41"/>
    <w:basedOn w:val="1"/>
    <w:next w:val="1"/>
    <w:semiHidden/>
    <w:qFormat/>
    <w:uiPriority w:val="0"/>
    <w:pPr>
      <w:ind w:left="1260"/>
    </w:pPr>
    <w:rPr>
      <w:rFonts w:ascii="Calibri" w:hAnsi="Calibri" w:eastAsia="Calibri" w:cs="宋体"/>
      <w:sz w:val="20"/>
      <w:lang w:val="zh-CN"/>
    </w:rPr>
  </w:style>
  <w:style w:type="paragraph" w:customStyle="1" w:styleId="56">
    <w:name w:val="NormalIndent"/>
    <w:basedOn w:val="1"/>
    <w:qFormat/>
    <w:uiPriority w:val="0"/>
    <w:pPr>
      <w:ind w:firstLine="420"/>
    </w:p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Body Text First Indent 21"/>
    <w:basedOn w:val="60"/>
    <w:qFormat/>
    <w:uiPriority w:val="0"/>
    <w:pPr>
      <w:ind w:firstLine="420"/>
    </w:pPr>
  </w:style>
  <w:style w:type="paragraph" w:customStyle="1" w:styleId="60">
    <w:name w:val="Body Text Indent1"/>
    <w:basedOn w:val="1"/>
    <w:qFormat/>
    <w:uiPriority w:val="0"/>
    <w:pPr>
      <w:ind w:left="420" w:leftChars="200"/>
    </w:pPr>
  </w:style>
  <w:style w:type="paragraph" w:styleId="61">
    <w:name w:val="List Paragraph"/>
    <w:basedOn w:val="1"/>
    <w:next w:val="17"/>
    <w:link w:val="243"/>
    <w:qFormat/>
    <w:uiPriority w:val="99"/>
    <w:pPr>
      <w:ind w:firstLine="420" w:firstLineChars="200"/>
    </w:pPr>
  </w:style>
  <w:style w:type="character" w:customStyle="1" w:styleId="62">
    <w:name w:val="明显强调1"/>
    <w:qFormat/>
    <w:uiPriority w:val="0"/>
    <w:rPr>
      <w:b/>
      <w:bCs/>
      <w:i/>
      <w:iCs/>
      <w:color w:val="4F81BD"/>
    </w:rPr>
  </w:style>
  <w:style w:type="character" w:customStyle="1" w:styleId="63">
    <w:name w:val="批注文字 Char2"/>
    <w:qFormat/>
    <w:uiPriority w:val="0"/>
    <w:rPr>
      <w:kern w:val="2"/>
      <w:sz w:val="21"/>
    </w:rPr>
  </w:style>
  <w:style w:type="character" w:customStyle="1" w:styleId="64">
    <w:name w:val="标题 3 Char_0"/>
    <w:link w:val="65"/>
    <w:qFormat/>
    <w:uiPriority w:val="0"/>
    <w:rPr>
      <w:b/>
      <w:bCs/>
      <w:sz w:val="32"/>
      <w:szCs w:val="32"/>
    </w:rPr>
  </w:style>
  <w:style w:type="paragraph" w:customStyle="1" w:styleId="65">
    <w:name w:val="标题 3_0"/>
    <w:basedOn w:val="66"/>
    <w:next w:val="66"/>
    <w:link w:val="64"/>
    <w:qFormat/>
    <w:uiPriority w:val="0"/>
    <w:pPr>
      <w:keepNext/>
      <w:keepLines/>
      <w:spacing w:before="260" w:after="260" w:line="416" w:lineRule="auto"/>
      <w:outlineLvl w:val="2"/>
    </w:pPr>
    <w:rPr>
      <w:b/>
      <w:bCs/>
      <w:kern w:val="0"/>
      <w:sz w:val="32"/>
      <w:szCs w:val="32"/>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标题 2 字符"/>
    <w:link w:val="3"/>
    <w:qFormat/>
    <w:uiPriority w:val="0"/>
    <w:rPr>
      <w:rFonts w:ascii="Cambria" w:hAnsi="Cambria"/>
      <w:b/>
      <w:bCs/>
      <w:kern w:val="2"/>
      <w:sz w:val="32"/>
      <w:szCs w:val="32"/>
    </w:rPr>
  </w:style>
  <w:style w:type="character" w:customStyle="1" w:styleId="68">
    <w:name w:val="正文文本 Char2"/>
    <w:semiHidden/>
    <w:qFormat/>
    <w:uiPriority w:val="99"/>
    <w:rPr>
      <w:rFonts w:ascii="Calibri" w:hAnsi="Calibri" w:eastAsia="宋体" w:cs="Times New Roman"/>
    </w:rPr>
  </w:style>
  <w:style w:type="character" w:customStyle="1" w:styleId="69">
    <w:name w:val="页脚 Char1"/>
    <w:semiHidden/>
    <w:qFormat/>
    <w:uiPriority w:val="99"/>
    <w:rPr>
      <w:rFonts w:ascii="Calibri" w:hAnsi="Calibri" w:eastAsia="宋体" w:cs="Times New Roman"/>
      <w:sz w:val="18"/>
      <w:szCs w:val="18"/>
    </w:rPr>
  </w:style>
  <w:style w:type="character" w:customStyle="1" w:styleId="70">
    <w:name w:val="明显引用 Char2"/>
    <w:qFormat/>
    <w:uiPriority w:val="99"/>
    <w:rPr>
      <w:b/>
      <w:bCs/>
      <w:i/>
      <w:iCs/>
      <w:color w:val="4F81BD"/>
      <w:kern w:val="2"/>
      <w:sz w:val="21"/>
      <w:szCs w:val="24"/>
    </w:rPr>
  </w:style>
  <w:style w:type="character" w:customStyle="1" w:styleId="71">
    <w:name w:val="引用 Char"/>
    <w:link w:val="72"/>
    <w:qFormat/>
    <w:uiPriority w:val="0"/>
    <w:rPr>
      <w:i/>
      <w:iCs/>
      <w:color w:val="000000"/>
    </w:rPr>
  </w:style>
  <w:style w:type="paragraph" w:customStyle="1" w:styleId="72">
    <w:name w:val="引用1"/>
    <w:basedOn w:val="1"/>
    <w:next w:val="1"/>
    <w:link w:val="71"/>
    <w:qFormat/>
    <w:uiPriority w:val="0"/>
    <w:rPr>
      <w:i/>
      <w:iCs/>
      <w:color w:val="000000"/>
      <w:kern w:val="0"/>
      <w:sz w:val="20"/>
      <w:szCs w:val="20"/>
    </w:rPr>
  </w:style>
  <w:style w:type="character" w:customStyle="1" w:styleId="73">
    <w:name w:val="标题 1 Char_0"/>
    <w:link w:val="74"/>
    <w:qFormat/>
    <w:uiPriority w:val="0"/>
    <w:rPr>
      <w:b/>
      <w:bCs/>
      <w:kern w:val="44"/>
      <w:sz w:val="44"/>
      <w:szCs w:val="44"/>
    </w:rPr>
  </w:style>
  <w:style w:type="paragraph" w:customStyle="1" w:styleId="74">
    <w:name w:val="标题 1_0"/>
    <w:basedOn w:val="66"/>
    <w:next w:val="66"/>
    <w:link w:val="73"/>
    <w:qFormat/>
    <w:uiPriority w:val="0"/>
    <w:pPr>
      <w:keepNext/>
      <w:keepLines/>
      <w:spacing w:before="340" w:after="330" w:line="578" w:lineRule="auto"/>
      <w:outlineLvl w:val="0"/>
    </w:pPr>
    <w:rPr>
      <w:b/>
      <w:bCs/>
      <w:kern w:val="44"/>
      <w:sz w:val="44"/>
      <w:szCs w:val="44"/>
    </w:rPr>
  </w:style>
  <w:style w:type="character" w:customStyle="1" w:styleId="75">
    <w:name w:val="正文文本缩进 3 Char1"/>
    <w:semiHidden/>
    <w:qFormat/>
    <w:uiPriority w:val="99"/>
    <w:rPr>
      <w:kern w:val="2"/>
      <w:sz w:val="16"/>
      <w:szCs w:val="16"/>
    </w:rPr>
  </w:style>
  <w:style w:type="character" w:customStyle="1" w:styleId="76">
    <w:name w:val="引用 Char1"/>
    <w:qFormat/>
    <w:uiPriority w:val="29"/>
    <w:rPr>
      <w:i/>
      <w:iCs/>
      <w:color w:val="000000"/>
      <w:kern w:val="2"/>
      <w:sz w:val="21"/>
    </w:rPr>
  </w:style>
  <w:style w:type="character" w:customStyle="1" w:styleId="77">
    <w:name w:val="正文文本缩进 字符"/>
    <w:link w:val="20"/>
    <w:qFormat/>
    <w:uiPriority w:val="0"/>
    <w:rPr>
      <w:kern w:val="2"/>
      <w:sz w:val="21"/>
      <w:szCs w:val="24"/>
    </w:rPr>
  </w:style>
  <w:style w:type="character" w:customStyle="1" w:styleId="78">
    <w:name w:val="font161"/>
    <w:qFormat/>
    <w:uiPriority w:val="0"/>
    <w:rPr>
      <w:b/>
      <w:sz w:val="32"/>
    </w:rPr>
  </w:style>
  <w:style w:type="character" w:customStyle="1" w:styleId="79">
    <w:name w:val="标题 4 Char_0"/>
    <w:link w:val="80"/>
    <w:qFormat/>
    <w:uiPriority w:val="0"/>
    <w:rPr>
      <w:rFonts w:ascii="Arial" w:hAnsi="Arial" w:eastAsia="黑体"/>
      <w:b/>
      <w:bCs/>
      <w:sz w:val="28"/>
      <w:szCs w:val="28"/>
    </w:rPr>
  </w:style>
  <w:style w:type="paragraph" w:customStyle="1" w:styleId="80">
    <w:name w:val="标题 4_0"/>
    <w:basedOn w:val="66"/>
    <w:next w:val="66"/>
    <w:link w:val="79"/>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1">
    <w:name w:val="页眉 字符"/>
    <w:link w:val="31"/>
    <w:qFormat/>
    <w:uiPriority w:val="0"/>
    <w:rPr>
      <w:kern w:val="2"/>
      <w:sz w:val="18"/>
      <w:szCs w:val="18"/>
    </w:rPr>
  </w:style>
  <w:style w:type="character" w:customStyle="1" w:styleId="82">
    <w:name w:val="标题 6 字符"/>
    <w:link w:val="7"/>
    <w:qFormat/>
    <w:uiPriority w:val="0"/>
    <w:rPr>
      <w:rFonts w:ascii="Cambria" w:hAnsi="Cambria"/>
      <w:b/>
      <w:bCs/>
      <w:kern w:val="2"/>
      <w:sz w:val="24"/>
      <w:szCs w:val="24"/>
    </w:rPr>
  </w:style>
  <w:style w:type="character" w:customStyle="1" w:styleId="83">
    <w:name w:val="纯文本 字符"/>
    <w:link w:val="24"/>
    <w:qFormat/>
    <w:uiPriority w:val="99"/>
    <w:rPr>
      <w:rFonts w:ascii="Ari"/>
      <w:lang w:val="en-US" w:eastAsia="zh-CN" w:bidi="ar-SA"/>
    </w:rPr>
  </w:style>
  <w:style w:type="character" w:customStyle="1" w:styleId="84">
    <w:name w:val="引用 Char2"/>
    <w:qFormat/>
    <w:uiPriority w:val="99"/>
    <w:rPr>
      <w:i/>
      <w:iCs/>
      <w:color w:val="000000"/>
      <w:kern w:val="2"/>
      <w:sz w:val="21"/>
      <w:szCs w:val="24"/>
    </w:rPr>
  </w:style>
  <w:style w:type="character" w:customStyle="1" w:styleId="85">
    <w:name w:val="rvts11"/>
    <w:qFormat/>
    <w:uiPriority w:val="0"/>
    <w:rPr>
      <w:rFonts w:hint="default" w:ascii="KNLe" w:hAnsi="KNLe"/>
      <w:sz w:val="24"/>
      <w:szCs w:val="24"/>
      <w:u w:val="single"/>
    </w:rPr>
  </w:style>
  <w:style w:type="character" w:customStyle="1" w:styleId="86">
    <w:name w:val="标题 字符"/>
    <w:link w:val="41"/>
    <w:qFormat/>
    <w:uiPriority w:val="0"/>
    <w:rPr>
      <w:rFonts w:ascii="Arial" w:hAnsi="Arial"/>
      <w:b/>
      <w:sz w:val="32"/>
    </w:rPr>
  </w:style>
  <w:style w:type="character" w:customStyle="1" w:styleId="87">
    <w:name w:val="标题5 Char Char"/>
    <w:link w:val="88"/>
    <w:qFormat/>
    <w:uiPriority w:val="0"/>
    <w:rPr>
      <w:rFonts w:ascii="Arial" w:hAnsi="Arial"/>
      <w:b/>
      <w:bCs/>
      <w:sz w:val="24"/>
      <w:szCs w:val="32"/>
    </w:rPr>
  </w:style>
  <w:style w:type="paragraph" w:customStyle="1" w:styleId="88">
    <w:name w:val="标题5"/>
    <w:basedOn w:val="4"/>
    <w:link w:val="87"/>
    <w:qFormat/>
    <w:uiPriority w:val="0"/>
    <w:pPr>
      <w:numPr>
        <w:ilvl w:val="0"/>
        <w:numId w:val="0"/>
      </w:numPr>
      <w:spacing w:line="413" w:lineRule="auto"/>
    </w:pPr>
    <w:rPr>
      <w:rFonts w:ascii="Arial" w:hAnsi="Arial"/>
      <w:kern w:val="0"/>
      <w:sz w:val="24"/>
    </w:rPr>
  </w:style>
  <w:style w:type="character" w:customStyle="1" w:styleId="89">
    <w:name w:val="副标题 Char2"/>
    <w:qFormat/>
    <w:uiPriority w:val="11"/>
    <w:rPr>
      <w:rFonts w:ascii="Cambria" w:hAnsi="Cambria" w:cs="Times New Roman"/>
      <w:b/>
      <w:bCs/>
      <w:kern w:val="28"/>
      <w:sz w:val="32"/>
      <w:szCs w:val="32"/>
    </w:rPr>
  </w:style>
  <w:style w:type="character" w:customStyle="1" w:styleId="90">
    <w:name w:val="文档结构图 字符"/>
    <w:link w:val="16"/>
    <w:qFormat/>
    <w:uiPriority w:val="0"/>
    <w:rPr>
      <w:rFonts w:ascii="宋体"/>
      <w:kern w:val="2"/>
      <w:sz w:val="18"/>
      <w:szCs w:val="18"/>
    </w:rPr>
  </w:style>
  <w:style w:type="character" w:customStyle="1" w:styleId="91">
    <w:name w:val="日期 字符"/>
    <w:link w:val="26"/>
    <w:qFormat/>
    <w:uiPriority w:val="0"/>
    <w:rPr>
      <w:kern w:val="2"/>
      <w:sz w:val="21"/>
      <w:szCs w:val="24"/>
    </w:rPr>
  </w:style>
  <w:style w:type="character" w:customStyle="1" w:styleId="92">
    <w:name w:val="批注主题 Char1"/>
    <w:qFormat/>
    <w:uiPriority w:val="0"/>
    <w:rPr>
      <w:b/>
      <w:bCs/>
      <w:kern w:val="2"/>
      <w:sz w:val="21"/>
      <w:szCs w:val="22"/>
    </w:rPr>
  </w:style>
  <w:style w:type="character" w:customStyle="1" w:styleId="93">
    <w:name w:val="font31"/>
    <w:qFormat/>
    <w:uiPriority w:val="0"/>
    <w:rPr>
      <w:rFonts w:hint="eastAsia" w:ascii="宋体" w:hAnsi="宋体" w:eastAsia="宋体" w:cs="宋体"/>
      <w:color w:val="000000"/>
      <w:sz w:val="20"/>
      <w:szCs w:val="20"/>
      <w:u w:val="none"/>
    </w:rPr>
  </w:style>
  <w:style w:type="character" w:customStyle="1" w:styleId="94">
    <w:name w:val="明显引用 Char"/>
    <w:link w:val="95"/>
    <w:qFormat/>
    <w:uiPriority w:val="0"/>
    <w:rPr>
      <w:b/>
      <w:bCs/>
      <w:i/>
      <w:iCs/>
      <w:color w:val="4F81BD"/>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6">
    <w:name w:val="标题 5 字符"/>
    <w:link w:val="6"/>
    <w:qFormat/>
    <w:uiPriority w:val="0"/>
    <w:rPr>
      <w:b/>
      <w:bCs/>
      <w:kern w:val="2"/>
      <w:sz w:val="28"/>
      <w:szCs w:val="28"/>
    </w:rPr>
  </w:style>
  <w:style w:type="character" w:customStyle="1" w:styleId="97">
    <w:name w:val="日期 Char1"/>
    <w:qFormat/>
    <w:uiPriority w:val="0"/>
    <w:rPr>
      <w:rFonts w:ascii="Calibri" w:hAnsi="Calibri" w:eastAsia="宋体" w:cs="Times New Roman"/>
    </w:rPr>
  </w:style>
  <w:style w:type="character" w:customStyle="1" w:styleId="98">
    <w:name w:val="批注框文本 Char1"/>
    <w:qFormat/>
    <w:uiPriority w:val="0"/>
    <w:rPr>
      <w:kern w:val="2"/>
      <w:sz w:val="18"/>
      <w:szCs w:val="18"/>
    </w:rPr>
  </w:style>
  <w:style w:type="character" w:customStyle="1" w:styleId="99">
    <w:name w:val="标题 Char1"/>
    <w:qFormat/>
    <w:uiPriority w:val="10"/>
    <w:rPr>
      <w:rFonts w:ascii="Cambria" w:hAnsi="Cambria" w:eastAsia="宋体" w:cs="Times New Roman"/>
      <w:b/>
      <w:bCs/>
      <w:sz w:val="32"/>
      <w:szCs w:val="32"/>
    </w:rPr>
  </w:style>
  <w:style w:type="character" w:customStyle="1" w:styleId="100">
    <w:name w:val="标题 9 字符"/>
    <w:link w:val="10"/>
    <w:qFormat/>
    <w:uiPriority w:val="0"/>
    <w:rPr>
      <w:rFonts w:ascii="Cambria" w:hAnsi="Cambria"/>
      <w:kern w:val="2"/>
      <w:sz w:val="21"/>
      <w:szCs w:val="21"/>
    </w:rPr>
  </w:style>
  <w:style w:type="character" w:customStyle="1" w:styleId="101">
    <w:name w:val="不明显参考1"/>
    <w:qFormat/>
    <w:uiPriority w:val="0"/>
    <w:rPr>
      <w:smallCaps/>
      <w:color w:val="C0504D"/>
      <w:u w:val="single"/>
    </w:rPr>
  </w:style>
  <w:style w:type="character" w:customStyle="1" w:styleId="102">
    <w:name w:val="批注文字 Char1"/>
    <w:qFormat/>
    <w:uiPriority w:val="0"/>
    <w:rPr>
      <w:rFonts w:ascii="Calibri" w:hAnsi="Calibri" w:eastAsia="宋体" w:cs="Times New Roman"/>
    </w:rPr>
  </w:style>
  <w:style w:type="character" w:customStyle="1" w:styleId="103">
    <w:name w:val="标题 Char2"/>
    <w:qFormat/>
    <w:uiPriority w:val="10"/>
    <w:rPr>
      <w:rFonts w:ascii="Cambria" w:hAnsi="Cambria" w:cs="Times New Roman"/>
      <w:b/>
      <w:bCs/>
      <w:kern w:val="2"/>
      <w:sz w:val="32"/>
      <w:szCs w:val="32"/>
    </w:rPr>
  </w:style>
  <w:style w:type="character" w:customStyle="1" w:styleId="104">
    <w:name w:val="正文文本 3 Char1"/>
    <w:semiHidden/>
    <w:qFormat/>
    <w:uiPriority w:val="99"/>
    <w:rPr>
      <w:kern w:val="2"/>
      <w:sz w:val="16"/>
      <w:szCs w:val="16"/>
    </w:rPr>
  </w:style>
  <w:style w:type="character" w:customStyle="1" w:styleId="105">
    <w:name w:val="批注主题 Char2"/>
    <w:qFormat/>
    <w:uiPriority w:val="0"/>
    <w:rPr>
      <w:b/>
      <w:bCs/>
      <w:kern w:val="2"/>
      <w:sz w:val="21"/>
    </w:rPr>
  </w:style>
  <w:style w:type="character" w:customStyle="1" w:styleId="106">
    <w:name w:val="标题 3 字符"/>
    <w:link w:val="4"/>
    <w:qFormat/>
    <w:uiPriority w:val="0"/>
    <w:rPr>
      <w:b/>
      <w:bCs/>
      <w:kern w:val="2"/>
      <w:sz w:val="32"/>
      <w:szCs w:val="32"/>
    </w:rPr>
  </w:style>
  <w:style w:type="character" w:customStyle="1" w:styleId="107">
    <w:name w:val="正文文本 Char_0"/>
    <w:link w:val="108"/>
    <w:qFormat/>
    <w:uiPriority w:val="0"/>
    <w:rPr>
      <w:szCs w:val="24"/>
    </w:rPr>
  </w:style>
  <w:style w:type="paragraph" w:customStyle="1" w:styleId="108">
    <w:name w:val="正文文本_0"/>
    <w:basedOn w:val="66"/>
    <w:link w:val="107"/>
    <w:qFormat/>
    <w:uiPriority w:val="0"/>
    <w:pPr>
      <w:spacing w:after="120"/>
    </w:pPr>
    <w:rPr>
      <w:kern w:val="0"/>
      <w:sz w:val="20"/>
    </w:rPr>
  </w:style>
  <w:style w:type="character" w:customStyle="1" w:styleId="109">
    <w:name w:val="副标题 字符"/>
    <w:link w:val="34"/>
    <w:qFormat/>
    <w:uiPriority w:val="0"/>
    <w:rPr>
      <w:rFonts w:ascii="Cambria" w:hAnsi="Cambria"/>
      <w:b/>
      <w:bCs/>
      <w:kern w:val="28"/>
      <w:sz w:val="32"/>
      <w:szCs w:val="32"/>
    </w:rPr>
  </w:style>
  <w:style w:type="character" w:customStyle="1" w:styleId="110">
    <w:name w:val="bookmark"/>
    <w:basedOn w:val="47"/>
    <w:qFormat/>
    <w:uiPriority w:val="0"/>
  </w:style>
  <w:style w:type="character" w:customStyle="1" w:styleId="111">
    <w:name w:val="标题 5 Char_0"/>
    <w:link w:val="112"/>
    <w:qFormat/>
    <w:uiPriority w:val="0"/>
    <w:rPr>
      <w:rFonts w:ascii="Calibri" w:hAnsi="Calibri"/>
      <w:b/>
      <w:bCs/>
      <w:sz w:val="28"/>
      <w:szCs w:val="28"/>
    </w:rPr>
  </w:style>
  <w:style w:type="paragraph" w:customStyle="1" w:styleId="112">
    <w:name w:val="标题 5_0"/>
    <w:basedOn w:val="66"/>
    <w:next w:val="66"/>
    <w:link w:val="111"/>
    <w:qFormat/>
    <w:uiPriority w:val="0"/>
    <w:pPr>
      <w:keepNext/>
      <w:keepLines/>
      <w:spacing w:before="280" w:after="290" w:line="372" w:lineRule="auto"/>
      <w:outlineLvl w:val="4"/>
    </w:pPr>
    <w:rPr>
      <w:rFonts w:ascii="Calibri" w:hAnsi="Calibri"/>
      <w:b/>
      <w:bCs/>
      <w:kern w:val="0"/>
      <w:sz w:val="28"/>
      <w:szCs w:val="28"/>
    </w:rPr>
  </w:style>
  <w:style w:type="character" w:customStyle="1" w:styleId="113">
    <w:name w:val="正文文本缩进 2 字符"/>
    <w:link w:val="27"/>
    <w:qFormat/>
    <w:uiPriority w:val="99"/>
    <w:rPr>
      <w:rFonts w:ascii="宋体"/>
    </w:rPr>
  </w:style>
  <w:style w:type="character" w:customStyle="1" w:styleId="114">
    <w:name w:val="批注文字 字符"/>
    <w:link w:val="17"/>
    <w:qFormat/>
    <w:uiPriority w:val="0"/>
    <w:rPr>
      <w:kern w:val="2"/>
      <w:sz w:val="21"/>
      <w:szCs w:val="24"/>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明显参考1"/>
    <w:qFormat/>
    <w:uiPriority w:val="0"/>
    <w:rPr>
      <w:b/>
      <w:bCs/>
      <w:smallCaps/>
      <w:color w:val="C0504D"/>
      <w:spacing w:val="5"/>
      <w:u w:val="single"/>
    </w:rPr>
  </w:style>
  <w:style w:type="character" w:customStyle="1" w:styleId="117">
    <w:name w:val="超链接_0"/>
    <w:qFormat/>
    <w:uiPriority w:val="99"/>
    <w:rPr>
      <w:rFonts w:ascii="Calibri" w:hAnsi="Calibri"/>
      <w:color w:val="0000FF"/>
      <w:u w:val="single"/>
    </w:rPr>
  </w:style>
  <w:style w:type="character" w:customStyle="1" w:styleId="118">
    <w:name w:val="文档结构图 Char2"/>
    <w:semiHidden/>
    <w:qFormat/>
    <w:uiPriority w:val="99"/>
    <w:rPr>
      <w:rFonts w:ascii="宋体" w:hAnsi="Calibri" w:eastAsia="宋体" w:cs="Times New Roman"/>
      <w:sz w:val="18"/>
      <w:szCs w:val="18"/>
    </w:rPr>
  </w:style>
  <w:style w:type="character" w:customStyle="1" w:styleId="119">
    <w:name w:val="textcontents"/>
    <w:qFormat/>
    <w:uiPriority w:val="0"/>
    <w:rPr>
      <w:rFonts w:cs="Times New Roman"/>
    </w:rPr>
  </w:style>
  <w:style w:type="character" w:customStyle="1" w:styleId="120">
    <w:name w:val="标题 1 Char"/>
    <w:qFormat/>
    <w:uiPriority w:val="0"/>
    <w:rPr>
      <w:b/>
      <w:bCs/>
      <w:kern w:val="44"/>
      <w:sz w:val="32"/>
      <w:szCs w:val="44"/>
    </w:rPr>
  </w:style>
  <w:style w:type="character" w:customStyle="1" w:styleId="121">
    <w:name w:val="正文文本 字符"/>
    <w:link w:val="19"/>
    <w:qFormat/>
    <w:uiPriority w:val="0"/>
    <w:rPr>
      <w:rFonts w:eastAsia="幼圆"/>
      <w:b/>
      <w:bCs/>
      <w:kern w:val="2"/>
      <w:sz w:val="44"/>
      <w:szCs w:val="24"/>
    </w:rPr>
  </w:style>
  <w:style w:type="character" w:customStyle="1" w:styleId="122">
    <w:name w:val="标题 8 字符"/>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字符"/>
    <w:link w:val="42"/>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字符"/>
    <w:link w:val="29"/>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1"/>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字符"/>
    <w:link w:val="18"/>
    <w:qFormat/>
    <w:uiPriority w:val="0"/>
    <w:rPr>
      <w:rFonts w:ascii="宋体"/>
      <w:kern w:val="2"/>
      <w:sz w:val="24"/>
    </w:rPr>
  </w:style>
  <w:style w:type="character" w:customStyle="1" w:styleId="134">
    <w:name w:val="正文文本缩进 3 字符"/>
    <w:link w:val="36"/>
    <w:qFormat/>
    <w:uiPriority w:val="0"/>
    <w:rPr>
      <w:kern w:val="2"/>
      <w:sz w:val="16"/>
    </w:rPr>
  </w:style>
  <w:style w:type="character" w:customStyle="1" w:styleId="135">
    <w:name w:val="font21"/>
    <w:qFormat/>
    <w:uiPriority w:val="0"/>
    <w:rPr>
      <w:rFonts w:hint="eastAsia" w:ascii="宋体" w:hAnsi="宋体" w:eastAsia="宋体" w:cs="宋体"/>
      <w:color w:val="000000"/>
      <w:sz w:val="20"/>
      <w:szCs w:val="20"/>
      <w:u w:val="none"/>
    </w:rPr>
  </w:style>
  <w:style w:type="character" w:customStyle="1" w:styleId="136">
    <w:name w:val="批注框文本 字符"/>
    <w:link w:val="28"/>
    <w:qFormat/>
    <w:uiPriority w:val="0"/>
    <w:rPr>
      <w:kern w:val="2"/>
      <w:sz w:val="18"/>
      <w:szCs w:val="18"/>
    </w:rPr>
  </w:style>
  <w:style w:type="character" w:customStyle="1" w:styleId="137">
    <w:name w:val="标题 7 字符"/>
    <w:link w:val="8"/>
    <w:qFormat/>
    <w:uiPriority w:val="0"/>
    <w:rPr>
      <w:b/>
      <w:bCs/>
      <w:kern w:val="2"/>
      <w:sz w:val="24"/>
      <w:szCs w:val="24"/>
    </w:rPr>
  </w:style>
  <w:style w:type="character" w:customStyle="1" w:styleId="138">
    <w:name w:val="标题 1 字符"/>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6"/>
    <w:next w:val="66"/>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6"/>
    <w:next w:val="66"/>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6"/>
    <w:next w:val="66"/>
    <w:qFormat/>
    <w:uiPriority w:val="39"/>
    <w:pPr>
      <w:ind w:left="1260" w:leftChars="600"/>
    </w:pPr>
    <w:rPr>
      <w:rFonts w:ascii="Calibri" w:hAnsi="Calibri"/>
    </w:rPr>
  </w:style>
  <w:style w:type="paragraph" w:customStyle="1" w:styleId="175">
    <w:name w:val="目录 3_0"/>
    <w:basedOn w:val="66"/>
    <w:next w:val="66"/>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7"/>
    <w:semiHidden/>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7"/>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7"/>
    <w:qFormat/>
    <w:uiPriority w:val="0"/>
    <w:rPr>
      <w:rFonts w:ascii="宋体" w:hAnsi="Courier New" w:eastAsia="宋体" w:cs="Courier New"/>
      <w:szCs w:val="21"/>
    </w:rPr>
  </w:style>
  <w:style w:type="character" w:customStyle="1" w:styleId="219">
    <w:name w:val="HTML 预设格式 字符"/>
    <w:basedOn w:val="47"/>
    <w:link w:val="38"/>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7"/>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7"/>
    <w:semiHidden/>
    <w:unhideWhenUsed/>
    <w:qFormat/>
    <w:uiPriority w:val="99"/>
    <w:rPr>
      <w:color w:val="605E5C"/>
      <w:shd w:val="clear" w:color="auto" w:fill="E1DFDD"/>
    </w:rPr>
  </w:style>
  <w:style w:type="character" w:customStyle="1" w:styleId="241">
    <w:name w:val="未处理的提及3"/>
    <w:basedOn w:val="47"/>
    <w:semiHidden/>
    <w:unhideWhenUsed/>
    <w:qFormat/>
    <w:uiPriority w:val="99"/>
    <w:rPr>
      <w:color w:val="605E5C"/>
      <w:shd w:val="clear" w:color="auto" w:fill="E1DFDD"/>
    </w:rPr>
  </w:style>
  <w:style w:type="paragraph" w:customStyle="1" w:styleId="242">
    <w:name w:val="_Style 234"/>
    <w:basedOn w:val="1"/>
    <w:next w:val="61"/>
    <w:qFormat/>
    <w:uiPriority w:val="34"/>
    <w:pPr>
      <w:spacing w:line="400" w:lineRule="exact"/>
      <w:ind w:left="420" w:firstLine="420" w:firstLineChars="200"/>
    </w:pPr>
    <w:rPr>
      <w:rFonts w:ascii="Calibri" w:hAnsi="Calibri"/>
    </w:rPr>
  </w:style>
  <w:style w:type="character" w:customStyle="1" w:styleId="243">
    <w:name w:val="列表段落 字符"/>
    <w:link w:val="61"/>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7"/>
    <w:semiHidden/>
    <w:qFormat/>
    <w:uiPriority w:val="99"/>
    <w:rPr>
      <w:rFonts w:ascii="Calibri" w:hAnsi="Calibri" w:eastAsia="宋体" w:cs="Times New Roman"/>
      <w:szCs w:val="24"/>
    </w:rPr>
  </w:style>
  <w:style w:type="character" w:customStyle="1" w:styleId="247">
    <w:name w:val="标题 字符1"/>
    <w:basedOn w:val="47"/>
    <w:qFormat/>
    <w:uiPriority w:val="10"/>
    <w:rPr>
      <w:rFonts w:asciiTheme="majorHAnsi" w:hAnsiTheme="majorHAnsi" w:eastAsiaTheme="majorEastAsia" w:cstheme="majorBidi"/>
      <w:b/>
      <w:bCs/>
      <w:sz w:val="32"/>
      <w:szCs w:val="32"/>
    </w:rPr>
  </w:style>
  <w:style w:type="character" w:customStyle="1" w:styleId="248">
    <w:name w:val="正文文本缩进 字符1"/>
    <w:basedOn w:val="47"/>
    <w:semiHidden/>
    <w:qFormat/>
    <w:uiPriority w:val="99"/>
    <w:rPr>
      <w:rFonts w:ascii="Calibri" w:hAnsi="Calibri" w:eastAsia="宋体" w:cs="Times New Roman"/>
      <w:szCs w:val="24"/>
    </w:rPr>
  </w:style>
  <w:style w:type="character" w:customStyle="1" w:styleId="249">
    <w:name w:val="副标题 字符1"/>
    <w:basedOn w:val="47"/>
    <w:qFormat/>
    <w:uiPriority w:val="11"/>
    <w:rPr>
      <w:b/>
      <w:bCs/>
      <w:kern w:val="28"/>
      <w:sz w:val="32"/>
      <w:szCs w:val="32"/>
    </w:rPr>
  </w:style>
  <w:style w:type="character" w:customStyle="1" w:styleId="250">
    <w:name w:val="日期 字符1"/>
    <w:basedOn w:val="47"/>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7"/>
    <w:semiHidden/>
    <w:qFormat/>
    <w:uiPriority w:val="99"/>
    <w:rPr>
      <w:rFonts w:ascii="Calibri" w:hAnsi="Calibri" w:eastAsia="宋体" w:cs="Times New Roman"/>
      <w:szCs w:val="24"/>
    </w:rPr>
  </w:style>
  <w:style w:type="character" w:customStyle="1" w:styleId="253">
    <w:name w:val="批注框文本 字符1"/>
    <w:basedOn w:val="47"/>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7"/>
    <w:semiHidden/>
    <w:qFormat/>
    <w:uiPriority w:val="99"/>
    <w:rPr>
      <w:rFonts w:hAnsi="Courier New" w:cs="Courier New" w:asciiTheme="minorEastAsia"/>
      <w:szCs w:val="24"/>
    </w:rPr>
  </w:style>
  <w:style w:type="character" w:customStyle="1" w:styleId="256">
    <w:name w:val="文档结构图 字符1"/>
    <w:basedOn w:val="47"/>
    <w:semiHidden/>
    <w:qFormat/>
    <w:uiPriority w:val="99"/>
    <w:rPr>
      <w:rFonts w:ascii="Microsoft YaHei UI" w:hAnsi="Calibri" w:eastAsia="Microsoft YaHei UI" w:cs="Times New Roman"/>
      <w:sz w:val="18"/>
      <w:szCs w:val="18"/>
    </w:rPr>
  </w:style>
  <w:style w:type="character" w:customStyle="1" w:styleId="257">
    <w:name w:val="正文文本 3 字符1"/>
    <w:basedOn w:val="47"/>
    <w:semiHidden/>
    <w:qFormat/>
    <w:uiPriority w:val="99"/>
    <w:rPr>
      <w:rFonts w:ascii="Calibri" w:hAnsi="Calibri" w:eastAsia="宋体" w:cs="Times New Roman"/>
      <w:sz w:val="16"/>
      <w:szCs w:val="16"/>
    </w:rPr>
  </w:style>
  <w:style w:type="paragraph" w:customStyle="1" w:styleId="258">
    <w:name w:val="_Style 106"/>
    <w:basedOn w:val="1"/>
    <w:next w:val="61"/>
    <w:qFormat/>
    <w:uiPriority w:val="34"/>
    <w:pPr>
      <w:spacing w:line="400" w:lineRule="exact"/>
      <w:ind w:left="420" w:firstLine="420" w:firstLineChars="200"/>
    </w:pPr>
    <w:rPr>
      <w:rFonts w:ascii="Calibri" w:hAnsi="Calibri"/>
    </w:rPr>
  </w:style>
  <w:style w:type="character" w:customStyle="1" w:styleId="259">
    <w:name w:val="正文文本缩进 3 字符1"/>
    <w:basedOn w:val="47"/>
    <w:semiHidden/>
    <w:qFormat/>
    <w:uiPriority w:val="99"/>
    <w:rPr>
      <w:rFonts w:ascii="Calibri" w:hAnsi="Calibri" w:eastAsia="宋体" w:cs="Times New Roman"/>
      <w:sz w:val="16"/>
      <w:szCs w:val="16"/>
    </w:rPr>
  </w:style>
  <w:style w:type="character" w:customStyle="1" w:styleId="260">
    <w:name w:val="未处理的提及4"/>
    <w:basedOn w:val="47"/>
    <w:semiHidden/>
    <w:unhideWhenUsed/>
    <w:qFormat/>
    <w:uiPriority w:val="99"/>
    <w:rPr>
      <w:color w:val="605E5C"/>
      <w:shd w:val="clear" w:color="auto" w:fill="E1DFDD"/>
    </w:rPr>
  </w:style>
  <w:style w:type="character" w:customStyle="1" w:styleId="261">
    <w:name w:val="未处理的提及5"/>
    <w:basedOn w:val="47"/>
    <w:semiHidden/>
    <w:unhideWhenUsed/>
    <w:qFormat/>
    <w:uiPriority w:val="99"/>
    <w:rPr>
      <w:color w:val="605E5C"/>
      <w:shd w:val="clear" w:color="auto" w:fill="E1DFDD"/>
    </w:rPr>
  </w:style>
  <w:style w:type="character" w:customStyle="1" w:styleId="262">
    <w:name w:val="未处理的提及6"/>
    <w:basedOn w:val="47"/>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一级条标题"/>
    <w:basedOn w:val="270"/>
    <w:next w:val="2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7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7110C-3F70-47BD-B1BC-E739F75BC1EA}">
  <ds:schemaRefs/>
</ds:datastoreItem>
</file>

<file path=customXml/itemProps3.xml><?xml version="1.0" encoding="utf-8"?>
<ds:datastoreItem xmlns:ds="http://schemas.openxmlformats.org/officeDocument/2006/customXml" ds:itemID="{200873C3-1D62-4EB1-90CA-246183C3F169}">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54</Pages>
  <Words>19538</Words>
  <Characters>20784</Characters>
  <Lines>224</Lines>
  <Paragraphs>63</Paragraphs>
  <TotalTime>10</TotalTime>
  <ScaleCrop>false</ScaleCrop>
  <LinksUpToDate>false</LinksUpToDate>
  <CharactersWithSpaces>20968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2026-05-10T02:25:00Z</dcterms:created>
  <dc:creator>Lenovo User</dc:creator>
  <cp:lastModifiedBy>sugussss</cp:lastModifiedBy>
  <cp:lastPrinted>2026-03-26T02:39:00Z</cp:lastPrinted>
  <dcterms:modified xsi:type="dcterms:W3CDTF">2026-05-29T02:50:35Z</dcterms:modified>
  <dc:title>公开招标文件</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781600453B834174BF18C82F36A2FE21_13</vt:lpwstr>
  </property>
  <property fmtid="{D5CDD505-2E9C-101B-9397-08002B2CF9AE}" pid="4" name="KSOTemplateDocerSaveRecord">
    <vt:lpwstr>eyJoZGlkIjoiYTc2ZGZiNzZiNDVlOGViOWVmM2JhOTY0NGJkNjUyYzgiLCJ1c2VySWQiOiIxMTQ0NDg0NzI4In0=</vt:lpwstr>
  </property>
</Properties>
</file>