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160"/>
        <w:spacing w:line="360" w:lineRule="auto"/>
        <w:rPr>
          <w:rFonts w:hint="eastAsia" w:ascii="宋体" w:hAnsi="宋体" w:eastAsia="宋体" w:cs="CESI黑体-GB2312"/>
          <w:color w:val="000000"/>
          <w:sz w:val="32"/>
          <w:szCs w:val="32"/>
          <w:highlight w:val="none"/>
          <w:lang w:val="en-US" w:eastAsia="zh-CN"/>
        </w:rPr>
        <w:outlineLvl w:val="9"/>
      </w:pPr>
      <w:r>
        <w:rPr>
          <w:rFonts w:hint="eastAsia" w:ascii="宋体" w:hAnsi="宋体" w:cs="CESI黑体-GB2312"/>
          <w:color w:val="000000"/>
          <w:sz w:val="32"/>
          <w:szCs w:val="32"/>
          <w:highlight w:val="none"/>
          <w:lang w:val="en-US" w:eastAsia="zh-CN"/>
        </w:rPr>
        <w:t xml:space="preserve"> </w:t>
      </w:r>
      <w:r>
        <w:rPr>
          <w:rFonts w:hint="eastAsia" w:ascii="宋体" w:hAnsi="宋体" w:eastAsia="宋体" w:cs="CESI黑体-GB2312"/>
          <w:color w:val="000000"/>
          <w:sz w:val="32"/>
          <w:szCs w:val="32"/>
          <w:highlight w:val="none"/>
          <w:lang w:val="en-US" w:eastAsia="zh-CN"/>
        </w:rPr>
      </w:r>
      <w:r/>
    </w:p>
    <w:p>
      <w:pPr>
        <w:pStyle w:val="101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10"/>
        <w:jc w:val="center"/>
        <w:rPr>
          <w:rFonts w:ascii="宋体" w:hAnsi="宋体"/>
          <w:b/>
          <w:bCs/>
          <w:color w:val="000000"/>
          <w:sz w:val="60"/>
          <w:szCs w:val="60"/>
          <w:highlight w:val="none"/>
        </w:rPr>
        <w:outlineLvl w:val="0"/>
      </w:pPr>
      <w:r/>
      <w:bookmarkStart w:id="0" w:name="_Toc8270"/>
      <w:r>
        <w:rPr>
          <w:rFonts w:ascii="宋体" w:hAnsi="宋体"/>
          <w:b/>
          <w:bCs/>
          <w:color w:val="000000"/>
          <w:sz w:val="60"/>
          <w:szCs w:val="60"/>
          <w:highlight w:val="none"/>
        </w:rPr>
        <w:t xml:space="preserve">常州市政府采购项目</w:t>
      </w:r>
      <w:bookmarkEnd w:id="0"/>
      <w:r>
        <w:rPr>
          <w:rFonts w:ascii="宋体" w:hAnsi="宋体"/>
          <w:b/>
          <w:bCs/>
          <w:color w:val="000000"/>
          <w:sz w:val="60"/>
          <w:szCs w:val="60"/>
          <w:highlight w:val="none"/>
        </w:rPr>
      </w:r>
      <w:r/>
    </w:p>
    <w:p>
      <w:pPr>
        <w:pStyle w:val="101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1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1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1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1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10"/>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outlineLvl w:val="0"/>
      </w:pPr>
      <w:r/>
      <w:bookmarkStart w:id="1" w:name="_Toc30465"/>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常州市退役军人事务局慰问品采购项目</w:t>
      </w:r>
      <w:bookmarkEnd w:id="1"/>
      <w:r>
        <w:rPr>
          <w:rFonts w:ascii="宋体" w:hAnsi="宋体" w:eastAsia="宋体"/>
          <w:bCs/>
          <w:color w:val="000000"/>
          <w:sz w:val="36"/>
          <w:szCs w:val="36"/>
          <w:highlight w:val="none"/>
          <w:lang w:val="en-US" w:eastAsia="zh-CN"/>
        </w:rPr>
      </w:r>
      <w:r/>
    </w:p>
    <w:p>
      <w:pPr>
        <w:pStyle w:val="1010"/>
        <w:ind w:firstLine="36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项目编号：</w:t>
      </w:r>
      <w:bookmarkStart w:id="2" w:name="_Hlk140156589"/>
      <w:r>
        <w:rPr>
          <w:rFonts w:hint="eastAsia" w:ascii="宋体" w:hAnsi="宋体"/>
          <w:bCs/>
          <w:color w:val="000000"/>
          <w:sz w:val="36"/>
          <w:szCs w:val="36"/>
          <w:highlight w:val="none"/>
          <w:lang w:eastAsia="zh-CN"/>
        </w:rPr>
        <w:t xml:space="preserve">JSZC-320400-YTZB-G202</w:t>
      </w:r>
      <w:r>
        <w:rPr>
          <w:rFonts w:hint="eastAsia" w:ascii="宋体" w:hAnsi="宋体"/>
          <w:bCs/>
          <w:color w:val="000000"/>
          <w:sz w:val="36"/>
          <w:szCs w:val="36"/>
          <w:highlight w:val="none"/>
          <w:lang w:val="en-US" w:eastAsia="zh-CN"/>
        </w:rPr>
        <w:t xml:space="preserve">6</w:t>
      </w:r>
      <w:r>
        <w:rPr>
          <w:rFonts w:hint="eastAsia" w:ascii="宋体" w:hAnsi="宋体"/>
          <w:bCs/>
          <w:color w:val="000000"/>
          <w:sz w:val="36"/>
          <w:szCs w:val="36"/>
          <w:highlight w:val="none"/>
          <w:lang w:eastAsia="zh-CN"/>
        </w:rPr>
        <w:t xml:space="preserve">-0</w:t>
      </w:r>
      <w:r>
        <w:rPr>
          <w:rFonts w:hint="eastAsia" w:ascii="宋体" w:hAnsi="宋体"/>
          <w:bCs/>
          <w:color w:val="000000"/>
          <w:sz w:val="36"/>
          <w:szCs w:val="36"/>
          <w:highlight w:val="none"/>
          <w:lang w:val="en-US" w:eastAsia="zh-CN"/>
        </w:rPr>
        <w:t xml:space="preserve">027</w:t>
      </w:r>
      <w:r>
        <w:rPr>
          <w:rFonts w:ascii="宋体" w:hAnsi="宋体" w:eastAsia="宋体"/>
          <w:bCs/>
          <w:color w:val="000000"/>
          <w:sz w:val="36"/>
          <w:szCs w:val="36"/>
          <w:highlight w:val="none"/>
          <w:lang w:val="en-US" w:eastAsia="zh-CN"/>
        </w:rPr>
      </w:r>
      <w:r/>
    </w:p>
    <w:p>
      <w:pPr>
        <w:pStyle w:val="1010"/>
        <w:ind w:firstLine="360"/>
        <w:jc w:val="left"/>
        <w:spacing w:line="360" w:lineRule="auto"/>
        <w:tabs>
          <w:tab w:val="left" w:pos="3240" w:leader="none"/>
          <w:tab w:val="left" w:pos="3420" w:leader="none"/>
        </w:tabs>
        <w:rPr>
          <w:rFonts w:hint="eastAsia" w:ascii="宋体" w:hAnsi="宋体"/>
          <w:bCs/>
          <w:color w:val="000000"/>
          <w:sz w:val="36"/>
          <w:szCs w:val="36"/>
          <w:highlight w:val="none"/>
        </w:rPr>
      </w:pPr>
      <w:r/>
      <w:bookmarkEnd w:id="2"/>
      <w:r>
        <w:rPr>
          <w:rFonts w:ascii="宋体" w:hAnsi="宋体"/>
          <w:bCs/>
          <w:color w:val="000000"/>
          <w:sz w:val="36"/>
          <w:szCs w:val="36"/>
          <w:highlight w:val="none"/>
        </w:rPr>
        <w:t xml:space="preserve">采 购 人：</w:t>
      </w:r>
      <w:bookmarkStart w:id="3" w:name="_Hlk140156643"/>
      <w:r>
        <w:rPr>
          <w:rFonts w:hint="eastAsia" w:ascii="宋体" w:hAnsi="宋体"/>
          <w:bCs/>
          <w:color w:val="000000"/>
          <w:sz w:val="36"/>
          <w:szCs w:val="36"/>
          <w:highlight w:val="none"/>
          <w:lang w:eastAsia="zh-CN"/>
        </w:rPr>
        <w:t xml:space="preserve">常州市退役军人事务局</w:t>
      </w:r>
      <w:r>
        <w:rPr>
          <w:rFonts w:hint="eastAsia" w:ascii="宋体" w:hAnsi="宋体"/>
          <w:bCs/>
          <w:color w:val="000000"/>
          <w:sz w:val="36"/>
          <w:szCs w:val="36"/>
          <w:highlight w:val="none"/>
        </w:rPr>
      </w:r>
      <w:r/>
    </w:p>
    <w:p>
      <w:pPr>
        <w:pStyle w:val="1010"/>
        <w:ind w:firstLine="360"/>
        <w:jc w:val="left"/>
        <w:spacing w:line="360" w:lineRule="auto"/>
        <w:tabs>
          <w:tab w:val="left" w:pos="3240" w:leader="none"/>
          <w:tab w:val="left" w:pos="3420" w:leader="none"/>
        </w:tabs>
        <w:rPr>
          <w:rFonts w:ascii="宋体" w:hAnsi="宋体"/>
          <w:bCs/>
          <w:color w:val="000000"/>
          <w:sz w:val="36"/>
          <w:szCs w:val="36"/>
          <w:highlight w:val="none"/>
        </w:rPr>
      </w:pPr>
      <w:r/>
      <w:bookmarkEnd w:id="3"/>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1010"/>
        <w:jc w:val="left"/>
        <w:widowControl/>
        <w:rPr>
          <w:rFonts w:ascii="宋体" w:hAnsi="宋体"/>
          <w:b/>
          <w:color w:val="000000"/>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1010"/>
        <w:jc w:val="center"/>
        <w:spacing w:line="360" w:lineRule="auto"/>
        <w:rPr>
          <w:rFonts w:ascii="宋体" w:hAnsi="宋体"/>
          <w:b/>
          <w:color w:val="000000"/>
          <w:sz w:val="36"/>
          <w:szCs w:val="36"/>
          <w:highlight w:val="none"/>
        </w:rPr>
        <w:outlineLvl w:val="0"/>
      </w:pPr>
      <w:r/>
      <w:bookmarkStart w:id="4" w:name="_Toc146275788"/>
      <w:r/>
      <w:bookmarkStart w:id="5" w:name="_Toc99301418"/>
      <w:r/>
      <w:bookmarkStart w:id="6" w:name="_Toc19292"/>
      <w:r/>
      <w:bookmarkStart w:id="7" w:name="_Toc6210"/>
      <w:r/>
      <w:bookmarkStart w:id="8" w:name="_Toc32642"/>
      <w:r/>
      <w:bookmarkStart w:id="9" w:name="_Toc20781"/>
      <w:r/>
      <w:bookmarkStart w:id="10" w:name="_Toc140168422"/>
      <w:r/>
      <w:bookmarkStart w:id="11" w:name="_Toc17025"/>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目      录</w:t>
      </w:r>
      <w:bookmarkEnd w:id="4"/>
      <w:r/>
      <w:bookmarkEnd w:id="5"/>
      <w:r/>
      <w:bookmarkEnd w:id="6"/>
      <w:r/>
      <w:bookmarkEnd w:id="7"/>
      <w:r/>
      <w:bookmarkEnd w:id="8"/>
      <w:r/>
      <w:bookmarkEnd w:id="9"/>
      <w:r/>
      <w:bookmarkEnd w:id="10"/>
      <w:r/>
      <w:bookmarkEnd w:id="11"/>
      <w:r>
        <w:rPr>
          <w:rFonts w:ascii="宋体" w:hAnsi="宋体"/>
          <w:b/>
          <w:color w:val="000000"/>
          <w:sz w:val="36"/>
          <w:szCs w:val="36"/>
          <w:highlight w:val="none"/>
        </w:rPr>
      </w:r>
      <w:r/>
    </w:p>
    <w:p>
      <w:pPr>
        <w:pStyle w:val="1063"/>
        <w:tabs>
          <w:tab w:val="right" w:pos="9272" w:leader="dot"/>
        </w:tabs>
        <w:rPr>
          <w:b w:val="0"/>
          <w:color w:val="000000"/>
          <w:sz w:val="40"/>
          <w:szCs w:val="40"/>
          <w:highlight w:val="none"/>
        </w:rPr>
      </w:pPr>
      <w:r>
        <w:rPr>
          <w:b w:val="0"/>
          <w:color w:val="000000"/>
          <w:sz w:val="40"/>
          <w:szCs w:val="40"/>
          <w:highlight w:val="none"/>
        </w:rPr>
        <w:fldChar w:fldCharType="begin"/>
      </w:r>
      <w:r>
        <w:rPr>
          <w:b w:val="0"/>
          <w:color w:val="000000"/>
          <w:sz w:val="40"/>
          <w:szCs w:val="40"/>
          <w:highlight w:val="none"/>
        </w:rPr>
        <w:instrText xml:space="preserve"> TOC \o "1-1" \h \z \u </w:instrText>
      </w:r>
      <w:r>
        <w:rPr>
          <w:b w:val="0"/>
          <w:color w:val="000000"/>
          <w:sz w:val="40"/>
          <w:szCs w:val="40"/>
          <w:highlight w:val="none"/>
        </w:rPr>
        <w:fldChar w:fldCharType="separate"/>
      </w:r>
      <w:r>
        <w:rPr>
          <w:b w:val="0"/>
          <w:color w:val="000000"/>
          <w:sz w:val="40"/>
          <w:szCs w:val="4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_Toc6761 </w:instrText>
      </w:r>
      <w:r>
        <w:rPr>
          <w:color w:val="000000"/>
          <w:highlight w:val="none"/>
        </w:rPr>
        <w:fldChar w:fldCharType="separate"/>
      </w:r>
      <w:r>
        <w:rPr>
          <w:rFonts w:ascii="宋体" w:hAnsi="宋体"/>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_Toc6761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_Toc10221 </w:instrText>
      </w:r>
      <w:r>
        <w:rPr>
          <w:color w:val="000000"/>
          <w:highlight w:val="none"/>
        </w:rPr>
        <w:fldChar w:fldCharType="separate"/>
      </w:r>
      <w:r>
        <w:rPr>
          <w:rFonts w:ascii="宋体" w:hAnsi="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_Toc10221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_Toc12891 </w:instrText>
      </w:r>
      <w:r>
        <w:rPr>
          <w:color w:val="000000"/>
          <w:highlight w:val="none"/>
        </w:rPr>
        <w:fldChar w:fldCharType="separate"/>
      </w:r>
      <w:r>
        <w:rPr>
          <w:rFonts w:ascii="宋体" w:hAnsi="宋体"/>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_Toc12891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_Toc25108 </w:instrText>
      </w:r>
      <w:r>
        <w:rPr>
          <w:color w:val="000000"/>
          <w:highlight w:val="none"/>
        </w:rPr>
        <w:fldChar w:fldCharType="separate"/>
      </w:r>
      <w:r>
        <w:rPr>
          <w:rFonts w:ascii="宋体" w:hAnsi="宋体"/>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_Toc25108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_Toc28172 </w:instrText>
      </w:r>
      <w:r>
        <w:rPr>
          <w:color w:val="000000"/>
          <w:highlight w:val="none"/>
        </w:rPr>
        <w:fldChar w:fldCharType="separate"/>
      </w:r>
      <w:r>
        <w:rPr>
          <w:rFonts w:ascii="宋体" w:hAnsi="宋体"/>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_Toc28172 \h </w:instrText>
      </w:r>
      <w:r>
        <w:rPr>
          <w:color w:val="000000"/>
          <w:highlight w:val="none"/>
        </w:rPr>
        <w:fldChar w:fldCharType="separate"/>
      </w:r>
      <w:r>
        <w:rPr>
          <w:color w:val="000000"/>
          <w:highlight w:val="none"/>
        </w:rPr>
        <w:t xml:space="preserve">30</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_Toc8233 </w:instrText>
      </w:r>
      <w:r>
        <w:rPr>
          <w:color w:val="000000"/>
          <w:highlight w:val="none"/>
        </w:rPr>
        <w:fldChar w:fldCharType="separate"/>
      </w:r>
      <w:r>
        <w:rPr>
          <w:rFonts w:ascii="宋体" w:hAnsi="宋体"/>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_Toc8233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1063"/>
        <w:tabs>
          <w:tab w:val="right" w:pos="9272" w:leader="dot"/>
        </w:tabs>
        <w:rPr>
          <w:color w:val="000000"/>
          <w:highlight w:val="none"/>
        </w:rPr>
      </w:pPr>
      <w:r>
        <w:rPr>
          <w:color w:val="000000"/>
          <w:highlight w:val="none"/>
        </w:rPr>
        <w:fldChar w:fldCharType="begin"/>
      </w:r>
      <w:r>
        <w:rPr>
          <w:color w:val="000000"/>
          <w:highlight w:val="none"/>
        </w:rPr>
        <w:instrText xml:space="preserve"> HYPERLINK \l _Toc18875 </w:instrText>
      </w:r>
      <w:r>
        <w:rPr>
          <w:color w:val="000000"/>
          <w:highlight w:val="none"/>
        </w:rPr>
        <w:fldChar w:fldCharType="separate"/>
      </w:r>
      <w:r>
        <w:rPr>
          <w:rFonts w:ascii="宋体" w:hAnsi="宋体"/>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_Toc18875 \h </w:instrText>
      </w:r>
      <w:r>
        <w:rPr>
          <w:color w:val="000000"/>
          <w:highlight w:val="none"/>
        </w:rPr>
        <w:fldChar w:fldCharType="separate"/>
      </w:r>
      <w:r>
        <w:rPr>
          <w:color w:val="000000"/>
          <w:highlight w:val="none"/>
        </w:rPr>
        <w:t xml:space="preserve">42</w:t>
      </w:r>
      <w:r>
        <w:rPr>
          <w:color w:val="000000"/>
          <w:highlight w:val="none"/>
        </w:rPr>
        <w:fldChar w:fldCharType="end"/>
      </w:r>
      <w:r>
        <w:rPr>
          <w:color w:val="000000"/>
          <w:highlight w:val="none"/>
        </w:rPr>
        <w:fldChar w:fldCharType="end"/>
      </w:r>
      <w:r>
        <w:rPr>
          <w:color w:val="000000"/>
          <w:highlight w:val="none"/>
        </w:rPr>
      </w:r>
      <w:r/>
    </w:p>
    <w:p>
      <w:pPr>
        <w:pStyle w:val="1010"/>
        <w:rPr>
          <w:color w:val="000000"/>
          <w:highlight w:val="none"/>
        </w:rPr>
      </w:pPr>
      <w:r>
        <w:rPr>
          <w:color w:val="000000"/>
          <w:highlight w:val="none"/>
        </w:rPr>
        <w:fldChar w:fldCharType="end"/>
      </w:r>
      <w:r>
        <w:rPr>
          <w:color w:val="000000"/>
          <w:highlight w:val="none"/>
        </w:rPr>
      </w:r>
      <w:r/>
    </w:p>
    <w:p>
      <w:pPr>
        <w:pStyle w:val="1010"/>
        <w:rPr>
          <w:color w:val="000000"/>
          <w:highlight w:val="none"/>
        </w:rPr>
      </w:pPr>
      <w:r>
        <w:rPr>
          <w:color w:val="000000"/>
          <w:highlight w:val="none"/>
        </w:rPr>
      </w:r>
      <w:r/>
    </w:p>
    <w:p>
      <w:pPr>
        <w:pStyle w:val="1063"/>
        <w:spacing w:line="360" w:lineRule="auto"/>
        <w:tabs>
          <w:tab w:val="left" w:pos="1050" w:leader="none"/>
          <w:tab w:val="right" w:pos="8937" w:leader="dot"/>
        </w:tabs>
        <w:rPr>
          <w:b w:val="0"/>
          <w:color w:val="000000"/>
          <w:sz w:val="36"/>
          <w:szCs w:val="36"/>
          <w:highlight w:val="none"/>
        </w:rPr>
      </w:pPr>
      <w:r>
        <w:rPr>
          <w:color w:val="000000"/>
          <w:sz w:val="28"/>
          <w:szCs w:val="40"/>
          <w:highlight w:val="none"/>
        </w:rPr>
        <w:fldChar w:fldCharType="end"/>
      </w:r>
      <w:r>
        <w:rPr>
          <w:b w:val="0"/>
          <w:color w:val="000000"/>
          <w:sz w:val="36"/>
          <w:szCs w:val="36"/>
          <w:highlight w:val="none"/>
        </w:rPr>
      </w:r>
      <w:r/>
    </w:p>
    <w:p>
      <w:pPr>
        <w:pStyle w:val="1010"/>
        <w:jc w:val="center"/>
        <w:spacing w:line="360" w:lineRule="auto"/>
        <w:rPr>
          <w:rFonts w:ascii="宋体" w:hAnsi="宋体"/>
          <w:color w:val="000000"/>
          <w:sz w:val="24"/>
          <w:highlight w:val="none"/>
        </w:rPr>
        <w:outlineLvl w:val="9"/>
      </w:pPr>
      <w:r>
        <w:rPr>
          <w:rFonts w:ascii="宋体" w:hAnsi="宋体"/>
          <w:color w:val="000000"/>
          <w:sz w:val="24"/>
          <w:highlight w:val="none"/>
        </w:rPr>
      </w:r>
      <w:r/>
    </w:p>
    <w:p>
      <w:pPr>
        <w:pStyle w:val="1010"/>
        <w:jc w:val="center"/>
        <w:spacing w:line="360" w:lineRule="auto"/>
        <w:rPr>
          <w:rFonts w:ascii="宋体" w:hAnsi="宋体"/>
          <w:b/>
          <w:color w:val="000000"/>
          <w:sz w:val="36"/>
          <w:szCs w:val="36"/>
          <w:highlight w:val="none"/>
        </w:rPr>
        <w:sectPr>
          <w:headerReference w:type="first" r:id="rId12"/>
          <w:footerReference w:type="default" r:id="rId18"/>
          <w:footnotePr/>
          <w:endnotePr/>
          <w:type w:val="nextColumn"/>
          <w:pgSz w:w="11907" w:h="16840" w:orient="portrait"/>
          <w:pgMar w:top="1418" w:right="1134" w:bottom="1418" w:left="1501" w:header="851" w:footer="851" w:gutter="0"/>
          <w:cols w:num="1" w:sep="0" w:space="1701" w:equalWidth="1"/>
          <w:docGrid w:linePitch="360"/>
          <w:titlePg/>
        </w:sectPr>
        <w:outlineLvl w:val="9"/>
      </w:pPr>
      <w:r>
        <w:rPr>
          <w:rFonts w:ascii="宋体" w:hAnsi="宋体"/>
          <w:b/>
          <w:color w:val="000000"/>
          <w:sz w:val="36"/>
          <w:szCs w:val="36"/>
          <w:highlight w:val="none"/>
        </w:rPr>
        <w:br w:type="page" w:clear="all"/>
      </w:r>
      <w:r/>
    </w:p>
    <w:p>
      <w:pPr>
        <w:pStyle w:val="1010"/>
        <w:jc w:val="center"/>
        <w:spacing w:line="360" w:lineRule="auto"/>
        <w:rPr>
          <w:rFonts w:ascii="宋体" w:hAnsi="宋体"/>
          <w:b/>
          <w:color w:val="000000"/>
          <w:sz w:val="36"/>
          <w:szCs w:val="36"/>
          <w:highlight w:val="none"/>
        </w:rPr>
        <w:outlineLvl w:val="0"/>
      </w:pPr>
      <w:r/>
      <w:bookmarkStart w:id="12" w:name="_Toc2960"/>
      <w:r/>
      <w:bookmarkStart w:id="13" w:name="_Toc6761"/>
      <w:r>
        <w:rPr>
          <w:rFonts w:ascii="宋体" w:hAnsi="宋体"/>
          <w:b/>
          <w:color w:val="000000"/>
          <w:sz w:val="36"/>
          <w:szCs w:val="36"/>
          <w:highlight w:val="none"/>
        </w:rPr>
        <w:t xml:space="preserve">第一章   投标邀请</w:t>
      </w:r>
      <w:bookmarkEnd w:id="12"/>
      <w:r/>
      <w:bookmarkEnd w:id="13"/>
      <w:r>
        <w:rPr>
          <w:rFonts w:ascii="宋体" w:hAnsi="宋体"/>
          <w:b/>
          <w:color w:val="000000"/>
          <w:sz w:val="36"/>
          <w:szCs w:val="36"/>
          <w:highlight w:val="none"/>
        </w:rPr>
      </w:r>
      <w:r/>
    </w:p>
    <w:p>
      <w:pPr>
        <w:pStyle w:val="1010"/>
        <w:ind w:firstLine="480"/>
        <w:keepLines w:val="0"/>
        <w:keepNext w:val="0"/>
        <w:pageBreakBefore w:val="0"/>
        <w:spacing w:line="240" w:lineRule="exact"/>
        <w:widowControl w:val="off"/>
        <w:rPr>
          <w:rFonts w:ascii="宋体" w:hAnsi="宋体"/>
          <w:color w:val="000000"/>
          <w:sz w:val="24"/>
          <w:highlight w:val="none"/>
        </w:rPr>
      </w:pPr>
      <w:r/>
      <w:bookmarkStart w:id="14" w:name="_Toc35393790"/>
      <w:r/>
      <w:bookmarkStart w:id="15" w:name="_Toc35393621"/>
      <w:r/>
      <w:bookmarkStart w:id="16" w:name="_Toc28359079"/>
      <w:r/>
      <w:bookmarkStart w:id="17" w:name="_Toc28359002"/>
      <w:r/>
      <w:bookmarkStart w:id="18" w:name="_Hlk24379207"/>
      <w:r>
        <w:rPr>
          <w:rFonts w:ascii="宋体" w:hAnsi="宋体"/>
          <w:color w:val="000000"/>
          <w:sz w:val="24"/>
          <w:highlight w:val="none"/>
        </w:rPr>
      </w:r>
      <w:r/>
    </w:p>
    <w:p>
      <w:pPr>
        <w:pStyle w:val="1012"/>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14"/>
      <w:r/>
      <w:bookmarkEnd w:id="15"/>
      <w:r/>
      <w:bookmarkEnd w:id="16"/>
      <w:r/>
      <w:bookmarkEnd w:id="17"/>
      <w:r>
        <w:rPr>
          <w:rFonts w:ascii="宋体" w:hAnsi="宋体" w:eastAsia="宋体"/>
          <w:color w:val="000000"/>
          <w:sz w:val="24"/>
          <w:szCs w:val="24"/>
          <w:highlight w:val="none"/>
        </w:rPr>
      </w:r>
      <w:r/>
    </w:p>
    <w:p>
      <w:pPr>
        <w:pStyle w:val="1010"/>
        <w:ind w:left="0" w:firstLine="480"/>
        <w:pageBreakBefore w:val="0"/>
        <w:spacing w:line="4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eastAsia="zh-CN"/>
        </w:rPr>
        <w:t xml:space="preserve">-YTZB-G202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lang w:val="en-US" w:eastAsia="zh-CN"/>
        </w:rPr>
        <w:t xml:space="preserve">027</w:t>
      </w:r>
      <w:r>
        <w:rPr>
          <w:rFonts w:ascii="宋体" w:hAnsi="宋体" w:eastAsia="宋体" w:cs="宋体"/>
          <w:color w:val="000000"/>
          <w:sz w:val="24"/>
          <w:highlight w:val="none"/>
          <w:lang w:val="en-US" w:eastAsia="zh-CN"/>
        </w:rPr>
      </w:r>
      <w:r/>
    </w:p>
    <w:p>
      <w:pPr>
        <w:pStyle w:val="1010"/>
        <w:ind w:left="0" w:firstLine="480"/>
        <w:pageBreakBefore w:val="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8"/>
      <w:r>
        <w:rPr>
          <w:rFonts w:hint="eastAsia" w:ascii="宋体" w:hAnsi="宋体" w:eastAsia="宋体" w:cs="宋体"/>
          <w:color w:val="000000"/>
          <w:sz w:val="24"/>
          <w:highlight w:val="none"/>
          <w:lang w:eastAsia="zh-CN"/>
        </w:rPr>
        <w:t xml:space="preserve">常州市退役军人事务局慰问品采购项目</w:t>
      </w:r>
      <w:r>
        <w:rPr>
          <w:rFonts w:hint="eastAsia" w:ascii="宋体" w:hAnsi="宋体" w:eastAsia="宋体" w:cs="宋体"/>
          <w:color w:val="000000"/>
          <w:sz w:val="24"/>
          <w:highlight w:val="none"/>
          <w:lang w:eastAsia="zh-CN"/>
        </w:rPr>
      </w:r>
      <w:r/>
    </w:p>
    <w:p>
      <w:pPr>
        <w:pStyle w:val="1010"/>
        <w:ind w:left="0" w:firstLine="480"/>
        <w:pageBreakBefore w:val="0"/>
        <w:spacing w:line="46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3.项目预算金额：</w:t>
      </w:r>
      <w:r>
        <w:rPr>
          <w:rFonts w:hint="eastAsia" w:ascii="宋体" w:hAnsi="宋体" w:eastAsia="宋体" w:cs="宋体"/>
          <w:b w:val="0"/>
          <w:bCs w:val="0"/>
          <w:color w:val="000000"/>
          <w:sz w:val="24"/>
          <w:highlight w:val="none"/>
        </w:rPr>
        <w:t xml:space="preserve">人民币200.97</w:t>
      </w:r>
      <w:r>
        <w:rPr>
          <w:rFonts w:hint="eastAsia" w:ascii="宋体" w:hAnsi="宋体" w:eastAsia="宋体" w:cs="宋体"/>
          <w:b w:val="0"/>
          <w:bCs w:val="0"/>
          <w:color w:val="000000"/>
          <w:sz w:val="24"/>
          <w:highlight w:val="none"/>
        </w:rPr>
        <w:t xml:space="preserve">万元</w:t>
      </w:r>
      <w:r>
        <w:rPr>
          <w:rFonts w:hint="eastAsia" w:ascii="宋体" w:hAnsi="宋体" w:eastAsia="宋体" w:cs="宋体"/>
          <w:b w:val="0"/>
          <w:bCs w:val="0"/>
          <w:color w:val="000000"/>
          <w:sz w:val="24"/>
          <w:highlight w:val="none"/>
          <w:lang w:val="en-US" w:eastAsia="zh-CN"/>
        </w:rPr>
        <w:t xml:space="preserve"> </w:t>
      </w:r>
      <w:r>
        <w:rPr>
          <w:rFonts w:hint="eastAsia" w:ascii="宋体" w:hAnsi="宋体" w:eastAsia="宋体" w:cs="宋体"/>
          <w:b w:val="0"/>
          <w:bCs w:val="0"/>
          <w:color w:val="000000"/>
          <w:sz w:val="24"/>
          <w:highlight w:val="none"/>
          <w:lang w:val="en-US" w:eastAsia="zh-CN"/>
        </w:rPr>
      </w:r>
      <w:r/>
    </w:p>
    <w:p>
      <w:pPr>
        <w:pStyle w:val="1010"/>
        <w:ind w:left="0" w:firstLine="720"/>
        <w:pageBreakBefore w:val="0"/>
        <w:spacing w:line="460" w:lineRule="exact"/>
        <w:rPr>
          <w:rFonts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rPr>
        <w:t xml:space="preserve">项目最高限价（控制价）：</w:t>
      </w:r>
      <w:r>
        <w:rPr>
          <w:rFonts w:hint="eastAsia" w:ascii="宋体" w:hAnsi="宋体" w:eastAsia="宋体" w:cs="宋体"/>
          <w:b w:val="0"/>
          <w:bCs w:val="0"/>
          <w:color w:val="000000"/>
          <w:sz w:val="24"/>
          <w:highlight w:val="none"/>
          <w:lang w:val="en-US" w:eastAsia="zh-CN"/>
        </w:rPr>
        <w:t xml:space="preserve">本项目单价限价：350元/台 </w:t>
      </w:r>
      <w:r>
        <w:rPr>
          <w:rFonts w:ascii="宋体" w:hAnsi="宋体" w:eastAsia="宋体" w:cs="宋体"/>
          <w:b w:val="0"/>
          <w:bCs w:val="0"/>
          <w:color w:val="000000"/>
          <w:sz w:val="24"/>
          <w:highlight w:val="none"/>
          <w:lang w:val="en-US" w:eastAsia="zh-CN"/>
        </w:rPr>
      </w:r>
      <w:r/>
    </w:p>
    <w:p>
      <w:pPr>
        <w:pStyle w:val="1010"/>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4.采购需求：本项目为常州市退役军人事务局慰问品采购</w:t>
      </w:r>
      <w:r>
        <w:rPr>
          <w:rFonts w:hint="eastAsia" w:ascii="宋体" w:hAnsi="宋体" w:eastAsia="宋体" w:cs="宋体"/>
          <w:color w:val="000000"/>
          <w:sz w:val="24"/>
          <w:highlight w:val="none"/>
          <w:lang w:eastAsia="zh-CN"/>
        </w:rPr>
        <w:t xml:space="preserve">项目</w:t>
      </w:r>
      <w:r>
        <w:rPr>
          <w:rFonts w:hint="eastAsia" w:ascii="宋体" w:hAnsi="宋体" w:eastAsia="宋体" w:cs="宋体"/>
          <w:color w:val="000000"/>
          <w:sz w:val="24"/>
          <w:highlight w:val="none"/>
        </w:rPr>
        <w:t xml:space="preserve">，慰问品为</w:t>
      </w:r>
      <w:r>
        <w:rPr>
          <w:rFonts w:hint="eastAsia" w:ascii="宋体" w:hAnsi="宋体" w:eastAsia="宋体" w:cs="宋体"/>
          <w:color w:val="000000"/>
          <w:sz w:val="24"/>
          <w:highlight w:val="none"/>
          <w:lang w:eastAsia="zh-CN"/>
        </w:rPr>
        <w:t xml:space="preserve">空气循环扇。</w:t>
      </w:r>
      <w:r>
        <w:rPr>
          <w:rFonts w:hint="eastAsia" w:ascii="宋体" w:hAnsi="宋体" w:eastAsia="宋体" w:cs="宋体"/>
          <w:color w:val="000000"/>
          <w:sz w:val="24"/>
          <w:highlight w:val="none"/>
          <w:lang w:val="en-US" w:eastAsia="zh-CN"/>
        </w:rPr>
        <w:t xml:space="preserve">具体结算数量以采购人实际验收合格供货数量为准，项目最终结算总价不超过本项目核定预算总额。</w:t>
      </w:r>
      <w:r>
        <w:rPr>
          <w:rFonts w:hint="eastAsia" w:ascii="宋体" w:hAnsi="宋体" w:eastAsia="宋体" w:cs="宋体"/>
          <w:color w:val="000000"/>
          <w:sz w:val="24"/>
          <w:highlight w:val="none"/>
          <w:lang w:val="en-US" w:eastAsia="zh-CN"/>
        </w:rPr>
      </w:r>
      <w:r/>
    </w:p>
    <w:p>
      <w:pPr>
        <w:pStyle w:val="1010"/>
        <w:ind w:left="0"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color w:val="000000"/>
          <w:sz w:val="24"/>
          <w:highlight w:val="none"/>
          <w:lang w:val="en-US" w:eastAsia="zh-CN"/>
        </w:rPr>
        <w:t xml:space="preserve">具体内容详见公开招标文件。</w:t>
      </w:r>
      <w:r>
        <w:rPr>
          <w:rFonts w:hint="eastAsia" w:ascii="宋体" w:hAnsi="宋体" w:eastAsia="宋体" w:cs="宋体"/>
          <w:color w:val="000000"/>
          <w:sz w:val="24"/>
          <w:highlight w:val="none"/>
          <w:lang w:val="en-US" w:eastAsia="zh-CN"/>
        </w:rPr>
      </w:r>
      <w:r/>
    </w:p>
    <w:p>
      <w:pPr>
        <w:pStyle w:val="1010"/>
        <w:ind w:left="0" w:firstLine="480"/>
        <w:pageBreakBefore w:val="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5.合同履行期限：</w:t>
      </w:r>
      <w:r>
        <w:rPr>
          <w:rFonts w:hint="eastAsia" w:ascii="宋体" w:hAnsi="宋体" w:eastAsia="宋体" w:cs="宋体"/>
          <w:color w:val="000000"/>
          <w:sz w:val="24"/>
          <w:highlight w:val="none"/>
          <w:lang w:val="en-US" w:eastAsia="zh-CN"/>
        </w:rPr>
        <w:t xml:space="preserve">合同签订生效后于2026年7月20日前完成全部货物送货就位、通电检测、完成整体验收交付。</w:t>
      </w:r>
      <w:r>
        <w:rPr>
          <w:rFonts w:hint="eastAsia" w:ascii="宋体" w:hAnsi="宋体" w:eastAsia="宋体" w:cs="宋体"/>
          <w:color w:val="000000"/>
          <w:sz w:val="24"/>
          <w:highlight w:val="none"/>
          <w:lang w:val="en-US" w:eastAsia="zh-CN"/>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 □是  ■否。</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7.本项目是否接受进口产品投标：□是  ■否。</w:t>
      </w:r>
      <w:r>
        <w:rPr>
          <w:rFonts w:hint="eastAsia" w:ascii="宋体" w:hAnsi="宋体" w:eastAsia="宋体" w:cs="宋体"/>
          <w:color w:val="000000"/>
          <w:sz w:val="24"/>
          <w:highlight w:val="none"/>
        </w:rPr>
      </w:r>
      <w:r/>
    </w:p>
    <w:p>
      <w:pPr>
        <w:pStyle w:val="1012"/>
        <w:ind w:left="0"/>
        <w:jc w:val="left"/>
        <w:pageBreakBefore w:val="0"/>
        <w:spacing w:before="0" w:line="460" w:lineRule="exact"/>
        <w:rPr>
          <w:rFonts w:hint="eastAsia" w:ascii="宋体" w:hAnsi="宋体" w:eastAsia="宋体" w:cs="宋体"/>
          <w:color w:val="000000"/>
          <w:sz w:val="24"/>
          <w:szCs w:val="24"/>
          <w:highlight w:val="none"/>
        </w:rPr>
      </w:pPr>
      <w:r/>
      <w:bookmarkStart w:id="19" w:name="_Toc35393791"/>
      <w:r/>
      <w:bookmarkStart w:id="20" w:name="_Toc35393622"/>
      <w:r/>
      <w:bookmarkStart w:id="21" w:name="_Toc28359080"/>
      <w:r/>
      <w:bookmarkStart w:id="22" w:name="_Toc28359003"/>
      <w:r>
        <w:rPr>
          <w:rFonts w:hint="eastAsia" w:ascii="宋体" w:hAnsi="宋体" w:eastAsia="宋体" w:cs="宋体"/>
          <w:color w:val="000000"/>
          <w:sz w:val="24"/>
          <w:szCs w:val="24"/>
          <w:highlight w:val="none"/>
        </w:rPr>
        <w:t xml:space="preserve">二、申请人的资格要求（须同时满足）</w:t>
      </w:r>
      <w:bookmarkEnd w:id="19"/>
      <w:r/>
      <w:bookmarkEnd w:id="20"/>
      <w:r/>
      <w:bookmarkEnd w:id="21"/>
      <w:r/>
      <w:bookmarkEnd w:id="22"/>
      <w:r>
        <w:rPr>
          <w:rFonts w:hint="eastAsia" w:ascii="宋体" w:hAnsi="宋体" w:eastAsia="宋体" w:cs="宋体"/>
          <w:color w:val="000000"/>
          <w:sz w:val="24"/>
          <w:szCs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outlineLvl w:val="2"/>
      </w:pPr>
      <w:r/>
      <w:bookmarkStart w:id="23" w:name="_Toc28359004"/>
      <w:r/>
      <w:bookmarkStart w:id="24" w:name="_Toc28359081"/>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采购。即：提供的服务全部由符合政策要求的中小企业承接。</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  /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i/>
          <w:iCs/>
          <w:color w:val="000000"/>
          <w:sz w:val="24"/>
          <w:highlight w:val="none"/>
          <w:u w:val="single"/>
        </w:rPr>
        <w:outlineLvl w:val="2"/>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1010"/>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1010"/>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1010"/>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1010"/>
        <w:ind w:left="0" w:firstLine="480"/>
        <w:pageBreakBefore w:val="0"/>
        <w:spacing w:line="460" w:lineRule="exact"/>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1273"/>
        <w:ind w:left="0" w:firstLine="480"/>
        <w:jc w:val="left"/>
        <w:pageBreakBefore w:val="0"/>
        <w:spacing w:before="0" w:line="460" w:lineRule="exact"/>
        <w:widowControl/>
        <w:rPr>
          <w:rFonts w:hint="eastAsia" w:ascii="宋体" w:hAnsi="宋体" w:eastAsia="宋体" w:cs="宋体"/>
          <w:b w:val="0"/>
          <w:bCs/>
          <w:color w:val="000000"/>
          <w:sz w:val="24"/>
          <w:highlight w:val="none"/>
          <w:lang w:eastAsia="zh-CN"/>
        </w:rPr>
        <w:outlineLvl w:val="3"/>
      </w:pPr>
      <w:r>
        <w:rPr>
          <w:rFonts w:hint="eastAsia" w:ascii="宋体" w:hAnsi="宋体" w:eastAsia="宋体" w:cs="宋体"/>
          <w:b w:val="0"/>
          <w:bCs/>
          <w:color w:val="000000"/>
          <w:sz w:val="24"/>
          <w:highlight w:val="none"/>
        </w:rPr>
        <w:t xml:space="preserve">3.3其他特定资格要求：</w:t>
      </w:r>
      <w:bookmarkEnd w:id="23"/>
      <w:r/>
      <w:bookmarkEnd w:id="24"/>
      <w:r/>
      <w:bookmarkStart w:id="25" w:name="_Toc35393623"/>
      <w:r/>
      <w:bookmarkStart w:id="26" w:name="_Toc35393792"/>
      <w:r>
        <w:rPr>
          <w:rFonts w:hint="eastAsia" w:ascii="宋体" w:hAnsi="宋体" w:eastAsia="宋体" w:cs="宋体"/>
          <w:b w:val="0"/>
          <w:bCs/>
          <w:color w:val="000000"/>
          <w:sz w:val="24"/>
          <w:highlight w:val="none"/>
          <w:lang w:eastAsia="zh-CN"/>
        </w:rPr>
        <w:t xml:space="preserve">无。</w:t>
      </w:r>
      <w:r>
        <w:rPr>
          <w:rFonts w:hint="eastAsia" w:ascii="宋体" w:hAnsi="宋体" w:eastAsia="宋体" w:cs="宋体"/>
          <w:b w:val="0"/>
          <w:bCs/>
          <w:color w:val="000000"/>
          <w:sz w:val="24"/>
          <w:highlight w:val="none"/>
          <w:lang w:eastAsia="zh-CN"/>
        </w:rPr>
      </w:r>
      <w:r/>
    </w:p>
    <w:p>
      <w:pPr>
        <w:pStyle w:val="1012"/>
        <w:ind w:left="0"/>
        <w:jc w:val="left"/>
        <w:pageBreakBefore w:val="0"/>
        <w:spacing w:before="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25"/>
      <w:r/>
      <w:bookmarkEnd w:id="26"/>
      <w:r>
        <w:rPr>
          <w:rFonts w:hint="eastAsia" w:ascii="宋体" w:hAnsi="宋体" w:eastAsia="宋体" w:cs="宋体"/>
          <w:color w:val="000000"/>
          <w:sz w:val="24"/>
          <w:szCs w:val="24"/>
          <w:highlight w:val="none"/>
        </w:rPr>
      </w:r>
      <w:r/>
    </w:p>
    <w:p>
      <w:pPr>
        <w:pStyle w:val="1010"/>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1.时间：自公告之日起</w:t>
      </w:r>
      <w:r>
        <w:rPr>
          <w:rFonts w:hint="eastAsia" w:ascii="宋体" w:hAnsi="宋体" w:eastAsia="宋体" w:cs="宋体"/>
          <w:color w:val="000000"/>
          <w:sz w:val="24"/>
          <w:highlight w:val="none"/>
          <w:lang w:val="en-US" w:eastAsia="zh-CN" w:bidi="ar"/>
        </w:rPr>
        <w:t xml:space="preserve">5个工作日</w:t>
      </w:r>
      <w:r>
        <w:rPr>
          <w:rFonts w:hint="eastAsia" w:ascii="宋体" w:hAnsi="宋体" w:eastAsia="宋体" w:cs="宋体"/>
          <w:color w:val="000000"/>
          <w:sz w:val="24"/>
          <w:highlight w:val="none"/>
          <w:lang w:bidi="ar"/>
        </w:rPr>
        <w:t xml:space="preserve">（北京时间，法定节假日除外）。</w:t>
      </w:r>
      <w:r>
        <w:rPr>
          <w:rFonts w:hint="eastAsia" w:ascii="宋体" w:hAnsi="宋体" w:eastAsia="宋体" w:cs="宋体"/>
          <w:color w:val="000000"/>
          <w:sz w:val="24"/>
          <w:highlight w:val="none"/>
          <w:lang w:bidi="ar"/>
        </w:rPr>
      </w:r>
      <w:r/>
    </w:p>
    <w:p>
      <w:pPr>
        <w:pStyle w:val="1010"/>
        <w:ind w:left="0" w:firstLine="480"/>
        <w:pageBreakBefore w:val="0"/>
        <w:spacing w:line="460" w:lineRule="exact"/>
        <w:rPr>
          <w:rFonts w:hint="eastAsia" w:ascii="宋体" w:hAnsi="宋体" w:eastAsia="宋体" w:cs="宋体"/>
          <w:color w:val="000000"/>
          <w:sz w:val="24"/>
          <w:highlight w:val="none"/>
          <w:lang w:bidi="ar"/>
        </w:rPr>
        <w:outlineLvl w:val="2"/>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lang w:bidi="ar"/>
        </w:rPr>
      </w:r>
      <w:r/>
    </w:p>
    <w:p>
      <w:pPr>
        <w:pStyle w:val="1010"/>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1010"/>
        <w:ind w:left="0" w:firstLine="480"/>
        <w:jc w:val="left"/>
        <w:pageBreakBefore w:val="0"/>
        <w:spacing w:line="460" w:lineRule="exact"/>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1012"/>
        <w:ind w:left="0"/>
        <w:jc w:val="left"/>
        <w:pageBreakBefore w:val="0"/>
        <w:spacing w:before="0" w:line="460" w:lineRule="exact"/>
        <w:widowControl/>
        <w:rPr>
          <w:rFonts w:hint="eastAsia" w:ascii="宋体" w:hAnsi="宋体" w:eastAsia="宋体" w:cs="宋体"/>
          <w:color w:val="000000"/>
          <w:sz w:val="24"/>
          <w:szCs w:val="24"/>
          <w:highlight w:val="none"/>
        </w:rPr>
      </w:pPr>
      <w:r/>
      <w:bookmarkStart w:id="27" w:name="_Toc28359082"/>
      <w:r/>
      <w:bookmarkStart w:id="28" w:name="_Toc28359005"/>
      <w:r/>
      <w:bookmarkStart w:id="29" w:name="_Toc35393624"/>
      <w:r/>
      <w:bookmarkStart w:id="30" w:name="_Toc35393793"/>
      <w:r>
        <w:rPr>
          <w:rFonts w:hint="eastAsia" w:ascii="宋体" w:hAnsi="宋体" w:eastAsia="宋体" w:cs="宋体"/>
          <w:color w:val="000000"/>
          <w:sz w:val="24"/>
          <w:szCs w:val="24"/>
          <w:highlight w:val="none"/>
        </w:rPr>
        <w:t xml:space="preserve">四、提交投标文件</w:t>
      </w:r>
      <w:bookmarkEnd w:id="27"/>
      <w:r/>
      <w:bookmarkEnd w:id="28"/>
      <w:r>
        <w:rPr>
          <w:rFonts w:hint="eastAsia" w:ascii="宋体" w:hAnsi="宋体" w:eastAsia="宋体" w:cs="宋体"/>
          <w:color w:val="000000"/>
          <w:sz w:val="24"/>
          <w:szCs w:val="24"/>
          <w:highlight w:val="none"/>
        </w:rPr>
        <w:t xml:space="preserve">截止时间、开标时间和地点</w:t>
      </w:r>
      <w:bookmarkEnd w:id="29"/>
      <w:r/>
      <w:bookmarkEnd w:id="30"/>
      <w:r>
        <w:rPr>
          <w:rFonts w:hint="eastAsia" w:ascii="宋体" w:hAnsi="宋体" w:eastAsia="宋体" w:cs="宋体"/>
          <w:color w:val="000000"/>
          <w:sz w:val="24"/>
          <w:szCs w:val="24"/>
          <w:highlight w:val="none"/>
        </w:rPr>
      </w:r>
      <w:r/>
    </w:p>
    <w:p>
      <w:pPr>
        <w:pStyle w:val="1010"/>
        <w:ind w:left="0" w:firstLine="480"/>
        <w:pageBreakBefore w:val="0"/>
        <w:spacing w:line="460" w:lineRule="exact"/>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26</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val="en-US" w:eastAsia="zh-CN" w:bidi="ar"/>
        </w:rPr>
        <w:t xml:space="preserve">09</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0分（北京时间）。</w:t>
      </w:r>
      <w:r>
        <w:rPr>
          <w:rFonts w:hint="eastAsia" w:ascii="宋体" w:hAnsi="宋体" w:eastAsia="宋体" w:cs="宋体"/>
          <w:bCs/>
          <w:color w:val="000000"/>
          <w:sz w:val="24"/>
          <w:highlight w:val="none"/>
          <w:u w:val="single"/>
        </w:rPr>
      </w:r>
      <w:r/>
    </w:p>
    <w:p>
      <w:pPr>
        <w:pStyle w:val="1010"/>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eastAsia="宋体" w:cs="宋体"/>
          <w:color w:val="000000"/>
          <w:sz w:val="24"/>
          <w:highlight w:val="none"/>
          <w:lang w:val="zh-TW" w:bidi="ar"/>
        </w:rPr>
      </w:r>
      <w:r/>
    </w:p>
    <w:p>
      <w:pPr>
        <w:pStyle w:val="1012"/>
        <w:ind w:left="0"/>
        <w:jc w:val="left"/>
        <w:pageBreakBefore w:val="0"/>
        <w:spacing w:before="0" w:line="460" w:lineRule="exact"/>
        <w:rPr>
          <w:rFonts w:hint="eastAsia" w:ascii="宋体" w:hAnsi="宋体" w:eastAsia="宋体" w:cs="宋体"/>
          <w:color w:val="000000"/>
          <w:sz w:val="24"/>
          <w:szCs w:val="24"/>
          <w:highlight w:val="none"/>
        </w:rPr>
      </w:pPr>
      <w:r/>
      <w:bookmarkStart w:id="31" w:name="_Toc28359007"/>
      <w:r/>
      <w:bookmarkStart w:id="32" w:name="_Toc28359084"/>
      <w:r/>
      <w:bookmarkStart w:id="33" w:name="_Toc35393625"/>
      <w:r/>
      <w:bookmarkStart w:id="34" w:name="_Toc35393794"/>
      <w:r>
        <w:rPr>
          <w:rFonts w:hint="eastAsia" w:ascii="宋体" w:hAnsi="宋体" w:eastAsia="宋体" w:cs="宋体"/>
          <w:color w:val="000000"/>
          <w:sz w:val="24"/>
          <w:szCs w:val="24"/>
          <w:highlight w:val="none"/>
        </w:rPr>
        <w:t xml:space="preserve">五、公告期限</w:t>
      </w:r>
      <w:bookmarkEnd w:id="31"/>
      <w:r/>
      <w:bookmarkEnd w:id="32"/>
      <w:r/>
      <w:bookmarkEnd w:id="33"/>
      <w:r/>
      <w:bookmarkEnd w:id="34"/>
      <w:r>
        <w:rPr>
          <w:rFonts w:hint="eastAsia" w:ascii="宋体" w:hAnsi="宋体" w:eastAsia="宋体" w:cs="宋体"/>
          <w:color w:val="000000"/>
          <w:sz w:val="24"/>
          <w:szCs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1012"/>
        <w:ind w:left="0"/>
        <w:jc w:val="left"/>
        <w:pageBreakBefore w:val="0"/>
        <w:spacing w:before="0" w:line="460" w:lineRule="exact"/>
        <w:rPr>
          <w:rFonts w:hint="eastAsia" w:ascii="宋体" w:hAnsi="宋体" w:eastAsia="宋体" w:cs="宋体"/>
          <w:color w:val="000000"/>
          <w:sz w:val="24"/>
          <w:szCs w:val="24"/>
          <w:highlight w:val="none"/>
        </w:rPr>
      </w:pPr>
      <w:r/>
      <w:bookmarkStart w:id="35" w:name="_Toc35393626"/>
      <w:r/>
      <w:bookmarkStart w:id="36" w:name="_Toc35393795"/>
      <w:r>
        <w:rPr>
          <w:rFonts w:hint="eastAsia" w:ascii="宋体" w:hAnsi="宋体" w:eastAsia="宋体" w:cs="宋体"/>
          <w:color w:val="000000"/>
          <w:sz w:val="24"/>
          <w:szCs w:val="24"/>
          <w:highlight w:val="none"/>
        </w:rPr>
        <w:t xml:space="preserve">六、其他补充事宜</w:t>
      </w:r>
      <w:bookmarkEnd w:id="35"/>
      <w:r/>
      <w:bookmarkEnd w:id="36"/>
      <w:r>
        <w:rPr>
          <w:rFonts w:hint="eastAsia" w:ascii="宋体" w:hAnsi="宋体" w:eastAsia="宋体" w:cs="宋体"/>
          <w:color w:val="000000"/>
          <w:sz w:val="24"/>
          <w:szCs w:val="24"/>
          <w:highlight w:val="none"/>
        </w:rPr>
      </w:r>
      <w:r/>
    </w:p>
    <w:p>
      <w:pPr>
        <w:pStyle w:val="1010"/>
        <w:ind w:left="0" w:firstLine="480"/>
        <w:pageBreakBefore w:val="0"/>
        <w:spacing w:line="460" w:lineRule="exact"/>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lang w:bidi="ar"/>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0"/>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2.根据省财政厅《关于更换全省政府采购交易系统CA数字证书和电子签章的通知》（苏财购〔2023〕101号），“苏采云”政府采购</w:t>
      </w:r>
      <w:r>
        <w:rPr>
          <w:rFonts w:hint="eastAsia" w:ascii="宋体" w:hAnsi="宋体" w:eastAsia="宋体" w:cs="宋体"/>
          <w:color w:val="000000"/>
          <w:sz w:val="24"/>
          <w:highlight w:val="none"/>
          <w:lang w:eastAsia="zh-CN" w:bidi="ar"/>
        </w:rPr>
        <w:t xml:space="preserve">一体化平台</w:t>
      </w:r>
      <w:r>
        <w:rPr>
          <w:rFonts w:hint="eastAsia" w:ascii="宋体" w:hAnsi="宋体" w:eastAsia="宋体" w:cs="宋体"/>
          <w:color w:val="000000"/>
          <w:sz w:val="24"/>
          <w:highlight w:val="none"/>
          <w:lang w:bidi="ar"/>
        </w:rPr>
        <w:t xml:space="preserve">系统（以下简称苏采云系统）的CA数字证书、电子签章已更换为江苏省电子政务证书认证中心CA和方正国际软件（北京）有限公司电子签章。如果</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通过</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苏采云</w:t>
      </w:r>
      <w:r>
        <w:rPr>
          <w:rFonts w:hint="eastAsia" w:ascii="宋体" w:hAnsi="宋体" w:eastAsia="宋体" w:cs="宋体"/>
          <w:color w:val="000000"/>
          <w:sz w:val="24"/>
          <w:highlight w:val="none"/>
          <w:lang w:eastAsia="zh-CN" w:bidi="ar"/>
        </w:rPr>
        <w:t xml:space="preserve">”平台</w:t>
      </w:r>
      <w:r>
        <w:rPr>
          <w:rFonts w:hint="eastAsia" w:ascii="宋体" w:hAnsi="宋体" w:eastAsia="宋体" w:cs="宋体"/>
          <w:color w:val="000000"/>
          <w:sz w:val="24"/>
          <w:highlight w:val="none"/>
          <w:lang w:bidi="ar"/>
        </w:rPr>
        <w:t xml:space="preserve">系统参与政府采购项目，需要更换CA数字证书和电子签章。具体办理指南和操作手册见链接：http://www.ccgp-jiangsu.gov.cn/jiangsu/zlxz/ee/ee3a4bc5a3454aa2b0d9312230633ce9.html、http://zfcg.changzhou.gov.cn/html/ns/down/921135080660472.html。</w:t>
      </w:r>
      <w:r>
        <w:rPr>
          <w:rFonts w:hint="eastAsia" w:ascii="宋体" w:hAnsi="宋体" w:eastAsia="宋体" w:cs="宋体"/>
          <w:color w:val="000000"/>
          <w:sz w:val="24"/>
          <w:highlight w:val="none"/>
          <w:lang w:bidi="ar"/>
        </w:rPr>
      </w:r>
      <w:r/>
    </w:p>
    <w:p>
      <w:pPr>
        <w:pStyle w:val="1010"/>
        <w:ind w:left="0" w:firstLine="480"/>
        <w:jc w:val="left"/>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bidi="ar"/>
        </w:rPr>
      </w:r>
      <w:r/>
    </w:p>
    <w:p>
      <w:pPr>
        <w:pStyle w:val="1010"/>
        <w:ind w:left="0" w:firstLine="480"/>
        <w:jc w:val="left"/>
        <w:pageBreakBefore w:val="0"/>
        <w:spacing w:line="460" w:lineRule="exact"/>
        <w:widowControl/>
        <w:rPr>
          <w:rFonts w:hint="eastAsia" w:ascii="宋体" w:hAnsi="宋体" w:eastAsia="宋体" w:cs="宋体"/>
          <w:bCs/>
          <w:color w:val="000000"/>
          <w:sz w:val="24"/>
          <w:highlight w:val="none"/>
          <w:lang w:bidi="ar"/>
        </w:rPr>
      </w:pPr>
      <w:r>
        <w:rPr>
          <w:rFonts w:hint="eastAsia" w:ascii="宋体" w:hAnsi="宋体" w:eastAsia="宋体" w:cs="宋体"/>
          <w:color w:val="000000"/>
          <w:sz w:val="24"/>
          <w:highlight w:val="none"/>
          <w:lang w:bidi="ar"/>
        </w:rPr>
        <w:t xml:space="preserve">4.本项目采用全流程电子化采购方式，请</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认真学习“苏采云”政府采购一体化平台发布的相关操作手册，办理CA认证证书、进行“苏采云”政府采购一体化平台注册绑定，并认真核实</w:t>
      </w:r>
      <w:r>
        <w:rPr>
          <w:rFonts w:hint="eastAsia" w:ascii="宋体" w:hAnsi="宋体" w:eastAsia="宋体" w:cs="宋体"/>
          <w:bCs/>
          <w:color w:val="000000"/>
          <w:sz w:val="24"/>
          <w:highlight w:val="none"/>
          <w:lang w:bidi="ar"/>
        </w:rPr>
        <w:t xml:space="preserve">数字认证证书情况确认是否符合本项目电子化采购流程要求。</w:t>
      </w:r>
      <w:r>
        <w:rPr>
          <w:rFonts w:hint="eastAsia" w:ascii="宋体" w:hAnsi="宋体" w:eastAsia="宋体" w:cs="宋体"/>
          <w:bCs/>
          <w:color w:val="000000"/>
          <w:sz w:val="24"/>
          <w:highlight w:val="none"/>
          <w:lang w:bidi="ar"/>
        </w:rPr>
      </w:r>
      <w:r/>
    </w:p>
    <w:p>
      <w:pPr>
        <w:pStyle w:val="1010"/>
        <w:ind w:left="0" w:firstLine="48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技术支持服务热线    0519-85588210  0519-85588163</w:t>
      </w:r>
      <w:r>
        <w:rPr>
          <w:rFonts w:hint="eastAsia" w:ascii="宋体" w:hAnsi="宋体" w:eastAsia="宋体" w:cs="宋体"/>
          <w:color w:val="000000"/>
          <w:sz w:val="24"/>
          <w:highlight w:val="none"/>
        </w:rPr>
      </w:r>
      <w:r/>
    </w:p>
    <w:p>
      <w:pPr>
        <w:pStyle w:val="1010"/>
        <w:ind w:left="0" w:firstLine="480"/>
        <w:pageBreakBefore w:val="0"/>
        <w:spacing w:line="46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CA认证证书办理（可邮寄）联系电话   0519-85588120</w:t>
      </w:r>
      <w:r>
        <w:rPr>
          <w:rFonts w:hint="eastAsia" w:ascii="宋体" w:hAnsi="宋体" w:eastAsia="宋体" w:cs="宋体"/>
          <w:color w:val="000000"/>
          <w:sz w:val="24"/>
          <w:highlight w:val="none"/>
          <w:lang w:bidi="ar"/>
        </w:rPr>
      </w:r>
      <w:r/>
    </w:p>
    <w:p>
      <w:pPr>
        <w:pStyle w:val="1010"/>
        <w:ind w:left="0" w:firstLine="480"/>
        <w:pageBreakBefore w:val="0"/>
        <w:spacing w:line="460" w:lineRule="exact"/>
        <w:rPr>
          <w:rFonts w:hint="eastAsia" w:ascii="宋体" w:hAnsi="宋体" w:eastAsia="宋体" w:cs="宋体"/>
          <w:color w:val="000000"/>
          <w:sz w:val="24"/>
          <w:highlight w:val="none"/>
          <w:lang w:val="zh-TW" w:bidi="ar"/>
        </w:rPr>
        <w:outlineLvl w:val="2"/>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1010"/>
        <w:ind w:left="0" w:firstLine="480"/>
        <w:pageBreakBefore w:val="0"/>
        <w:spacing w:line="460" w:lineRule="exact"/>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val="zh-TW" w:bidi="ar"/>
        </w:rPr>
        <w:t xml:space="preserve">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1012"/>
        <w:ind w:left="0"/>
        <w:jc w:val="left"/>
        <w:pageBreakBefore w:val="0"/>
        <w:spacing w:before="0" w:line="460" w:lineRule="exact"/>
        <w:rPr>
          <w:rFonts w:hint="eastAsia" w:ascii="宋体" w:hAnsi="宋体" w:eastAsia="宋体" w:cs="宋体"/>
          <w:color w:val="000000"/>
          <w:sz w:val="24"/>
          <w:szCs w:val="24"/>
          <w:highlight w:val="none"/>
        </w:rPr>
      </w:pPr>
      <w:r/>
      <w:bookmarkStart w:id="37" w:name="_Toc28359085"/>
      <w:r/>
      <w:bookmarkStart w:id="38" w:name="_Toc35393796"/>
      <w:r/>
      <w:bookmarkStart w:id="39" w:name="_Toc28359008"/>
      <w:r/>
      <w:bookmarkStart w:id="40" w:name="_Toc35393627"/>
      <w:r>
        <w:rPr>
          <w:rFonts w:hint="eastAsia" w:ascii="宋体" w:hAnsi="宋体" w:eastAsia="宋体" w:cs="宋体"/>
          <w:color w:val="000000"/>
          <w:sz w:val="24"/>
          <w:szCs w:val="24"/>
          <w:highlight w:val="none"/>
        </w:rPr>
        <w:t xml:space="preserve">七、对本次招标提出询问，请按以下方式联系。</w:t>
      </w:r>
      <w:bookmarkEnd w:id="37"/>
      <w:r/>
      <w:bookmarkEnd w:id="38"/>
      <w:r/>
      <w:bookmarkEnd w:id="39"/>
      <w:r/>
      <w:bookmarkEnd w:id="40"/>
      <w:r>
        <w:rPr>
          <w:rFonts w:hint="eastAsia" w:ascii="宋体" w:hAnsi="宋体" w:eastAsia="宋体" w:cs="宋体"/>
          <w:color w:val="000000"/>
          <w:sz w:val="24"/>
          <w:szCs w:val="24"/>
          <w:highlight w:val="none"/>
        </w:rPr>
      </w:r>
      <w:r/>
    </w:p>
    <w:p>
      <w:pPr>
        <w:pStyle w:val="1010"/>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bookmarkStart w:id="41" w:name="_Toc28359009"/>
      <w:r/>
      <w:bookmarkStart w:id="42" w:name="_Toc28359086"/>
      <w:r>
        <w:rPr>
          <w:rFonts w:hint="eastAsia" w:ascii="宋体" w:hAnsi="宋体" w:eastAsia="宋体" w:cs="宋体"/>
          <w:bCs/>
          <w:color w:val="000000"/>
          <w:sz w:val="24"/>
          <w:highlight w:val="none"/>
        </w:rPr>
        <w:t xml:space="preserve">名  称：</w:t>
      </w:r>
      <w:r>
        <w:rPr>
          <w:rFonts w:hint="eastAsia" w:ascii="宋体" w:hAnsi="宋体" w:eastAsia="宋体" w:cs="宋体"/>
          <w:bCs/>
          <w:color w:val="000000"/>
          <w:sz w:val="24"/>
          <w:szCs w:val="24"/>
          <w:highlight w:val="none"/>
          <w:lang w:eastAsia="zh-CN"/>
        </w:rPr>
        <w:t xml:space="preserve">常州市退役军人事务局</w:t>
      </w:r>
      <w:r>
        <w:rPr>
          <w:rFonts w:hint="eastAsia" w:ascii="宋体" w:hAnsi="宋体" w:eastAsia="宋体" w:cs="宋体"/>
          <w:bCs/>
          <w:color w:val="000000"/>
          <w:sz w:val="24"/>
          <w:szCs w:val="24"/>
          <w:highlight w:val="none"/>
          <w:lang w:eastAsia="zh-CN"/>
        </w:rPr>
      </w:r>
      <w:r/>
    </w:p>
    <w:p>
      <w:pPr>
        <w:pStyle w:val="1010"/>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地  址：常州市新北区汉江路390号</w:t>
      </w:r>
      <w:r>
        <w:rPr>
          <w:rFonts w:hint="eastAsia" w:ascii="宋体" w:hAnsi="宋体" w:eastAsia="宋体" w:cs="宋体"/>
          <w:b w:val="0"/>
          <w:bCs/>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联系人：</w:t>
      </w:r>
      <w:r>
        <w:rPr>
          <w:rFonts w:hint="eastAsia" w:ascii="宋体" w:hAnsi="宋体" w:eastAsia="宋体" w:cs="宋体"/>
          <w:b w:val="0"/>
          <w:bCs/>
          <w:color w:val="000000"/>
          <w:sz w:val="24"/>
          <w:highlight w:val="none"/>
          <w:lang w:val="en-US" w:eastAsia="zh-CN"/>
        </w:rPr>
        <w:t xml:space="preserve">刘</w:t>
      </w:r>
      <w:r>
        <w:rPr>
          <w:rFonts w:hint="eastAsia" w:ascii="宋体" w:hAnsi="宋体" w:eastAsia="宋体" w:cs="宋体"/>
          <w:b w:val="0"/>
          <w:bCs/>
          <w:color w:val="000000"/>
          <w:sz w:val="24"/>
          <w:highlight w:val="none"/>
        </w:rPr>
        <w:t xml:space="preserve">先生</w:t>
      </w:r>
      <w:r>
        <w:rPr>
          <w:rFonts w:hint="eastAsia" w:ascii="宋体" w:hAnsi="宋体" w:eastAsia="宋体" w:cs="宋体"/>
          <w:b w:val="0"/>
          <w:bCs/>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rPr>
        <w:t xml:space="preserve">联系电话：0519-</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rPr>
        <w:t xml:space="preserve">5686152</w:t>
      </w:r>
      <w:r>
        <w:rPr>
          <w:rFonts w:hint="eastAsia" w:ascii="宋体" w:hAnsi="宋体" w:eastAsia="宋体" w:cs="宋体"/>
          <w:b w:val="0"/>
          <w:bCs/>
          <w:color w:val="000000"/>
          <w:sz w:val="24"/>
          <w:highlight w:val="none"/>
          <w:lang w:val="en-US" w:eastAsia="zh-CN"/>
        </w:rPr>
      </w:r>
      <w:r/>
    </w:p>
    <w:p>
      <w:pPr>
        <w:pStyle w:val="1010"/>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2.采购代理机构信息</w:t>
      </w:r>
      <w:bookmarkEnd w:id="41"/>
      <w:r/>
      <w:bookmarkEnd w:id="42"/>
      <w:r>
        <w:rPr>
          <w:rFonts w:hint="eastAsia" w:ascii="宋体" w:hAnsi="宋体" w:eastAsia="宋体" w:cs="宋体"/>
          <w:b/>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bookmarkStart w:id="43" w:name="_Toc28359087"/>
      <w:r/>
      <w:bookmarkStart w:id="44" w:name="_Toc28359010"/>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1010"/>
        <w:ind w:left="0"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1010"/>
        <w:ind w:left="0" w:firstLine="482"/>
        <w:jc w:val="left"/>
        <w:keepLines w:val="0"/>
        <w:keepNext w:val="0"/>
        <w:pageBreakBefore w:val="0"/>
        <w:spacing w:line="460" w:lineRule="exact"/>
        <w:widowControl w:val="off"/>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3.项目联系方式</w:t>
      </w:r>
      <w:bookmarkEnd w:id="43"/>
      <w:r/>
      <w:bookmarkEnd w:id="44"/>
      <w:r>
        <w:rPr>
          <w:rFonts w:hint="eastAsia" w:ascii="宋体" w:hAnsi="宋体" w:eastAsia="宋体" w:cs="宋体"/>
          <w:b/>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000000"/>
          <w:sz w:val="24"/>
          <w:highlight w:val="none"/>
          <w:lang w:eastAsia="zh-CN"/>
        </w:rPr>
        <w:t xml:space="preserve">周</w:t>
      </w:r>
      <w:r>
        <w:rPr>
          <w:rFonts w:hint="eastAsia" w:ascii="宋体" w:hAnsi="宋体" w:eastAsia="宋体" w:cs="宋体"/>
          <w:color w:val="000000"/>
          <w:sz w:val="24"/>
          <w:highlight w:val="none"/>
        </w:rPr>
        <w:t xml:space="preserve">女士</w:t>
      </w:r>
      <w:r>
        <w:rPr>
          <w:rFonts w:hint="eastAsia" w:ascii="宋体" w:hAnsi="宋体" w:eastAsia="宋体" w:cs="宋体"/>
          <w:color w:val="000000"/>
          <w:sz w:val="24"/>
          <w:highlight w:val="none"/>
        </w:rPr>
      </w:r>
      <w:r/>
    </w:p>
    <w:p>
      <w:pPr>
        <w:pStyle w:val="1010"/>
        <w:ind w:left="0" w:firstLine="480"/>
        <w:jc w:val="left"/>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1010"/>
        <w:ind w:firstLine="480"/>
        <w:jc w:val="left"/>
        <w:spacing w:line="360" w:lineRule="auto"/>
        <w:rPr>
          <w:rFonts w:hint="eastAsia"/>
          <w:color w:val="000000"/>
          <w:sz w:val="24"/>
          <w:highlight w:val="none"/>
        </w:rPr>
      </w:pPr>
      <w:r>
        <w:rPr>
          <w:rFonts w:hint="eastAsia"/>
          <w:color w:val="000000"/>
          <w:sz w:val="24"/>
          <w:highlight w:val="none"/>
        </w:rPr>
      </w:r>
      <w:r/>
    </w:p>
    <w:p>
      <w:pPr>
        <w:pStyle w:val="1010"/>
        <w:ind w:firstLine="48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101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45" w:name="_Toc226965856"/>
      <w:r/>
      <w:bookmarkStart w:id="46" w:name="_Toc512937850"/>
      <w:r/>
      <w:bookmarkStart w:id="47" w:name="_Toc353825548"/>
      <w:r/>
      <w:bookmarkStart w:id="48" w:name="_Toc30468"/>
      <w:r/>
      <w:bookmarkStart w:id="49" w:name="_Toc195842950"/>
      <w:r/>
      <w:bookmarkStart w:id="50" w:name="_Toc127151777"/>
      <w:r/>
      <w:bookmarkStart w:id="51" w:name="_Toc127161488"/>
      <w:r/>
      <w:bookmarkStart w:id="52" w:name="_Toc305158854"/>
      <w:r/>
      <w:bookmarkStart w:id="53" w:name="_Toc10221"/>
      <w:r/>
      <w:bookmarkStart w:id="54" w:name="_Toc150774783"/>
      <w:r/>
      <w:bookmarkStart w:id="55" w:name="_Toc305158928"/>
      <w:r/>
      <w:bookmarkStart w:id="56" w:name="_Toc264969275"/>
      <w:r/>
      <w:bookmarkStart w:id="57" w:name="_Toc353873938"/>
      <w:r/>
      <w:bookmarkStart w:id="58" w:name="_Toc265228423"/>
      <w:r>
        <w:rPr>
          <w:rFonts w:ascii="宋体" w:hAnsi="宋体"/>
          <w:b/>
          <w:color w:val="000000"/>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b/>
          <w:color w:val="000000"/>
          <w:sz w:val="32"/>
          <w:szCs w:val="32"/>
          <w:highlight w:val="none"/>
        </w:rPr>
      </w:r>
      <w:r/>
    </w:p>
    <w:p>
      <w:pPr>
        <w:pStyle w:val="1012"/>
        <w:spacing w:before="0" w:line="360" w:lineRule="auto"/>
        <w:tabs>
          <w:tab w:val="center" w:pos="4592" w:leader="none"/>
          <w:tab w:val="left" w:pos="7860" w:leader="none"/>
        </w:tabs>
        <w:rPr>
          <w:rFonts w:ascii="宋体" w:hAnsi="宋体" w:eastAsia="宋体"/>
          <w:color w:val="000000"/>
          <w:sz w:val="28"/>
          <w:highlight w:val="none"/>
        </w:rPr>
      </w:pPr>
      <w:r/>
      <w:bookmarkStart w:id="59" w:name="_Toc150774619"/>
      <w:r/>
      <w:bookmarkStart w:id="60" w:name="_Toc520356144"/>
      <w:r/>
      <w:bookmarkStart w:id="61" w:name="_Toc150509270"/>
      <w:r/>
      <w:bookmarkStart w:id="62" w:name="_Toc127161433"/>
      <w:r/>
      <w:bookmarkStart w:id="63" w:name="_Toc127151720"/>
      <w:r/>
      <w:bookmarkStart w:id="64" w:name="_Toc151193761"/>
      <w:r/>
      <w:bookmarkStart w:id="65" w:name="_Toc150774724"/>
      <w:r/>
      <w:bookmarkStart w:id="66" w:name="_Toc151190146"/>
      <w:r/>
      <w:bookmarkStart w:id="67" w:name="_Toc151193907"/>
      <w:r/>
      <w:bookmarkStart w:id="68" w:name="_Toc164608633"/>
      <w:r/>
      <w:bookmarkStart w:id="69" w:name="_Toc226309763"/>
      <w:r/>
      <w:bookmarkStart w:id="70" w:name="_Toc149720812"/>
      <w:r/>
      <w:bookmarkStart w:id="71" w:name="_Toc164351613"/>
      <w:r/>
      <w:bookmarkStart w:id="72" w:name="_Toc127151519"/>
      <w:r/>
      <w:bookmarkStart w:id="73" w:name="_Toc195842884"/>
      <w:r/>
      <w:bookmarkStart w:id="74" w:name="_Toc150480757"/>
      <w:r/>
      <w:bookmarkStart w:id="75" w:name="_Toc226965792"/>
      <w:r/>
      <w:bookmarkStart w:id="76" w:name="_Toc164229360"/>
      <w:r/>
      <w:bookmarkStart w:id="77" w:name="_Toc226337215"/>
      <w:r/>
      <w:bookmarkStart w:id="78" w:name="_Toc151193689"/>
      <w:r/>
      <w:bookmarkStart w:id="79" w:name="_Toc151193617"/>
      <w:r/>
      <w:bookmarkStart w:id="80" w:name="_Toc142311021"/>
      <w:r/>
      <w:bookmarkStart w:id="81" w:name="_Toc164608788"/>
      <w:r/>
      <w:bookmarkStart w:id="82" w:name="_Toc164229214"/>
      <w:r/>
      <w:bookmarkStart w:id="83" w:name="_Toc226965709"/>
      <w:r/>
      <w:bookmarkStart w:id="84" w:name="_Toc151193833"/>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10"/>
        <w:jc w:val="center"/>
        <w:rPr>
          <w:rFonts w:ascii="宋体" w:hAnsi="宋体"/>
          <w:b/>
          <w:color w:val="000000"/>
          <w:sz w:val="28"/>
          <w:szCs w:val="28"/>
          <w:highlight w:val="none"/>
        </w:rPr>
      </w:pPr>
      <w:r>
        <w:rPr>
          <w:rFonts w:ascii="宋体" w:hAnsi="宋体"/>
          <w:b/>
          <w:color w:val="000000"/>
          <w:sz w:val="28"/>
          <w:szCs w:val="28"/>
          <w:highlight w:val="none"/>
        </w:rPr>
      </w:r>
      <w:r/>
    </w:p>
    <w:p>
      <w:pPr>
        <w:pStyle w:val="1010"/>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0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666"/>
        <w:gridCol w:w="7385"/>
      </w:tblGrid>
      <w:tr>
        <w:trPr>
          <w:trHeight w:val="354"/>
          <w:tblHeader/>
        </w:trPr>
        <w:tc>
          <w:tcPr>
            <w:tcW w:w="967" w:type="dxa"/>
            <w:vAlign w:val="center"/>
            <w:textDirection w:val="lrTb"/>
            <w:noWrap w:val="false"/>
          </w:tcPr>
          <w:p>
            <w:pPr>
              <w:pStyle w:val="1010"/>
              <w:jc w:val="center"/>
              <w:spacing w:line="380" w:lineRule="exact"/>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666" w:type="dxa"/>
            <w:vAlign w:val="center"/>
            <w:textDirection w:val="lrTb"/>
            <w:noWrap w:val="false"/>
          </w:tcPr>
          <w:p>
            <w:pPr>
              <w:pStyle w:val="1010"/>
              <w:jc w:val="center"/>
              <w:spacing w:line="380" w:lineRule="exact"/>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385" w:type="dxa"/>
            <w:vAlign w:val="center"/>
            <w:textDirection w:val="lrTb"/>
            <w:noWrap w:val="false"/>
          </w:tcPr>
          <w:p>
            <w:pPr>
              <w:pStyle w:val="1010"/>
              <w:jc w:val="center"/>
              <w:spacing w:line="380" w:lineRule="exact"/>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674"/>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□服务</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674"/>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674"/>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385" w:type="dxa"/>
            <w:vAlign w:val="center"/>
            <w:textDirection w:val="lrTb"/>
            <w:noWrap w:val="false"/>
          </w:tcPr>
          <w:p>
            <w:pPr>
              <w:pStyle w:val="1049"/>
              <w:keepLines w:val="0"/>
              <w:keepNext w:val="0"/>
              <w:pageBreakBefore w:val="0"/>
              <w:spacing w:line="400" w:lineRule="exact"/>
              <w:rPr>
                <w:rFonts w:hAnsi="宋体"/>
                <w:color w:val="000000"/>
                <w:sz w:val="24"/>
                <w:szCs w:val="24"/>
                <w:highlight w:val="none"/>
              </w:rPr>
            </w:pPr>
            <w:r>
              <w:rPr>
                <w:rFonts w:hint="eastAsia" w:ascii="宋体" w:hAnsi="宋体"/>
                <w:color w:val="000000"/>
                <w:sz w:val="24"/>
                <w:highlight w:val="none"/>
                <w:lang w:eastAsia="zh-CN"/>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1049"/>
              <w:keepLines w:val="0"/>
              <w:keepNext w:val="0"/>
              <w:pageBreakBefore w:val="0"/>
              <w:spacing w:line="400" w:lineRule="exact"/>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本项目为单一产品采购项目。</w:t>
            </w:r>
            <w:r>
              <w:rPr>
                <w:rFonts w:hAnsi="宋体"/>
                <w:color w:val="000000"/>
                <w:sz w:val="24"/>
                <w:szCs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包为非单一产品采购项目，核心产品为：</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w:t>
            </w:r>
            <w:r>
              <w:rPr>
                <w:rFonts w:ascii="宋体" w:hAnsi="宋体"/>
                <w:color w:val="000000"/>
                <w:sz w:val="24"/>
                <w:highlight w:val="none"/>
              </w:rPr>
            </w:r>
            <w:r/>
          </w:p>
        </w:tc>
      </w:tr>
      <w:tr>
        <w:trPr>
          <w:trHeight w:val="674"/>
        </w:trPr>
        <w:tc>
          <w:tcPr>
            <w:tcW w:w="967" w:type="dxa"/>
            <w:vAlign w:val="center"/>
            <w:vMerge w:val="restart"/>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1010"/>
              <w:jc w:val="left"/>
              <w:keepLines w:val="0"/>
              <w:keepNext w:val="0"/>
              <w:pageBreakBefore w:val="0"/>
              <w:spacing w:line="400" w:lineRule="exac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49"/>
              <w:keepLines w:val="0"/>
              <w:keepNext w:val="0"/>
              <w:pageBreakBefore w:val="0"/>
              <w:spacing w:line="400" w:lineRule="exact"/>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674"/>
        </w:trPr>
        <w:tc>
          <w:tcPr>
            <w:tcW w:w="967" w:type="dxa"/>
            <w:vAlign w:val="center"/>
            <w:vMerge w:val="continue"/>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□召开，召开时间：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年</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月</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日</w:t>
            </w:r>
            <w:r>
              <w:rPr>
                <w:rFonts w:hint="eastAsia" w:ascii="宋体" w:hAnsi="宋体"/>
                <w:color w:val="000000"/>
                <w:sz w:val="24"/>
                <w:highlight w:val="none"/>
                <w:u w:val="single"/>
                <w:lang w:val="en-US" w:eastAsia="zh-CN"/>
              </w:rPr>
              <w:t xml:space="preserve">   </w:t>
            </w:r>
            <w:r>
              <w:rPr>
                <w:rFonts w:ascii="宋体" w:hAnsi="宋体"/>
                <w:bCs/>
                <w:color w:val="000000"/>
                <w:sz w:val="24"/>
                <w:highlight w:val="none"/>
              </w:rPr>
              <w:t xml:space="preserve">点</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分</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召开地点：</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w:t>
            </w:r>
            <w:r>
              <w:rPr>
                <w:rFonts w:ascii="宋体" w:hAnsi="宋体"/>
                <w:color w:val="000000"/>
                <w:sz w:val="24"/>
                <w:highlight w:val="none"/>
              </w:rPr>
            </w:r>
            <w:r/>
          </w:p>
        </w:tc>
      </w:tr>
      <w:tr>
        <w:trPr>
          <w:trHeight w:val="912"/>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yellow"/>
              </w:rPr>
            </w:pPr>
            <w:r>
              <w:rPr>
                <w:rFonts w:ascii="宋体" w:hAnsi="宋体"/>
                <w:color w:val="000000"/>
                <w:sz w:val="24"/>
                <w:highlight w:val="yellow"/>
              </w:rPr>
              <w:t xml:space="preserve">样品</w:t>
            </w:r>
            <w:r>
              <w:rPr>
                <w:rFonts w:ascii="宋体" w:hAnsi="宋体"/>
                <w:color w:val="000000"/>
                <w:sz w:val="24"/>
                <w:highlight w:val="yellow"/>
              </w:rPr>
            </w:r>
            <w:r/>
          </w:p>
        </w:tc>
        <w:tc>
          <w:tcPr>
            <w:tcW w:w="7385" w:type="dxa"/>
            <w:vAlign w:val="center"/>
            <w:textDirection w:val="lrTb"/>
            <w:noWrap w:val="false"/>
          </w:tcPr>
          <w:p>
            <w:pPr>
              <w:pStyle w:val="1010"/>
              <w:jc w:val="left"/>
              <w:keepLines w:val="0"/>
              <w:keepNext w:val="0"/>
              <w:pageBreakBefore w:val="0"/>
              <w:spacing w:line="400" w:lineRule="exact"/>
              <w:widowControl w:val="off"/>
              <w:rPr>
                <w:rFonts w:ascii="宋体" w:hAnsi="宋体"/>
                <w:color w:val="000000"/>
                <w:sz w:val="24"/>
                <w:highlight w:val="yellow"/>
              </w:rPr>
            </w:pPr>
            <w:r>
              <w:rPr>
                <w:rFonts w:ascii="宋体" w:hAnsi="宋体"/>
                <w:color w:val="000000"/>
                <w:sz w:val="24"/>
                <w:highlight w:val="yellow"/>
              </w:rPr>
              <w:t xml:space="preserve">投标样品递交：</w:t>
            </w:r>
            <w:r>
              <w:rPr>
                <w:rFonts w:ascii="宋体" w:hAnsi="宋体"/>
                <w:color w:val="000000"/>
                <w:sz w:val="24"/>
                <w:highlight w:val="yellow"/>
              </w:rPr>
            </w:r>
            <w:r/>
          </w:p>
          <w:p>
            <w:pPr>
              <w:pStyle w:val="1010"/>
              <w:jc w:val="left"/>
              <w:keepLines w:val="0"/>
              <w:keepNext w:val="0"/>
              <w:pageBreakBefore w:val="0"/>
              <w:spacing w:line="400" w:lineRule="exact"/>
              <w:widowControl w:val="off"/>
              <w:rPr>
                <w:rFonts w:ascii="宋体" w:hAnsi="宋体"/>
                <w:color w:val="000000"/>
                <w:sz w:val="24"/>
                <w:highlight w:val="yellow"/>
              </w:rPr>
            </w:pPr>
            <w:r>
              <w:rPr>
                <w:rFonts w:hint="eastAsia" w:ascii="宋体" w:hAnsi="宋体"/>
                <w:color w:val="000000"/>
                <w:sz w:val="24"/>
                <w:highlight w:val="yellow"/>
                <w:lang w:eastAsia="zh-CN"/>
              </w:rPr>
              <w:t xml:space="preserve">□</w:t>
            </w:r>
            <w:r>
              <w:rPr>
                <w:rFonts w:ascii="宋体" w:hAnsi="宋体"/>
                <w:color w:val="000000"/>
                <w:sz w:val="24"/>
                <w:highlight w:val="yellow"/>
              </w:rPr>
              <w:t xml:space="preserve">不需要</w:t>
            </w:r>
            <w:r>
              <w:rPr>
                <w:rFonts w:ascii="宋体" w:hAnsi="宋体"/>
                <w:color w:val="000000"/>
                <w:sz w:val="24"/>
                <w:highlight w:val="yellow"/>
              </w:rPr>
            </w:r>
            <w:r/>
          </w:p>
          <w:p>
            <w:pPr>
              <w:pStyle w:val="1010"/>
              <w:jc w:val="left"/>
              <w:keepLines w:val="0"/>
              <w:keepNext w:val="0"/>
              <w:pageBreakBefore w:val="0"/>
              <w:spacing w:line="400" w:lineRule="exact"/>
              <w:widowControl w:val="off"/>
              <w:rPr>
                <w:rFonts w:ascii="宋体" w:hAnsi="宋体"/>
                <w:color w:val="000000"/>
                <w:sz w:val="24"/>
                <w:highlight w:val="yellow"/>
              </w:rPr>
            </w:pPr>
            <w:r>
              <w:rPr>
                <w:rFonts w:hint="eastAsia" w:ascii="宋体" w:hAnsi="宋体"/>
                <w:color w:val="000000"/>
                <w:sz w:val="24"/>
                <w:highlight w:val="yellow"/>
              </w:rPr>
              <w:t xml:space="preserve">■</w:t>
            </w:r>
            <w:r>
              <w:rPr>
                <w:rFonts w:ascii="宋体" w:hAnsi="宋体"/>
                <w:color w:val="000000"/>
                <w:sz w:val="24"/>
                <w:highlight w:val="yellow"/>
              </w:rPr>
              <w:t xml:space="preserve">需要，具体要求如下：</w:t>
            </w:r>
            <w:r>
              <w:rPr>
                <w:rFonts w:ascii="宋体" w:hAnsi="宋体"/>
                <w:color w:val="000000"/>
                <w:sz w:val="24"/>
                <w:highlight w:val="yellow"/>
              </w:rPr>
            </w:r>
            <w:r/>
          </w:p>
          <w:p>
            <w:pPr>
              <w:pStyle w:val="1010"/>
              <w:jc w:val="left"/>
              <w:keepLines w:val="0"/>
              <w:keepNext w:val="0"/>
              <w:pageBreakBefore w:val="0"/>
              <w:spacing w:line="400" w:lineRule="exact"/>
              <w:widowControl w:val="off"/>
              <w:rPr>
                <w:rFonts w:hint="eastAsia" w:ascii="宋体" w:hAnsi="宋体"/>
                <w:color w:val="000000"/>
                <w:sz w:val="24"/>
                <w:highlight w:val="yellow"/>
                <w:u w:val="single"/>
                <w:lang w:val="en-US" w:eastAsia="zh-CN"/>
              </w:rPr>
            </w:pPr>
            <w:r>
              <w:rPr>
                <w:rFonts w:ascii="宋体" w:hAnsi="宋体"/>
                <w:color w:val="000000"/>
                <w:sz w:val="24"/>
                <w:highlight w:val="yellow"/>
              </w:rPr>
              <w:t xml:space="preserve">（1）样品制作的标准和要求：</w:t>
            </w:r>
            <w:r>
              <w:rPr>
                <w:rFonts w:hint="eastAsia" w:ascii="宋体" w:hAnsi="宋体"/>
                <w:color w:val="000000"/>
                <w:sz w:val="24"/>
                <w:highlight w:val="yellow"/>
                <w:u w:val="single"/>
                <w:lang w:val="en-US" w:eastAsia="zh-CN"/>
              </w:rPr>
              <w:t xml:space="preserve">提供空气循环扇1台。样品须为组装完整、安装到位的状态，能够正常通电演示各项功能。</w:t>
            </w:r>
            <w:r>
              <w:rPr>
                <w:rFonts w:hint="eastAsia" w:ascii="宋体" w:hAnsi="宋体"/>
                <w:color w:val="000000"/>
                <w:sz w:val="24"/>
                <w:highlight w:val="yellow"/>
                <w:u w:val="single"/>
                <w:lang w:val="en-US" w:eastAsia="zh-CN"/>
              </w:rPr>
            </w:r>
            <w:r/>
          </w:p>
          <w:p>
            <w:pPr>
              <w:pStyle w:val="1010"/>
              <w:jc w:val="left"/>
              <w:keepLines w:val="0"/>
              <w:keepNext w:val="0"/>
              <w:pageBreakBefore w:val="0"/>
              <w:spacing w:line="400" w:lineRule="exact"/>
              <w:widowControl w:val="off"/>
              <w:rPr>
                <w:rFonts w:ascii="宋体" w:hAnsi="宋体"/>
                <w:color w:val="000000"/>
                <w:sz w:val="24"/>
                <w:highlight w:val="yellow"/>
              </w:rPr>
            </w:pPr>
            <w:r>
              <w:rPr>
                <w:rFonts w:ascii="宋体" w:hAnsi="宋体"/>
                <w:color w:val="000000"/>
                <w:sz w:val="24"/>
                <w:highlight w:val="yellow"/>
              </w:rPr>
              <w:t xml:space="preserve">（2）是否需要随样品提交相关检测报告：</w:t>
            </w:r>
            <w:r>
              <w:rPr>
                <w:rFonts w:ascii="宋体" w:hAnsi="宋体"/>
                <w:color w:val="000000"/>
                <w:sz w:val="24"/>
                <w:highlight w:val="yellow"/>
              </w:rPr>
            </w:r>
            <w:r/>
          </w:p>
          <w:p>
            <w:pPr>
              <w:pStyle w:val="1010"/>
              <w:ind w:firstLine="600"/>
              <w:jc w:val="left"/>
              <w:keepLines w:val="0"/>
              <w:keepNext w:val="0"/>
              <w:pageBreakBefore w:val="0"/>
              <w:spacing w:line="400" w:lineRule="exact"/>
              <w:widowControl w:val="off"/>
              <w:rPr>
                <w:rFonts w:ascii="宋体" w:hAnsi="宋体"/>
                <w:color w:val="000000"/>
                <w:sz w:val="24"/>
                <w:highlight w:val="yellow"/>
              </w:rPr>
            </w:pPr>
            <w:r>
              <w:rPr>
                <w:rFonts w:hint="eastAsia" w:ascii="宋体" w:hAnsi="宋体"/>
                <w:color w:val="000000"/>
                <w:sz w:val="24"/>
                <w:highlight w:val="yellow"/>
              </w:rPr>
              <w:t xml:space="preserve">■</w:t>
            </w:r>
            <w:r>
              <w:rPr>
                <w:rFonts w:ascii="宋体" w:hAnsi="宋体"/>
                <w:color w:val="000000"/>
                <w:sz w:val="24"/>
                <w:highlight w:val="yellow"/>
              </w:rPr>
              <w:t xml:space="preserve">不需要</w:t>
            </w:r>
            <w:r>
              <w:rPr>
                <w:rFonts w:ascii="宋体" w:hAnsi="宋体"/>
                <w:color w:val="000000"/>
                <w:sz w:val="24"/>
                <w:highlight w:val="yellow"/>
              </w:rPr>
            </w:r>
            <w:r/>
          </w:p>
          <w:p>
            <w:pPr>
              <w:pStyle w:val="1010"/>
              <w:ind w:firstLine="600"/>
              <w:jc w:val="left"/>
              <w:keepLines w:val="0"/>
              <w:keepNext w:val="0"/>
              <w:pageBreakBefore w:val="0"/>
              <w:spacing w:line="400" w:lineRule="exact"/>
              <w:widowControl w:val="off"/>
              <w:rPr>
                <w:rFonts w:ascii="宋体" w:hAnsi="宋体"/>
                <w:color w:val="000000"/>
                <w:sz w:val="24"/>
                <w:highlight w:val="yellow"/>
              </w:rPr>
            </w:pPr>
            <w:r>
              <w:rPr>
                <w:rFonts w:ascii="宋体" w:hAnsi="宋体"/>
                <w:color w:val="000000"/>
                <w:sz w:val="24"/>
                <w:highlight w:val="yellow"/>
              </w:rPr>
              <w:t xml:space="preserve">□</w:t>
            </w:r>
            <w:r>
              <w:rPr>
                <w:rFonts w:ascii="宋体" w:hAnsi="宋体"/>
                <w:color w:val="000000"/>
                <w:sz w:val="24"/>
                <w:highlight w:val="yellow"/>
              </w:rPr>
              <w:t xml:space="preserve">需要</w:t>
            </w:r>
            <w:r>
              <w:rPr>
                <w:rFonts w:ascii="宋体" w:hAnsi="宋体"/>
                <w:color w:val="000000"/>
                <w:sz w:val="24"/>
                <w:highlight w:val="yellow"/>
              </w:rPr>
            </w:r>
            <w:r/>
          </w:p>
          <w:p>
            <w:pPr>
              <w:pStyle w:val="1010"/>
              <w:jc w:val="left"/>
              <w:keepLines w:val="0"/>
              <w:keepNext w:val="0"/>
              <w:pageBreakBefore w:val="0"/>
              <w:spacing w:line="400" w:lineRule="exact"/>
              <w:widowControl w:val="off"/>
              <w:rPr>
                <w:rFonts w:ascii="宋体" w:hAnsi="宋体"/>
                <w:color w:val="000000"/>
                <w:sz w:val="24"/>
                <w:highlight w:val="yellow"/>
                <w:u w:val="single"/>
              </w:rPr>
            </w:pPr>
            <w:r>
              <w:rPr>
                <w:rFonts w:ascii="宋体" w:hAnsi="宋体"/>
                <w:color w:val="000000"/>
                <w:sz w:val="24"/>
                <w:highlight w:val="yellow"/>
              </w:rPr>
              <w:t xml:space="preserve">（3）样品递交要求：</w:t>
            </w:r>
            <w:r>
              <w:rPr>
                <w:rFonts w:hint="eastAsia" w:ascii="宋体" w:hAnsi="宋体"/>
                <w:color w:val="000000"/>
                <w:sz w:val="24"/>
                <w:highlight w:val="yellow"/>
                <w:u w:val="single"/>
              </w:rPr>
              <w:t xml:space="preserve">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color w:val="000000"/>
                <w:sz w:val="24"/>
                <w:highlight w:val="yellow"/>
                <w:u w:val="single"/>
              </w:rPr>
            </w:r>
            <w:r/>
          </w:p>
          <w:p>
            <w:pPr>
              <w:pStyle w:val="1010"/>
              <w:jc w:val="left"/>
              <w:keepLines w:val="0"/>
              <w:keepNext w:val="0"/>
              <w:pageBreakBefore w:val="0"/>
              <w:spacing w:line="400" w:lineRule="exact"/>
              <w:widowControl w:val="off"/>
              <w:rPr>
                <w:rFonts w:ascii="宋体" w:hAnsi="宋体"/>
                <w:color w:val="000000"/>
                <w:sz w:val="24"/>
                <w:highlight w:val="yellow"/>
              </w:rPr>
            </w:pPr>
            <w:r>
              <w:rPr>
                <w:rFonts w:ascii="宋体" w:hAnsi="宋体"/>
                <w:color w:val="000000"/>
                <w:sz w:val="24"/>
                <w:highlight w:val="yellow"/>
              </w:rPr>
              <w:t xml:space="preserve">（4</w:t>
            </w:r>
            <w:r>
              <w:rPr>
                <w:rFonts w:hint="eastAsia" w:ascii="宋体" w:hAnsi="宋体"/>
                <w:color w:val="000000"/>
                <w:sz w:val="24"/>
                <w:highlight w:val="yellow"/>
                <w:lang w:eastAsia="zh-CN"/>
              </w:rPr>
              <w:t xml:space="preserve">）</w:t>
            </w:r>
            <w:r>
              <w:rPr>
                <w:rFonts w:ascii="宋体" w:hAnsi="宋体"/>
                <w:color w:val="000000"/>
                <w:sz w:val="24"/>
                <w:highlight w:val="yellow"/>
              </w:rPr>
              <w:t xml:space="preserve">未中标人样品退还：</w:t>
            </w:r>
            <w:r>
              <w:rPr>
                <w:rFonts w:hint="eastAsia" w:ascii="宋体" w:hAnsi="宋体"/>
                <w:color w:val="000000"/>
                <w:sz w:val="24"/>
                <w:highlight w:val="yellow"/>
                <w:u w:val="single"/>
                <w:lang w:val="en-US" w:eastAsia="zh-CN"/>
              </w:rPr>
              <w:t xml:space="preserve"> 开标之日起2个工作日内将样品自行带回，逾期未取回的，采购人有权自行处理 </w:t>
            </w:r>
            <w:r>
              <w:rPr>
                <w:rFonts w:ascii="宋体" w:hAnsi="宋体"/>
                <w:color w:val="000000"/>
                <w:sz w:val="24"/>
                <w:highlight w:val="yellow"/>
              </w:rPr>
              <w:t xml:space="preserve">；</w:t>
            </w:r>
            <w:r>
              <w:rPr>
                <w:rFonts w:ascii="宋体" w:hAnsi="宋体"/>
                <w:color w:val="000000"/>
                <w:sz w:val="24"/>
                <w:highlight w:val="yellow"/>
              </w:rPr>
            </w:r>
            <w:r/>
          </w:p>
          <w:p>
            <w:pPr>
              <w:pStyle w:val="1010"/>
              <w:jc w:val="left"/>
              <w:keepLines w:val="0"/>
              <w:keepNext w:val="0"/>
              <w:pageBreakBefore w:val="0"/>
              <w:spacing w:line="400" w:lineRule="exact"/>
              <w:widowControl w:val="off"/>
              <w:rPr>
                <w:rFonts w:ascii="宋体" w:hAnsi="宋体"/>
                <w:color w:val="000000"/>
                <w:sz w:val="24"/>
                <w:highlight w:val="yellow"/>
                <w:u w:val="single"/>
              </w:rPr>
            </w:pPr>
            <w:r>
              <w:rPr>
                <w:rFonts w:ascii="宋体" w:hAnsi="宋体"/>
                <w:color w:val="000000"/>
                <w:sz w:val="24"/>
                <w:highlight w:val="yellow"/>
              </w:rPr>
              <w:t xml:space="preserve">（5</w:t>
            </w:r>
            <w:r>
              <w:rPr>
                <w:rFonts w:hint="eastAsia" w:ascii="宋体" w:hAnsi="宋体"/>
                <w:color w:val="000000"/>
                <w:sz w:val="24"/>
                <w:highlight w:val="yellow"/>
                <w:lang w:eastAsia="zh-CN"/>
              </w:rPr>
              <w:t xml:space="preserve">）</w:t>
            </w:r>
            <w:r>
              <w:rPr>
                <w:rFonts w:ascii="宋体" w:hAnsi="宋体"/>
                <w:color w:val="000000"/>
                <w:sz w:val="24"/>
                <w:highlight w:val="yellow"/>
              </w:rPr>
              <w:t xml:space="preserve">中标人样品保管、封存及退还：</w:t>
            </w:r>
            <w:r>
              <w:rPr>
                <w:rFonts w:hint="eastAsia" w:ascii="宋体" w:hAnsi="宋体"/>
                <w:color w:val="000000"/>
                <w:sz w:val="24"/>
                <w:highlight w:val="yellow"/>
                <w:u w:val="single"/>
                <w:lang w:val="en-US" w:eastAsia="zh-CN"/>
              </w:rPr>
              <w:t xml:space="preserve"> 留样封存，作为履约验收的依据  </w:t>
            </w:r>
            <w:r>
              <w:rPr>
                <w:rFonts w:ascii="宋体" w:hAnsi="宋体"/>
                <w:color w:val="000000"/>
                <w:sz w:val="24"/>
                <w:highlight w:val="yellow"/>
              </w:rPr>
              <w:t xml:space="preserve">；</w:t>
            </w:r>
            <w:r>
              <w:rPr>
                <w:rFonts w:ascii="宋体" w:hAnsi="宋体"/>
                <w:color w:val="000000"/>
                <w:sz w:val="24"/>
                <w:highlight w:val="yellow"/>
                <w:u w:val="single"/>
              </w:rPr>
            </w:r>
            <w:r/>
          </w:p>
          <w:p>
            <w:pPr>
              <w:pStyle w:val="1010"/>
              <w:jc w:val="left"/>
              <w:keepLines w:val="0"/>
              <w:keepNext w:val="0"/>
              <w:pageBreakBefore w:val="0"/>
              <w:spacing w:line="400" w:lineRule="exact"/>
              <w:widowControl w:val="off"/>
              <w:rPr>
                <w:rFonts w:ascii="宋体" w:hAnsi="宋体"/>
                <w:color w:val="000000"/>
                <w:sz w:val="24"/>
                <w:highlight w:val="yellow"/>
              </w:rPr>
            </w:pPr>
            <w:r>
              <w:rPr>
                <w:rFonts w:ascii="宋体" w:hAnsi="宋体"/>
                <w:color w:val="000000"/>
                <w:sz w:val="24"/>
                <w:highlight w:val="yellow"/>
              </w:rPr>
              <w:t xml:space="preserve">（6）其他要求（如有）：</w:t>
            </w:r>
            <w:r>
              <w:rPr>
                <w:rFonts w:ascii="宋体" w:hAnsi="宋体"/>
                <w:color w:val="000000"/>
                <w:sz w:val="24"/>
                <w:highlight w:val="yellow"/>
              </w:rPr>
            </w:r>
            <w:r/>
          </w:p>
          <w:p>
            <w:pPr>
              <w:pStyle w:val="1010"/>
              <w:jc w:val="left"/>
              <w:keepLines w:val="0"/>
              <w:keepNext w:val="0"/>
              <w:pageBreakBefore w:val="0"/>
              <w:spacing w:line="400" w:lineRule="exact"/>
              <w:widowControl w:val="off"/>
              <w:rPr>
                <w:rFonts w:hint="eastAsia" w:ascii="宋体" w:hAnsi="宋体"/>
                <w:color w:val="000000"/>
                <w:sz w:val="24"/>
                <w:highlight w:val="yellow"/>
                <w:u w:val="single"/>
              </w:rPr>
            </w:pPr>
            <w:r>
              <w:rPr>
                <w:rFonts w:hint="eastAsia" w:ascii="宋体" w:hAnsi="宋体" w:eastAsia="宋体" w:cs="宋体"/>
                <w:color w:val="000000"/>
                <w:sz w:val="24"/>
                <w:highlight w:val="yellow"/>
                <w:u w:val="single"/>
              </w:rPr>
              <w:t xml:space="preserve">*</w:t>
            </w:r>
            <w:r>
              <w:rPr>
                <w:rFonts w:hint="eastAsia" w:ascii="宋体" w:hAnsi="宋体" w:eastAsia="宋体" w:cs="宋体"/>
                <w:color w:val="000000"/>
                <w:sz w:val="24"/>
                <w:highlight w:val="yellow"/>
                <w:u w:val="single"/>
                <w:lang w:val="en-US" w:eastAsia="zh-CN"/>
              </w:rPr>
              <w:t xml:space="preserve"> </w:t>
            </w:r>
            <w:r>
              <w:rPr>
                <w:rFonts w:hint="eastAsia" w:ascii="宋体" w:hAnsi="宋体"/>
                <w:color w:val="000000"/>
                <w:sz w:val="24"/>
                <w:highlight w:val="yellow"/>
                <w:u w:val="single"/>
              </w:rPr>
              <w:t xml:space="preserve">样品提交时间：202</w:t>
            </w:r>
            <w:r>
              <w:rPr>
                <w:rFonts w:hint="eastAsia" w:ascii="宋体" w:hAnsi="宋体"/>
                <w:color w:val="000000"/>
                <w:sz w:val="24"/>
                <w:highlight w:val="yellow"/>
                <w:u w:val="single"/>
                <w:lang w:val="en-US" w:eastAsia="zh-CN"/>
              </w:rPr>
              <w:t xml:space="preserve">6</w:t>
            </w:r>
            <w:r>
              <w:rPr>
                <w:rFonts w:hint="eastAsia" w:ascii="宋体" w:hAnsi="宋体"/>
                <w:color w:val="000000"/>
                <w:sz w:val="24"/>
                <w:highlight w:val="yellow"/>
                <w:u w:val="single"/>
              </w:rPr>
              <w:t xml:space="preserve">年</w:t>
            </w:r>
            <w:r>
              <w:rPr>
                <w:rFonts w:hint="eastAsia" w:ascii="宋体" w:hAnsi="宋体"/>
                <w:color w:val="000000"/>
                <w:sz w:val="24"/>
                <w:highlight w:val="yellow"/>
                <w:u w:val="single"/>
                <w:lang w:val="en-US" w:eastAsia="zh-CN"/>
              </w:rPr>
              <w:t xml:space="preserve">6</w:t>
            </w:r>
            <w:r>
              <w:rPr>
                <w:rFonts w:hint="eastAsia" w:ascii="宋体" w:hAnsi="宋体"/>
                <w:color w:val="000000"/>
                <w:sz w:val="24"/>
                <w:highlight w:val="yellow"/>
                <w:u w:val="single"/>
              </w:rPr>
              <w:t xml:space="preserve">月</w:t>
            </w:r>
            <w:r>
              <w:rPr>
                <w:rFonts w:hint="eastAsia" w:ascii="宋体" w:hAnsi="宋体"/>
                <w:color w:val="000000"/>
                <w:sz w:val="24"/>
                <w:highlight w:val="yellow"/>
                <w:u w:val="single"/>
                <w:lang w:val="en-US" w:eastAsia="zh-CN"/>
              </w:rPr>
              <w:t xml:space="preserve">25</w:t>
            </w:r>
            <w:r>
              <w:rPr>
                <w:rFonts w:hint="eastAsia" w:ascii="宋体" w:hAnsi="宋体"/>
                <w:color w:val="000000"/>
                <w:sz w:val="24"/>
                <w:highlight w:val="yellow"/>
                <w:u w:val="single"/>
              </w:rPr>
              <w:t xml:space="preserve">日</w:t>
            </w:r>
            <w:r>
              <w:rPr>
                <w:rFonts w:hint="eastAsia" w:ascii="宋体" w:hAnsi="宋体"/>
                <w:color w:val="000000"/>
                <w:sz w:val="24"/>
                <w:highlight w:val="yellow"/>
                <w:u w:val="single"/>
                <w:lang w:val="en-US" w:eastAsia="zh-CN"/>
              </w:rPr>
              <w:t xml:space="preserve">14</w:t>
            </w:r>
            <w:r>
              <w:rPr>
                <w:rFonts w:hint="eastAsia" w:ascii="宋体" w:hAnsi="宋体"/>
                <w:color w:val="000000"/>
                <w:sz w:val="24"/>
                <w:highlight w:val="yellow"/>
                <w:u w:val="single"/>
              </w:rPr>
              <w:t xml:space="preserve">点</w:t>
            </w:r>
            <w:r>
              <w:rPr>
                <w:rFonts w:hint="eastAsia" w:ascii="宋体" w:hAnsi="宋体"/>
                <w:color w:val="000000"/>
                <w:sz w:val="24"/>
                <w:highlight w:val="yellow"/>
                <w:u w:val="single"/>
                <w:lang w:val="en-US" w:eastAsia="zh-CN"/>
              </w:rPr>
              <w:t xml:space="preserve">00</w:t>
            </w:r>
            <w:r>
              <w:rPr>
                <w:rFonts w:hint="eastAsia" w:ascii="宋体" w:hAnsi="宋体"/>
                <w:color w:val="000000"/>
                <w:sz w:val="24"/>
                <w:highlight w:val="yellow"/>
                <w:u w:val="single"/>
              </w:rPr>
              <w:t xml:space="preserve">分-</w:t>
            </w:r>
            <w:r>
              <w:rPr>
                <w:rFonts w:hint="eastAsia" w:ascii="宋体" w:hAnsi="宋体"/>
                <w:color w:val="000000"/>
                <w:sz w:val="24"/>
                <w:highlight w:val="yellow"/>
                <w:u w:val="single"/>
                <w:lang w:val="en-US" w:eastAsia="zh-CN"/>
              </w:rPr>
              <w:t xml:space="preserve">17</w:t>
            </w:r>
            <w:r>
              <w:rPr>
                <w:rFonts w:hint="eastAsia" w:ascii="宋体" w:hAnsi="宋体"/>
                <w:color w:val="000000"/>
                <w:sz w:val="24"/>
                <w:highlight w:val="yellow"/>
                <w:u w:val="single"/>
              </w:rPr>
              <w:t xml:space="preserve">点</w:t>
            </w:r>
            <w:r>
              <w:rPr>
                <w:rFonts w:hint="eastAsia" w:ascii="宋体" w:hAnsi="宋体"/>
                <w:color w:val="000000"/>
                <w:sz w:val="24"/>
                <w:highlight w:val="yellow"/>
                <w:u w:val="single"/>
                <w:lang w:val="en-US" w:eastAsia="zh-CN"/>
              </w:rPr>
              <w:t xml:space="preserve">0</w:t>
            </w:r>
            <w:r>
              <w:rPr>
                <w:rFonts w:hint="eastAsia" w:ascii="宋体" w:hAnsi="宋体"/>
                <w:color w:val="000000"/>
                <w:sz w:val="24"/>
                <w:highlight w:val="yellow"/>
                <w:u w:val="single"/>
              </w:rPr>
              <w:t xml:space="preserve">0分；样品提交地点：常州盈泰招标有限公司(常州市太湖中路锦湖创新中心A座11楼)。</w:t>
            </w:r>
            <w:r>
              <w:rPr>
                <w:rFonts w:hint="eastAsia" w:ascii="宋体" w:hAnsi="宋体"/>
                <w:color w:val="000000"/>
                <w:sz w:val="24"/>
                <w:highlight w:val="yellow"/>
                <w:u w:val="single"/>
              </w:rPr>
            </w:r>
            <w:r/>
          </w:p>
          <w:p>
            <w:pPr>
              <w:pStyle w:val="1010"/>
              <w:jc w:val="left"/>
              <w:keepLines w:val="0"/>
              <w:keepNext w:val="0"/>
              <w:pageBreakBefore w:val="0"/>
              <w:spacing w:line="400" w:lineRule="exact"/>
              <w:widowControl w:val="off"/>
              <w:rPr>
                <w:rFonts w:hint="eastAsia" w:ascii="宋体" w:hAnsi="宋体"/>
                <w:color w:val="000000"/>
                <w:sz w:val="24"/>
                <w:highlight w:val="yellow"/>
                <w:u w:val="single"/>
              </w:rPr>
            </w:pPr>
            <w:r>
              <w:rPr>
                <w:rFonts w:hint="eastAsia" w:ascii="宋体" w:hAnsi="宋体" w:eastAsia="宋体" w:cs="宋体"/>
                <w:color w:val="000000"/>
                <w:sz w:val="24"/>
                <w:highlight w:val="yellow"/>
                <w:u w:val="single"/>
              </w:rPr>
              <w:t xml:space="preserve">*</w:t>
            </w:r>
            <w:r>
              <w:rPr>
                <w:rFonts w:hint="eastAsia" w:ascii="宋体" w:hAnsi="宋体" w:eastAsia="宋体" w:cs="宋体"/>
                <w:color w:val="000000"/>
                <w:sz w:val="24"/>
                <w:highlight w:val="yellow"/>
                <w:u w:val="single"/>
                <w:lang w:val="en-US" w:eastAsia="zh-CN"/>
              </w:rPr>
              <w:t xml:space="preserve"> </w:t>
            </w:r>
            <w:r>
              <w:rPr>
                <w:rFonts w:hint="eastAsia" w:ascii="宋体" w:hAnsi="宋体"/>
                <w:color w:val="000000"/>
                <w:sz w:val="24"/>
                <w:highlight w:val="yellow"/>
                <w:u w:val="single"/>
              </w:rPr>
              <w:t xml:space="preserve">样品的组装、包装、运输等一切费用由供应商自理。</w:t>
            </w:r>
            <w:r>
              <w:rPr>
                <w:rFonts w:hint="eastAsia" w:ascii="宋体" w:hAnsi="宋体"/>
                <w:color w:val="000000"/>
                <w:sz w:val="24"/>
                <w:highlight w:val="yellow"/>
                <w:u w:val="single"/>
              </w:rPr>
            </w:r>
            <w:r/>
          </w:p>
        </w:tc>
      </w:tr>
      <w:tr>
        <w:trPr>
          <w:trHeight w:val="458"/>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widowControl/>
              <w:rPr>
                <w:rFonts w:ascii="宋体" w:hAnsi="宋体" w:eastAsia="宋体"/>
                <w:color w:val="000000"/>
                <w:sz w:val="24"/>
                <w:highlight w:val="none"/>
                <w:lang w:val="en-US" w:eastAsia="zh-CN"/>
              </w:rPr>
              <w:suppressLineNumbers w:val="0"/>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lang w:val="en-US" w:eastAsia="zh-CN"/>
              </w:rPr>
              <w:t xml:space="preserve">工业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olor w:val="000000"/>
                <w:sz w:val="24"/>
                <w:highlight w:val="none"/>
                <w:lang w:val="en-US" w:eastAsia="zh-CN"/>
              </w:rPr>
            </w:r>
            <w:r/>
          </w:p>
        </w:tc>
      </w:tr>
      <w:tr>
        <w:trPr>
          <w:trHeight w:val="841"/>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1</w:t>
            </w: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1010"/>
              <w:jc w:val="left"/>
              <w:keepLines w:val="0"/>
              <w:keepNext w:val="0"/>
              <w:pageBreakBefore w:val="0"/>
              <w:spacing w:line="400" w:lineRule="exac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666" w:type="dxa"/>
            <w:vAlign w:val="center"/>
            <w:textDirection w:val="lrTb"/>
            <w:noWrap w:val="false"/>
          </w:tcPr>
          <w:p>
            <w:pPr>
              <w:pStyle w:val="1010"/>
              <w:jc w:val="center"/>
              <w:spacing w:line="380" w:lineRule="exact"/>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385" w:type="dxa"/>
            <w:vAlign w:val="center"/>
            <w:textDirection w:val="lrTb"/>
            <w:noWrap w:val="false"/>
          </w:tcPr>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091"/>
              <w:keepLines w:val="0"/>
              <w:keepNext w:val="0"/>
              <w:pageBreakBefore w:val="0"/>
              <w:spacing w:line="400" w:lineRule="exact"/>
              <w:tabs>
                <w:tab w:val="left" w:pos="567" w:leader="none"/>
              </w:tabs>
              <w:rPr>
                <w:color w:val="000000"/>
                <w:highlight w:val="none"/>
              </w:rPr>
            </w:pPr>
            <w:r>
              <w:rPr>
                <w:rFonts w:hint="eastAsia"/>
                <w:color w:val="000000"/>
                <w:highlight w:val="none"/>
              </w:rPr>
              <w:t xml:space="preserve">根据《政府采购代理机构管理暂行办法》（财库〔2018〕2号）第十五条及《政府采购货物和服务招标投标管理办法》（财政部令第87号）第二十条执行，由中标（成交）供应商支付。该费用已纳入投标供应商报价，投标供应商应在报价中全额包含。</w:t>
            </w:r>
            <w:r>
              <w:rPr>
                <w:color w:val="000000"/>
                <w:highlight w:val="none"/>
              </w:rPr>
            </w:r>
            <w:r/>
          </w:p>
          <w:p>
            <w:pPr>
              <w:pStyle w:val="1193"/>
              <w:keepLines w:val="0"/>
              <w:keepNext w:val="0"/>
              <w:pageBreakBefore w:val="0"/>
              <w:spacing w:line="400" w:lineRule="exact"/>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1010"/>
                    <w:ind w:firstLine="945"/>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269240</wp:posOffset>
                            </wp:positionH>
                            <wp:positionV relativeFrom="paragraph">
                              <wp:posOffset>5715</wp:posOffset>
                            </wp:positionV>
                            <wp:extent cx="1591310" cy="143192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91310" cy="14319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2;mso-wrap-distance-left:9.0pt;mso-wrap-distance-top:0.0pt;mso-wrap-distance-right:9.0pt;mso-wrap-distance-bottom:0.0pt;flip:xy;visibility:visible;" from="21.2pt,0.4pt" to="146.5pt,113.2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highlight w:val="none"/>
                    </w:rPr>
                    <w:t xml:space="preserve">服</w:t>
                  </w:r>
                  <w:r>
                    <w:rPr>
                      <w:rFonts w:ascii="宋体" w:hAnsi="宋体" w:cs="宋体"/>
                      <w:bCs/>
                      <w:color w:val="000000"/>
                      <w:sz w:val="24"/>
                      <w:highlight w:val="none"/>
                    </w:rPr>
                  </w:r>
                  <w:r/>
                </w:p>
                <w:p>
                  <w:pPr>
                    <w:pStyle w:val="1010"/>
                    <w:ind w:firstLine="24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费　　　   务</w:t>
                  </w:r>
                  <w:r>
                    <w:rPr>
                      <w:rFonts w:ascii="宋体" w:hAnsi="宋体" w:cs="宋体"/>
                      <w:bCs/>
                      <w:color w:val="000000"/>
                      <w:sz w:val="24"/>
                      <w:highlight w:val="none"/>
                    </w:rPr>
                  </w:r>
                  <w:r/>
                </w:p>
                <w:p>
                  <w:pPr>
                    <w:pStyle w:val="1010"/>
                    <w:ind w:firstLine="1260"/>
                    <w:keepLines w:val="0"/>
                    <w:keepNext w:val="0"/>
                    <w:pageBreakBefore w:val="0"/>
                    <w:spacing w:line="400" w:lineRule="exact"/>
                    <w:rPr>
                      <w:rFonts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-64134</wp:posOffset>
                            </wp:positionH>
                            <wp:positionV relativeFrom="paragraph">
                              <wp:posOffset>156210</wp:posOffset>
                            </wp:positionV>
                            <wp:extent cx="1935480" cy="81851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35480" cy="8185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5.0pt,12.3pt" to="147.4pt,76.8pt" filled="f" strokecolor="#000000"/>
                        </w:pict>
                      </mc:Fallback>
                    </mc:AlternateContent>
                  </w:r>
                  <w:r>
                    <w:rPr>
                      <w:rFonts w:hint="eastAsia" w:ascii="宋体" w:hAnsi="宋体" w:cs="宋体"/>
                      <w:bCs/>
                      <w:color w:val="000000"/>
                      <w:sz w:val="24"/>
                      <w:highlight w:val="none"/>
                    </w:rPr>
                    <w:t xml:space="preserve">　   类</w:t>
                  </w:r>
                  <w:r>
                    <w:rPr>
                      <w:rFonts w:ascii="宋体" w:hAnsi="宋体" w:cs="宋体"/>
                      <w:bCs/>
                      <w:color w:val="000000"/>
                      <w:sz w:val="24"/>
                      <w:highlight w:val="none"/>
                    </w:rPr>
                  </w:r>
                  <w:r/>
                </w:p>
                <w:p>
                  <w:pPr>
                    <w:pStyle w:val="1010"/>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率　       型</w:t>
                  </w:r>
                  <w:r>
                    <w:rPr>
                      <w:rFonts w:ascii="宋体" w:hAnsi="宋体" w:cs="宋体"/>
                      <w:bCs/>
                      <w:color w:val="000000"/>
                      <w:sz w:val="24"/>
                      <w:highlight w:val="none"/>
                    </w:rPr>
                  </w:r>
                  <w:r/>
                </w:p>
                <w:p>
                  <w:pPr>
                    <w:pStyle w:val="1010"/>
                    <w:ind w:firstLine="120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1010"/>
                    <w:keepLines w:val="0"/>
                    <w:keepNext w:val="0"/>
                    <w:pageBreakBefore w:val="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ascii="宋体" w:hAnsi="宋体" w:cs="宋体"/>
                      <w:bCs/>
                      <w:color w:val="000000"/>
                      <w:sz w:val="24"/>
                      <w:highlight w:val="none"/>
                    </w:rPr>
                  </w:r>
                  <w:r/>
                </w:p>
              </w:tc>
              <w:tc>
                <w:tcPr>
                  <w:tcW w:w="1707" w:type="dxa"/>
                  <w:vAlign w:val="center"/>
                  <w:textDirection w:val="lrTb"/>
                  <w:noWrap w:val="false"/>
                </w:tcPr>
                <w:p>
                  <w:pPr>
                    <w:pStyle w:val="1010"/>
                    <w:jc w:val="center"/>
                    <w:keepLines w:val="0"/>
                    <w:keepNext w:val="0"/>
                    <w:pageBreakBefore w:val="0"/>
                    <w:spacing w:line="400" w:lineRule="exact"/>
                    <w:rPr>
                      <w:rFonts w:ascii="宋体" w:hAnsi="宋体" w:cs="宋体"/>
                      <w:b/>
                      <w:bCs/>
                      <w:color w:val="000000"/>
                      <w:sz w:val="24"/>
                      <w:highlight w:val="none"/>
                    </w:rPr>
                  </w:pPr>
                  <w:r>
                    <w:rPr>
                      <w:rFonts w:hint="eastAsia" w:ascii="宋体" w:hAnsi="宋体" w:cs="宋体"/>
                      <w:b/>
                      <w:color w:val="000000"/>
                      <w:sz w:val="24"/>
                      <w:highlight w:val="none"/>
                      <w:lang w:val="en-US" w:eastAsia="zh-CN"/>
                    </w:rPr>
                    <w:t xml:space="preserve">货物</w:t>
                  </w:r>
                  <w:r>
                    <w:rPr>
                      <w:rFonts w:hint="eastAsia" w:ascii="宋体" w:hAnsi="宋体" w:cs="宋体"/>
                      <w:b/>
                      <w:color w:val="000000"/>
                      <w:sz w:val="24"/>
                      <w:highlight w:val="none"/>
                    </w:rPr>
                    <w:t xml:space="preserve">类</w:t>
                  </w:r>
                  <w:r>
                    <w:rPr>
                      <w:rFonts w:ascii="宋体" w:hAnsi="宋体" w:cs="宋体"/>
                      <w:b/>
                      <w:bCs/>
                      <w:color w:val="000000"/>
                      <w:sz w:val="24"/>
                      <w:highlight w:val="none"/>
                    </w:rPr>
                  </w:r>
                  <w:r/>
                </w:p>
              </w:tc>
            </w:tr>
            <w:tr>
              <w:trPr/>
              <w:tc>
                <w:tcPr>
                  <w:tcW w:w="3027" w:type="dxa"/>
                  <w:vAlign w:val="top"/>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rPr>
                      <w:rFonts w:ascii="宋体" w:hAnsi="宋体" w:cs="宋体"/>
                      <w:color w:val="000000"/>
                      <w:sz w:val="24"/>
                      <w:highlight w:val="none"/>
                    </w:rPr>
                  </w:r>
                  <w:r/>
                </w:p>
              </w:tc>
              <w:tc>
                <w:tcPr>
                  <w:tcW w:w="1707" w:type="dxa"/>
                  <w:vAlign w:val="center"/>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rPr>
                      <w:rFonts w:ascii="宋体" w:hAnsi="宋体" w:cs="宋体"/>
                      <w:color w:val="000000"/>
                      <w:sz w:val="24"/>
                      <w:highlight w:val="none"/>
                    </w:rPr>
                  </w:r>
                  <w:r/>
                </w:p>
              </w:tc>
              <w:tc>
                <w:tcPr>
                  <w:tcW w:w="1707" w:type="dxa"/>
                  <w:vAlign w:val="center"/>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1010"/>
                    <w:jc w:val="cente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00-1000</w:t>
                  </w:r>
                  <w:r>
                    <w:rPr>
                      <w:rFonts w:hint="eastAsia" w:ascii="宋体" w:hAnsi="宋体" w:cs="宋体"/>
                      <w:color w:val="000000"/>
                      <w:sz w:val="24"/>
                      <w:highlight w:val="none"/>
                    </w:rPr>
                  </w:r>
                  <w:r/>
                </w:p>
              </w:tc>
              <w:tc>
                <w:tcPr>
                  <w:tcW w:w="1707" w:type="dxa"/>
                  <w:vAlign w:val="center"/>
                  <w:textDirection w:val="lrTb"/>
                  <w:noWrap w:val="false"/>
                </w:tcPr>
                <w:p>
                  <w:pPr>
                    <w:pStyle w:val="1010"/>
                    <w:jc w:val="center"/>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0.</w:t>
                  </w: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r>
                  <w:r/>
                </w:p>
              </w:tc>
            </w:tr>
            <w:tr>
              <w:trPr/>
              <w:tc>
                <w:tcPr>
                  <w:tcW w:w="3027" w:type="dxa"/>
                  <w:vAlign w:val="top"/>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707" w:type="dxa"/>
                  <w:vAlign w:val="center"/>
                  <w:textDirection w:val="lrTb"/>
                  <w:noWrap w:val="false"/>
                </w:tcPr>
                <w:p>
                  <w:pPr>
                    <w:pStyle w:val="1010"/>
                    <w:jc w:val="center"/>
                    <w:keepLines w:val="0"/>
                    <w:keepNext w:val="0"/>
                    <w:pageBreakBefore w:val="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r>
          </w:tbl>
          <w:p>
            <w:pPr>
              <w:pStyle w:val="1010"/>
              <w:numPr>
                <w:ilvl w:val="0"/>
                <w:numId w:val="0"/>
              </w:numPr>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highlight w:val="none"/>
              </w:rPr>
              <w:t xml:space="preserve">代理服务收费差额定率累进法计算。</w:t>
            </w:r>
            <w:r>
              <w:rPr>
                <w:rFonts w:hint="eastAsia" w:ascii="宋体" w:hAnsi="宋体" w:eastAsia="宋体" w:cs="Times New Roman"/>
                <w:color w:val="000000"/>
                <w:sz w:val="24"/>
                <w:highlight w:val="none"/>
              </w:rPr>
            </w:r>
            <w:r/>
          </w:p>
          <w:p>
            <w:pPr>
              <w:pStyle w:val="1010"/>
              <w:jc w:val="left"/>
              <w:keepLines w:val="0"/>
              <w:keepNext w:val="0"/>
              <w:pageBreakBefore w:val="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代理服务收费按上述计算方法不足人民币3000元的，按人民币3000元收取。</w:t>
            </w:r>
            <w:r>
              <w:rPr>
                <w:rFonts w:hint="eastAsia" w:ascii="宋体" w:hAnsi="宋体" w:eastAsia="宋体" w:cs="Times New Roman"/>
                <w:color w:val="000000"/>
                <w:sz w:val="24"/>
                <w:highlight w:val="none"/>
              </w:rPr>
            </w:r>
            <w:r/>
          </w:p>
          <w:p>
            <w:pPr>
              <w:pStyle w:val="1010"/>
              <w:keepLines w:val="0"/>
              <w:keepNext w:val="0"/>
              <w:pageBreakBefore w:val="0"/>
              <w:spacing w:line="400" w:lineRule="exact"/>
              <w:tabs>
                <w:tab w:val="left" w:pos="510" w:leader="none"/>
                <w:tab w:val="left" w:pos="735" w:leader="none"/>
                <w:tab w:val="left" w:pos="945" w:leader="none"/>
                <w:tab w:val="left" w:pos="1155" w:leader="none"/>
                <w:tab w:val="left" w:pos="1980" w:leader="none"/>
              </w:tabs>
              <w:rPr>
                <w:rFonts w:hint="eastAsia" w:ascii="宋体" w:hAnsi="宋体" w:eastAsia="宋体" w:cs="宋体"/>
                <w:color w:val="000000"/>
                <w:sz w:val="24"/>
                <w:szCs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.缴纳时间：</w:t>
            </w:r>
            <w:r>
              <w:rPr>
                <w:rFonts w:hint="eastAsia" w:ascii="宋体" w:hAnsi="宋体"/>
                <w:color w:val="000000"/>
                <w:sz w:val="24"/>
                <w:highlight w:val="none"/>
                <w:u w:val="single"/>
              </w:rPr>
              <w:t xml:space="preserve">中标</w:t>
            </w:r>
            <w:r>
              <w:rPr>
                <w:rFonts w:hint="eastAsia" w:ascii="宋体" w:hAnsi="宋体"/>
                <w:color w:val="000000"/>
                <w:sz w:val="24"/>
                <w:highlight w:val="none"/>
                <w:u w:val="single"/>
                <w:lang w:val="en-US" w:eastAsia="zh-CN"/>
              </w:rPr>
              <w:t xml:space="preserve">人</w:t>
            </w:r>
            <w:r>
              <w:rPr>
                <w:rFonts w:hint="eastAsia" w:ascii="宋体" w:hAnsi="宋体"/>
                <w:color w:val="000000"/>
                <w:sz w:val="24"/>
                <w:highlight w:val="none"/>
                <w:u w:val="single"/>
              </w:rPr>
              <w:t xml:space="preserve">应在领取中标通知书</w:t>
            </w:r>
            <w:r>
              <w:rPr>
                <w:rFonts w:hint="eastAsia" w:ascii="宋体" w:hAnsi="宋体"/>
                <w:color w:val="000000"/>
                <w:sz w:val="24"/>
                <w:highlight w:val="none"/>
                <w:u w:val="single"/>
                <w:lang w:eastAsia="zh-CN"/>
              </w:rPr>
              <w:t xml:space="preserve">前</w:t>
            </w:r>
            <w:r>
              <w:rPr>
                <w:rFonts w:hint="eastAsia" w:ascii="宋体" w:hAnsi="宋体"/>
                <w:color w:val="000000"/>
                <w:sz w:val="24"/>
                <w:highlight w:val="none"/>
                <w:u w:val="single"/>
              </w:rPr>
              <w:t xml:space="preserve">将代理服务费付至采购代理机构指定的账户</w:t>
            </w:r>
            <w:r>
              <w:rPr>
                <w:rFonts w:hint="eastAsia" w:ascii="宋体" w:hAnsi="宋体"/>
                <w:color w:val="000000"/>
                <w:sz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t xml:space="preserve">中标人</w:t>
            </w:r>
            <w:r>
              <w:rPr>
                <w:rFonts w:hint="eastAsia" w:ascii="宋体" w:hAnsi="宋体" w:eastAsia="宋体" w:cs="宋体"/>
                <w:bCs/>
                <w:color w:val="000000"/>
                <w:sz w:val="24"/>
                <w:szCs w:val="24"/>
                <w:highlight w:val="none"/>
                <w:u w:val="single"/>
              </w:rPr>
              <w:t xml:space="preserve">如果未按规定交纳代理服务费，将保留诉讼权利。</w:t>
            </w:r>
            <w:r>
              <w:rPr>
                <w:rFonts w:hint="eastAsia" w:ascii="宋体" w:hAnsi="宋体" w:eastAsia="宋体" w:cs="宋体"/>
                <w:color w:val="000000"/>
                <w:sz w:val="24"/>
                <w:szCs w:val="24"/>
                <w:highlight w:val="none"/>
              </w:rPr>
            </w:r>
            <w:r/>
          </w:p>
          <w:p>
            <w:pPr>
              <w:pStyle w:val="1010"/>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1010"/>
              <w:jc w:val="left"/>
              <w:keepLines w:val="0"/>
              <w:keepNext w:val="0"/>
              <w:pageBreakBefore w:val="0"/>
              <w:spacing w:line="400" w:lineRule="exac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1010"/>
              <w:jc w:val="left"/>
              <w:keepLines w:val="0"/>
              <w:keepNext w:val="0"/>
              <w:pageBreakBefore w:val="0"/>
              <w:spacing w:line="400" w:lineRule="exac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r>
        <w:trPr>
          <w:trHeight w:val="20"/>
        </w:trPr>
        <w:tc>
          <w:tcPr>
            <w:tcW w:w="967" w:type="dxa"/>
            <w:vAlign w:val="center"/>
            <w:textDirection w:val="lrTb"/>
            <w:noWrap w:val="false"/>
          </w:tcPr>
          <w:p>
            <w:pPr>
              <w:pStyle w:val="1049"/>
              <w:jc w:val="center"/>
              <w:spacing w:line="380" w:lineRule="exact"/>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28</w:t>
            </w:r>
            <w:r>
              <w:rPr>
                <w:rFonts w:hAnsi="宋体" w:eastAsia="宋体"/>
                <w:color w:val="000000"/>
                <w:sz w:val="24"/>
                <w:szCs w:val="24"/>
                <w:highlight w:val="none"/>
                <w:lang w:val="en-US" w:eastAsia="zh-CN"/>
              </w:rPr>
            </w:r>
            <w:r/>
          </w:p>
        </w:tc>
        <w:tc>
          <w:tcPr>
            <w:tcW w:w="1666"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纸质中标文件</w:t>
            </w:r>
            <w:r>
              <w:rPr>
                <w:rFonts w:hint="eastAsia" w:ascii="宋体" w:hAnsi="宋体" w:eastAsia="宋体" w:cs="宋体"/>
                <w:color w:val="000000"/>
                <w:sz w:val="24"/>
                <w:szCs w:val="24"/>
                <w:highlight w:val="none"/>
                <w:lang w:val="en-US" w:eastAsia="zh-CN" w:bidi="ar-SA"/>
              </w:rPr>
            </w:r>
            <w:r/>
          </w:p>
        </w:tc>
        <w:tc>
          <w:tcPr>
            <w:tcW w:w="7385" w:type="dxa"/>
            <w:vAlign w:val="center"/>
            <w:textDirection w:val="lrTb"/>
            <w:noWrap w:val="false"/>
          </w:tcPr>
          <w:p>
            <w:pPr>
              <w:pStyle w:val="1010"/>
              <w:ind w:firstLine="0"/>
              <w:jc w:val="left"/>
              <w:keepLines w:val="0"/>
              <w:keepNext w:val="0"/>
              <w:pageBreakBefore w:val="0"/>
              <w:spacing w:line="4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val="0"/>
                <w:bCs/>
                <w:color w:val="000000"/>
                <w:sz w:val="24"/>
                <w:szCs w:val="24"/>
                <w:highlight w:val="none"/>
                <w:lang w:eastAsia="zh-CN"/>
              </w:rPr>
              <w:t xml:space="preserve">中标人</w:t>
            </w:r>
            <w:r>
              <w:rPr>
                <w:rFonts w:hint="eastAsia" w:ascii="宋体" w:hAnsi="宋体" w:eastAsia="宋体" w:cs="宋体"/>
                <w:b w:val="0"/>
                <w:bCs/>
                <w:color w:val="000000"/>
                <w:sz w:val="24"/>
                <w:szCs w:val="24"/>
                <w:highlight w:val="none"/>
              </w:rPr>
              <w:t xml:space="preserve">在签订合同前需递交与电子响应文件内容一致的纸质</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文件叁份（需打印清晰，标注目录及页码），作为项目归档使用。（递交方式可采用邮寄或现场送达至常州</w:t>
            </w:r>
            <w:r>
              <w:rPr>
                <w:rFonts w:hint="eastAsia" w:ascii="宋体" w:hAnsi="宋体" w:eastAsia="宋体" w:cs="宋体"/>
                <w:b w:val="0"/>
                <w:bCs/>
                <w:color w:val="000000"/>
                <w:sz w:val="24"/>
                <w:szCs w:val="24"/>
                <w:highlight w:val="none"/>
                <w:lang w:eastAsia="zh-CN"/>
              </w:rPr>
              <w:t xml:space="preserve">盈泰招标有限公司</w:t>
            </w:r>
            <w:r>
              <w:rPr>
                <w:rFonts w:hint="eastAsia" w:ascii="宋体" w:hAnsi="宋体" w:eastAsia="宋体" w:cs="宋体"/>
                <w:b w:val="0"/>
                <w:bCs/>
                <w:color w:val="000000"/>
                <w:sz w:val="24"/>
                <w:szCs w:val="24"/>
                <w:highlight w:val="none"/>
              </w:rPr>
              <w:t xml:space="preserve">，联系方式见《第一章 </w:t>
            </w:r>
            <w:r>
              <w:rPr>
                <w:rFonts w:hint="eastAsia" w:ascii="宋体" w:hAnsi="宋体" w:eastAsia="宋体" w:cs="宋体"/>
                <w:b w:val="0"/>
                <w:bCs/>
                <w:color w:val="000000"/>
                <w:sz w:val="24"/>
                <w:szCs w:val="24"/>
                <w:highlight w:val="none"/>
                <w:lang w:eastAsia="zh-CN"/>
              </w:rPr>
              <w:t xml:space="preserve">投标</w:t>
            </w:r>
            <w:r>
              <w:rPr>
                <w:rFonts w:hint="eastAsia" w:ascii="宋体" w:hAnsi="宋体" w:eastAsia="宋体" w:cs="宋体"/>
                <w:b w:val="0"/>
                <w:bCs/>
                <w:color w:val="000000"/>
                <w:sz w:val="24"/>
                <w:szCs w:val="24"/>
                <w:highlight w:val="none"/>
              </w:rPr>
              <w:t xml:space="preserve">邀请》）</w:t>
            </w:r>
            <w:r>
              <w:rPr>
                <w:rFonts w:hint="eastAsia" w:ascii="宋体" w:hAnsi="宋体" w:eastAsia="宋体" w:cs="宋体"/>
                <w:b/>
                <w:color w:val="000000"/>
                <w:sz w:val="24"/>
                <w:szCs w:val="24"/>
                <w:highlight w:val="none"/>
                <w:lang w:val="en-US" w:eastAsia="zh-CN" w:bidi="ar-SA"/>
              </w:rPr>
            </w:r>
            <w:r/>
          </w:p>
        </w:tc>
      </w:tr>
    </w:tbl>
    <w:p>
      <w:pPr>
        <w:pStyle w:val="1010"/>
        <w:jc w:val="center"/>
        <w:spacing w:before="240" w:after="240"/>
        <w:rPr>
          <w:rFonts w:ascii="宋体" w:hAnsi="宋体"/>
          <w:b/>
          <w:color w:val="000000"/>
          <w:sz w:val="28"/>
          <w:szCs w:val="28"/>
          <w:highlight w:val="none"/>
        </w:rPr>
      </w:pPr>
      <w:r>
        <w:rPr>
          <w:rFonts w:ascii="宋体" w:hAnsi="宋体"/>
          <w:color w:val="000000"/>
          <w:highlight w:val="none"/>
        </w:rPr>
        <w:br w:type="page" w:clear="all"/>
      </w:r>
      <w:bookmarkStart w:id="85" w:name="_Toc150480755"/>
      <w:r/>
      <w:bookmarkStart w:id="86" w:name="_Toc305158859"/>
      <w:r/>
      <w:bookmarkStart w:id="87" w:name="_Toc195842882"/>
      <w:r/>
      <w:bookmarkStart w:id="88" w:name="_Toc353873662"/>
      <w:r/>
      <w:bookmarkStart w:id="89" w:name="_Toc226337213"/>
      <w:r/>
      <w:bookmarkStart w:id="90" w:name="_Toc127151517"/>
      <w:r/>
      <w:bookmarkStart w:id="91" w:name="_Toc265228355"/>
      <w:r/>
      <w:bookmarkStart w:id="92" w:name="_Toc305158785"/>
      <w:r/>
      <w:bookmarkStart w:id="93" w:name="_Toc264969207"/>
      <w:r/>
      <w:bookmarkStart w:id="94" w:name="_Toc226965790"/>
      <w:r/>
      <w:bookmarkStart w:id="95" w:name="_Toc353873932"/>
      <w:r/>
      <w:bookmarkStart w:id="96" w:name="_Toc150774722"/>
      <w:r/>
      <w:bookmarkStart w:id="97" w:name="_Toc353825542"/>
      <w:r/>
      <w:bookmarkStart w:id="98" w:name="_Toc142311019"/>
      <w:r>
        <w:rPr>
          <w:rFonts w:ascii="宋体" w:hAnsi="宋体"/>
          <w:b/>
          <w:color w:val="000000"/>
          <w:sz w:val="28"/>
          <w:szCs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宋体" w:hAnsi="宋体"/>
          <w:b/>
          <w:color w:val="000000"/>
          <w:sz w:val="28"/>
          <w:szCs w:val="28"/>
          <w:highlight w:val="none"/>
        </w:rPr>
      </w:r>
      <w:r/>
    </w:p>
    <w:p>
      <w:pPr>
        <w:pStyle w:val="1012"/>
        <w:jc w:val="left"/>
        <w:spacing w:before="0" w:line="360" w:lineRule="auto"/>
        <w:tabs>
          <w:tab w:val="center" w:pos="4592" w:leader="none"/>
          <w:tab w:val="left" w:pos="7860" w:leader="none"/>
        </w:tabs>
        <w:rPr>
          <w:rFonts w:ascii="宋体" w:hAnsi="宋体" w:eastAsia="宋体"/>
          <w:color w:val="000000"/>
          <w:sz w:val="28"/>
          <w:highlight w:val="none"/>
        </w:rPr>
        <w:outlineLvl w:val="9"/>
      </w:pPr>
      <w:r/>
      <w:bookmarkStart w:id="99" w:name="_Toc520356143"/>
      <w:r/>
      <w:bookmarkStart w:id="100" w:name="_Toc127151518"/>
      <w:r>
        <w:rPr>
          <w:rFonts w:ascii="宋体" w:hAnsi="宋体" w:eastAsia="宋体"/>
          <w:color w:val="000000"/>
          <w:sz w:val="28"/>
          <w:highlight w:val="none"/>
        </w:rPr>
        <w:tab/>
      </w:r>
      <w:bookmarkStart w:id="101" w:name="_Toc151193832"/>
      <w:r/>
      <w:bookmarkStart w:id="102" w:name="_Toc150480756"/>
      <w:r/>
      <w:bookmarkStart w:id="103" w:name="_Toc226965791"/>
      <w:r/>
      <w:bookmarkStart w:id="104" w:name="_Toc151193906"/>
      <w:r/>
      <w:bookmarkStart w:id="105" w:name="_Toc305158860"/>
      <w:r/>
      <w:bookmarkStart w:id="106" w:name="_Toc264969208"/>
      <w:r/>
      <w:bookmarkStart w:id="107" w:name="_Toc226309762"/>
      <w:r/>
      <w:bookmarkStart w:id="108" w:name="_Toc226965708"/>
      <w:r/>
      <w:bookmarkStart w:id="109" w:name="_Toc151190145"/>
      <w:r/>
      <w:bookmarkStart w:id="110" w:name="_Toc151193616"/>
      <w:r/>
      <w:bookmarkStart w:id="111" w:name="_Toc142311020"/>
      <w:r/>
      <w:bookmarkStart w:id="112" w:name="_Toc265228356"/>
      <w:r/>
      <w:bookmarkStart w:id="113" w:name="_Toc150509269"/>
      <w:r/>
      <w:bookmarkStart w:id="114" w:name="_Toc151193760"/>
      <w:r/>
      <w:bookmarkStart w:id="115" w:name="_Toc195842883"/>
      <w:r/>
      <w:bookmarkStart w:id="116" w:name="_Toc150774723"/>
      <w:r/>
      <w:bookmarkStart w:id="117" w:name="_Toc151193688"/>
      <w:r/>
      <w:bookmarkStart w:id="118" w:name="_Toc150774618"/>
      <w:r/>
      <w:bookmarkStart w:id="119" w:name="_Toc305158786"/>
      <w:r/>
      <w:bookmarkStart w:id="120" w:name="_Toc226337214"/>
      <w:r>
        <w:rPr>
          <w:rFonts w:ascii="宋体" w:hAnsi="宋体" w:eastAsia="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000000"/>
          <w:sz w:val="28"/>
          <w:highlight w:val="none"/>
        </w:rPr>
        <w:tab/>
      </w:r>
      <w:r>
        <w:rPr>
          <w:rFonts w:ascii="宋体" w:hAnsi="宋体" w:eastAsia="宋体"/>
          <w:color w:val="000000"/>
          <w:sz w:val="28"/>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1" w:name="_Toc265228357"/>
      <w:r/>
      <w:bookmarkStart w:id="122" w:name="_Toc264969209"/>
      <w:r/>
      <w:bookmarkStart w:id="123" w:name="_Toc305158787"/>
      <w:r/>
      <w:bookmarkStart w:id="124" w:name="_Toc305158861"/>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21"/>
      <w:r/>
      <w:bookmarkEnd w:id="122"/>
      <w:r/>
      <w:bookmarkEnd w:id="123"/>
      <w:r/>
      <w:bookmarkEnd w:id="124"/>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采购人、采购代理机构：</w:t>
      </w:r>
      <w:r>
        <w:rPr>
          <w:rFonts w:hint="eastAsia" w:ascii="宋体" w:hAnsi="宋体" w:eastAsia="宋体" w:cs="宋体"/>
          <w:color w:val="000000"/>
          <w:sz w:val="24"/>
          <w:szCs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投标人（也称“供应商”、“申请人”）：</w:t>
      </w:r>
      <w:r>
        <w:rPr>
          <w:rFonts w:hint="eastAsia" w:ascii="宋体" w:hAnsi="宋体" w:eastAsia="宋体" w:cs="宋体"/>
          <w:color w:val="000000"/>
          <w:sz w:val="24"/>
          <w:szCs w:val="24"/>
          <w:highlight w:val="none"/>
        </w:rPr>
        <w:t xml:space="preserve">指向采购人提供货物、工程或者服务的法人、其他组织或者自然人。</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联合体：</w:t>
      </w:r>
      <w:r>
        <w:rPr>
          <w:rFonts w:hint="eastAsia" w:ascii="宋体" w:hAnsi="宋体" w:eastAsia="宋体" w:cs="宋体"/>
          <w:color w:val="000000"/>
          <w:sz w:val="24"/>
          <w:szCs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25" w:name="_Toc264969210"/>
      <w:r/>
      <w:bookmarkStart w:id="126" w:name="_Toc226309764"/>
      <w:r/>
      <w:bookmarkStart w:id="127" w:name="_Toc226965793"/>
      <w:r/>
      <w:bookmarkStart w:id="128" w:name="_Toc127161434"/>
      <w:r/>
      <w:bookmarkStart w:id="129" w:name="_Toc164229361"/>
      <w:r/>
      <w:bookmarkStart w:id="130" w:name="_Toc195842885"/>
      <w:r/>
      <w:bookmarkStart w:id="131" w:name="_Toc150480758"/>
      <w:r/>
      <w:bookmarkStart w:id="132" w:name="_Toc150774620"/>
      <w:r/>
      <w:bookmarkStart w:id="133" w:name="_Toc164351614"/>
      <w:r/>
      <w:bookmarkStart w:id="134" w:name="_Toc127151721"/>
      <w:r/>
      <w:bookmarkStart w:id="135" w:name="_Toc164608634"/>
      <w:r/>
      <w:bookmarkStart w:id="136" w:name="_Toc127151520"/>
      <w:r/>
      <w:bookmarkStart w:id="137" w:name="_Toc164229215"/>
      <w:r/>
      <w:bookmarkStart w:id="138" w:name="_Toc164608789"/>
      <w:r/>
      <w:bookmarkStart w:id="139" w:name="_Toc151193690"/>
      <w:r/>
      <w:bookmarkStart w:id="140" w:name="_Toc150509271"/>
      <w:r/>
      <w:bookmarkStart w:id="141" w:name="_Toc226337216"/>
      <w:r/>
      <w:bookmarkStart w:id="142" w:name="_Toc151190147"/>
      <w:r/>
      <w:bookmarkStart w:id="143" w:name="_Toc151193908"/>
      <w:r/>
      <w:bookmarkStart w:id="144" w:name="_Toc142311022"/>
      <w:r/>
      <w:bookmarkStart w:id="145" w:name="_Toc305158862"/>
      <w:r/>
      <w:bookmarkStart w:id="146" w:name="_Toc265228358"/>
      <w:r/>
      <w:bookmarkStart w:id="147" w:name="_Toc151193834"/>
      <w:r/>
      <w:bookmarkStart w:id="148" w:name="_Toc151193762"/>
      <w:r/>
      <w:bookmarkStart w:id="149" w:name="_Toc305158788"/>
      <w:r/>
      <w:bookmarkStart w:id="150" w:name="_Toc226965710"/>
      <w:r/>
      <w:bookmarkStart w:id="151" w:name="_Toc150774725"/>
      <w:r/>
      <w:bookmarkStart w:id="152" w:name="_Toc151193618"/>
      <w:r/>
      <w:bookmarkStart w:id="153" w:name="_Toc149720813"/>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4" w:name="_Toc226309766"/>
      <w:r/>
      <w:bookmarkStart w:id="155" w:name="_Toc305158864"/>
      <w:r/>
      <w:bookmarkStart w:id="156" w:name="_Toc150509273"/>
      <w:r/>
      <w:bookmarkStart w:id="157" w:name="_Toc265228360"/>
      <w:r/>
      <w:bookmarkStart w:id="158" w:name="_Toc264969212"/>
      <w:r/>
      <w:bookmarkStart w:id="159" w:name="_Toc150774622"/>
      <w:r/>
      <w:bookmarkStart w:id="160" w:name="_Toc151190149"/>
      <w:r/>
      <w:bookmarkStart w:id="161" w:name="_Toc150480760"/>
      <w:r/>
      <w:bookmarkStart w:id="162" w:name="_Toc151193910"/>
      <w:r/>
      <w:bookmarkStart w:id="163" w:name="_Toc195842887"/>
      <w:r/>
      <w:bookmarkStart w:id="164" w:name="_Toc226965712"/>
      <w:r/>
      <w:bookmarkStart w:id="165" w:name="_Toc150774727"/>
      <w:r/>
      <w:bookmarkStart w:id="166" w:name="_Toc127151522"/>
      <w:r/>
      <w:bookmarkStart w:id="167" w:name="_Toc305158790"/>
      <w:r/>
      <w:bookmarkStart w:id="168" w:name="_Toc151193836"/>
      <w:r/>
      <w:bookmarkStart w:id="169" w:name="_Toc151193764"/>
      <w:r/>
      <w:bookmarkStart w:id="170" w:name="_Toc151193620"/>
      <w:r/>
      <w:bookmarkStart w:id="171" w:name="_Toc226337218"/>
      <w:r/>
      <w:bookmarkStart w:id="172" w:name="_Toc520356146"/>
      <w:r/>
      <w:bookmarkStart w:id="173" w:name="_Toc142311024"/>
      <w:r/>
      <w:bookmarkStart w:id="174" w:name="_Toc151193692"/>
      <w:r/>
      <w:bookmarkStart w:id="175" w:name="_Toc226965795"/>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1010"/>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bidi="ar-SA"/>
        </w:rPr>
        <w:t xml:space="preserve">5.2.1</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1109"/>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1109"/>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1109"/>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1109"/>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1109"/>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1109"/>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1109"/>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1109"/>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1109"/>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1109"/>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010"/>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1010"/>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5.4</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1010"/>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5.5</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1010"/>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bidi="ar-SA"/>
        </w:rPr>
        <w:t xml:space="preserve">5.6</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1010"/>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101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5.7.1 </w:t>
      </w:r>
      <w:r>
        <w:rPr>
          <w:rFonts w:hint="eastAsia" w:ascii="宋体" w:hAnsi="宋体" w:eastAsia="宋体" w:cs="宋体"/>
          <w:bCs/>
          <w:color w:val="000000"/>
          <w:sz w:val="24"/>
          <w:szCs w:val="24"/>
          <w:highlight w:val="none"/>
        </w:rPr>
        <w:t xml:space="preserve">绿色数据中心政策 </w:t>
      </w: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5.7.2 推广应用绿色建材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5.7.3 优先使用低挥发性有机化合物产品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5.8 政府采购中实施本国产品标准及相关政策</w:t>
      </w:r>
      <w:r>
        <w:rPr>
          <w:rFonts w:hint="eastAsia" w:ascii="宋体" w:hAnsi="宋体" w:eastAsia="宋体" w:cs="宋体"/>
          <w:b/>
          <w:bCs/>
          <w:color w:val="000000"/>
          <w:sz w:val="24"/>
          <w:szCs w:val="24"/>
          <w:highlight w:val="none"/>
          <w:lang w:val="en-US" w:eastAsia="zh-CN" w:bidi="ar-SA"/>
        </w:rPr>
      </w:r>
      <w:r/>
    </w:p>
    <w:p>
      <w:pPr>
        <w:pStyle w:val="1010"/>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5.8.1本项目对采购本国产品给予政策支持，具体内容见招标文件“评标标准”。</w:t>
      </w:r>
      <w:r>
        <w:rPr>
          <w:rFonts w:hint="eastAsia" w:ascii="宋体" w:hAnsi="宋体" w:eastAsia="宋体" w:cs="宋体"/>
          <w:b w:val="0"/>
          <w:bCs w:val="0"/>
          <w:color w:val="000000"/>
          <w:sz w:val="24"/>
          <w:szCs w:val="24"/>
          <w:highlight w:val="none"/>
          <w:lang w:val="en-US" w:eastAsia="zh-CN" w:bidi="ar-SA"/>
        </w:rPr>
      </w:r>
      <w:r/>
    </w:p>
    <w:p>
      <w:pPr>
        <w:pStyle w:val="1010"/>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1010"/>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1010"/>
        <w:ind w:left="1080"/>
        <w:spacing w:line="360" w:lineRule="auto"/>
        <w:tabs>
          <w:tab w:val="left" w:pos="1080" w:leader="none"/>
        </w:tabs>
        <w:rPr>
          <w:rFonts w:hint="eastAsia" w:ascii="宋体" w:hAnsi="宋体" w:eastAsia="宋体" w:cs="宋体"/>
          <w:color w:val="000000"/>
          <w:sz w:val="24"/>
          <w:szCs w:val="24"/>
          <w:highlight w:val="none"/>
        </w:rPr>
      </w:pPr>
      <w:r/>
      <w:bookmarkStart w:id="176" w:name="_1.8_计量单位"/>
      <w:r/>
      <w:bookmarkEnd w:id="176"/>
      <w:r>
        <w:rPr>
          <w:rFonts w:hint="eastAsia" w:ascii="宋体" w:hAnsi="宋体" w:eastAsia="宋体" w:cs="宋体"/>
          <w:color w:val="000000"/>
          <w:sz w:val="24"/>
          <w:szCs w:val="24"/>
          <w:highlight w:val="none"/>
        </w:rPr>
      </w:r>
      <w:r/>
    </w:p>
    <w:p>
      <w:pPr>
        <w:pStyle w:val="1012"/>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177" w:name="_Toc150774728"/>
      <w:r/>
      <w:bookmarkStart w:id="178" w:name="_Toc195842888"/>
      <w:r/>
      <w:bookmarkStart w:id="179" w:name="_Toc520356147"/>
      <w:r/>
      <w:bookmarkStart w:id="180" w:name="_Toc265228361"/>
      <w:r/>
      <w:bookmarkStart w:id="181" w:name="_Toc305158865"/>
      <w:r/>
      <w:bookmarkStart w:id="182" w:name="_Toc151190150"/>
      <w:r/>
      <w:bookmarkStart w:id="183" w:name="_Toc150774623"/>
      <w:r/>
      <w:bookmarkStart w:id="184" w:name="_Toc151193765"/>
      <w:r/>
      <w:bookmarkStart w:id="185" w:name="_Toc164229218"/>
      <w:r/>
      <w:bookmarkStart w:id="186" w:name="_Toc226965713"/>
      <w:r/>
      <w:bookmarkStart w:id="187" w:name="_Toc226309767"/>
      <w:r/>
      <w:bookmarkStart w:id="188" w:name="_Toc164608637"/>
      <w:r/>
      <w:bookmarkStart w:id="189" w:name="_Toc164229364"/>
      <w:r/>
      <w:bookmarkStart w:id="190" w:name="_Toc150509274"/>
      <w:r/>
      <w:bookmarkStart w:id="191" w:name="_Toc151193837"/>
      <w:r/>
      <w:bookmarkStart w:id="192" w:name="_Toc264969213"/>
      <w:r/>
      <w:bookmarkStart w:id="193" w:name="_Toc151193911"/>
      <w:r/>
      <w:bookmarkStart w:id="194" w:name="_Toc127151724"/>
      <w:r/>
      <w:bookmarkStart w:id="195" w:name="_Toc127161437"/>
      <w:r/>
      <w:bookmarkStart w:id="196" w:name="_Toc226337219"/>
      <w:r/>
      <w:bookmarkStart w:id="197" w:name="_Toc149720816"/>
      <w:r/>
      <w:bookmarkStart w:id="198" w:name="_Toc305158791"/>
      <w:r/>
      <w:bookmarkStart w:id="199" w:name="_Toc151193621"/>
      <w:r/>
      <w:bookmarkStart w:id="200" w:name="_Toc164351617"/>
      <w:r/>
      <w:bookmarkStart w:id="201" w:name="_Toc164608792"/>
      <w:r/>
      <w:bookmarkStart w:id="202" w:name="_Toc127151523"/>
      <w:r/>
      <w:bookmarkStart w:id="203" w:name="_Toc226965796"/>
      <w:r/>
      <w:bookmarkStart w:id="204" w:name="_Toc151193693"/>
      <w:r/>
      <w:bookmarkStart w:id="205" w:name="_Toc142311025"/>
      <w:r/>
      <w:bookmarkStart w:id="206" w:name="_Toc150480761"/>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7.1 </w:t>
      </w:r>
      <w:r>
        <w:rPr>
          <w:rFonts w:hint="eastAsia" w:ascii="宋体" w:hAnsi="宋体" w:eastAsia="宋体" w:cs="宋体"/>
          <w:color w:val="000000"/>
          <w:sz w:val="24"/>
          <w:szCs w:val="24"/>
          <w:highlight w:val="none"/>
        </w:rPr>
        <w:t xml:space="preserve">招标文件包括以下部分：</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1010"/>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1010"/>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207" w:name="_Toc516367020"/>
      <w:r/>
      <w:bookmarkStart w:id="208" w:name="_Toc151193840"/>
      <w:r/>
      <w:bookmarkStart w:id="209" w:name="_Toc305158794"/>
      <w:r/>
      <w:bookmarkStart w:id="210" w:name="_Toc151193624"/>
      <w:r/>
      <w:bookmarkStart w:id="211" w:name="_Toc150480764"/>
      <w:r/>
      <w:bookmarkStart w:id="212" w:name="_Toc151190153"/>
      <w:r/>
      <w:bookmarkStart w:id="213" w:name="_Toc520356150"/>
      <w:r/>
      <w:bookmarkStart w:id="214" w:name="_Toc151193696"/>
      <w:r/>
      <w:bookmarkStart w:id="215" w:name="_Toc127151526"/>
      <w:r/>
      <w:bookmarkStart w:id="216" w:name="_Toc151193914"/>
      <w:r/>
      <w:bookmarkStart w:id="217" w:name="_Toc226965716"/>
      <w:r/>
      <w:bookmarkStart w:id="218" w:name="_Toc151193768"/>
      <w:r/>
      <w:bookmarkStart w:id="219" w:name="_Toc226309770"/>
      <w:r/>
      <w:bookmarkStart w:id="220" w:name="_Toc150774626"/>
      <w:r/>
      <w:bookmarkStart w:id="221" w:name="_Toc226337222"/>
      <w:r/>
      <w:bookmarkStart w:id="222" w:name="_Toc226965799"/>
      <w:r/>
      <w:bookmarkStart w:id="223" w:name="_Toc305158868"/>
      <w:r/>
      <w:bookmarkStart w:id="224" w:name="_Toc195842891"/>
      <w:r/>
      <w:bookmarkStart w:id="225" w:name="_Toc265228364"/>
      <w:r/>
      <w:bookmarkStart w:id="226" w:name="_Toc264969216"/>
      <w:r/>
      <w:bookmarkStart w:id="227" w:name="_Toc150774731"/>
      <w:r/>
      <w:bookmarkStart w:id="228" w:name="_Toc142311028"/>
      <w:r/>
      <w:bookmarkStart w:id="229" w:name="_Toc150509277"/>
      <w:r>
        <w:rPr>
          <w:rFonts w:hint="eastAsia" w:ascii="宋体" w:hAnsi="宋体" w:eastAsia="宋体" w:cs="宋体"/>
          <w:color w:val="000000"/>
          <w:sz w:val="24"/>
          <w:szCs w:val="24"/>
          <w:highlight w:val="none"/>
        </w:rPr>
      </w:r>
      <w:r/>
    </w:p>
    <w:p>
      <w:pPr>
        <w:pStyle w:val="1012"/>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三   投标文件</w:t>
      </w:r>
      <w:bookmarkEnd w:id="207"/>
      <w:r>
        <w:rPr>
          <w:rFonts w:hint="eastAsia" w:ascii="宋体" w:hAnsi="宋体" w:eastAsia="宋体" w:cs="宋体"/>
          <w:color w:val="000000"/>
          <w:sz w:val="24"/>
          <w:szCs w:val="24"/>
          <w:highlight w:val="none"/>
        </w:rPr>
        <w:t xml:space="preserve">的编制</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30" w:name="_Toc150774627"/>
      <w:r/>
      <w:bookmarkStart w:id="231" w:name="_Toc305158795"/>
      <w:r/>
      <w:bookmarkStart w:id="232" w:name="_Toc142311029"/>
      <w:r/>
      <w:bookmarkStart w:id="233" w:name="_Toc150774732"/>
      <w:r/>
      <w:bookmarkStart w:id="234" w:name="_Toc226965800"/>
      <w:r/>
      <w:bookmarkStart w:id="235" w:name="_Toc151193915"/>
      <w:r/>
      <w:bookmarkStart w:id="236" w:name="_Toc151193841"/>
      <w:r/>
      <w:bookmarkStart w:id="237" w:name="_Toc127151728"/>
      <w:r/>
      <w:bookmarkStart w:id="238" w:name="_Toc164229368"/>
      <w:r/>
      <w:bookmarkStart w:id="239" w:name="_Toc164608641"/>
      <w:r/>
      <w:bookmarkStart w:id="240" w:name="_Toc164608796"/>
      <w:r/>
      <w:bookmarkStart w:id="241" w:name="_Toc151193769"/>
      <w:r/>
      <w:bookmarkStart w:id="242" w:name="_Toc150509278"/>
      <w:r/>
      <w:bookmarkStart w:id="243" w:name="_Toc520356151"/>
      <w:r/>
      <w:bookmarkStart w:id="244" w:name="_Toc127161441"/>
      <w:r/>
      <w:bookmarkStart w:id="245" w:name="_Toc226965717"/>
      <w:r/>
      <w:bookmarkStart w:id="246" w:name="_Toc151193697"/>
      <w:r/>
      <w:bookmarkStart w:id="247" w:name="_Toc516367021"/>
      <w:r/>
      <w:bookmarkStart w:id="248" w:name="_Toc150480765"/>
      <w:r/>
      <w:bookmarkStart w:id="249" w:name="_Toc226309771"/>
      <w:r/>
      <w:bookmarkStart w:id="250" w:name="_Toc264969217"/>
      <w:r/>
      <w:bookmarkStart w:id="251" w:name="_Toc305158869"/>
      <w:r/>
      <w:bookmarkStart w:id="252" w:name="_Toc195842892"/>
      <w:r/>
      <w:bookmarkStart w:id="253" w:name="_Toc149720820"/>
      <w:r/>
      <w:bookmarkStart w:id="254" w:name="_Toc164351621"/>
      <w:r/>
      <w:bookmarkStart w:id="255" w:name="_Toc151190154"/>
      <w:r/>
      <w:bookmarkStart w:id="256" w:name="_Toc226337223"/>
      <w:r/>
      <w:bookmarkStart w:id="257" w:name="_Toc151193625"/>
      <w:r/>
      <w:bookmarkStart w:id="258" w:name="_Toc265228365"/>
      <w:r/>
      <w:bookmarkStart w:id="259" w:name="_Toc164229222"/>
      <w:r/>
      <w:bookmarkStart w:id="260" w:name="_Toc127151527"/>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 </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61" w:name="_Toc150774733"/>
      <w:r/>
      <w:bookmarkStart w:id="262" w:name="_Toc305158796"/>
      <w:r/>
      <w:bookmarkStart w:id="263" w:name="_Toc150774628"/>
      <w:r/>
      <w:bookmarkStart w:id="264" w:name="_Toc226337224"/>
      <w:r/>
      <w:bookmarkStart w:id="265" w:name="_Toc226309772"/>
      <w:r/>
      <w:bookmarkStart w:id="266" w:name="_Toc150509279"/>
      <w:r/>
      <w:bookmarkStart w:id="267" w:name="_Toc164608642"/>
      <w:r/>
      <w:bookmarkStart w:id="268" w:name="_Ref467306195"/>
      <w:r/>
      <w:bookmarkStart w:id="269" w:name="_Ref467306676"/>
      <w:r/>
      <w:bookmarkStart w:id="270" w:name="_Toc516367022"/>
      <w:r/>
      <w:bookmarkStart w:id="271" w:name="_Toc520356152"/>
      <w:r/>
      <w:bookmarkStart w:id="272" w:name="_Toc265228366"/>
      <w:r/>
      <w:bookmarkStart w:id="273" w:name="_Toc151190155"/>
      <w:r/>
      <w:bookmarkStart w:id="274" w:name="_Toc151193698"/>
      <w:r/>
      <w:bookmarkStart w:id="275" w:name="_Toc164608797"/>
      <w:r/>
      <w:bookmarkStart w:id="276" w:name="_Toc142311030"/>
      <w:r/>
      <w:bookmarkStart w:id="277" w:name="_Toc226965718"/>
      <w:r/>
      <w:bookmarkStart w:id="278" w:name="_Toc151193770"/>
      <w:r/>
      <w:bookmarkStart w:id="279" w:name="_Toc151193842"/>
      <w:r/>
      <w:bookmarkStart w:id="280" w:name="_Toc149720821"/>
      <w:r/>
      <w:bookmarkStart w:id="281" w:name="_Toc127151528"/>
      <w:r/>
      <w:bookmarkStart w:id="282" w:name="_Toc226965801"/>
      <w:r/>
      <w:bookmarkStart w:id="283" w:name="_Toc127151729"/>
      <w:r/>
      <w:bookmarkStart w:id="284" w:name="_Toc151193626"/>
      <w:r/>
      <w:bookmarkStart w:id="285" w:name="_Toc164351622"/>
      <w:r/>
      <w:bookmarkStart w:id="286" w:name="_Toc151193916"/>
      <w:r/>
      <w:bookmarkStart w:id="287" w:name="_Toc127161442"/>
      <w:r/>
      <w:bookmarkStart w:id="288" w:name="_Toc164229369"/>
      <w:r/>
      <w:bookmarkStart w:id="289" w:name="_Toc264969218"/>
      <w:r/>
      <w:bookmarkStart w:id="290" w:name="_Toc150480766"/>
      <w:r/>
      <w:bookmarkStart w:id="291" w:name="_Toc305158870"/>
      <w:r/>
      <w:bookmarkStart w:id="292" w:name="_Toc164229223"/>
      <w:r/>
      <w:bookmarkStart w:id="293" w:name="_Toc195842893"/>
      <w:r>
        <w:rPr>
          <w:rFonts w:hint="eastAsia" w:ascii="宋体" w:hAnsi="宋体" w:eastAsia="宋体" w:cs="宋体"/>
          <w:b/>
          <w:bCs/>
          <w:color w:val="000000"/>
          <w:sz w:val="24"/>
          <w:szCs w:val="24"/>
          <w:highlight w:val="none"/>
          <w:lang w:val="en-US" w:eastAsia="zh-CN" w:bidi="ar-SA"/>
        </w:rPr>
        <w:t xml:space="preserve">10</w:t>
      </w:r>
      <w:r>
        <w:rPr>
          <w:rFonts w:hint="eastAsia" w:ascii="宋体" w:hAnsi="宋体" w:eastAsia="宋体" w:cs="宋体"/>
          <w:b/>
          <w:bCs/>
          <w:color w:val="000000"/>
          <w:sz w:val="24"/>
          <w:szCs w:val="24"/>
          <w:highlight w:val="none"/>
        </w:rPr>
        <w:t xml:space="preserve">投标文件</w:t>
      </w:r>
      <w:bookmarkEnd w:id="268"/>
      <w:r/>
      <w:bookmarkEnd w:id="269"/>
      <w:r/>
      <w:bookmarkEnd w:id="270"/>
      <w:r>
        <w:rPr>
          <w:rFonts w:hint="eastAsia" w:ascii="宋体" w:hAnsi="宋体" w:eastAsia="宋体" w:cs="宋体"/>
          <w:b/>
          <w:bCs/>
          <w:color w:val="000000"/>
          <w:sz w:val="24"/>
          <w:szCs w:val="24"/>
          <w:highlight w:val="none"/>
        </w:rPr>
        <w:t xml:space="preserve">构成</w:t>
      </w:r>
      <w:bookmarkEnd w:id="261"/>
      <w:r/>
      <w:bookmarkEnd w:id="262"/>
      <w:r/>
      <w:bookmarkEnd w:id="263"/>
      <w:r/>
      <w:bookmarkEnd w:id="264"/>
      <w:r/>
      <w:bookmarkEnd w:id="265"/>
      <w:r/>
      <w:bookmarkEnd w:id="266"/>
      <w:r/>
      <w:bookmarkEnd w:id="267"/>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4" w:name="_Ref467052588"/>
      <w:r>
        <w:rPr>
          <w:rFonts w:hint="eastAsia" w:ascii="宋体" w:hAnsi="宋体" w:eastAsia="宋体" w:cs="宋体"/>
          <w:color w:val="000000"/>
          <w:sz w:val="24"/>
          <w:szCs w:val="24"/>
          <w:highlight w:val="none"/>
          <w:lang w:val="en-US" w:eastAsia="zh-CN" w:bidi="ar-SA"/>
        </w:rPr>
        <w:t xml:space="preserve">10.1 </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 </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 </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10.5 </w:t>
      </w:r>
      <w:r>
        <w:rPr>
          <w:rFonts w:hint="eastAsia" w:ascii="宋体" w:hAnsi="宋体" w:eastAsia="宋体" w:cs="宋体"/>
          <w:color w:val="000000"/>
          <w:sz w:val="24"/>
          <w:szCs w:val="24"/>
          <w:highlight w:val="none"/>
        </w:rPr>
        <w:t xml:space="preserve">投标人认为应附的其他材料。</w:t>
      </w:r>
      <w:bookmarkEnd w:id="294"/>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295" w:name="_Toc150774735"/>
      <w:r/>
      <w:bookmarkStart w:id="296" w:name="_Toc164608799"/>
      <w:r/>
      <w:bookmarkStart w:id="297" w:name="_Toc127151530"/>
      <w:r/>
      <w:bookmarkStart w:id="298" w:name="_Toc164608644"/>
      <w:r/>
      <w:bookmarkStart w:id="299" w:name="_Toc164229371"/>
      <w:r/>
      <w:bookmarkStart w:id="300" w:name="_Toc149720823"/>
      <w:r/>
      <w:bookmarkStart w:id="301" w:name="_Toc142311032"/>
      <w:r/>
      <w:bookmarkStart w:id="302" w:name="_Toc164229225"/>
      <w:r/>
      <w:bookmarkStart w:id="303" w:name="_Toc520356155"/>
      <w:r/>
      <w:bookmarkStart w:id="304" w:name="_Toc127161444"/>
      <w:r/>
      <w:bookmarkStart w:id="305" w:name="_Toc150480768"/>
      <w:r/>
      <w:bookmarkStart w:id="306" w:name="_Toc151193700"/>
      <w:r/>
      <w:bookmarkStart w:id="307" w:name="_Toc150774630"/>
      <w:r/>
      <w:bookmarkStart w:id="308" w:name="_Toc151193628"/>
      <w:r/>
      <w:bookmarkStart w:id="309" w:name="_Toc151190157"/>
      <w:r/>
      <w:bookmarkStart w:id="310" w:name="_Toc151193918"/>
      <w:r/>
      <w:bookmarkStart w:id="311" w:name="_Toc151193844"/>
      <w:r/>
      <w:bookmarkStart w:id="312" w:name="_Toc127151731"/>
      <w:r/>
      <w:bookmarkStart w:id="313" w:name="_Toc195842895"/>
      <w:r/>
      <w:bookmarkStart w:id="314" w:name="_Toc164351624"/>
      <w:r/>
      <w:bookmarkStart w:id="315" w:name="_Toc151193772"/>
      <w:r/>
      <w:bookmarkStart w:id="316" w:name="_Toc150509281"/>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 </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17" w:name="_Toc142311033"/>
      <w:r/>
      <w:bookmarkStart w:id="318" w:name="_Toc150774631"/>
      <w:r/>
      <w:bookmarkStart w:id="319" w:name="_Toc195842896"/>
      <w:r/>
      <w:bookmarkStart w:id="320" w:name="_Ref467306513"/>
      <w:r/>
      <w:bookmarkStart w:id="321" w:name="_Toc149720824"/>
      <w:r/>
      <w:bookmarkStart w:id="322" w:name="_Toc264969221"/>
      <w:r/>
      <w:bookmarkStart w:id="323" w:name="_Toc226965721"/>
      <w:r/>
      <w:bookmarkStart w:id="324" w:name="_Toc151193773"/>
      <w:r/>
      <w:bookmarkStart w:id="325" w:name="_Toc305158873"/>
      <w:r/>
      <w:bookmarkStart w:id="326" w:name="_Toc150774736"/>
      <w:r/>
      <w:bookmarkStart w:id="327" w:name="_Toc150480769"/>
      <w:r/>
      <w:bookmarkStart w:id="328" w:name="_Toc164229226"/>
      <w:r/>
      <w:bookmarkStart w:id="329" w:name="_Toc226965804"/>
      <w:r/>
      <w:bookmarkStart w:id="330" w:name="_Toc305158799"/>
      <w:r/>
      <w:bookmarkStart w:id="331" w:name="_Toc127151531"/>
      <w:r/>
      <w:bookmarkStart w:id="332" w:name="_Toc151193845"/>
      <w:r/>
      <w:bookmarkStart w:id="333" w:name="_Toc164229372"/>
      <w:r/>
      <w:bookmarkStart w:id="334" w:name="_Toc151193701"/>
      <w:r/>
      <w:bookmarkStart w:id="335" w:name="_Toc520356156"/>
      <w:r/>
      <w:bookmarkStart w:id="336" w:name="_Toc151190158"/>
      <w:r/>
      <w:bookmarkStart w:id="337" w:name="_Toc265228369"/>
      <w:r/>
      <w:bookmarkStart w:id="338" w:name="_Toc226337227"/>
      <w:r/>
      <w:bookmarkStart w:id="339" w:name="_Toc127161445"/>
      <w:r/>
      <w:bookmarkStart w:id="340" w:name="_Toc150509282"/>
      <w:r/>
      <w:bookmarkStart w:id="341" w:name="_Toc151193919"/>
      <w:r/>
      <w:bookmarkStart w:id="342" w:name="_Toc164351625"/>
      <w:r/>
      <w:bookmarkStart w:id="343" w:name="_Toc127151732"/>
      <w:r/>
      <w:bookmarkStart w:id="344" w:name="_Toc151193629"/>
      <w:r/>
      <w:bookmarkStart w:id="345" w:name="_Toc164608645"/>
      <w:r/>
      <w:bookmarkStart w:id="346" w:name="_Toc164608800"/>
      <w:r/>
      <w:bookmarkStart w:id="347" w:name="_Toc226309775"/>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宋体" w:hAnsi="宋体" w:eastAsia="宋体" w:cs="宋体"/>
          <w:b/>
          <w:bCs/>
          <w:color w:val="000000"/>
          <w:sz w:val="24"/>
          <w:szCs w:val="24"/>
          <w:highlight w:val="none"/>
        </w:rPr>
      </w:r>
      <w:r/>
    </w:p>
    <w:p>
      <w:pPr>
        <w:pStyle w:val="1010"/>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48" w:name="_Toc142311034"/>
      <w:r/>
      <w:bookmarkStart w:id="349" w:name="_Toc195842897"/>
      <w:r/>
      <w:bookmarkStart w:id="350" w:name="_Toc164229227"/>
      <w:r/>
      <w:bookmarkStart w:id="351" w:name="_Toc265228370"/>
      <w:r/>
      <w:bookmarkStart w:id="352" w:name="_Toc164608801"/>
      <w:r/>
      <w:bookmarkStart w:id="353" w:name="_Toc149720825"/>
      <w:r/>
      <w:bookmarkStart w:id="354" w:name="_Toc226337228"/>
      <w:r/>
      <w:bookmarkStart w:id="355" w:name="_Toc164351626"/>
      <w:r/>
      <w:bookmarkStart w:id="356" w:name="_Toc151193846"/>
      <w:r/>
      <w:bookmarkStart w:id="357" w:name="_Toc226965722"/>
      <w:r/>
      <w:bookmarkStart w:id="358" w:name="_Toc264969222"/>
      <w:r/>
      <w:bookmarkStart w:id="359" w:name="_Toc150480770"/>
      <w:r/>
      <w:bookmarkStart w:id="360" w:name="_Toc127161446"/>
      <w:r/>
      <w:bookmarkStart w:id="361" w:name="_Toc305158800"/>
      <w:r/>
      <w:bookmarkStart w:id="362" w:name="_Toc151193774"/>
      <w:r/>
      <w:bookmarkStart w:id="363" w:name="_Toc520356157"/>
      <w:r/>
      <w:bookmarkStart w:id="364" w:name="_Toc150509283"/>
      <w:r/>
      <w:bookmarkStart w:id="365" w:name="_Toc305158874"/>
      <w:r/>
      <w:bookmarkStart w:id="366" w:name="_Toc150774737"/>
      <w:r/>
      <w:bookmarkStart w:id="367" w:name="_Toc164608646"/>
      <w:r/>
      <w:bookmarkStart w:id="368" w:name="_Toc127151532"/>
      <w:r/>
      <w:bookmarkStart w:id="369" w:name="_Toc150774632"/>
      <w:r/>
      <w:bookmarkStart w:id="370" w:name="_Toc226309776"/>
      <w:r/>
      <w:bookmarkStart w:id="371" w:name="_Toc127151733"/>
      <w:r/>
      <w:bookmarkStart w:id="372" w:name="_Toc226965805"/>
      <w:r/>
      <w:bookmarkStart w:id="373" w:name="_Toc151193630"/>
      <w:r/>
      <w:bookmarkStart w:id="374" w:name="_Toc164229373"/>
      <w:r/>
      <w:bookmarkStart w:id="375" w:name="_Toc151193920"/>
      <w:r/>
      <w:bookmarkStart w:id="376" w:name="_Toc151190159"/>
      <w:r/>
      <w:bookmarkStart w:id="377" w:name="_Toc151193702"/>
      <w:r>
        <w:rPr>
          <w:rFonts w:hint="eastAsia" w:ascii="宋体" w:hAnsi="宋体" w:eastAsia="宋体" w:cs="宋体"/>
          <w:b/>
          <w:bCs/>
          <w:color w:val="000000"/>
          <w:sz w:val="24"/>
          <w:szCs w:val="24"/>
          <w:highlight w:val="none"/>
          <w:lang w:val="en-US" w:eastAsia="zh-CN" w:bidi="ar-SA"/>
        </w:rPr>
        <w:t xml:space="preserve">13</w:t>
      </w:r>
      <w:r>
        <w:rPr>
          <w:rFonts w:hint="eastAsia" w:ascii="宋体" w:hAnsi="宋体" w:eastAsia="宋体" w:cs="宋体"/>
          <w:b/>
          <w:bCs/>
          <w:color w:val="000000"/>
          <w:sz w:val="24"/>
          <w:szCs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378" w:name="_Toc151193775"/>
      <w:r/>
      <w:bookmarkStart w:id="379" w:name="_Toc164351627"/>
      <w:r/>
      <w:bookmarkStart w:id="380" w:name="_Toc150480771"/>
      <w:r/>
      <w:bookmarkStart w:id="381" w:name="_Toc164608802"/>
      <w:r/>
      <w:bookmarkStart w:id="382" w:name="_Toc151190160"/>
      <w:r/>
      <w:bookmarkStart w:id="383" w:name="_Toc151193921"/>
      <w:r/>
      <w:bookmarkStart w:id="384" w:name="_Toc127151734"/>
      <w:r/>
      <w:bookmarkStart w:id="385" w:name="_Toc195842898"/>
      <w:r/>
      <w:bookmarkStart w:id="386" w:name="_Toc150774738"/>
      <w:r/>
      <w:bookmarkStart w:id="387" w:name="_Toc305158875"/>
      <w:r/>
      <w:bookmarkStart w:id="388" w:name="_Toc151193703"/>
      <w:r/>
      <w:bookmarkStart w:id="389" w:name="_Toc226309777"/>
      <w:r/>
      <w:bookmarkStart w:id="390" w:name="_Toc151193631"/>
      <w:r/>
      <w:bookmarkStart w:id="391" w:name="_Toc151193847"/>
      <w:r/>
      <w:bookmarkStart w:id="392" w:name="_Toc150509284"/>
      <w:r/>
      <w:bookmarkStart w:id="393" w:name="_Toc149720826"/>
      <w:r/>
      <w:bookmarkStart w:id="394" w:name="_Toc127151533"/>
      <w:r/>
      <w:bookmarkStart w:id="395" w:name="_Toc264969223"/>
      <w:r/>
      <w:bookmarkStart w:id="396" w:name="_Toc305158801"/>
      <w:r/>
      <w:bookmarkStart w:id="397" w:name="_Toc150774633"/>
      <w:r/>
      <w:bookmarkStart w:id="398" w:name="_Toc520356158"/>
      <w:r/>
      <w:bookmarkStart w:id="399" w:name="_Toc127161447"/>
      <w:r/>
      <w:bookmarkStart w:id="400" w:name="_Toc164229374"/>
      <w:r/>
      <w:bookmarkStart w:id="401" w:name="_Toc226965806"/>
      <w:r/>
      <w:bookmarkStart w:id="402" w:name="_Toc164608647"/>
      <w:r/>
      <w:bookmarkStart w:id="403" w:name="_Toc265228371"/>
      <w:r/>
      <w:bookmarkStart w:id="404" w:name="_Toc226965723"/>
      <w:r/>
      <w:bookmarkStart w:id="405" w:name="_Toc226337229"/>
      <w:r/>
      <w:bookmarkStart w:id="406" w:name="_Toc142311035"/>
      <w:r/>
      <w:bookmarkStart w:id="407" w:name="_Toc164229228"/>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08" w:name="_Toc305158802"/>
      <w:r/>
      <w:bookmarkStart w:id="409" w:name="_Toc151193922"/>
      <w:r/>
      <w:bookmarkStart w:id="410" w:name="_Toc265228372"/>
      <w:r/>
      <w:bookmarkStart w:id="411" w:name="_Toc520356159"/>
      <w:r/>
      <w:bookmarkStart w:id="412" w:name="_Toc150480772"/>
      <w:r/>
      <w:bookmarkStart w:id="413" w:name="_Toc150774739"/>
      <w:r/>
      <w:bookmarkStart w:id="414" w:name="_Toc195842899"/>
      <w:r/>
      <w:bookmarkStart w:id="415" w:name="_Toc226965724"/>
      <w:r/>
      <w:bookmarkStart w:id="416" w:name="_Toc226965807"/>
      <w:r/>
      <w:bookmarkStart w:id="417" w:name="_Toc127151534"/>
      <w:r/>
      <w:bookmarkStart w:id="418" w:name="_Toc151193704"/>
      <w:r/>
      <w:bookmarkStart w:id="419" w:name="_Toc150509285"/>
      <w:r/>
      <w:bookmarkStart w:id="420" w:name="_Toc151193632"/>
      <w:r/>
      <w:bookmarkStart w:id="421" w:name="_Toc151193848"/>
      <w:r/>
      <w:bookmarkStart w:id="422" w:name="_Toc226309778"/>
      <w:r/>
      <w:bookmarkStart w:id="423" w:name="_Toc226337230"/>
      <w:r/>
      <w:bookmarkStart w:id="424" w:name="_Toc305158876"/>
      <w:r/>
      <w:bookmarkStart w:id="425" w:name="_Toc150774634"/>
      <w:r/>
      <w:bookmarkStart w:id="426" w:name="_Toc142311036"/>
      <w:r/>
      <w:bookmarkStart w:id="427" w:name="_Toc264969224"/>
      <w:r/>
      <w:bookmarkStart w:id="428" w:name="_Toc151190161"/>
      <w:r/>
      <w:bookmarkStart w:id="429" w:name="_Toc151193776"/>
      <w:r>
        <w:rPr>
          <w:rFonts w:hint="eastAsia" w:ascii="宋体" w:hAnsi="宋体" w:eastAsia="宋体" w:cs="宋体"/>
          <w:color w:val="000000"/>
          <w:sz w:val="24"/>
          <w:szCs w:val="24"/>
          <w:highlight w:val="none"/>
          <w:lang w:val="en-US" w:eastAsia="zh-CN" w:bidi="ar-SA"/>
        </w:rPr>
        <w:t xml:space="preserve">14.1 </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 </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1012"/>
        <w:spacing w:before="0"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30" w:name="_Toc164229376"/>
      <w:r/>
      <w:bookmarkStart w:id="431" w:name="_Toc127161449"/>
      <w:r/>
      <w:bookmarkStart w:id="432" w:name="_Toc151193705"/>
      <w:r/>
      <w:bookmarkStart w:id="433" w:name="_Toc151190162"/>
      <w:r/>
      <w:bookmarkStart w:id="434" w:name="_Toc226337231"/>
      <w:r/>
      <w:bookmarkStart w:id="435" w:name="_Toc150509286"/>
      <w:r/>
      <w:bookmarkStart w:id="436" w:name="_Toc195842900"/>
      <w:r/>
      <w:bookmarkStart w:id="437" w:name="_Toc520356160"/>
      <w:r/>
      <w:bookmarkStart w:id="438" w:name="_Toc151193633"/>
      <w:r/>
      <w:bookmarkStart w:id="439" w:name="_Toc226309779"/>
      <w:r/>
      <w:bookmarkStart w:id="440" w:name="_Toc151193777"/>
      <w:r/>
      <w:bookmarkStart w:id="441" w:name="_Toc127151535"/>
      <w:r/>
      <w:bookmarkStart w:id="442" w:name="_Toc265228373"/>
      <w:r/>
      <w:bookmarkStart w:id="443" w:name="_Toc164229230"/>
      <w:r/>
      <w:bookmarkStart w:id="444" w:name="_Toc226965808"/>
      <w:r/>
      <w:bookmarkStart w:id="445" w:name="_Toc164608649"/>
      <w:r/>
      <w:bookmarkStart w:id="446" w:name="_Toc164608804"/>
      <w:r/>
      <w:bookmarkStart w:id="447" w:name="_Toc149720828"/>
      <w:r/>
      <w:bookmarkStart w:id="448" w:name="_Toc305158877"/>
      <w:r/>
      <w:bookmarkStart w:id="449" w:name="_Toc226965725"/>
      <w:r/>
      <w:bookmarkStart w:id="450" w:name="_Toc164351629"/>
      <w:r/>
      <w:bookmarkStart w:id="451" w:name="_Toc151193849"/>
      <w:r/>
      <w:bookmarkStart w:id="452" w:name="_Toc142311037"/>
      <w:r/>
      <w:bookmarkStart w:id="453" w:name="_Toc151193923"/>
      <w:r/>
      <w:bookmarkStart w:id="454" w:name="_Toc150480773"/>
      <w:r/>
      <w:bookmarkStart w:id="455" w:name="_Toc150774740"/>
      <w:r/>
      <w:bookmarkStart w:id="456" w:name="_Toc127151736"/>
      <w:r/>
      <w:bookmarkStart w:id="457" w:name="_Toc305158803"/>
      <w:r/>
      <w:bookmarkStart w:id="458" w:name="_Toc264969225"/>
      <w:r/>
      <w:bookmarkStart w:id="459" w:name="_Toc150774635"/>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本项目使用“苏采云”</w:t>
      </w:r>
      <w:r>
        <w:rPr>
          <w:rFonts w:hint="eastAsia" w:ascii="宋体" w:hAnsi="宋体" w:eastAsia="宋体" w:cs="宋体"/>
          <w:color w:val="000000"/>
          <w:sz w:val="24"/>
          <w:szCs w:val="24"/>
          <w:highlight w:val="none"/>
          <w:lang w:bidi="ar"/>
        </w:rPr>
        <w:t xml:space="preserve">政府采购一体化平台</w:t>
      </w:r>
      <w:r>
        <w:rPr>
          <w:rFonts w:hint="eastAsia" w:ascii="宋体" w:hAnsi="宋体" w:eastAsia="宋体" w:cs="宋体"/>
          <w:color w:val="000000"/>
          <w:sz w:val="24"/>
          <w:szCs w:val="24"/>
          <w:highlight w:val="none"/>
        </w:rPr>
        <w:t xml:space="preserve">。投标人根据招标文件及“苏采云”</w:t>
      </w:r>
      <w:r>
        <w:rPr>
          <w:rFonts w:hint="eastAsia" w:ascii="宋体" w:hAnsi="宋体" w:eastAsia="宋体" w:cs="宋体"/>
          <w:color w:val="000000"/>
          <w:sz w:val="24"/>
          <w:szCs w:val="24"/>
          <w:highlight w:val="none"/>
          <w:lang w:bidi="ar"/>
        </w:rPr>
        <w:t xml:space="preserve">系统</w:t>
      </w:r>
      <w:r>
        <w:rPr>
          <w:rFonts w:hint="eastAsia" w:ascii="宋体" w:hAnsi="宋体" w:eastAsia="宋体" w:cs="宋体"/>
          <w:color w:val="000000"/>
          <w:sz w:val="24"/>
          <w:szCs w:val="24"/>
          <w:highlight w:val="none"/>
        </w:rPr>
        <w:t xml:space="preserve">供应商操作手册要求编制、生成并提交电子投标文件。</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color w:val="000000"/>
          <w:sz w:val="24"/>
          <w:szCs w:val="24"/>
          <w:highlight w:val="none"/>
        </w:rPr>
        <w:t xml:space="preserve">采购人及采购代理机构拒绝接受通过“苏采云”系统以外任何形式提交的投标文件。</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60" w:name="_Toc164608805"/>
      <w:r/>
      <w:bookmarkStart w:id="461" w:name="_Toc164229231"/>
      <w:r/>
      <w:bookmarkStart w:id="462" w:name="_Toc151193706"/>
      <w:r/>
      <w:bookmarkStart w:id="463" w:name="_Toc142311038"/>
      <w:r/>
      <w:bookmarkStart w:id="464" w:name="_Toc264969226"/>
      <w:r/>
      <w:bookmarkStart w:id="465" w:name="_Toc151190163"/>
      <w:r/>
      <w:bookmarkStart w:id="466" w:name="_Toc520356161"/>
      <w:r/>
      <w:bookmarkStart w:id="467" w:name="_Toc151193924"/>
      <w:r/>
      <w:bookmarkStart w:id="468" w:name="_Toc226965726"/>
      <w:r/>
      <w:bookmarkStart w:id="469" w:name="_Toc127161450"/>
      <w:r/>
      <w:bookmarkStart w:id="470" w:name="_Toc226965809"/>
      <w:r/>
      <w:bookmarkStart w:id="471" w:name="_Toc127151536"/>
      <w:r/>
      <w:bookmarkStart w:id="472" w:name="_Toc151193850"/>
      <w:r/>
      <w:bookmarkStart w:id="473" w:name="_Toc150774636"/>
      <w:r/>
      <w:bookmarkStart w:id="474" w:name="_Toc305158878"/>
      <w:r/>
      <w:bookmarkStart w:id="475" w:name="_Toc226337232"/>
      <w:r/>
      <w:bookmarkStart w:id="476" w:name="_Toc195842901"/>
      <w:r/>
      <w:bookmarkStart w:id="477" w:name="_Toc265228374"/>
      <w:r/>
      <w:bookmarkStart w:id="478" w:name="_Toc127151737"/>
      <w:r/>
      <w:bookmarkStart w:id="479" w:name="_Toc150509287"/>
      <w:r/>
      <w:bookmarkStart w:id="480" w:name="_Toc305158804"/>
      <w:r/>
      <w:bookmarkStart w:id="481" w:name="_Toc164608650"/>
      <w:r/>
      <w:bookmarkStart w:id="482" w:name="_Toc164351630"/>
      <w:r/>
      <w:bookmarkStart w:id="483" w:name="_Toc226309780"/>
      <w:r/>
      <w:bookmarkStart w:id="484" w:name="_Toc150480774"/>
      <w:r/>
      <w:bookmarkStart w:id="485" w:name="_Toc149720829"/>
      <w:r/>
      <w:bookmarkStart w:id="486" w:name="_Toc151193634"/>
      <w:r/>
      <w:bookmarkStart w:id="487" w:name="_Toc151193778"/>
      <w:r/>
      <w:bookmarkStart w:id="488" w:name="_Toc164229377"/>
      <w:r/>
      <w:bookmarkStart w:id="489" w:name="_Toc150774741"/>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490" w:name="_Toc226965810"/>
      <w:r/>
      <w:bookmarkStart w:id="491" w:name="_Toc164608651"/>
      <w:r/>
      <w:bookmarkStart w:id="492" w:name="_Toc150509288"/>
      <w:r/>
      <w:bookmarkStart w:id="493" w:name="_Toc151190164"/>
      <w:r/>
      <w:bookmarkStart w:id="494" w:name="_Toc127151738"/>
      <w:r/>
      <w:bookmarkStart w:id="495" w:name="_Toc150774637"/>
      <w:r/>
      <w:bookmarkStart w:id="496" w:name="_Toc150774742"/>
      <w:r/>
      <w:bookmarkStart w:id="497" w:name="_Toc151193925"/>
      <w:r/>
      <w:bookmarkStart w:id="498" w:name="_Toc305158805"/>
      <w:r/>
      <w:bookmarkStart w:id="499" w:name="_Toc226309781"/>
      <w:r/>
      <w:bookmarkStart w:id="500" w:name="_Toc142311039"/>
      <w:r/>
      <w:bookmarkStart w:id="501" w:name="_Toc151193635"/>
      <w:r/>
      <w:bookmarkStart w:id="502" w:name="_Toc151193851"/>
      <w:r/>
      <w:bookmarkStart w:id="503" w:name="_Toc265228375"/>
      <w:r/>
      <w:bookmarkStart w:id="504" w:name="_Toc226337233"/>
      <w:r/>
      <w:bookmarkStart w:id="505" w:name="_Toc127151537"/>
      <w:r/>
      <w:bookmarkStart w:id="506" w:name="_Toc164608806"/>
      <w:r/>
      <w:bookmarkStart w:id="507" w:name="_Toc164229378"/>
      <w:r/>
      <w:bookmarkStart w:id="508" w:name="_Toc149720830"/>
      <w:r/>
      <w:bookmarkStart w:id="509" w:name="_Toc151193707"/>
      <w:r/>
      <w:bookmarkStart w:id="510" w:name="_Toc127161451"/>
      <w:r/>
      <w:bookmarkStart w:id="511" w:name="_Toc164351631"/>
      <w:r/>
      <w:bookmarkStart w:id="512" w:name="_Toc520356162"/>
      <w:r/>
      <w:bookmarkStart w:id="513" w:name="_Toc195842902"/>
      <w:r/>
      <w:bookmarkStart w:id="514" w:name="_Toc305158879"/>
      <w:r/>
      <w:bookmarkStart w:id="515" w:name="_Toc151193779"/>
      <w:r/>
      <w:bookmarkStart w:id="516" w:name="_Toc150480775"/>
      <w:r/>
      <w:bookmarkStart w:id="517" w:name="_Toc226965727"/>
      <w:r/>
      <w:bookmarkStart w:id="518" w:name="_Toc164229232"/>
      <w:r/>
      <w:bookmarkStart w:id="519" w:name="_Toc264969227"/>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 </w:t>
      </w:r>
      <w:r>
        <w:rPr>
          <w:rFonts w:hint="eastAsia" w:ascii="宋体" w:hAnsi="宋体" w:eastAsia="宋体" w:cs="宋体"/>
          <w:color w:val="000000"/>
          <w:sz w:val="24"/>
          <w:szCs w:val="24"/>
          <w:highlight w:val="none"/>
        </w:rPr>
        <w:t xml:space="preserve">投标截止时间前，投标人可以通过“苏采云”系统对所提交的投标文件进行补充、修改或者撤回。</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10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spacing w:before="0" w:line="360" w:lineRule="auto"/>
        <w:rPr>
          <w:rFonts w:hint="eastAsia" w:ascii="宋体" w:hAnsi="宋体" w:eastAsia="宋体" w:cs="宋体"/>
          <w:color w:val="000000"/>
          <w:sz w:val="24"/>
          <w:szCs w:val="24"/>
          <w:highlight w:val="none"/>
        </w:rPr>
        <w:outlineLvl w:val="2"/>
      </w:pPr>
      <w:r/>
      <w:bookmarkStart w:id="520" w:name="_Toc520356163"/>
      <w:r/>
      <w:bookmarkStart w:id="521" w:name="_Toc226965728"/>
      <w:r/>
      <w:bookmarkStart w:id="522" w:name="_Toc150774638"/>
      <w:r/>
      <w:bookmarkStart w:id="523" w:name="_Toc305158880"/>
      <w:r/>
      <w:bookmarkStart w:id="524" w:name="_Toc151190165"/>
      <w:r/>
      <w:bookmarkStart w:id="525" w:name="_Toc151193780"/>
      <w:r/>
      <w:bookmarkStart w:id="526" w:name="_Toc127151538"/>
      <w:r/>
      <w:bookmarkStart w:id="527" w:name="_Toc151193852"/>
      <w:r/>
      <w:bookmarkStart w:id="528" w:name="_Toc226309782"/>
      <w:r/>
      <w:bookmarkStart w:id="529" w:name="_Toc195842903"/>
      <w:r/>
      <w:bookmarkStart w:id="530" w:name="_Toc150509289"/>
      <w:r/>
      <w:bookmarkStart w:id="531" w:name="_Toc150480776"/>
      <w:r/>
      <w:bookmarkStart w:id="532" w:name="_Toc142311040"/>
      <w:r/>
      <w:bookmarkStart w:id="533" w:name="_Toc151193708"/>
      <w:r/>
      <w:bookmarkStart w:id="534" w:name="_Toc226965811"/>
      <w:r/>
      <w:bookmarkStart w:id="535" w:name="_Toc305158806"/>
      <w:r/>
      <w:bookmarkStart w:id="536" w:name="_Toc265228376"/>
      <w:r/>
      <w:bookmarkStart w:id="537" w:name="_Toc151193636"/>
      <w:r/>
      <w:bookmarkStart w:id="538" w:name="_Toc151193926"/>
      <w:r/>
      <w:bookmarkStart w:id="539" w:name="_Toc264969228"/>
      <w:r/>
      <w:bookmarkStart w:id="540" w:name="_Toc226337234"/>
      <w:r/>
      <w:bookmarkStart w:id="541" w:name="_Toc150774743"/>
      <w:r>
        <w:rPr>
          <w:rFonts w:hint="eastAsia" w:ascii="宋体" w:hAnsi="宋体" w:eastAsia="宋体" w:cs="宋体"/>
          <w:color w:val="000000"/>
          <w:sz w:val="24"/>
          <w:szCs w:val="24"/>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542" w:name="_Toc226965729"/>
      <w:r/>
      <w:bookmarkStart w:id="543" w:name="_Toc265228377"/>
      <w:r/>
      <w:bookmarkStart w:id="544" w:name="_Toc151190166"/>
      <w:r/>
      <w:bookmarkStart w:id="545" w:name="_Toc151193853"/>
      <w:r/>
      <w:bookmarkStart w:id="546" w:name="_Toc151193781"/>
      <w:r/>
      <w:bookmarkStart w:id="547" w:name="_Toc164229380"/>
      <w:r/>
      <w:bookmarkStart w:id="548" w:name="_Toc164351633"/>
      <w:r/>
      <w:bookmarkStart w:id="549" w:name="_Toc195842904"/>
      <w:r/>
      <w:bookmarkStart w:id="550" w:name="_Toc164608653"/>
      <w:r/>
      <w:bookmarkStart w:id="551" w:name="_Toc264969229"/>
      <w:r/>
      <w:bookmarkStart w:id="552" w:name="_Toc164608808"/>
      <w:r/>
      <w:bookmarkStart w:id="553" w:name="_Toc151193927"/>
      <w:r/>
      <w:bookmarkStart w:id="554" w:name="_Toc127161453"/>
      <w:r/>
      <w:bookmarkStart w:id="555" w:name="_Toc149720832"/>
      <w:r/>
      <w:bookmarkStart w:id="556" w:name="_Toc150774639"/>
      <w:r/>
      <w:bookmarkStart w:id="557" w:name="_Toc305158807"/>
      <w:r/>
      <w:bookmarkStart w:id="558" w:name="_Toc226965812"/>
      <w:r/>
      <w:bookmarkStart w:id="559" w:name="_Toc150774744"/>
      <w:r/>
      <w:bookmarkStart w:id="560" w:name="_Toc226309783"/>
      <w:r/>
      <w:bookmarkStart w:id="561" w:name="_Toc142311041"/>
      <w:r/>
      <w:bookmarkStart w:id="562" w:name="_Toc127151539"/>
      <w:r/>
      <w:bookmarkStart w:id="563" w:name="_Toc150509290"/>
      <w:r/>
      <w:bookmarkStart w:id="564" w:name="_Toc127151740"/>
      <w:r/>
      <w:bookmarkStart w:id="565" w:name="_Toc151193637"/>
      <w:r/>
      <w:bookmarkStart w:id="566" w:name="_Toc226337235"/>
      <w:r/>
      <w:bookmarkStart w:id="567" w:name="_Toc150480777"/>
      <w:r/>
      <w:bookmarkStart w:id="568" w:name="_Toc164229234"/>
      <w:r/>
      <w:bookmarkStart w:id="569" w:name="_Toc520356164"/>
      <w:r/>
      <w:bookmarkStart w:id="570" w:name="_Toc151193709"/>
      <w:r/>
      <w:bookmarkStart w:id="571" w:name="_Toc305158881"/>
      <w:r>
        <w:rPr>
          <w:rFonts w:hint="eastAsia" w:ascii="宋体" w:hAnsi="宋体" w:eastAsia="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72"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w:t>
      </w:r>
      <w:r>
        <w:rPr>
          <w:rFonts w:hint="eastAsia" w:ascii="宋体" w:hAnsi="宋体" w:eastAsia="宋体" w:cs="宋体"/>
          <w:color w:val="000000"/>
          <w:sz w:val="24"/>
          <w:szCs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1)平台系统发生故障而无法登录访问的；</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572"/>
      <w:r/>
      <w:bookmarkStart w:id="573" w:name="_Toc226965730"/>
      <w:r/>
      <w:bookmarkStart w:id="574" w:name="_Toc305158808"/>
      <w:r/>
      <w:bookmarkStart w:id="575" w:name="_Toc150480778"/>
      <w:r/>
      <w:bookmarkStart w:id="576" w:name="_Toc151193928"/>
      <w:r/>
      <w:bookmarkStart w:id="577" w:name="_Toc150509291"/>
      <w:r/>
      <w:bookmarkStart w:id="578" w:name="_Toc164229235"/>
      <w:r/>
      <w:bookmarkStart w:id="579" w:name="_Toc195842905"/>
      <w:r/>
      <w:bookmarkStart w:id="580" w:name="_Toc149720833"/>
      <w:r/>
      <w:bookmarkStart w:id="581" w:name="_Toc264969230"/>
      <w:r/>
      <w:bookmarkStart w:id="582" w:name="_Toc151193854"/>
      <w:r/>
      <w:bookmarkStart w:id="583" w:name="_Toc127151741"/>
      <w:r/>
      <w:bookmarkStart w:id="584" w:name="_Toc150774745"/>
      <w:r/>
      <w:bookmarkStart w:id="585" w:name="_Toc226337236"/>
      <w:r/>
      <w:bookmarkStart w:id="586" w:name="_Toc226309784"/>
      <w:r/>
      <w:bookmarkStart w:id="587" w:name="_Toc150774640"/>
      <w:r/>
      <w:bookmarkStart w:id="588" w:name="_Toc127161454"/>
      <w:r/>
      <w:bookmarkStart w:id="589" w:name="_Toc151193638"/>
      <w:r/>
      <w:bookmarkStart w:id="590" w:name="_Toc127151540"/>
      <w:r/>
      <w:bookmarkStart w:id="591" w:name="_Toc151193710"/>
      <w:r/>
      <w:bookmarkStart w:id="592" w:name="_Toc164229381"/>
      <w:r/>
      <w:bookmarkStart w:id="593" w:name="_Toc151190167"/>
      <w:r/>
      <w:bookmarkStart w:id="594" w:name="_Toc151193782"/>
      <w:r/>
      <w:bookmarkStart w:id="595" w:name="_Toc164351634"/>
      <w:r/>
      <w:bookmarkStart w:id="596" w:name="_Toc164608654"/>
      <w:r/>
      <w:bookmarkStart w:id="597" w:name="_Toc305158882"/>
      <w:r/>
      <w:bookmarkStart w:id="598" w:name="_Toc265228378"/>
      <w:r/>
      <w:bookmarkStart w:id="599" w:name="_Toc164608809"/>
      <w:r/>
      <w:bookmarkStart w:id="600" w:name="_Toc226965813"/>
      <w:r/>
      <w:bookmarkStart w:id="601" w:name="_Toc142311042"/>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602" w:name="_Toc520356166"/>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2"/>
      <w:r/>
      <w:bookmarkStart w:id="603" w:name="_Toc520356169"/>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1010"/>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2"/>
        <w:spacing w:before="0" w:line="360" w:lineRule="auto"/>
        <w:rPr>
          <w:rFonts w:hint="eastAsia" w:ascii="宋体" w:hAnsi="宋体" w:eastAsia="宋体" w:cs="宋体"/>
          <w:color w:val="000000"/>
          <w:sz w:val="24"/>
          <w:szCs w:val="24"/>
          <w:highlight w:val="none"/>
        </w:rPr>
      </w:pPr>
      <w:r/>
      <w:bookmarkStart w:id="604" w:name="_Toc226965818"/>
      <w:r/>
      <w:bookmarkStart w:id="605" w:name="_Toc127151545"/>
      <w:r/>
      <w:bookmarkStart w:id="606" w:name="_Toc226309789"/>
      <w:r/>
      <w:bookmarkStart w:id="607" w:name="_Toc264969235"/>
      <w:r/>
      <w:bookmarkStart w:id="608" w:name="_Toc195842910"/>
      <w:r/>
      <w:bookmarkStart w:id="609" w:name="_Toc150774750"/>
      <w:r/>
      <w:bookmarkStart w:id="610" w:name="_Toc226337241"/>
      <w:r/>
      <w:bookmarkStart w:id="611" w:name="_Toc151193859"/>
      <w:r/>
      <w:bookmarkStart w:id="612" w:name="_Toc150509296"/>
      <w:r/>
      <w:bookmarkStart w:id="613" w:name="_Toc150480783"/>
      <w:r/>
      <w:bookmarkStart w:id="614" w:name="_Toc226965735"/>
      <w:r/>
      <w:bookmarkStart w:id="615" w:name="_Toc305158813"/>
      <w:r/>
      <w:bookmarkStart w:id="616" w:name="_Toc265228383"/>
      <w:r/>
      <w:bookmarkStart w:id="617" w:name="_Toc151193715"/>
      <w:r/>
      <w:bookmarkStart w:id="618" w:name="_Toc151190172"/>
      <w:r/>
      <w:bookmarkStart w:id="619" w:name="_Toc305158887"/>
      <w:r/>
      <w:bookmarkStart w:id="620" w:name="_Toc142311047"/>
      <w:r/>
      <w:bookmarkStart w:id="621" w:name="_Toc151193933"/>
      <w:r/>
      <w:bookmarkStart w:id="622" w:name="_Toc150774645"/>
      <w:r/>
      <w:bookmarkStart w:id="623" w:name="_Toc151193643"/>
      <w:r/>
      <w:bookmarkStart w:id="624" w:name="_Toc151193787"/>
      <w:r>
        <w:rPr>
          <w:rFonts w:hint="eastAsia" w:ascii="宋体" w:hAnsi="宋体" w:eastAsia="宋体" w:cs="宋体"/>
          <w:color w:val="000000"/>
          <w:sz w:val="24"/>
          <w:szCs w:val="24"/>
          <w:highlight w:val="none"/>
        </w:rPr>
        <w:t xml:space="preserve">六   </w:t>
      </w:r>
      <w:bookmarkEnd w:id="603"/>
      <w:r>
        <w:rPr>
          <w:rFonts w:hint="eastAsia" w:ascii="宋体" w:hAnsi="宋体" w:eastAsia="宋体" w:cs="宋体"/>
          <w:color w:val="000000"/>
          <w:sz w:val="24"/>
          <w:szCs w:val="24"/>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226309791"/>
      <w:r/>
      <w:bookmarkStart w:id="626" w:name="_Toc149720840"/>
      <w:r/>
      <w:bookmarkStart w:id="627" w:name="_Toc127151547"/>
      <w:r/>
      <w:bookmarkStart w:id="628" w:name="_Toc150480785"/>
      <w:r/>
      <w:bookmarkStart w:id="629" w:name="_Toc127161461"/>
      <w:r/>
      <w:bookmarkStart w:id="630" w:name="_Toc164351641"/>
      <w:r/>
      <w:bookmarkStart w:id="631" w:name="_Toc142311049"/>
      <w:r/>
      <w:bookmarkStart w:id="632" w:name="_Toc164229242"/>
      <w:r/>
      <w:bookmarkStart w:id="633" w:name="_Toc151193861"/>
      <w:r/>
      <w:bookmarkStart w:id="634" w:name="_Toc127151748"/>
      <w:r/>
      <w:bookmarkStart w:id="635" w:name="_Toc151193645"/>
      <w:r/>
      <w:bookmarkStart w:id="636" w:name="_Toc151193935"/>
      <w:r/>
      <w:bookmarkStart w:id="637" w:name="_Toc151193717"/>
      <w:r/>
      <w:bookmarkStart w:id="638" w:name="_Toc164229388"/>
      <w:r/>
      <w:bookmarkStart w:id="639" w:name="_Toc151193789"/>
      <w:r/>
      <w:bookmarkStart w:id="640" w:name="_Toc150774647"/>
      <w:r/>
      <w:bookmarkStart w:id="641" w:name="_Toc226965820"/>
      <w:r/>
      <w:bookmarkStart w:id="642" w:name="_Toc305158889"/>
      <w:r/>
      <w:bookmarkStart w:id="643" w:name="_Toc264969237"/>
      <w:r/>
      <w:bookmarkStart w:id="644" w:name="_Toc226965737"/>
      <w:r/>
      <w:bookmarkStart w:id="645" w:name="_Toc151190174"/>
      <w:r/>
      <w:bookmarkStart w:id="646" w:name="_Toc150774752"/>
      <w:r/>
      <w:bookmarkStart w:id="647" w:name="_Toc265228385"/>
      <w:r/>
      <w:bookmarkStart w:id="648" w:name="_Toc195842912"/>
      <w:r/>
      <w:bookmarkStart w:id="649" w:name="_Toc150509298"/>
      <w:r/>
      <w:bookmarkStart w:id="650" w:name="_Toc164608816"/>
      <w:r/>
      <w:bookmarkStart w:id="651" w:name="_Toc164608661"/>
      <w:r/>
      <w:bookmarkStart w:id="652" w:name="_Toc226337243"/>
      <w:r/>
      <w:bookmarkStart w:id="653" w:name="_Toc305158815"/>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Start w:id="654" w:name="_Toc164351643"/>
      <w:r/>
      <w:bookmarkStart w:id="655" w:name="_Toc164608818"/>
      <w:r/>
      <w:bookmarkStart w:id="656" w:name="_Toc164229390"/>
      <w:r/>
      <w:bookmarkStart w:id="657" w:name="_Toc305158891"/>
      <w:r/>
      <w:bookmarkStart w:id="658" w:name="_Toc151193937"/>
      <w:r/>
      <w:bookmarkStart w:id="659" w:name="_Toc151193647"/>
      <w:r/>
      <w:bookmarkStart w:id="660" w:name="_Toc150480787"/>
      <w:r/>
      <w:bookmarkStart w:id="661" w:name="_Toc127151750"/>
      <w:r/>
      <w:bookmarkStart w:id="662" w:name="_Toc520356176"/>
      <w:r/>
      <w:bookmarkStart w:id="663" w:name="_Ref467307090"/>
      <w:r/>
      <w:bookmarkStart w:id="664" w:name="_Ref467306425"/>
      <w:r/>
      <w:bookmarkStart w:id="665" w:name="_Toc195842914"/>
      <w:r/>
      <w:bookmarkStart w:id="666" w:name="_Toc127161463"/>
      <w:r/>
      <w:bookmarkStart w:id="667" w:name="_Toc151193791"/>
      <w:r/>
      <w:bookmarkStart w:id="668" w:name="_Toc151190176"/>
      <w:r/>
      <w:bookmarkStart w:id="669" w:name="_Toc264969239"/>
      <w:r/>
      <w:bookmarkStart w:id="670" w:name="_Toc150774649"/>
      <w:r/>
      <w:bookmarkStart w:id="671" w:name="_Toc305158817"/>
      <w:r/>
      <w:bookmarkStart w:id="672" w:name="_Toc226309793"/>
      <w:r/>
      <w:bookmarkStart w:id="673" w:name="_Toc226337245"/>
      <w:r/>
      <w:bookmarkStart w:id="674" w:name="_Toc226965822"/>
      <w:r/>
      <w:bookmarkStart w:id="675" w:name="_Toc265228387"/>
      <w:r/>
      <w:bookmarkStart w:id="676" w:name="_Toc150774754"/>
      <w:r/>
      <w:bookmarkStart w:id="677" w:name="_Toc150509300"/>
      <w:r/>
      <w:bookmarkStart w:id="678" w:name="_Toc151193863"/>
      <w:r/>
      <w:bookmarkStart w:id="679" w:name="_Toc142311051"/>
      <w:r/>
      <w:bookmarkStart w:id="680" w:name="_Toc164229244"/>
      <w:r/>
      <w:bookmarkStart w:id="681" w:name="_Toc226965739"/>
      <w:r/>
      <w:bookmarkStart w:id="682" w:name="_Toc164608663"/>
      <w:r/>
      <w:bookmarkStart w:id="683" w:name="_Toc127151549"/>
      <w:r/>
      <w:bookmarkStart w:id="684" w:name="_Toc149720842"/>
      <w:r/>
      <w:bookmarkStart w:id="685" w:name="_Toc151193719"/>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7"/>
      <w:r/>
      <w:bookmarkEnd w:id="671"/>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54"/>
      <w:r/>
      <w:bookmarkEnd w:id="655"/>
      <w:r/>
      <w:bookmarkEnd w:id="656"/>
      <w:r/>
      <w:bookmarkEnd w:id="658"/>
      <w:r/>
      <w:bookmarkEnd w:id="659"/>
      <w:r/>
      <w:bookmarkEnd w:id="660"/>
      <w:r/>
      <w:bookmarkEnd w:id="661"/>
      <w:r/>
      <w:bookmarkEnd w:id="665"/>
      <w:r/>
      <w:bookmarkEnd w:id="666"/>
      <w:r/>
      <w:bookmarkEnd w:id="667"/>
      <w:r/>
      <w:bookmarkEnd w:id="668"/>
      <w:r/>
      <w:bookmarkEnd w:id="669"/>
      <w:r/>
      <w:bookmarkEnd w:id="670"/>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Start w:id="686" w:name="_Toc305158892"/>
      <w:r/>
      <w:bookmarkStart w:id="687" w:name="_Toc127151550"/>
      <w:r/>
      <w:bookmarkStart w:id="688" w:name="_Toc226309794"/>
      <w:r/>
      <w:bookmarkStart w:id="689" w:name="_Toc150480788"/>
      <w:r/>
      <w:bookmarkStart w:id="690" w:name="_Ref467307204"/>
      <w:r/>
      <w:bookmarkStart w:id="691" w:name="_Toc150509301"/>
      <w:r/>
      <w:bookmarkStart w:id="692" w:name="_Toc226965740"/>
      <w:r/>
      <w:bookmarkStart w:id="693" w:name="_Toc164608819"/>
      <w:r/>
      <w:bookmarkStart w:id="694" w:name="_Toc264969240"/>
      <w:r/>
      <w:bookmarkStart w:id="695" w:name="_Toc151193864"/>
      <w:r/>
      <w:bookmarkStart w:id="696" w:name="_Toc151193792"/>
      <w:r/>
      <w:bookmarkStart w:id="697" w:name="_Toc226337246"/>
      <w:r/>
      <w:bookmarkStart w:id="698" w:name="_Toc150774650"/>
      <w:r/>
      <w:bookmarkStart w:id="699" w:name="_Toc151193938"/>
      <w:r/>
      <w:bookmarkStart w:id="700" w:name="_Toc151193720"/>
      <w:r/>
      <w:bookmarkStart w:id="701" w:name="_Toc142311052"/>
      <w:r/>
      <w:bookmarkStart w:id="702" w:name="_Toc195842915"/>
      <w:r/>
      <w:bookmarkStart w:id="703" w:name="_Toc164608664"/>
      <w:r/>
      <w:bookmarkStart w:id="704" w:name="_Toc127151751"/>
      <w:r/>
      <w:bookmarkStart w:id="705" w:name="_Toc520356175"/>
      <w:r/>
      <w:bookmarkStart w:id="706" w:name="_Toc164351644"/>
      <w:r/>
      <w:bookmarkStart w:id="707" w:name="_Toc164229245"/>
      <w:r/>
      <w:bookmarkStart w:id="708" w:name="_Toc127161464"/>
      <w:r/>
      <w:bookmarkStart w:id="709" w:name="_Ref467306377"/>
      <w:r/>
      <w:bookmarkStart w:id="710" w:name="_Toc265228388"/>
      <w:r/>
      <w:bookmarkStart w:id="711" w:name="_Ref467307062"/>
      <w:r/>
      <w:bookmarkStart w:id="712" w:name="_Toc151190177"/>
      <w:r/>
      <w:bookmarkStart w:id="713" w:name="_Toc164229391"/>
      <w:r/>
      <w:bookmarkStart w:id="714" w:name="_Toc226965823"/>
      <w:r/>
      <w:bookmarkStart w:id="715" w:name="_Ref467306978"/>
      <w:r/>
      <w:bookmarkStart w:id="716" w:name="_Toc151193648"/>
      <w:r/>
      <w:bookmarkStart w:id="717" w:name="_Toc149720843"/>
      <w:r/>
      <w:bookmarkStart w:id="718" w:name="_Toc150774755"/>
      <w:r/>
      <w:bookmarkStart w:id="719" w:name="_Toc305158818"/>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bookmarkEnd w:id="662"/>
      <w:r/>
      <w:bookmarkEnd w:id="663"/>
      <w:r/>
      <w:bookmarkEnd w:id="664"/>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bidi="ar-SA"/>
        </w:rPr>
        <w:t xml:space="preserve">26.2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088"/>
          <w:rFonts w:hint="eastAsia" w:ascii="宋体" w:hAnsi="宋体" w:eastAsia="宋体" w:cs="宋体"/>
          <w:color w:val="000000"/>
          <w:sz w:val="24"/>
          <w:szCs w:val="24"/>
          <w:highlight w:val="none"/>
        </w:rPr>
        <w:t xml:space="preserve">http://gk</w:t>
      </w:r>
      <w:bookmarkStart w:id="720" w:name="_Hlt100654014"/>
      <w:r>
        <w:rPr>
          <w:rStyle w:val="1088"/>
          <w:rFonts w:hint="eastAsia" w:ascii="宋体" w:hAnsi="宋体" w:eastAsia="宋体" w:cs="宋体"/>
          <w:color w:val="000000"/>
          <w:sz w:val="24"/>
          <w:szCs w:val="24"/>
          <w:highlight w:val="none"/>
        </w:rPr>
        <w:t xml:space="preserve">s</w:t>
      </w:r>
      <w:bookmarkEnd w:id="720"/>
      <w:r>
        <w:rPr>
          <w:rStyle w:val="1088"/>
          <w:rFonts w:hint="eastAsia" w:ascii="宋体" w:hAnsi="宋体" w:eastAsia="宋体" w:cs="宋体"/>
          <w:color w:val="000000"/>
          <w:sz w:val="24"/>
          <w:szCs w:val="24"/>
          <w:highlight w:val="none"/>
        </w:rPr>
        <w:t xml:space="preserve">.m</w:t>
      </w:r>
      <w:bookmarkStart w:id="721" w:name="_Hlt100653994"/>
      <w:r/>
      <w:bookmarkStart w:id="722" w:name="_Hlt100653993"/>
      <w:r>
        <w:rPr>
          <w:rStyle w:val="1088"/>
          <w:rFonts w:hint="eastAsia" w:ascii="宋体" w:hAnsi="宋体" w:eastAsia="宋体" w:cs="宋体"/>
          <w:color w:val="000000"/>
          <w:sz w:val="24"/>
          <w:szCs w:val="24"/>
          <w:highlight w:val="none"/>
        </w:rPr>
        <w:t xml:space="preserve">o</w:t>
      </w:r>
      <w:bookmarkEnd w:id="721"/>
      <w:r/>
      <w:bookmarkEnd w:id="722"/>
      <w:r>
        <w:rPr>
          <w:rStyle w:val="1088"/>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1010"/>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1010"/>
        <w:jc w:val="center"/>
        <w:spacing w:line="360" w:lineRule="auto"/>
        <w:rPr>
          <w:rFonts w:ascii="宋体" w:hAnsi="宋体"/>
          <w:b/>
          <w:color w:val="000000"/>
          <w:sz w:val="36"/>
          <w:szCs w:val="36"/>
          <w:highlight w:val="none"/>
        </w:rPr>
        <w:outlineLvl w:val="9"/>
      </w:pPr>
      <w:r/>
      <w:bookmarkStart w:id="723" w:name="_Toc264969244"/>
      <w:r/>
      <w:bookmarkStart w:id="724" w:name="_Toc305158822"/>
      <w:r/>
      <w:bookmarkStart w:id="725" w:name="_Toc353825544"/>
      <w:r/>
      <w:bookmarkStart w:id="726" w:name="_Toc142311056"/>
      <w:r/>
      <w:bookmarkStart w:id="727" w:name="_Toc353873934"/>
      <w:r/>
      <w:bookmarkStart w:id="728" w:name="_Toc226965827"/>
      <w:r/>
      <w:bookmarkStart w:id="729" w:name="_Toc150480792"/>
      <w:r/>
      <w:bookmarkStart w:id="730" w:name="_Toc19515"/>
      <w:r/>
      <w:bookmarkStart w:id="731" w:name="_Toc150774759"/>
      <w:r/>
      <w:bookmarkStart w:id="732" w:name="_Toc127151554"/>
      <w:r/>
      <w:bookmarkStart w:id="733" w:name="_Toc353873664"/>
      <w:r/>
      <w:bookmarkStart w:id="734" w:name="_Toc226337250"/>
      <w:r/>
      <w:bookmarkStart w:id="735" w:name="_Toc305158896"/>
      <w:r/>
      <w:bookmarkStart w:id="736" w:name="_Toc265228392"/>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0"/>
      </w:pPr>
      <w:r/>
      <w:bookmarkStart w:id="737" w:name="_Toc12891"/>
      <w:r>
        <w:rPr>
          <w:rFonts w:ascii="宋体" w:hAnsi="宋体"/>
          <w:b/>
          <w:color w:val="000000"/>
          <w:sz w:val="36"/>
          <w:szCs w:val="36"/>
          <w:highlight w:val="none"/>
        </w:rPr>
        <w:t xml:space="preserve">第三章   </w:t>
      </w:r>
      <w:bookmarkEnd w:id="723"/>
      <w:r/>
      <w:bookmarkEnd w:id="724"/>
      <w:r/>
      <w:bookmarkEnd w:id="725"/>
      <w:r/>
      <w:bookmarkEnd w:id="726"/>
      <w:r/>
      <w:bookmarkEnd w:id="727"/>
      <w:r/>
      <w:bookmarkEnd w:id="728"/>
      <w:r/>
      <w:bookmarkEnd w:id="729"/>
      <w:r/>
      <w:bookmarkEnd w:id="731"/>
      <w:r/>
      <w:bookmarkEnd w:id="732"/>
      <w:r/>
      <w:bookmarkEnd w:id="733"/>
      <w:r/>
      <w:bookmarkEnd w:id="734"/>
      <w:r/>
      <w:bookmarkEnd w:id="735"/>
      <w:r/>
      <w:bookmarkEnd w:id="736"/>
      <w:r>
        <w:rPr>
          <w:rFonts w:ascii="宋体" w:hAnsi="宋体"/>
          <w:b/>
          <w:color w:val="000000"/>
          <w:sz w:val="36"/>
          <w:szCs w:val="36"/>
          <w:highlight w:val="none"/>
        </w:rPr>
        <w:t xml:space="preserve">资格审查</w:t>
      </w:r>
      <w:bookmarkEnd w:id="730"/>
      <w:r/>
      <w:bookmarkEnd w:id="737"/>
      <w:r/>
      <w:bookmarkStart w:id="738" w:name="_Toc487900382"/>
      <w:r>
        <w:rPr>
          <w:rFonts w:ascii="宋体" w:hAnsi="宋体"/>
          <w:b/>
          <w:color w:val="000000"/>
          <w:sz w:val="36"/>
          <w:szCs w:val="36"/>
          <w:highlight w:val="none"/>
        </w:rPr>
      </w:r>
      <w:r/>
    </w:p>
    <w:p>
      <w:pPr>
        <w:pStyle w:val="1010"/>
        <w:jc w:val="center"/>
        <w:spacing w:line="360" w:lineRule="auto"/>
        <w:tabs>
          <w:tab w:val="left" w:pos="360" w:leader="none"/>
          <w:tab w:val="left" w:pos="900" w:leader="none"/>
        </w:tabs>
        <w:rPr>
          <w:rFonts w:ascii="宋体" w:hAnsi="宋体"/>
          <w:b/>
          <w:color w:val="000000"/>
          <w:sz w:val="24"/>
          <w:highlight w:val="none"/>
        </w:rPr>
        <w:outlineLvl w:val="1"/>
      </w:pPr>
      <w:r/>
      <w:bookmarkStart w:id="739" w:name="_Toc99301422"/>
      <w:r>
        <w:rPr>
          <w:rFonts w:ascii="宋体" w:hAnsi="宋体"/>
          <w:b/>
          <w:color w:val="000000"/>
          <w:sz w:val="24"/>
          <w:highlight w:val="none"/>
        </w:rPr>
        <w:t xml:space="preserve">一、资格审查程序</w:t>
      </w:r>
      <w:bookmarkEnd w:id="739"/>
      <w:r>
        <w:rPr>
          <w:rFonts w:ascii="宋体" w:hAnsi="宋体"/>
          <w:b/>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1 </w:t>
      </w: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2 </w:t>
      </w: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9"/>
      </w:pPr>
      <w:r>
        <w:rPr>
          <w:rFonts w:hint="eastAsia" w:ascii="宋体" w:hAnsi="宋体"/>
          <w:color w:val="000000"/>
          <w:sz w:val="24"/>
          <w:szCs w:val="24"/>
          <w:highlight w:val="none"/>
          <w:lang w:val="en-US" w:eastAsia="zh-CN" w:bidi="ar-SA"/>
        </w:rPr>
        <w:t xml:space="preserve">3 </w:t>
      </w: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000000"/>
          <w:sz w:val="24"/>
          <w:highlight w:val="none"/>
        </w:rPr>
        <w:outlineLvl w:val="2"/>
      </w:pPr>
      <w:r>
        <w:rPr>
          <w:rFonts w:hint="eastAsia" w:ascii="宋体" w:hAnsi="宋体"/>
          <w:color w:val="000000"/>
          <w:sz w:val="24"/>
          <w:szCs w:val="24"/>
          <w:highlight w:val="none"/>
          <w:lang w:val="en-US" w:eastAsia="zh-CN" w:bidi="ar-SA"/>
        </w:rPr>
        <w:t xml:space="preserve">4 </w:t>
      </w: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1010"/>
        <w:jc w:val="left"/>
        <w:widowControl/>
        <w:rPr>
          <w:rFonts w:ascii="宋体" w:hAnsi="宋体"/>
          <w:color w:val="000000"/>
          <w:sz w:val="24"/>
          <w:highlight w:val="none"/>
        </w:rPr>
      </w:pPr>
      <w:r>
        <w:rPr>
          <w:rFonts w:ascii="宋体" w:hAnsi="宋体"/>
          <w:color w:val="000000"/>
          <w:sz w:val="24"/>
          <w:highlight w:val="none"/>
        </w:rPr>
      </w:r>
      <w:r/>
    </w:p>
    <w:p>
      <w:pPr>
        <w:pStyle w:val="1010"/>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94"/>
        <w:gridCol w:w="4355"/>
        <w:gridCol w:w="1927"/>
      </w:tblGrid>
      <w:tr>
        <w:trPr>
          <w:cantSplit/>
          <w:trHeight w:val="501"/>
          <w:tblHeader/>
        </w:trPr>
        <w:tc>
          <w:tcPr>
            <w:tcW w:w="469" w:type="dxa"/>
            <w:vAlign w:val="center"/>
            <w:textDirection w:val="lrTb"/>
            <w:noWrap w:val="false"/>
          </w:tcPr>
          <w:p>
            <w:pPr>
              <w:pStyle w:val="101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59" w:type="dxa"/>
            <w:vAlign w:val="center"/>
            <w:textDirection w:val="lrTb"/>
            <w:noWrap w:val="false"/>
          </w:tcPr>
          <w:p>
            <w:pPr>
              <w:pStyle w:val="101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197" w:type="dxa"/>
            <w:vAlign w:val="center"/>
            <w:textDirection w:val="lrTb"/>
            <w:noWrap w:val="false"/>
          </w:tcPr>
          <w:p>
            <w:pPr>
              <w:pStyle w:val="101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2" w:type="dxa"/>
            <w:vAlign w:val="center"/>
            <w:textDirection w:val="lrTb"/>
            <w:noWrap w:val="false"/>
          </w:tcPr>
          <w:p>
            <w:pPr>
              <w:pStyle w:val="101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6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投标人资格</w:t>
            </w:r>
            <w:r>
              <w:rPr>
                <w:rFonts w:hint="eastAsia" w:ascii="宋体" w:hAnsi="宋体" w:eastAsia="宋体" w:cs="宋体"/>
                <w:color w:val="000000"/>
                <w:sz w:val="24"/>
                <w:highlight w:val="none"/>
              </w:rPr>
              <w:t xml:space="preserve">声明函</w:t>
            </w:r>
            <w:r>
              <w:rPr>
                <w:rFonts w:hint="eastAsia" w:ascii="宋体" w:hAnsi="宋体" w:eastAsia="宋体" w:cs="宋体"/>
                <w:color w:val="000000"/>
                <w:sz w:val="24"/>
                <w:highlight w:val="none"/>
              </w:rPr>
            </w:r>
            <w:r/>
          </w:p>
        </w:tc>
        <w:tc>
          <w:tcPr>
            <w:tcW w:w="2197" w:type="dxa"/>
            <w:vAlign w:val="center"/>
            <w:textDirection w:val="lrTb"/>
            <w:noWrap w:val="false"/>
          </w:tcPr>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文件要求的《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资格声明函》。</w:t>
            </w:r>
            <w:r>
              <w:rPr>
                <w:rFonts w:hint="eastAsia" w:ascii="宋体" w:hAnsi="宋体" w:eastAsia="宋体" w:cs="宋体"/>
                <w:color w:val="000000"/>
                <w:sz w:val="24"/>
                <w:highlight w:val="none"/>
              </w:rPr>
            </w:r>
            <w:r/>
          </w:p>
        </w:tc>
        <w:tc>
          <w:tcPr>
            <w:tcW w:w="972" w:type="dxa"/>
            <w:vAlign w:val="center"/>
            <w:textDirection w:val="lrTb"/>
            <w:noWrap w:val="false"/>
          </w:tcPr>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文件格式》</w:t>
            </w: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信用记录</w:t>
            </w:r>
            <w:r>
              <w:rPr>
                <w:rFonts w:hint="eastAsia" w:ascii="宋体" w:hAnsi="宋体" w:eastAsia="宋体" w:cs="宋体"/>
                <w:color w:val="000000"/>
                <w:sz w:val="24"/>
                <w:highlight w:val="none"/>
              </w:rPr>
            </w:r>
            <w:r/>
          </w:p>
        </w:tc>
        <w:tc>
          <w:tcPr>
            <w:tcW w:w="2197" w:type="dxa"/>
            <w:vAlign w:val="center"/>
            <w:textDirection w:val="lrTb"/>
            <w:noWrap w:val="false"/>
          </w:tcPr>
          <w:p>
            <w:pPr>
              <w:pStyle w:val="1010"/>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1010"/>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截止时点：提交</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文件截止时间以后、资格审查阶段采购人或采购代理机构的实际查询时间；</w:t>
            </w:r>
            <w:r>
              <w:rPr>
                <w:rFonts w:hint="eastAsia" w:ascii="宋体" w:hAnsi="宋体" w:eastAsia="宋体" w:cs="宋体"/>
                <w:color w:val="000000"/>
                <w:sz w:val="24"/>
                <w:highlight w:val="none"/>
              </w:rPr>
            </w:r>
            <w:r/>
          </w:p>
          <w:p>
            <w:pPr>
              <w:pStyle w:val="1010"/>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信用信息的使用原则：经认定的被列入失信被执行人、重大税收违法失信主体、政府采购严重违法失信行为记录名单的供应商，其</w:t>
            </w:r>
            <w:r>
              <w:rPr>
                <w:rFonts w:hint="eastAsia" w:ascii="宋体" w:hAnsi="宋体" w:eastAsia="宋体" w:cs="宋体"/>
                <w:b/>
                <w:color w:val="000000"/>
                <w:sz w:val="24"/>
                <w:highlight w:val="none"/>
              </w:rPr>
              <w:t xml:space="preserve">响应无效</w:t>
            </w:r>
            <w:r>
              <w:rPr>
                <w:rFonts w:hint="eastAsia" w:ascii="宋体" w:hAnsi="宋体" w:eastAsia="宋体" w:cs="宋体"/>
                <w:color w:val="000000"/>
                <w:sz w:val="24"/>
                <w:highlight w:val="none"/>
              </w:rPr>
              <w:t xml:space="preserve">。联合体形式</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的，联合体成员存在不良信用记录，视同联合体存在不良信用记录。</w:t>
            </w:r>
            <w:r>
              <w:rPr>
                <w:rFonts w:hint="eastAsia" w:ascii="宋体" w:hAnsi="宋体" w:eastAsia="宋体" w:cs="宋体"/>
                <w:color w:val="000000"/>
                <w:sz w:val="24"/>
                <w:highlight w:val="none"/>
              </w:rPr>
            </w:r>
            <w:r/>
          </w:p>
        </w:tc>
        <w:tc>
          <w:tcPr>
            <w:tcW w:w="972" w:type="dxa"/>
            <w:vAlign w:val="center"/>
            <w:textDirection w:val="lrTb"/>
            <w:noWrap w:val="false"/>
          </w:tcPr>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提供，由采购人</w:t>
            </w:r>
            <w:r>
              <w:rPr>
                <w:rFonts w:hint="eastAsia" w:ascii="宋体" w:hAnsi="宋体" w:eastAsia="宋体" w:cs="宋体"/>
                <w:color w:val="000000"/>
                <w:sz w:val="24"/>
                <w:highlight w:val="none"/>
                <w:lang w:eastAsia="zh-CN"/>
              </w:rPr>
              <w:t xml:space="preserve">授权代表或采购代理机构审查</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cantSplit/>
          <w:trHeight w:val="90"/>
        </w:trPr>
        <w:tc>
          <w:tcPr>
            <w:tcW w:w="46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2197" w:type="dxa"/>
            <w:vAlign w:val="center"/>
            <w:textDirection w:val="lrTb"/>
            <w:noWrap w:val="false"/>
          </w:tcPr>
          <w:p>
            <w:pPr>
              <w:pStyle w:val="1010"/>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如有的提供，否则无需提供。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78"/>
        </w:trPr>
        <w:tc>
          <w:tcPr>
            <w:tcW w:w="46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是否接受联合体响应</w:t>
            </w:r>
            <w:r>
              <w:rPr>
                <w:rFonts w:hint="eastAsia" w:ascii="宋体" w:hAnsi="宋体" w:eastAsia="宋体" w:cs="宋体"/>
                <w:color w:val="000000"/>
                <w:sz w:val="24"/>
                <w:highlight w:val="none"/>
              </w:rPr>
            </w:r>
            <w:r/>
          </w:p>
        </w:tc>
        <w:tc>
          <w:tcPr>
            <w:tcW w:w="2197" w:type="dxa"/>
            <w:vAlign w:val="center"/>
            <w:textDirection w:val="lrTb"/>
            <w:noWrap w:val="false"/>
          </w:tcPr>
          <w:p>
            <w:pPr>
              <w:pStyle w:val="1080"/>
              <w:ind w:left="0" w:firstLine="0"/>
              <w:keepLines w:val="0"/>
              <w:keepNext w:val="0"/>
              <w:pageBreakBefore w:val="0"/>
              <w:spacing w:after="0" w:line="24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lang w:val="en-US" w:eastAsia="zh-CN"/>
              </w:rPr>
              <w:t xml:space="preserve">本项目不接受联合体响应。</w:t>
            </w:r>
            <w:r>
              <w:rPr>
                <w:rFonts w:hint="eastAsia" w:ascii="宋体" w:hAnsi="宋体" w:eastAsia="宋体" w:cs="宋体"/>
                <w:color w:val="000000"/>
                <w:highlight w:val="none"/>
              </w:rPr>
            </w:r>
            <w:r/>
          </w:p>
        </w:tc>
        <w:tc>
          <w:tcPr>
            <w:tcW w:w="972" w:type="dxa"/>
            <w:vAlign w:val="center"/>
            <w:textDirection w:val="lrTb"/>
            <w:noWrap w:val="false"/>
          </w:tcPr>
          <w:p>
            <w:pPr>
              <w:pStyle w:val="1010"/>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46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359" w:type="dxa"/>
            <w:vAlign w:val="center"/>
            <w:textDirection w:val="lrTb"/>
            <w:noWrap w:val="false"/>
          </w:tcPr>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本项目的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highlight w:val="none"/>
              </w:rPr>
            </w:r>
            <w:r/>
          </w:p>
          <w:p>
            <w:pPr>
              <w:pStyle w:val="1010"/>
              <w:jc w:val="center"/>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2197" w:type="dxa"/>
            <w:vAlign w:val="center"/>
            <w:textDirection w:val="lrTb"/>
            <w:noWrap w:val="false"/>
          </w:tcPr>
          <w:p>
            <w:pPr>
              <w:pStyle w:val="1010"/>
              <w:keepLines w:val="0"/>
              <w:keepNext w:val="0"/>
              <w:pageBreakBefore w:val="0"/>
              <w:spacing w:line="240" w:lineRule="auto"/>
              <w:widowControl w:val="off"/>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如有特定资格要求的提供，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，按</w:t>
            </w:r>
            <w:r>
              <w:rPr>
                <w:rFonts w:hint="eastAsia" w:ascii="宋体" w:hAnsi="宋体" w:eastAsia="宋体" w:cs="宋体"/>
                <w:color w:val="000000"/>
                <w:sz w:val="24"/>
                <w:highlight w:val="none"/>
              </w:rPr>
              <w:t xml:space="preserve">本项目的特定资格要求中规定要求提供</w:t>
            </w:r>
            <w:r>
              <w:rPr>
                <w:rFonts w:hint="eastAsia" w:ascii="宋体" w:hAnsi="宋体" w:eastAsia="宋体" w:cs="宋体"/>
                <w:color w:val="000000"/>
                <w:sz w:val="24"/>
                <w:highlight w:val="none"/>
                <w:lang w:eastAsia="zh-CN"/>
              </w:rPr>
              <w:t xml:space="preserve">相关</w:t>
            </w:r>
            <w:r>
              <w:rPr>
                <w:rFonts w:hint="eastAsia" w:ascii="宋体" w:hAnsi="宋体" w:eastAsia="宋体" w:cs="宋体"/>
                <w:color w:val="000000"/>
                <w:sz w:val="24"/>
                <w:highlight w:val="none"/>
              </w:rPr>
              <w:t xml:space="preserve">证明文件或材料</w:t>
            </w:r>
            <w:r>
              <w:rPr>
                <w:rFonts w:hint="eastAsia" w:ascii="宋体" w:hAnsi="宋体" w:eastAsia="宋体" w:cs="宋体"/>
                <w:color w:val="000000"/>
                <w:sz w:val="24"/>
                <w:highlight w:val="none"/>
                <w:lang w:eastAsia="zh-CN"/>
              </w:rPr>
              <w:t xml:space="preserve">，否则无需提供。</w:t>
            </w:r>
            <w:r>
              <w:rPr>
                <w:rFonts w:hint="eastAsia" w:ascii="宋体" w:hAnsi="宋体" w:eastAsia="宋体" w:cs="宋体"/>
                <w:color w:val="000000"/>
                <w:sz w:val="24"/>
                <w:highlight w:val="none"/>
                <w:lang w:eastAsia="zh-CN"/>
              </w:rPr>
            </w:r>
            <w:r/>
          </w:p>
        </w:tc>
        <w:tc>
          <w:tcPr>
            <w:tcW w:w="972" w:type="dxa"/>
            <w:vAlign w:val="center"/>
            <w:textDirection w:val="lrTb"/>
            <w:noWrap w:val="false"/>
          </w:tcPr>
          <w:p>
            <w:pPr>
              <w:pStyle w:val="1010"/>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r>
    </w:tbl>
    <w:p>
      <w:pPr>
        <w:pStyle w:val="1010"/>
        <w:jc w:val="center"/>
        <w:spacing w:line="360" w:lineRule="auto"/>
        <w:rPr>
          <w:rFonts w:ascii="宋体" w:hAnsi="宋体"/>
          <w:b/>
          <w:color w:val="000000"/>
          <w:sz w:val="36"/>
          <w:szCs w:val="36"/>
          <w:highlight w:val="none"/>
        </w:rPr>
        <w:outlineLvl w:val="9"/>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38"/>
      <w:r/>
      <w:bookmarkStart w:id="740" w:name="_Toc353873940"/>
      <w:r/>
      <w:bookmarkStart w:id="741" w:name="_Toc127151779"/>
      <w:r/>
      <w:bookmarkStart w:id="742" w:name="_Toc353825550"/>
      <w:r/>
      <w:bookmarkStart w:id="743" w:name="_Toc226965858"/>
      <w:r/>
      <w:bookmarkStart w:id="744" w:name="_Toc127161490"/>
      <w:r/>
      <w:bookmarkStart w:id="745" w:name="_Toc29324"/>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0"/>
      </w:pPr>
      <w:r/>
      <w:bookmarkStart w:id="746" w:name="_Toc25108"/>
      <w:r>
        <w:rPr>
          <w:rFonts w:ascii="宋体" w:hAnsi="宋体"/>
          <w:b/>
          <w:color w:val="000000"/>
          <w:sz w:val="36"/>
          <w:szCs w:val="36"/>
          <w:highlight w:val="none"/>
        </w:rPr>
        <w:t xml:space="preserve">第四章   </w:t>
      </w:r>
      <w:bookmarkEnd w:id="740"/>
      <w:r/>
      <w:bookmarkEnd w:id="741"/>
      <w:r/>
      <w:bookmarkEnd w:id="742"/>
      <w:r/>
      <w:bookmarkEnd w:id="743"/>
      <w:r/>
      <w:bookmarkEnd w:id="744"/>
      <w:r/>
      <w:bookmarkStart w:id="747" w:name="_Hlt164229061"/>
      <w:r/>
      <w:bookmarkEnd w:id="747"/>
      <w:r>
        <w:rPr>
          <w:rFonts w:ascii="宋体" w:hAnsi="宋体"/>
          <w:b/>
          <w:color w:val="000000"/>
          <w:sz w:val="36"/>
          <w:szCs w:val="36"/>
          <w:highlight w:val="none"/>
        </w:rPr>
        <w:t xml:space="preserve">评标程序、评标方法和评标标准</w:t>
      </w:r>
      <w:bookmarkEnd w:id="745"/>
      <w:r/>
      <w:bookmarkEnd w:id="746"/>
      <w:r>
        <w:rPr>
          <w:rFonts w:ascii="宋体" w:hAnsi="宋体"/>
          <w:b/>
          <w:color w:val="000000"/>
          <w:sz w:val="36"/>
          <w:szCs w:val="36"/>
          <w:highlight w:val="none"/>
        </w:rPr>
      </w:r>
      <w:r/>
    </w:p>
    <w:p>
      <w:pPr>
        <w:pStyle w:val="101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bookmarkStart w:id="748" w:name="_Toc150774746"/>
      <w:r/>
      <w:bookmarkStart w:id="749" w:name="_Toc195842906"/>
      <w:r/>
      <w:bookmarkStart w:id="750" w:name="_Toc127151541"/>
      <w:r/>
      <w:bookmarkStart w:id="751" w:name="_Toc305158809"/>
      <w:r/>
      <w:bookmarkStart w:id="752" w:name="_Toc164229236"/>
      <w:r/>
      <w:bookmarkStart w:id="753" w:name="_Toc142311043"/>
      <w:r/>
      <w:bookmarkStart w:id="754" w:name="_Toc265228379"/>
      <w:r/>
      <w:bookmarkStart w:id="755" w:name="_Toc226965731"/>
      <w:r/>
      <w:bookmarkStart w:id="756" w:name="_Toc149720834"/>
      <w:r/>
      <w:bookmarkStart w:id="757" w:name="_Toc305158883"/>
      <w:r/>
      <w:bookmarkStart w:id="758" w:name="_Toc151193855"/>
      <w:r/>
      <w:bookmarkStart w:id="759" w:name="_Toc150509292"/>
      <w:r/>
      <w:bookmarkStart w:id="760" w:name="_Toc151193711"/>
      <w:r/>
      <w:bookmarkStart w:id="761" w:name="_Toc226965814"/>
      <w:r/>
      <w:bookmarkStart w:id="762" w:name="_Toc127151742"/>
      <w:r/>
      <w:bookmarkStart w:id="763" w:name="_Toc164229382"/>
      <w:r/>
      <w:bookmarkStart w:id="764" w:name="_Toc226337237"/>
      <w:r/>
      <w:bookmarkStart w:id="765" w:name="_Toc226309785"/>
      <w:r/>
      <w:bookmarkStart w:id="766" w:name="_Toc164608810"/>
      <w:r/>
      <w:bookmarkStart w:id="767" w:name="_Toc151193783"/>
      <w:r/>
      <w:bookmarkStart w:id="768" w:name="_Toc150480779"/>
      <w:r/>
      <w:bookmarkStart w:id="769" w:name="_Toc150774641"/>
      <w:r/>
      <w:bookmarkStart w:id="770" w:name="_Toc151193929"/>
      <w:r/>
      <w:bookmarkStart w:id="771" w:name="_Toc164608655"/>
      <w:r/>
      <w:bookmarkStart w:id="772" w:name="_Toc151190168"/>
      <w:r/>
      <w:bookmarkStart w:id="773" w:name="_Toc164351635"/>
      <w:r/>
      <w:bookmarkStart w:id="774" w:name="_Toc151193639"/>
      <w:r/>
      <w:bookmarkStart w:id="775" w:name="_Toc264969231"/>
      <w:r/>
      <w:bookmarkStart w:id="776" w:name="_Toc127161455"/>
      <w:r/>
      <w:bookmarkStart w:id="777" w:name="_Toc353873941"/>
      <w:r/>
      <w:bookmarkStart w:id="778" w:name="_Toc353825551"/>
      <w:r/>
      <w:bookmarkStart w:id="779" w:name="_Toc305158823"/>
      <w:r/>
      <w:bookmarkStart w:id="780" w:name="_Toc195842920"/>
      <w:r/>
      <w:bookmarkStart w:id="781" w:name="_Toc353873665"/>
      <w:r/>
      <w:bookmarkStart w:id="782" w:name="_Toc226965828"/>
      <w:r/>
      <w:bookmarkStart w:id="783" w:name="_Toc353825545"/>
      <w:r/>
      <w:bookmarkStart w:id="784" w:name="_Toc127151555"/>
      <w:r/>
      <w:bookmarkStart w:id="785" w:name="_Toc226337251"/>
      <w:r/>
      <w:bookmarkStart w:id="786" w:name="_Toc265228393"/>
      <w:r/>
      <w:bookmarkStart w:id="787" w:name="_Toc264969245"/>
      <w:r/>
      <w:bookmarkStart w:id="788" w:name="_Toc353873935"/>
      <w:r/>
      <w:bookmarkStart w:id="789" w:name="_Toc150774760"/>
      <w:r/>
      <w:bookmarkStart w:id="790" w:name="_Toc150480793"/>
      <w:r/>
      <w:bookmarkStart w:id="791" w:name="_Toc142311057"/>
      <w:r/>
      <w:bookmarkStart w:id="792" w:name="_Toc305158897"/>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ascii="宋体" w:hAnsi="宋体" w:eastAsia="宋体" w:cs="宋体"/>
          <w:b/>
          <w:bCs/>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93" w:name="_Toc520356167"/>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ind w:left="0"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264"/>
        <w:gridCol w:w="7056"/>
      </w:tblGrid>
      <w:tr>
        <w:trPr>
          <w:trHeight w:val="435"/>
        </w:trPr>
        <w:tc>
          <w:tcPr>
            <w:tcW w:w="370" w:type="dxa"/>
            <w:vAlign w:val="center"/>
            <w:textDirection w:val="lrTb"/>
            <w:noWrap w:val="false"/>
          </w:tcPr>
          <w:p>
            <w:pPr>
              <w:pStyle w:val="1010"/>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124" w:type="dxa"/>
            <w:vAlign w:val="center"/>
            <w:textDirection w:val="lrTb"/>
            <w:noWrap w:val="false"/>
          </w:tcPr>
          <w:p>
            <w:pPr>
              <w:pStyle w:val="1010"/>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hint="eastAsia" w:ascii="宋体" w:hAnsi="宋体" w:cs="宋体"/>
                <w:b/>
                <w:color w:val="000000"/>
                <w:sz w:val="24"/>
                <w:szCs w:val="24"/>
                <w:highlight w:val="none"/>
              </w:rPr>
            </w:r>
            <w:r/>
          </w:p>
        </w:tc>
        <w:tc>
          <w:tcPr>
            <w:tcW w:w="3504" w:type="dxa"/>
            <w:vAlign w:val="center"/>
            <w:textDirection w:val="lrTb"/>
            <w:noWrap w:val="false"/>
          </w:tcPr>
          <w:p>
            <w:pPr>
              <w:pStyle w:val="1010"/>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hint="eastAsia" w:ascii="宋体" w:hAnsi="宋体" w:cs="宋体"/>
                <w:b/>
                <w:color w:val="000000"/>
                <w:sz w:val="24"/>
                <w:szCs w:val="24"/>
                <w:highlight w:val="none"/>
              </w:rPr>
            </w:r>
            <w:r/>
          </w:p>
        </w:tc>
      </w:tr>
      <w:tr>
        <w:trPr>
          <w:trHeight w:val="685"/>
        </w:trPr>
        <w:tc>
          <w:tcPr>
            <w:tcW w:w="370"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color w:val="000000"/>
                <w:sz w:val="24"/>
                <w:highlight w:val="none"/>
                <w:lang w:eastAsia="zh-CN"/>
              </w:rPr>
              <w:t xml:space="preserve">投标</w:t>
            </w:r>
            <w:r>
              <w:rPr>
                <w:rFonts w:hint="eastAsia"/>
                <w:color w:val="000000"/>
                <w:sz w:val="24"/>
                <w:highlight w:val="none"/>
              </w:rPr>
              <w:t xml:space="preserve">函、</w:t>
            </w:r>
            <w:r>
              <w:rPr>
                <w:rFonts w:hint="eastAsia"/>
                <w:color w:val="000000"/>
                <w:sz w:val="24"/>
                <w:highlight w:val="none"/>
              </w:rPr>
              <w:t xml:space="preserve">法定代表人资格证明书</w:t>
            </w:r>
            <w:r>
              <w:rPr>
                <w:rFonts w:hint="eastAsia"/>
                <w:color w:val="000000"/>
                <w:sz w:val="24"/>
                <w:highlight w:val="none"/>
                <w:lang w:eastAsia="zh-CN"/>
              </w:rPr>
              <w:t xml:space="preserve">、法人授权委托书、</w:t>
            </w:r>
            <w:r>
              <w:rPr>
                <w:rFonts w:hint="eastAsia"/>
                <w:color w:val="000000"/>
                <w:sz w:val="24"/>
                <w:highlight w:val="none"/>
              </w:rPr>
              <w:t xml:space="preserve">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highlight w:val="none"/>
                <w:lang w:eastAsia="zh-CN"/>
              </w:rPr>
            </w:pPr>
            <w:r>
              <w:rPr>
                <w:b w:val="0"/>
                <w:bCs w:val="0"/>
                <w:color w:val="000000"/>
                <w:sz w:val="24"/>
                <w:highlight w:val="none"/>
              </w:rPr>
              <w:t xml:space="preserve">按</w:t>
            </w:r>
            <w:r>
              <w:rPr>
                <w:rFonts w:hint="eastAsia"/>
                <w:b w:val="0"/>
                <w:bCs w:val="0"/>
                <w:color w:val="000000"/>
                <w:sz w:val="24"/>
                <w:highlight w:val="none"/>
                <w:lang w:eastAsia="zh-CN"/>
              </w:rPr>
              <w:t xml:space="preserve">采购</w:t>
            </w:r>
            <w:r>
              <w:rPr>
                <w:b w:val="0"/>
                <w:bCs w:val="0"/>
                <w:color w:val="000000"/>
                <w:sz w:val="24"/>
                <w:highlight w:val="none"/>
              </w:rPr>
              <w:t xml:space="preserve">文件要求提供</w:t>
            </w:r>
            <w:r>
              <w:rPr>
                <w:rFonts w:hint="eastAsia"/>
                <w:b w:val="0"/>
                <w:bCs w:val="0"/>
                <w:color w:val="000000"/>
                <w:sz w:val="24"/>
                <w:highlight w:val="none"/>
                <w:lang w:eastAsia="zh-CN"/>
              </w:rPr>
              <w:t xml:space="preserve">投标</w:t>
            </w:r>
            <w:r>
              <w:rPr>
                <w:rFonts w:hint="eastAsia"/>
                <w:b w:val="0"/>
                <w:bCs w:val="0"/>
                <w:color w:val="000000"/>
                <w:sz w:val="24"/>
                <w:highlight w:val="none"/>
              </w:rPr>
              <w:t xml:space="preserve">函、</w:t>
            </w:r>
            <w:r>
              <w:rPr>
                <w:rFonts w:hint="eastAsia"/>
                <w:b w:val="0"/>
                <w:bCs w:val="0"/>
                <w:color w:val="000000"/>
                <w:sz w:val="24"/>
                <w:highlight w:val="none"/>
              </w:rPr>
              <w:t xml:space="preserve">法定代表人资格证明书、法人授权</w:t>
            </w:r>
            <w:r>
              <w:rPr>
                <w:rFonts w:hint="eastAsia"/>
                <w:b w:val="0"/>
                <w:bCs w:val="0"/>
                <w:color w:val="000000"/>
                <w:sz w:val="24"/>
                <w:highlight w:val="none"/>
                <w:lang w:eastAsia="zh-CN"/>
              </w:rPr>
              <w:t xml:space="preserve">委托</w:t>
            </w:r>
            <w:r>
              <w:rPr>
                <w:rFonts w:hint="eastAsia"/>
                <w:b w:val="0"/>
                <w:bCs w:val="0"/>
                <w:color w:val="000000"/>
                <w:sz w:val="24"/>
                <w:highlight w:val="none"/>
              </w:rPr>
              <w:t xml:space="preserve">书</w:t>
            </w:r>
            <w:r>
              <w:rPr>
                <w:rFonts w:hint="eastAsia"/>
                <w:b w:val="0"/>
                <w:bCs w:val="0"/>
                <w:color w:val="000000"/>
                <w:sz w:val="24"/>
                <w:highlight w:val="none"/>
                <w:lang w:eastAsia="zh-CN"/>
              </w:rPr>
              <w:t xml:space="preserve">、</w:t>
            </w:r>
            <w:r>
              <w:rPr>
                <w:rFonts w:hint="eastAsia"/>
                <w:b w:val="0"/>
                <w:bCs w:val="0"/>
                <w:color w:val="000000"/>
                <w:sz w:val="24"/>
                <w:highlight w:val="none"/>
              </w:rPr>
              <w:t xml:space="preserve">政府采购供应商信用承诺书和</w:t>
            </w:r>
            <w:r>
              <w:rPr>
                <w:rFonts w:hint="eastAsia" w:ascii="宋体" w:hAnsi="宋体"/>
                <w:b w:val="0"/>
                <w:bCs w:val="0"/>
                <w:color w:val="000000"/>
                <w:sz w:val="24"/>
                <w:highlight w:val="none"/>
              </w:rPr>
              <w:t xml:space="preserve">供应商管理关系或控股关系信息情况表</w:t>
            </w:r>
            <w:r>
              <w:rPr>
                <w:b w:val="0"/>
                <w:bCs w:val="0"/>
                <w:color w:val="000000"/>
                <w:sz w:val="24"/>
                <w:highlight w:val="none"/>
              </w:rPr>
              <w:t xml:space="preserve">；</w:t>
            </w:r>
            <w:r>
              <w:rPr>
                <w:rFonts w:hint="eastAsia"/>
                <w:b w:val="0"/>
                <w:bCs w:val="0"/>
                <w:color w:val="000000"/>
                <w:sz w:val="24"/>
                <w:highlight w:val="none"/>
                <w:lang w:eastAsia="zh-CN"/>
              </w:rPr>
              <w:t xml:space="preserve">（格式见《</w:t>
            </w:r>
            <w:r>
              <w:rPr>
                <w:rFonts w:hint="eastAsia"/>
                <w:b w:val="0"/>
                <w:bCs w:val="0"/>
                <w:color w:val="000000"/>
                <w:sz w:val="24"/>
                <w:highlight w:val="none"/>
                <w:lang w:val="en-US" w:eastAsia="zh-CN"/>
              </w:rPr>
              <w:t xml:space="preserve">投标</w:t>
            </w:r>
            <w:r>
              <w:rPr>
                <w:rFonts w:hint="eastAsia"/>
                <w:b w:val="0"/>
                <w:bCs w:val="0"/>
                <w:color w:val="000000"/>
                <w:sz w:val="24"/>
                <w:highlight w:val="none"/>
                <w:lang w:eastAsia="zh-CN"/>
              </w:rPr>
              <w:t xml:space="preserve">文件格式》）。</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（由评委审查，无需供应商提供材料。）报价一览表</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报价未</w:t>
            </w:r>
            <w:r>
              <w:rPr>
                <w:rFonts w:hint="eastAsia" w:ascii="宋体" w:hAnsi="宋体" w:cs="宋体"/>
                <w:b w:val="0"/>
                <w:bCs w:val="0"/>
                <w:color w:val="000000"/>
                <w:sz w:val="24"/>
                <w:highlight w:val="none"/>
              </w:rPr>
              <w:t xml:space="preserve">超过</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文件中规定的项目/采购包预算金额或者项目/采购包最高限价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24" w:type="dxa"/>
            <w:vAlign w:val="center"/>
            <w:textDirection w:val="lrTb"/>
            <w:noWrap w:val="false"/>
          </w:tcPr>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报价唯一性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w:t>
            </w:r>
            <w:r>
              <w:rPr>
                <w:rFonts w:hint="eastAsia" w:ascii="宋体" w:hAnsi="宋体" w:cs="宋体"/>
                <w:b w:val="0"/>
                <w:bCs w:val="0"/>
                <w:color w:val="000000"/>
                <w:sz w:val="24"/>
                <w:highlight w:val="none"/>
              </w:rPr>
              <w:t xml:space="preserve">出现可选择性或可调整的报价（</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文件另有规定的除外）</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报价一览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hint="eastAsia" w:ascii="宋体" w:hAnsi="宋体" w:eastAsia="宋体" w:cs="宋体"/>
                <w:color w:val="000000"/>
                <w:sz w:val="24"/>
                <w:highlight w:val="none"/>
                <w:lang w:eastAsia="zh-CN"/>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 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 投标(响应)报价低于采购项目最高限价45%的，即投标(响应)报价&lt;采购项目最高限价×45%；</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 评审委员会基于专业判断，认为供应商报价过低，有可能影响产品质量或者不能诚信履约的其他情形。</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highlight w:val="none"/>
              </w:rPr>
            </w:r>
            <w:r/>
          </w:p>
          <w:p>
            <w:pPr>
              <w:pStyle w:val="1010"/>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highlight w:val="none"/>
              </w:rPr>
            </w:r>
            <w:r/>
          </w:p>
          <w:p>
            <w:pPr>
              <w:pStyle w:val="1010"/>
              <w:widowControl/>
              <w:rPr>
                <w:rFonts w:hint="eastAsia" w:ascii="宋体" w:hAnsi="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w:t>
            </w:r>
            <w:r>
              <w:rPr>
                <w:rFonts w:hint="eastAsia" w:ascii="宋体" w:hAnsi="宋体" w:cs="宋体"/>
                <w:b w:val="0"/>
                <w:bCs w:val="0"/>
                <w:color w:val="000000"/>
                <w:sz w:val="24"/>
                <w:highlight w:val="none"/>
                <w:lang w:val="en-US" w:eastAsia="zh-CN"/>
              </w:rPr>
              <w:t xml:space="preserve">供应商</w:t>
            </w:r>
            <w:r>
              <w:rPr>
                <w:rFonts w:hint="eastAsia" w:ascii="宋体" w:hAnsi="宋体" w:cs="宋体"/>
                <w:b w:val="0"/>
                <w:bCs w:val="0"/>
                <w:color w:val="000000"/>
                <w:sz w:val="24"/>
                <w:highlight w:val="none"/>
              </w:rPr>
              <w:t xml:space="preserve">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不涉及报价修正，或</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文件报价出现前后不一致时，</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对修正后的报价予以确认</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签署、加盖公章</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按照</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文件要求签署、加盖公章的</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进口产品（如有）</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lang w:eastAsia="zh-CN"/>
              </w:rPr>
            </w:pPr>
            <w:r>
              <w:rPr>
                <w:rFonts w:hint="eastAsia" w:ascii="宋体" w:hAnsi="宋体" w:cs="宋体"/>
                <w:color w:val="000000"/>
                <w:szCs w:val="21"/>
                <w:highlight w:val="none"/>
              </w:rPr>
              <w:t xml:space="preserve">由评委审查，无需供应商提供材料。招标文件不接受进口产品投标的内容时，投标人所投产品均为非进口产品。</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响应完整性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w:t>
            </w:r>
            <w:r>
              <w:rPr>
                <w:rFonts w:hint="eastAsia" w:ascii="宋体" w:hAnsi="宋体" w:cs="宋体"/>
                <w:b w:val="0"/>
                <w:bCs w:val="0"/>
                <w:color w:val="000000"/>
                <w:sz w:val="24"/>
                <w:highlight w:val="none"/>
              </w:rPr>
              <w:t xml:space="preserve">未将一个采购包中的内容拆开响应</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文件中承诺的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有效期满足</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文件中载明的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有效期的；</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函）</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实质性格式</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标记为“实质性格式”的文件均按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文件要求提供；</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文件格式》）</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文件满足</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w:t>
            </w:r>
            <w:r>
              <w:rPr>
                <w:rFonts w:hint="eastAsia" w:ascii="宋体" w:hAnsi="宋体" w:cs="宋体"/>
                <w:b w:val="0"/>
                <w:bCs w:val="0"/>
                <w:color w:val="000000"/>
                <w:sz w:val="24"/>
                <w:highlight w:val="none"/>
              </w:rPr>
              <w:t xml:space="preserve">第五章《采购需求》</w:t>
            </w:r>
            <w:r>
              <w:rPr>
                <w:rFonts w:hint="eastAsia" w:ascii="宋体" w:hAnsi="宋体" w:cs="宋体"/>
                <w:b w:val="0"/>
                <w:bCs w:val="0"/>
                <w:color w:val="000000"/>
                <w:sz w:val="24"/>
                <w:highlight w:val="none"/>
              </w:rPr>
              <w:t xml:space="preserve">中★号条款要求的；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val="en-US"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101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分包承担主体具备《</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须知资料表》载明的资质条件且提供了资质证书电子件（如有）；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10"/>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1010"/>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文件规定签订并提供分包意向协议原件的电子件的；</w:t>
            </w:r>
            <w:r>
              <w:rPr>
                <w:rFonts w:hint="eastAsia" w:ascii="宋体" w:hAnsi="宋体" w:cs="宋体"/>
                <w:b w:val="0"/>
                <w:bCs w:val="0"/>
                <w:color w:val="000000"/>
                <w:sz w:val="24"/>
                <w:highlight w:val="none"/>
              </w:rPr>
              <w:t xml:space="preserve">（如有）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国家有关部门对</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的响应产品应符合相应规定或要求，并提供证明文件电子件：</w:t>
            </w:r>
            <w:r>
              <w:rPr>
                <w:rFonts w:hint="eastAsia" w:ascii="宋体" w:hAnsi="宋体" w:cs="宋体"/>
                <w:b w:val="0"/>
                <w:bCs w:val="0"/>
                <w:color w:val="000000"/>
                <w:sz w:val="24"/>
                <w:highlight w:val="none"/>
              </w:rPr>
            </w:r>
            <w:r/>
          </w:p>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b w:val="0"/>
                <w:bCs w:val="0"/>
                <w:color w:val="000000"/>
                <w:sz w:val="24"/>
                <w:highlight w:val="none"/>
              </w:rPr>
            </w:r>
            <w:r/>
          </w:p>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产品如涉及计算机信息系统安全专用产品的，须提供公安部颁发的计算机信息系统安全专用产品销售许可证；</w:t>
            </w:r>
            <w:r>
              <w:rPr>
                <w:rFonts w:hint="eastAsia" w:ascii="宋体" w:hAnsi="宋体" w:cs="宋体"/>
                <w:b w:val="0"/>
                <w:bCs w:val="0"/>
                <w:color w:val="000000"/>
                <w:sz w:val="24"/>
                <w:highlight w:val="none"/>
              </w:rPr>
            </w:r>
            <w:r/>
          </w:p>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b w:val="0"/>
                <w:bCs w:val="0"/>
                <w:color w:val="000000"/>
                <w:sz w:val="24"/>
                <w:highlight w:val="none"/>
              </w:rPr>
            </w:r>
            <w:r/>
          </w:p>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遵循公平竞争的原则，不存在恶意串通，妨碍其他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的竞争行为，不存在损害采购人或者其他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的合法权益情形的；</w:t>
            </w:r>
            <w:r>
              <w:rPr>
                <w:rFonts w:hint="eastAsia" w:ascii="宋体" w:hAnsi="宋体" w:cs="宋体"/>
                <w:b w:val="0"/>
                <w:bCs w:val="0"/>
                <w:color w:val="000000"/>
                <w:sz w:val="24"/>
                <w:highlight w:val="none"/>
              </w:rPr>
            </w:r>
            <w:r/>
          </w:p>
        </w:tc>
      </w:tr>
      <w:tr>
        <w:trPr>
          <w:trHeight w:val="3252"/>
        </w:trPr>
        <w:tc>
          <w:tcPr>
            <w:tcW w:w="370" w:type="dxa"/>
            <w:vAlign w:val="center"/>
            <w:textDirection w:val="lrTb"/>
            <w:noWrap w:val="false"/>
          </w:tcPr>
          <w:p>
            <w:pPr>
              <w:pStyle w:val="1010"/>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b w:val="0"/>
                <w:bCs w:val="0"/>
                <w:color w:val="000000"/>
                <w:sz w:val="24"/>
                <w:highlight w:val="none"/>
              </w:rPr>
            </w:r>
            <w:r/>
          </w:p>
        </w:tc>
      </w:tr>
      <w:tr>
        <w:trPr>
          <w:trHeight w:val="750"/>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文件未含有采购人不能接受的附加条件的；</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101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101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1010"/>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文件不存在不符合法律、法规和</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文件规定的其他无效情形。</w:t>
            </w:r>
            <w:r>
              <w:rPr>
                <w:rFonts w:hint="eastAsia" w:ascii="宋体" w:hAnsi="宋体" w:cs="宋体"/>
                <w:b w:val="0"/>
                <w:bCs w:val="0"/>
                <w:color w:val="000000"/>
                <w:sz w:val="24"/>
                <w:highlight w:val="none"/>
              </w:rPr>
            </w:r>
            <w:r/>
          </w:p>
        </w:tc>
      </w:tr>
    </w:tbl>
    <w:p>
      <w:pPr>
        <w:pStyle w:val="1010"/>
        <w:numPr>
          <w:ilvl w:val="0"/>
          <w:numId w:val="0"/>
        </w:numPr>
        <w:ind w:left="0" w:firstLine="482"/>
        <w:keepLines w:val="0"/>
        <w:keepNext w:val="0"/>
        <w:pageBreakBefore w:val="0"/>
        <w:spacing w:line="360" w:lineRule="auto"/>
        <w:widowControl w:val="off"/>
        <w:tabs>
          <w:tab w:val="left" w:pos="360" w:leader="none"/>
        </w:tabs>
        <w:rPr>
          <w:rFonts w:ascii="宋体" w:hAnsi="宋体"/>
          <w:b/>
          <w:bCs/>
          <w:color w:val="000000"/>
          <w:sz w:val="24"/>
          <w:highlight w:val="none"/>
        </w:rPr>
        <w:outlineLvl w:val="2"/>
      </w:pPr>
      <w:r>
        <w:rPr>
          <w:rFonts w:hint="eastAsia" w:ascii="宋体" w:hAnsi="宋体"/>
          <w:b/>
          <w:bCs/>
          <w:color w:val="000000"/>
          <w:sz w:val="24"/>
          <w:szCs w:val="24"/>
          <w:highlight w:val="none"/>
          <w:lang w:val="en-US" w:eastAsia="zh-CN" w:bidi="ar-SA"/>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1010"/>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2.4.4</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2.4.8</w:t>
      </w:r>
      <w:r>
        <w:rPr>
          <w:rFonts w:hint="eastAsia" w:ascii="宋体" w:hAnsi="宋体" w:eastAsia="宋体" w:cs="宋体"/>
          <w:color w:val="000000"/>
          <w:sz w:val="24"/>
          <w:highlight w:val="none"/>
        </w:rPr>
        <w:t xml:space="preserve">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b w:val="0"/>
          <w:bCs w:val="0"/>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① </w:t>
      </w:r>
      <w:r>
        <w:rPr>
          <w:rFonts w:hint="eastAsia" w:ascii="宋体" w:hAnsi="宋体" w:eastAsia="宋体" w:cs="宋体"/>
          <w:b w:val="0"/>
          <w:bCs w:val="0"/>
          <w:color w:val="000000"/>
          <w:sz w:val="24"/>
          <w:highlight w:val="none"/>
        </w:rPr>
        <w:t xml:space="preserve">投标（响应）报价低于采购项目预算50%的，即投标（响应）报价&lt;采购项目预算×50%；</w:t>
      </w:r>
      <w:r>
        <w:rPr>
          <w:rFonts w:hint="eastAsia" w:ascii="宋体" w:hAnsi="宋体" w:eastAsia="宋体" w:cs="宋体"/>
          <w:b w:val="0"/>
          <w:bCs w:val="0"/>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② </w:t>
      </w:r>
      <w:r>
        <w:rPr>
          <w:rFonts w:hint="eastAsia" w:ascii="宋体" w:hAnsi="宋体" w:eastAsia="宋体" w:cs="宋体"/>
          <w:b w:val="0"/>
          <w:bCs w:val="0"/>
          <w:color w:val="000000"/>
          <w:sz w:val="24"/>
          <w:highlight w:val="none"/>
        </w:rPr>
        <w:t xml:space="preserve">投标（响应）报价低于采购项目最高限价45% 的，即投标（响应）报价&lt;采购项目最高限价×45%；</w:t>
      </w:r>
      <w:r>
        <w:rPr>
          <w:rFonts w:hint="eastAsia" w:ascii="宋体" w:hAnsi="宋体" w:eastAsia="宋体" w:cs="宋体"/>
          <w:b w:val="0"/>
          <w:bCs w:val="0"/>
          <w:color w:val="000000"/>
          <w:sz w:val="24"/>
          <w:highlight w:val="none"/>
        </w:rPr>
      </w:r>
      <w:r/>
    </w:p>
    <w:p>
      <w:pPr>
        <w:pStyle w:val="1010"/>
        <w:numPr>
          <w:ilvl w:val="0"/>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③ </w:t>
      </w:r>
      <w:r>
        <w:rPr>
          <w:rFonts w:hint="eastAsia" w:ascii="宋体" w:hAnsi="宋体" w:eastAsia="宋体" w:cs="宋体"/>
          <w:b w:val="0"/>
          <w:bCs w:val="0"/>
          <w:color w:val="000000"/>
          <w:sz w:val="24"/>
          <w:highlight w:val="none"/>
        </w:rPr>
        <w:t xml:space="preserve">评审委员会认定的</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报价过低、有可能影响产品质量或者不能诚信履约的其他情形。</w:t>
      </w:r>
      <w:r>
        <w:rPr>
          <w:rFonts w:hint="eastAsia" w:ascii="宋体" w:hAnsi="宋体" w:eastAsia="宋体" w:cs="宋体"/>
          <w:color w:val="000000"/>
          <w:sz w:val="24"/>
          <w:highlight w:val="none"/>
        </w:rPr>
      </w:r>
      <w:r/>
    </w:p>
    <w:p>
      <w:pPr>
        <w:pStyle w:val="1049"/>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b w:val="0"/>
          <w:bCs w:val="0"/>
          <w:color w:val="000000"/>
          <w:sz w:val="24"/>
          <w:highlight w:val="none"/>
        </w:rPr>
        <w:t xml:space="preserve">启动异常低价投标（响应）审查后，评审委员会应当要求相关</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报价合理性进行判断。投标（响应）</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b w:val="0"/>
          <w:bCs w:val="0"/>
          <w:color w:val="000000"/>
          <w:sz w:val="24"/>
          <w:highlight w:val="none"/>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lang w:val="en-US" w:eastAsia="zh-CN"/>
        </w:rPr>
        <w:t xml:space="preserve">2</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77"/>
      <w:r/>
      <w:bookmarkEnd w:id="778"/>
      <w:r>
        <w:rPr>
          <w:rFonts w:hint="eastAsia" w:ascii="宋体" w:hAnsi="宋体" w:eastAsia="宋体" w:cs="宋体"/>
          <w:b/>
          <w:bCs/>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4"/>
      </w:pPr>
      <w:r>
        <w:rPr>
          <w:rFonts w:hint="eastAsia" w:ascii="宋体" w:hAnsi="宋体" w:eastAsia="宋体" w:cs="宋体"/>
          <w:color w:val="000000"/>
          <w:sz w:val="24"/>
          <w:szCs w:val="24"/>
          <w:highlight w:val="none"/>
          <w:lang w:val="en-US" w:eastAsia="zh-CN" w:bidi="ar-SA"/>
        </w:rPr>
        <w:t xml:space="preserve">3.2.1</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1010"/>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1010"/>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1010"/>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1010"/>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94" w:name="_Toc164608815"/>
      <w:r/>
      <w:bookmarkStart w:id="795" w:name="_Toc151193716"/>
      <w:r/>
      <w:bookmarkStart w:id="796" w:name="_Toc305158888"/>
      <w:r/>
      <w:bookmarkStart w:id="797" w:name="_Toc151193788"/>
      <w:r/>
      <w:bookmarkStart w:id="798" w:name="_Toc127161460"/>
      <w:r/>
      <w:bookmarkStart w:id="799" w:name="_Toc226965736"/>
      <w:r/>
      <w:bookmarkStart w:id="800" w:name="_Toc264969236"/>
      <w:r/>
      <w:bookmarkStart w:id="801" w:name="_Toc265228384"/>
      <w:r/>
      <w:bookmarkStart w:id="802" w:name="_Toc151193860"/>
      <w:r/>
      <w:bookmarkStart w:id="803" w:name="_Toc127151747"/>
      <w:r/>
      <w:bookmarkStart w:id="804" w:name="_Toc151190173"/>
      <w:r/>
      <w:bookmarkStart w:id="805" w:name="_Toc164608660"/>
      <w:r/>
      <w:bookmarkStart w:id="806" w:name="_Toc142311048"/>
      <w:r/>
      <w:bookmarkStart w:id="807" w:name="_Toc127151546"/>
      <w:r/>
      <w:bookmarkStart w:id="808" w:name="_Toc164229387"/>
      <w:r/>
      <w:bookmarkStart w:id="809" w:name="_Toc305158814"/>
      <w:r/>
      <w:bookmarkStart w:id="810" w:name="_Toc164229241"/>
      <w:r/>
      <w:bookmarkStart w:id="811" w:name="_Toc164351640"/>
      <w:r/>
      <w:bookmarkStart w:id="812" w:name="_Toc150774751"/>
      <w:r/>
      <w:bookmarkStart w:id="813" w:name="_Toc226965819"/>
      <w:r/>
      <w:bookmarkStart w:id="814" w:name="_Toc150480784"/>
      <w:r/>
      <w:bookmarkStart w:id="815" w:name="_Toc226309790"/>
      <w:r/>
      <w:bookmarkStart w:id="816" w:name="_Toc150774646"/>
      <w:r/>
      <w:bookmarkStart w:id="817" w:name="_Toc149720839"/>
      <w:r/>
      <w:bookmarkStart w:id="818" w:name="_Ref467307010"/>
      <w:r/>
      <w:bookmarkStart w:id="819" w:name="_Toc520356170"/>
      <w:r/>
      <w:bookmarkStart w:id="820" w:name="_Toc151193934"/>
      <w:r/>
      <w:bookmarkStart w:id="821" w:name="_Toc151193644"/>
      <w:r/>
      <w:bookmarkStart w:id="822" w:name="_Toc226337242"/>
      <w:r/>
      <w:bookmarkStart w:id="823" w:name="_Toc195842911"/>
      <w:r/>
      <w:bookmarkStart w:id="824" w:name="_Toc150509297"/>
      <w:r>
        <w:rPr>
          <w:rFonts w:hint="eastAsia" w:ascii="宋体" w:hAnsi="宋体" w:eastAsia="宋体" w:cs="宋体"/>
          <w:b/>
          <w:bCs/>
          <w:color w:val="000000"/>
          <w:sz w:val="24"/>
          <w:highlight w:val="none"/>
        </w:rPr>
        <w:t xml:space="preserve">中标候选人名单</w:t>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eastAsia="宋体" w:cs="宋体"/>
          <w:b/>
          <w:bCs/>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1049"/>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1049"/>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1049"/>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1010"/>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1010"/>
        <w:numPr>
          <w:ilvl w:val="1"/>
          <w:numId w:val="0"/>
        </w:numPr>
        <w:ind w:left="0" w:firstLine="480"/>
        <w:keepLines w:val="0"/>
        <w:keepNext w:val="0"/>
        <w:pageBreakBefore w:val="0"/>
        <w:spacing w:line="360" w:lineRule="auto"/>
        <w:widowControl w:val="off"/>
        <w:tabs>
          <w:tab w:val="left" w:pos="1080"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1010"/>
        <w:numPr>
          <w:ilvl w:val="0"/>
          <w:numId w:val="0"/>
        </w:numPr>
        <w:ind w:firstLine="241"/>
        <w:jc w:val="left"/>
        <w:widowControl/>
        <w:rPr>
          <w:rFonts w:hint="eastAsia" w:ascii="宋体" w:hAnsi="宋体"/>
          <w:b/>
          <w:color w:val="000000"/>
          <w:sz w:val="24"/>
          <w:highlight w:val="none"/>
          <w:lang w:eastAsia="zh-CN"/>
        </w:rPr>
      </w:pPr>
      <w:r>
        <w:rPr>
          <w:rFonts w:hint="eastAsia" w:ascii="宋体" w:hAnsi="宋体"/>
          <w:b/>
          <w:color w:val="000000"/>
          <w:sz w:val="24"/>
          <w:highlight w:val="none"/>
          <w:lang w:eastAsia="zh-CN"/>
        </w:rPr>
      </w:r>
      <w:r/>
    </w:p>
    <w:p>
      <w:pPr>
        <w:pStyle w:val="1010"/>
        <w:numPr>
          <w:ilvl w:val="0"/>
          <w:numId w:val="0"/>
        </w:numPr>
        <w:ind w:left="0" w:firstLine="241"/>
        <w:jc w:val="left"/>
        <w:widowControl/>
        <w:rPr>
          <w:rFonts w:ascii="宋体" w:hAnsi="宋体"/>
          <w:b/>
          <w:color w:val="000000"/>
          <w:sz w:val="24"/>
          <w:highlight w:val="none"/>
        </w:rPr>
        <w:outlineLvl w:val="1"/>
      </w:pPr>
      <w:r>
        <w:rPr>
          <w:rFonts w:hint="eastAsia" w:ascii="宋体" w:hAnsi="宋体"/>
          <w:b/>
          <w:color w:val="000000"/>
          <w:sz w:val="24"/>
          <w:highlight w:val="none"/>
          <w:lang w:eastAsia="zh-CN"/>
        </w:rPr>
        <w:t xml:space="preserve">二、</w:t>
      </w:r>
      <w:r>
        <w:rPr>
          <w:rFonts w:ascii="宋体" w:hAnsi="宋体"/>
          <w:b/>
          <w:color w:val="000000"/>
          <w:sz w:val="24"/>
          <w:highlight w:val="none"/>
        </w:rPr>
        <w:t xml:space="preserve">评标标准</w:t>
      </w:r>
      <w:r>
        <w:rPr>
          <w:rFonts w:ascii="宋体" w:hAnsi="宋体"/>
          <w:b/>
          <w:color w:val="000000"/>
          <w:sz w:val="24"/>
          <w:highlight w:val="none"/>
        </w:rPr>
      </w:r>
      <w:r/>
    </w:p>
    <w:tbl>
      <w:tblPr>
        <w:tblW w:w="956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48"/>
        <w:gridCol w:w="851"/>
        <w:gridCol w:w="3912"/>
        <w:gridCol w:w="2826"/>
      </w:tblGrid>
      <w:tr>
        <w:trPr/>
        <w:tc>
          <w:tcPr>
            <w:tcW w:w="726" w:type="dxa"/>
            <w:vAlign w:val="center"/>
            <w:textDirection w:val="lrTb"/>
            <w:noWrap w:val="false"/>
          </w:tcPr>
          <w:p>
            <w:pPr>
              <w:pStyle w:val="101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101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851" w:type="dxa"/>
            <w:vAlign w:val="center"/>
            <w:textDirection w:val="lrTb"/>
            <w:noWrap w:val="false"/>
          </w:tcPr>
          <w:p>
            <w:pPr>
              <w:pStyle w:val="101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3912" w:type="dxa"/>
            <w:vAlign w:val="center"/>
            <w:textDirection w:val="lrTb"/>
            <w:noWrap w:val="false"/>
          </w:tcPr>
          <w:p>
            <w:pPr>
              <w:pStyle w:val="101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2826" w:type="dxa"/>
            <w:vAlign w:val="center"/>
            <w:textDirection w:val="lrTb"/>
            <w:noWrap w:val="false"/>
          </w:tcPr>
          <w:p>
            <w:pPr>
              <w:pStyle w:val="101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tc>
      </w:tr>
      <w:tr>
        <w:trPr>
          <w:trHeight w:val="631"/>
        </w:trPr>
        <w:tc>
          <w:tcPr>
            <w:tcW w:w="726" w:type="dxa"/>
            <w:vAlign w:val="center"/>
            <w:textDirection w:val="lrTb"/>
            <w:noWrap w:val="false"/>
          </w:tcPr>
          <w:p>
            <w:pPr>
              <w:pStyle w:val="101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248" w:type="dxa"/>
            <w:vAlign w:val="center"/>
            <w:textDirection w:val="lrTb"/>
            <w:noWrap w:val="false"/>
          </w:tcPr>
          <w:p>
            <w:pPr>
              <w:pStyle w:val="101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101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c>
          <w:tcPr>
            <w:tcW w:w="3912" w:type="dxa"/>
            <w:vAlign w:val="center"/>
            <w:textDirection w:val="lrTb"/>
            <w:noWrap w:val="false"/>
          </w:tcPr>
          <w:p>
            <w:pPr>
              <w:pStyle w:val="101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文件要求且最终报价最低的报价为</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lang w:eastAsia="zh-CN"/>
              </w:rPr>
              <w:t xml:space="preserve">（计算结果四舍五入保留两位小数）</w:t>
            </w:r>
            <w:r>
              <w:rPr>
                <w:rFonts w:hint="eastAsia" w:ascii="宋体" w:hAnsi="宋体" w:eastAsia="宋体" w:cs="宋体"/>
                <w:color w:val="000000"/>
                <w:sz w:val="24"/>
                <w:szCs w:val="24"/>
                <w:highlight w:val="none"/>
                <w:lang w:val="en-US" w:eastAsia="zh-CN"/>
              </w:rPr>
            </w:r>
            <w:r/>
          </w:p>
          <w:p>
            <w:pPr>
              <w:pStyle w:val="10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w:t>
            </w:r>
            <w:r>
              <w:rPr>
                <w:rFonts w:hint="eastAsia" w:ascii="宋体" w:hAnsi="宋体" w:eastAsia="宋体" w:cs="宋体"/>
                <w:color w:val="000000"/>
                <w:sz w:val="24"/>
                <w:szCs w:val="24"/>
                <w:highlight w:val="none"/>
                <w:lang w:eastAsia="zh-CN"/>
              </w:rPr>
              <w:t xml:space="preserve">评审</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101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此处最终报价指经过报价修正，及因落实政府采购政策进行价格调整后的最终报价，详见第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程序、评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方法和评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90"/>
        </w:trPr>
        <w:tc>
          <w:tcPr>
            <w:tcW w:w="726"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主观分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30</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101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1010"/>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1010"/>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供货实施方案</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1010"/>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根据投标人提供的实施方案（包括但不限于供货流程、组织架构、供货计划、时间安排、运输方式、包装方案、配送安排等）进行综合评分：</w:t>
            </w:r>
            <w:r>
              <w:rPr>
                <w:rFonts w:hint="eastAsia" w:ascii="宋体" w:hAnsi="宋体" w:eastAsia="宋体" w:cs="宋体"/>
                <w:b/>
                <w:bCs/>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1、方案内容完整，覆盖供货全流程各环节，组织架构及职责明确，供货计划具体到批次及时间节点，运输交接责任清晰，包装符合防震防潮要求，配送方案覆盖采购人指定多地点，无疏漏，得10分；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2、方案主要内容齐全，但部分环节描述不够具体（如供货时间为大致范围、运输方式未明确责任划分、配送方案细节不足），整体可行，得7分；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3、方案框架存在明显缺失（如缺少组织架构或交接流程），或有多处描述含糊，实施可行性一般，得4分；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4、方案内容严重缺失，流程混乱，主要环节未涉及或无法实施，得1分；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rPr>
            </w:r>
            <w:r/>
          </w:p>
        </w:tc>
        <w:tc>
          <w:tcPr>
            <w:tcW w:w="2826" w:type="dxa"/>
            <w:vAlign w:val="center"/>
            <w:textDirection w:val="lrTb"/>
            <w:noWrap w:val="false"/>
          </w:tcPr>
          <w:p>
            <w:pPr>
              <w:pStyle w:val="1010"/>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1010"/>
              <w:ind w:firstLine="28"/>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2.2</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1010"/>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rPr>
              <w:t xml:space="preserve"> 产品质量保障措施</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1010"/>
              <w:jc w:val="center"/>
              <w:rPr>
                <w:rFonts w:ascii="宋体" w:hAnsi="宋体" w:eastAsia="宋体" w:cs="Times New Roman"/>
                <w:color w:val="000000"/>
                <w:sz w:val="24"/>
                <w:szCs w:val="24"/>
                <w:highlight w:val="none"/>
                <w:lang w:val="en-US" w:eastAsia="zh-CN"/>
              </w:rPr>
            </w:pPr>
            <w:r>
              <w:rPr>
                <w:rFonts w:hint="eastAsia" w:ascii="宋体" w:hAnsi="宋体"/>
                <w:color w:val="000000"/>
                <w:sz w:val="24"/>
                <w:highlight w:val="none"/>
                <w:lang w:val="en-US" w:eastAsia="zh-CN"/>
              </w:rPr>
              <w:t xml:space="preserve">10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1010"/>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根据投标人提供的质量保障措施（包括但不限于原材料控制、生产过程管控、成品检测、不合格品处理等）进行综合评分：</w:t>
            </w:r>
            <w:r>
              <w:rPr>
                <w:rFonts w:hint="eastAsia" w:ascii="宋体" w:hAnsi="宋体" w:eastAsia="宋体" w:cs="宋体"/>
                <w:b/>
                <w:bCs/>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措施全面，覆盖从原材料到成品出厂的全过程管控，原材料承诺符合国家标准并出具承诺函，生产过程有具体控制点和检测方法，成品检测项目完整（运转、风速、摇头、噪音、安规），不合格品处置流程明确并承诺不出厂，得10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2、措施较为全面，覆盖主要质量环节，但部分细节不够具体（如检测项目不完整、过程控制描述笼统），整体符合招标要求，得7分；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3、措施笼统，缺乏关键细节（如未说明检测项目或不合格品处置），存在一定疏漏，得4分；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4、措施片面或明显不当，无法有效保证产品质量，得1分；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5、未提供措施不得分。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1010"/>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2.3</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1010"/>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售后服务方案</w:t>
            </w:r>
            <w:r>
              <w:rPr>
                <w:rFonts w:ascii="宋体" w:hAnsi="宋体" w:eastAsia="宋体"/>
                <w:color w:val="000000"/>
                <w:sz w:val="24"/>
                <w:highlight w:val="none"/>
                <w:lang w:val="en-US" w:eastAsia="zh-CN"/>
              </w:rPr>
            </w:r>
            <w:r/>
          </w:p>
        </w:tc>
        <w:tc>
          <w:tcPr>
            <w:tcW w:w="851" w:type="dxa"/>
            <w:vAlign w:val="center"/>
            <w:textDirection w:val="lrTb"/>
            <w:noWrap w:val="false"/>
          </w:tcPr>
          <w:p>
            <w:pPr>
              <w:pStyle w:val="1010"/>
              <w:ind w:firstLine="28"/>
              <w:jc w:val="center"/>
              <w:rPr>
                <w:rFonts w:hint="eastAsia" w:ascii="宋体" w:hAnsi="宋体"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hint="eastAsia" w:ascii="宋体" w:hAnsi="宋体" w:eastAsia="宋体"/>
                <w:color w:val="000000"/>
                <w:sz w:val="24"/>
                <w:szCs w:val="24"/>
                <w:highlight w:val="none"/>
                <w:lang w:val="en-US" w:eastAsia="zh-CN" w:bidi="ar-SA"/>
              </w:rPr>
            </w:r>
            <w:r/>
          </w:p>
        </w:tc>
        <w:tc>
          <w:tcPr>
            <w:tcW w:w="3912" w:type="dxa"/>
            <w:vAlign w:val="center"/>
            <w:textDirection w:val="lrTb"/>
            <w:noWrap w:val="false"/>
          </w:tcPr>
          <w:p>
            <w:pPr>
              <w:pStyle w:val="1010"/>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根据投标人提供的售后服务方案（包括但不限于产品调换、售后响应时效、质保期内维修、服务联系人及节假日安排等）进行综合评分：</w:t>
            </w:r>
            <w:r>
              <w:rPr>
                <w:rFonts w:hint="eastAsia" w:ascii="宋体" w:hAnsi="宋体" w:eastAsia="宋体" w:cs="宋体"/>
                <w:b/>
                <w:bCs/>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方案完整可行，承诺收到调换通知后48小时内响应、7个工作日内完成调换，提供售后服务热线及工作日2小时内响应、48小时内给出解决方案，明确质保期内免费维修流程，设立专属售后联系人并安排节假日应急联系方式，得10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2、方案主要承诺齐全，但部分时效略宽松（如响应72小时、调换10个工作日），或缺少专属联系人或节假日安排，整体可行，得7分；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3、方案存在明显欠缺（如未明确调换时限、无具体响应时间、无售后热线），可行性一般，得4分；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4、方案内容严重不足，难以保障售后服务，得1分；</w:t>
            </w:r>
            <w:r>
              <w:rPr>
                <w:rFonts w:ascii="宋体" w:hAnsi="宋体" w:eastAsia="宋体" w:cs="宋体"/>
                <w:b w:val="0"/>
                <w:bCs w:val="0"/>
                <w:color w:val="000000"/>
                <w:sz w:val="24"/>
                <w:szCs w:val="24"/>
                <w:highlight w:val="none"/>
                <w:lang w:val="en-US" w:eastAsia="zh-CN"/>
              </w:rPr>
            </w:r>
            <w:r/>
          </w:p>
          <w:p>
            <w:pPr>
              <w:pStyle w:val="1010"/>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2826" w:type="dxa"/>
            <w:vAlign w:val="center"/>
            <w:textDirection w:val="lrTb"/>
            <w:noWrap w:val="false"/>
          </w:tcPr>
          <w:p>
            <w:pPr>
              <w:pStyle w:val="1010"/>
              <w:ind w:left="-38"/>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文件进行评审</w:t>
            </w:r>
            <w:r>
              <w:rPr>
                <w:rFonts w:hint="eastAsia" w:ascii="宋体" w:hAnsi="宋体" w:eastAsia="宋体" w:cs="Times New Roman"/>
                <w:color w:val="000000"/>
                <w:sz w:val="24"/>
                <w:szCs w:val="24"/>
                <w:highlight w:val="none"/>
              </w:rPr>
            </w:r>
            <w:r/>
          </w:p>
        </w:tc>
      </w:tr>
      <w:tr>
        <w:trPr>
          <w:trHeight w:val="401"/>
        </w:trPr>
        <w:tc>
          <w:tcPr>
            <w:tcW w:w="726"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w:t>
            </w:r>
            <w:r>
              <w:rPr>
                <w:rFonts w:ascii="宋体" w:hAnsi="宋体" w:eastAsia="宋体" w:cs="Times New Roman"/>
                <w:b/>
                <w:bCs/>
                <w:color w:val="000000"/>
                <w:sz w:val="24"/>
                <w:szCs w:val="24"/>
                <w:highlight w:val="none"/>
              </w:rPr>
            </w:r>
            <w:r/>
          </w:p>
        </w:tc>
        <w:tc>
          <w:tcPr>
            <w:tcW w:w="1248"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客观分</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lang w:val="en-US" w:eastAsia="zh-CN"/>
              </w:rPr>
            </w:pPr>
            <w:r>
              <w:rPr>
                <w:rFonts w:hint="eastAsia" w:ascii="宋体" w:hAnsi="宋体" w:cs="Times New Roman"/>
                <w:b/>
                <w:bCs/>
                <w:color w:val="000000"/>
                <w:sz w:val="24"/>
                <w:szCs w:val="24"/>
                <w:highlight w:val="none"/>
                <w:lang w:val="en-US" w:eastAsia="zh-CN"/>
              </w:rPr>
              <w:t xml:space="preserve">25</w:t>
            </w:r>
            <w:r>
              <w:rPr>
                <w:rFonts w:ascii="宋体" w:hAnsi="宋体" w:eastAsia="宋体" w:cs="Times New Roman"/>
                <w:b/>
                <w:bCs/>
                <w:color w:val="000000"/>
                <w:sz w:val="24"/>
                <w:szCs w:val="24"/>
                <w:highlight w:val="none"/>
                <w:lang w:val="en-US" w:eastAsia="zh-CN"/>
              </w:rPr>
            </w:r>
            <w:r/>
          </w:p>
        </w:tc>
        <w:tc>
          <w:tcPr>
            <w:tcW w:w="3912" w:type="dxa"/>
            <w:vAlign w:val="center"/>
            <w:textDirection w:val="lrTb"/>
            <w:noWrap w:val="false"/>
          </w:tcPr>
          <w:p>
            <w:pPr>
              <w:pStyle w:val="1010"/>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26" w:type="dxa"/>
            <w:vAlign w:val="center"/>
            <w:textDirection w:val="lrTb"/>
            <w:noWrap w:val="false"/>
          </w:tcPr>
          <w:p>
            <w:pPr>
              <w:pStyle w:val="1010"/>
              <w:ind w:left="-38"/>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1010"/>
              <w:ind w:firstLine="28"/>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r>
            <w:r/>
          </w:p>
        </w:tc>
        <w:tc>
          <w:tcPr>
            <w:tcW w:w="1248"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技术参数的符合性</w:t>
            </w:r>
            <w:r>
              <w:rPr>
                <w:rFonts w:ascii="宋体" w:hAnsi="宋体" w:eastAsia="宋体" w:cs="Times New Roman"/>
                <w:color w:val="000000"/>
                <w:sz w:val="24"/>
                <w:szCs w:val="24"/>
                <w:highlight w:val="none"/>
                <w:lang w:val="en-US" w:eastAsia="zh-CN"/>
              </w:rPr>
            </w:r>
            <w:r/>
          </w:p>
        </w:tc>
        <w:tc>
          <w:tcPr>
            <w:tcW w:w="851"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20</w:t>
            </w:r>
            <w:r>
              <w:rPr>
                <w:rFonts w:ascii="宋体" w:hAnsi="宋体" w:eastAsia="宋体" w:cs="Times New Roman"/>
                <w:color w:val="000000"/>
                <w:sz w:val="24"/>
                <w:szCs w:val="24"/>
                <w:highlight w:val="none"/>
                <w:lang w:val="en-US" w:eastAsia="zh-CN"/>
              </w:rPr>
            </w:r>
            <w:r/>
          </w:p>
        </w:tc>
        <w:tc>
          <w:tcPr>
            <w:tcW w:w="3912" w:type="dxa"/>
            <w:vAlign w:val="center"/>
            <w:textDirection w:val="lrTb"/>
            <w:noWrap w:val="false"/>
          </w:tcPr>
          <w:p>
            <w:pPr>
              <w:pStyle w:val="1010"/>
              <w:jc w:val="left"/>
              <w:spacing w:line="36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rPr>
              <w:t xml:space="preserve">所投产品的技术性能、参数、标准、规格等完全满足</w:t>
            </w:r>
            <w:r>
              <w:rPr>
                <w:rFonts w:hint="eastAsia" w:ascii="宋体" w:hAnsi="宋体" w:eastAsia="宋体" w:cs="Times New Roman"/>
                <w:color w:val="000000"/>
                <w:sz w:val="24"/>
                <w:szCs w:val="24"/>
                <w:highlight w:val="none"/>
                <w:lang w:val="en-US" w:eastAsia="zh-CN"/>
              </w:rPr>
              <w:t xml:space="preserve">招标</w:t>
            </w:r>
            <w:r>
              <w:rPr>
                <w:rFonts w:hint="eastAsia" w:ascii="宋体" w:hAnsi="宋体" w:eastAsia="宋体" w:cs="Times New Roman"/>
                <w:color w:val="000000"/>
                <w:sz w:val="24"/>
                <w:szCs w:val="24"/>
                <w:highlight w:val="none"/>
              </w:rPr>
              <w:t xml:space="preserve">文件“第</w:t>
            </w:r>
            <w:r>
              <w:rPr>
                <w:rFonts w:hint="eastAsia" w:ascii="宋体" w:hAnsi="宋体" w:eastAsia="宋体" w:cs="Times New Roman"/>
                <w:color w:val="000000"/>
                <w:sz w:val="24"/>
                <w:szCs w:val="24"/>
                <w:highlight w:val="none"/>
                <w:lang w:val="en-US" w:eastAsia="zh-CN"/>
              </w:rPr>
              <w:t xml:space="preserve">五</w:t>
            </w:r>
            <w:r>
              <w:rPr>
                <w:rFonts w:hint="eastAsia" w:ascii="宋体" w:hAnsi="宋体" w:eastAsia="宋体" w:cs="Times New Roman"/>
                <w:color w:val="000000"/>
                <w:sz w:val="24"/>
                <w:szCs w:val="24"/>
                <w:highlight w:val="none"/>
              </w:rPr>
              <w:t xml:space="preserve">章 采购需求 三、</w:t>
            </w:r>
            <w:r>
              <w:rPr>
                <w:rFonts w:hint="eastAsia" w:ascii="宋体" w:hAnsi="宋体" w:eastAsia="宋体" w:cs="Times New Roman"/>
                <w:color w:val="000000"/>
                <w:sz w:val="24"/>
                <w:szCs w:val="24"/>
                <w:highlight w:val="none"/>
                <w:lang w:val="en-US" w:eastAsia="zh-CN"/>
              </w:rPr>
              <w:t xml:space="preserve">技术参数要求” </w:t>
            </w:r>
            <w:r>
              <w:rPr>
                <w:rFonts w:hint="eastAsia" w:ascii="宋体" w:hAnsi="宋体" w:eastAsia="宋体" w:cs="Times New Roman"/>
                <w:color w:val="000000"/>
                <w:sz w:val="24"/>
                <w:szCs w:val="24"/>
                <w:highlight w:val="none"/>
              </w:rPr>
              <w:t xml:space="preserve">的得满分</w:t>
            </w:r>
            <w:r>
              <w:rPr>
                <w:rFonts w:hint="eastAsia" w:ascii="宋体" w:hAnsi="宋体" w:eastAsia="宋体" w:cs="Times New Roman"/>
                <w:color w:val="000000"/>
                <w:sz w:val="24"/>
                <w:szCs w:val="24"/>
                <w:highlight w:val="none"/>
                <w:lang w:val="en-US" w:eastAsia="zh-CN"/>
              </w:rPr>
              <w:t xml:space="preserve">20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其中，</w:t>
            </w:r>
            <w:r>
              <w:rPr>
                <w:rFonts w:hint="eastAsia" w:ascii="宋体" w:hAnsi="宋体" w:eastAsia="宋体" w:cs="Times New Roman"/>
                <w:color w:val="000000"/>
                <w:sz w:val="24"/>
                <w:szCs w:val="24"/>
                <w:highlight w:val="none"/>
              </w:rPr>
              <w:t xml:space="preserve">标注“★”参数为实质性响应</w:t>
            </w:r>
            <w:r>
              <w:rPr>
                <w:rFonts w:hint="eastAsia" w:ascii="宋体" w:hAnsi="宋体" w:eastAsia="宋体" w:cs="Times New Roman"/>
                <w:color w:val="000000"/>
                <w:sz w:val="24"/>
                <w:szCs w:val="24"/>
                <w:highlight w:val="none"/>
                <w:lang w:val="en-US" w:eastAsia="zh-CN"/>
              </w:rPr>
              <w:t xml:space="preserve">条款</w:t>
            </w:r>
            <w:r>
              <w:rPr>
                <w:rFonts w:hint="eastAsia" w:ascii="宋体" w:hAnsi="宋体" w:eastAsia="宋体" w:cs="Times New Roman"/>
                <w:color w:val="000000"/>
                <w:sz w:val="24"/>
                <w:szCs w:val="24"/>
                <w:highlight w:val="none"/>
              </w:rPr>
              <w:t xml:space="preserve">，不满足的则视为无效响应；</w:t>
            </w:r>
            <w:r>
              <w:rPr>
                <w:rFonts w:hint="eastAsia" w:ascii="宋体" w:hAnsi="宋体" w:eastAsia="宋体" w:cs="Times New Roman"/>
                <w:color w:val="000000"/>
                <w:sz w:val="24"/>
                <w:szCs w:val="24"/>
                <w:highlight w:val="none"/>
                <w:lang w:val="en-US" w:eastAsia="zh-CN"/>
              </w:rPr>
              <w:t xml:space="preserve">未标注星项的参数</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val="en-US" w:eastAsia="zh-CN"/>
              </w:rPr>
              <w:t xml:space="preserve">普通</w:t>
            </w:r>
            <w:r>
              <w:rPr>
                <w:rFonts w:hint="eastAsia" w:ascii="宋体" w:hAnsi="宋体" w:eastAsia="宋体" w:cs="Times New Roman"/>
                <w:color w:val="000000"/>
                <w:sz w:val="24"/>
                <w:szCs w:val="24"/>
                <w:highlight w:val="none"/>
              </w:rPr>
              <w:t xml:space="preserve">参数，每有一项负偏离的，扣</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分，扣完为止。</w:t>
            </w:r>
            <w:r>
              <w:rPr>
                <w:rFonts w:ascii="宋体" w:hAnsi="宋体" w:eastAsia="宋体" w:cs="Times New Roman"/>
                <w:color w:val="000000"/>
                <w:sz w:val="24"/>
                <w:szCs w:val="24"/>
                <w:highlight w:val="none"/>
              </w:rPr>
            </w:r>
            <w:r/>
          </w:p>
        </w:tc>
        <w:tc>
          <w:tcPr>
            <w:tcW w:w="2826" w:type="dxa"/>
            <w:vAlign w:val="center"/>
            <w:textDirection w:val="lrTb"/>
            <w:noWrap w:val="false"/>
          </w:tcPr>
          <w:p>
            <w:pPr>
              <w:pStyle w:val="1010"/>
              <w:ind w:left="-38"/>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投标文件中</w:t>
            </w:r>
            <w:r>
              <w:rPr>
                <w:rFonts w:hint="eastAsia" w:ascii="宋体" w:hAnsi="宋体" w:eastAsia="宋体" w:cs="Times New Roman"/>
                <w:color w:val="000000"/>
                <w:sz w:val="24"/>
                <w:szCs w:val="24"/>
                <w:highlight w:val="none"/>
                <w:lang w:eastAsia="zh-CN"/>
              </w:rPr>
              <w:t xml:space="preserve">需提供技术参数支持资料包括但不限于产品彩页、产品官网参数信息截图、生产厂家盖章说明文件、检测报告或者软件界面等，标记“★”参数未提供技术支持材料则视为无效响应。项目验收时逐条验证技术指标，如发现供应商虚假应标，采购人将无条件退货。</w:t>
            </w:r>
            <w:r>
              <w:rPr>
                <w:rFonts w:ascii="宋体" w:hAnsi="宋体" w:eastAsia="宋体" w:cs="Times New Roman"/>
                <w:color w:val="000000"/>
                <w:sz w:val="24"/>
                <w:szCs w:val="24"/>
                <w:highlight w:val="none"/>
              </w:rPr>
            </w:r>
            <w:r/>
          </w:p>
        </w:tc>
      </w:tr>
      <w:tr>
        <w:trPr/>
        <w:tc>
          <w:tcPr>
            <w:tcW w:w="726" w:type="dxa"/>
            <w:vAlign w:val="center"/>
            <w:textDirection w:val="lrTb"/>
            <w:noWrap w:val="false"/>
          </w:tcPr>
          <w:p>
            <w:pPr>
              <w:pStyle w:val="1010"/>
              <w:ind w:firstLine="28"/>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3.2</w:t>
            </w:r>
            <w:r>
              <w:rPr>
                <w:rFonts w:ascii="宋体" w:hAnsi="宋体" w:eastAsia="宋体" w:cs="Times New Roman"/>
                <w:color w:val="000000"/>
                <w:sz w:val="24"/>
                <w:szCs w:val="24"/>
                <w:highlight w:val="none"/>
                <w:lang w:val="en-US" w:eastAsia="zh-CN"/>
              </w:rPr>
            </w:r>
            <w:r/>
          </w:p>
        </w:tc>
        <w:tc>
          <w:tcPr>
            <w:tcW w:w="1248" w:type="dxa"/>
            <w:vAlign w:val="center"/>
            <w:textDirection w:val="lrTb"/>
            <w:noWrap w:val="false"/>
          </w:tcPr>
          <w:p>
            <w:pPr>
              <w:pStyle w:val="1010"/>
              <w:ind w:firstLine="28"/>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质量体系</w:t>
            </w:r>
            <w:r>
              <w:rPr>
                <w:rFonts w:hint="eastAsia" w:ascii="宋体" w:hAnsi="宋体" w:eastAsia="宋体" w:cs="Times New Roman"/>
                <w:color w:val="000000"/>
                <w:sz w:val="24"/>
                <w:szCs w:val="24"/>
                <w:highlight w:val="none"/>
              </w:rPr>
            </w:r>
            <w:r/>
          </w:p>
          <w:p>
            <w:pPr>
              <w:pStyle w:val="1010"/>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认证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1010"/>
              <w:ind w:firstLine="28"/>
              <w:jc w:val="center"/>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101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具有有效</w:t>
            </w:r>
            <w:r>
              <w:rPr>
                <w:rFonts w:hint="eastAsia" w:ascii="宋体" w:hAnsi="宋体" w:eastAsia="宋体" w:cs="Times New Roman"/>
                <w:color w:val="000000"/>
                <w:sz w:val="24"/>
                <w:szCs w:val="24"/>
                <w:highlight w:val="none"/>
                <w:lang w:eastAsia="zh-CN"/>
              </w:rPr>
              <w:t xml:space="preserve">期内</w:t>
            </w:r>
            <w:r>
              <w:rPr>
                <w:rFonts w:hint="eastAsia" w:ascii="宋体" w:hAnsi="宋体" w:eastAsia="宋体" w:cs="Times New Roman"/>
                <w:color w:val="000000"/>
                <w:sz w:val="24"/>
                <w:szCs w:val="24"/>
                <w:highlight w:val="none"/>
              </w:rPr>
              <w:t xml:space="preserve">的质量管理体系认证、环境管理体系认证、职业健康安全管理体系认证证书的，每有1个得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最高得</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bidi="ar-SA"/>
              </w:rPr>
            </w:r>
            <w:r/>
          </w:p>
        </w:tc>
        <w:tc>
          <w:tcPr>
            <w:tcW w:w="2826" w:type="dxa"/>
            <w:vAlign w:val="center"/>
            <w:textDirection w:val="lrTb"/>
            <w:noWrap w:val="false"/>
          </w:tcPr>
          <w:p>
            <w:pPr>
              <w:pStyle w:val="1010"/>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rPr>
              <w:t xml:space="preserve">文件中提供</w:t>
            </w:r>
            <w:r>
              <w:rPr>
                <w:rFonts w:hint="eastAsia" w:ascii="宋体" w:hAnsi="宋体" w:eastAsia="宋体" w:cs="Times New Roman"/>
                <w:color w:val="000000"/>
                <w:sz w:val="24"/>
                <w:szCs w:val="24"/>
                <w:highlight w:val="none"/>
                <w:lang w:eastAsia="zh-CN"/>
              </w:rPr>
              <w:t xml:space="preserve">有效期内的认证</w:t>
            </w:r>
            <w:r>
              <w:rPr>
                <w:rFonts w:hint="eastAsia" w:ascii="宋体" w:hAnsi="宋体" w:eastAsia="宋体" w:cs="Times New Roman"/>
                <w:color w:val="000000"/>
                <w:sz w:val="24"/>
                <w:szCs w:val="24"/>
                <w:highlight w:val="none"/>
              </w:rPr>
              <w:t xml:space="preserve">证书扫描件并加盖</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公章，否则不得分。</w:t>
            </w:r>
            <w:r>
              <w:rPr>
                <w:rFonts w:hint="eastAsia" w:ascii="宋体" w:hAnsi="宋体" w:eastAsia="宋体" w:cs="Times New Roman"/>
                <w:color w:val="000000"/>
                <w:sz w:val="24"/>
                <w:szCs w:val="24"/>
                <w:highlight w:val="none"/>
                <w:lang w:val="en-US" w:eastAsia="zh-CN" w:bidi="ar-SA"/>
              </w:rPr>
            </w:r>
            <w:r/>
          </w:p>
        </w:tc>
      </w:tr>
      <w:tr>
        <w:trPr/>
        <w:tc>
          <w:tcPr>
            <w:tcW w:w="726" w:type="dxa"/>
            <w:vAlign w:val="center"/>
            <w:textDirection w:val="lrTb"/>
            <w:noWrap w:val="false"/>
          </w:tcPr>
          <w:p>
            <w:pPr>
              <w:pStyle w:val="101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101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供货期</w:t>
            </w:r>
            <w:r>
              <w:rPr>
                <w:rFonts w:hint="eastAsia" w:ascii="宋体" w:hAnsi="宋体" w:eastAsia="宋体" w:cs="宋体"/>
                <w:color w:val="000000"/>
                <w:sz w:val="24"/>
                <w:szCs w:val="24"/>
                <w:highlight w:val="none"/>
                <w:lang w:val="en-US" w:eastAsia="zh-CN" w:bidi="ar-SA"/>
              </w:rPr>
            </w:r>
            <w:r/>
          </w:p>
        </w:tc>
        <w:tc>
          <w:tcPr>
            <w:tcW w:w="851" w:type="dxa"/>
            <w:vAlign w:val="center"/>
            <w:textDirection w:val="lrTb"/>
            <w:noWrap w:val="false"/>
          </w:tcPr>
          <w:p>
            <w:pPr>
              <w:pStyle w:val="101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3912" w:type="dxa"/>
            <w:vAlign w:val="center"/>
            <w:textDirection w:val="lrTb"/>
            <w:noWrap w:val="false"/>
          </w:tcPr>
          <w:p>
            <w:pPr>
              <w:pStyle w:val="1010"/>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投标人承诺：</w:t>
            </w:r>
            <w:r>
              <w:rPr>
                <w:rFonts w:hint="eastAsia" w:ascii="宋体" w:hAnsi="宋体" w:eastAsia="宋体" w:cs="宋体"/>
                <w:b/>
                <w:bCs/>
                <w:color w:val="000000"/>
                <w:sz w:val="24"/>
                <w:szCs w:val="24"/>
                <w:highlight w:val="none"/>
                <w:lang w:val="en-US" w:eastAsia="zh-CN" w:bidi="ar-SA"/>
              </w:rPr>
            </w:r>
            <w:r/>
          </w:p>
          <w:p>
            <w:pPr>
              <w:pStyle w:val="1010"/>
              <w:jc w:val="left"/>
              <w:keepLines w:val="0"/>
              <w:keepNext w:val="0"/>
              <w:pageBreakBefore w:val="0"/>
              <w:spacing w:beforeAutospacing="0" w:afterAutospacing="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在满足招标文件“合同签订生效后于2026年7月20日前完成全部货物送货就位、通电检测、完成整体验收交付”基础上，每提前1天供货送达并通过初步验收，加1分，最高得2分。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1010"/>
              <w:ind w:left="-38"/>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highlight w:val="none"/>
                <w:lang w:val="en-US" w:eastAsia="zh-CN"/>
              </w:rPr>
              <w:t xml:space="preserve">投标文件中</w:t>
            </w:r>
            <w:r>
              <w:rPr>
                <w:rFonts w:hint="eastAsia" w:ascii="宋体" w:hAnsi="宋体" w:eastAsia="宋体" w:cs="宋体"/>
                <w:b w:val="0"/>
                <w:bCs/>
                <w:color w:val="000000"/>
                <w:sz w:val="24"/>
                <w:highlight w:val="none"/>
              </w:rPr>
              <w:t xml:space="preserve">提供</w:t>
            </w:r>
            <w:r>
              <w:rPr>
                <w:rFonts w:hint="eastAsia" w:ascii="宋体" w:hAnsi="宋体" w:eastAsia="宋体" w:cs="宋体"/>
                <w:b w:val="0"/>
                <w:bCs/>
                <w:color w:val="000000"/>
                <w:sz w:val="24"/>
                <w:highlight w:val="none"/>
                <w:lang w:val="en-US" w:eastAsia="zh-CN"/>
              </w:rPr>
              <w:t xml:space="preserve">供货服务</w:t>
            </w:r>
            <w:r>
              <w:rPr>
                <w:rFonts w:hint="eastAsia" w:ascii="宋体" w:hAnsi="宋体" w:eastAsia="宋体" w:cs="宋体"/>
                <w:b w:val="0"/>
                <w:bCs/>
                <w:color w:val="000000"/>
                <w:sz w:val="24"/>
                <w:highlight w:val="none"/>
              </w:rPr>
              <w:t xml:space="preserve">承诺书</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格式自拟）</w:t>
            </w:r>
            <w:r>
              <w:rPr>
                <w:rFonts w:hint="eastAsia" w:ascii="宋体" w:hAnsi="宋体" w:eastAsia="宋体" w:cs="宋体"/>
                <w:b w:val="0"/>
                <w:bCs/>
                <w:color w:val="000000"/>
                <w:sz w:val="24"/>
                <w:highlight w:val="none"/>
              </w:rPr>
              <w:t xml:space="preserve">并加盖</w:t>
            </w:r>
            <w:r>
              <w:rPr>
                <w:rFonts w:hint="eastAsia" w:ascii="宋体" w:hAnsi="宋体" w:eastAsia="宋体" w:cs="宋体"/>
                <w:b w:val="0"/>
                <w:bCs/>
                <w:color w:val="000000"/>
                <w:sz w:val="24"/>
                <w:highlight w:val="none"/>
                <w:lang w:val="en-US" w:eastAsia="zh-CN"/>
              </w:rPr>
              <w:t xml:space="preserve">投标人</w:t>
            </w:r>
            <w:r>
              <w:rPr>
                <w:rFonts w:hint="eastAsia" w:ascii="宋体" w:hAnsi="宋体" w:eastAsia="宋体" w:cs="宋体"/>
                <w:b w:val="0"/>
                <w:bCs/>
                <w:color w:val="000000"/>
                <w:sz w:val="24"/>
                <w:highlight w:val="none"/>
              </w:rPr>
              <w:t xml:space="preserve">公章</w:t>
            </w:r>
            <w:r>
              <w:rPr>
                <w:rFonts w:hint="eastAsia" w:ascii="宋体" w:hAnsi="宋体" w:eastAsia="宋体" w:cs="宋体"/>
                <w:b w:val="0"/>
                <w:bCs/>
                <w:color w:val="000000"/>
                <w:sz w:val="24"/>
                <w:highlight w:val="none"/>
                <w:lang w:val="en-US" w:eastAsia="zh-CN"/>
              </w:rPr>
              <w:t xml:space="preserve">，否则不得分</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szCs w:val="24"/>
                <w:highlight w:val="none"/>
                <w:lang w:val="en-US" w:eastAsia="zh-CN" w:bidi="ar-SA"/>
              </w:rPr>
            </w:r>
            <w:r/>
          </w:p>
        </w:tc>
      </w:tr>
      <w:tr>
        <w:trPr>
          <w:trHeight w:val="513"/>
        </w:trPr>
        <w:tc>
          <w:tcPr>
            <w:tcW w:w="726" w:type="dxa"/>
            <w:vAlign w:val="center"/>
            <w:textDirection w:val="lrTb"/>
            <w:noWrap w:val="false"/>
          </w:tcPr>
          <w:p>
            <w:pPr>
              <w:pStyle w:val="1010"/>
              <w:ind w:firstLine="28"/>
              <w:jc w:val="center"/>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r>
            <w:r/>
          </w:p>
        </w:tc>
        <w:tc>
          <w:tcPr>
            <w:tcW w:w="1248" w:type="dxa"/>
            <w:vAlign w:val="center"/>
            <w:textDirection w:val="lrTb"/>
            <w:noWrap w:val="false"/>
          </w:tcPr>
          <w:p>
            <w:pPr>
              <w:pStyle w:val="1010"/>
              <w:jc w:val="center"/>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样品分</w:t>
            </w:r>
            <w:r>
              <w:rPr>
                <w:rFonts w:ascii="宋体" w:hAnsi="宋体" w:eastAsia="宋体" w:cs="宋体"/>
                <w:b/>
                <w:bCs/>
                <w:color w:val="000000"/>
                <w:sz w:val="24"/>
                <w:highlight w:val="none"/>
                <w:lang w:val="en-US" w:eastAsia="zh-CN"/>
              </w:rPr>
            </w:r>
            <w:r/>
          </w:p>
        </w:tc>
        <w:tc>
          <w:tcPr>
            <w:tcW w:w="851" w:type="dxa"/>
            <w:vAlign w:val="center"/>
            <w:textDirection w:val="lrTb"/>
            <w:noWrap w:val="false"/>
          </w:tcPr>
          <w:p>
            <w:pPr>
              <w:pStyle w:val="1010"/>
              <w:ind w:firstLine="28"/>
              <w:jc w:val="center"/>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15</w:t>
            </w:r>
            <w:r>
              <w:rPr>
                <w:rFonts w:ascii="宋体" w:hAnsi="宋体" w:eastAsia="宋体" w:cs="宋体"/>
                <w:b/>
                <w:bCs/>
                <w:color w:val="000000"/>
                <w:sz w:val="24"/>
                <w:szCs w:val="24"/>
                <w:highlight w:val="none"/>
                <w:lang w:val="en-US" w:eastAsia="zh-CN" w:bidi="ar-SA"/>
              </w:rPr>
            </w:r>
            <w:r/>
          </w:p>
        </w:tc>
        <w:tc>
          <w:tcPr>
            <w:tcW w:w="3912" w:type="dxa"/>
            <w:vAlign w:val="center"/>
            <w:textDirection w:val="lrTb"/>
            <w:noWrap w:val="false"/>
          </w:tcPr>
          <w:p>
            <w:pPr>
              <w:pStyle w:val="1010"/>
              <w:jc w:val="left"/>
              <w:keepLines w:val="0"/>
              <w:keepNext w:val="0"/>
              <w:pageBreakBefore w:val="0"/>
              <w:spacing w:beforeAutospacing="0" w:afterAutospacing="0"/>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826" w:type="dxa"/>
            <w:vAlign w:val="center"/>
            <w:textDirection w:val="lrTb"/>
            <w:noWrap w:val="false"/>
          </w:tcPr>
          <w:p>
            <w:pPr>
              <w:pStyle w:val="1010"/>
              <w:ind w:left="-38"/>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r>
            <w:r/>
          </w:p>
        </w:tc>
      </w:tr>
      <w:tr>
        <w:trPr/>
        <w:tc>
          <w:tcPr>
            <w:tcW w:w="726" w:type="dxa"/>
            <w:vAlign w:val="center"/>
            <w:textDirection w:val="lrTb"/>
            <w:noWrap w:val="false"/>
          </w:tcPr>
          <w:p>
            <w:pPr>
              <w:pStyle w:val="1010"/>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w:t>
            </w:r>
            <w:r>
              <w:rPr>
                <w:rFonts w:ascii="宋体" w:hAnsi="宋体" w:eastAsia="宋体" w:cs="宋体"/>
                <w:color w:val="000000"/>
                <w:sz w:val="24"/>
                <w:szCs w:val="24"/>
                <w:highlight w:val="none"/>
                <w:lang w:val="en-US" w:eastAsia="zh-CN"/>
              </w:rPr>
            </w:r>
            <w:r/>
          </w:p>
        </w:tc>
        <w:tc>
          <w:tcPr>
            <w:tcW w:w="1248" w:type="dxa"/>
            <w:vAlign w:val="center"/>
            <w:textDirection w:val="lrTb"/>
            <w:noWrap w:val="false"/>
          </w:tcPr>
          <w:p>
            <w:pPr>
              <w:pStyle w:val="1010"/>
              <w:jc w:val="center"/>
              <w:widowControl/>
              <w:rPr>
                <w:rFonts w:hint="eastAsia" w:ascii="宋体" w:hAnsi="宋体"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样品</w:t>
            </w:r>
            <w:r>
              <w:rPr>
                <w:rFonts w:hint="eastAsia" w:ascii="宋体" w:hAnsi="宋体" w:eastAsia="宋体" w:cs="Times New Roman"/>
                <w:color w:val="000000"/>
                <w:sz w:val="24"/>
                <w:szCs w:val="24"/>
                <w:highlight w:val="none"/>
                <w:lang w:val="en-US" w:eastAsia="zh-CN" w:bidi="ar-SA"/>
              </w:rPr>
            </w:r>
            <w:r/>
          </w:p>
        </w:tc>
        <w:tc>
          <w:tcPr>
            <w:tcW w:w="851" w:type="dxa"/>
            <w:vAlign w:val="center"/>
            <w:textDirection w:val="lrTb"/>
            <w:noWrap w:val="false"/>
          </w:tcPr>
          <w:p>
            <w:pPr>
              <w:pStyle w:val="1010"/>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15</w:t>
            </w:r>
            <w:r>
              <w:rPr>
                <w:rFonts w:hint="eastAsia" w:ascii="宋体" w:hAnsi="宋体" w:eastAsia="宋体" w:cs="Times New Roman"/>
                <w:color w:val="000000"/>
                <w:sz w:val="24"/>
                <w:szCs w:val="24"/>
                <w:highlight w:val="none"/>
                <w:lang w:val="en-US" w:eastAsia="zh-CN" w:bidi="ar-SA"/>
              </w:rPr>
            </w:r>
            <w:r/>
          </w:p>
        </w:tc>
        <w:tc>
          <w:tcPr>
            <w:tcW w:w="3912" w:type="dxa"/>
            <w:vAlign w:val="center"/>
            <w:textDirection w:val="lrTb"/>
            <w:noWrap w:val="false"/>
          </w:tcPr>
          <w:p>
            <w:pPr>
              <w:pStyle w:val="1010"/>
              <w:keepLines w:val="0"/>
              <w:keepNext w:val="0"/>
              <w:pageBreakBefore w:val="0"/>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根据各投标人所投产品</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lang w:val="en-US" w:eastAsia="zh-CN"/>
              </w:rPr>
              <w:t xml:space="preserve">（包括但不限于外观及工艺质量、语音控制响应、摇头及风速运行、噪音评价等方面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进行综合评分：</w:t>
            </w:r>
            <w:r>
              <w:rPr>
                <w:rFonts w:hint="eastAsia" w:ascii="宋体" w:hAnsi="宋体" w:eastAsia="宋体" w:cs="宋体"/>
                <w:b/>
                <w:bCs/>
                <w:color w:val="000000"/>
                <w:sz w:val="24"/>
                <w:szCs w:val="24"/>
                <w:highlight w:val="none"/>
                <w:lang w:val="en-US" w:eastAsia="zh-CN"/>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外观及工艺质量</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以下项目：①外壳及网罩表面无可见毛刺、无划痕、无变形；②接缝均匀（间隙≤1mm）；③底座平稳，放置桌面或地面不晃动；④网罩边缘光滑，徒手触摸无锐边。全部满足得4分；任意1项不满足扣1分，扣完为止。</w:t>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语音控制响应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现场测试：3米距离内，使用普通话发出“开机”“加大风速”“左右摇头”三条指令。三条指令全部准确响应（每条响应时间≤3秒）得4分；2条准确响应得2分；1条准确响应得1分；0条准确响应得0分。</w:t>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摇头及风速运行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开机后依次切换低、中、高三档风速，观察：①各档风速变化明显（风力逐档增强）；②左右自动摇头平滑，无卡顿、无异响；③上下摇头手动调节顺畅。三项全部满足得3分；任意一项不满足扣1分，扣完为止。</w:t>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噪音</w:t>
            </w:r>
            <w:r>
              <w:rPr>
                <w:rFonts w:hint="eastAsia" w:ascii="宋体" w:hAnsi="宋体" w:eastAsia="宋体" w:cs="宋体"/>
                <w:b/>
                <w:bCs/>
                <w:color w:val="000000"/>
                <w:sz w:val="24"/>
                <w:szCs w:val="24"/>
                <w:highlight w:val="none"/>
                <w:lang w:val="en-US" w:eastAsia="zh-CN"/>
              </w:rPr>
              <w:t xml:space="preserve">评价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在相对安静的环境下，将风扇调至最低档，距离1米处聆听。评委现场投票：认为“安静、不影响正常交谈”得4分；认为“略有声音但可接受”得2分；认为“明显嘈杂、刺耳或异响”得0分。</w:t>
            </w:r>
            <w:r>
              <w:rPr>
                <w:rFonts w:hint="eastAsia" w:ascii="宋体" w:hAnsi="宋体" w:eastAsia="宋体" w:cs="宋体"/>
                <w:color w:val="000000"/>
                <w:sz w:val="24"/>
                <w:szCs w:val="24"/>
                <w:highlight w:val="none"/>
                <w:lang w:val="en-US" w:eastAsia="zh-CN"/>
              </w:rPr>
              <w:t xml:space="preserve">该小项</w:t>
            </w:r>
            <w:r>
              <w:rPr>
                <w:rFonts w:hint="eastAsia" w:ascii="宋体" w:hAnsi="宋体" w:eastAsia="宋体" w:cs="宋体"/>
                <w:color w:val="000000"/>
                <w:sz w:val="24"/>
                <w:szCs w:val="24"/>
                <w:highlight w:val="none"/>
              </w:rPr>
              <w:t xml:space="preserve">取所有评委平均分</w:t>
            </w:r>
            <w:r>
              <w:rPr>
                <w:rFonts w:hint="eastAsia" w:ascii="宋体" w:hAnsi="宋体" w:eastAsia="宋体" w:cs="宋体"/>
                <w:color w:val="000000"/>
                <w:sz w:val="24"/>
                <w:szCs w:val="24"/>
                <w:highlight w:val="none"/>
                <w:lang w:val="en-US" w:eastAsia="zh-CN"/>
              </w:rPr>
              <w:t xml:space="preserve">计分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未提供</w:t>
            </w:r>
            <w:r>
              <w:rPr>
                <w:rFonts w:hint="eastAsia" w:ascii="宋体" w:hAnsi="宋体" w:eastAsia="宋体" w:cs="宋体"/>
                <w:color w:val="000000"/>
                <w:sz w:val="24"/>
                <w:szCs w:val="24"/>
                <w:highlight w:val="none"/>
                <w:lang w:val="en-US" w:eastAsia="zh-CN"/>
              </w:rPr>
              <w:t xml:space="preserve">样品</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2826" w:type="dxa"/>
            <w:vAlign w:val="center"/>
            <w:textDirection w:val="lrTb"/>
            <w:noWrap w:val="false"/>
          </w:tcPr>
          <w:p>
            <w:pPr>
              <w:pStyle w:val="1010"/>
              <w:ind w:left="-38"/>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rPr>
              <w:t xml:space="preserve">根据</w:t>
            </w:r>
            <w:r>
              <w:rPr>
                <w:rFonts w:hint="eastAsia" w:ascii="宋体" w:hAnsi="宋体" w:eastAsia="宋体" w:cs="Times New Roman"/>
                <w:color w:val="000000"/>
                <w:sz w:val="24"/>
                <w:szCs w:val="24"/>
                <w:highlight w:val="none"/>
                <w:lang w:val="en-US" w:eastAsia="zh-CN"/>
              </w:rPr>
              <w:t xml:space="preserve">投标样品</w:t>
            </w:r>
            <w:r>
              <w:rPr>
                <w:rFonts w:hint="eastAsia" w:ascii="宋体" w:hAnsi="宋体" w:eastAsia="宋体" w:cs="Times New Roman"/>
                <w:color w:val="000000"/>
                <w:sz w:val="24"/>
                <w:szCs w:val="24"/>
                <w:highlight w:val="none"/>
              </w:rPr>
              <w:t xml:space="preserve">进行评审</w:t>
            </w:r>
            <w:r>
              <w:rPr>
                <w:rFonts w:hint="eastAsia" w:ascii="宋体" w:hAnsi="宋体" w:eastAsia="宋体" w:cs="Times New Roman"/>
                <w:color w:val="000000"/>
                <w:sz w:val="24"/>
                <w:szCs w:val="24"/>
                <w:highlight w:val="none"/>
                <w:lang w:val="en-US" w:eastAsia="zh-CN" w:bidi="ar-SA"/>
              </w:rPr>
            </w:r>
            <w:r/>
          </w:p>
        </w:tc>
      </w:tr>
      <w:tr>
        <w:trPr>
          <w:trHeight w:val="475"/>
        </w:trPr>
        <w:tc>
          <w:tcPr>
            <w:gridSpan w:val="2"/>
            <w:tcW w:w="1974"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合计</w:t>
            </w:r>
            <w:r>
              <w:rPr>
                <w:rFonts w:ascii="宋体" w:hAnsi="宋体" w:eastAsia="宋体" w:cs="Times New Roman"/>
                <w:b/>
                <w:bCs/>
                <w:color w:val="000000"/>
                <w:sz w:val="24"/>
                <w:szCs w:val="24"/>
                <w:highlight w:val="none"/>
              </w:rPr>
            </w:r>
            <w:r/>
          </w:p>
        </w:tc>
        <w:tc>
          <w:tcPr>
            <w:tcW w:w="851" w:type="dxa"/>
            <w:vAlign w:val="center"/>
            <w:textDirection w:val="lrTb"/>
            <w:noWrap w:val="false"/>
          </w:tcPr>
          <w:p>
            <w:pPr>
              <w:pStyle w:val="1010"/>
              <w:ind w:firstLine="28"/>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t xml:space="preserve">100</w:t>
            </w:r>
            <w:r>
              <w:rPr>
                <w:rFonts w:ascii="宋体" w:hAnsi="宋体" w:eastAsia="宋体" w:cs="Times New Roman"/>
                <w:b/>
                <w:bCs/>
                <w:color w:val="000000"/>
                <w:sz w:val="24"/>
                <w:szCs w:val="24"/>
                <w:highlight w:val="none"/>
              </w:rPr>
            </w:r>
            <w:r/>
          </w:p>
        </w:tc>
        <w:tc>
          <w:tcPr>
            <w:gridSpan w:val="2"/>
            <w:tcW w:w="6738" w:type="dxa"/>
            <w:vAlign w:val="center"/>
            <w:textDirection w:val="lrTb"/>
            <w:noWrap w:val="false"/>
          </w:tcPr>
          <w:p>
            <w:pPr>
              <w:pStyle w:val="1010"/>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p>
        </w:tc>
      </w:tr>
    </w:tbl>
    <w:p>
      <w:pPr>
        <w:pStyle w:val="1010"/>
        <w:numPr>
          <w:ilvl w:val="0"/>
          <w:numId w:val="0"/>
        </w:numPr>
        <w:jc w:val="left"/>
        <w:widowControl/>
        <w:rPr>
          <w:rFonts w:ascii="宋体" w:hAnsi="宋体"/>
          <w:b/>
          <w:color w:val="000000"/>
          <w:sz w:val="24"/>
          <w:highlight w:val="none"/>
        </w:rPr>
      </w:pPr>
      <w:r>
        <w:rPr>
          <w:rFonts w:ascii="宋体" w:hAnsi="宋体"/>
          <w:b/>
          <w:color w:val="000000"/>
          <w:sz w:val="24"/>
          <w:highlight w:val="none"/>
        </w:rPr>
      </w:r>
      <w:r/>
    </w:p>
    <w:p>
      <w:pPr>
        <w:pStyle w:val="1010"/>
        <w:ind w:firstLine="480"/>
        <w:jc w:val="left"/>
        <w:spacing w:line="312"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注：1.评分细则中要求提供的证明文件及资料等在投标文件中提供电子扫描件，并加盖公章。</w:t>
      </w:r>
      <w:r>
        <w:rPr>
          <w:rFonts w:ascii="宋体" w:hAnsi="宋体" w:cs="宋体"/>
          <w:bCs/>
          <w:color w:val="000000"/>
          <w:sz w:val="24"/>
          <w:highlight w:val="none"/>
        </w:rPr>
      </w:r>
      <w:r/>
    </w:p>
    <w:p>
      <w:pPr>
        <w:pStyle w:val="1010"/>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评审时，未能按以上要求提供相应证明的，不作为评审依据，不得分。</w:t>
      </w:r>
      <w:r>
        <w:rPr>
          <w:rFonts w:hint="eastAsia" w:ascii="宋体" w:hAnsi="宋体" w:cs="宋体"/>
          <w:bCs/>
          <w:color w:val="000000"/>
          <w:sz w:val="24"/>
          <w:highlight w:val="none"/>
        </w:rPr>
      </w:r>
      <w:r/>
    </w:p>
    <w:p>
      <w:pPr>
        <w:pStyle w:val="1010"/>
        <w:numPr>
          <w:ilvl w:val="0"/>
          <w:numId w:val="8"/>
        </w:numPr>
        <w:ind w:firstLine="960"/>
        <w:jc w:val="left"/>
        <w:spacing w:line="312"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便于评审，请投标人在偏离表中逐条列出技术参数证明材料所在页码，因未列明所在页码而造成的后果由投标人自行承担。</w:t>
      </w:r>
      <w:r>
        <w:rPr>
          <w:rFonts w:hint="eastAsia" w:ascii="宋体" w:hAnsi="宋体" w:cs="宋体"/>
          <w:bCs/>
          <w:color w:val="000000"/>
          <w:sz w:val="24"/>
          <w:highlight w:val="none"/>
        </w:rPr>
      </w:r>
      <w:r/>
    </w:p>
    <w:p>
      <w:pPr>
        <w:pStyle w:val="101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28172"/>
      <w:r/>
      <w:bookmarkStart w:id="826" w:name="_Toc1962"/>
      <w:r>
        <w:rPr>
          <w:rFonts w:ascii="宋体" w:hAnsi="宋体"/>
          <w:b/>
          <w:color w:val="000000"/>
          <w:sz w:val="36"/>
          <w:szCs w:val="36"/>
          <w:highlight w:val="none"/>
        </w:rPr>
        <w:t xml:space="preserve">第五章   采购需求</w:t>
      </w:r>
      <w:bookmarkEnd w:id="825"/>
      <w:r/>
      <w:bookmarkEnd w:id="826"/>
      <w:r>
        <w:rPr>
          <w:rFonts w:ascii="宋体" w:hAnsi="宋体"/>
          <w:b/>
          <w:color w:val="000000"/>
          <w:sz w:val="36"/>
          <w:szCs w:val="36"/>
          <w:highlight w:val="none"/>
        </w:rPr>
      </w:r>
      <w:r/>
    </w:p>
    <w:p>
      <w:pPr>
        <w:pStyle w:val="1109"/>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bookmarkStart w:id="827" w:name="_Toc595"/>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常州市退役军人事务局慰问品采购项目</w:t>
      </w:r>
      <w:r>
        <w:rPr>
          <w:rFonts w:hint="eastAsia" w:ascii="宋体" w:hAnsi="宋体" w:eastAsia="宋体" w:cs="宋体"/>
          <w:bCs/>
          <w:color w:val="000000"/>
          <w:sz w:val="24"/>
          <w:szCs w:val="24"/>
          <w:highlight w:val="none"/>
          <w:lang w:val="en-US" w:eastAsia="zh-CN"/>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预算金额：201万元</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最高限价：</w:t>
      </w:r>
      <w:r>
        <w:rPr>
          <w:rFonts w:hint="eastAsia" w:ascii="宋体" w:hAnsi="宋体" w:eastAsia="宋体" w:cs="宋体"/>
          <w:bCs/>
          <w:color w:val="000000"/>
          <w:sz w:val="24"/>
          <w:szCs w:val="24"/>
          <w:highlight w:val="none"/>
          <w:lang w:val="en-US" w:eastAsia="zh-CN"/>
        </w:rPr>
        <w:t xml:space="preserve">本项目单价限价：350元/台 </w:t>
      </w:r>
      <w:r>
        <w:rPr>
          <w:rFonts w:ascii="宋体" w:hAnsi="宋体" w:eastAsia="宋体" w:cs="宋体"/>
          <w:bCs/>
          <w:color w:val="000000"/>
          <w:sz w:val="24"/>
          <w:szCs w:val="24"/>
          <w:highlight w:val="none"/>
          <w:lang w:val="en-US" w:eastAsia="zh-CN"/>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项目概况：本项目为常州市退役军人事务局慰问品采购，慰问品为</w:t>
      </w:r>
      <w:r>
        <w:rPr>
          <w:rFonts w:hint="eastAsia" w:ascii="宋体" w:hAnsi="宋体" w:eastAsia="宋体" w:cs="宋体"/>
          <w:bCs/>
          <w:color w:val="000000"/>
          <w:sz w:val="24"/>
          <w:szCs w:val="24"/>
          <w:highlight w:val="none"/>
          <w:lang w:eastAsia="zh-CN"/>
        </w:rPr>
        <w:t xml:space="preserve">空气循环扇</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val="0"/>
          <w:color w:val="000000"/>
          <w:sz w:val="24"/>
          <w:szCs w:val="24"/>
          <w:highlight w:val="none"/>
          <w:lang w:val="en-US" w:eastAsia="zh-CN"/>
        </w:rPr>
        <w:t xml:space="preserve">具体</w:t>
      </w:r>
      <w:r>
        <w:rPr>
          <w:rFonts w:hint="eastAsia" w:ascii="宋体" w:hAnsi="宋体" w:eastAsia="宋体" w:cs="宋体"/>
          <w:bCs/>
          <w:color w:val="000000"/>
          <w:sz w:val="24"/>
          <w:szCs w:val="24"/>
          <w:highlight w:val="none"/>
        </w:rPr>
        <w:t xml:space="preserve">结算数量以采购人实际验收合格供货数量为准，项目最终结算总价不超过本项目核定预算总额。</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须全权负责本项目全部工作内容，包含但不限于本项目货物的货源组织、生产采购、标准化包装、仓储、全程运输、现场卸货搬运、货物就位摆放、运输保险、通电开机检测、售后质保、现场配合验收、备品备件及招标文件约定的全部配套服务，直至项目全部货物验收合格、交付采购人正常使用为止。</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合同签订生效后于2026年7月20日前完成全部货物送货就位、通电检测、完成整体验收交付。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是/否接受联合体投标：否</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rPr>
        <w:t xml:space="preserve">是/否接受分支机构参与响应：否</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rPr>
        <w:t xml:space="preserve">是/否属于政府购买服务：否</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rPr>
        <w:t xml:space="preserve">是/否接受进口产品投标：否</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10.</w:t>
      </w:r>
      <w:r>
        <w:rPr>
          <w:rFonts w:hint="eastAsia" w:ascii="宋体" w:hAnsi="宋体" w:eastAsia="宋体" w:cs="宋体"/>
          <w:bCs/>
          <w:color w:val="000000"/>
          <w:sz w:val="24"/>
          <w:szCs w:val="24"/>
          <w:highlight w:val="none"/>
        </w:rPr>
        <w:t xml:space="preserve">是/否专门面向中小企业预留采购份额：</w:t>
      </w:r>
      <w:r>
        <w:rPr>
          <w:rFonts w:hint="eastAsia" w:ascii="宋体" w:hAnsi="宋体" w:eastAsia="宋体" w:cs="宋体"/>
          <w:bCs/>
          <w:color w:val="000000"/>
          <w:sz w:val="24"/>
          <w:szCs w:val="24"/>
          <w:highlight w:val="none"/>
          <w:lang w:val="en-US" w:eastAsia="zh-CN"/>
        </w:rPr>
        <w:t xml:space="preserve">不专门中小企业预留份额。</w:t>
      </w:r>
      <w:r>
        <w:rPr>
          <w:rFonts w:hint="eastAsia" w:ascii="宋体" w:hAnsi="宋体" w:eastAsia="宋体" w:cs="宋体"/>
          <w:bCs/>
          <w:color w:val="000000"/>
          <w:sz w:val="24"/>
          <w:szCs w:val="24"/>
          <w:highlight w:val="none"/>
          <w:lang w:val="en-US" w:eastAsia="zh-CN"/>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11.</w:t>
      </w:r>
      <w:r>
        <w:rPr>
          <w:rFonts w:hint="eastAsia" w:ascii="宋体" w:hAnsi="宋体" w:eastAsia="宋体" w:cs="宋体"/>
          <w:bCs/>
          <w:color w:val="000000"/>
          <w:sz w:val="24"/>
          <w:szCs w:val="24"/>
          <w:highlight w:val="none"/>
        </w:rPr>
        <w:t xml:space="preserve">本项目的特定资格要求：无</w:t>
      </w:r>
      <w:r>
        <w:rPr>
          <w:rFonts w:hint="eastAsia" w:ascii="宋体" w:hAnsi="宋体" w:eastAsia="宋体" w:cs="宋体"/>
          <w:bCs/>
          <w:color w:val="000000"/>
          <w:sz w:val="24"/>
          <w:szCs w:val="24"/>
          <w:highlight w:val="none"/>
        </w:rPr>
      </w:r>
      <w:r/>
    </w:p>
    <w:p>
      <w:pPr>
        <w:pStyle w:val="1010"/>
        <w:numPr>
          <w:ilvl w:val="0"/>
          <w:numId w:val="0"/>
        </w:numPr>
        <w:contextualSpacing/>
        <w:ind w:left="0" w:firstLine="480"/>
        <w:jc w:val="both"/>
        <w:keepLines w:val="0"/>
        <w:keepNext w:val="0"/>
        <w:pageBreakBefore w:val="0"/>
        <w:spacing w:line="440" w:lineRule="exact"/>
        <w:widowControl w:val="off"/>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12.</w:t>
      </w:r>
      <w:r>
        <w:rPr>
          <w:rFonts w:hint="eastAsia" w:ascii="宋体" w:hAnsi="宋体" w:eastAsia="宋体" w:cs="宋体"/>
          <w:bCs/>
          <w:color w:val="000000"/>
          <w:sz w:val="24"/>
          <w:szCs w:val="24"/>
          <w:highlight w:val="none"/>
        </w:rPr>
        <w:t xml:space="preserve">项目类别：货物类</w:t>
      </w:r>
      <w:r>
        <w:rPr>
          <w:rFonts w:hint="eastAsia" w:ascii="宋体" w:hAnsi="宋体" w:eastAsia="宋体" w:cs="宋体"/>
          <w:bCs/>
          <w:color w:val="000000"/>
          <w:sz w:val="24"/>
          <w:szCs w:val="24"/>
          <w:highlight w:val="none"/>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1010"/>
        <w:contextualSpacing/>
        <w:ind w:left="0" w:firstLine="480"/>
        <w:jc w:val="both"/>
        <w:keepLines w:val="0"/>
        <w:keepNext w:val="0"/>
        <w:pageBreakBefore w:val="0"/>
        <w:spacing w:line="440" w:lineRule="exact"/>
        <w:rPr>
          <w:rFonts w:hint="eastAsia" w:ascii="宋体" w:hAnsi="宋体" w:eastAsia="宋体" w:cs="宋体"/>
          <w:i/>
          <w:color w:val="000000"/>
          <w:sz w:val="24"/>
          <w:szCs w:val="24"/>
          <w:highlight w:val="none"/>
        </w:rPr>
        <w:outlineLvl w:val="2"/>
      </w:pPr>
      <w:r>
        <w:rPr>
          <w:rFonts w:hint="eastAsia" w:ascii="宋体" w:hAnsi="宋体" w:eastAsia="宋体" w:cs="宋体"/>
          <w:color w:val="000000"/>
          <w:sz w:val="24"/>
          <w:szCs w:val="24"/>
          <w:highlight w:val="none"/>
        </w:rPr>
        <w:t xml:space="preserve">1.交付的时间和地点</w:t>
      </w:r>
      <w:r>
        <w:rPr>
          <w:rFonts w:hint="eastAsia" w:ascii="宋体" w:hAnsi="宋体" w:eastAsia="宋体" w:cs="宋体"/>
          <w:i/>
          <w:color w:val="000000"/>
          <w:sz w:val="24"/>
          <w:szCs w:val="24"/>
          <w:highlight w:val="none"/>
        </w:rPr>
      </w:r>
      <w:r/>
    </w:p>
    <w:p>
      <w:pPr>
        <w:pStyle w:val="1010"/>
        <w:contextualSpacing/>
        <w:ind w:left="0" w:firstLine="480"/>
        <w:jc w:val="both"/>
        <w:keepLines w:val="0"/>
        <w:keepNext w:val="0"/>
        <w:pageBreakBefore w:val="0"/>
        <w:spacing w:line="44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合同履约期限：</w:t>
      </w:r>
      <w:r>
        <w:rPr>
          <w:rFonts w:hint="eastAsia" w:ascii="宋体" w:hAnsi="宋体" w:eastAsia="宋体" w:cs="宋体"/>
          <w:bCs/>
          <w:color w:val="000000"/>
          <w:sz w:val="24"/>
          <w:szCs w:val="24"/>
          <w:highlight w:val="none"/>
          <w:lang w:eastAsia="zh-CN"/>
        </w:rPr>
        <w:t xml:space="preserve">合同签订生效后于2026年7月20日前完成全部货物送货就位、通电检测、完成整体验收交付。</w:t>
      </w:r>
      <w:r>
        <w:rPr>
          <w:rFonts w:hint="eastAsia" w:ascii="宋体" w:hAnsi="宋体" w:eastAsia="宋体" w:cs="宋体"/>
          <w:bCs/>
          <w:color w:val="000000"/>
          <w:sz w:val="24"/>
          <w:szCs w:val="24"/>
          <w:highlight w:val="none"/>
          <w:lang w:eastAsia="zh-CN"/>
        </w:rPr>
      </w:r>
      <w:r/>
    </w:p>
    <w:p>
      <w:pPr>
        <w:pStyle w:val="1010"/>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合同履约地址：采购人指定地点（具体地点为常州市城区范围内）。</w:t>
      </w:r>
      <w:r>
        <w:rPr>
          <w:rFonts w:hint="eastAsia" w:ascii="宋体" w:hAnsi="宋体" w:eastAsia="宋体" w:cs="宋体"/>
          <w:color w:val="000000"/>
          <w:sz w:val="24"/>
          <w:szCs w:val="24"/>
          <w:highlight w:val="none"/>
        </w:rPr>
      </w:r>
      <w:r/>
    </w:p>
    <w:p>
      <w:pPr>
        <w:pStyle w:val="1010"/>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交货及运输要求：</w:t>
      </w:r>
      <w:r>
        <w:rPr>
          <w:rFonts w:hint="eastAsia" w:ascii="宋体" w:hAnsi="宋体" w:eastAsia="宋体" w:cs="宋体"/>
          <w:color w:val="000000"/>
          <w:sz w:val="24"/>
          <w:szCs w:val="24"/>
          <w:highlight w:val="none"/>
          <w:lang w:val="en-US" w:eastAsia="zh-CN"/>
        </w:rPr>
        <w:t xml:space="preserve">中标供应商负责完成全部货物的包装、运输、卸货、搬运、就位摆放，全过程产生的运输费、装卸费、保险费、人工费、二次转运费等所有费用，均包含在投标报价中，采购人不另行支付。货物运输、装卸过程中产生的破损、遗失、磕碰等一切风险及损失均由中标供应商自行承担。</w:t>
      </w:r>
      <w:r>
        <w:rPr>
          <w:rFonts w:hint="eastAsia" w:ascii="宋体" w:hAnsi="宋体" w:eastAsia="宋体" w:cs="宋体"/>
          <w:color w:val="000000"/>
          <w:sz w:val="24"/>
          <w:szCs w:val="24"/>
          <w:highlight w:val="none"/>
        </w:rPr>
      </w:r>
      <w:r/>
    </w:p>
    <w:p>
      <w:pPr>
        <w:pStyle w:val="1010"/>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p>
      <w:pPr>
        <w:pStyle w:val="1010"/>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zh-CN"/>
        </w:rPr>
        <w:t xml:space="preserve">本项目采用固定单价、含税包干、按实结算模式，最终结算数量以采购人实际验收合格数量为准，最终结算总价不超过项目预算总额。</w:t>
      </w:r>
      <w:r>
        <w:rPr>
          <w:rFonts w:hint="eastAsia" w:ascii="宋体" w:hAnsi="宋体" w:eastAsia="宋体" w:cs="宋体"/>
          <w:color w:val="000000"/>
          <w:sz w:val="24"/>
          <w:szCs w:val="24"/>
          <w:highlight w:val="none"/>
          <w:lang w:val="zh-CN"/>
        </w:rPr>
      </w:r>
      <w:r/>
    </w:p>
    <w:p>
      <w:pPr>
        <w:pStyle w:val="1010"/>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szCs w:val="24"/>
          <w:highlight w:val="none"/>
          <w:lang w:val="zh-CN"/>
        </w:rPr>
        <w:t xml:space="preserve">本项目分</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lang w:val="zh-CN"/>
        </w:rPr>
        <w:t xml:space="preserve">期付款，具体支付阶段如下：</w:t>
      </w:r>
      <w:r>
        <w:rPr>
          <w:rFonts w:hint="eastAsia" w:ascii="宋体" w:hAnsi="宋体" w:eastAsia="宋体" w:cs="宋体"/>
          <w:color w:val="000000"/>
          <w:sz w:val="24"/>
          <w:szCs w:val="24"/>
          <w:highlight w:val="none"/>
          <w:lang w:val="zh-CN"/>
        </w:rPr>
      </w:r>
      <w:r/>
    </w:p>
    <w:p>
      <w:pPr>
        <w:pStyle w:val="1010"/>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第一期：第一期预付款：合同签订生效后，中标供应商提交合规等额增值税有效发票后，采购人支付合同暂定总金额的30%；</w:t>
      </w:r>
      <w:r>
        <w:rPr>
          <w:rFonts w:hint="eastAsia" w:ascii="宋体" w:hAnsi="宋体" w:eastAsia="宋体" w:cs="宋体"/>
          <w:color w:val="000000"/>
          <w:sz w:val="24"/>
          <w:szCs w:val="24"/>
          <w:highlight w:val="none"/>
          <w:lang w:val="zh-CN"/>
        </w:rPr>
      </w:r>
      <w:r/>
    </w:p>
    <w:p>
      <w:pPr>
        <w:pStyle w:val="1010"/>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第二期：</w:t>
      </w:r>
      <w:r>
        <w:rPr>
          <w:rFonts w:hint="eastAsia" w:ascii="宋体" w:hAnsi="宋体" w:eastAsia="宋体" w:cs="宋体"/>
          <w:color w:val="000000"/>
          <w:sz w:val="24"/>
          <w:szCs w:val="24"/>
          <w:highlight w:val="none"/>
          <w:lang w:val="en-US" w:eastAsia="zh-CN"/>
        </w:rPr>
        <w:t xml:space="preserve">项目全部供货完成、验收合格、资料齐全归档后，中标供应商提交剩余金额合规等额增值税有效发票，采购人结清全部剩余尾款。</w:t>
      </w:r>
      <w:r>
        <w:rPr>
          <w:rFonts w:hint="eastAsia" w:ascii="宋体" w:hAnsi="宋体" w:eastAsia="宋体" w:cs="宋体"/>
          <w:color w:val="000000"/>
          <w:sz w:val="24"/>
          <w:szCs w:val="24"/>
          <w:highlight w:val="none"/>
          <w:lang w:val="zh-CN"/>
        </w:rPr>
      </w:r>
      <w:r/>
    </w:p>
    <w:p>
      <w:pPr>
        <w:pStyle w:val="1010"/>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所有付款流程严格按照采购人及财政资金支付流程执行，投标人不得以此提出逾期付款违约、利息补偿等诉求。</w:t>
      </w:r>
      <w:r>
        <w:rPr>
          <w:rFonts w:hint="eastAsia" w:ascii="宋体" w:hAnsi="宋体" w:eastAsia="宋体" w:cs="宋体"/>
          <w:color w:val="000000"/>
          <w:sz w:val="24"/>
          <w:szCs w:val="24"/>
          <w:highlight w:val="none"/>
          <w:lang w:val="zh-CN"/>
        </w:rPr>
      </w:r>
      <w:r/>
    </w:p>
    <w:p>
      <w:pPr>
        <w:pStyle w:val="1010"/>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3.售后服务</w:t>
      </w:r>
      <w:r>
        <w:rPr>
          <w:rFonts w:hint="eastAsia" w:ascii="宋体" w:hAnsi="宋体" w:eastAsia="宋体" w:cs="宋体"/>
          <w:color w:val="000000"/>
          <w:sz w:val="24"/>
          <w:szCs w:val="24"/>
          <w:highlight w:val="none"/>
        </w:rPr>
      </w:r>
      <w:r/>
    </w:p>
    <w:p>
      <w:pPr>
        <w:pStyle w:val="1010"/>
        <w:ind w:left="0" w:firstLine="482"/>
        <w:jc w:val="both"/>
        <w:keepLines w:val="0"/>
        <w:keepNext w:val="0"/>
        <w:pageBreakBefore w:val="0"/>
        <w:spacing w:line="440" w:lineRule="exact"/>
        <w:widowControl/>
        <w:rPr>
          <w:rFonts w:hint="eastAsia" w:ascii="宋体" w:hAnsi="宋体" w:eastAsia="宋体" w:cs="宋体"/>
          <w:b/>
          <w:bCs/>
          <w:color w:val="000000"/>
          <w:sz w:val="24"/>
          <w:szCs w:val="24"/>
          <w:highlight w:val="none"/>
          <w:lang w:bidi="ar"/>
        </w:rPr>
        <w:outlineLvl w:val="3"/>
      </w:pPr>
      <w:r>
        <w:rPr>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color w:val="000000"/>
          <w:sz w:val="24"/>
          <w:szCs w:val="24"/>
          <w:highlight w:val="none"/>
          <w:lang w:bidi="ar"/>
        </w:rPr>
        <w:t xml:space="preserve">质保期</w:t>
      </w:r>
      <w:r>
        <w:rPr>
          <w:rFonts w:hint="eastAsia" w:ascii="宋体" w:hAnsi="宋体" w:eastAsia="宋体" w:cs="宋体"/>
          <w:b/>
          <w:bCs/>
          <w:color w:val="000000"/>
          <w:sz w:val="24"/>
          <w:szCs w:val="24"/>
          <w:highlight w:val="none"/>
          <w:lang w:bidi="ar"/>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自项目整体验收合格之日起计算：设备整机质保≥1年。质保期内，因产品质量问题产生的维修、配件更换、返工、上门服务、运输等全部费用均由中标供应商全额承担。</w:t>
      </w:r>
      <w:r>
        <w:rPr>
          <w:rFonts w:hint="eastAsia" w:ascii="宋体" w:hAnsi="宋体" w:eastAsia="宋体" w:cs="宋体"/>
          <w:color w:val="000000"/>
          <w:sz w:val="24"/>
          <w:szCs w:val="24"/>
          <w:highlight w:val="none"/>
          <w:lang w:val="en-US" w:eastAsia="zh-CN" w:bidi="ar"/>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）售后服务</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① </w:t>
      </w:r>
      <w:r>
        <w:rPr>
          <w:rFonts w:hint="eastAsia" w:ascii="宋体" w:hAnsi="宋体" w:eastAsia="宋体" w:cs="宋体"/>
          <w:color w:val="000000"/>
          <w:sz w:val="24"/>
          <w:szCs w:val="24"/>
          <w:highlight w:val="none"/>
          <w:lang w:bidi="ar"/>
        </w:rPr>
        <w:t xml:space="preserve">所有的售后服务均由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供应商受理，如发现所提供的货物存在问题，需要</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供应商解决或配合解决时，应在接到通知后48小时内派有关人员到达现场</w:t>
      </w:r>
      <w:r>
        <w:rPr>
          <w:rFonts w:hint="eastAsia" w:ascii="宋体" w:hAnsi="宋体" w:eastAsia="宋体" w:cs="宋体"/>
          <w:color w:val="000000"/>
          <w:sz w:val="24"/>
          <w:szCs w:val="24"/>
          <w:highlight w:val="none"/>
          <w:lang w:val="en-US" w:eastAsia="zh-CN" w:bidi="ar"/>
        </w:rPr>
        <w:t xml:space="preserve">解决处理</w:t>
      </w:r>
      <w:r>
        <w:rPr>
          <w:rFonts w:hint="eastAsia" w:ascii="宋体" w:hAnsi="宋体" w:eastAsia="宋体" w:cs="宋体"/>
          <w:color w:val="000000"/>
          <w:sz w:val="24"/>
          <w:szCs w:val="24"/>
          <w:highlight w:val="none"/>
          <w:lang w:bidi="ar"/>
        </w:rPr>
        <w:t xml:space="preserve">。否则，采购人有权自行派人进行修复，发生的费用由</w:t>
      </w:r>
      <w:r>
        <w:rPr>
          <w:rFonts w:hint="eastAsia" w:ascii="宋体" w:hAnsi="宋体" w:eastAsia="宋体" w:cs="宋体"/>
          <w:color w:val="000000"/>
          <w:sz w:val="24"/>
          <w:szCs w:val="24"/>
          <w:highlight w:val="none"/>
          <w:lang w:val="en-US" w:eastAsia="zh-CN" w:bidi="ar"/>
        </w:rPr>
        <w:t xml:space="preserve">中标</w:t>
      </w:r>
      <w:r>
        <w:rPr>
          <w:rFonts w:hint="eastAsia" w:ascii="宋体" w:hAnsi="宋体" w:eastAsia="宋体" w:cs="宋体"/>
          <w:color w:val="000000"/>
          <w:sz w:val="24"/>
          <w:szCs w:val="24"/>
          <w:highlight w:val="none"/>
          <w:lang w:bidi="ar"/>
        </w:rPr>
        <w:t xml:space="preserve">供应商承担。</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质保期内因产品质量缺陷导致故障、零部件损坏、无法正常使用的，中标供应商须无条件免费维修、免费更换全新正品配件或整机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质保期内提供常态化技术咨询、使用指导服务，确保采购人正常、稳定使用设备。</w:t>
      </w:r>
      <w:r>
        <w:rPr>
          <w:rFonts w:hint="eastAsia" w:ascii="宋体" w:hAnsi="宋体" w:eastAsia="宋体" w:cs="宋体"/>
          <w:color w:val="000000"/>
          <w:sz w:val="24"/>
          <w:szCs w:val="24"/>
          <w:highlight w:val="none"/>
          <w:lang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三、技术参数要求</w:t>
      </w:r>
      <w:r>
        <w:rPr>
          <w:rFonts w:hint="eastAsia" w:ascii="宋体" w:hAnsi="宋体" w:eastAsia="宋体" w:cs="宋体"/>
          <w:b/>
          <w:color w:val="000000"/>
          <w:sz w:val="24"/>
          <w:szCs w:val="24"/>
          <w:highlight w:val="none"/>
          <w:lang w:val="en-US" w:eastAsia="zh-CN" w:bidi="ar-SA"/>
        </w:rPr>
      </w:r>
      <w:r/>
    </w:p>
    <w:p>
      <w:pPr>
        <w:pStyle w:val="1010"/>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8" w:name="heading_2"/>
      <w:r>
        <w:rPr>
          <w:rFonts w:hint="eastAsia" w:ascii="宋体" w:hAnsi="宋体" w:eastAsia="宋体" w:cs="宋体"/>
          <w:b/>
          <w:color w:val="000000"/>
          <w:sz w:val="24"/>
          <w:szCs w:val="24"/>
          <w:highlight w:val="none"/>
          <w:lang w:val="en-US" w:eastAsia="zh-CN"/>
        </w:rPr>
        <w:t xml:space="preserve">（一）基本参数</w:t>
      </w:r>
      <w:r>
        <w:rPr>
          <w:rFonts w:hint="eastAsia" w:ascii="宋体" w:hAnsi="宋体" w:eastAsia="宋体" w:cs="宋体"/>
          <w:b/>
          <w:color w:val="000000"/>
          <w:sz w:val="24"/>
          <w:szCs w:val="24"/>
          <w:highlight w:val="none"/>
        </w:rPr>
        <w:t xml:space="preserve">要求</w:t>
      </w:r>
      <w:bookmarkEnd w:id="828"/>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产品类型：</w:t>
      </w:r>
      <w:r>
        <w:rPr>
          <w:rFonts w:hint="eastAsia" w:ascii="宋体" w:hAnsi="宋体" w:eastAsia="宋体" w:cs="宋体"/>
          <w:color w:val="000000"/>
          <w:sz w:val="24"/>
          <w:szCs w:val="24"/>
          <w:highlight w:val="none"/>
          <w:lang w:eastAsia="zh-CN"/>
        </w:rPr>
        <w:t xml:space="preserve">空气循环扇，具备落地/台立两用功能（通过拆卸或伸缩立柱转换）。</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电源规格：额定电压220V、额定频率50Hz，适配民用常规供电标准。</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3、额定功率：≤35W，节能低耗。 </w:t>
      </w:r>
      <w:r>
        <w:rPr>
          <w:rFonts w:ascii="宋体" w:hAnsi="宋体" w:eastAsia="宋体" w:cs="宋体"/>
          <w:color w:val="000000"/>
          <w:sz w:val="24"/>
          <w:szCs w:val="24"/>
          <w:highlight w:val="none"/>
          <w:lang w:val="en-US" w:eastAsia="zh-CN"/>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电机性能：采用直流变频电机或直流无刷电机，运行稳定、节能省电，具备过热自动断电保护功能，防止电机烧毁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扇叶与网罩：扇叶数量≥ 3 片，采用环保塑料材质（如 ABS、PP 等），要求韧性强、不易变形、表面光滑易清洁；网罩为金属加密安全网罩，网孔细密、有效防夹手，边缘光滑无毛刺，便于拆卸清洁。</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风速</w:t>
      </w:r>
      <w:r>
        <w:rPr>
          <w:rFonts w:hint="eastAsia" w:ascii="宋体" w:hAnsi="宋体" w:eastAsia="宋体" w:cs="宋体"/>
          <w:color w:val="000000"/>
          <w:sz w:val="24"/>
          <w:szCs w:val="24"/>
          <w:highlight w:val="none"/>
          <w:lang w:val="en-US" w:eastAsia="zh-CN"/>
        </w:rPr>
        <w:t xml:space="preserve">档位</w:t>
      </w:r>
      <w:r>
        <w:rPr>
          <w:rFonts w:hint="eastAsia" w:ascii="宋体" w:hAnsi="宋体" w:eastAsia="宋体" w:cs="宋体"/>
          <w:color w:val="000000"/>
          <w:sz w:val="24"/>
          <w:szCs w:val="24"/>
          <w:highlight w:val="none"/>
        </w:rPr>
        <w:t xml:space="preserve">：风速档位≥</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档</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7、最大风量：≥16立方米/分钟</w:t>
      </w:r>
      <w:r>
        <w:rPr>
          <w:rFonts w:ascii="宋体" w:hAnsi="宋体" w:eastAsia="宋体" w:cs="宋体"/>
          <w:color w:val="000000"/>
          <w:sz w:val="24"/>
          <w:szCs w:val="24"/>
          <w:highlight w:val="none"/>
          <w:lang w:val="en-US" w:eastAsia="zh-CN"/>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摇头</w:t>
      </w:r>
      <w:r>
        <w:rPr>
          <w:rFonts w:hint="eastAsia" w:ascii="宋体" w:hAnsi="宋体" w:eastAsia="宋体" w:cs="宋体"/>
          <w:color w:val="000000"/>
          <w:sz w:val="24"/>
          <w:szCs w:val="24"/>
          <w:highlight w:val="none"/>
          <w:lang w:val="en-US" w:eastAsia="zh-CN"/>
        </w:rPr>
        <w:t xml:space="preserve">范围</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en-US" w:eastAsia="zh-CN"/>
        </w:rPr>
        <w:t xml:space="preserve">自动摇头，</w:t>
      </w:r>
      <w:r>
        <w:rPr>
          <w:rFonts w:hint="eastAsia" w:ascii="宋体" w:hAnsi="宋体" w:eastAsia="宋体" w:cs="宋体"/>
          <w:color w:val="000000"/>
          <w:sz w:val="24"/>
          <w:szCs w:val="24"/>
          <w:highlight w:val="none"/>
        </w:rPr>
        <w:t xml:space="preserve">左右摇头角度≥</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上下</w:t>
      </w:r>
      <w:r>
        <w:rPr>
          <w:rFonts w:hint="eastAsia" w:ascii="宋体" w:hAnsi="宋体" w:eastAsia="宋体" w:cs="宋体"/>
          <w:color w:val="000000"/>
          <w:sz w:val="24"/>
          <w:szCs w:val="24"/>
          <w:highlight w:val="none"/>
          <w:lang w:val="en-US" w:eastAsia="zh-CN"/>
        </w:rPr>
        <w:t xml:space="preserve">摇头</w:t>
      </w:r>
      <w:r>
        <w:rPr>
          <w:rFonts w:hint="eastAsia" w:ascii="宋体" w:hAnsi="宋体" w:eastAsia="宋体" w:cs="宋体"/>
          <w:color w:val="000000"/>
          <w:sz w:val="24"/>
          <w:szCs w:val="24"/>
          <w:highlight w:val="none"/>
        </w:rPr>
        <w:t xml:space="preserve">角度≥</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定时功能：具备电子定时功能，定时范围≥7小时</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控制方式：至少具备语音控制+遥控器+机身触控/按键三种方式</w:t>
      </w:r>
      <w:r>
        <w:rPr>
          <w:rFonts w:hint="eastAsia" w:ascii="宋体" w:hAnsi="宋体" w:eastAsia="宋体" w:cs="宋体"/>
          <w:color w:val="000000"/>
          <w:sz w:val="24"/>
          <w:szCs w:val="24"/>
          <w:highlight w:val="none"/>
        </w:rPr>
      </w:r>
      <w:r/>
    </w:p>
    <w:p>
      <w:pPr>
        <w:pStyle w:val="1010"/>
        <w:ind w:left="479" w:firstLine="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★11、运行噪音：在最低风速档位下，运行噪音≤25 dB(A)（以第三方检测报告为准）★12、能效等级：一级能效，节能指标符合国家标准</w:t>
      </w:r>
      <w:r>
        <w:rPr>
          <w:rFonts w:hint="eastAsia" w:ascii="宋体" w:hAnsi="宋体" w:eastAsia="宋体" w:cs="宋体"/>
          <w:color w:val="000000"/>
          <w:sz w:val="24"/>
          <w:szCs w:val="24"/>
          <w:highlight w:val="none"/>
          <w:lang w:val="en-US" w:eastAsia="zh-CN"/>
        </w:rPr>
      </w:r>
      <w:r/>
    </w:p>
    <w:p>
      <w:pPr>
        <w:pStyle w:val="1010"/>
        <w:numPr>
          <w:ilvl w:val="0"/>
          <w:numId w:val="0"/>
        </w:numPr>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US" w:eastAsia="zh-CN"/>
        </w:rPr>
        <w:t xml:space="preserve">电源线规格：电源线有效长度≥1.5m，满足日常摆放使用需求</w:t>
      </w:r>
      <w:r>
        <w:rPr>
          <w:rFonts w:hint="eastAsia" w:ascii="宋体" w:hAnsi="宋体" w:eastAsia="宋体" w:cs="宋体"/>
          <w:color w:val="000000"/>
          <w:sz w:val="24"/>
          <w:szCs w:val="24"/>
          <w:highlight w:val="none"/>
          <w:lang w:val="en-US" w:eastAsia="zh-CN"/>
        </w:rPr>
      </w:r>
      <w:r/>
    </w:p>
    <w:p>
      <w:pPr>
        <w:pStyle w:val="1010"/>
        <w:numPr>
          <w:ilvl w:val="0"/>
          <w:numId w:val="0"/>
        </w:numPr>
        <w:ind w:left="0" w:firstLine="480"/>
        <w:jc w:val="both"/>
        <w:keepLines w:val="0"/>
        <w:keepNext w:val="0"/>
        <w:pageBreakBefore w:val="0"/>
        <w:spacing w:line="440" w:lineRule="exact"/>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14、附加功能：具备抗菌功能（抗菌滤网/抗菌扇叶）或负离子净化或驱蚊香熏等功能</w:t>
      </w:r>
      <w:r>
        <w:rPr>
          <w:rFonts w:ascii="宋体" w:hAnsi="宋体" w:eastAsia="宋体" w:cs="宋体"/>
          <w:color w:val="000000"/>
          <w:sz w:val="24"/>
          <w:szCs w:val="24"/>
          <w:highlight w:val="none"/>
          <w:lang w:val="en-US" w:eastAsia="zh-CN"/>
        </w:rPr>
      </w:r>
      <w:r/>
    </w:p>
    <w:p>
      <w:pPr>
        <w:pStyle w:val="1010"/>
        <w:ind w:left="0" w:firstLine="482"/>
        <w:jc w:val="both"/>
        <w:keepLines w:val="0"/>
        <w:keepNext w:val="0"/>
        <w:pageBreakBefore w:val="0"/>
        <w:spacing w:line="440" w:lineRule="exact"/>
        <w:widowControl w:val="off"/>
        <w:rPr>
          <w:rFonts w:hint="eastAsia" w:ascii="宋体" w:hAnsi="宋体" w:eastAsia="宋体" w:cs="宋体"/>
          <w:color w:val="000000"/>
          <w:sz w:val="24"/>
          <w:szCs w:val="24"/>
          <w:highlight w:val="none"/>
        </w:rPr>
        <w:outlineLvl w:val="2"/>
      </w:pPr>
      <w:r/>
      <w:bookmarkStart w:id="829" w:name="heading_4"/>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产品</w:t>
      </w:r>
      <w:r>
        <w:rPr>
          <w:rFonts w:hint="eastAsia" w:ascii="宋体" w:hAnsi="宋体" w:eastAsia="宋体" w:cs="宋体"/>
          <w:b/>
          <w:color w:val="000000"/>
          <w:sz w:val="24"/>
          <w:szCs w:val="24"/>
          <w:highlight w:val="none"/>
        </w:rPr>
        <w:t xml:space="preserve">要求</w:t>
      </w:r>
      <w:bookmarkEnd w:id="829"/>
      <w:r>
        <w:rPr>
          <w:rFonts w:hint="eastAsia" w:ascii="宋体" w:hAnsi="宋体" w:eastAsia="宋体" w:cs="宋体"/>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1、投标人所投</w:t>
      </w:r>
      <w:r>
        <w:rPr>
          <w:rFonts w:hint="eastAsia" w:ascii="宋体" w:hAnsi="宋体" w:eastAsia="宋体" w:cs="宋体"/>
          <w:color w:val="000000"/>
          <w:sz w:val="24"/>
          <w:szCs w:val="24"/>
          <w:highlight w:val="none"/>
        </w:rPr>
        <w:t xml:space="preserve">所有产品均须</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原厂原装的合格产品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证正品、具有正规的进货渠道、全新未使用，拒绝无中文标明的产品名称、生产厂厂名和厂址的“三无产品”。供货时能提供所供物品的进货发票以供采购人查验。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等各类验收。如采购人发现有任何产品缺陷，供应商应以同样产品规格于采购人商定的时间内更换。</w:t>
      </w:r>
      <w:r>
        <w:rPr>
          <w:rFonts w:hint="eastAsia" w:ascii="宋体" w:hAnsi="宋体" w:eastAsia="宋体" w:cs="宋体"/>
          <w:color w:val="000000"/>
          <w:sz w:val="24"/>
          <w:szCs w:val="24"/>
          <w:highlight w:val="none"/>
        </w:rPr>
      </w:r>
      <w:r/>
    </w:p>
    <w:p>
      <w:pPr>
        <w:pStyle w:val="1010"/>
        <w:ind w:left="0"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本项目所投产品须具备3C强制认证证书，并提供能效等级检测报告（符合一级能效）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投标人需提供经中国合格评定国家认可委员会（CNAS）认可的第三方检测机构</w:t>
      </w:r>
      <w:r>
        <w:rPr>
          <w:rFonts w:hint="eastAsia" w:ascii="宋体" w:hAnsi="宋体" w:eastAsia="宋体" w:cs="宋体"/>
          <w:b/>
          <w:bCs/>
          <w:color w:val="000000"/>
          <w:sz w:val="24"/>
          <w:szCs w:val="24"/>
          <w:highlight w:val="none"/>
        </w:rPr>
        <w:t xml:space="preserve">出具的</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检测报告（检测报告中载明的产品型号须与投标人所投产品型号一致。检测项目应至少包含噪音、风速、能效、安全性能，各项检测结果均须符合本项目技术参数要求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本项为实质性要求，</w:t>
      </w:r>
      <w:r>
        <w:rPr>
          <w:rFonts w:hint="eastAsia" w:ascii="宋体" w:hAnsi="宋体" w:eastAsia="宋体" w:cs="宋体"/>
          <w:b/>
          <w:bCs/>
          <w:color w:val="000000"/>
          <w:sz w:val="24"/>
          <w:szCs w:val="24"/>
          <w:highlight w:val="none"/>
        </w:rPr>
        <w:t xml:space="preserve">若不满足则为无效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须</w:t>
      </w:r>
      <w:r>
        <w:rPr>
          <w:rFonts w:hint="eastAsia" w:ascii="宋体" w:hAnsi="宋体" w:eastAsia="宋体" w:cs="宋体"/>
          <w:b/>
          <w:bCs/>
          <w:color w:val="000000"/>
          <w:sz w:val="24"/>
          <w:szCs w:val="24"/>
          <w:highlight w:val="none"/>
          <w:lang w:eastAsia="zh-CN"/>
        </w:rPr>
        <w:t xml:space="preserve">提供</w:t>
      </w:r>
      <w:r>
        <w:rPr>
          <w:rFonts w:hint="eastAsia" w:ascii="宋体" w:hAnsi="宋体" w:eastAsia="宋体" w:cs="宋体"/>
          <w:b/>
          <w:bCs/>
          <w:color w:val="000000"/>
          <w:sz w:val="24"/>
          <w:szCs w:val="24"/>
          <w:highlight w:val="none"/>
        </w:rPr>
        <w:t xml:space="preserve">产品</w:t>
      </w:r>
      <w:r>
        <w:rPr>
          <w:rFonts w:hint="eastAsia" w:ascii="宋体" w:hAnsi="宋体" w:eastAsia="宋体" w:cs="宋体"/>
          <w:b/>
          <w:bCs/>
          <w:color w:val="000000"/>
          <w:sz w:val="24"/>
          <w:szCs w:val="24"/>
          <w:highlight w:val="none"/>
          <w:lang w:val="en-US" w:eastAsia="zh-CN"/>
        </w:rPr>
        <w:t xml:space="preserve">经认证认可的检测报告</w:t>
      </w:r>
      <w:r>
        <w:rPr>
          <w:rFonts w:hint="eastAsia" w:ascii="宋体" w:hAnsi="宋体" w:eastAsia="宋体" w:cs="宋体"/>
          <w:b/>
          <w:bCs/>
          <w:color w:val="000000"/>
          <w:sz w:val="24"/>
          <w:szCs w:val="24"/>
          <w:highlight w:val="none"/>
        </w:rPr>
        <w:t xml:space="preserve">并加盖</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应保证采购人在使用其所供货物时不受第三方提出侵犯其专利权、著作权和工业产权等知识产权的起诉。一旦出现侵权，一律由</w:t>
      </w:r>
      <w:r>
        <w:rPr>
          <w:rFonts w:hint="eastAsia" w:ascii="宋体" w:hAnsi="宋体" w:eastAsia="宋体" w:cs="宋体"/>
          <w:color w:val="000000"/>
          <w:sz w:val="24"/>
          <w:szCs w:val="24"/>
          <w:highlight w:val="none"/>
          <w:lang w:val="en-US" w:eastAsia="zh-CN"/>
        </w:rPr>
        <w:t xml:space="preserve">中标供</w:t>
      </w:r>
      <w:r>
        <w:rPr>
          <w:rFonts w:hint="eastAsia" w:ascii="宋体" w:hAnsi="宋体" w:eastAsia="宋体" w:cs="宋体"/>
          <w:color w:val="000000"/>
          <w:sz w:val="24"/>
          <w:szCs w:val="24"/>
          <w:highlight w:val="none"/>
        </w:rPr>
        <w:t xml:space="preserve">应商承担全部责任。同时，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对采购人采购的货物所涉及的技术、产能等信息负有保密义务。</w:t>
      </w:r>
      <w:r>
        <w:rPr>
          <w:rFonts w:hint="eastAsia" w:ascii="宋体" w:hAnsi="宋体" w:eastAsia="宋体" w:cs="宋体"/>
          <w:color w:val="000000"/>
          <w:sz w:val="24"/>
          <w:szCs w:val="24"/>
          <w:highlight w:val="none"/>
        </w:rPr>
      </w:r>
      <w:r/>
    </w:p>
    <w:p>
      <w:pPr>
        <w:pStyle w:val="1010"/>
        <w:numPr>
          <w:ilvl w:val="0"/>
          <w:numId w:val="0"/>
        </w:numPr>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4、中标</w:t>
      </w:r>
      <w:r>
        <w:rPr>
          <w:rFonts w:hint="eastAsia" w:ascii="宋体" w:hAnsi="宋体" w:eastAsia="宋体" w:cs="宋体"/>
          <w:b/>
          <w:bCs/>
          <w:color w:val="000000"/>
          <w:sz w:val="24"/>
          <w:szCs w:val="24"/>
          <w:highlight w:val="none"/>
        </w:rPr>
        <w:t xml:space="preserve">供应商在</w:t>
      </w:r>
      <w:r>
        <w:rPr>
          <w:rFonts w:hint="eastAsia" w:ascii="宋体" w:hAnsi="宋体" w:eastAsia="宋体" w:cs="宋体"/>
          <w:b/>
          <w:bCs/>
          <w:color w:val="000000"/>
          <w:sz w:val="24"/>
          <w:szCs w:val="24"/>
          <w:highlight w:val="none"/>
          <w:lang w:val="en-US" w:eastAsia="zh-CN"/>
        </w:rPr>
        <w:t xml:space="preserve">供货时，需要在</w:t>
      </w:r>
      <w:r>
        <w:rPr>
          <w:rFonts w:hint="eastAsia" w:ascii="宋体" w:hAnsi="宋体" w:eastAsia="宋体" w:cs="宋体"/>
          <w:b/>
          <w:bCs/>
          <w:color w:val="000000"/>
          <w:sz w:val="24"/>
          <w:szCs w:val="24"/>
          <w:highlight w:val="none"/>
        </w:rPr>
        <w:t xml:space="preserve">每个</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外包装箱上张贴相关标签，具体尺寸及内容按照采购人的要求执行。</w:t>
      </w:r>
      <w:r>
        <w:rPr>
          <w:rFonts w:hint="eastAsia" w:ascii="宋体" w:hAnsi="宋体" w:eastAsia="宋体" w:cs="宋体"/>
          <w:b/>
          <w:bCs/>
          <w:color w:val="000000"/>
          <w:sz w:val="24"/>
          <w:szCs w:val="24"/>
          <w:highlight w:val="none"/>
          <w:lang w:val="en-US" w:eastAsia="zh-CN"/>
        </w:rPr>
        <w:t xml:space="preserve">投标人需将此项考虑在报价内，采购人不另行支付该笔费用。</w:t>
      </w:r>
      <w:r>
        <w:rPr>
          <w:rFonts w:hint="eastAsia" w:ascii="宋体" w:hAnsi="宋体" w:eastAsia="宋体" w:cs="宋体"/>
          <w:b/>
          <w:bCs/>
          <w:color w:val="000000"/>
          <w:sz w:val="24"/>
          <w:szCs w:val="24"/>
          <w:highlight w:val="none"/>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★（三）投标人要求</w:t>
      </w:r>
      <w:r>
        <w:rPr>
          <w:rFonts w:hint="eastAsia" w:ascii="宋体" w:hAnsi="宋体" w:eastAsia="宋体" w:cs="宋体"/>
          <w:b/>
          <w:bCs/>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参与本项目的投标人须为在中华人民共和国境内注册的法人、其他组织或者自然人，具有独立承担民事责任的能力，且具备所投产品的供货能力。投标人须在投标文件中提供</w:t>
      </w:r>
      <w:r>
        <w:rPr>
          <w:rFonts w:hint="eastAsia" w:ascii="宋体" w:hAnsi="宋体" w:eastAsia="宋体" w:cs="宋体"/>
          <w:b/>
          <w:bCs/>
          <w:color w:val="000000"/>
          <w:sz w:val="24"/>
          <w:szCs w:val="24"/>
          <w:highlight w:val="none"/>
          <w:lang w:eastAsia="zh-CN"/>
        </w:rPr>
        <w:t xml:space="preserve">所投产品合法来源承诺函（格式自拟）</w:t>
      </w:r>
      <w:r>
        <w:rPr>
          <w:rFonts w:hint="eastAsia" w:ascii="宋体" w:hAnsi="宋体" w:eastAsia="宋体" w:cs="宋体"/>
          <w:b w:val="0"/>
          <w:bCs w:val="0"/>
          <w:color w:val="000000"/>
          <w:sz w:val="24"/>
          <w:szCs w:val="24"/>
          <w:highlight w:val="none"/>
          <w:lang w:eastAsia="zh-CN"/>
        </w:rPr>
        <w:t xml:space="preserve">，承诺函须包含以下内容：</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（1）所投产品为正规渠道获得，来源合法；</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（2）所投产品质量符合国家强制性标准；</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（3）如中标，能够按照合同约定按时、按质、按量供货；</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（4）承诺对所提供的产品来源的真实性承担全部法律责任。</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未提供合法来源承诺函的，视为无效投标。</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（四）中标后供货确认要求</w:t>
      </w:r>
      <w:r>
        <w:rPr>
          <w:rFonts w:hint="eastAsia" w:ascii="宋体" w:hAnsi="宋体" w:eastAsia="宋体" w:cs="宋体"/>
          <w:b/>
          <w:bCs/>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中标人须在收到中标通知书后10个工作日内，向采购人提供所投产品制造商出具的供货确认函（格式自拟，须加盖制造商公章），以证明其具备所投产品的正规供货渠道。供货确认函须包含以下内容：制造商名称、中标人名称、授权产品品牌及型号、供货承诺、制造商签章。</w:t>
      </w:r>
      <w:r>
        <w:rPr>
          <w:rFonts w:hint="eastAsia" w:ascii="宋体" w:hAnsi="宋体" w:eastAsia="宋体" w:cs="宋体"/>
          <w:b w:val="0"/>
          <w:bCs w:val="0"/>
          <w:color w:val="000000"/>
          <w:sz w:val="24"/>
          <w:szCs w:val="24"/>
          <w:highlight w:val="none"/>
          <w:lang w:eastAsia="zh-CN"/>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val="0"/>
          <w:bCs w:val="0"/>
          <w:color w:val="000000"/>
          <w:sz w:val="24"/>
          <w:szCs w:val="24"/>
          <w:highlight w:val="none"/>
          <w:lang w:eastAsia="zh-CN"/>
        </w:rPr>
        <w:t xml:space="preserve">如中标人逾期未能提供供货确认函，或提供的供货确认函存在虚假、不实情形的，视为中标人自动放弃中标资格，采购人有权取消其中标资格，并</w:t>
      </w:r>
      <w:r>
        <w:rPr>
          <w:rFonts w:hint="eastAsia" w:ascii="宋体" w:hAnsi="宋体" w:eastAsia="宋体" w:cs="宋体"/>
          <w:b w:val="0"/>
          <w:bCs w:val="0"/>
          <w:color w:val="000000"/>
          <w:sz w:val="24"/>
          <w:szCs w:val="24"/>
          <w:highlight w:val="none"/>
          <w:lang w:eastAsia="zh-CN"/>
        </w:rPr>
        <w:t xml:space="preserve">按规定顺延确定其他中标候选人为中标人，</w:t>
      </w:r>
      <w:r>
        <w:rPr>
          <w:rFonts w:hint="eastAsia" w:ascii="宋体" w:hAnsi="宋体" w:eastAsia="宋体" w:cs="宋体"/>
          <w:b w:val="0"/>
          <w:bCs w:val="0"/>
          <w:color w:val="000000"/>
          <w:sz w:val="24"/>
          <w:szCs w:val="24"/>
          <w:highlight w:val="none"/>
          <w:lang w:eastAsia="zh-CN"/>
        </w:rPr>
        <w:t xml:space="preserve">如其他中标候选人均无法提供或拒绝接受，则重新开展采购活动。</w:t>
      </w:r>
      <w:r>
        <w:rPr>
          <w:rFonts w:hint="eastAsia" w:ascii="宋体" w:hAnsi="宋体" w:eastAsia="宋体" w:cs="宋体"/>
          <w:b/>
          <w:bCs/>
          <w:color w:val="000000"/>
          <w:sz w:val="24"/>
          <w:szCs w:val="24"/>
          <w:highlight w:val="none"/>
          <w:lang w:eastAsia="zh-CN"/>
        </w:rPr>
        <w:t xml:space="preserve">投标人须在投标文件中对上述要求作出书面承诺（格式自拟），否则视为无效投标。</w:t>
      </w:r>
      <w:r>
        <w:rPr>
          <w:rFonts w:hint="eastAsia" w:ascii="宋体" w:hAnsi="宋体" w:eastAsia="宋体" w:cs="宋体"/>
          <w:b/>
          <w:bCs/>
          <w:color w:val="000000"/>
          <w:sz w:val="24"/>
          <w:szCs w:val="24"/>
          <w:highlight w:val="none"/>
          <w:lang w:eastAsia="zh-CN"/>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注：标记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项为实质性要求，不满足均视为无效投标。</w:t>
      </w:r>
      <w:r>
        <w:rPr>
          <w:rFonts w:hint="eastAsia" w:ascii="宋体" w:hAnsi="宋体" w:eastAsia="宋体" w:cs="宋体"/>
          <w:b/>
          <w:bCs/>
          <w:color w:val="000000"/>
          <w:sz w:val="24"/>
          <w:szCs w:val="24"/>
          <w:highlight w:val="none"/>
          <w:lang w:eastAsia="zh-CN"/>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bidi="ar"/>
        </w:rPr>
        <w:t xml:space="preserve">、验收标准</w:t>
      </w:r>
      <w:r>
        <w:rPr>
          <w:rFonts w:hint="eastAsia" w:ascii="宋体" w:hAnsi="宋体" w:eastAsia="宋体" w:cs="宋体"/>
          <w:b/>
          <w:bCs/>
          <w:color w:val="000000"/>
          <w:sz w:val="24"/>
          <w:szCs w:val="24"/>
          <w:highlight w:val="none"/>
        </w:rPr>
      </w:r>
      <w:r/>
    </w:p>
    <w:p>
      <w:pPr>
        <w:pStyle w:val="1278"/>
        <w:numPr>
          <w:ilvl w:val="0"/>
          <w:numId w:val="0"/>
        </w:numPr>
        <w:contextualSpacing/>
        <w:ind w:left="0" w:firstLine="480"/>
        <w:jc w:val="both"/>
        <w:keepLines w:val="0"/>
        <w:keepNext w:val="0"/>
        <w:pageBreakBefore w:val="0"/>
        <w:spacing w:line="440" w:lineRule="exact"/>
        <w:rPr>
          <w:rFonts w:ascii="宋体" w:hAnsi="宋体" w:eastAsia="宋体" w:cs="宋体"/>
          <w:b/>
          <w:bCs/>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本项目履约验收严格按照《江苏省政府采购履约验收管理办法》（苏财规〔2024〕7号）及国家、省市政府采购相关规定执行。</w:t>
      </w:r>
      <w:r>
        <w:rPr>
          <w:rFonts w:ascii="宋体" w:hAnsi="宋体" w:eastAsia="宋体" w:cs="宋体"/>
          <w:b/>
          <w:bCs/>
          <w:color w:val="000000"/>
          <w:sz w:val="24"/>
          <w:szCs w:val="24"/>
          <w:highlight w:val="none"/>
          <w:lang w:val="en-US" w:eastAsia="zh-CN" w:bidi="ar"/>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货物分批/全部到货后，中标供应商须同步提供产品合格证、装箱清单、检测报告、3C证书、质保说明等全套验收资料，采购人与中标供应商在到货后2个工作日内共同完成数量清点、外观查验、通电核验、参数核对等初验工作。验收合格后，双方在《验收报告》上签字确认。</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全部货物核验合格、资料齐全后，双方签署履约验收报告，正式进入质保期。</w:t>
      </w:r>
      <w:r>
        <w:rPr>
          <w:rFonts w:hint="eastAsia" w:ascii="宋体" w:hAnsi="宋体" w:eastAsia="宋体" w:cs="宋体"/>
          <w:color w:val="000000"/>
          <w:sz w:val="24"/>
          <w:szCs w:val="24"/>
          <w:highlight w:val="none"/>
          <w:lang w:bidi="ar"/>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rPr>
        <w:t xml:space="preserve">若到货产品存在数量短缺、外观破损、参数不符、质量不达标、资料缺失等问题，采购人有权拒收货物、要求无条件退换、限期整改，由此产生的工期延误、经济损失全部由中标供应商承担，情节严重的采购人有权解除合同并追究违约责任。</w:t>
      </w:r>
      <w:r>
        <w:rPr>
          <w:rFonts w:hint="eastAsia" w:ascii="宋体" w:hAnsi="宋体" w:eastAsia="宋体" w:cs="宋体"/>
          <w:color w:val="000000"/>
          <w:sz w:val="24"/>
          <w:szCs w:val="24"/>
          <w:highlight w:val="none"/>
        </w:rPr>
      </w:r>
      <w:r/>
    </w:p>
    <w:p>
      <w:pPr>
        <w:pStyle w:val="1010"/>
        <w:ind w:left="0" w:firstLine="480"/>
        <w:jc w:val="both"/>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验收不合格的，中标供应商须无条件返工、换货、补齐缺项，直至验收合格，所有费用包干不予增补。</w:t>
      </w:r>
      <w:r>
        <w:rPr>
          <w:rFonts w:hint="eastAsia" w:ascii="宋体" w:hAnsi="宋体" w:eastAsia="宋体" w:cs="宋体"/>
          <w:color w:val="000000"/>
          <w:sz w:val="24"/>
          <w:szCs w:val="24"/>
          <w:highlight w:val="none"/>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outlineLvl w:val="1"/>
      </w:pPr>
      <w:r>
        <w:rPr>
          <w:rFonts w:hint="eastAsia" w:ascii="宋体" w:hAnsi="宋体" w:eastAsia="宋体" w:cs="宋体"/>
          <w:b/>
          <w:bCs/>
          <w:color w:val="000000"/>
          <w:sz w:val="24"/>
          <w:szCs w:val="24"/>
          <w:highlight w:val="none"/>
          <w:lang w:val="en-US" w:eastAsia="zh-CN" w:bidi="ar"/>
        </w:rPr>
        <w:t xml:space="preserve">五、</w:t>
      </w:r>
      <w:r>
        <w:rPr>
          <w:rFonts w:hint="eastAsia" w:ascii="宋体" w:hAnsi="宋体" w:eastAsia="宋体" w:cs="宋体"/>
          <w:b/>
          <w:bCs/>
          <w:color w:val="000000"/>
          <w:sz w:val="24"/>
          <w:szCs w:val="24"/>
          <w:highlight w:val="none"/>
          <w:lang w:val="en-US" w:eastAsia="zh-CN" w:bidi="ar"/>
        </w:rPr>
        <w:t xml:space="preserve">保密要求</w:t>
      </w:r>
      <w:r>
        <w:rPr>
          <w:rFonts w:hint="eastAsia" w:ascii="宋体" w:hAnsi="宋体" w:eastAsia="宋体" w:cs="宋体"/>
          <w:b/>
          <w:bCs/>
          <w:color w:val="000000"/>
          <w:sz w:val="24"/>
          <w:szCs w:val="24"/>
          <w:highlight w:val="none"/>
          <w:lang w:val="en-US" w:eastAsia="zh-CN"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1、由采购人收集的、整理的、复制的、研究的和准备的与本项目工作有关的所有资料在提供给供应商时，均被视为保密的，不得泄漏给除采购人或其指定的代表之外的任何人，不管本项目及合同因何种原因终止，本条款一直约束供应商。</w:t>
      </w:r>
      <w:r>
        <w:rPr>
          <w:rFonts w:hint="eastAsia" w:ascii="宋体" w:hAnsi="宋体" w:eastAsia="宋体" w:cs="宋体"/>
          <w:b/>
          <w:bCs/>
          <w:color w:val="000000"/>
          <w:sz w:val="24"/>
          <w:szCs w:val="24"/>
          <w:highlight w:val="none"/>
          <w:lang w:val="en-US" w:eastAsia="zh-CN"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2、投标人中标后须按采购人要求签订保密协议，严格遵守保密规定。</w:t>
      </w:r>
      <w:r>
        <w:rPr>
          <w:rFonts w:hint="eastAsia" w:ascii="宋体" w:hAnsi="宋体" w:eastAsia="宋体" w:cs="宋体"/>
          <w:b/>
          <w:bCs/>
          <w:color w:val="000000"/>
          <w:sz w:val="24"/>
          <w:szCs w:val="24"/>
          <w:highlight w:val="none"/>
          <w:lang w:val="en-US" w:eastAsia="zh-CN"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3、投标人在履行本项目及合同过程中所获得或接触到的任何内部数据资料，未经采购人同意，不得向第三方透露，否则</w:t>
      </w:r>
      <w:r>
        <w:rPr>
          <w:rFonts w:hint="eastAsia" w:ascii="宋体" w:hAnsi="宋体" w:eastAsia="宋体" w:cs="宋体"/>
          <w:b/>
          <w:bCs/>
          <w:color w:val="000000"/>
          <w:sz w:val="24"/>
          <w:szCs w:val="24"/>
          <w:highlight w:val="none"/>
        </w:rPr>
        <w:t xml:space="preserve">承担一切法律后果</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4、投标人实施项目的一切程序都应符合国家安全、保密的有关规定和标准。</w:t>
      </w:r>
      <w:r>
        <w:rPr>
          <w:rFonts w:hint="eastAsia" w:ascii="宋体" w:hAnsi="宋体" w:eastAsia="宋体" w:cs="宋体"/>
          <w:b/>
          <w:bCs/>
          <w:color w:val="000000"/>
          <w:sz w:val="24"/>
          <w:szCs w:val="24"/>
          <w:highlight w:val="none"/>
          <w:lang w:val="en-US" w:eastAsia="zh-CN" w:bidi="ar"/>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rPr>
        <w:t xml:space="preserve">报价方式</w:t>
      </w:r>
      <w:r>
        <w:rPr>
          <w:rFonts w:hint="eastAsia" w:ascii="宋体" w:hAnsi="宋体" w:eastAsia="宋体" w:cs="宋体"/>
          <w:b/>
          <w:bCs/>
          <w:color w:val="000000"/>
          <w:sz w:val="24"/>
          <w:szCs w:val="24"/>
          <w:highlight w:val="none"/>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本项目采用固定单价含税包干报价、按实结算方式，投标单价固定不变，结算数量以采购人验收合格实际供货数量为准，最终总价不超预算。</w:t>
      </w:r>
      <w:r>
        <w:rPr>
          <w:rFonts w:hint="eastAsia" w:ascii="宋体" w:hAnsi="宋体" w:eastAsia="宋体" w:cs="宋体"/>
          <w:color w:val="000000"/>
          <w:sz w:val="24"/>
          <w:szCs w:val="24"/>
          <w:highlight w:val="none"/>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报价为完成本项目全部工作内容的全费用包干价，包含但不限于：货物采购、生产、原厂包装、仓储、运输、装卸、就位、保险、税金、管理费、人工、辅材、标签制作、通电核验、配合验收、资料整理、质保期内全部维修更换服务、售后上门、风险、利润及招标文件明示、隐含的全部配套费用。</w:t>
      </w:r>
      <w:r>
        <w:rPr>
          <w:rFonts w:hint="eastAsia" w:ascii="宋体" w:hAnsi="宋体" w:eastAsia="宋体" w:cs="宋体"/>
          <w:color w:val="000000"/>
          <w:sz w:val="24"/>
          <w:szCs w:val="24"/>
          <w:highlight w:val="none"/>
        </w:rPr>
      </w:r>
      <w:r/>
    </w:p>
    <w:p>
      <w:pPr>
        <w:pStyle w:val="1278"/>
        <w:numPr>
          <w:ilvl w:val="0"/>
          <w:numId w:val="0"/>
        </w:numPr>
        <w:contextualSpacing/>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本项目无任何隐形增项费用，采购人不再支付合同及招标文件约定外的任何费用。投标报价漏项、缺项均视为投标人自主风险，由投标人自行承担，不得以此申请加价、索赔。</w:t>
      </w:r>
      <w:r>
        <w:rPr>
          <w:rFonts w:hint="eastAsia" w:ascii="宋体" w:hAnsi="宋体" w:eastAsia="宋体" w:cs="宋体"/>
          <w:color w:val="000000"/>
          <w:sz w:val="24"/>
          <w:szCs w:val="24"/>
          <w:highlight w:val="none"/>
        </w:rPr>
      </w:r>
      <w:r/>
    </w:p>
    <w:p>
      <w:pPr>
        <w:pStyle w:val="1278"/>
        <w:numPr>
          <w:ilvl w:val="0"/>
          <w:numId w:val="0"/>
        </w:numPr>
        <w:contextualSpacing/>
        <w:ind w:left="0" w:firstLine="482"/>
        <w:jc w:val="both"/>
        <w:keepLines w:val="0"/>
        <w:keepNext w:val="0"/>
        <w:pageBreakBefore w:val="0"/>
        <w:spacing w:line="44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七、</w:t>
      </w:r>
      <w:r>
        <w:rPr>
          <w:rFonts w:hint="eastAsia" w:ascii="宋体" w:hAnsi="宋体" w:eastAsia="宋体" w:cs="宋体"/>
          <w:b/>
          <w:bCs/>
          <w:color w:val="000000"/>
          <w:sz w:val="24"/>
          <w:szCs w:val="24"/>
          <w:highlight w:val="none"/>
        </w:rPr>
        <w:t xml:space="preserve">样</w:t>
      </w:r>
      <w:r>
        <w:rPr>
          <w:rFonts w:hint="eastAsia" w:ascii="宋体" w:hAnsi="宋体" w:eastAsia="宋体" w:cs="宋体"/>
          <w:b/>
          <w:bCs/>
          <w:color w:val="000000"/>
          <w:sz w:val="24"/>
          <w:szCs w:val="24"/>
          <w:highlight w:val="none"/>
          <w:lang w:eastAsia="zh-CN"/>
        </w:rPr>
        <w:t xml:space="preserve">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1.样品制作的标准和要求：提供空气循环扇1台。样品须为组装完整、安装到位的状态，能够正常通电演示各项功能。</w:t>
      </w:r>
      <w:r>
        <w:rPr>
          <w:rFonts w:hint="eastAsia" w:ascii="宋体" w:hAnsi="宋体" w:eastAsia="宋体" w:cs="宋体"/>
          <w:color w:val="000000"/>
          <w:sz w:val="24"/>
          <w:szCs w:val="24"/>
          <w:highlight w:val="none"/>
          <w:lang w:val="en-US" w:eastAsia="zh-CN" w:bidi="ar-SA"/>
        </w:rPr>
      </w:r>
      <w:r/>
    </w:p>
    <w:p>
      <w:pPr>
        <w:pStyle w:val="1010"/>
        <w:numPr>
          <w:ilvl w:val="0"/>
          <w:numId w:val="0"/>
        </w:numPr>
        <w:ind w:left="0" w:firstLine="480"/>
        <w:jc w:val="both"/>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样品递交要求：样品本身不得出现制造商或投标人的任何标志、标记（包括但不限于品牌铭牌、Logo、标签、贴纸等）。如样品固有部件上存在无法清除的制造商标识，须使用不透明材料（如黑色胶带、遮蔽贴纸等）进行完全覆盖，以评审时无法识别为准。</w:t>
      </w:r>
      <w:r>
        <w:rPr>
          <w:rFonts w:ascii="宋体" w:hAnsi="宋体" w:eastAsia="宋体" w:cs="宋体"/>
          <w:color w:val="000000"/>
          <w:sz w:val="24"/>
          <w:szCs w:val="24"/>
          <w:highlight w:val="none"/>
          <w:lang w:val="en-US" w:eastAsia="zh-CN" w:bidi="ar-SA"/>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送样时间：202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日1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点</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0分-1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点00分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逾期不再接受。</w:t>
      </w:r>
      <w:r>
        <w:rPr>
          <w:rFonts w:hint="eastAsia" w:ascii="宋体" w:hAnsi="宋体" w:eastAsia="宋体" w:cs="宋体"/>
          <w:b/>
          <w:bCs/>
          <w:color w:val="000000"/>
          <w:sz w:val="24"/>
          <w:szCs w:val="24"/>
          <w:highlight w:val="none"/>
        </w:rPr>
      </w:r>
      <w:r/>
    </w:p>
    <w:p>
      <w:pPr>
        <w:pStyle w:val="1010"/>
        <w:numPr>
          <w:ilvl w:val="0"/>
          <w:numId w:val="0"/>
        </w:numPr>
        <w:ind w:left="0" w:firstLine="482"/>
        <w:jc w:val="both"/>
        <w:keepLines w:val="0"/>
        <w:keepNext w:val="0"/>
        <w:pageBreakBefore w:val="0"/>
        <w:spacing w:line="44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送样地址：</w:t>
      </w:r>
      <w:r>
        <w:rPr>
          <w:rFonts w:hint="eastAsia" w:ascii="宋体" w:hAnsi="宋体" w:eastAsia="宋体" w:cs="宋体"/>
          <w:b/>
          <w:bCs w:val="0"/>
          <w:color w:val="000000"/>
          <w:sz w:val="24"/>
          <w:szCs w:val="24"/>
          <w:highlight w:val="none"/>
          <w:lang w:val="en-US" w:eastAsia="zh-CN"/>
        </w:rPr>
        <w:t xml:space="preserve">常州盈泰招标有限公司</w:t>
      </w:r>
      <w:r>
        <w:rPr>
          <w:rFonts w:hint="eastAsia" w:ascii="宋体" w:hAnsi="宋体" w:eastAsia="宋体" w:cs="宋体"/>
          <w:b/>
          <w:bCs w:val="0"/>
          <w:color w:val="000000"/>
          <w:sz w:val="24"/>
          <w:szCs w:val="24"/>
          <w:highlight w:val="none"/>
        </w:rPr>
        <w:t xml:space="preserve">（常州市</w:t>
      </w:r>
      <w:r>
        <w:rPr>
          <w:rFonts w:hint="eastAsia" w:ascii="宋体" w:hAnsi="宋体" w:eastAsia="宋体" w:cs="宋体"/>
          <w:b/>
          <w:bCs w:val="0"/>
          <w:color w:val="000000"/>
          <w:sz w:val="24"/>
          <w:szCs w:val="24"/>
          <w:highlight w:val="none"/>
          <w:lang w:val="en-US" w:eastAsia="zh-CN"/>
        </w:rPr>
        <w:t xml:space="preserve">新北区太湖中路8号锦湖创新中心A座11楼</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rPr>
      </w:r>
      <w:r/>
    </w:p>
    <w:p>
      <w:pPr>
        <w:pStyle w:val="1010"/>
        <w:numPr>
          <w:ilvl w:val="0"/>
          <w:numId w:val="0"/>
        </w:numPr>
        <w:ind w:left="0" w:firstLine="482"/>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联系电话：0519-</w:t>
      </w:r>
      <w:r>
        <w:rPr>
          <w:rFonts w:hint="eastAsia" w:ascii="宋体" w:hAnsi="宋体" w:eastAsia="宋体" w:cs="宋体"/>
          <w:b/>
          <w:bCs/>
          <w:color w:val="000000"/>
          <w:sz w:val="24"/>
          <w:szCs w:val="24"/>
          <w:highlight w:val="none"/>
          <w:lang w:val="en-US" w:eastAsia="zh-CN"/>
        </w:rPr>
        <w:t xml:space="preserve">89853339</w:t>
      </w:r>
      <w:r>
        <w:rPr>
          <w:rFonts w:hint="eastAsia" w:ascii="宋体" w:hAnsi="宋体" w:eastAsia="宋体" w:cs="宋体"/>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中标人提交样品由采购人留存封存，作为项目到货验收、参数比对、质量核验的法定依据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未</w:t>
      </w:r>
      <w:r>
        <w:rPr>
          <w:rFonts w:hint="eastAsia" w:ascii="宋体" w:hAnsi="宋体" w:eastAsia="宋体" w:cs="宋体"/>
          <w:bCs/>
          <w:color w:val="000000"/>
          <w:sz w:val="24"/>
          <w:szCs w:val="24"/>
          <w:highlight w:val="none"/>
          <w:lang w:val="en-US" w:eastAsia="zh-CN"/>
        </w:rPr>
        <w:t xml:space="preserve">中标</w:t>
      </w:r>
      <w:r>
        <w:rPr>
          <w:rFonts w:hint="eastAsia" w:ascii="宋体" w:hAnsi="宋体" w:eastAsia="宋体" w:cs="宋体"/>
          <w:bCs/>
          <w:color w:val="000000"/>
          <w:sz w:val="24"/>
          <w:szCs w:val="24"/>
          <w:highlight w:val="none"/>
        </w:rPr>
        <w:t xml:space="preserve">供应商应自开标之日起</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个工作日内</w:t>
      </w:r>
      <w:r>
        <w:rPr>
          <w:rFonts w:hint="eastAsia" w:ascii="宋体" w:hAnsi="宋体" w:eastAsia="宋体" w:cs="宋体"/>
          <w:color w:val="000000"/>
          <w:sz w:val="24"/>
          <w:szCs w:val="24"/>
          <w:highlight w:val="none"/>
        </w:rPr>
        <w:t xml:space="preserve">将样品自行</w:t>
      </w:r>
      <w:r>
        <w:rPr>
          <w:rFonts w:hint="eastAsia" w:ascii="宋体" w:hAnsi="宋体" w:eastAsia="宋体" w:cs="宋体"/>
          <w:bCs/>
          <w:color w:val="000000"/>
          <w:sz w:val="24"/>
          <w:szCs w:val="24"/>
          <w:highlight w:val="none"/>
        </w:rPr>
        <w:t xml:space="preserve">带回</w:t>
      </w:r>
      <w:r>
        <w:rPr>
          <w:rFonts w:hint="eastAsia" w:ascii="宋体" w:hAnsi="宋体" w:eastAsia="宋体" w:cs="宋体"/>
          <w:color w:val="000000"/>
          <w:sz w:val="24"/>
          <w:szCs w:val="24"/>
          <w:highlight w:val="none"/>
        </w:rPr>
        <w:t xml:space="preserve">，否则视同供应商自动放弃投标样品，采购人和代理机构有权自行处理，采购人和代理机构不承担任何保管、赔偿责任。</w:t>
      </w:r>
      <w:r>
        <w:rPr>
          <w:rFonts w:hint="eastAsia" w:ascii="宋体" w:hAnsi="宋体" w:eastAsia="宋体" w:cs="宋体"/>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投标过程中</w:t>
      </w:r>
      <w:r>
        <w:rPr>
          <w:rFonts w:hint="eastAsia" w:ascii="宋体" w:hAnsi="宋体" w:eastAsia="宋体" w:cs="宋体"/>
          <w:bCs/>
          <w:color w:val="000000"/>
          <w:sz w:val="24"/>
          <w:szCs w:val="24"/>
          <w:highlight w:val="none"/>
          <w:lang w:eastAsia="zh-CN"/>
        </w:rPr>
        <w:t xml:space="preserve">未提供</w:t>
      </w:r>
      <w:r>
        <w:rPr>
          <w:rFonts w:hint="eastAsia" w:ascii="宋体" w:hAnsi="宋体" w:eastAsia="宋体" w:cs="宋体"/>
          <w:bCs/>
          <w:color w:val="000000"/>
          <w:sz w:val="24"/>
          <w:szCs w:val="24"/>
          <w:highlight w:val="none"/>
        </w:rPr>
        <w:t xml:space="preserve">样品、</w:t>
      </w:r>
      <w:r>
        <w:rPr>
          <w:rFonts w:hint="eastAsia" w:ascii="宋体" w:hAnsi="宋体" w:eastAsia="宋体" w:cs="宋体"/>
          <w:bCs/>
          <w:color w:val="000000"/>
          <w:sz w:val="24"/>
          <w:szCs w:val="24"/>
          <w:highlight w:val="none"/>
          <w:lang w:eastAsia="zh-CN"/>
        </w:rPr>
        <w:t xml:space="preserve">提供</w:t>
      </w:r>
      <w:r>
        <w:rPr>
          <w:rFonts w:hint="eastAsia" w:ascii="宋体" w:hAnsi="宋体" w:eastAsia="宋体" w:cs="宋体"/>
          <w:bCs/>
          <w:color w:val="000000"/>
          <w:sz w:val="24"/>
          <w:szCs w:val="24"/>
          <w:highlight w:val="none"/>
        </w:rPr>
        <w:t xml:space="preserve">样品不全、样品出现实质性不响应或者样品出现出现制造商或投标人信息情况</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，样品不得分。</w:t>
      </w:r>
      <w:r>
        <w:rPr>
          <w:rFonts w:hint="eastAsia" w:ascii="宋体" w:hAnsi="宋体" w:eastAsia="宋体" w:cs="宋体"/>
          <w:bCs/>
          <w:color w:val="000000"/>
          <w:sz w:val="24"/>
          <w:szCs w:val="24"/>
          <w:highlight w:val="none"/>
        </w:rPr>
      </w:r>
      <w:r/>
    </w:p>
    <w:p>
      <w:pPr>
        <w:pStyle w:val="1010"/>
        <w:numPr>
          <w:ilvl w:val="0"/>
          <w:numId w:val="0"/>
        </w:numPr>
        <w:ind w:left="0" w:firstLine="480"/>
        <w:jc w:val="both"/>
        <w:keepLines w:val="0"/>
        <w:keepNext w:val="0"/>
        <w:pageBreakBefore w:val="0"/>
        <w:spacing w:line="44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7.其他：样品的组装、包装、运输等一切费用由供应商自理。</w:t>
      </w:r>
      <w:r>
        <w:rPr>
          <w:rFonts w:ascii="宋体" w:hAnsi="宋体" w:eastAsia="宋体" w:cs="宋体"/>
          <w:bCs/>
          <w:color w:val="000000"/>
          <w:sz w:val="24"/>
          <w:szCs w:val="24"/>
          <w:highlight w:val="none"/>
          <w:lang w:val="en-US" w:eastAsia="zh-CN"/>
        </w:rPr>
      </w:r>
      <w:r/>
    </w:p>
    <w:p>
      <w:pPr>
        <w:pStyle w:val="1010"/>
        <w:ind w:firstLine="482"/>
        <w:jc w:val="both"/>
        <w:keepLines w:val="0"/>
        <w:keepNext w:val="0"/>
        <w:pageBreakBefore w:val="0"/>
        <w:spacing w:line="360" w:lineRule="auto"/>
        <w:widowControl w:val="off"/>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r>
      <w:r/>
    </w:p>
    <w:p>
      <w:pPr>
        <w:pStyle w:val="1010"/>
        <w:rPr>
          <w:color w:val="000000"/>
          <w:highlight w:val="none"/>
        </w:rPr>
      </w:pPr>
      <w:r>
        <w:rPr>
          <w:color w:val="000000"/>
          <w:highlight w:val="none"/>
        </w:rPr>
      </w:r>
      <w:r/>
    </w:p>
    <w:p>
      <w:pPr>
        <w:pStyle w:val="1010"/>
        <w:jc w:val="center"/>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0"/>
      </w:pPr>
      <w:r/>
      <w:bookmarkStart w:id="830" w:name="_Toc8233"/>
      <w:r>
        <w:rPr>
          <w:rFonts w:ascii="宋体" w:hAnsi="宋体"/>
          <w:b/>
          <w:color w:val="000000"/>
          <w:sz w:val="36"/>
          <w:szCs w:val="36"/>
          <w:highlight w:val="none"/>
        </w:rPr>
        <w:t xml:space="preserve">第六章   拟签订的合同文本</w:t>
      </w:r>
      <w:bookmarkEnd w:id="827"/>
      <w:r/>
      <w:bookmarkEnd w:id="830"/>
      <w:r>
        <w:rPr>
          <w:rFonts w:ascii="宋体" w:hAnsi="宋体"/>
          <w:b/>
          <w:color w:val="000000"/>
          <w:sz w:val="36"/>
          <w:szCs w:val="36"/>
          <w:highlight w:val="non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jc w:val="center"/>
        <w:spacing w:line="360" w:lineRule="auto"/>
        <w:shd w:val="clear" w:color="auto" w:fill="ffffff"/>
        <w:widowControl/>
        <w:rPr>
          <w:rFonts w:ascii="宋体" w:hAnsi="宋体" w:eastAsia="宋体"/>
          <w:b/>
          <w:bCs/>
          <w:color w:val="000000"/>
          <w:sz w:val="32"/>
          <w:szCs w:val="32"/>
          <w:highlight w:val="none"/>
          <w:lang w:val="en-US" w:eastAsia="zh-CN"/>
        </w:rPr>
        <w:outlineLvl w:val="1"/>
      </w:pPr>
      <w:r>
        <w:rPr>
          <w:rFonts w:hint="eastAsia" w:ascii="宋体" w:hAnsi="宋体" w:eastAsia="宋体"/>
          <w:b/>
          <w:bCs/>
          <w:color w:val="000000"/>
          <w:sz w:val="32"/>
          <w:szCs w:val="32"/>
          <w:highlight w:val="none"/>
        </w:rPr>
        <w:t xml:space="preserve">政府采购合同</w:t>
      </w:r>
      <w:r>
        <w:rPr>
          <w:rFonts w:hint="eastAsia" w:ascii="宋体" w:hAnsi="宋体" w:eastAsia="宋体"/>
          <w:b/>
          <w:bCs/>
          <w:color w:val="000000"/>
          <w:sz w:val="32"/>
          <w:szCs w:val="32"/>
          <w:highlight w:val="none"/>
          <w:lang w:eastAsia="zh-CN"/>
        </w:rPr>
        <w:t xml:space="preserve">（</w:t>
      </w:r>
      <w:r>
        <w:rPr>
          <w:rFonts w:hint="eastAsia" w:ascii="宋体" w:hAnsi="宋体" w:eastAsia="宋体"/>
          <w:b/>
          <w:bCs/>
          <w:color w:val="000000"/>
          <w:sz w:val="32"/>
          <w:szCs w:val="32"/>
          <w:highlight w:val="none"/>
          <w:lang w:val="en-US" w:eastAsia="zh-CN"/>
        </w:rPr>
        <w:t xml:space="preserve">参考格式）</w:t>
      </w:r>
      <w:r>
        <w:rPr>
          <w:rFonts w:ascii="宋体" w:hAnsi="宋体" w:eastAsia="宋体"/>
          <w:b/>
          <w:bCs/>
          <w:color w:val="000000"/>
          <w:sz w:val="32"/>
          <w:szCs w:val="32"/>
          <w:highlight w:val="none"/>
          <w:lang w:val="en-US" w:eastAsia="zh-CN"/>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ind w:firstLine="315"/>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r>
      <w:r/>
    </w:p>
    <w:p>
      <w:pPr>
        <w:pStyle w:val="1010"/>
        <w:spacing w:line="360" w:lineRule="auto"/>
        <w:shd w:val="clear" w:color="auto" w:fill="ffffff"/>
        <w:widowControl/>
        <w:rPr>
          <w:rFonts w:ascii="宋体" w:hAnsi="宋体"/>
          <w:color w:val="000000"/>
          <w:sz w:val="30"/>
          <w:szCs w:val="30"/>
          <w:highlight w:val="none"/>
        </w:rPr>
      </w:pPr>
      <w:r>
        <w:rPr>
          <w:rFonts w:ascii="宋体" w:hAnsi="宋体"/>
          <w:color w:val="000000"/>
          <w:sz w:val="30"/>
          <w:szCs w:val="30"/>
          <w:highlight w:val="none"/>
        </w:rPr>
      </w:r>
      <w:r/>
    </w:p>
    <w:p>
      <w:pPr>
        <w:pStyle w:val="1010"/>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合同编号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1010"/>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项目名称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1010"/>
        <w:ind w:firstLine="1918"/>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甲方（</w:t>
      </w:r>
      <w:r>
        <w:rPr>
          <w:rFonts w:hint="eastAsia" w:ascii="宋体" w:hAnsi="宋体" w:eastAsia="宋体"/>
          <w:b/>
          <w:bCs/>
          <w:color w:val="000000"/>
          <w:sz w:val="30"/>
          <w:szCs w:val="30"/>
          <w:highlight w:val="none"/>
        </w:rPr>
        <w:t xml:space="preserve">采购人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1010"/>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lang w:val="en-US" w:eastAsia="zh-CN"/>
        </w:rPr>
        <w:t xml:space="preserve">乙方（</w:t>
      </w:r>
      <w:r>
        <w:rPr>
          <w:rFonts w:hint="eastAsia" w:ascii="宋体" w:hAnsi="宋体" w:eastAsia="宋体"/>
          <w:b/>
          <w:bCs/>
          <w:color w:val="000000"/>
          <w:sz w:val="30"/>
          <w:szCs w:val="30"/>
          <w:highlight w:val="none"/>
        </w:rPr>
        <w:t xml:space="preserve">供应商 </w:t>
      </w:r>
      <w:r>
        <w:rPr>
          <w:rFonts w:hint="eastAsia" w:ascii="宋体" w:hAnsi="宋体" w:eastAsia="宋体"/>
          <w:b/>
          <w:bCs/>
          <w:color w:val="000000"/>
          <w:sz w:val="30"/>
          <w:szCs w:val="30"/>
          <w:highlight w:val="none"/>
          <w:lang w:eastAsia="zh-CN"/>
        </w:rPr>
        <w:t xml:space="preserve">）</w:t>
      </w:r>
      <w:r>
        <w:rPr>
          <w:rFonts w:hint="eastAsia" w:ascii="宋体" w:hAnsi="宋体" w:eastAsia="宋体"/>
          <w:b/>
          <w:bCs/>
          <w:color w:val="000000"/>
          <w:sz w:val="30"/>
          <w:szCs w:val="30"/>
          <w:highlight w:val="none"/>
        </w:rPr>
        <w:t xml:space="preserve">：</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1010"/>
        <w:ind w:firstLine="1916"/>
        <w:spacing w:line="360" w:lineRule="auto"/>
        <w:shd w:val="clear" w:color="auto" w:fill="ffffff"/>
        <w:widowControl/>
        <w:rPr>
          <w:rFonts w:ascii="宋体" w:hAnsi="宋体" w:eastAsia="宋体"/>
          <w:color w:val="000000"/>
          <w:sz w:val="30"/>
          <w:szCs w:val="30"/>
          <w:highlight w:val="none"/>
        </w:rPr>
      </w:pPr>
      <w:r>
        <w:rPr>
          <w:rFonts w:hint="eastAsia" w:ascii="宋体" w:hAnsi="宋体" w:eastAsia="宋体"/>
          <w:b/>
          <w:bCs/>
          <w:color w:val="000000"/>
          <w:sz w:val="30"/>
          <w:szCs w:val="30"/>
          <w:highlight w:val="none"/>
        </w:rPr>
        <w:t xml:space="preserve">签订日期 ：</w:t>
      </w:r>
      <w:r>
        <w:rPr>
          <w:rFonts w:hint="eastAsia" w:ascii="宋体" w:hAnsi="宋体" w:eastAsia="宋体"/>
          <w:b/>
          <w:bCs/>
          <w:color w:val="000000"/>
          <w:sz w:val="30"/>
          <w:szCs w:val="30"/>
          <w:highlight w:val="none"/>
          <w:u w:val="single"/>
        </w:rPr>
        <w:t xml:space="preserve">          </w:t>
      </w:r>
      <w:r>
        <w:rPr>
          <w:rFonts w:ascii="宋体" w:hAnsi="宋体" w:eastAsia="宋体"/>
          <w:color w:val="000000"/>
          <w:sz w:val="30"/>
          <w:szCs w:val="30"/>
          <w:highlight w:val="none"/>
        </w:rPr>
      </w:r>
      <w:r/>
    </w:p>
    <w:p>
      <w:pPr>
        <w:pStyle w:val="1010"/>
        <w:spacing w:line="360" w:lineRule="auto"/>
        <w:shd w:val="clear" w:color="auto" w:fill="ffffff"/>
        <w:widowControl/>
        <w:rPr>
          <w:rFonts w:ascii="宋体" w:hAnsi="宋体"/>
          <w:color w:val="000000"/>
          <w:sz w:val="30"/>
          <w:szCs w:val="30"/>
          <w:highlight w:val="none"/>
        </w:rPr>
      </w:pPr>
      <w:r>
        <w:rPr>
          <w:rFonts w:hint="eastAsia" w:ascii="宋体" w:hAnsi="宋体"/>
          <w:color w:val="000000"/>
          <w:sz w:val="30"/>
          <w:szCs w:val="30"/>
          <w:highlight w:val="none"/>
        </w:rPr>
        <w:t xml:space="preserve">      </w:t>
      </w:r>
      <w:r>
        <w:rPr>
          <w:rFonts w:ascii="宋体" w:hAnsi="宋体"/>
          <w:color w:val="000000"/>
          <w:sz w:val="30"/>
          <w:szCs w:val="30"/>
          <w:highlight w:val="non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ind w:firstLine="640"/>
        <w:spacing w:before="120" w:line="360" w:lineRule="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91"/>
        <w:tabs>
          <w:tab w:val="left" w:pos="567" w:leader="none"/>
        </w:tabs>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10"/>
        <w:rPr>
          <w:rFonts w:hint="eastAsia"/>
          <w:color w:val="000000"/>
          <w:highlight w:val="none"/>
        </w:rPr>
      </w:pPr>
      <w:r>
        <w:rPr>
          <w:rFonts w:hint="eastAsia"/>
          <w:color w:val="000000"/>
          <w:highlight w:val="none"/>
        </w:rPr>
      </w:r>
      <w:r/>
    </w:p>
    <w:p>
      <w:pPr>
        <w:pStyle w:val="1010"/>
        <w:ind w:firstLine="640"/>
        <w:spacing w:before="120" w:line="360" w:lineRule="auto"/>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w:t>
      </w:r>
      <w:r>
        <w:rPr>
          <w:rFonts w:hint="eastAsia" w:ascii="宋体" w:hAnsi="宋体"/>
          <w:color w:val="000000"/>
          <w:sz w:val="24"/>
          <w:highlight w:val="none"/>
          <w:u w:val="single"/>
          <w:lang w:val="en-US" w:eastAsia="zh-CN"/>
        </w:rPr>
        <w:t xml:space="preserve">公开招标</w:t>
      </w:r>
      <w:r>
        <w:rPr>
          <w:rFonts w:hint="eastAsia" w:ascii="宋体" w:hAnsi="宋体"/>
          <w:color w:val="000000"/>
          <w:sz w:val="24"/>
          <w:highlight w:val="none"/>
          <w:u w:val="single"/>
        </w:rPr>
        <w:t xml:space="preserve">方式</w:t>
      </w:r>
      <w:r>
        <w:rPr>
          <w:rFonts w:hint="eastAsia" w:ascii="宋体" w:hAnsi="宋体"/>
          <w:color w:val="000000"/>
          <w:sz w:val="24"/>
          <w:highlight w:val="none"/>
        </w:rPr>
        <w:t xml:space="preserve">对</w:t>
      </w:r>
      <w:r>
        <w:rPr>
          <w:rFonts w:hint="eastAsia" w:ascii="宋体" w:hAnsi="宋体"/>
          <w:color w:val="000000"/>
          <w:sz w:val="24"/>
          <w:highlight w:val="none"/>
          <w:u w:val="single"/>
          <w:lang w:eastAsia="zh-CN"/>
        </w:rPr>
        <w:t xml:space="preserve">常州市退役军人事务局慰问品采购项目</w:t>
      </w:r>
      <w:r>
        <w:rPr>
          <w:rFonts w:hint="eastAsia" w:ascii="宋体" w:hAnsi="宋体"/>
          <w:color w:val="000000"/>
          <w:sz w:val="24"/>
          <w:highlight w:val="none"/>
        </w:rPr>
        <w:t xml:space="preserve">进行了采购。经评定，</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为该项目中标供应商。现于中标通知书发出之日起三十日内，按照采购文件确定的事项签订本合同。</w:t>
      </w:r>
      <w:r>
        <w:rPr>
          <w:rFonts w:ascii="宋体" w:hAnsi="宋体"/>
          <w:color w:val="000000"/>
          <w:sz w:val="24"/>
          <w:highlight w:val="none"/>
          <w:u w:val="single"/>
        </w:rPr>
      </w:r>
      <w:r/>
    </w:p>
    <w:p>
      <w:pPr>
        <w:pStyle w:val="1010"/>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000000"/>
          <w:sz w:val="24"/>
          <w:highlight w:val="none"/>
          <w:u w:val="single"/>
        </w:rPr>
        <w:t xml:space="preserve">常州市退役军人事务局</w:t>
      </w:r>
      <w:r>
        <w:rPr>
          <w:rFonts w:hint="eastAsia" w:ascii="宋体" w:hAnsi="宋体"/>
          <w:color w:val="000000"/>
          <w:sz w:val="24"/>
          <w:highlight w:val="none"/>
        </w:rPr>
        <w:t xml:space="preserve">(以下简称：甲方)和</w:t>
      </w:r>
      <w:r>
        <w:rPr>
          <w:rFonts w:hint="eastAsia" w:ascii="宋体" w:hAnsi="宋体"/>
          <w:color w:val="000000"/>
          <w:sz w:val="24"/>
          <w:highlight w:val="none"/>
          <w:u w:val="single"/>
        </w:rPr>
        <w:t xml:space="preserve">（中标供应商名称）</w:t>
      </w:r>
      <w:r>
        <w:rPr>
          <w:rFonts w:hint="eastAsia" w:ascii="宋体" w:hAnsi="宋体"/>
          <w:color w:val="000000"/>
          <w:sz w:val="24"/>
          <w:highlight w:val="none"/>
        </w:rPr>
        <w:t xml:space="preserve">(以下简称：乙方)协商一致，约定以下合同条款，以兹共同遵守、全面履行。</w:t>
      </w:r>
      <w:r>
        <w:rPr>
          <w:rFonts w:ascii="宋体" w:hAnsi="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1" w:name="_Toc60748165"/>
      <w:r>
        <w:rPr>
          <w:rFonts w:hint="eastAsia" w:ascii="宋体" w:hAnsi="宋体"/>
          <w:b/>
          <w:color w:val="000000"/>
          <w:sz w:val="24"/>
          <w:highlight w:val="none"/>
        </w:rPr>
        <w:t xml:space="preserve">一、合同组成部分</w:t>
      </w:r>
      <w:bookmarkEnd w:id="831"/>
      <w:r>
        <w:rPr>
          <w:rFonts w:ascii="宋体" w:hAnsi="宋体"/>
          <w:b/>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1.本合同及其补充合同、变更协议；</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2.中标通知书；</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3.投标文件（含澄清或者说明文件）；</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4.招标文件（含澄清或者修改文件）；</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5.其他相关采购文件。</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双方有关项目的洽商、变更等书面协议或文件视为本合同的组成部分。</w:t>
      </w:r>
      <w:r>
        <w:rPr>
          <w:rFonts w:ascii="宋体" w:hAnsi="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bookmarkStart w:id="832" w:name="_Toc60748166"/>
      <w:r>
        <w:rPr>
          <w:rFonts w:hint="eastAsia" w:ascii="宋体" w:hAnsi="宋体"/>
          <w:b/>
          <w:color w:val="000000"/>
          <w:sz w:val="24"/>
          <w:highlight w:val="none"/>
        </w:rPr>
        <w:t xml:space="preserve">二、合同标的</w:t>
      </w:r>
      <w:bookmarkEnd w:id="832"/>
      <w:r>
        <w:rPr>
          <w:rFonts w:hint="eastAsia" w:ascii="宋体" w:hAnsi="宋体"/>
          <w:b/>
          <w:color w:val="000000"/>
          <w:sz w:val="24"/>
          <w:highlight w:val="none"/>
        </w:rPr>
        <w:t xml:space="preserve">内容</w:t>
      </w:r>
      <w:r>
        <w:rPr>
          <w:rFonts w:ascii="宋体" w:hAnsi="宋体"/>
          <w:b/>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3" w:name="_Toc60748167"/>
      <w:r>
        <w:rPr>
          <w:rFonts w:hint="eastAsia" w:ascii="宋体" w:hAnsi="宋体"/>
          <w:color w:val="000000"/>
          <w:sz w:val="24"/>
          <w:highlight w:val="none"/>
        </w:rPr>
        <w:t xml:space="preserve">1.货物名称：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2.货物数量：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3.货物质量：</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4.供货期限：</w:t>
      </w:r>
      <w:r>
        <w:rPr>
          <w:rFonts w:hint="eastAsia" w:ascii="宋体" w:hAnsi="宋体"/>
          <w:color w:val="000000"/>
          <w:sz w:val="24"/>
          <w:highlight w:val="none"/>
          <w:u w:val="single"/>
        </w:rPr>
        <w:t xml:space="preserve">                               。</w:t>
      </w:r>
      <w:r>
        <w:rPr>
          <w:rFonts w:ascii="宋体" w:hAnsi="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ascii="宋体" w:hAnsi="宋体"/>
          <w:b/>
          <w:color w:val="000000"/>
          <w:sz w:val="24"/>
          <w:highlight w:val="none"/>
        </w:rPr>
        <w:outlineLvl w:val="1"/>
      </w:pPr>
      <w:r>
        <w:rPr>
          <w:rFonts w:hint="eastAsia" w:ascii="宋体" w:hAnsi="宋体"/>
          <w:b/>
          <w:color w:val="000000"/>
          <w:sz w:val="24"/>
          <w:highlight w:val="none"/>
        </w:rPr>
        <w:t xml:space="preserve">三、合同价款</w:t>
      </w:r>
      <w:bookmarkEnd w:id="833"/>
      <w:r>
        <w:rPr>
          <w:rFonts w:ascii="宋体" w:hAnsi="宋体"/>
          <w:b/>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u w:val="single"/>
        </w:rPr>
      </w:pPr>
      <w:r/>
      <w:bookmarkStart w:id="834" w:name="_Toc60748168"/>
      <w:r>
        <w:rPr>
          <w:rFonts w:hint="eastAsia" w:ascii="宋体" w:hAnsi="宋体"/>
          <w:color w:val="000000"/>
          <w:sz w:val="24"/>
          <w:highlight w:val="none"/>
        </w:rPr>
        <w:t xml:space="preserve">1.本合同总价为：¥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元人民币）。分项价格如下（可作为附件）：</w:t>
      </w:r>
      <w:r>
        <w:rPr>
          <w:rFonts w:ascii="宋体" w:hAnsi="宋体"/>
          <w:color w:val="000000"/>
          <w:sz w:val="24"/>
          <w:highlight w:val="none"/>
          <w:u w:val="single"/>
        </w:rPr>
      </w:r>
      <w:r/>
    </w:p>
    <w:tbl>
      <w:tblPr>
        <w:tblW w:w="8827" w:type="dxa"/>
        <w:jc w:val="center"/>
        <w:tblInd w:w="-4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346"/>
        <w:gridCol w:w="925"/>
        <w:gridCol w:w="1860"/>
        <w:gridCol w:w="850"/>
        <w:gridCol w:w="879"/>
        <w:gridCol w:w="919"/>
        <w:gridCol w:w="1072"/>
      </w:tblGrid>
      <w:tr>
        <w:trPr>
          <w:cantSplit/>
          <w:trHeight w:val="285"/>
        </w:trPr>
        <w:tc>
          <w:tcPr>
            <w:tcW w:w="976"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346"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货物名称</w:t>
            </w:r>
            <w:r>
              <w:rPr>
                <w:rFonts w:ascii="宋体" w:hAnsi="宋体"/>
                <w:color w:val="000000"/>
                <w:sz w:val="24"/>
                <w:highlight w:val="none"/>
              </w:rPr>
            </w:r>
            <w:r/>
          </w:p>
        </w:tc>
        <w:tc>
          <w:tcPr>
            <w:tcW w:w="925"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860"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850"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879" w:type="dxa"/>
            <w:vAlign w:val="center"/>
            <w:vMerge w:val="restart"/>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gridSpan w:val="2"/>
            <w:tcW w:w="1991"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价格（元）</w:t>
            </w:r>
            <w:r>
              <w:rPr>
                <w:rFonts w:ascii="宋体" w:hAnsi="宋体"/>
                <w:color w:val="000000"/>
                <w:sz w:val="24"/>
                <w:highlight w:val="none"/>
              </w:rPr>
            </w:r>
            <w:r/>
          </w:p>
        </w:tc>
      </w:tr>
      <w:tr>
        <w:trPr>
          <w:cantSplit/>
          <w:trHeight w:val="70"/>
        </w:trPr>
        <w:tc>
          <w:tcPr>
            <w:tcW w:w="976"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346"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25"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vMerge w:val="continue"/>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072"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合价</w:t>
            </w: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tcW w:w="976" w:type="dxa"/>
            <w:vAlign w:val="center"/>
            <w:textDirection w:val="lrTb"/>
            <w:noWrap w:val="false"/>
          </w:tcPr>
          <w:p>
            <w:pPr>
              <w:pStyle w:val="1010"/>
              <w:jc w:val="center"/>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346" w:type="dxa"/>
            <w:vAlign w:val="center"/>
            <w:textDirection w:val="lrTb"/>
            <w:noWrap w:val="false"/>
          </w:tcPr>
          <w:p>
            <w:pPr>
              <w:pStyle w:val="1010"/>
              <w:spacing w:line="360" w:lineRule="auto"/>
              <w:tabs>
                <w:tab w:val="left" w:pos="900" w:leader="none"/>
                <w:tab w:val="left" w:pos="1080" w:leader="none"/>
              </w:tabs>
              <w:rPr>
                <w:rFonts w:ascii="宋体" w:hAnsi="宋体"/>
                <w:b/>
                <w:bCs/>
                <w:color w:val="000000"/>
                <w:sz w:val="24"/>
                <w:highlight w:val="none"/>
              </w:rPr>
            </w:pPr>
            <w:r>
              <w:rPr>
                <w:rFonts w:ascii="宋体" w:hAnsi="宋体"/>
                <w:b/>
                <w:bCs/>
                <w:color w:val="000000"/>
                <w:sz w:val="24"/>
                <w:highlight w:val="none"/>
              </w:rPr>
            </w:r>
            <w:r/>
          </w:p>
        </w:tc>
        <w:tc>
          <w:tcPr>
            <w:tcW w:w="925"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87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r>
        <w:trPr>
          <w:trHeight w:val="480"/>
        </w:trPr>
        <w:tc>
          <w:tcPr>
            <w:gridSpan w:val="6"/>
            <w:tcW w:w="6836"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合     计</w:t>
            </w:r>
            <w:r>
              <w:rPr>
                <w:rFonts w:ascii="宋体" w:hAnsi="宋体"/>
                <w:color w:val="000000"/>
                <w:sz w:val="24"/>
                <w:highlight w:val="none"/>
              </w:rPr>
            </w:r>
            <w:r/>
          </w:p>
        </w:tc>
        <w:tc>
          <w:tcPr>
            <w:tcW w:w="919"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c>
          <w:tcPr>
            <w:tcW w:w="1072" w:type="dxa"/>
            <w:vAlign w:val="center"/>
            <w:textDirection w:val="lrTb"/>
            <w:noWrap w:val="false"/>
          </w:tcPr>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tc>
      </w:tr>
    </w:tbl>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四、付款方式和发票开具方式</w:t>
      </w:r>
      <w:bookmarkEnd w:id="834"/>
      <w:r>
        <w:rPr>
          <w:rFonts w:hint="eastAsia" w:ascii="宋体" w:hAnsi="宋体" w:eastAsia="宋体" w:cs="宋体"/>
          <w:b/>
          <w:bCs/>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2.发票开具方式：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bookmarkStart w:id="835" w:name="_Toc60748169"/>
      <w:r>
        <w:rPr>
          <w:rFonts w:hint="eastAsia" w:ascii="宋体" w:hAnsi="宋体" w:eastAsia="宋体" w:cs="宋体"/>
          <w:b/>
          <w:bCs/>
          <w:color w:val="000000"/>
          <w:sz w:val="24"/>
          <w:highlight w:val="none"/>
        </w:rPr>
        <w:t xml:space="preserve">五、</w:t>
      </w:r>
      <w:bookmarkEnd w:id="835"/>
      <w:r/>
      <w:bookmarkStart w:id="836" w:name="_Toc60748172"/>
      <w:r>
        <w:rPr>
          <w:rFonts w:hint="eastAsia" w:ascii="宋体" w:hAnsi="宋体" w:eastAsia="宋体" w:cs="宋体"/>
          <w:b/>
          <w:bCs/>
          <w:color w:val="000000"/>
          <w:sz w:val="24"/>
          <w:highlight w:val="none"/>
          <w:lang w:val="en-US" w:eastAsia="zh-CN"/>
        </w:rPr>
        <w:t xml:space="preserve">产品要求</w:t>
      </w:r>
      <w:r>
        <w:rPr>
          <w:rFonts w:hint="eastAsia" w:ascii="宋体" w:hAnsi="宋体" w:eastAsia="宋体" w:cs="宋体"/>
          <w:b/>
          <w:bCs/>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详见公开招标文件及供应商投标文件。</w:t>
      </w:r>
      <w:r>
        <w:rPr>
          <w:rFonts w:ascii="宋体" w:hAnsi="宋体" w:eastAsia="宋体" w:cs="宋体"/>
          <w:color w:val="000000"/>
          <w:sz w:val="24"/>
          <w:highlight w:val="none"/>
          <w:lang w:val="en-US" w:eastAsia="zh-CN"/>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u w:val="single"/>
        </w:rPr>
        <w:outlineLvl w:val="1"/>
      </w:pPr>
      <w:r>
        <w:rPr>
          <w:rFonts w:hint="eastAsia" w:ascii="宋体" w:hAnsi="宋体" w:eastAsia="宋体" w:cs="宋体"/>
          <w:b/>
          <w:bCs/>
          <w:color w:val="000000"/>
          <w:sz w:val="24"/>
          <w:highlight w:val="none"/>
        </w:rPr>
        <w:t xml:space="preserve">六、售后服务</w:t>
      </w:r>
      <w:r>
        <w:rPr>
          <w:rFonts w:hint="eastAsia" w:ascii="宋体" w:hAnsi="宋体" w:eastAsia="宋体" w:cs="宋体"/>
          <w:color w:val="000000"/>
          <w:sz w:val="24"/>
          <w:highlight w:val="none"/>
          <w:u w:val="singl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1.乙方应向甲方承诺按照合同约定进行供货并在质量保修期内承担质量保修责任。</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2.保修期内因乙方原因导致其余各方损失的，乙方应承担赔偿责任。保修期从产品验收合格之日算起。</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3.在保修期内，一旦发生质量问题，乙方必须在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小时内到达现场实施维修并及时排除故障，否则，甲方有权自行派人进行修复，发生的费用</w:t>
      </w:r>
      <w:r>
        <w:rPr>
          <w:rFonts w:hint="eastAsia" w:ascii="宋体" w:hAnsi="宋体" w:eastAsia="宋体" w:cs="宋体"/>
          <w:color w:val="000000"/>
          <w:sz w:val="24"/>
          <w:highlight w:val="none"/>
          <w:lang w:val="en-US" w:eastAsia="zh-CN"/>
        </w:rPr>
        <w:t xml:space="preserve">由乙方承担。</w:t>
      </w:r>
      <w:r>
        <w:rPr>
          <w:rFonts w:hint="eastAsia" w:ascii="宋体" w:hAnsi="宋体" w:eastAsia="宋体" w:cs="宋体"/>
          <w:color w:val="000000"/>
          <w:sz w:val="24"/>
          <w:highlight w:val="none"/>
          <w:lang w:val="en-US" w:eastAsia="zh-CN"/>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4.因甲方使用不当引起的问题，乙方提供有偿服务。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5.质量保修期内，同一商品、同一质量问题连续两次维修仍无法正常使用时，乙方必须予以免费更换同品牌、同型号的货物。</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6.货物质量保修期内除人为原因出现的质量问题，乙方必须包换。</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七、质量保证</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1.乙方应严格按照合同约定及招投标文件规定进行供货，并对其质量负责。</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2.乙方负责供货的材料，其品牌规格等必须与</w:t>
      </w:r>
      <w:r>
        <w:rPr>
          <w:rFonts w:hint="eastAsia" w:ascii="宋体" w:hAnsi="宋体" w:eastAsia="宋体" w:cs="宋体"/>
          <w:color w:val="000000"/>
          <w:sz w:val="24"/>
          <w:highlight w:val="none"/>
          <w:lang w:val="en-US" w:eastAsia="zh-CN"/>
        </w:rPr>
        <w:t xml:space="preserve">投标文件</w:t>
      </w:r>
      <w:r>
        <w:rPr>
          <w:rFonts w:hint="eastAsia" w:ascii="宋体" w:hAnsi="宋体" w:eastAsia="宋体" w:cs="宋体"/>
          <w:color w:val="000000"/>
          <w:sz w:val="24"/>
          <w:highlight w:val="none"/>
        </w:rPr>
        <w:t xml:space="preserve">一致，不得以次充好。并提供产品说明书，试验报告和合格证。材料性能及技术指标应达到招投标文件约定及国家现行的相关质量验收标准。</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3.乙方负责供货的材料在使用前，应按甲方要求，根据标准、规范要求进行检验或试验，检验或试验费用由乙方承担。如检测报告中有一项指标不合格，乙方负全部责任并按本批次同规格价格的两倍进行处罚。</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4.甲方、乙方对产品质量有争议，由</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rPr>
        <w:t xml:space="preserve">方同意的质量检测机构鉴定，所需费用及因此造成的损失，由责任方承担。</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5.乙方在供货中，如使用假冒伪劣产品，一经查实，每项次处以10万元罚款给甲方，该罚款从当期应付款项中扣除。</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6.三个月内发现不合格品或材质与封存的样品不符的无条件退货（所发生的拆、包、运等费用由乙方负责，保修期内免费维修。</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outlineLvl w:val="1"/>
      </w:pPr>
      <w:r>
        <w:rPr>
          <w:rFonts w:hint="eastAsia" w:ascii="宋体" w:hAnsi="宋体" w:eastAsia="宋体" w:cs="宋体"/>
          <w:b/>
          <w:bCs/>
          <w:color w:val="000000"/>
          <w:sz w:val="24"/>
          <w:highlight w:val="none"/>
        </w:rPr>
        <w:t xml:space="preserve">八、履约验收 </w:t>
      </w:r>
      <w:r>
        <w:rPr>
          <w:rFonts w:hint="eastAsia" w:ascii="宋体" w:hAnsi="宋体" w:eastAsia="宋体" w:cs="宋体"/>
          <w:b/>
          <w:bCs/>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1.每次产品到达交货地点后，需向</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提供装箱清单和检验合格证，</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和</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在2日内共同检验产品数量、质量等状况，由</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负责并承担相关费用。验收合格后，双方在《验收报告》上签字确认。</w:t>
      </w:r>
      <w:r>
        <w:rPr>
          <w:rFonts w:hint="eastAsia" w:ascii="宋体" w:hAnsi="宋体" w:eastAsia="宋体" w:cs="宋体"/>
          <w:b w:val="0"/>
          <w:bCs w:val="0"/>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2.经双方共同验收，产品性能参数达不到采购合同要求的，</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可以拒收，并可以解除合同。</w:t>
      </w:r>
      <w:r>
        <w:rPr>
          <w:rFonts w:hint="eastAsia" w:ascii="宋体" w:hAnsi="宋体" w:eastAsia="宋体" w:cs="宋体"/>
          <w:b w:val="0"/>
          <w:bCs w:val="0"/>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组织验收，若产品检验不合格或不符合质量要求，</w:t>
      </w:r>
      <w:r>
        <w:rPr>
          <w:rFonts w:hint="eastAsia" w:ascii="宋体" w:hAnsi="宋体" w:eastAsia="宋体" w:cs="宋体"/>
          <w:b w:val="0"/>
          <w:bCs w:val="0"/>
          <w:color w:val="000000"/>
          <w:sz w:val="24"/>
          <w:highlight w:val="none"/>
          <w:lang w:val="en-US" w:eastAsia="zh-CN"/>
        </w:rPr>
        <w:t xml:space="preserve">乙方</w:t>
      </w:r>
      <w:r>
        <w:rPr>
          <w:rFonts w:hint="eastAsia" w:ascii="宋体" w:hAnsi="宋体" w:eastAsia="宋体" w:cs="宋体"/>
          <w:b w:val="0"/>
          <w:bCs w:val="0"/>
          <w:color w:val="000000"/>
          <w:sz w:val="24"/>
          <w:highlight w:val="none"/>
        </w:rPr>
        <w:t xml:space="preserve">除无条件</w:t>
      </w:r>
      <w:r>
        <w:rPr>
          <w:rFonts w:hint="eastAsia" w:ascii="宋体" w:hAnsi="宋体" w:eastAsia="宋体" w:cs="宋体"/>
          <w:b w:val="0"/>
          <w:bCs w:val="0"/>
          <w:color w:val="000000"/>
          <w:sz w:val="24"/>
          <w:highlight w:val="none"/>
          <w:lang w:val="en-US" w:eastAsia="zh-CN"/>
        </w:rPr>
        <w:t xml:space="preserve">退换</w:t>
      </w:r>
      <w:r>
        <w:rPr>
          <w:rFonts w:hint="eastAsia" w:ascii="宋体" w:hAnsi="宋体" w:eastAsia="宋体" w:cs="宋体"/>
          <w:b w:val="0"/>
          <w:bCs w:val="0"/>
          <w:color w:val="000000"/>
          <w:sz w:val="24"/>
          <w:highlight w:val="none"/>
        </w:rPr>
        <w:t xml:space="preserve">外，还应承担</w:t>
      </w:r>
      <w:r>
        <w:rPr>
          <w:rFonts w:hint="eastAsia" w:ascii="宋体" w:hAnsi="宋体" w:eastAsia="宋体" w:cs="宋体"/>
          <w:b w:val="0"/>
          <w:bCs w:val="0"/>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的一切损失。</w:t>
      </w:r>
      <w:r>
        <w:rPr>
          <w:rFonts w:hint="eastAsia" w:ascii="宋体" w:hAnsi="宋体" w:eastAsia="宋体" w:cs="宋体"/>
          <w:b w:val="0"/>
          <w:bCs w:val="0"/>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4.按关于印发《江苏省政府采购履约验收管理办法》的通知（苏财规〔2024〕7号）规定执行。</w:t>
      </w:r>
      <w:r>
        <w:rPr>
          <w:rFonts w:hint="eastAsia" w:ascii="宋体" w:hAnsi="宋体" w:eastAsia="宋体" w:cs="宋体"/>
          <w:b w:val="0"/>
          <w:bCs w:val="0"/>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九、保密要求</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2.乙方在履行合同过程中所获得或接触到的任何内部数据资料，未经甲方同意，不得向第三方透露。</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3.乙方实施项目的一切程序都应符合国家安全、保密的有关规定和标准。</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十、甲方权利与义务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甲方权利：</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1.有权向乙方询问工作进展情况及相关的内容。</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2.有权阐述对具体问题的意见和建议。</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3.当甲方认定乙方人员不按合同履行其职责，或与第三人串通给甲方造成经济损失的，甲方有权要求更换人员，直至终止合同并要求乙方承担相应的赔偿责任。</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甲方义务：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1.负责与本项目有关的第三方的协调，提供开展服务工作的外部条件。</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2.向乙方提供与本项目有关的资料。</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十一、乙方权利与义务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乙方权利：</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1.乙方在本项目服务过程中，如甲方提供的资料不明确时可向甲方提出书面报告。</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乙方义务：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1.应按照本项目招标文件、乙方投标文件要求按期完成本项目工作。</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2.负责组织项目的实施，保证工作质量满足相关验收相关标准。</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3.乙方不得擅自部分或全部转让其应履行的合同义务。</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w:t>
      </w:r>
      <w:r>
        <w:rPr>
          <w:rFonts w:hint="eastAsia" w:ascii="宋体" w:hAnsi="宋体" w:eastAsia="宋体" w:cs="宋体"/>
          <w:color w:val="000000"/>
          <w:sz w:val="24"/>
          <w:highlight w:val="none"/>
          <w:u w:val="single"/>
        </w:rPr>
        <w:t xml:space="preserve">                                              </w:t>
      </w:r>
      <w:bookmarkEnd w:id="836"/>
      <w:r/>
      <w:bookmarkStart w:id="837" w:name="_Toc60748171"/>
      <w:r/>
      <w:bookmarkStart w:id="838" w:name="_Toc66363963"/>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lang w:val="en-US" w:eastAsia="zh-CN"/>
        </w:rPr>
        <w:outlineLvl w:val="1"/>
      </w:pPr>
      <w:r>
        <w:rPr>
          <w:rFonts w:hint="eastAsia" w:ascii="宋体" w:hAnsi="宋体" w:eastAsia="宋体" w:cs="宋体"/>
          <w:b/>
          <w:bCs/>
          <w:color w:val="000000"/>
          <w:sz w:val="24"/>
          <w:highlight w:val="none"/>
          <w:lang w:val="en-US" w:eastAsia="zh-CN"/>
        </w:rPr>
        <w:t xml:space="preserve">十一、违约责任</w:t>
      </w:r>
      <w:r>
        <w:rPr>
          <w:rFonts w:hint="eastAsia" w:ascii="宋体" w:hAnsi="宋体" w:eastAsia="宋体" w:cs="宋体"/>
          <w:b/>
          <w:bCs/>
          <w:color w:val="000000"/>
          <w:sz w:val="24"/>
          <w:highlight w:val="none"/>
          <w:lang w:val="en-US" w:eastAsia="zh-CN"/>
        </w:rPr>
      </w:r>
      <w:r/>
    </w:p>
    <w:p>
      <w:pPr>
        <w:pStyle w:val="1010"/>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1.合同一方不履行合同义务或者履行合同义务不符合约定的，应当承担继续履行、采取补救措施或者赔偿损失等违约责任。</w:t>
      </w:r>
      <w:r>
        <w:rPr>
          <w:rFonts w:hint="eastAsia" w:ascii="宋体" w:hAnsi="宋体" w:eastAsia="宋体" w:cs="宋体"/>
          <w:b w:val="0"/>
          <w:bCs w:val="0"/>
          <w:color w:val="000000"/>
          <w:sz w:val="24"/>
          <w:highlight w:val="none"/>
          <w:lang w:val="en-US" w:eastAsia="zh-CN"/>
        </w:rPr>
      </w:r>
      <w:r/>
    </w:p>
    <w:p>
      <w:pPr>
        <w:pStyle w:val="1010"/>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如乙方未在约定的时间内完成交货，则每逾期一天，向甲方支付逾期货物金额的0.5%的违约金，逾期超过15天的，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1010"/>
        <w:ind w:firstLine="480"/>
        <w:spacing w:line="360" w:lineRule="auto"/>
        <w:tabs>
          <w:tab w:val="left" w:pos="900" w:leader="none"/>
          <w:tab w:val="left" w:pos="108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3.如乙方交付的货物经甲方验收不合格，甲方有权拒收并要求乙方在期限内重新更换。如乙方拒绝更换或更换不及时的，</w:t>
      </w:r>
      <w:r>
        <w:rPr>
          <w:rFonts w:hint="eastAsia" w:ascii="宋体" w:hAnsi="宋体" w:eastAsia="宋体" w:cs="宋体"/>
          <w:b w:val="0"/>
          <w:bCs w:val="0"/>
          <w:color w:val="000000"/>
          <w:sz w:val="24"/>
          <w:highlight w:val="none"/>
          <w:lang w:val="en-US" w:eastAsia="zh-CN"/>
        </w:rPr>
        <w:t xml:space="preserve">甲方有权解除本合同并要求乙方支付合同金额5%的违约金，违约金不足以弥补甲方损失的，乙方应赔偿全部损失。</w:t>
      </w:r>
      <w:r>
        <w:rPr>
          <w:rFonts w:hint="eastAsia" w:ascii="宋体" w:hAnsi="宋体" w:eastAsia="宋体" w:cs="宋体"/>
          <w:b w:val="0"/>
          <w:bCs w:val="0"/>
          <w:color w:val="000000"/>
          <w:sz w:val="24"/>
          <w:highlight w:val="none"/>
          <w:lang w:val="en-US" w:eastAsia="zh-CN"/>
        </w:rPr>
      </w:r>
      <w:r/>
    </w:p>
    <w:p>
      <w:pPr>
        <w:pStyle w:val="1010"/>
        <w:ind w:firstLine="480"/>
        <w:spacing w:line="360" w:lineRule="auto"/>
        <w:tabs>
          <w:tab w:val="left" w:pos="900" w:leader="none"/>
          <w:tab w:val="left" w:pos="1080" w:leader="none"/>
        </w:tabs>
        <w:rPr>
          <w:rFonts w:ascii="宋体" w:hAnsi="宋体" w:eastAsia="宋体" w:cs="宋体"/>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4.如乙方未按本合同的规定或“服务承诺”提供伴随服务/售后服务的，应按合同金额的5 %向甲方承担违约责任，违约金不足以弥补甲方损失的，乙方应赔偿全部损失。</w:t>
      </w:r>
      <w:r>
        <w:rPr>
          <w:rFonts w:ascii="宋体" w:hAnsi="宋体" w:eastAsia="宋体" w:cs="宋体"/>
          <w:color w:val="000000"/>
          <w:sz w:val="24"/>
          <w:highlight w:val="none"/>
          <w:lang w:val="en-US" w:eastAsia="zh-CN"/>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十二、合同争议的解决</w:t>
      </w:r>
      <w:bookmarkEnd w:id="837"/>
      <w:r/>
      <w:bookmarkEnd w:id="838"/>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highlight w:val="none"/>
          <w:u w:val="single"/>
          <w:lang w:val="en-US" w:eastAsia="zh-CN"/>
        </w:rPr>
        <w:t xml:space="preserve"> 2  </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1.将争议提交</w:t>
      </w:r>
      <w:r>
        <w:rPr>
          <w:rFonts w:hint="eastAsia" w:ascii="宋体" w:hAnsi="宋体" w:eastAsia="宋体" w:cs="宋体"/>
          <w:color w:val="000000"/>
          <w:sz w:val="24"/>
          <w:highlight w:val="none"/>
          <w:u w:val="single"/>
        </w:rPr>
        <w:t xml:space="preserve">常州</w:t>
      </w:r>
      <w:r>
        <w:rPr>
          <w:rFonts w:hint="eastAsia" w:ascii="宋体" w:hAnsi="宋体" w:eastAsia="宋体" w:cs="宋体"/>
          <w:color w:val="000000"/>
          <w:sz w:val="24"/>
          <w:highlight w:val="none"/>
        </w:rPr>
        <w:t xml:space="preserve">仲裁委员会依申请仲裁时其现行有效的仲裁规则裁决；</w:t>
      </w:r>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甲方所在地有管辖权</w:t>
      </w:r>
      <w:r>
        <w:rPr>
          <w:rFonts w:hint="eastAsia" w:ascii="宋体" w:hAnsi="宋体" w:eastAsia="宋体" w:cs="宋体"/>
          <w:color w:val="000000"/>
          <w:sz w:val="24"/>
          <w:highlight w:val="none"/>
        </w:rPr>
        <w:t xml:space="preserve">人民法院起诉。</w:t>
      </w:r>
      <w:bookmarkStart w:id="839" w:name="_Toc66363964"/>
      <w:r>
        <w:rPr>
          <w:rFonts w:hint="eastAsia" w:ascii="宋体" w:hAnsi="宋体" w:eastAsia="宋体" w:cs="宋体"/>
          <w:color w:val="000000"/>
          <w:sz w:val="24"/>
          <w:highlight w:val="none"/>
        </w:rPr>
      </w:r>
      <w:r/>
    </w:p>
    <w:p>
      <w:pPr>
        <w:pStyle w:val="1010"/>
        <w:ind w:firstLine="480"/>
        <w:spacing w:line="360" w:lineRule="auto"/>
        <w:tabs>
          <w:tab w:val="left" w:pos="900" w:leader="none"/>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守约方于</w:t>
      </w:r>
      <w:r>
        <w:rPr>
          <w:rFonts w:hint="eastAsia" w:ascii="宋体" w:hAnsi="宋体" w:eastAsia="宋体" w:cs="宋体"/>
          <w:color w:val="000000"/>
          <w:sz w:val="24"/>
          <w:highlight w:val="none"/>
          <w:lang w:val="en-US" w:eastAsia="zh-CN"/>
        </w:rPr>
        <w:t xml:space="preserve">争议解决</w:t>
      </w:r>
      <w:r>
        <w:rPr>
          <w:rFonts w:hint="eastAsia" w:ascii="宋体" w:hAnsi="宋体" w:eastAsia="宋体" w:cs="宋体"/>
          <w:color w:val="000000"/>
          <w:sz w:val="24"/>
          <w:highlight w:val="none"/>
        </w:rPr>
        <w:t xml:space="preserve">过程发生的费用（包括但不限于</w:t>
      </w:r>
      <w:r>
        <w:rPr>
          <w:rFonts w:hint="eastAsia" w:ascii="宋体" w:hAnsi="宋体" w:eastAsia="宋体" w:cs="宋体"/>
          <w:color w:val="000000"/>
          <w:sz w:val="24"/>
          <w:highlight w:val="none"/>
          <w:lang w:val="en-US" w:eastAsia="zh-CN"/>
        </w:rPr>
        <w:t xml:space="preserve">仲裁费、</w:t>
      </w:r>
      <w:r>
        <w:rPr>
          <w:rFonts w:hint="eastAsia" w:ascii="宋体" w:hAnsi="宋体" w:eastAsia="宋体" w:cs="宋体"/>
          <w:color w:val="000000"/>
          <w:sz w:val="24"/>
          <w:highlight w:val="none"/>
        </w:rPr>
        <w:t xml:space="preserve">诉讼费、公证费、律师费、鉴定费、差旅费、保全费、担保费等），应由违约方承担。</w:t>
      </w:r>
      <w:r>
        <w:rPr>
          <w:rFonts w:hint="eastAsia" w:ascii="宋体" w:hAnsi="宋体" w:eastAsia="宋体" w:cs="宋体"/>
          <w:color w:val="000000"/>
          <w:sz w:val="24"/>
          <w:highlight w:val="none"/>
        </w:rPr>
      </w:r>
      <w:r/>
    </w:p>
    <w:p>
      <w:pPr>
        <w:pStyle w:val="1010"/>
        <w:ind w:firstLine="482"/>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highlight w:val="none"/>
        </w:rPr>
        <w:outlineLvl w:val="1"/>
      </w:pPr>
      <w:r>
        <w:rPr>
          <w:rFonts w:hint="eastAsia" w:ascii="宋体" w:hAnsi="宋体" w:eastAsia="宋体" w:cs="宋体"/>
          <w:b/>
          <w:bCs/>
          <w:color w:val="000000"/>
          <w:sz w:val="24"/>
          <w:highlight w:val="none"/>
        </w:rPr>
        <w:t xml:space="preserve">十三、合同生效</w:t>
      </w:r>
      <w:bookmarkEnd w:id="839"/>
      <w:r>
        <w:rPr>
          <w:rFonts w:hint="eastAsia" w:ascii="宋体" w:hAnsi="宋体" w:eastAsia="宋体" w:cs="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本合同自双方当事人盖章或者签字时生效。</w:t>
      </w:r>
      <w:r>
        <w:rPr>
          <w:rFonts w:hint="eastAsia" w:ascii="宋体" w:hAnsi="宋体" w:eastAsia="宋体" w:cs="宋体"/>
          <w:b/>
          <w:bCs/>
          <w:color w:val="000000"/>
          <w:sz w:val="24"/>
          <w:highlight w:val="none"/>
        </w:rPr>
      </w:r>
      <w:r/>
    </w:p>
    <w:p>
      <w:pPr>
        <w:pStyle w:val="1010"/>
        <w:ind w:firstLine="482"/>
        <w:spacing w:line="360" w:lineRule="auto"/>
        <w:tabs>
          <w:tab w:val="left" w:pos="900" w:leader="none"/>
          <w:tab w:val="left" w:pos="1080" w:leader="none"/>
        </w:tabs>
        <w:rPr>
          <w:rFonts w:hint="eastAsia" w:ascii="宋体" w:hAnsi="宋体"/>
          <w:b/>
          <w:bCs/>
          <w:color w:val="000000"/>
          <w:sz w:val="24"/>
          <w:highlight w:val="none"/>
        </w:rPr>
        <w:outlineLvl w:val="1"/>
      </w:pPr>
      <w:r>
        <w:rPr>
          <w:rFonts w:hint="eastAsia" w:ascii="宋体" w:hAnsi="宋体"/>
          <w:b/>
          <w:bCs/>
          <w:color w:val="000000"/>
          <w:sz w:val="24"/>
          <w:highlight w:val="none"/>
          <w:lang w:val="en-US" w:eastAsia="zh-CN"/>
        </w:rPr>
        <w:t xml:space="preserve">十四、</w:t>
      </w:r>
      <w:r>
        <w:rPr>
          <w:rFonts w:hint="eastAsia" w:ascii="宋体" w:hAnsi="宋体"/>
          <w:b/>
          <w:bCs/>
          <w:color w:val="000000"/>
          <w:sz w:val="24"/>
          <w:highlight w:val="none"/>
        </w:rPr>
        <w:t xml:space="preserve">合同份数</w:t>
      </w:r>
      <w:r>
        <w:rPr>
          <w:rFonts w:hint="eastAsia" w:ascii="宋体" w:hAnsi="宋体"/>
          <w:b/>
          <w:bCs/>
          <w:color w:val="000000"/>
          <w:sz w:val="24"/>
          <w:highlight w:val="none"/>
        </w:rPr>
      </w:r>
      <w:r/>
    </w:p>
    <w:p>
      <w:pPr>
        <w:pStyle w:val="1010"/>
        <w:ind w:firstLine="480"/>
        <w:spacing w:line="360" w:lineRule="auto"/>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本合同一式</w:t>
      </w:r>
      <w:r>
        <w:rPr>
          <w:rFonts w:hint="eastAsia" w:ascii="宋体" w:hAnsi="宋体"/>
          <w:color w:val="000000"/>
          <w:sz w:val="24"/>
          <w:highlight w:val="none"/>
          <w:lang w:val="en-US" w:eastAsia="zh-CN"/>
        </w:rPr>
        <w:t xml:space="preserve">的肆</w:t>
      </w:r>
      <w:r>
        <w:rPr>
          <w:rFonts w:hint="eastAsia" w:ascii="宋体" w:hAnsi="宋体"/>
          <w:color w:val="000000"/>
          <w:sz w:val="24"/>
          <w:highlight w:val="none"/>
        </w:rPr>
        <w:t xml:space="preserve">份，甲</w:t>
      </w:r>
      <w:r>
        <w:rPr>
          <w:rFonts w:hint="eastAsia" w:ascii="宋体" w:hAnsi="宋体"/>
          <w:color w:val="000000"/>
          <w:sz w:val="24"/>
          <w:highlight w:val="none"/>
          <w:lang w:val="en-US" w:eastAsia="zh-CN"/>
        </w:rPr>
        <w:t xml:space="preserve">乙双</w:t>
      </w:r>
      <w:r>
        <w:rPr>
          <w:rFonts w:hint="eastAsia" w:ascii="宋体" w:hAnsi="宋体"/>
          <w:color w:val="000000"/>
          <w:sz w:val="24"/>
          <w:highlight w:val="none"/>
        </w:rPr>
        <w:t xml:space="preserve">方</w:t>
      </w:r>
      <w:r>
        <w:rPr>
          <w:rFonts w:hint="eastAsia" w:ascii="宋体" w:hAnsi="宋体"/>
          <w:color w:val="000000"/>
          <w:sz w:val="24"/>
          <w:highlight w:val="none"/>
          <w:lang w:val="en-US" w:eastAsia="zh-CN"/>
        </w:rPr>
        <w:t xml:space="preserve">各</w:t>
      </w:r>
      <w:r>
        <w:rPr>
          <w:rFonts w:hint="eastAsia" w:ascii="宋体" w:hAnsi="宋体"/>
          <w:color w:val="000000"/>
          <w:sz w:val="24"/>
          <w:highlight w:val="none"/>
        </w:rPr>
        <w:t xml:space="preserve">执贰份，均具有同等法律效力。</w:t>
      </w:r>
      <w:r>
        <w:rPr>
          <w:rFonts w:ascii="宋体" w:hAnsi="宋体"/>
          <w:color w:val="000000"/>
          <w:sz w:val="24"/>
          <w:highlight w:val="none"/>
        </w:rPr>
      </w:r>
      <w:r/>
    </w:p>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甲方（采购人）（盖章）：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日  期：                                        </w:t>
      </w:r>
      <w:r>
        <w:rPr>
          <w:rFonts w:ascii="宋体" w:hAnsi="宋体"/>
          <w:color w:val="000000"/>
          <w:sz w:val="24"/>
          <w:highlight w:val="none"/>
        </w:rPr>
      </w:r>
      <w:r/>
    </w:p>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10"/>
        <w:spacing w:line="360" w:lineRule="auto"/>
        <w:tabs>
          <w:tab w:val="left" w:pos="90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乙方（中标供应商）（盖章）：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法定代表人：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代理人：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电  话：                                        </w:t>
      </w:r>
      <w:r>
        <w:rPr>
          <w:rFonts w:ascii="宋体" w:hAnsi="宋体"/>
          <w:color w:val="000000"/>
          <w:sz w:val="24"/>
          <w:highlight w:val="none"/>
        </w:rPr>
      </w:r>
      <w:r/>
    </w:p>
    <w:p>
      <w:pPr>
        <w:pStyle w:val="1010"/>
        <w:ind w:firstLine="480"/>
        <w:keepLines w:val="0"/>
        <w:keepNext w:val="0"/>
        <w:pageBreakBefore w:val="0"/>
        <w:spacing w:line="360" w:lineRule="auto"/>
        <w:widowControl w:val="off"/>
        <w:tabs>
          <w:tab w:val="left" w:pos="900" w:leader="none"/>
          <w:tab w:val="left" w:pos="1080" w:leader="none"/>
        </w:tabs>
        <w:rPr>
          <w:rFonts w:ascii="宋体" w:hAnsi="宋体"/>
          <w:color w:val="000000"/>
          <w:sz w:val="24"/>
          <w:highlight w:val="none"/>
        </w:rPr>
      </w:pPr>
      <w:r>
        <w:rPr>
          <w:rFonts w:hint="eastAsia" w:ascii="宋体" w:hAnsi="宋体"/>
          <w:color w:val="000000"/>
          <w:sz w:val="24"/>
          <w:highlight w:val="none"/>
        </w:rPr>
        <w:t xml:space="preserve">单位地址：                                      </w:t>
      </w:r>
      <w:r>
        <w:rPr>
          <w:rFonts w:ascii="宋体" w:hAnsi="宋体"/>
          <w:color w:val="000000"/>
          <w:sz w:val="24"/>
          <w:highlight w:val="none"/>
        </w:rPr>
      </w:r>
      <w:r/>
    </w:p>
    <w:p>
      <w:pPr>
        <w:pStyle w:val="1010"/>
        <w:ind w:firstLine="480"/>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olor w:val="000000"/>
          <w:sz w:val="24"/>
          <w:highlight w:val="none"/>
        </w:rPr>
        <w:t xml:space="preserve">日  期：         </w:t>
      </w:r>
      <w:r>
        <w:rPr>
          <w:rFonts w:ascii="宋体" w:hAnsi="宋体" w:cs="宋体"/>
          <w:b/>
          <w:bCs/>
          <w:color w:val="000000"/>
          <w:sz w:val="24"/>
          <w:highlight w:val="none"/>
        </w:rPr>
      </w:r>
      <w:r/>
    </w:p>
    <w:p>
      <w:pPr>
        <w:pStyle w:val="1012"/>
        <w:jc w:val="both"/>
        <w:keepLines w:val="0"/>
        <w:spacing w:line="240" w:lineRule="auto"/>
        <w:widowControl/>
        <w:rPr>
          <w:rFonts w:hint="eastAsia" w:ascii="宋体" w:hAnsi="宋体" w:eastAsia="宋体" w:cs="宋体"/>
          <w:b w:val="0"/>
          <w:color w:val="000000"/>
          <w:sz w:val="24"/>
          <w:szCs w:val="24"/>
          <w:highlight w:val="none"/>
        </w:rPr>
        <w:outlineLvl w:val="0"/>
      </w:pPr>
      <w:r>
        <w:rPr>
          <w:b w:val="0"/>
          <w:color w:val="000000"/>
          <w:sz w:val="36"/>
          <w:szCs w:val="36"/>
          <w:highlight w:val="none"/>
        </w:rPr>
        <w:br w:type="page" w:clear="all"/>
      </w:r>
      <w:bookmarkStart w:id="840" w:name="_Toc20847"/>
      <w:r>
        <w:rPr>
          <w:rFonts w:hint="eastAsia" w:ascii="宋体" w:hAnsi="宋体" w:eastAsia="宋体" w:cs="宋体"/>
          <w:b w:val="0"/>
          <w:color w:val="000000"/>
          <w:sz w:val="24"/>
          <w:szCs w:val="24"/>
          <w:highlight w:val="none"/>
        </w:rPr>
        <w:t xml:space="preserve">附：</w:t>
      </w:r>
      <w:bookmarkEnd w:id="840"/>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p>
      <w:pPr>
        <w:pStyle w:val="1012"/>
        <w:keepLines w:val="0"/>
        <w:spacing w:line="360" w:lineRule="auto"/>
        <w:widowControl/>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1073"/>
        <w:ind w:firstLine="480"/>
        <w:spacing w:after="240" w:afterAutospacing="0" w:line="360" w:lineRule="auto"/>
        <w:rPr>
          <w:rFonts w:hint="eastAsia"/>
          <w:color w:val="000000"/>
          <w:highlight w:val="none"/>
        </w:rPr>
      </w:pPr>
      <w:r>
        <w:rPr>
          <w:rFonts w:hint="eastAsia"/>
          <w:color w:val="000000"/>
          <w:highlight w:val="none"/>
        </w:rPr>
        <w:t xml:space="preserve">招标人（甲方）：                         中标人（乙方）：</w:t>
      </w:r>
      <w:r>
        <w:rPr>
          <w:rFonts w:hint="eastAsia"/>
          <w:color w:val="000000"/>
          <w:highlight w:val="none"/>
        </w:rPr>
      </w:r>
      <w:r/>
    </w:p>
    <w:p>
      <w:pPr>
        <w:pStyle w:val="1073"/>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1073"/>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1073"/>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1073"/>
        <w:ind w:firstLine="720"/>
        <w:spacing w:before="0" w:beforeAutospacing="0" w:after="0" w:afterAutospacing="0"/>
        <w:rPr>
          <w:rFonts w:hint="eastAsia"/>
          <w:bCs/>
          <w:color w:val="000000"/>
          <w:highlight w:val="none"/>
        </w:rPr>
      </w:pPr>
      <w:r>
        <w:rPr>
          <w:rFonts w:hint="eastAsia"/>
          <w:bCs/>
          <w:color w:val="000000"/>
          <w:highlight w:val="none"/>
        </w:rPr>
      </w:r>
      <w:r/>
    </w:p>
    <w:p>
      <w:pPr>
        <w:pStyle w:val="1073"/>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1073"/>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1073"/>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1010"/>
        <w:spacing w:line="360" w:lineRule="auto"/>
        <w:rPr>
          <w:rFonts w:ascii="宋体" w:hAnsi="宋体"/>
          <w:b/>
          <w:color w:val="000000"/>
          <w:sz w:val="36"/>
          <w:szCs w:val="36"/>
          <w:highlight w:val="none"/>
        </w:rPr>
        <w:outlineLvl w:val="9"/>
      </w:pPr>
      <w:r>
        <w:rPr>
          <w:rFonts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0"/>
      </w:pPr>
      <w:r/>
      <w:bookmarkStart w:id="841" w:name="_Toc11708"/>
      <w:r/>
      <w:bookmarkStart w:id="842" w:name="_Toc18875"/>
      <w:r>
        <w:rPr>
          <w:rFonts w:ascii="宋体" w:hAnsi="宋体"/>
          <w:b/>
          <w:color w:val="000000"/>
          <w:sz w:val="36"/>
          <w:szCs w:val="36"/>
          <w:highlight w:val="none"/>
        </w:rPr>
        <w:t xml:space="preserve">第七章   投标文件格式</w:t>
      </w:r>
      <w:bookmarkEnd w:id="841"/>
      <w:r/>
      <w:bookmarkEnd w:id="842"/>
      <w:r>
        <w:rPr>
          <w:rFonts w:ascii="宋体" w:hAnsi="宋体"/>
          <w:b/>
          <w:color w:val="000000"/>
          <w:sz w:val="36"/>
          <w:szCs w:val="36"/>
          <w:highlight w:val="none"/>
        </w:rPr>
      </w:r>
      <w:r/>
    </w:p>
    <w:p>
      <w:pPr>
        <w:pStyle w:val="101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1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10"/>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1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10"/>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10"/>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1010"/>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10"/>
        <w:jc w:val="left"/>
        <w:widowControl/>
        <w:rPr>
          <w:rFonts w:ascii="宋体" w:hAnsi="宋体"/>
          <w:b/>
          <w:color w:val="000000"/>
          <w:sz w:val="30"/>
          <w:szCs w:val="20"/>
          <w:highlight w:val="none"/>
        </w:rPr>
        <w:outlineLvl w:val="1"/>
      </w:pPr>
      <w:r>
        <w:rPr>
          <w:rFonts w:ascii="宋体" w:hAnsi="宋体"/>
          <w:color w:val="000000"/>
          <w:sz w:val="24"/>
          <w:highlight w:val="none"/>
        </w:rPr>
        <w:br w:type="page" w:clear="all"/>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10"/>
        <w:rPr>
          <w:rFonts w:ascii="宋体" w:hAnsi="宋体"/>
          <w:b/>
          <w:color w:val="000000"/>
          <w:spacing w:val="20"/>
          <w:szCs w:val="21"/>
          <w:highlight w:val="none"/>
        </w:rPr>
      </w:pPr>
      <w:r>
        <w:rPr>
          <w:rFonts w:ascii="宋体" w:hAnsi="宋体"/>
          <w:b/>
          <w:color w:val="000000"/>
          <w:spacing w:val="20"/>
          <w:szCs w:val="21"/>
          <w:highlight w:val="none"/>
        </w:rPr>
      </w:r>
      <w:r/>
    </w:p>
    <w:p>
      <w:pPr>
        <w:pStyle w:val="1010"/>
        <w:rPr>
          <w:rFonts w:ascii="宋体" w:hAnsi="宋体"/>
          <w:b/>
          <w:color w:val="000000"/>
          <w:sz w:val="24"/>
          <w:highlight w:val="none"/>
        </w:rPr>
        <w:outlineLvl w:val="2"/>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10"/>
        <w:jc w:val="center"/>
        <w:rPr>
          <w:rFonts w:ascii="宋体" w:hAnsi="宋体"/>
          <w:color w:val="000000"/>
          <w:szCs w:val="21"/>
          <w:highlight w:val="none"/>
        </w:rPr>
      </w:pPr>
      <w:r>
        <w:rPr>
          <w:rFonts w:ascii="宋体" w:hAnsi="宋体"/>
          <w:color w:val="000000"/>
          <w:szCs w:val="21"/>
          <w:highlight w:val="none"/>
        </w:rPr>
      </w:r>
      <w:r/>
    </w:p>
    <w:p>
      <w:pPr>
        <w:pStyle w:val="101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1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1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1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1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10"/>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0"/>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1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10"/>
        <w:jc w:val="center"/>
        <w:rPr>
          <w:rFonts w:ascii="宋体" w:hAnsi="宋体"/>
          <w:b/>
          <w:color w:val="000000"/>
          <w:sz w:val="32"/>
          <w:szCs w:val="32"/>
          <w:highlight w:val="none"/>
        </w:rPr>
      </w:pPr>
      <w:r>
        <w:rPr>
          <w:rFonts w:ascii="宋体" w:hAnsi="宋体"/>
          <w:b/>
          <w:color w:val="000000"/>
          <w:sz w:val="32"/>
          <w:szCs w:val="32"/>
          <w:highlight w:val="none"/>
        </w:rPr>
      </w:r>
      <w:r/>
    </w:p>
    <w:p>
      <w:pPr>
        <w:pStyle w:val="1010"/>
        <w:jc w:val="center"/>
        <w:rPr>
          <w:rFonts w:ascii="宋体" w:hAnsi="宋体"/>
          <w:b/>
          <w:color w:val="000000"/>
          <w:sz w:val="32"/>
          <w:szCs w:val="32"/>
          <w:highlight w:val="none"/>
        </w:rPr>
        <w:outlineLvl w:val="1"/>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10"/>
        <w:rPr>
          <w:rFonts w:ascii="宋体" w:hAnsi="宋体"/>
          <w:b/>
          <w:color w:val="000000"/>
          <w:highlight w:val="none"/>
        </w:rPr>
      </w:pPr>
      <w:r>
        <w:rPr>
          <w:rFonts w:ascii="宋体" w:hAnsi="宋体"/>
          <w:b/>
          <w:color w:val="000000"/>
          <w:highlight w:val="none"/>
        </w:rPr>
      </w:r>
      <w:r/>
    </w:p>
    <w:p>
      <w:pPr>
        <w:pStyle w:val="1010"/>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1013"/>
        <w:rPr>
          <w:rFonts w:hAnsi="宋体"/>
          <w:b w:val="0"/>
          <w:bCs/>
          <w:color w:val="000000"/>
          <w:highlight w:val="none"/>
          <w:u w:val="none"/>
        </w:rPr>
        <w:outlineLvl w:val="1"/>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101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1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5"/>
        <w:ind w:firstLine="480"/>
        <w:spacing w:line="460" w:lineRule="exact"/>
        <w:rPr>
          <w:rFonts w:hAnsi="宋体"/>
          <w:color w:val="000000"/>
          <w:highlight w:val="none"/>
        </w:rPr>
      </w:pP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102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25"/>
        <w:ind w:firstLine="480"/>
        <w:spacing w:line="460" w:lineRule="exact"/>
        <w:rPr>
          <w:rFonts w:hAnsi="宋体"/>
          <w:color w:val="000000"/>
          <w:highlight w:val="none"/>
        </w:rPr>
      </w:pP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25"/>
        <w:ind w:firstLine="480"/>
        <w:spacing w:line="460" w:lineRule="exact"/>
        <w:rPr>
          <w:rFonts w:hAnsi="宋体"/>
          <w:color w:val="000000"/>
          <w:highlight w:val="none"/>
        </w:rPr>
        <w:outlineLvl w:val="1"/>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25"/>
        <w:ind w:firstLine="480"/>
        <w:spacing w:line="460" w:lineRule="exact"/>
        <w:rPr>
          <w:rFonts w:hAnsi="宋体"/>
          <w:color w:val="000000"/>
          <w:highlight w:val="none"/>
        </w:rPr>
        <w:outlineLvl w:val="1"/>
      </w:pPr>
      <w:r>
        <w:rPr>
          <w:rFonts w:hint="eastAsia" w:hAnsi="宋体"/>
          <w:color w:val="000000"/>
          <w:highlight w:val="none"/>
        </w:rPr>
        <w:t xml:space="preserve">六、我单位具备法律、行政法规规定的其他条件。</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25"/>
        <w:ind w:firstLine="480"/>
        <w:spacing w:line="460" w:lineRule="exact"/>
        <w:rPr>
          <w:rFonts w:hAnsi="宋体"/>
          <w:color w:val="000000"/>
          <w:highlight w:val="none"/>
        </w:rPr>
        <w:outlineLvl w:val="1"/>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2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2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25"/>
        <w:ind w:firstLine="480"/>
        <w:spacing w:line="460" w:lineRule="exact"/>
        <w:rPr>
          <w:rFonts w:hAnsi="宋体"/>
          <w:color w:val="000000"/>
          <w:highlight w:val="none"/>
        </w:rPr>
        <w:outlineLvl w:val="2"/>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25"/>
        <w:ind w:firstLine="480"/>
        <w:spacing w:line="460" w:lineRule="exact"/>
        <w:rPr>
          <w:color w:val="000000"/>
          <w:highlight w:val="none"/>
        </w:rPr>
      </w:pPr>
      <w:r>
        <w:rPr>
          <w:rFonts w:hint="eastAsia"/>
          <w:color w:val="000000"/>
          <w:highlight w:val="none"/>
        </w:rPr>
        <w:t xml:space="preserve">十、我单位法定代表人的社保缴纳单位为：</w:t>
      </w:r>
      <w:r>
        <w:rPr>
          <w:rFonts w:hint="eastAsia"/>
          <w:color w:val="000000"/>
          <w:highlight w:val="none"/>
          <w:u w:val="single"/>
        </w:rPr>
        <w:t xml:space="preserve">                    </w:t>
      </w:r>
      <w:r>
        <w:rPr>
          <w:rFonts w:hint="eastAsia"/>
          <w:color w:val="000000"/>
          <w:highlight w:val="none"/>
        </w:rPr>
        <w:t xml:space="preserve">。（请供应商如实填写）。</w:t>
      </w:r>
      <w:r>
        <w:rPr>
          <w:color w:val="000000"/>
          <w:highlight w:val="none"/>
        </w:rPr>
      </w:r>
      <w:r/>
    </w:p>
    <w:p>
      <w:pPr>
        <w:pStyle w:val="1025"/>
        <w:ind w:firstLine="480"/>
        <w:spacing w:line="460" w:lineRule="exact"/>
        <w:rPr>
          <w:rFonts w:hAnsi="宋体"/>
          <w:color w:val="000000"/>
          <w:highlight w:val="none"/>
        </w:rPr>
      </w:pP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25"/>
        <w:ind w:firstLine="480"/>
        <w:spacing w:line="460" w:lineRule="exact"/>
        <w:rPr>
          <w:rFonts w:hAnsi="宋体"/>
          <w:color w:val="000000"/>
          <w:highlight w:val="none"/>
        </w:rPr>
      </w:pPr>
      <w:r>
        <w:rPr>
          <w:rFonts w:hAnsi="宋体"/>
          <w:color w:val="000000"/>
          <w:highlight w:val="none"/>
        </w:rPr>
      </w:r>
      <w:r/>
    </w:p>
    <w:p>
      <w:pPr>
        <w:pStyle w:val="1025"/>
        <w:ind w:firstLine="480"/>
        <w:spacing w:line="460" w:lineRule="exact"/>
        <w:rPr>
          <w:rFonts w:hAnsi="宋体"/>
          <w:color w:val="000000"/>
          <w:highlight w:val="none"/>
        </w:rPr>
      </w:pP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25"/>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25"/>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1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10"/>
        <w:spacing w:line="360" w:lineRule="auto"/>
        <w:tabs>
          <w:tab w:val="left" w:pos="5580" w:leader="none"/>
        </w:tabs>
        <w:rPr>
          <w:rFonts w:ascii="宋体" w:hAnsi="宋体"/>
          <w:color w:val="000000"/>
          <w:sz w:val="24"/>
          <w:highlight w:val="none"/>
        </w:rPr>
        <w:sectPr>
          <w:footerReference w:type="default" r:id="rId19"/>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1010"/>
        <w:numPr>
          <w:ilvl w:val="0"/>
          <w:numId w:val="0"/>
        </w:num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p>
      <w:pPr>
        <w:pStyle w:val="1010"/>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szCs w:val="20"/>
          <w:highlight w:val="none"/>
        </w:rPr>
        <w:t xml:space="preserve">2</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1  </w:t>
      </w:r>
      <w:r>
        <w:rPr>
          <w:rFonts w:hint="eastAsia" w:ascii="宋体" w:hAnsi="宋体" w:eastAsia="宋体" w:cs="宋体"/>
          <w:color w:val="000000"/>
          <w:sz w:val="24"/>
          <w:highlight w:val="none"/>
        </w:rPr>
        <w:t xml:space="preserve">中小企业政策</w:t>
      </w:r>
      <w:r>
        <w:rPr>
          <w:rFonts w:hint="eastAsia" w:ascii="宋体" w:hAnsi="宋体" w:eastAsia="宋体" w:cs="宋体"/>
          <w:color w:val="000000"/>
          <w:sz w:val="24"/>
          <w:highlight w:val="none"/>
        </w:rPr>
      </w:r>
      <w:r/>
    </w:p>
    <w:p>
      <w:pPr>
        <w:pStyle w:val="1010"/>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■本项目不专门面向中小企业预留采购份额。</w:t>
      </w:r>
      <w:r>
        <w:rPr>
          <w:rFonts w:hint="eastAsia" w:ascii="宋体" w:hAnsi="宋体" w:eastAsia="宋体" w:cs="宋体"/>
          <w:color w:val="000000"/>
          <w:sz w:val="24"/>
          <w:szCs w:val="20"/>
          <w:highlight w:val="none"/>
        </w:rPr>
      </w:r>
      <w:r/>
    </w:p>
    <w:p>
      <w:pPr>
        <w:pStyle w:val="1010"/>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010"/>
        <w:jc w:val="left"/>
        <w:widowControl/>
        <w:rPr>
          <w:rFonts w:hint="eastAsia" w:ascii="宋体" w:hAnsi="宋体" w:cs="宋体"/>
          <w:strike/>
          <w:color w:val="000000"/>
          <w:sz w:val="24"/>
          <w:szCs w:val="20"/>
          <w:highlight w:val="none"/>
        </w:rPr>
        <w:outlineLvl w:val="2"/>
      </w:pPr>
      <w:r>
        <w:rPr>
          <w:rFonts w:hint="eastAsia" w:ascii="宋体" w:hAnsi="宋体" w:cs="宋体"/>
          <w:color w:val="000000"/>
          <w:sz w:val="24"/>
          <w:szCs w:val="20"/>
          <w:highlight w:val="none"/>
        </w:rPr>
        <w:t xml:space="preserve">3 </w:t>
      </w:r>
      <w:r>
        <w:rPr>
          <w:rFonts w:hint="eastAsia" w:ascii="宋体" w:hAnsi="宋体" w:cs="宋体"/>
          <w:color w:val="000000"/>
          <w:sz w:val="24"/>
          <w:highlight w:val="none"/>
        </w:rPr>
        <w:t xml:space="preserve">本项目的特定资格要求</w:t>
      </w:r>
      <w:r>
        <w:rPr>
          <w:rFonts w:hint="eastAsia" w:ascii="宋体" w:hAnsi="宋体" w:cs="宋体"/>
          <w:color w:val="000000"/>
          <w:sz w:val="24"/>
          <w:szCs w:val="20"/>
          <w:highlight w:val="none"/>
        </w:rPr>
        <w:t xml:space="preserve">（如有）</w:t>
      </w:r>
      <w:r>
        <w:rPr>
          <w:rFonts w:hint="eastAsia" w:ascii="宋体" w:hAnsi="宋体" w:cs="宋体"/>
          <w:strike/>
          <w:color w:val="000000"/>
          <w:sz w:val="24"/>
          <w:szCs w:val="20"/>
          <w:highlight w:val="none"/>
        </w:rPr>
      </w:r>
      <w:r/>
    </w:p>
    <w:p>
      <w:pPr>
        <w:pStyle w:val="1010"/>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r>
      <w:r/>
    </w:p>
    <w:p>
      <w:pPr>
        <w:pStyle w:val="1010"/>
        <w:spacing w:line="360" w:lineRule="auto"/>
        <w:rPr>
          <w:rFonts w:hint="eastAsia" w:eastAsia="宋体"/>
          <w:color w:val="000000"/>
          <w:sz w:val="24"/>
          <w:highlight w:val="none"/>
          <w:lang w:eastAsia="zh-CN"/>
        </w:rPr>
        <w:outlineLvl w:val="3"/>
      </w:pPr>
      <w:r>
        <w:rPr>
          <w:rFonts w:hint="eastAsia" w:ascii="宋体" w:hAnsi="宋体" w:cs="宋体"/>
          <w:color w:val="000000"/>
          <w:sz w:val="24"/>
          <w:szCs w:val="20"/>
          <w:highlight w:val="none"/>
        </w:rPr>
        <w:t xml:space="preserve">3.3其他特定资格要求：</w:t>
      </w:r>
      <w:r>
        <w:rPr>
          <w:rFonts w:hint="eastAsia" w:ascii="宋体" w:hAnsi="宋体" w:cs="宋体"/>
          <w:color w:val="000000"/>
          <w:sz w:val="24"/>
          <w:szCs w:val="20"/>
          <w:highlight w:val="none"/>
          <w:lang w:eastAsia="zh-CN"/>
        </w:rPr>
        <w:t xml:space="preserve">无</w:t>
      </w:r>
      <w:r>
        <w:rPr>
          <w:rFonts w:hint="eastAsia" w:eastAsia="宋体"/>
          <w:color w:val="000000"/>
          <w:sz w:val="24"/>
          <w:highlight w:val="none"/>
          <w:lang w:eastAsia="zh-CN"/>
        </w:rPr>
      </w:r>
      <w:r/>
    </w:p>
    <w:p>
      <w:pPr>
        <w:pStyle w:val="1010"/>
        <w:jc w:val="both"/>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both"/>
        <w:widowControl/>
        <w:rPr>
          <w:rFonts w:ascii="宋体" w:hAnsi="宋体"/>
          <w:b/>
          <w:color w:val="000000"/>
          <w:sz w:val="32"/>
          <w:szCs w:val="32"/>
          <w:highlight w:val="none"/>
        </w:rPr>
      </w:pPr>
      <w:r>
        <w:rPr>
          <w:rFonts w:ascii="宋体" w:hAnsi="宋体"/>
          <w:b/>
          <w:color w:val="000000"/>
          <w:sz w:val="32"/>
          <w:szCs w:val="32"/>
          <w:highlight w:val="none"/>
        </w:rPr>
      </w:r>
      <w:r/>
    </w:p>
    <w:p>
      <w:pPr>
        <w:pStyle w:val="1010"/>
        <w:jc w:val="center"/>
        <w:widowControl/>
        <w:rPr>
          <w:rFonts w:hint="eastAsia" w:ascii="宋体" w:hAnsi="宋体"/>
          <w:b/>
          <w:color w:val="000000"/>
          <w:sz w:val="32"/>
          <w:szCs w:val="32"/>
          <w:highlight w:val="none"/>
        </w:rPr>
        <w:outlineLvl w:val="1"/>
      </w:pPr>
      <w:r>
        <w:rPr>
          <w:rFonts w:ascii="宋体" w:hAnsi="宋体"/>
          <w:b/>
          <w:color w:val="000000"/>
          <w:sz w:val="32"/>
          <w:szCs w:val="32"/>
          <w:highlight w:val="none"/>
        </w:rPr>
        <w:t xml:space="preserve">二、商务技术文件格式</w:t>
      </w:r>
      <w:bookmarkStart w:id="843" w:name="_Toc226337252"/>
      <w:r/>
      <w:bookmarkStart w:id="844" w:name="_Toc226965746"/>
      <w:r/>
      <w:bookmarkStart w:id="845" w:name="_Toc127151556"/>
      <w:r/>
      <w:bookmarkStart w:id="846" w:name="_Toc520356217"/>
      <w:r/>
      <w:bookmarkStart w:id="847" w:name="_Toc226309800"/>
      <w:r/>
      <w:bookmarkStart w:id="848" w:name="_Toc195842921"/>
      <w:r/>
      <w:bookmarkStart w:id="849" w:name="_Toc142311058"/>
      <w:r/>
      <w:bookmarkStart w:id="850" w:name="_Toc226965829"/>
      <w:r/>
      <w:bookmarkStart w:id="851" w:name="_Toc150480794"/>
      <w:r/>
      <w:bookmarkStart w:id="852" w:name="_Toc480942349"/>
      <w:r/>
      <w:bookmarkStart w:id="853" w:name="_Toc150774761"/>
      <w:r/>
      <w:bookmarkStart w:id="854" w:name="_Ref467988698"/>
      <w:r>
        <w:rPr>
          <w:rFonts w:hint="eastAsia" w:ascii="宋体" w:hAnsi="宋体"/>
          <w:b/>
          <w:color w:val="000000"/>
          <w:sz w:val="32"/>
          <w:szCs w:val="32"/>
          <w:highlight w:val="none"/>
        </w:rPr>
      </w:r>
      <w:r/>
    </w:p>
    <w:p>
      <w:pPr>
        <w:pStyle w:val="101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101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1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1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1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10"/>
        <w:ind w:firstLine="408"/>
        <w:spacing w:line="360" w:lineRule="auto"/>
        <w:tabs>
          <w:tab w:val="left" w:pos="5580" w:leader="none"/>
        </w:tabs>
        <w:rPr>
          <w:rFonts w:ascii="宋体" w:hAnsi="宋体"/>
          <w:color w:val="000000"/>
          <w:sz w:val="24"/>
          <w:szCs w:val="20"/>
          <w:highlight w:val="none"/>
        </w:rPr>
        <w:outlineLvl w:val="2"/>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10"/>
        <w:ind w:left="360" w:firstLine="72"/>
        <w:spacing w:line="360" w:lineRule="auto"/>
        <w:tabs>
          <w:tab w:val="left" w:pos="720" w:leader="none"/>
          <w:tab w:val="left" w:pos="900" w:leader="none"/>
        </w:tabs>
        <w:rPr>
          <w:rFonts w:ascii="宋体" w:hAnsi="宋体"/>
          <w:color w:val="000000"/>
          <w:sz w:val="24"/>
          <w:szCs w:val="20"/>
          <w:highlight w:val="none"/>
        </w:rPr>
        <w:outlineLvl w:val="3"/>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1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1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1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10"/>
        <w:ind w:left="420"/>
        <w:spacing w:line="360" w:lineRule="auto"/>
        <w:rPr>
          <w:rFonts w:ascii="宋体" w:hAnsi="宋体"/>
          <w:color w:val="000000"/>
          <w:sz w:val="24"/>
          <w:highlight w:val="none"/>
        </w:rPr>
        <w:outlineLvl w:val="2"/>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1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101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10"/>
        <w:jc w:val="left"/>
        <w:widowControl/>
        <w:rPr>
          <w:rFonts w:hint="eastAsia" w:ascii="宋体" w:hAnsi="宋体"/>
          <w:color w:val="000000"/>
          <w:sz w:val="24"/>
          <w:highlight w:val="none"/>
        </w:rPr>
        <w:outlineLvl w:val="2"/>
      </w:pPr>
      <w:r/>
      <w:bookmarkStart w:id="855" w:name="_Hlt520356243"/>
      <w:r/>
      <w:bookmarkEnd w:id="855"/>
      <w:r/>
      <w:bookmarkStart w:id="856" w:name="_Hlt520355938"/>
      <w:r/>
      <w:bookmarkEnd w:id="856"/>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1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ascii="宋体" w:hAnsi="宋体"/>
          <w:color w:val="000000"/>
          <w:sz w:val="24"/>
          <w:highlight w:val="none"/>
        </w:rPr>
      </w:r>
      <w:r/>
    </w:p>
    <w:p>
      <w:pPr>
        <w:pStyle w:val="104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10"/>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10"/>
        <w:ind w:left="4200" w:firstLine="4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101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10"/>
        <w:ind w:firstLine="456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1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10"/>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color w:val="000000"/>
          <w:sz w:val="24"/>
          <w:highlight w:val="none"/>
          <w:lang w:val="en-US" w:eastAsia="zh-CN"/>
        </w:rPr>
      </w:pPr>
      <w:r>
        <w:rPr>
          <w:rFonts w:hint="eastAsia" w:ascii="宋体" w:hAnsi="宋体"/>
          <w:color w:val="000000"/>
          <w:sz w:val="24"/>
          <w:highlight w:val="none"/>
        </w:rPr>
        <w:br w:type="page" w:clear="all"/>
      </w:r>
      <w:r>
        <w:rPr>
          <w:rFonts w:hint="eastAsia"/>
          <w:color w:val="000000"/>
          <w:sz w:val="24"/>
          <w:highlight w:val="none"/>
          <w:lang w:val="en-US" w:eastAsia="zh-CN"/>
        </w:rPr>
        <w:t xml:space="preserve">3 法人授权委托书（实质性格式）</w:t>
      </w:r>
      <w:r>
        <w:rPr>
          <w:color w:val="000000"/>
          <w:sz w:val="24"/>
          <w:highlight w:val="none"/>
          <w:lang w:val="en-US" w:eastAsia="zh-CN"/>
        </w:rPr>
      </w:r>
      <w:r/>
    </w:p>
    <w:p>
      <w:pPr>
        <w:pStyle w:val="1010"/>
        <w:jc w:val="center"/>
        <w:spacing w:line="312" w:lineRule="auto"/>
        <w:rPr>
          <w:rFonts w:hint="eastAsia" w:ascii="宋体" w:hAnsi="宋体" w:eastAsia="宋体" w:cs="宋体"/>
          <w:b/>
          <w:color w:val="000000"/>
          <w:sz w:val="24"/>
          <w:szCs w:val="24"/>
          <w:highlight w:val="none"/>
        </w:rPr>
      </w:pPr>
      <w:r/>
      <w:bookmarkStart w:id="857" w:name="_Toc19862"/>
      <w:r/>
      <w:bookmarkStart w:id="858" w:name="_Toc1214"/>
      <w:r/>
      <w:bookmarkStart w:id="859" w:name="_Toc20050"/>
      <w:r>
        <w:rPr>
          <w:rFonts w:hint="eastAsia" w:ascii="宋体" w:hAnsi="宋体" w:eastAsia="宋体" w:cs="宋体"/>
          <w:b/>
          <w:color w:val="000000"/>
          <w:sz w:val="24"/>
          <w:szCs w:val="24"/>
          <w:highlight w:val="none"/>
        </w:rPr>
      </w:r>
      <w:r/>
    </w:p>
    <w:p>
      <w:pPr>
        <w:pStyle w:val="1010"/>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法人授权委托</w:t>
      </w:r>
      <w:r>
        <w:rPr>
          <w:rFonts w:hint="eastAsia" w:ascii="宋体" w:hAnsi="宋体" w:eastAsia="宋体" w:cs="宋体"/>
          <w:b/>
          <w:color w:val="000000"/>
          <w:sz w:val="24"/>
          <w:szCs w:val="24"/>
          <w:highlight w:val="none"/>
        </w:rPr>
        <w:t xml:space="preserve">书</w:t>
      </w:r>
      <w:bookmarkEnd w:id="857"/>
      <w:r/>
      <w:bookmarkEnd w:id="858"/>
      <w:r/>
      <w:bookmarkEnd w:id="859"/>
      <w:r>
        <w:rPr>
          <w:rFonts w:hint="eastAsia" w:ascii="宋体" w:hAnsi="宋体" w:eastAsia="宋体" w:cs="宋体"/>
          <w:b/>
          <w:color w:val="000000"/>
          <w:sz w:val="24"/>
          <w:szCs w:val="24"/>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ind w:firstLine="72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本授权委托书声明：</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（供应商名称）的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（法定代表人姓名、职务）代表供应商授权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（被授权人的姓名、职务）为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项目的合法代理人，全权负责参加本次政府采购项目的投标、签订合约以及与之相关的各项工作。本供应商对代理人的所有签名负全部责任。</w:t>
      </w:r>
      <w:r>
        <w:rPr>
          <w:rFonts w:ascii="宋体" w:hAnsi="宋体" w:eastAsia="宋体"/>
          <w:color w:val="000000"/>
          <w:sz w:val="24"/>
          <w:szCs w:val="24"/>
          <w:highlight w:val="none"/>
        </w:rPr>
      </w:r>
      <w:r/>
    </w:p>
    <w:p>
      <w:pPr>
        <w:pStyle w:val="1010"/>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本授权书于 </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年</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日签字生效，特此声明。</w:t>
      </w:r>
      <w:r>
        <w:rPr>
          <w:rFonts w:ascii="宋体" w:hAnsi="宋体" w:eastAsia="宋体"/>
          <w:color w:val="000000"/>
          <w:sz w:val="24"/>
          <w:szCs w:val="24"/>
          <w:highlight w:val="none"/>
        </w:rPr>
      </w:r>
      <w:r/>
    </w:p>
    <w:p>
      <w:pPr>
        <w:pStyle w:val="1041"/>
        <w:tabs>
          <w:tab w:val="left" w:pos="567" w:leader="none"/>
        </w:tabs>
        <w:rPr>
          <w:rFonts w:hint="eastAsia"/>
          <w:color w:val="000000"/>
          <w:highlight w:val="none"/>
        </w:rPr>
      </w:pPr>
      <w:r>
        <w:rPr>
          <w:rFonts w:hint="eastAsia"/>
          <w:color w:val="000000"/>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委托代理人签字或盖章：</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 xml:space="preserve">日期：</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职务：</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单位名称：</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供应商公章：</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传真：</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邮编：</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rPr>
        <w:tab/>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账号：</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代理人身份证</w:t>
      </w:r>
      <w:r>
        <w:rPr>
          <w:rFonts w:hint="eastAsia" w:ascii="宋体" w:hAnsi="宋体" w:eastAsia="宋体"/>
          <w:color w:val="000000"/>
          <w:sz w:val="24"/>
          <w:szCs w:val="24"/>
          <w:highlight w:val="none"/>
        </w:rPr>
      </w:r>
      <w:r/>
    </w:p>
    <w:p>
      <w:pPr>
        <w:pStyle w:val="101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（双面复印件）粘贴处：</w:t>
      </w:r>
      <w:r>
        <w:rPr>
          <w:rFonts w:hint="eastAsia" w:ascii="宋体" w:hAnsi="宋体" w:eastAsia="宋体"/>
          <w:color w:val="000000"/>
          <w:sz w:val="24"/>
          <w:szCs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10"/>
        <w:jc w:val="left"/>
        <w:widowControl/>
        <w:rPr>
          <w:rFonts w:hint="eastAsia" w:ascii="宋体" w:hAnsi="宋体"/>
          <w:color w:val="000000"/>
          <w:sz w:val="24"/>
          <w:highlight w:val="none"/>
        </w:rPr>
        <w:outlineLvl w:val="2"/>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1010"/>
        <w:jc w:val="center"/>
        <w:spacing w:line="560" w:lineRule="exact"/>
        <w:rPr>
          <w:rFonts w:ascii="宋体" w:hAnsi="宋体"/>
          <w:b/>
          <w:color w:val="000000"/>
          <w:sz w:val="32"/>
          <w:szCs w:val="32"/>
          <w:highlight w:val="none"/>
        </w:rPr>
        <w:outlineLvl w:val="1"/>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10"/>
        <w:ind w:firstLine="640"/>
        <w:rPr>
          <w:rFonts w:ascii="宋体" w:hAnsi="宋体"/>
          <w:color w:val="000000"/>
          <w:highlight w:val="none"/>
        </w:rPr>
      </w:pPr>
      <w:r>
        <w:rPr>
          <w:rFonts w:ascii="宋体" w:hAnsi="宋体"/>
          <w:color w:val="000000"/>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outlineLvl w:val="1"/>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1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62"/>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jc w:val="left"/>
        <w:widowControl/>
        <w:rPr>
          <w:rFonts w:hint="eastAsia"/>
          <w:color w:val="000000"/>
          <w:sz w:val="24"/>
          <w:highlight w:val="none"/>
        </w:rPr>
        <w:outlineLvl w:val="2"/>
      </w:pPr>
      <w:r/>
      <w:bookmarkStart w:id="860" w:name="_Hlt520343000"/>
      <w:r/>
      <w:bookmarkEnd w:id="860"/>
      <w:r/>
      <w:bookmarkStart w:id="861" w:name="_Hlt520274065"/>
      <w:r/>
      <w:bookmarkEnd w:id="861"/>
      <w:r/>
      <w:bookmarkStart w:id="862" w:name="_Hlt520274393"/>
      <w:r/>
      <w:bookmarkEnd w:id="862"/>
      <w:r/>
      <w:bookmarkStart w:id="863" w:name="_Hlt520274121"/>
      <w:r/>
      <w:bookmarkEnd w:id="863"/>
      <w:r/>
      <w:bookmarkStart w:id="864" w:name="_Hlt520273711"/>
      <w:r/>
      <w:bookmarkEnd w:id="864"/>
      <w:r/>
      <w:bookmarkStart w:id="865" w:name="_Hlt520274407"/>
      <w:r/>
      <w:bookmarkEnd w:id="865"/>
      <w:r/>
      <w:bookmarkStart w:id="866" w:name="_Hlt520343392"/>
      <w:r/>
      <w:bookmarkEnd w:id="866"/>
      <w:r/>
      <w:bookmarkStart w:id="867" w:name="_Hlt520271212"/>
      <w:r/>
      <w:bookmarkEnd w:id="867"/>
      <w:r/>
      <w:bookmarkStart w:id="868" w:name="_Hlt520350918"/>
      <w:r/>
      <w:bookmarkEnd w:id="868"/>
      <w:r/>
      <w:bookmarkStart w:id="869" w:name="_Hlt520355504"/>
      <w:r/>
      <w:bookmarkEnd w:id="869"/>
      <w:r/>
      <w:bookmarkStart w:id="870" w:name="_Toc305158825"/>
      <w:r/>
      <w:bookmarkStart w:id="871" w:name="_Toc195842922"/>
      <w:r/>
      <w:bookmarkStart w:id="872" w:name="_Toc226965747"/>
      <w:r/>
      <w:bookmarkStart w:id="873" w:name="_Toc226965830"/>
      <w:r/>
      <w:bookmarkStart w:id="874" w:name="_Ref467988705"/>
      <w:r/>
      <w:bookmarkStart w:id="875" w:name="_Toc127151557"/>
      <w:r/>
      <w:bookmarkStart w:id="876" w:name="_Toc520356218"/>
      <w:r/>
      <w:bookmarkStart w:id="877" w:name="_Toc305158899"/>
      <w:r/>
      <w:bookmarkStart w:id="878" w:name="_Toc264969247"/>
      <w:r/>
      <w:bookmarkStart w:id="879" w:name="_Toc265228395"/>
      <w:r/>
      <w:bookmarkStart w:id="880" w:name="_Toc150774762"/>
      <w:r/>
      <w:bookmarkStart w:id="881" w:name="_Toc480942350"/>
      <w:r/>
      <w:bookmarkStart w:id="882" w:name="_Toc226309801"/>
      <w:r/>
      <w:bookmarkStart w:id="883" w:name="_Toc142311059"/>
      <w:r/>
      <w:bookmarkStart w:id="884" w:name="_Toc150480795"/>
      <w:r/>
      <w:bookmarkStart w:id="885" w:name="_Toc226337253"/>
      <w:r>
        <w:rPr>
          <w:rFonts w:ascii="宋体" w:hAnsi="宋体"/>
          <w:color w:val="000000"/>
          <w:sz w:val="24"/>
          <w:szCs w:val="20"/>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供应商管理关系或控股关系信息情况表（实质性格式）</w:t>
      </w:r>
      <w:r>
        <w:rPr>
          <w:rFonts w:hint="eastAsia"/>
          <w:color w:val="000000"/>
          <w:sz w:val="24"/>
          <w:highlight w:val="none"/>
        </w:rPr>
      </w:r>
      <w:r/>
    </w:p>
    <w:p>
      <w:pPr>
        <w:pStyle w:val="1010"/>
        <w:spacing w:line="360" w:lineRule="auto"/>
        <w:rPr>
          <w:rFonts w:hint="eastAsia"/>
          <w:color w:val="000000"/>
          <w:sz w:val="24"/>
          <w:highlight w:val="none"/>
        </w:rPr>
        <w:outlineLvl w:val="9"/>
      </w:pPr>
      <w:r>
        <w:rPr>
          <w:rFonts w:hint="eastAsia"/>
          <w:color w:val="000000"/>
          <w:sz w:val="24"/>
          <w:highlight w:val="none"/>
        </w:rPr>
      </w:r>
      <w:r/>
    </w:p>
    <w:p>
      <w:pPr>
        <w:pStyle w:val="1010"/>
        <w:ind w:firstLine="560"/>
        <w:jc w:val="center"/>
        <w:spacing w:line="520" w:lineRule="exact"/>
        <w:rPr>
          <w:rFonts w:ascii="黑体" w:hAnsi="黑体" w:eastAsia="黑体"/>
          <w:b/>
          <w:color w:val="000000"/>
          <w:sz w:val="32"/>
          <w:szCs w:val="32"/>
          <w:highlight w:val="none"/>
        </w:rPr>
        <w:outlineLvl w:val="3"/>
      </w:pPr>
      <w:r/>
      <w:bookmarkStart w:id="886" w:name="_Toc15618"/>
      <w:r>
        <w:rPr>
          <w:rFonts w:hint="eastAsia" w:ascii="宋体" w:hAnsi="宋体" w:cs="宋体"/>
          <w:b/>
          <w:color w:val="000000"/>
          <w:sz w:val="28"/>
          <w:szCs w:val="28"/>
          <w:highlight w:val="none"/>
        </w:rPr>
        <w:t xml:space="preserve">供应商管理关系或控股关系信息情况表</w:t>
      </w:r>
      <w:bookmarkEnd w:id="886"/>
      <w:r>
        <w:rPr>
          <w:rFonts w:ascii="黑体" w:hAnsi="黑体" w:eastAsia="黑体"/>
          <w:b/>
          <w:color w:val="000000"/>
          <w:sz w:val="32"/>
          <w:szCs w:val="32"/>
          <w:highlight w:val="none"/>
        </w:rPr>
      </w:r>
      <w:r/>
    </w:p>
    <w:p>
      <w:pPr>
        <w:pStyle w:val="1010"/>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1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101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1010"/>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101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1010"/>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1010"/>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01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1010"/>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1010"/>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1010"/>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1010"/>
              <w:numPr>
                <w:ilvl w:val="0"/>
                <w:numId w:val="9"/>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1010"/>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1010"/>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1010"/>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010"/>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1010"/>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010"/>
        <w:jc w:val="left"/>
        <w:widowControl/>
        <w:rPr>
          <w:rFonts w:ascii="宋体" w:hAnsi="宋体"/>
          <w:color w:val="000000"/>
          <w:sz w:val="24"/>
          <w:szCs w:val="20"/>
          <w:highlight w:val="none"/>
        </w:rPr>
      </w:pPr>
      <w:r>
        <w:rPr>
          <w:rFonts w:ascii="宋体" w:hAnsi="宋体"/>
          <w:color w:val="000000"/>
          <w:sz w:val="24"/>
          <w:szCs w:val="20"/>
          <w:highlight w:val="none"/>
        </w:rPr>
      </w:r>
      <w:r/>
    </w:p>
    <w:p>
      <w:pPr>
        <w:pStyle w:val="1010"/>
        <w:jc w:val="left"/>
        <w:widowControl/>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开标一览表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color w:val="000000"/>
          <w:sz w:val="24"/>
          <w:szCs w:val="20"/>
          <w:highlight w:val="none"/>
        </w:rPr>
      </w:r>
      <w:r/>
    </w:p>
    <w:p>
      <w:pPr>
        <w:pStyle w:val="1010"/>
        <w:jc w:val="center"/>
        <w:spacing w:line="360" w:lineRule="exact"/>
        <w:rPr>
          <w:rFonts w:hint="eastAsia" w:ascii="宋体" w:hAnsi="宋体"/>
          <w:b/>
          <w:color w:val="000000"/>
          <w:sz w:val="36"/>
          <w:szCs w:val="36"/>
          <w:highlight w:val="none"/>
        </w:rPr>
      </w:pPr>
      <w:r/>
      <w:bookmarkStart w:id="887" w:name="_Toc265228396"/>
      <w:r/>
      <w:bookmarkStart w:id="888" w:name="_Toc164608672"/>
      <w:r/>
      <w:bookmarkStart w:id="889" w:name="_Toc226309802"/>
      <w:r/>
      <w:bookmarkStart w:id="890" w:name="_Toc305158826"/>
      <w:r/>
      <w:bookmarkStart w:id="891" w:name="_Toc305158900"/>
      <w:r/>
      <w:bookmarkStart w:id="892" w:name="_Toc226965748"/>
      <w:r/>
      <w:bookmarkStart w:id="893" w:name="_Toc195842923"/>
      <w:r/>
      <w:bookmarkStart w:id="894" w:name="_Toc264969248"/>
      <w:r/>
      <w:bookmarkStart w:id="895" w:name="_Toc226965831"/>
      <w:r/>
      <w:bookmarkStart w:id="896" w:name="_Toc226337254"/>
      <w:r/>
      <w:bookmarkStart w:id="897" w:name="_Toc164608827"/>
      <w:r>
        <w:rPr>
          <w:rFonts w:hint="eastAsia" w:ascii="宋体" w:hAnsi="宋体"/>
          <w:b/>
          <w:color w:val="000000"/>
          <w:sz w:val="36"/>
          <w:szCs w:val="36"/>
          <w:highlight w:val="none"/>
        </w:rPr>
      </w:r>
      <w:r/>
    </w:p>
    <w:p>
      <w:pPr>
        <w:pStyle w:val="1010"/>
        <w:jc w:val="center"/>
        <w:spacing w:line="360" w:lineRule="exact"/>
        <w:rPr>
          <w:rFonts w:ascii="宋体" w:hAnsi="宋体" w:eastAsia="宋体"/>
          <w:b/>
          <w:color w:val="000000"/>
          <w:sz w:val="36"/>
          <w:szCs w:val="36"/>
          <w:highlight w:val="none"/>
          <w:u w:val="none"/>
          <w:lang w:val="en-US" w:eastAsia="zh-CN"/>
        </w:rPr>
        <w:outlineLvl w:val="3"/>
      </w:pPr>
      <w:r>
        <w:rPr>
          <w:rFonts w:hint="eastAsia" w:ascii="宋体" w:hAnsi="宋体"/>
          <w:b/>
          <w:color w:val="000000"/>
          <w:sz w:val="36"/>
          <w:szCs w:val="36"/>
          <w:highlight w:val="none"/>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eastAsia="宋体"/>
          <w:b/>
          <w:color w:val="000000"/>
          <w:sz w:val="36"/>
          <w:szCs w:val="36"/>
          <w:highlight w:val="none"/>
          <w:u w:val="none"/>
          <w:lang w:val="en-US" w:eastAsia="zh-CN"/>
        </w:rPr>
      </w:r>
      <w:r/>
    </w:p>
    <w:p>
      <w:pPr>
        <w:pStyle w:val="101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1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921" w:type="pct"/>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3722"/>
        <w:gridCol w:w="2227"/>
        <w:gridCol w:w="2168"/>
      </w:tblGrid>
      <w:tr>
        <w:trPr>
          <w:trHeight w:val="566"/>
        </w:trPr>
        <w:tc>
          <w:tcPr>
            <w:tcW w:w="460" w:type="dxa"/>
            <w:vAlign w:val="center"/>
            <w:vMerge w:val="restart"/>
            <w:textDirection w:val="lrTb"/>
            <w:noWrap w:val="false"/>
          </w:tcPr>
          <w:p>
            <w:pPr>
              <w:pStyle w:val="1010"/>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2081" w:type="dxa"/>
            <w:vAlign w:val="center"/>
            <w:vMerge w:val="restart"/>
            <w:textDirection w:val="lrTb"/>
            <w:noWrap w:val="false"/>
          </w:tcPr>
          <w:p>
            <w:pPr>
              <w:pStyle w:val="1010"/>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395" w:type="dxa"/>
            <w:vAlign w:val="center"/>
            <w:textDirection w:val="lrTb"/>
            <w:noWrap w:val="false"/>
          </w:tcPr>
          <w:p>
            <w:pPr>
              <w:pStyle w:val="1010"/>
              <w:jc w:val="center"/>
              <w:tabs>
                <w:tab w:val="left" w:pos="5580" w:leader="none"/>
              </w:tabs>
              <w:rPr>
                <w:rFonts w:eastAsia="宋体"/>
                <w:b/>
                <w:color w:val="000000"/>
                <w:sz w:val="24"/>
                <w:highlight w:val="none"/>
                <w:lang w:val="en-US" w:eastAsia="zh-CN"/>
              </w:rPr>
            </w:pPr>
            <w:r>
              <w:rPr>
                <w:rFonts w:hint="eastAsia"/>
                <w:b/>
                <w:color w:val="000000"/>
                <w:sz w:val="24"/>
                <w:highlight w:val="none"/>
                <w:lang w:eastAsia="zh-CN"/>
              </w:rPr>
              <w:t xml:space="preserve">投标</w:t>
            </w:r>
            <w:r>
              <w:rPr>
                <w:rFonts w:hint="eastAsia"/>
                <w:b/>
                <w:color w:val="000000"/>
                <w:sz w:val="24"/>
                <w:highlight w:val="none"/>
              </w:rPr>
              <w:t xml:space="preserve">报价</w:t>
            </w:r>
            <w:r>
              <w:rPr>
                <w:rFonts w:eastAsia="宋体"/>
                <w:b/>
                <w:color w:val="000000"/>
                <w:sz w:val="24"/>
                <w:highlight w:val="none"/>
                <w:lang w:val="en-US" w:eastAsia="zh-CN"/>
              </w:rPr>
            </w:r>
            <w:r/>
          </w:p>
        </w:tc>
      </w:tr>
      <w:tr>
        <w:trPr>
          <w:trHeight w:val="666"/>
        </w:trPr>
        <w:tc>
          <w:tcPr>
            <w:tcW w:w="460" w:type="dxa"/>
            <w:vAlign w:val="center"/>
            <w:vMerge w:val="continue"/>
            <w:textDirection w:val="lrTb"/>
            <w:noWrap w:val="false"/>
          </w:tcPr>
          <w:p>
            <w:pPr>
              <w:pStyle w:val="1010"/>
              <w:jc w:val="center"/>
              <w:tabs>
                <w:tab w:val="left" w:pos="5580" w:leader="none"/>
              </w:tabs>
              <w:rPr>
                <w:color w:val="000000"/>
                <w:sz w:val="24"/>
                <w:highlight w:val="none"/>
              </w:rPr>
            </w:pPr>
            <w:r>
              <w:rPr>
                <w:color w:val="000000"/>
                <w:sz w:val="24"/>
                <w:highlight w:val="none"/>
              </w:rPr>
            </w:r>
            <w:r/>
          </w:p>
        </w:tc>
        <w:tc>
          <w:tcPr>
            <w:tcW w:w="2081" w:type="dxa"/>
            <w:vAlign w:val="center"/>
            <w:vMerge w:val="continue"/>
            <w:textDirection w:val="lrTb"/>
            <w:noWrap w:val="false"/>
          </w:tcPr>
          <w:p>
            <w:pPr>
              <w:pStyle w:val="1010"/>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1010"/>
              <w:jc w:val="center"/>
              <w:tabs>
                <w:tab w:val="left" w:pos="5580" w:leader="none"/>
              </w:tabs>
              <w:rPr>
                <w:color w:val="000000"/>
                <w:sz w:val="24"/>
                <w:highlight w:val="none"/>
              </w:rPr>
            </w:pPr>
            <w:r>
              <w:rPr>
                <w:rFonts w:hint="eastAsia"/>
                <w:b/>
                <w:color w:val="000000"/>
                <w:sz w:val="24"/>
                <w:highlight w:val="none"/>
              </w:rPr>
              <w:t xml:space="preserve">大写</w:t>
            </w:r>
            <w:r>
              <w:rPr>
                <w:color w:val="000000"/>
                <w:sz w:val="24"/>
                <w:highlight w:val="none"/>
              </w:rPr>
            </w:r>
            <w:r/>
          </w:p>
        </w:tc>
        <w:tc>
          <w:tcPr>
            <w:tcW w:w="1211" w:type="dxa"/>
            <w:vAlign w:val="center"/>
            <w:textDirection w:val="lrTb"/>
            <w:noWrap w:val="false"/>
          </w:tcPr>
          <w:p>
            <w:pPr>
              <w:pStyle w:val="1010"/>
              <w:jc w:val="center"/>
              <w:tabs>
                <w:tab w:val="left" w:pos="5580" w:leader="none"/>
              </w:tabs>
              <w:rPr>
                <w:color w:val="000000"/>
                <w:highlight w:val="none"/>
              </w:rPr>
            </w:pPr>
            <w:r>
              <w:rPr>
                <w:rFonts w:hint="eastAsia"/>
                <w:b/>
                <w:color w:val="000000"/>
                <w:sz w:val="24"/>
                <w:highlight w:val="none"/>
              </w:rPr>
              <w:t xml:space="preserve">小写</w:t>
            </w:r>
            <w:r>
              <w:rPr>
                <w:color w:val="000000"/>
                <w:highlight w:val="none"/>
              </w:rPr>
            </w:r>
            <w:r/>
          </w:p>
        </w:tc>
      </w:tr>
      <w:tr>
        <w:trPr>
          <w:trHeight w:val="976"/>
        </w:trPr>
        <w:tc>
          <w:tcPr>
            <w:tcW w:w="460" w:type="dxa"/>
            <w:vAlign w:val="center"/>
            <w:textDirection w:val="lrTb"/>
            <w:noWrap w:val="false"/>
          </w:tcPr>
          <w:p>
            <w:pPr>
              <w:pStyle w:val="1010"/>
              <w:jc w:val="center"/>
              <w:tabs>
                <w:tab w:val="left" w:pos="5580" w:leader="none"/>
              </w:tabs>
              <w:rPr>
                <w:color w:val="000000"/>
                <w:sz w:val="24"/>
                <w:highlight w:val="none"/>
              </w:rPr>
            </w:pPr>
            <w:r>
              <w:rPr>
                <w:color w:val="000000"/>
                <w:sz w:val="24"/>
                <w:highlight w:val="none"/>
              </w:rPr>
            </w:r>
            <w:r/>
          </w:p>
        </w:tc>
        <w:tc>
          <w:tcPr>
            <w:tcW w:w="2081" w:type="dxa"/>
            <w:vAlign w:val="center"/>
            <w:textDirection w:val="lrTb"/>
            <w:noWrap w:val="false"/>
          </w:tcPr>
          <w:p>
            <w:pPr>
              <w:pStyle w:val="1010"/>
              <w:jc w:val="center"/>
              <w:tabs>
                <w:tab w:val="left" w:pos="5580" w:leader="none"/>
              </w:tabs>
              <w:rPr>
                <w:color w:val="000000"/>
                <w:sz w:val="24"/>
                <w:highlight w:val="none"/>
              </w:rPr>
            </w:pPr>
            <w:r>
              <w:rPr>
                <w:color w:val="000000"/>
                <w:sz w:val="24"/>
                <w:highlight w:val="none"/>
              </w:rPr>
            </w:r>
            <w:r/>
          </w:p>
        </w:tc>
        <w:tc>
          <w:tcPr>
            <w:tcW w:w="1245" w:type="dxa"/>
            <w:vAlign w:val="center"/>
            <w:textDirection w:val="lrTb"/>
            <w:noWrap w:val="false"/>
          </w:tcPr>
          <w:p>
            <w:pPr>
              <w:pStyle w:val="1010"/>
              <w:jc w:val="center"/>
              <w:tabs>
                <w:tab w:val="left" w:pos="5580" w:leader="none"/>
              </w:tabs>
              <w:rPr>
                <w:rFonts w:hint="eastAsia"/>
                <w:b/>
                <w:color w:val="000000"/>
                <w:sz w:val="24"/>
                <w:highlight w:val="none"/>
              </w:rPr>
            </w:pPr>
            <w:r>
              <w:rPr>
                <w:rFonts w:hint="eastAsia"/>
                <w:b/>
                <w:color w:val="000000"/>
                <w:sz w:val="24"/>
                <w:highlight w:val="none"/>
              </w:rPr>
            </w:r>
            <w:r/>
          </w:p>
        </w:tc>
        <w:tc>
          <w:tcPr>
            <w:tcW w:w="1211" w:type="dxa"/>
            <w:vAlign w:val="center"/>
            <w:textDirection w:val="lrTb"/>
            <w:noWrap w:val="false"/>
          </w:tcPr>
          <w:p>
            <w:pPr>
              <w:pStyle w:val="1010"/>
              <w:jc w:val="center"/>
              <w:tabs>
                <w:tab w:val="left" w:pos="5580" w:leader="none"/>
              </w:tabs>
              <w:rPr>
                <w:rFonts w:hint="eastAsia"/>
                <w:b/>
                <w:color w:val="000000"/>
                <w:sz w:val="24"/>
                <w:highlight w:val="none"/>
              </w:rPr>
            </w:pPr>
            <w:r>
              <w:rPr>
                <w:rFonts w:hint="eastAsia"/>
                <w:b/>
                <w:color w:val="000000"/>
                <w:sz w:val="24"/>
                <w:highlight w:val="none"/>
              </w:rPr>
            </w:r>
            <w:r/>
          </w:p>
        </w:tc>
      </w:tr>
    </w:tbl>
    <w:p>
      <w:pPr>
        <w:pStyle w:val="1010"/>
        <w:jc w:val="left"/>
        <w:rPr>
          <w:rFonts w:ascii="宋体" w:hAnsi="宋体"/>
          <w:color w:val="000000"/>
          <w:sz w:val="24"/>
          <w:highlight w:val="none"/>
        </w:rPr>
      </w:pPr>
      <w:r>
        <w:rPr>
          <w:rFonts w:ascii="宋体" w:hAnsi="宋体"/>
          <w:color w:val="000000"/>
          <w:sz w:val="24"/>
          <w:highlight w:val="none"/>
        </w:rPr>
      </w:r>
      <w:r/>
    </w:p>
    <w:p>
      <w:pPr>
        <w:pStyle w:val="1010"/>
        <w:tabs>
          <w:tab w:val="left" w:pos="5580" w:leader="none"/>
        </w:tabs>
        <w:rPr>
          <w:rFonts w:hint="eastAsia" w:ascii="宋体" w:hAnsi="宋体"/>
          <w:b w:val="0"/>
          <w:bCs w:val="0"/>
          <w:color w:val="000000"/>
          <w:sz w:val="24"/>
          <w:highlight w:val="none"/>
          <w:lang w:val="en-US" w:eastAsia="zh-CN"/>
        </w:rPr>
      </w:pPr>
      <w:r>
        <w:rPr>
          <w:rFonts w:ascii="宋体" w:hAnsi="宋体"/>
          <w:color w:val="000000"/>
          <w:sz w:val="24"/>
          <w:highlight w:val="none"/>
        </w:rPr>
        <w:t xml:space="preserve">注：</w:t>
      </w:r>
      <w:r>
        <w:rPr>
          <w:rFonts w:hint="eastAsia" w:ascii="宋体" w:hAnsi="宋体"/>
          <w:b w:val="0"/>
          <w:bCs w:val="0"/>
          <w:color w:val="000000"/>
          <w:sz w:val="24"/>
          <w:highlight w:val="none"/>
          <w:lang w:val="en-US" w:eastAsia="zh-CN"/>
        </w:rPr>
        <w:t xml:space="preserve">1.此表中，每包的投标报价应和《投标分项报价表》中的总价相一致。</w:t>
      </w:r>
      <w:r>
        <w:rPr>
          <w:rFonts w:hint="eastAsia" w:ascii="宋体" w:hAnsi="宋体"/>
          <w:b w:val="0"/>
          <w:bCs w:val="0"/>
          <w:color w:val="000000"/>
          <w:sz w:val="24"/>
          <w:highlight w:val="none"/>
          <w:lang w:val="en-US" w:eastAsia="zh-CN"/>
        </w:rPr>
      </w:r>
      <w:r/>
    </w:p>
    <w:p>
      <w:pPr>
        <w:pStyle w:val="1010"/>
        <w:ind w:firstLine="480"/>
        <w:tabs>
          <w:tab w:val="left" w:pos="5580" w:leader="none"/>
        </w:tabs>
        <w:rPr>
          <w:rFonts w:hint="eastAsia" w:ascii="宋体" w:hAnsi="宋体"/>
          <w:b w:val="0"/>
          <w:bCs w:val="0"/>
          <w:color w:val="000000"/>
          <w:sz w:val="24"/>
          <w:szCs w:val="20"/>
          <w:highlight w:val="none"/>
          <w:lang w:val="en-US" w:eastAsia="zh-CN"/>
        </w:rPr>
        <w:outlineLvl w:val="2"/>
      </w:pPr>
      <w:r>
        <w:rPr>
          <w:rFonts w:hint="eastAsia" w:ascii="宋体" w:hAnsi="宋体"/>
          <w:b w:val="0"/>
          <w:bCs w:val="0"/>
          <w:color w:val="000000"/>
          <w:sz w:val="24"/>
          <w:highlight w:val="none"/>
          <w:lang w:val="en-US" w:eastAsia="zh-CN"/>
        </w:rPr>
        <w:t xml:space="preserve">2.本表必须按包分别填写。</w:t>
      </w:r>
      <w:r>
        <w:rPr>
          <w:rFonts w:hint="eastAsia" w:ascii="宋体" w:hAnsi="宋体"/>
          <w:b w:val="0"/>
          <w:bCs w:val="0"/>
          <w:color w:val="000000"/>
          <w:sz w:val="24"/>
          <w:szCs w:val="20"/>
          <w:highlight w:val="none"/>
          <w:lang w:val="en-US" w:eastAsia="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jc w:val="left"/>
        <w:spacing w:line="312" w:lineRule="auto"/>
        <w:rPr>
          <w:rFonts w:hint="eastAsia" w:ascii="宋体" w:hAnsi="宋体" w:cs="宋体"/>
          <w:bCs/>
          <w:color w:val="000000"/>
          <w:sz w:val="24"/>
          <w:highlight w:val="none"/>
        </w:rPr>
        <w:outlineLvl w:val="2"/>
      </w:pPr>
      <w:r/>
      <w:bookmarkStart w:id="898" w:name="_Toc305158901"/>
      <w:r/>
      <w:bookmarkStart w:id="899" w:name="_Toc226337255"/>
      <w:r/>
      <w:bookmarkStart w:id="900" w:name="_Toc142311060"/>
      <w:r/>
      <w:bookmarkStart w:id="901" w:name="_Toc195842924"/>
      <w:r/>
      <w:bookmarkStart w:id="902" w:name="_Toc226965749"/>
      <w:r/>
      <w:bookmarkStart w:id="903" w:name="_Toc226309803"/>
      <w:r/>
      <w:bookmarkStart w:id="904" w:name="_Toc150774763"/>
      <w:r/>
      <w:bookmarkStart w:id="905" w:name="_Toc264969249"/>
      <w:r/>
      <w:bookmarkStart w:id="906" w:name="_Toc265228397"/>
      <w:r/>
      <w:bookmarkStart w:id="907" w:name="_Toc305158827"/>
      <w:r/>
      <w:bookmarkStart w:id="908" w:name="_Toc127151558"/>
      <w:r/>
      <w:bookmarkStart w:id="909" w:name="_Toc226965832"/>
      <w:r/>
      <w:bookmarkStart w:id="910" w:name="_Toc150480796"/>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Start w:id="911" w:name="_Toc127151562"/>
      <w:r/>
      <w:bookmarkStart w:id="912" w:name="_Toc195842927"/>
      <w:r/>
      <w:bookmarkStart w:id="913" w:name="_Toc150480798"/>
      <w:r/>
      <w:bookmarkStart w:id="914" w:name="_Toc226337258"/>
      <w:r/>
      <w:bookmarkStart w:id="915" w:name="_Toc142311062"/>
      <w:r/>
      <w:bookmarkStart w:id="916" w:name="_Toc305158904"/>
      <w:r/>
      <w:bookmarkStart w:id="917" w:name="_Toc264969252"/>
      <w:r/>
      <w:bookmarkStart w:id="918" w:name="_Toc305158830"/>
      <w:r/>
      <w:bookmarkStart w:id="919" w:name="_Toc226965835"/>
      <w:r/>
      <w:bookmarkStart w:id="920" w:name="_Toc226309806"/>
      <w:r/>
      <w:bookmarkStart w:id="921" w:name="_Toc265228400"/>
      <w:r/>
      <w:bookmarkStart w:id="922" w:name="_Toc226965752"/>
      <w:r/>
      <w:bookmarkStart w:id="923" w:name="_Toc150774765"/>
      <w:r/>
      <w:bookmarkStart w:id="924" w:name="_Toc150480797"/>
      <w:r/>
      <w:bookmarkStart w:id="925" w:name="_Toc265228399"/>
      <w:r/>
      <w:bookmarkStart w:id="926" w:name="_Toc226309805"/>
      <w:r/>
      <w:bookmarkStart w:id="927" w:name="_Toc195842926"/>
      <w:r/>
      <w:bookmarkStart w:id="928" w:name="_Toc305158903"/>
      <w:r/>
      <w:bookmarkStart w:id="929" w:name="_Toc226337257"/>
      <w:r/>
      <w:bookmarkStart w:id="930" w:name="_Toc264969251"/>
      <w:r/>
      <w:bookmarkStart w:id="931" w:name="_Toc150774764"/>
      <w:r/>
      <w:bookmarkStart w:id="932" w:name="_Toc305158829"/>
      <w:r/>
      <w:bookmarkStart w:id="933" w:name="_Toc226965834"/>
      <w:r/>
      <w:bookmarkStart w:id="934" w:name="_Toc142311061"/>
      <w:r/>
      <w:bookmarkStart w:id="935" w:name="_Toc127151561"/>
      <w:r/>
      <w:bookmarkStart w:id="936" w:name="_Toc226965751"/>
      <w:r>
        <w:rPr>
          <w:rFonts w:hint="eastAsia" w:ascii="宋体" w:hAnsi="宋体" w:cs="宋体"/>
          <w:bCs/>
          <w:color w:val="000000"/>
          <w:sz w:val="24"/>
          <w:highlight w:val="none"/>
        </w:rPr>
        <w:t xml:space="preserve">投标分项报价表</w:t>
      </w:r>
      <w:r>
        <w:rPr>
          <w:rFonts w:hint="eastAsia" w:ascii="宋体" w:hAnsi="宋体" w:cs="宋体"/>
          <w:bCs/>
          <w:color w:val="000000"/>
          <w:sz w:val="24"/>
          <w:highlight w:val="none"/>
        </w:rPr>
      </w:r>
      <w:r/>
    </w:p>
    <w:p>
      <w:pPr>
        <w:pStyle w:val="1010"/>
        <w:jc w:val="center"/>
        <w:spacing w:line="360" w:lineRule="exact"/>
        <w:rPr>
          <w:rFonts w:hint="eastAsia" w:ascii="宋体" w:hAnsi="宋体" w:eastAsia="宋体" w:cs="Times New Roman"/>
          <w:color w:val="000000"/>
          <w:sz w:val="36"/>
          <w:szCs w:val="36"/>
          <w:highlight w:val="none"/>
        </w:rPr>
        <w:outlineLvl w:val="3"/>
      </w:pPr>
      <w:r>
        <w:rPr>
          <w:rFonts w:hint="eastAsia" w:ascii="宋体" w:hAnsi="宋体" w:eastAsia="宋体" w:cs="Times New Roman"/>
          <w:color w:val="000000"/>
          <w:sz w:val="36"/>
          <w:szCs w:val="36"/>
          <w:highlight w:val="none"/>
        </w:rPr>
        <w:t xml:space="preserve">投标分项报价表</w:t>
      </w:r>
      <w:r>
        <w:rPr>
          <w:rFonts w:hint="eastAsia" w:ascii="宋体" w:hAnsi="宋体" w:eastAsia="宋体" w:cs="Times New Roman"/>
          <w:color w:val="000000"/>
          <w:sz w:val="36"/>
          <w:szCs w:val="36"/>
          <w:highlight w:val="none"/>
        </w:rPr>
      </w:r>
      <w:r/>
    </w:p>
    <w:p>
      <w:pPr>
        <w:pStyle w:val="1010"/>
        <w:jc w:val="center"/>
        <w:spacing w:line="260" w:lineRule="exact"/>
        <w:rPr>
          <w:rFonts w:hint="eastAsia" w:ascii="宋体" w:hAnsi="宋体" w:cs="宋体"/>
          <w:b w:val="0"/>
          <w:bCs w:val="0"/>
          <w:color w:val="000000"/>
          <w:sz w:val="36"/>
          <w:szCs w:val="36"/>
          <w:highlight w:val="none"/>
        </w:rPr>
      </w:pPr>
      <w:r>
        <w:rPr>
          <w:rFonts w:hint="eastAsia" w:ascii="宋体" w:hAnsi="宋体" w:cs="宋体"/>
          <w:b w:val="0"/>
          <w:bCs w:val="0"/>
          <w:color w:val="000000"/>
          <w:sz w:val="36"/>
          <w:szCs w:val="36"/>
          <w:highlight w:val="none"/>
        </w:rPr>
      </w:r>
      <w:r/>
    </w:p>
    <w:p>
      <w:pPr>
        <w:pStyle w:val="1010"/>
        <w:tabs>
          <w:tab w:val="left" w:pos="1800" w:leader="none"/>
          <w:tab w:val="left" w:pos="558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p>
      <w:pPr>
        <w:pStyle w:val="1010"/>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881"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分项</w:t>
            </w:r>
            <w:r>
              <w:rPr>
                <w:rFonts w:hint="eastAsia" w:ascii="宋体" w:hAnsi="宋体" w:eastAsia="宋体" w:cs="宋体"/>
                <w:color w:val="000000"/>
                <w:sz w:val="24"/>
                <w:szCs w:val="24"/>
                <w:highlight w:val="none"/>
              </w:rPr>
            </w:r>
            <w:r/>
          </w:p>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780"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品牌商标</w:t>
            </w:r>
            <w:r>
              <w:rPr>
                <w:rFonts w:hint="eastAsia" w:ascii="宋体" w:hAnsi="宋体" w:eastAsia="宋体" w:cs="宋体"/>
                <w:color w:val="000000"/>
                <w:sz w:val="24"/>
                <w:szCs w:val="24"/>
                <w:highlight w:val="none"/>
              </w:rPr>
            </w:r>
            <w:r/>
          </w:p>
        </w:tc>
        <w:tc>
          <w:tcPr>
            <w:tcW w:w="1337"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规格型号</w:t>
            </w:r>
            <w:r>
              <w:rPr>
                <w:rFonts w:hint="eastAsia" w:ascii="宋体" w:hAnsi="宋体" w:eastAsia="宋体" w:cs="宋体"/>
                <w:color w:val="000000"/>
                <w:sz w:val="24"/>
                <w:szCs w:val="24"/>
                <w:highlight w:val="none"/>
              </w:rPr>
            </w:r>
            <w:r/>
          </w:p>
        </w:tc>
        <w:tc>
          <w:tcPr>
            <w:tcW w:w="1799"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613"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618" w:type="dxa"/>
            <w:vAlign w:val="center"/>
            <w:vMerge w:val="restart"/>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投标价格</w:t>
            </w:r>
            <w:r>
              <w:rPr>
                <w:rFonts w:hint="eastAsia" w:ascii="宋体" w:hAnsi="宋体" w:eastAsia="宋体" w:cs="宋体"/>
                <w:color w:val="000000"/>
                <w:sz w:val="24"/>
                <w:szCs w:val="24"/>
                <w:highlight w:val="none"/>
              </w:rPr>
            </w:r>
            <w:r/>
          </w:p>
        </w:tc>
      </w:tr>
      <w:tr>
        <w:trPr>
          <w:cantSplit/>
          <w:trHeight w:val="285"/>
        </w:trPr>
        <w:tc>
          <w:tcPr>
            <w:tcW w:w="669"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881"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80"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vMerge w:val="continue"/>
            <w:textDirection w:val="lrTb"/>
            <w:noWrap w:val="false"/>
          </w:tcPr>
          <w:p>
            <w:pPr>
              <w:pStyle w:val="1010"/>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合价</w:t>
            </w: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tcW w:w="66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81" w:type="dxa"/>
            <w:vAlign w:val="center"/>
            <w:textDirection w:val="lrTb"/>
            <w:noWrap w:val="false"/>
          </w:tcPr>
          <w:p>
            <w:pPr>
              <w:pStyle w:val="1010"/>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tc>
        <w:tc>
          <w:tcPr>
            <w:tcW w:w="780"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33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79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3"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618"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919"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2"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7"/>
            <w:tcW w:w="6697"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     计</w:t>
            </w:r>
            <w:r>
              <w:rPr>
                <w:rFonts w:hint="eastAsia" w:ascii="宋体" w:hAnsi="宋体" w:eastAsia="宋体" w:cs="宋体"/>
                <w:color w:val="000000"/>
                <w:sz w:val="24"/>
                <w:szCs w:val="24"/>
                <w:highlight w:val="none"/>
              </w:rPr>
            </w:r>
            <w:r/>
          </w:p>
        </w:tc>
        <w:tc>
          <w:tcPr>
            <w:gridSpan w:val="2"/>
            <w:tcW w:w="1991" w:type="dxa"/>
            <w:vAlign w:val="center"/>
            <w:textDirection w:val="lrTb"/>
            <w:noWrap w:val="false"/>
          </w:tcPr>
          <w:p>
            <w:pPr>
              <w:pStyle w:val="101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480"/>
        </w:trPr>
        <w:tc>
          <w:tcPr>
            <w:gridSpan w:val="9"/>
            <w:tcW w:w="8688" w:type="dxa"/>
            <w:vAlign w:val="center"/>
            <w:textDirection w:val="lrTb"/>
            <w:noWrap w:val="false"/>
          </w:tcPr>
          <w:p>
            <w:pPr>
              <w:pStyle w:val="1010"/>
              <w:jc w:val="both"/>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10"/>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010"/>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注：1.如果不提供分项报价将视为没有实质性响应招标文件。</w:t>
      </w:r>
      <w:r>
        <w:rPr>
          <w:rFonts w:hint="eastAsia" w:ascii="宋体" w:hAnsi="宋体" w:eastAsia="宋体" w:cs="宋体"/>
          <w:color w:val="000000"/>
          <w:sz w:val="24"/>
          <w:highlight w:val="none"/>
        </w:rPr>
      </w:r>
      <w:r/>
    </w:p>
    <w:p>
      <w:pPr>
        <w:pStyle w:val="1010"/>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2.本表行数可以按照项目分项情况增加。</w:t>
      </w:r>
      <w:r>
        <w:rPr>
          <w:rFonts w:hint="eastAsia" w:ascii="宋体" w:hAnsi="宋体" w:eastAsia="宋体" w:cs="宋体"/>
          <w:color w:val="000000"/>
          <w:sz w:val="24"/>
          <w:highlight w:val="none"/>
        </w:rPr>
      </w:r>
      <w:r/>
    </w:p>
    <w:p>
      <w:pPr>
        <w:pStyle w:val="1010"/>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3.上述各项的详细规格、技术参数如表格中填写不下的，可以逐项另页描述。</w:t>
      </w:r>
      <w:r>
        <w:rPr>
          <w:rFonts w:hint="eastAsia" w:ascii="宋体" w:hAnsi="宋体" w:eastAsia="宋体" w:cs="宋体"/>
          <w:color w:val="000000"/>
          <w:sz w:val="24"/>
          <w:highlight w:val="none"/>
        </w:rPr>
      </w:r>
      <w:r/>
    </w:p>
    <w:p>
      <w:pPr>
        <w:pStyle w:val="1010"/>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1010"/>
        <w:ind w:firstLine="480"/>
        <w:jc w:val="left"/>
        <w:shd w:val="clear" w:color="auto" w:fill="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highlight w:val="none"/>
        </w:rPr>
      </w:r>
      <w:r/>
    </w:p>
    <w:p>
      <w:pPr>
        <w:pStyle w:val="101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10"/>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10"/>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hint="eastAsia" w:ascii="宋体" w:hAnsi="宋体"/>
          <w:color w:val="000000"/>
          <w:sz w:val="24"/>
          <w:szCs w:val="20"/>
          <w:highlight w:val="none"/>
        </w:rPr>
      </w:r>
      <w:r/>
    </w:p>
    <w:p>
      <w:pPr>
        <w:pStyle w:val="1010"/>
        <w:jc w:val="left"/>
        <w:widowControl/>
        <w:rPr>
          <w:rFonts w:hint="eastAsia" w:ascii="宋体" w:hAnsi="宋体"/>
          <w:color w:val="000000"/>
          <w:sz w:val="24"/>
          <w:szCs w:val="20"/>
          <w:highlight w:val="none"/>
          <w:lang w:val="en-US" w:eastAsia="zh-CN"/>
        </w:rPr>
      </w:pPr>
      <w:r>
        <w:rPr>
          <w:rFonts w:ascii="宋体" w:hAnsi="宋体"/>
          <w:color w:val="000000"/>
          <w:sz w:val="24"/>
          <w:szCs w:val="20"/>
          <w:highlight w:val="none"/>
        </w:rPr>
        <w:t xml:space="preserve">日期：________年______月______日  </w:t>
      </w: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left"/>
        <w:widowControl/>
        <w:rPr>
          <w:rFonts w:hint="eastAsia"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合同条款偏离表</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color w:val="000000"/>
          <w:sz w:val="24"/>
          <w:szCs w:val="20"/>
          <w:highlight w:val="none"/>
        </w:rPr>
      </w:r>
      <w:r/>
    </w:p>
    <w:p>
      <w:pPr>
        <w:pStyle w:val="101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10"/>
        <w:jc w:val="center"/>
        <w:spacing w:line="360" w:lineRule="auto"/>
        <w:tabs>
          <w:tab w:val="left" w:pos="2775" w:leader="none"/>
          <w:tab w:val="center" w:pos="4153" w:leader="none"/>
        </w:tabs>
        <w:rPr>
          <w:rFonts w:ascii="宋体" w:hAnsi="宋体"/>
          <w:b/>
          <w:color w:val="000000"/>
          <w:sz w:val="36"/>
          <w:szCs w:val="36"/>
          <w:highlight w:val="none"/>
        </w:rPr>
        <w:outlineLvl w:val="3"/>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1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1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1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1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1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bl>
    <w:p>
      <w:pPr>
        <w:pStyle w:val="101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outlineLvl w:val="2"/>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1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w:t>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101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10"/>
        <w:jc w:val="center"/>
        <w:spacing w:line="360" w:lineRule="auto"/>
        <w:rPr>
          <w:rFonts w:ascii="宋体" w:hAnsi="宋体"/>
          <w:b/>
          <w:color w:val="000000"/>
          <w:sz w:val="36"/>
          <w:szCs w:val="36"/>
          <w:highlight w:val="none"/>
        </w:rPr>
        <w:outlineLvl w:val="3"/>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1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10"/>
              <w:jc w:val="center"/>
              <w:rPr>
                <w:rFonts w:ascii="宋体" w:hAnsi="宋体"/>
                <w:color w:val="000000"/>
                <w:sz w:val="24"/>
                <w:highlight w:val="none"/>
              </w:rPr>
            </w:pPr>
            <w:r>
              <w:rPr>
                <w:rFonts w:ascii="宋体" w:hAnsi="宋体"/>
                <w:color w:val="000000"/>
                <w:sz w:val="24"/>
                <w:highlight w:val="none"/>
              </w:rPr>
            </w:r>
            <w:r/>
          </w:p>
        </w:tc>
      </w:tr>
    </w:tbl>
    <w:p>
      <w:pPr>
        <w:pStyle w:val="101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1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101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10"/>
        <w:rPr>
          <w:rFonts w:ascii="宋体" w:hAnsi="宋体"/>
          <w:color w:val="000000"/>
          <w:sz w:val="24"/>
          <w:szCs w:val="20"/>
          <w:highlight w:val="none"/>
        </w:rPr>
      </w:pPr>
      <w:r>
        <w:rPr>
          <w:rFonts w:ascii="宋体" w:hAnsi="宋体"/>
          <w:color w:val="000000"/>
          <w:sz w:val="24"/>
          <w:szCs w:val="20"/>
          <w:highlight w:val="none"/>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101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1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1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1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1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1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088"/>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left"/>
        <w:widowControl/>
        <w:rPr>
          <w:rFonts w:ascii="宋体" w:hAnsi="宋体"/>
          <w:b/>
          <w:bCs/>
          <w:color w:val="000000"/>
          <w:sz w:val="24"/>
          <w:highlight w:val="none"/>
        </w:rPr>
      </w:pPr>
      <w:r>
        <w:rPr>
          <w:rFonts w:ascii="宋体" w:hAnsi="宋体"/>
          <w:b/>
          <w:bCs/>
          <w:color w:val="000000"/>
          <w:sz w:val="24"/>
          <w:highlight w:val="none"/>
        </w:rPr>
      </w:r>
      <w:r/>
    </w:p>
    <w:p>
      <w:pPr>
        <w:pStyle w:val="1010"/>
        <w:jc w:val="center"/>
        <w:spacing w:before="240" w:after="240" w:line="360" w:lineRule="auto"/>
        <w:rPr>
          <w:b/>
          <w:color w:val="000000"/>
          <w:sz w:val="36"/>
          <w:szCs w:val="36"/>
          <w:highlight w:val="none"/>
        </w:rPr>
        <w:outlineLvl w:val="3"/>
      </w:pPr>
      <w:r>
        <w:rPr>
          <w:b/>
          <w:bCs/>
          <w:color w:val="000000"/>
          <w:sz w:val="36"/>
          <w:szCs w:val="36"/>
          <w:highlight w:val="none"/>
        </w:rPr>
        <w:t xml:space="preserve">中小企业声明函（货物）格式</w:t>
      </w:r>
      <w:r>
        <w:rPr>
          <w:b/>
          <w:color w:val="000000"/>
          <w:sz w:val="36"/>
          <w:szCs w:val="36"/>
          <w:highlight w:val="none"/>
        </w:rPr>
      </w:r>
      <w:r/>
    </w:p>
    <w:p>
      <w:pPr>
        <w:pStyle w:val="1010"/>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1010"/>
        <w:numPr>
          <w:ilvl w:val="0"/>
          <w:numId w:val="10"/>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010"/>
        <w:numPr>
          <w:ilvl w:val="0"/>
          <w:numId w:val="10"/>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010"/>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1010"/>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1010"/>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1010"/>
        <w:ind w:firstLine="504"/>
        <w:spacing w:line="360" w:lineRule="auto"/>
        <w:rPr>
          <w:color w:val="000000"/>
          <w:spacing w:val="6"/>
          <w:sz w:val="24"/>
          <w:highlight w:val="none"/>
        </w:rPr>
      </w:pPr>
      <w:r>
        <w:rPr>
          <w:color w:val="000000"/>
          <w:spacing w:val="6"/>
          <w:sz w:val="24"/>
          <w:highlight w:val="none"/>
        </w:rPr>
      </w:r>
      <w:r/>
    </w:p>
    <w:p>
      <w:pPr>
        <w:pStyle w:val="1010"/>
        <w:ind w:firstLine="504"/>
        <w:spacing w:line="360" w:lineRule="auto"/>
        <w:rPr>
          <w:color w:val="000000"/>
          <w:spacing w:val="6"/>
          <w:sz w:val="24"/>
          <w:highlight w:val="none"/>
        </w:rPr>
      </w:pPr>
      <w:r>
        <w:rPr>
          <w:color w:val="000000"/>
          <w:spacing w:val="6"/>
          <w:sz w:val="24"/>
          <w:highlight w:val="none"/>
        </w:rPr>
      </w:r>
      <w:r/>
    </w:p>
    <w:p>
      <w:pPr>
        <w:pStyle w:val="101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p>
      <w:pPr>
        <w:pStyle w:val="1010"/>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10"/>
        <w:ind w:firstLine="420"/>
        <w:jc w:val="left"/>
        <w:rPr>
          <w:color w:val="000000"/>
          <w:sz w:val="24"/>
          <w:highlight w:val="none"/>
        </w:rPr>
      </w:pPr>
      <w:r>
        <w:rPr>
          <w:color w:val="000000"/>
          <w:sz w:val="24"/>
          <w:highlight w:val="none"/>
        </w:rPr>
      </w:r>
      <w:r/>
    </w:p>
    <w:p>
      <w:pPr>
        <w:pStyle w:val="1010"/>
        <w:spacing w:line="360" w:lineRule="auto"/>
        <w:rPr>
          <w:color w:val="000000"/>
          <w:sz w:val="24"/>
          <w:highlight w:val="none"/>
        </w:rPr>
      </w:pPr>
      <w:r>
        <w:rPr>
          <w:color w:val="000000"/>
          <w:sz w:val="24"/>
          <w:highlight w:val="none"/>
        </w:rPr>
      </w:r>
      <w:r/>
    </w:p>
    <w:p>
      <w:pPr>
        <w:pStyle w:val="1010"/>
        <w:spacing w:before="240" w:after="240" w:line="360" w:lineRule="auto"/>
        <w:rPr>
          <w:color w:val="000000"/>
          <w:sz w:val="24"/>
          <w:highlight w:val="none"/>
        </w:rPr>
      </w:pPr>
      <w:r>
        <w:rPr>
          <w:color w:val="000000"/>
          <w:sz w:val="24"/>
          <w:highlight w:val="none"/>
        </w:rPr>
        <w:t xml:space="preserve"> </w:t>
      </w:r>
      <w:r>
        <w:rPr>
          <w:color w:val="000000"/>
          <w:sz w:val="24"/>
          <w:highlight w:val="none"/>
        </w:rPr>
      </w:r>
      <w:r/>
    </w:p>
    <w:p>
      <w:pPr>
        <w:pStyle w:val="1010"/>
        <w:jc w:val="center"/>
        <w:spacing w:before="240" w:after="240" w:line="360" w:lineRule="auto"/>
        <w:rPr>
          <w:color w:val="000000"/>
          <w:sz w:val="36"/>
          <w:szCs w:val="36"/>
          <w:highlight w:val="none"/>
        </w:rPr>
      </w:pPr>
      <w:r>
        <w:rPr>
          <w:color w:val="000000"/>
          <w:sz w:val="24"/>
          <w:szCs w:val="20"/>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10"/>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10"/>
        <w:ind w:firstLine="482"/>
        <w:spacing w:line="588" w:lineRule="exact"/>
        <w:rPr>
          <w:b/>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10"/>
        <w:ind w:firstLine="482"/>
        <w:spacing w:line="588" w:lineRule="exact"/>
        <w:rPr>
          <w:color w:val="000000"/>
          <w:spacing w:val="6"/>
          <w:sz w:val="24"/>
          <w:highlight w:val="none"/>
        </w:rPr>
      </w:pPr>
      <w:r>
        <w:rPr>
          <w:rFonts w:ascii="Wingdings 2" w:hAnsi="Wingdings 2" w:eastAsia="Wingdings 2" w:cs="Wingdings 2"/>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10"/>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10"/>
        <w:ind w:firstLine="504"/>
        <w:spacing w:line="588" w:lineRule="exact"/>
        <w:rPr>
          <w:color w:val="000000"/>
          <w:spacing w:val="6"/>
          <w:sz w:val="24"/>
          <w:highlight w:val="none"/>
        </w:rPr>
      </w:pPr>
      <w:r>
        <w:rPr>
          <w:color w:val="000000"/>
          <w:spacing w:val="6"/>
          <w:sz w:val="24"/>
          <w:highlight w:val="none"/>
        </w:rPr>
      </w:r>
      <w:r/>
    </w:p>
    <w:p>
      <w:pPr>
        <w:pStyle w:val="1010"/>
        <w:ind w:firstLine="504"/>
        <w:spacing w:line="588" w:lineRule="exact"/>
        <w:rPr>
          <w:color w:val="000000"/>
          <w:spacing w:val="6"/>
          <w:sz w:val="24"/>
          <w:highlight w:val="none"/>
        </w:rPr>
      </w:pPr>
      <w:r>
        <w:rPr>
          <w:color w:val="000000"/>
          <w:spacing w:val="6"/>
          <w:sz w:val="24"/>
          <w:highlight w:val="none"/>
        </w:rPr>
      </w:r>
      <w:r/>
    </w:p>
    <w:p>
      <w:pPr>
        <w:pStyle w:val="101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10"/>
        <w:jc w:val="left"/>
        <w:widowControl/>
        <w:rPr>
          <w:color w:val="000000"/>
          <w:sz w:val="24"/>
          <w:szCs w:val="20"/>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z w:val="24"/>
          <w:szCs w:val="20"/>
          <w:highlight w:val="none"/>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t xml:space="preserve">关于符合本国产品标准的声明函（采购包号：   ）</w:t>
      </w:r>
      <w:r>
        <w:rPr>
          <w:rFonts w:hint="eastAsia"/>
          <w:b/>
          <w:bCs/>
          <w:color w:val="000000"/>
          <w:sz w:val="36"/>
          <w:szCs w:val="36"/>
          <w:highlight w:val="none"/>
        </w:rPr>
      </w:r>
      <w:r/>
    </w:p>
    <w:p>
      <w:pPr>
        <w:pStyle w:val="1073"/>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73"/>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73"/>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1087"/>
          <w:rFonts w:hint="eastAsia" w:ascii="方正魏碑_GBK" w:hAnsi="方正魏碑_GBK" w:eastAsia="方正魏碑_GBK" w:cs="方正魏碑_GBK"/>
          <w:color w:val="000000"/>
          <w:highlight w:val="none"/>
          <w:u w:val="single"/>
          <w:shd w:val="clear" w:color="auto" w:fill="ffffff"/>
        </w:rPr>
        <w:t xml:space="preserve">（产品名称1）</w:t>
      </w:r>
      <w:r>
        <w:rPr>
          <w:rStyle w:val="1087"/>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087"/>
          <w:rFonts w:hint="eastAsia" w:ascii="方正魏碑_GBK" w:hAnsi="方正魏碑_GBK" w:eastAsia="方正魏碑_GBK" w:cs="方正魏碑_GBK"/>
          <w:color w:val="000000"/>
          <w:highlight w:val="none"/>
          <w:u w:val="single"/>
          <w:shd w:val="clear" w:color="auto" w:fill="ffffff"/>
        </w:rPr>
        <w:t xml:space="preserve">（厂名）</w:t>
      </w:r>
      <w:r>
        <w:rPr>
          <w:rStyle w:val="1087"/>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087"/>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087"/>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87"/>
          <w:rFonts w:hint="eastAsia" w:ascii="方正魏碑_GBK" w:hAnsi="方正魏碑_GBK" w:eastAsia="方正魏碑_GBK" w:cs="方正魏碑_GBK"/>
          <w:color w:val="000000"/>
          <w:highlight w:val="none"/>
          <w:u w:val="single"/>
          <w:shd w:val="clear" w:color="auto" w:fill="ffffff"/>
        </w:rPr>
        <w:t xml:space="preserve">（规定</w:t>
      </w:r>
      <w:r>
        <w:rPr>
          <w:rStyle w:val="1087"/>
          <w:rFonts w:ascii="方正魏碑_GBK" w:hAnsi="方正魏碑_GBK" w:eastAsia="方正魏碑_GBK" w:cs="方正魏碑_GBK"/>
          <w:color w:val="000000"/>
          <w:highlight w:val="none"/>
          <w:u w:val="single"/>
          <w:shd w:val="clear" w:color="auto" w:fill="ffffff"/>
        </w:rPr>
        <w:t xml:space="preserve">比例</w:t>
      </w:r>
      <w:r>
        <w:rPr>
          <w:rStyle w:val="1087"/>
          <w:rFonts w:hint="eastAsia" w:ascii="方正魏碑_GBK" w:hAnsi="方正魏碑_GBK" w:eastAsia="方正魏碑_GBK" w:cs="方正魏碑_GBK"/>
          <w:color w:val="000000"/>
          <w:highlight w:val="none"/>
          <w:u w:val="single"/>
          <w:shd w:val="clear" w:color="auto" w:fill="ffffff"/>
        </w:rPr>
        <w:t xml:space="preserve">）</w:t>
      </w:r>
      <w:r>
        <w:rPr>
          <w:rStyle w:val="1087"/>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087"/>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87"/>
          <w:rFonts w:hint="eastAsia" w:ascii="方正魏碑_GBK" w:hAnsi="方正魏碑_GBK" w:eastAsia="方正魏碑_GBK" w:cs="方正魏碑_GBK"/>
          <w:color w:val="000000"/>
          <w:highlight w:val="none"/>
          <w:u w:val="single"/>
          <w:shd w:val="clear" w:color="auto" w:fill="ffffff"/>
        </w:rPr>
        <w:t xml:space="preserve">（关键</w:t>
      </w:r>
      <w:r>
        <w:rPr>
          <w:rStyle w:val="1087"/>
          <w:rFonts w:ascii="方正魏碑_GBK" w:hAnsi="方正魏碑_GBK" w:eastAsia="方正魏碑_GBK" w:cs="方正魏碑_GBK"/>
          <w:color w:val="000000"/>
          <w:highlight w:val="none"/>
          <w:u w:val="single"/>
          <w:shd w:val="clear" w:color="auto" w:fill="ffffff"/>
        </w:rPr>
        <w:t xml:space="preserve">组件</w:t>
      </w:r>
      <w:r>
        <w:rPr>
          <w:rStyle w:val="1087"/>
          <w:rFonts w:hint="eastAsia" w:ascii="方正魏碑_GBK" w:hAnsi="方正魏碑_GBK" w:eastAsia="方正魏碑_GBK" w:cs="方正魏碑_GBK"/>
          <w:color w:val="000000"/>
          <w:highlight w:val="none"/>
          <w:u w:val="single"/>
          <w:shd w:val="clear" w:color="auto" w:fill="ffffff"/>
        </w:rPr>
        <w:t xml:space="preserve">）</w:t>
      </w:r>
      <w:r>
        <w:rPr>
          <w:rStyle w:val="1087"/>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087"/>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87"/>
          <w:rFonts w:hint="eastAsia" w:ascii="方正魏碑_GBK" w:hAnsi="方正魏碑_GBK" w:eastAsia="方正魏碑_GBK" w:cs="方正魏碑_GBK"/>
          <w:color w:val="000000"/>
          <w:highlight w:val="none"/>
          <w:u w:val="single"/>
          <w:shd w:val="clear" w:color="auto" w:fill="ffffff"/>
        </w:rPr>
        <w:t xml:space="preserve">（关键工序）</w:t>
      </w:r>
      <w:r>
        <w:rPr>
          <w:rStyle w:val="1087"/>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73"/>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108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087"/>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087"/>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08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87"/>
          <w:rFonts w:hint="eastAsia" w:ascii="方正魏碑_GBK" w:hAnsi="方正魏碑_GBK" w:eastAsia="方正魏碑_GBK" w:cs="方正魏碑_GBK"/>
          <w:color w:val="000000"/>
          <w:highlight w:val="none"/>
          <w:u w:val="single"/>
          <w:shd w:val="clear" w:color="auto" w:fill="ffffff"/>
        </w:rPr>
        <w:t xml:space="preserve">（规定</w:t>
      </w:r>
      <w:r>
        <w:rPr>
          <w:rStyle w:val="1087"/>
          <w:rFonts w:ascii="方正魏碑_GBK" w:hAnsi="方正魏碑_GBK" w:eastAsia="方正魏碑_GBK" w:cs="方正魏碑_GBK"/>
          <w:color w:val="000000"/>
          <w:highlight w:val="none"/>
          <w:u w:val="single"/>
          <w:shd w:val="clear" w:color="auto" w:fill="ffffff"/>
        </w:rPr>
        <w:t xml:space="preserve">比例</w:t>
      </w:r>
      <w:r>
        <w:rPr>
          <w:rStyle w:val="1087"/>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08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87"/>
          <w:rFonts w:hint="eastAsia" w:ascii="方正魏碑_GBK" w:hAnsi="方正魏碑_GBK" w:eastAsia="方正魏碑_GBK" w:cs="方正魏碑_GBK"/>
          <w:color w:val="000000"/>
          <w:highlight w:val="none"/>
          <w:u w:val="single"/>
          <w:shd w:val="clear" w:color="auto" w:fill="ffffff"/>
        </w:rPr>
        <w:t xml:space="preserve">（关键</w:t>
      </w:r>
      <w:r>
        <w:rPr>
          <w:rStyle w:val="1087"/>
          <w:rFonts w:ascii="方正魏碑_GBK" w:hAnsi="方正魏碑_GBK" w:eastAsia="方正魏碑_GBK" w:cs="方正魏碑_GBK"/>
          <w:color w:val="000000"/>
          <w:highlight w:val="none"/>
          <w:u w:val="single"/>
          <w:shd w:val="clear" w:color="auto" w:fill="ffffff"/>
        </w:rPr>
        <w:t xml:space="preserve">组件</w:t>
      </w:r>
      <w:r>
        <w:rPr>
          <w:rStyle w:val="1087"/>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087"/>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87"/>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73"/>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73"/>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73"/>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73"/>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1073"/>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hint="eastAsia" w:ascii="宋体" w:hAnsi="宋体"/>
          <w:color w:val="000000"/>
          <w:sz w:val="24"/>
          <w:szCs w:val="20"/>
          <w:highlight w:val="none"/>
          <w:lang w:val="en-US" w:eastAsia="zh-CN"/>
        </w:rPr>
      </w:pPr>
      <w:r>
        <w:rPr>
          <w:rFonts w:hint="eastAsia" w:ascii="宋体" w:hAnsi="宋体"/>
          <w:color w:val="000000"/>
          <w:sz w:val="24"/>
          <w:szCs w:val="20"/>
          <w:highlight w:val="none"/>
          <w:lang w:val="en-US" w:eastAsia="zh-CN"/>
        </w:rPr>
      </w:r>
      <w:r/>
    </w:p>
    <w:p>
      <w:pPr>
        <w:pStyle w:val="1010"/>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101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1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1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1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1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1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rPr>
          <w:rFonts w:ascii="宋体" w:hAnsi="宋体"/>
          <w:color w:val="000000"/>
          <w:sz w:val="24"/>
          <w:szCs w:val="20"/>
          <w:highlight w:val="none"/>
        </w:rPr>
        <w:outlineLvl w:val="2"/>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12</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101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10"/>
        <w:jc w:val="center"/>
        <w:spacing w:line="360" w:lineRule="auto"/>
        <w:rPr>
          <w:rFonts w:ascii="宋体" w:hAnsi="宋体"/>
          <w:b/>
          <w:color w:val="000000"/>
          <w:sz w:val="32"/>
          <w:szCs w:val="32"/>
          <w:highlight w:val="none"/>
        </w:rPr>
        <w:outlineLvl w:val="3"/>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10"/>
        <w:spacing w:line="360" w:lineRule="auto"/>
        <w:rPr>
          <w:rFonts w:ascii="宋体" w:hAnsi="宋体"/>
          <w:color w:val="000000"/>
          <w:sz w:val="22"/>
          <w:highlight w:val="none"/>
        </w:rPr>
      </w:pPr>
      <w:r>
        <w:rPr>
          <w:rFonts w:ascii="宋体" w:hAnsi="宋体"/>
          <w:color w:val="000000"/>
          <w:sz w:val="22"/>
          <w:highlight w:val="none"/>
        </w:rPr>
      </w:r>
      <w:r/>
    </w:p>
    <w:p>
      <w:pPr>
        <w:pStyle w:val="101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1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1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1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10"/>
        <w:spacing w:line="360" w:lineRule="auto"/>
        <w:rPr>
          <w:rFonts w:ascii="宋体" w:hAnsi="宋体"/>
          <w:color w:val="000000"/>
          <w:sz w:val="24"/>
          <w:highlight w:val="none"/>
        </w:rPr>
      </w:pPr>
      <w:r>
        <w:rPr>
          <w:rFonts w:ascii="宋体" w:hAnsi="宋体"/>
          <w:color w:val="000000"/>
          <w:sz w:val="24"/>
          <w:highlight w:val="none"/>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rPr>
          <w:rFonts w:ascii="宋体" w:hAnsi="宋体"/>
          <w:color w:val="000000"/>
          <w:sz w:val="24"/>
          <w:szCs w:val="20"/>
          <w:highlight w:val="none"/>
        </w:rPr>
        <w:outlineLvl w:val="2"/>
      </w:pPr>
      <w:r>
        <w:rPr>
          <w:rFonts w:ascii="宋体" w:hAnsi="宋体"/>
          <w:color w:val="000000"/>
          <w:sz w:val="22"/>
          <w:highlight w:val="none"/>
        </w:rPr>
        <w:br w:type="page" w:clear="all"/>
      </w:r>
      <w:bookmarkStart w:id="937" w:name="_Toc288738397"/>
      <w:r/>
      <w:bookmarkStart w:id="938" w:name="_Toc288738839"/>
      <w:r>
        <w:rPr>
          <w:rFonts w:hint="eastAsia" w:ascii="宋体" w:hAnsi="宋体"/>
          <w:color w:val="000000"/>
          <w:sz w:val="24"/>
          <w:szCs w:val="20"/>
          <w:highlight w:val="none"/>
          <w:lang w:val="en-US" w:eastAsia="zh-CN"/>
        </w:rPr>
        <w:t xml:space="preserve">13</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1010"/>
        <w:rPr>
          <w:rFonts w:ascii="宋体" w:hAnsi="宋体"/>
          <w:color w:val="000000"/>
          <w:sz w:val="24"/>
          <w:szCs w:val="20"/>
          <w:highlight w:val="none"/>
        </w:rPr>
      </w:pPr>
      <w:r>
        <w:rPr>
          <w:rFonts w:ascii="宋体" w:hAnsi="宋体"/>
          <w:color w:val="000000"/>
          <w:sz w:val="24"/>
          <w:szCs w:val="20"/>
          <w:highlight w:val="none"/>
        </w:rPr>
      </w:r>
      <w:r/>
    </w:p>
    <w:p>
      <w:pPr>
        <w:pStyle w:val="101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37"/>
      <w:r/>
      <w:bookmarkEnd w:id="938"/>
      <w:r>
        <w:rPr>
          <w:rFonts w:ascii="宋体" w:hAnsi="宋体"/>
          <w:b/>
          <w:color w:val="000000"/>
          <w:sz w:val="32"/>
          <w:szCs w:val="32"/>
          <w:highlight w:val="none"/>
        </w:rPr>
      </w:r>
      <w:r/>
    </w:p>
    <w:p>
      <w:pPr>
        <w:pStyle w:val="101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1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1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10"/>
        <w:spacing w:line="360" w:lineRule="auto"/>
        <w:rPr>
          <w:rFonts w:ascii="宋体" w:hAnsi="宋体" w:cs="宋体"/>
          <w:color w:val="000000"/>
          <w:sz w:val="24"/>
          <w:highlight w:val="none"/>
        </w:rPr>
      </w:pPr>
      <w:r>
        <w:rPr>
          <w:rFonts w:ascii="宋体" w:hAnsi="宋体" w:cs="宋体"/>
          <w:color w:val="000000"/>
          <w:sz w:val="24"/>
          <w:highlight w:val="none"/>
        </w:rPr>
      </w:r>
      <w:r/>
    </w:p>
    <w:p>
      <w:pPr>
        <w:pStyle w:val="101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1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1010"/>
        <w:rPr>
          <w:rFonts w:ascii="宋体" w:hAnsi="宋体"/>
          <w:color w:val="000000"/>
          <w:highlight w:val="none"/>
        </w:rPr>
      </w:pPr>
      <w:r>
        <w:rPr>
          <w:rFonts w:ascii="宋体" w:hAnsi="宋体"/>
          <w:color w:val="000000"/>
          <w:highlight w:val="none"/>
        </w:rPr>
      </w:r>
      <w:r/>
    </w:p>
    <w:p>
      <w:pPr>
        <w:pStyle w:val="1010"/>
        <w:rPr>
          <w:rFonts w:ascii="宋体" w:hAnsi="宋体"/>
          <w:color w:val="000000"/>
          <w:highlight w:val="none"/>
        </w:rPr>
      </w:pPr>
      <w:r>
        <w:rPr>
          <w:rFonts w:ascii="宋体" w:hAnsi="宋体"/>
          <w:color w:val="000000"/>
          <w:highlight w:val="none"/>
        </w:rPr>
      </w:r>
      <w:r/>
    </w:p>
    <w:p>
      <w:pPr>
        <w:pStyle w:val="1010"/>
        <w:rPr>
          <w:rFonts w:ascii="宋体" w:hAnsi="宋体"/>
          <w:color w:val="000000"/>
          <w:highlight w:val="none"/>
        </w:rPr>
      </w:pPr>
      <w:r>
        <w:rPr>
          <w:rFonts w:ascii="宋体" w:hAnsi="宋体"/>
          <w:color w:val="000000"/>
          <w:highlight w:val="none"/>
        </w:rPr>
      </w:r>
      <w:r/>
    </w:p>
    <w:p>
      <w:pPr>
        <w:pStyle w:val="1010"/>
        <w:rPr>
          <w:rFonts w:ascii="宋体" w:hAnsi="宋体"/>
          <w:color w:val="000000"/>
          <w:highlight w:val="none"/>
        </w:rPr>
      </w:pPr>
      <w:r>
        <w:rPr>
          <w:rFonts w:ascii="宋体" w:hAnsi="宋体"/>
          <w:color w:val="000000"/>
          <w:highlight w:val="none"/>
        </w:rPr>
      </w:r>
      <w:r/>
    </w:p>
    <w:p>
      <w:pPr>
        <w:pStyle w:val="1010"/>
        <w:rPr>
          <w:rFonts w:ascii="宋体" w:hAnsi="宋体"/>
          <w:color w:val="000000"/>
          <w:highlight w:val="none"/>
        </w:rPr>
      </w:pPr>
      <w:r>
        <w:rPr>
          <w:rFonts w:ascii="宋体" w:hAnsi="宋体"/>
          <w:color w:val="00000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hint="eastAsia" w:ascii="宋体" w:hAnsi="宋体"/>
          <w:color w:val="000000"/>
          <w:sz w:val="24"/>
          <w:szCs w:val="20"/>
          <w:highlight w:val="none"/>
        </w:rPr>
        <w:outlineLvl w:val="9"/>
      </w:pPr>
      <w:r>
        <w:rPr>
          <w:rFonts w:hint="eastAsia" w:ascii="宋体" w:hAnsi="宋体"/>
          <w:color w:val="000000"/>
          <w:sz w:val="24"/>
          <w:szCs w:val="20"/>
          <w:highlight w:val="none"/>
        </w:rPr>
      </w:r>
      <w:r/>
    </w:p>
    <w:p>
      <w:pPr>
        <w:pStyle w:val="1010"/>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14</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1010"/>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FangSong_GB2312">
    <w:panose1 w:val="02010609060101010101"/>
  </w:font>
  <w:font w:name="Symbol">
    <w:panose1 w:val="05050102010706020507"/>
  </w:font>
  <w:font w:name="Courier New">
    <w:panose1 w:val="020703090202050204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right="360"/>
      <w:tabs>
        <w:tab w:val="center" w:pos="4153" w:leader="none"/>
        <w:tab w:val="right" w:pos="8306" w:leader="none"/>
      </w:tabs>
      <w:rPr>
        <w:rStyle w:val="1085"/>
      </w:rPr>
      <w:framePr w:wrap="around" w:vAnchor="text" w:hAnchor="margin" w:y="1"/>
    </w:pPr>
    <w:r>
      <w:rPr>
        <w:rStyle w:val="1085"/>
      </w:rPr>
    </w:r>
    <w:r/>
  </w:p>
  <w:p>
    <w:pPr>
      <w:pStyle w:val="105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5"/>
      </w:rPr>
      <w:framePr w:wrap="around" w:vAnchor="text" w:hAnchor="margin" w:xAlign="center" w:y="1"/>
    </w:pPr>
    <w:r>
      <w:fldChar w:fldCharType="begin"/>
    </w:r>
    <w:r>
      <w:rPr>
        <w:rStyle w:val="1085"/>
      </w:rPr>
      <w:instrText xml:space="preserve">PAGE  </w:instrText>
    </w:r>
    <w:r>
      <w:fldChar w:fldCharType="end"/>
    </w:r>
    <w:r>
      <w:rPr>
        <w:rStyle w:val="1085"/>
      </w:rPr>
    </w:r>
    <w:r/>
  </w:p>
  <w:p>
    <w:pPr>
      <w:pStyle w:val="105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5"/>
      </w:rPr>
      <w:framePr w:wrap="around" w:vAnchor="text" w:hAnchor="margin" w:xAlign="right" w:y="1"/>
    </w:pPr>
    <w:r>
      <w:rPr>
        <w:rStyle w:val="1085"/>
      </w:rPr>
    </w:r>
    <w:r/>
  </w:p>
  <w:p>
    <w:pPr>
      <w:pStyle w:val="105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1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85"/>
      </w:rPr>
      <w:framePr w:wrap="around" w:vAnchor="text" w:hAnchor="margin" w:xAlign="right" w:y="1"/>
    </w:pPr>
    <w:r>
      <w:rPr>
        <w:rStyle w:val="1085"/>
      </w:rPr>
      <w:fldChar w:fldCharType="begin"/>
    </w:r>
    <w:r>
      <w:rPr>
        <w:rStyle w:val="1085"/>
      </w:rPr>
      <w:instrText xml:space="preserve">PAGE  </w:instrText>
    </w:r>
    <w:r>
      <w:rPr>
        <w:rStyle w:val="1085"/>
      </w:rPr>
      <w:fldChar w:fldCharType="end"/>
    </w:r>
    <w:r>
      <w:rPr>
        <w:rStyle w:val="1085"/>
      </w:rPr>
    </w:r>
    <w:r/>
  </w:p>
  <w:p>
    <w:pPr>
      <w:pStyle w:val="1058"/>
      <w:ind w:right="360"/>
      <w:tabs>
        <w:tab w:val="center" w:pos="4153" w:leader="none"/>
        <w:tab w:val="right" w:pos="8306" w:leader="none"/>
      </w:tabs>
    </w:pPr>
    <w:r/>
    <w:r/>
  </w:p>
  <w:p>
    <w:pPr>
      <w:pStyle w:val="101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p>
    <w:pPr>
      <w:pStyle w:val="101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1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1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3"/>
      <w:isLgl w:val="false"/>
      <w:suff w:val="tab"/>
      <w:lvlText w:val="%1."/>
      <w:lvlJc w:val="left"/>
      <w:pPr>
        <w:pStyle w:val="1010"/>
        <w:ind w:left="420" w:hanging="420"/>
      </w:pPr>
    </w:lvl>
    <w:lvl w:ilvl="1">
      <w:start w:val="1"/>
      <w:numFmt w:val="decimal"/>
      <w:isLgl w:val="false"/>
      <w:suff w:val="tab"/>
      <w:lvlText w:val="（%2）"/>
      <w:lvlJc w:val="left"/>
      <w:pPr>
        <w:pStyle w:val="1010"/>
        <w:ind w:left="1140" w:hanging="720"/>
        <w:tabs>
          <w:tab w:val="num" w:pos="1140" w:leader="none"/>
        </w:tabs>
      </w:pPr>
      <w:rPr>
        <w:rFonts w:hint="eastAsia"/>
      </w:r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abstractNum w:abstractNumId="3">
    <w:multiLevelType w:val="hybridMultilevel"/>
    <w:lvl w:ilvl="0">
      <w:start w:val="1"/>
      <w:numFmt w:val="lowerLetter"/>
      <w:pStyle w:val="1198"/>
      <w:isLgl w:val="false"/>
      <w:suff w:val="tab"/>
      <w:lvlText w:val="%1)"/>
      <w:lvlJc w:val="left"/>
      <w:pPr>
        <w:pStyle w:val="1010"/>
        <w:ind w:left="902" w:hanging="420"/>
      </w:pPr>
      <w:rPr>
        <w:color w:val="000000"/>
      </w:rPr>
    </w:lvl>
    <w:lvl w:ilvl="1">
      <w:start w:val="1"/>
      <w:numFmt w:val="lowerLetter"/>
      <w:isLgl w:val="false"/>
      <w:suff w:val="tab"/>
      <w:lvlText w:val="%2)"/>
      <w:lvlJc w:val="left"/>
      <w:pPr>
        <w:pStyle w:val="1010"/>
        <w:ind w:left="1322" w:hanging="420"/>
      </w:pPr>
    </w:lvl>
    <w:lvl w:ilvl="2">
      <w:start w:val="1"/>
      <w:numFmt w:val="lowerRoman"/>
      <w:isLgl w:val="false"/>
      <w:suff w:val="tab"/>
      <w:lvlText w:val="%3."/>
      <w:lvlJc w:val="right"/>
      <w:pPr>
        <w:pStyle w:val="1010"/>
        <w:ind w:left="1742" w:hanging="420"/>
      </w:pPr>
    </w:lvl>
    <w:lvl w:ilvl="3">
      <w:start w:val="1"/>
      <w:numFmt w:val="decimal"/>
      <w:isLgl w:val="false"/>
      <w:suff w:val="tab"/>
      <w:lvlText w:val="%4."/>
      <w:lvlJc w:val="left"/>
      <w:pPr>
        <w:pStyle w:val="1010"/>
        <w:ind w:left="2162" w:hanging="420"/>
      </w:pPr>
    </w:lvl>
    <w:lvl w:ilvl="4">
      <w:start w:val="1"/>
      <w:numFmt w:val="lowerLetter"/>
      <w:isLgl w:val="false"/>
      <w:suff w:val="tab"/>
      <w:lvlText w:val="%5)"/>
      <w:lvlJc w:val="left"/>
      <w:pPr>
        <w:pStyle w:val="1010"/>
        <w:ind w:left="2582" w:hanging="420"/>
      </w:pPr>
    </w:lvl>
    <w:lvl w:ilvl="5">
      <w:start w:val="1"/>
      <w:numFmt w:val="lowerRoman"/>
      <w:isLgl w:val="false"/>
      <w:suff w:val="tab"/>
      <w:lvlText w:val="%6."/>
      <w:lvlJc w:val="right"/>
      <w:pPr>
        <w:pStyle w:val="1010"/>
        <w:ind w:left="3002" w:hanging="420"/>
      </w:pPr>
    </w:lvl>
    <w:lvl w:ilvl="6">
      <w:start w:val="1"/>
      <w:numFmt w:val="decimal"/>
      <w:isLgl w:val="false"/>
      <w:suff w:val="tab"/>
      <w:lvlText w:val="%7."/>
      <w:lvlJc w:val="left"/>
      <w:pPr>
        <w:pStyle w:val="1010"/>
        <w:ind w:left="3422" w:hanging="420"/>
      </w:pPr>
    </w:lvl>
    <w:lvl w:ilvl="7">
      <w:start w:val="1"/>
      <w:numFmt w:val="lowerLetter"/>
      <w:isLgl w:val="false"/>
      <w:suff w:val="tab"/>
      <w:lvlText w:val="%8)"/>
      <w:lvlJc w:val="left"/>
      <w:pPr>
        <w:pStyle w:val="1010"/>
        <w:ind w:left="3842" w:hanging="420"/>
      </w:pPr>
    </w:lvl>
    <w:lvl w:ilvl="8">
      <w:start w:val="1"/>
      <w:numFmt w:val="lowerRoman"/>
      <w:isLgl w:val="false"/>
      <w:suff w:val="tab"/>
      <w:lvlText w:val="%9."/>
      <w:lvlJc w:val="right"/>
      <w:pPr>
        <w:pStyle w:val="1010"/>
        <w:ind w:left="4262" w:hanging="420"/>
      </w:pPr>
    </w:lvl>
  </w:abstractNum>
  <w:abstractNum w:abstractNumId="4">
    <w:multiLevelType w:val="hybridMultilevel"/>
    <w:lvl w:ilvl="0">
      <w:start w:val="1"/>
      <w:numFmt w:val="decimal"/>
      <w:pStyle w:val="1168"/>
      <w:isLgl w:val="false"/>
      <w:suff w:val="tab"/>
      <w:lvlText w:val="%1."/>
      <w:lvlJc w:val="left"/>
      <w:pPr>
        <w:pStyle w:val="101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7"/>
      <w:isLgl w:val="false"/>
      <w:suff w:val="nothing"/>
      <w:lvlText w:val="%1　"/>
      <w:lvlJc w:val="left"/>
      <w:pPr>
        <w:pStyle w:val="101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0"/>
        <w:ind w:left="-25" w:firstLine="0"/>
      </w:pPr>
      <w:rPr>
        <w:rFonts w:ascii="Times New Roman" w:hAnsi="Times New Roman" w:eastAsia="黑体"/>
        <w:b/>
        <w:i w:val="0"/>
        <w:sz w:val="28"/>
      </w:rPr>
    </w:lvl>
    <w:lvl w:ilvl="3">
      <w:start w:val="1"/>
      <w:numFmt w:val="decimal"/>
      <w:pStyle w:val="1153"/>
      <w:isLgl w:val="false"/>
      <w:suff w:val="nothing"/>
      <w:lvlText w:val="%1.%2.%3.%4　"/>
      <w:lvlJc w:val="left"/>
      <w:pPr>
        <w:pStyle w:val="101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0"/>
        <w:ind w:left="-25" w:firstLine="0"/>
      </w:pPr>
      <w:rPr>
        <w:rFonts w:ascii="Times New Roman" w:hAnsi="Times New Roman" w:eastAsia="宋体"/>
        <w:b/>
        <w:i w:val="0"/>
        <w:sz w:val="28"/>
      </w:rPr>
    </w:lvl>
    <w:lvl w:ilvl="6">
      <w:start w:val="1"/>
      <w:numFmt w:val="lowerLetter"/>
      <w:pStyle w:val="1174"/>
      <w:isLgl w:val="false"/>
      <w:suff w:val="tab"/>
      <w:lvlText w:val="%7) "/>
      <w:lvlJc w:val="left"/>
      <w:pPr>
        <w:pStyle w:val="1010"/>
        <w:ind w:left="-125" w:firstLine="400"/>
        <w:tabs>
          <w:tab w:val="num" w:pos="635" w:leader="none"/>
        </w:tabs>
      </w:pPr>
      <w:rPr>
        <w:rFonts w:ascii="Times New Roman" w:hAnsi="Times New Roman" w:eastAsia="宋体"/>
        <w:b/>
        <w:i w:val="0"/>
        <w:color w:val="000000"/>
        <w:sz w:val="28"/>
        <w:u w:val="none"/>
      </w:rPr>
    </w:lvl>
    <w:lvl w:ilvl="7">
      <w:start w:val="1"/>
      <w:numFmt w:val="decimal"/>
      <w:pStyle w:val="1137"/>
      <w:isLgl w:val="false"/>
      <w:suff w:val="tab"/>
      <w:lvlText w:val="%8) "/>
      <w:lvlJc w:val="left"/>
      <w:pPr>
        <w:pStyle w:val="101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0"/>
        <w:ind w:left="768" w:hanging="360"/>
        <w:tabs>
          <w:tab w:val="num" w:pos="768" w:leader="none"/>
        </w:tabs>
      </w:pPr>
      <w:rPr>
        <w:rFonts w:hint="eastAsia"/>
      </w:rPr>
    </w:lvl>
    <w:lvl w:ilvl="1">
      <w:start w:val="1"/>
      <w:numFmt w:val="decimal"/>
      <w:pStyle w:val="1155"/>
      <w:isLgl w:val="false"/>
      <w:suff w:val="tab"/>
      <w:lvlText w:val="%2、"/>
      <w:lvlJc w:val="left"/>
      <w:pPr>
        <w:pStyle w:val="1010"/>
        <w:ind w:left="1188" w:hanging="360"/>
        <w:tabs>
          <w:tab w:val="num" w:pos="1188" w:leader="none"/>
        </w:tabs>
      </w:pPr>
      <w:rPr>
        <w:rFonts w:hint="eastAsia"/>
      </w:rPr>
    </w:lvl>
    <w:lvl w:ilvl="2">
      <w:start w:val="1"/>
      <w:numFmt w:val="decimal"/>
      <w:isLgl w:val="false"/>
      <w:suff w:val="tab"/>
      <w:lvlText w:val="（%3）"/>
      <w:lvlJc w:val="left"/>
      <w:pPr>
        <w:pStyle w:val="1010"/>
        <w:ind w:left="1968" w:hanging="720"/>
        <w:tabs>
          <w:tab w:val="num" w:pos="1968" w:leader="none"/>
        </w:tabs>
      </w:pPr>
      <w:rPr>
        <w:rFonts w:hint="eastAsia"/>
        <w:u w:val="none"/>
      </w:rPr>
    </w:lvl>
    <w:lvl w:ilvl="3">
      <w:start w:val="1"/>
      <w:numFmt w:val="decimal"/>
      <w:isLgl w:val="false"/>
      <w:suff w:val="tab"/>
      <w:lvlText w:val="%4."/>
      <w:lvlJc w:val="left"/>
      <w:pPr>
        <w:pStyle w:val="1010"/>
        <w:ind w:left="2088" w:hanging="420"/>
        <w:tabs>
          <w:tab w:val="num" w:pos="2088" w:leader="none"/>
        </w:tabs>
      </w:pPr>
    </w:lvl>
    <w:lvl w:ilvl="4">
      <w:start w:val="1"/>
      <w:numFmt w:val="lowerLetter"/>
      <w:isLgl w:val="false"/>
      <w:suff w:val="tab"/>
      <w:lvlText w:val="%5)"/>
      <w:lvlJc w:val="left"/>
      <w:pPr>
        <w:pStyle w:val="1010"/>
        <w:ind w:left="2508" w:hanging="420"/>
        <w:tabs>
          <w:tab w:val="num" w:pos="2508" w:leader="none"/>
        </w:tabs>
      </w:pPr>
    </w:lvl>
    <w:lvl w:ilvl="5">
      <w:start w:val="1"/>
      <w:numFmt w:val="lowerRoman"/>
      <w:isLgl w:val="false"/>
      <w:suff w:val="tab"/>
      <w:lvlText w:val="%6."/>
      <w:lvlJc w:val="right"/>
      <w:pPr>
        <w:pStyle w:val="1010"/>
        <w:ind w:left="2928" w:hanging="420"/>
        <w:tabs>
          <w:tab w:val="num" w:pos="2928" w:leader="none"/>
        </w:tabs>
      </w:pPr>
    </w:lvl>
    <w:lvl w:ilvl="6">
      <w:start w:val="1"/>
      <w:numFmt w:val="decimal"/>
      <w:isLgl w:val="false"/>
      <w:suff w:val="tab"/>
      <w:lvlText w:val="%7."/>
      <w:lvlJc w:val="left"/>
      <w:pPr>
        <w:pStyle w:val="1010"/>
        <w:ind w:left="3348" w:hanging="420"/>
        <w:tabs>
          <w:tab w:val="num" w:pos="3348" w:leader="none"/>
        </w:tabs>
      </w:pPr>
    </w:lvl>
    <w:lvl w:ilvl="7">
      <w:start w:val="1"/>
      <w:numFmt w:val="lowerLetter"/>
      <w:isLgl w:val="false"/>
      <w:suff w:val="tab"/>
      <w:lvlText w:val="%8)"/>
      <w:lvlJc w:val="left"/>
      <w:pPr>
        <w:pStyle w:val="1010"/>
        <w:ind w:left="3768" w:hanging="420"/>
        <w:tabs>
          <w:tab w:val="num" w:pos="3768" w:leader="none"/>
        </w:tabs>
      </w:pPr>
    </w:lvl>
    <w:lvl w:ilvl="8">
      <w:start w:val="1"/>
      <w:numFmt w:val="lowerRoman"/>
      <w:isLgl w:val="false"/>
      <w:suff w:val="tab"/>
      <w:lvlText w:val="%9."/>
      <w:lvlJc w:val="right"/>
      <w:pPr>
        <w:pStyle w:val="1010"/>
        <w:ind w:left="4188" w:hanging="420"/>
        <w:tabs>
          <w:tab w:val="num" w:pos="4188" w:leader="none"/>
        </w:tabs>
      </w:pPr>
    </w:lvl>
  </w:abstractNum>
  <w:abstractNum w:abstractNumId="7">
    <w:multiLevelType w:val="hybridMultilevel"/>
    <w:lvl w:ilvl="0">
      <w:start w:val="1"/>
      <w:numFmt w:val="decimal"/>
      <w:pStyle w:val="1122"/>
      <w:isLgl w:val="false"/>
      <w:suff w:val="tab"/>
      <w:lvlText w:val="%1)"/>
      <w:lvlJc w:val="left"/>
      <w:pPr>
        <w:pStyle w:val="1010"/>
        <w:ind w:left="420" w:hanging="420"/>
      </w:pPr>
    </w:lvl>
    <w:lvl w:ilvl="1">
      <w:start w:val="1"/>
      <w:numFmt w:val="lowerLetter"/>
      <w:isLgl w:val="false"/>
      <w:suff w:val="tab"/>
      <w:lvlText w:val="%2)"/>
      <w:lvlJc w:val="left"/>
      <w:pPr>
        <w:pStyle w:val="1010"/>
        <w:ind w:left="840" w:hanging="420"/>
      </w:p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abstractNum w:abstractNumId="8">
    <w:multiLevelType w:val="hybridMultilevel"/>
    <w:lvl w:ilvl="0">
      <w:start w:val="1"/>
      <w:numFmt w:val="decimal"/>
      <w:pStyle w:val="1223"/>
      <w:isLgl w:val="false"/>
      <w:suff w:val="tab"/>
      <w:lvlText w:val="%1"/>
      <w:lvlJc w:val="left"/>
      <w:pPr>
        <w:pStyle w:val="1010"/>
        <w:ind w:left="680" w:hanging="680"/>
      </w:pPr>
      <w:rPr>
        <w:rFonts w:hint="eastAsia" w:ascii="宋体" w:hAnsi="宋体" w:eastAsia="宋体"/>
      </w:rPr>
    </w:lvl>
    <w:lvl w:ilvl="1">
      <w:start w:val="1"/>
      <w:numFmt w:val="decimal"/>
      <w:pStyle w:val="1224"/>
      <w:isLgl w:val="false"/>
      <w:suff w:val="tab"/>
      <w:lvlText w:val="%1.%2"/>
      <w:lvlJc w:val="left"/>
      <w:pPr>
        <w:pStyle w:val="1010"/>
        <w:ind w:left="851" w:hanging="851"/>
      </w:pPr>
      <w:rPr>
        <w:rFonts w:hint="eastAsia" w:ascii="宋体" w:hAnsi="宋体" w:eastAsia="宋体"/>
        <w:color w:val="000000"/>
      </w:rPr>
    </w:lvl>
    <w:lvl w:ilvl="2">
      <w:start w:val="1"/>
      <w:numFmt w:val="decimal"/>
      <w:pStyle w:val="1225"/>
      <w:isLgl w:val="false"/>
      <w:suff w:val="tab"/>
      <w:lvlText w:val="%1.%2.%3"/>
      <w:lvlJc w:val="left"/>
      <w:pPr>
        <w:pStyle w:val="1010"/>
        <w:ind w:left="851" w:hanging="851"/>
      </w:pPr>
      <w:rPr>
        <w:rFonts w:hint="eastAsia"/>
      </w:rPr>
    </w:lvl>
    <w:lvl w:ilvl="3">
      <w:start w:val="1"/>
      <w:numFmt w:val="decimal"/>
      <w:isLgl w:val="false"/>
      <w:suff w:val="tab"/>
      <w:lvlText w:val="%1.%2.%3.%4"/>
      <w:lvlJc w:val="left"/>
      <w:pPr>
        <w:pStyle w:val="1010"/>
        <w:ind w:left="680" w:hanging="680"/>
      </w:pPr>
      <w:rPr>
        <w:rFonts w:hint="eastAsia"/>
      </w:rPr>
    </w:lvl>
    <w:lvl w:ilvl="4">
      <w:start w:val="1"/>
      <w:numFmt w:val="decimal"/>
      <w:isLgl w:val="false"/>
      <w:suff w:val="tab"/>
      <w:lvlText w:val="%1.%2.%3.%4.%5"/>
      <w:lvlJc w:val="left"/>
      <w:pPr>
        <w:pStyle w:val="1010"/>
        <w:ind w:left="680" w:hanging="680"/>
      </w:pPr>
      <w:rPr>
        <w:rFonts w:hint="eastAsia"/>
      </w:rPr>
    </w:lvl>
    <w:lvl w:ilvl="5">
      <w:start w:val="1"/>
      <w:numFmt w:val="decimal"/>
      <w:isLgl w:val="false"/>
      <w:suff w:val="tab"/>
      <w:lvlText w:val="%1.%2.%3.%4.%5.%6"/>
      <w:lvlJc w:val="left"/>
      <w:pPr>
        <w:pStyle w:val="1010"/>
        <w:ind w:left="680" w:hanging="680"/>
      </w:pPr>
      <w:rPr>
        <w:rFonts w:hint="eastAsia"/>
      </w:rPr>
    </w:lvl>
    <w:lvl w:ilvl="6">
      <w:start w:val="1"/>
      <w:numFmt w:val="decimal"/>
      <w:isLgl w:val="false"/>
      <w:suff w:val="tab"/>
      <w:lvlText w:val="%1.%2.%3.%4.%5.%6.%7"/>
      <w:lvlJc w:val="left"/>
      <w:pPr>
        <w:pStyle w:val="1010"/>
        <w:ind w:left="680" w:hanging="680"/>
      </w:pPr>
      <w:rPr>
        <w:rFonts w:hint="eastAsia"/>
      </w:rPr>
    </w:lvl>
    <w:lvl w:ilvl="7">
      <w:start w:val="1"/>
      <w:numFmt w:val="decimal"/>
      <w:isLgl w:val="false"/>
      <w:suff w:val="tab"/>
      <w:lvlText w:val="%1.%2.%3.%4.%5.%6.%7.%8"/>
      <w:lvlJc w:val="left"/>
      <w:pPr>
        <w:pStyle w:val="1010"/>
        <w:ind w:left="680" w:hanging="680"/>
      </w:pPr>
      <w:rPr>
        <w:rFonts w:hint="eastAsia"/>
      </w:rPr>
    </w:lvl>
    <w:lvl w:ilvl="8">
      <w:start w:val="1"/>
      <w:numFmt w:val="decimal"/>
      <w:isLgl w:val="false"/>
      <w:suff w:val="tab"/>
      <w:lvlText w:val="%1.%2.%3.%4.%5.%6.%7.%8.%9"/>
      <w:lvlJc w:val="left"/>
      <w:pPr>
        <w:pStyle w:val="1010"/>
        <w:ind w:left="680" w:hanging="680"/>
      </w:pPr>
      <w:rPr>
        <w:rFonts w:hint="eastAsia"/>
      </w:rPr>
    </w:lvl>
  </w:abstractNum>
  <w:abstractNum w:abstractNumId="9">
    <w:multiLevelType w:val="hybridMultilevel"/>
    <w:lvl w:ilvl="0">
      <w:start w:val="1"/>
      <w:numFmt w:val="decimal"/>
      <w:isLgl w:val="false"/>
      <w:suff w:val="tab"/>
      <w:lvlText w:val="%1."/>
      <w:lvlJc w:val="left"/>
      <w:pPr>
        <w:pStyle w:val="1010"/>
        <w:ind w:left="205" w:hanging="322"/>
      </w:pPr>
      <w:rPr>
        <w:rFonts w:ascii="仿宋" w:hAnsi="仿宋" w:eastAsia="仿宋" w:cs="仿宋"/>
        <w:spacing w:val="-46"/>
        <w:sz w:val="30"/>
        <w:szCs w:val="30"/>
      </w:rPr>
    </w:lvl>
    <w:lvl w:ilvl="1">
      <w:start w:val="1"/>
      <w:numFmt w:val="lowerLetter"/>
      <w:isLgl w:val="false"/>
      <w:suff w:val="tab"/>
      <w:lvlText w:val="%2)"/>
      <w:lvlJc w:val="left"/>
      <w:pPr>
        <w:pStyle w:val="1010"/>
        <w:ind w:left="840" w:hanging="420"/>
      </w:p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10"/>
    <w:next w:val="1010"/>
    <w:link w:val="1022"/>
    <w:uiPriority w:val="9"/>
    <w:qFormat/>
    <w:pPr>
      <w:keepLines/>
      <w:keepNext/>
      <w:spacing w:before="480" w:after="200"/>
      <w:outlineLvl w:val="0"/>
    </w:pPr>
    <w:rPr>
      <w:rFonts w:ascii="Arial" w:hAnsi="Arial" w:eastAsia="Arial" w:cs="Arial"/>
      <w:sz w:val="40"/>
      <w:szCs w:val="40"/>
    </w:rPr>
  </w:style>
  <w:style w:type="paragraph" w:styleId="847">
    <w:name w:val="Heading 2"/>
    <w:basedOn w:val="1010"/>
    <w:next w:val="1010"/>
    <w:link w:val="1023"/>
    <w:uiPriority w:val="9"/>
    <w:unhideWhenUsed/>
    <w:qFormat/>
    <w:pPr>
      <w:keepLines/>
      <w:keepNext/>
      <w:spacing w:before="360" w:after="200"/>
      <w:outlineLvl w:val="1"/>
    </w:pPr>
    <w:rPr>
      <w:rFonts w:ascii="Arial" w:hAnsi="Arial" w:eastAsia="Arial" w:cs="Arial"/>
      <w:sz w:val="34"/>
    </w:rPr>
  </w:style>
  <w:style w:type="paragraph" w:styleId="848">
    <w:name w:val="Heading 3"/>
    <w:basedOn w:val="1010"/>
    <w:next w:val="1010"/>
    <w:link w:val="1024"/>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1010"/>
    <w:next w:val="1010"/>
    <w:link w:val="1027"/>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1010"/>
    <w:next w:val="1010"/>
    <w:link w:val="1028"/>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1010"/>
    <w:next w:val="1010"/>
    <w:link w:val="1029"/>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1010"/>
    <w:next w:val="1010"/>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1010"/>
    <w:next w:val="1010"/>
    <w:link w:val="1031"/>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1010"/>
    <w:next w:val="1010"/>
    <w:link w:val="1032"/>
    <w:uiPriority w:val="9"/>
    <w:unhideWhenUsed/>
    <w:qFormat/>
    <w:pPr>
      <w:keepLines/>
      <w:keepNext/>
      <w:spacing w:before="320" w:after="200"/>
      <w:outlineLvl w:val="8"/>
    </w:pPr>
    <w:rPr>
      <w:rFonts w:ascii="Arial" w:hAnsi="Arial" w:eastAsia="Arial" w:cs="Arial"/>
      <w:i/>
      <w:iCs/>
      <w:sz w:val="21"/>
      <w:szCs w:val="21"/>
    </w:rPr>
  </w:style>
  <w:style w:type="paragraph" w:styleId="855">
    <w:name w:val="Title"/>
    <w:basedOn w:val="1010"/>
    <w:next w:val="1010"/>
    <w:link w:val="1076"/>
    <w:uiPriority w:val="10"/>
    <w:qFormat/>
    <w:pPr>
      <w:contextualSpacing/>
      <w:spacing w:before="300" w:after="200"/>
    </w:pPr>
    <w:rPr>
      <w:sz w:val="48"/>
      <w:szCs w:val="48"/>
    </w:rPr>
  </w:style>
  <w:style w:type="paragraph" w:styleId="856">
    <w:name w:val="Subtitle"/>
    <w:basedOn w:val="1010"/>
    <w:next w:val="1010"/>
    <w:link w:val="857"/>
    <w:uiPriority w:val="11"/>
    <w:qFormat/>
    <w:pPr>
      <w:spacing w:before="200" w:after="200"/>
    </w:pPr>
    <w:rPr>
      <w:sz w:val="24"/>
      <w:szCs w:val="24"/>
    </w:rPr>
  </w:style>
  <w:style w:type="character" w:styleId="857">
    <w:name w:val="Subtitle Char"/>
    <w:link w:val="856"/>
    <w:uiPriority w:val="11"/>
    <w:rPr>
      <w:sz w:val="24"/>
      <w:szCs w:val="24"/>
    </w:rPr>
  </w:style>
  <w:style w:type="paragraph" w:styleId="858">
    <w:name w:val="Quote"/>
    <w:basedOn w:val="1010"/>
    <w:next w:val="1010"/>
    <w:link w:val="859"/>
    <w:uiPriority w:val="29"/>
    <w:qFormat/>
    <w:pPr>
      <w:ind w:left="720" w:right="720"/>
    </w:pPr>
    <w:rPr>
      <w:i/>
    </w:rPr>
  </w:style>
  <w:style w:type="character" w:styleId="859">
    <w:name w:val="Quote Char"/>
    <w:link w:val="858"/>
    <w:uiPriority w:val="29"/>
    <w:rPr>
      <w:i/>
    </w:rPr>
  </w:style>
  <w:style w:type="paragraph" w:styleId="860">
    <w:name w:val="Intense Quote"/>
    <w:basedOn w:val="1010"/>
    <w:next w:val="1010"/>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paragraph" w:styleId="862">
    <w:name w:val="Header"/>
    <w:basedOn w:val="1010"/>
    <w:link w:val="1062"/>
    <w:uiPriority w:val="99"/>
    <w:unhideWhenUsed/>
    <w:pPr>
      <w:spacing w:after="0" w:line="240" w:lineRule="auto"/>
      <w:tabs>
        <w:tab w:val="center" w:pos="7143" w:leader="none"/>
        <w:tab w:val="right" w:pos="14287" w:leader="none"/>
      </w:tabs>
    </w:pPr>
  </w:style>
  <w:style w:type="paragraph" w:styleId="863">
    <w:name w:val="Footer"/>
    <w:basedOn w:val="1010"/>
    <w:link w:val="865"/>
    <w:uiPriority w:val="99"/>
    <w:unhideWhenUsed/>
    <w:pPr>
      <w:spacing w:after="0" w:line="240" w:lineRule="auto"/>
      <w:tabs>
        <w:tab w:val="center" w:pos="7143" w:leader="none"/>
        <w:tab w:val="right" w:pos="14287" w:leader="none"/>
      </w:tabs>
    </w:pPr>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3"/>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jc w:val="both"/>
      <w:widowControl w:val="off"/>
    </w:pPr>
    <w:rPr>
      <w:sz w:val="21"/>
      <w:szCs w:val="24"/>
      <w:lang w:val="en-US" w:eastAsia="zh-CN" w:bidi="ar-SA"/>
    </w:rPr>
  </w:style>
  <w:style w:type="paragraph" w:styleId="1011">
    <w:name w:val="标题 1"/>
    <w:basedOn w:val="1010"/>
    <w:next w:val="1010"/>
    <w:link w:val="1022"/>
    <w:qFormat/>
    <w:pPr>
      <w:jc w:val="center"/>
      <w:keepLines/>
      <w:keepNext/>
      <w:spacing w:before="240" w:after="120" w:line="300" w:lineRule="auto"/>
      <w:outlineLvl w:val="0"/>
    </w:pPr>
    <w:rPr>
      <w:rFonts w:ascii="宋体"/>
      <w:b/>
      <w:sz w:val="32"/>
      <w:szCs w:val="20"/>
    </w:rPr>
  </w:style>
  <w:style w:type="paragraph" w:styleId="1012">
    <w:name w:val="标题 2"/>
    <w:basedOn w:val="1010"/>
    <w:next w:val="1010"/>
    <w:link w:val="1023"/>
    <w:qFormat/>
    <w:pPr>
      <w:jc w:val="center"/>
      <w:keepLines/>
      <w:keepNext/>
      <w:spacing w:before="120" w:line="300" w:lineRule="auto"/>
      <w:outlineLvl w:val="1"/>
    </w:pPr>
    <w:rPr>
      <w:rFonts w:ascii="Arial" w:hAnsi="Arial" w:eastAsia="黑体"/>
      <w:b/>
      <w:sz w:val="30"/>
      <w:szCs w:val="20"/>
    </w:rPr>
  </w:style>
  <w:style w:type="paragraph" w:styleId="1013">
    <w:name w:val="标题 3"/>
    <w:basedOn w:val="1010"/>
    <w:next w:val="1025"/>
    <w:link w:val="1024"/>
    <w:qFormat/>
    <w:pPr>
      <w:jc w:val="left"/>
      <w:keepLines/>
      <w:keepNext/>
      <w:spacing w:before="360" w:after="120"/>
      <w:outlineLvl w:val="2"/>
    </w:pPr>
    <w:rPr>
      <w:rFonts w:ascii="宋体"/>
      <w:b/>
      <w:sz w:val="24"/>
      <w:szCs w:val="20"/>
      <w:u w:val="single"/>
    </w:rPr>
  </w:style>
  <w:style w:type="paragraph" w:styleId="1014">
    <w:name w:val="标题 4"/>
    <w:basedOn w:val="1010"/>
    <w:next w:val="1010"/>
    <w:link w:val="1027"/>
    <w:qFormat/>
    <w:pPr>
      <w:keepLines/>
      <w:keepNext/>
      <w:spacing w:before="280" w:after="290" w:line="376" w:lineRule="atLeast"/>
      <w:outlineLvl w:val="3"/>
    </w:pPr>
    <w:rPr>
      <w:rFonts w:ascii="Arial" w:hAnsi="Arial" w:eastAsia="黑体"/>
      <w:b/>
      <w:sz w:val="28"/>
      <w:szCs w:val="20"/>
    </w:rPr>
  </w:style>
  <w:style w:type="paragraph" w:styleId="1015">
    <w:name w:val="标题 5"/>
    <w:basedOn w:val="1010"/>
    <w:next w:val="1010"/>
    <w:link w:val="1028"/>
    <w:qFormat/>
    <w:pPr>
      <w:keepLines/>
      <w:keepNext/>
      <w:spacing w:before="280" w:after="290" w:line="376" w:lineRule="atLeast"/>
      <w:outlineLvl w:val="4"/>
    </w:pPr>
    <w:rPr>
      <w:b/>
      <w:sz w:val="28"/>
      <w:szCs w:val="20"/>
    </w:rPr>
  </w:style>
  <w:style w:type="paragraph" w:styleId="1016">
    <w:name w:val="标题 6"/>
    <w:basedOn w:val="1010"/>
    <w:next w:val="1010"/>
    <w:link w:val="1029"/>
    <w:qFormat/>
    <w:pPr>
      <w:keepLines/>
      <w:keepNext/>
      <w:spacing w:before="240" w:after="64" w:line="320" w:lineRule="atLeast"/>
      <w:outlineLvl w:val="5"/>
    </w:pPr>
    <w:rPr>
      <w:rFonts w:ascii="Arial" w:hAnsi="Arial" w:eastAsia="黑体"/>
      <w:b/>
      <w:sz w:val="24"/>
      <w:szCs w:val="20"/>
    </w:rPr>
  </w:style>
  <w:style w:type="paragraph" w:styleId="1017">
    <w:name w:val="标题 7"/>
    <w:basedOn w:val="1010"/>
    <w:next w:val="1010"/>
    <w:link w:val="1030"/>
    <w:qFormat/>
    <w:pPr>
      <w:keepLines/>
      <w:keepNext/>
      <w:spacing w:before="240" w:after="64" w:line="320" w:lineRule="atLeast"/>
      <w:outlineLvl w:val="6"/>
    </w:pPr>
    <w:rPr>
      <w:b/>
      <w:sz w:val="24"/>
      <w:szCs w:val="20"/>
    </w:rPr>
  </w:style>
  <w:style w:type="paragraph" w:styleId="1018">
    <w:name w:val="标题 8"/>
    <w:basedOn w:val="1010"/>
    <w:next w:val="1010"/>
    <w:link w:val="1031"/>
    <w:qFormat/>
    <w:pPr>
      <w:keepLines/>
      <w:keepNext/>
      <w:spacing w:before="240" w:after="64" w:line="320" w:lineRule="atLeast"/>
      <w:outlineLvl w:val="7"/>
    </w:pPr>
    <w:rPr>
      <w:rFonts w:ascii="Arial" w:hAnsi="Arial" w:eastAsia="黑体"/>
      <w:sz w:val="24"/>
      <w:szCs w:val="20"/>
    </w:rPr>
  </w:style>
  <w:style w:type="paragraph" w:styleId="1019">
    <w:name w:val="标题 9"/>
    <w:basedOn w:val="1010"/>
    <w:next w:val="1010"/>
    <w:link w:val="1032"/>
    <w:qFormat/>
    <w:pPr>
      <w:keepLines/>
      <w:keepNext/>
      <w:spacing w:before="240" w:after="64" w:line="320" w:lineRule="atLeast"/>
      <w:outlineLvl w:val="8"/>
    </w:pPr>
    <w:rPr>
      <w:rFonts w:ascii="Arial" w:hAnsi="Arial" w:eastAsia="黑体"/>
      <w:szCs w:val="20"/>
    </w:rPr>
  </w:style>
  <w:style w:type="character" w:styleId="1020">
    <w:name w:val="默认段落字体"/>
    <w:next w:val="1020"/>
    <w:link w:val="1010"/>
    <w:uiPriority w:val="1"/>
    <w:unhideWhenUsed/>
    <w:qFormat/>
  </w:style>
  <w:style w:type="table" w:styleId="1021">
    <w:name w:val="普通表格"/>
    <w:next w:val="1021"/>
    <w:link w:val="1010"/>
    <w:uiPriority w:val="99"/>
    <w:unhideWhenUsed/>
    <w:qFormat/>
    <w:tblPr/>
  </w:style>
  <w:style w:type="character" w:styleId="1022">
    <w:name w:val="Heading 1 Char"/>
    <w:next w:val="1022"/>
    <w:link w:val="1011"/>
    <w:qFormat/>
    <w:rPr>
      <w:rFonts w:ascii="宋体"/>
      <w:b/>
      <w:sz w:val="32"/>
    </w:rPr>
  </w:style>
  <w:style w:type="character" w:styleId="1023">
    <w:name w:val="Heading 2 Char"/>
    <w:next w:val="1023"/>
    <w:link w:val="1012"/>
    <w:qFormat/>
    <w:rPr>
      <w:rFonts w:ascii="Arial" w:hAnsi="Arial" w:eastAsia="黑体"/>
      <w:b/>
      <w:sz w:val="30"/>
      <w:lang w:val="en-US" w:eastAsia="zh-CN" w:bidi="ar-SA"/>
    </w:rPr>
  </w:style>
  <w:style w:type="character" w:styleId="1024">
    <w:name w:val="Heading 3 Char"/>
    <w:next w:val="1024"/>
    <w:link w:val="1013"/>
    <w:qFormat/>
    <w:rPr>
      <w:rFonts w:ascii="宋体" w:eastAsia="宋体"/>
      <w:b/>
      <w:sz w:val="24"/>
      <w:u w:val="single"/>
      <w:lang w:val="en-US" w:eastAsia="zh-CN" w:bidi="ar-SA"/>
    </w:rPr>
  </w:style>
  <w:style w:type="paragraph" w:styleId="1025">
    <w:name w:val="正文缩进"/>
    <w:basedOn w:val="1010"/>
    <w:next w:val="1025"/>
    <w:link w:val="1026"/>
    <w:qFormat/>
    <w:pPr>
      <w:ind w:firstLine="420"/>
      <w:jc w:val="left"/>
    </w:pPr>
    <w:rPr>
      <w:rFonts w:ascii="宋体"/>
      <w:sz w:val="24"/>
    </w:rPr>
  </w:style>
  <w:style w:type="character" w:styleId="1026">
    <w:name w:val="Normal Indent Char"/>
    <w:next w:val="1026"/>
    <w:link w:val="1025"/>
    <w:qFormat/>
    <w:rPr>
      <w:rFonts w:ascii="宋体" w:eastAsia="宋体"/>
      <w:sz w:val="24"/>
      <w:szCs w:val="24"/>
      <w:lang w:val="en-US" w:eastAsia="zh-CN" w:bidi="ar-SA"/>
    </w:rPr>
  </w:style>
  <w:style w:type="character" w:styleId="1027">
    <w:name w:val="Heading 4 Char"/>
    <w:next w:val="1027"/>
    <w:link w:val="1014"/>
    <w:qFormat/>
    <w:rPr>
      <w:rFonts w:ascii="Arial" w:hAnsi="Arial" w:eastAsia="黑体"/>
      <w:b/>
      <w:sz w:val="28"/>
    </w:rPr>
  </w:style>
  <w:style w:type="character" w:styleId="1028">
    <w:name w:val="Heading 5 Char"/>
    <w:next w:val="1028"/>
    <w:link w:val="1015"/>
    <w:qFormat/>
    <w:rPr>
      <w:b/>
      <w:sz w:val="28"/>
    </w:rPr>
  </w:style>
  <w:style w:type="character" w:styleId="1029">
    <w:name w:val="Heading 6 Char"/>
    <w:next w:val="1029"/>
    <w:link w:val="1016"/>
    <w:qFormat/>
    <w:rPr>
      <w:rFonts w:ascii="Arial" w:hAnsi="Arial" w:eastAsia="黑体"/>
      <w:b/>
      <w:sz w:val="24"/>
    </w:rPr>
  </w:style>
  <w:style w:type="character" w:styleId="1030">
    <w:name w:val="Heading 7 Char"/>
    <w:next w:val="1030"/>
    <w:link w:val="1017"/>
    <w:qFormat/>
    <w:rPr>
      <w:b/>
      <w:sz w:val="24"/>
    </w:rPr>
  </w:style>
  <w:style w:type="character" w:styleId="1031">
    <w:name w:val="Heading 8 Char"/>
    <w:next w:val="1031"/>
    <w:link w:val="1018"/>
    <w:qFormat/>
    <w:rPr>
      <w:rFonts w:ascii="Arial" w:hAnsi="Arial" w:eastAsia="黑体"/>
      <w:sz w:val="24"/>
    </w:rPr>
  </w:style>
  <w:style w:type="character" w:styleId="1032">
    <w:name w:val="Heading 9 Char"/>
    <w:next w:val="1032"/>
    <w:link w:val="1019"/>
    <w:qFormat/>
    <w:rPr>
      <w:rFonts w:ascii="Arial" w:hAnsi="Arial" w:eastAsia="黑体"/>
      <w:sz w:val="21"/>
    </w:rPr>
  </w:style>
  <w:style w:type="paragraph" w:styleId="1033">
    <w:name w:val="目录 7"/>
    <w:basedOn w:val="1010"/>
    <w:next w:val="1010"/>
    <w:link w:val="1010"/>
    <w:qFormat/>
    <w:pPr>
      <w:ind w:left="2520"/>
    </w:pPr>
  </w:style>
  <w:style w:type="paragraph" w:styleId="1034">
    <w:name w:val="题注"/>
    <w:basedOn w:val="1010"/>
    <w:next w:val="1010"/>
    <w:link w:val="1010"/>
    <w:qFormat/>
    <w:pPr>
      <w:spacing w:line="480" w:lineRule="auto"/>
    </w:pPr>
    <w:rPr>
      <w:rFonts w:ascii="华文中宋" w:hAnsi="华文中宋" w:eastAsia="华文中宋"/>
      <w:sz w:val="36"/>
      <w:szCs w:val="20"/>
    </w:rPr>
  </w:style>
  <w:style w:type="paragraph" w:styleId="1035">
    <w:name w:val="文档结构图"/>
    <w:basedOn w:val="1010"/>
    <w:next w:val="1035"/>
    <w:link w:val="1036"/>
    <w:qFormat/>
    <w:pPr>
      <w:shd w:val="clear" w:color="auto" w:fill="000080"/>
    </w:pPr>
  </w:style>
  <w:style w:type="character" w:styleId="1036">
    <w:name w:val="Document Map Char"/>
    <w:next w:val="1036"/>
    <w:link w:val="1035"/>
    <w:qFormat/>
    <w:rPr>
      <w:sz w:val="21"/>
      <w:szCs w:val="24"/>
      <w:shd w:val="clear" w:color="auto" w:fill="000080"/>
    </w:rPr>
  </w:style>
  <w:style w:type="paragraph" w:styleId="1037">
    <w:name w:val="批注文字"/>
    <w:basedOn w:val="1010"/>
    <w:next w:val="1037"/>
    <w:link w:val="1038"/>
    <w:uiPriority w:val="99"/>
    <w:qFormat/>
    <w:pPr>
      <w:jc w:val="left"/>
    </w:pPr>
  </w:style>
  <w:style w:type="character" w:styleId="1038">
    <w:name w:val="Comment Text Char"/>
    <w:next w:val="1038"/>
    <w:link w:val="1037"/>
    <w:uiPriority w:val="99"/>
    <w:qFormat/>
    <w:rPr>
      <w:sz w:val="21"/>
      <w:szCs w:val="24"/>
    </w:rPr>
  </w:style>
  <w:style w:type="paragraph" w:styleId="1039">
    <w:name w:val="正文文本 3"/>
    <w:basedOn w:val="1010"/>
    <w:next w:val="1039"/>
    <w:link w:val="1040"/>
    <w:qFormat/>
    <w:pPr>
      <w:spacing w:after="120"/>
    </w:pPr>
    <w:rPr>
      <w:sz w:val="16"/>
      <w:szCs w:val="16"/>
    </w:rPr>
  </w:style>
  <w:style w:type="character" w:styleId="1040">
    <w:name w:val="Body Text 3 Char"/>
    <w:next w:val="1040"/>
    <w:link w:val="1039"/>
    <w:qFormat/>
    <w:rPr>
      <w:sz w:val="16"/>
      <w:szCs w:val="16"/>
    </w:rPr>
  </w:style>
  <w:style w:type="paragraph" w:styleId="1041">
    <w:name w:val="正文文本"/>
    <w:basedOn w:val="1010"/>
    <w:next w:val="1041"/>
    <w:link w:val="1042"/>
    <w:qFormat/>
    <w:pPr>
      <w:spacing w:before="120" w:line="22" w:lineRule="atLeast"/>
      <w:tabs>
        <w:tab w:val="left" w:pos="567" w:leader="none"/>
      </w:tabs>
    </w:pPr>
    <w:rPr>
      <w:rFonts w:ascii="宋体" w:hAnsi="宋体"/>
      <w:sz w:val="24"/>
    </w:rPr>
  </w:style>
  <w:style w:type="character" w:styleId="1042">
    <w:name w:val="Body Text Char"/>
    <w:next w:val="1042"/>
    <w:link w:val="1041"/>
    <w:qFormat/>
    <w:rPr>
      <w:rFonts w:ascii="宋体" w:hAnsi="宋体"/>
      <w:sz w:val="24"/>
      <w:szCs w:val="24"/>
    </w:rPr>
  </w:style>
  <w:style w:type="paragraph" w:styleId="1043">
    <w:name w:val="正文文本缩进"/>
    <w:basedOn w:val="1010"/>
    <w:next w:val="1010"/>
    <w:link w:val="1044"/>
    <w:qFormat/>
    <w:pPr>
      <w:ind w:firstLine="570"/>
      <w:spacing w:line="360" w:lineRule="auto"/>
    </w:pPr>
    <w:rPr>
      <w:sz w:val="24"/>
    </w:rPr>
  </w:style>
  <w:style w:type="character" w:styleId="1044">
    <w:name w:val="Body Text Indent Char"/>
    <w:next w:val="1044"/>
    <w:link w:val="1043"/>
    <w:qFormat/>
    <w:rPr>
      <w:rFonts w:eastAsia="宋体"/>
      <w:sz w:val="24"/>
      <w:szCs w:val="24"/>
      <w:lang w:val="en-US" w:eastAsia="zh-CN" w:bidi="ar-SA"/>
    </w:rPr>
  </w:style>
  <w:style w:type="paragraph" w:styleId="1045">
    <w:name w:val="列表 2"/>
    <w:basedOn w:val="1010"/>
    <w:next w:val="1045"/>
    <w:link w:val="1010"/>
    <w:qFormat/>
    <w:pPr>
      <w:ind w:left="100" w:hanging="200"/>
    </w:pPr>
  </w:style>
  <w:style w:type="paragraph" w:styleId="1046">
    <w:name w:val="文本块"/>
    <w:basedOn w:val="1010"/>
    <w:next w:val="1046"/>
    <w:link w:val="1010"/>
    <w:qFormat/>
    <w:pPr>
      <w:ind w:left="480" w:right="-341" w:firstLine="513"/>
      <w:widowControl/>
    </w:pPr>
    <w:rPr>
      <w:sz w:val="24"/>
      <w:szCs w:val="20"/>
    </w:rPr>
  </w:style>
  <w:style w:type="paragraph" w:styleId="1047">
    <w:name w:val="目录 5"/>
    <w:basedOn w:val="1010"/>
    <w:next w:val="1010"/>
    <w:link w:val="1010"/>
    <w:qFormat/>
    <w:pPr>
      <w:ind w:left="1680"/>
    </w:pPr>
  </w:style>
  <w:style w:type="paragraph" w:styleId="1048">
    <w:name w:val="目录 3"/>
    <w:basedOn w:val="1010"/>
    <w:next w:val="1010"/>
    <w:link w:val="1010"/>
    <w:uiPriority w:val="39"/>
    <w:qFormat/>
    <w:pPr>
      <w:ind w:left="840"/>
    </w:pPr>
  </w:style>
  <w:style w:type="paragraph" w:styleId="1049">
    <w:name w:val="纯文本"/>
    <w:basedOn w:val="1010"/>
    <w:next w:val="1025"/>
    <w:link w:val="1050"/>
    <w:uiPriority w:val="99"/>
    <w:qFormat/>
    <w:rPr>
      <w:rFonts w:hint="eastAsia" w:ascii="宋体" w:hAnsi="Courier New"/>
      <w:szCs w:val="20"/>
    </w:rPr>
  </w:style>
  <w:style w:type="character" w:styleId="1050">
    <w:name w:val="Plain Text Char"/>
    <w:next w:val="1050"/>
    <w:link w:val="1049"/>
    <w:qFormat/>
    <w:rPr>
      <w:rFonts w:hint="eastAsia" w:ascii="宋体" w:hAnsi="Courier New" w:eastAsia="宋体" w:cs="宋体"/>
      <w:sz w:val="21"/>
    </w:rPr>
  </w:style>
  <w:style w:type="paragraph" w:styleId="1051">
    <w:name w:val="目录 8"/>
    <w:basedOn w:val="1010"/>
    <w:next w:val="1010"/>
    <w:link w:val="1010"/>
    <w:qFormat/>
    <w:pPr>
      <w:ind w:left="2940"/>
    </w:pPr>
  </w:style>
  <w:style w:type="paragraph" w:styleId="1052">
    <w:name w:val="日期"/>
    <w:basedOn w:val="1010"/>
    <w:next w:val="1010"/>
    <w:link w:val="1053"/>
    <w:qFormat/>
    <w:pPr>
      <w:ind w:left="100"/>
    </w:pPr>
    <w:rPr>
      <w:rFonts w:ascii="FangSong_GB2312" w:hAnsi="宋体" w:eastAsia="FangSong_GB2312"/>
      <w:color w:val="000000"/>
      <w:sz w:val="24"/>
    </w:rPr>
  </w:style>
  <w:style w:type="character" w:styleId="1053">
    <w:name w:val="Date Char"/>
    <w:next w:val="1053"/>
    <w:link w:val="1052"/>
    <w:qFormat/>
    <w:rPr>
      <w:rFonts w:ascii="FangSong_GB2312" w:hAnsi="宋体" w:eastAsia="FangSong_GB2312"/>
      <w:color w:val="000000"/>
      <w:sz w:val="24"/>
      <w:szCs w:val="24"/>
    </w:rPr>
  </w:style>
  <w:style w:type="paragraph" w:styleId="1054">
    <w:name w:val="正文文本缩进 2"/>
    <w:basedOn w:val="1010"/>
    <w:next w:val="1054"/>
    <w:link w:val="1055"/>
    <w:qFormat/>
    <w:pPr>
      <w:ind w:firstLine="480"/>
    </w:pPr>
    <w:rPr>
      <w:rFonts w:ascii="FangSong_GB2312" w:eastAsia="FangSong_GB2312"/>
      <w:sz w:val="24"/>
    </w:rPr>
  </w:style>
  <w:style w:type="character" w:styleId="1055">
    <w:name w:val="Body Text Indent 2 Char"/>
    <w:next w:val="1055"/>
    <w:link w:val="1054"/>
    <w:qFormat/>
    <w:rPr>
      <w:rFonts w:ascii="FangSong_GB2312" w:eastAsia="FangSong_GB2312"/>
      <w:sz w:val="24"/>
      <w:szCs w:val="24"/>
    </w:rPr>
  </w:style>
  <w:style w:type="paragraph" w:styleId="1056">
    <w:name w:val="批注框文本"/>
    <w:basedOn w:val="1010"/>
    <w:next w:val="1056"/>
    <w:link w:val="1057"/>
    <w:qFormat/>
    <w:rPr>
      <w:sz w:val="18"/>
      <w:szCs w:val="18"/>
    </w:rPr>
  </w:style>
  <w:style w:type="character" w:styleId="1057">
    <w:name w:val="Balloon Text Char"/>
    <w:next w:val="1057"/>
    <w:link w:val="1056"/>
    <w:qFormat/>
    <w:rPr>
      <w:sz w:val="18"/>
      <w:szCs w:val="18"/>
    </w:rPr>
  </w:style>
  <w:style w:type="paragraph" w:styleId="1058">
    <w:name w:val="页脚"/>
    <w:basedOn w:val="1010"/>
    <w:next w:val="1058"/>
    <w:link w:val="1059"/>
    <w:uiPriority w:val="99"/>
    <w:qFormat/>
    <w:pPr>
      <w:jc w:val="left"/>
      <w:tabs>
        <w:tab w:val="center" w:pos="4153" w:leader="none"/>
        <w:tab w:val="right" w:pos="8306" w:leader="none"/>
      </w:tabs>
    </w:pPr>
    <w:rPr>
      <w:rFonts w:ascii="宋体"/>
      <w:sz w:val="18"/>
      <w:szCs w:val="20"/>
    </w:rPr>
  </w:style>
  <w:style w:type="character" w:styleId="1059">
    <w:name w:val="Footer Char"/>
    <w:next w:val="1059"/>
    <w:link w:val="1058"/>
    <w:uiPriority w:val="99"/>
    <w:qFormat/>
    <w:rPr>
      <w:rFonts w:ascii="宋体" w:eastAsia="宋体"/>
      <w:sz w:val="18"/>
      <w:lang w:val="en-US" w:eastAsia="zh-CN" w:bidi="ar-SA"/>
    </w:rPr>
  </w:style>
  <w:style w:type="paragraph" w:styleId="1060">
    <w:name w:val="寄信人地址"/>
    <w:basedOn w:val="1010"/>
    <w:next w:val="1060"/>
    <w:link w:val="1010"/>
    <w:qFormat/>
    <w:pPr>
      <w:jc w:val="both"/>
      <w:widowControl w:val="off"/>
    </w:pPr>
    <w:rPr>
      <w:rFonts w:ascii="Arial" w:hAnsi="Arial" w:eastAsia="宋体" w:cs="Times New Roman"/>
      <w:sz w:val="21"/>
      <w:szCs w:val="24"/>
      <w:lang w:val="en-US" w:eastAsia="zh-CN" w:bidi="ar-SA"/>
    </w:rPr>
  </w:style>
  <w:style w:type="paragraph" w:styleId="1061">
    <w:name w:val="页眉"/>
    <w:basedOn w:val="1010"/>
    <w:next w:val="1061"/>
    <w:link w:val="1062"/>
    <w:qFormat/>
    <w:pPr>
      <w:jc w:val="center"/>
      <w:tabs>
        <w:tab w:val="center" w:pos="4153" w:leader="none"/>
        <w:tab w:val="right" w:pos="8306" w:leader="none"/>
      </w:tabs>
      <w:pBdr>
        <w:bottom w:val="single" w:color="000000" w:sz="6" w:space="1"/>
      </w:pBdr>
    </w:pPr>
    <w:rPr>
      <w:sz w:val="18"/>
      <w:szCs w:val="18"/>
    </w:rPr>
  </w:style>
  <w:style w:type="character" w:styleId="1062">
    <w:name w:val="Header Char"/>
    <w:next w:val="1062"/>
    <w:link w:val="1061"/>
    <w:qFormat/>
    <w:rPr>
      <w:rFonts w:eastAsia="宋体"/>
      <w:sz w:val="18"/>
      <w:szCs w:val="18"/>
      <w:lang w:val="en-US" w:eastAsia="zh-CN" w:bidi="ar-SA"/>
    </w:rPr>
  </w:style>
  <w:style w:type="paragraph" w:styleId="1063">
    <w:name w:val="目录 1"/>
    <w:basedOn w:val="1010"/>
    <w:next w:val="1010"/>
    <w:link w:val="1010"/>
    <w:uiPriority w:val="39"/>
    <w:qFormat/>
    <w:pPr>
      <w:spacing w:line="300" w:lineRule="auto"/>
      <w:tabs>
        <w:tab w:val="left" w:pos="1050" w:leader="none"/>
        <w:tab w:val="right" w:pos="8937" w:leader="dot"/>
      </w:tabs>
    </w:pPr>
    <w:rPr>
      <w:rFonts w:ascii="宋体" w:hAnsi="宋体"/>
      <w:b/>
      <w:sz w:val="24"/>
    </w:rPr>
  </w:style>
  <w:style w:type="paragraph" w:styleId="1064">
    <w:name w:val="目录 4"/>
    <w:basedOn w:val="1010"/>
    <w:next w:val="1010"/>
    <w:link w:val="1010"/>
    <w:qFormat/>
    <w:pPr>
      <w:ind w:left="1260"/>
    </w:pPr>
  </w:style>
  <w:style w:type="paragraph" w:styleId="1065">
    <w:name w:val="列表"/>
    <w:basedOn w:val="1010"/>
    <w:next w:val="1065"/>
    <w:link w:val="1010"/>
    <w:pPr>
      <w:contextualSpacing/>
      <w:ind w:left="200" w:hanging="200"/>
    </w:pPr>
  </w:style>
  <w:style w:type="paragraph" w:styleId="1066">
    <w:name w:val="目录 6"/>
    <w:basedOn w:val="1010"/>
    <w:next w:val="1010"/>
    <w:link w:val="1010"/>
    <w:qFormat/>
    <w:pPr>
      <w:ind w:left="2100"/>
    </w:pPr>
  </w:style>
  <w:style w:type="paragraph" w:styleId="1067">
    <w:name w:val="正文文本缩进 3"/>
    <w:basedOn w:val="1010"/>
    <w:next w:val="1067"/>
    <w:link w:val="1068"/>
    <w:qFormat/>
    <w:pPr>
      <w:ind w:left="720" w:firstLine="480"/>
      <w:jc w:val="left"/>
      <w:spacing w:before="120" w:line="22" w:lineRule="atLeast"/>
    </w:pPr>
    <w:rPr>
      <w:rFonts w:ascii="宋体"/>
      <w:sz w:val="24"/>
      <w:szCs w:val="20"/>
    </w:rPr>
  </w:style>
  <w:style w:type="character" w:styleId="1068">
    <w:name w:val="Body Text Indent 3 Char"/>
    <w:next w:val="1068"/>
    <w:link w:val="1067"/>
    <w:qFormat/>
    <w:rPr>
      <w:rFonts w:ascii="宋体"/>
      <w:sz w:val="24"/>
    </w:rPr>
  </w:style>
  <w:style w:type="paragraph" w:styleId="1069">
    <w:name w:val="目录 2"/>
    <w:basedOn w:val="1010"/>
    <w:next w:val="1010"/>
    <w:link w:val="1010"/>
    <w:uiPriority w:val="39"/>
    <w:qFormat/>
    <w:pPr>
      <w:ind w:left="420"/>
      <w:spacing w:line="312" w:lineRule="auto"/>
      <w:tabs>
        <w:tab w:val="right" w:pos="8937" w:leader="dot"/>
      </w:tabs>
    </w:pPr>
  </w:style>
  <w:style w:type="paragraph" w:styleId="1070">
    <w:name w:val="目录 9"/>
    <w:basedOn w:val="1010"/>
    <w:next w:val="1010"/>
    <w:link w:val="1010"/>
    <w:qFormat/>
    <w:pPr>
      <w:ind w:left="3360"/>
    </w:pPr>
  </w:style>
  <w:style w:type="paragraph" w:styleId="1071">
    <w:name w:val="HTML 预设格式"/>
    <w:basedOn w:val="1010"/>
    <w:next w:val="1071"/>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2">
    <w:name w:val="HTML Preformatted Char"/>
    <w:next w:val="1072"/>
    <w:link w:val="1071"/>
    <w:qFormat/>
    <w:rPr>
      <w:rFonts w:ascii="宋体" w:hAnsi="宋体" w:cs="宋体"/>
      <w:sz w:val="24"/>
      <w:szCs w:val="24"/>
    </w:rPr>
  </w:style>
  <w:style w:type="paragraph" w:styleId="1073">
    <w:name w:val="普通(网站)"/>
    <w:basedOn w:val="1010"/>
    <w:next w:val="1073"/>
    <w:link w:val="1010"/>
    <w:unhideWhenUsed/>
    <w:qFormat/>
    <w:pPr>
      <w:jc w:val="left"/>
      <w:spacing w:before="100" w:beforeAutospacing="1" w:after="100" w:afterAutospacing="1"/>
      <w:widowControl/>
    </w:pPr>
    <w:rPr>
      <w:rFonts w:ascii="宋体" w:hAnsi="宋体" w:cs="宋体"/>
      <w:sz w:val="24"/>
    </w:rPr>
  </w:style>
  <w:style w:type="paragraph" w:styleId="1074">
    <w:name w:val="索引 1"/>
    <w:basedOn w:val="1010"/>
    <w:next w:val="1010"/>
    <w:link w:val="1010"/>
    <w:qFormat/>
    <w:rPr>
      <w:szCs w:val="20"/>
    </w:rPr>
  </w:style>
  <w:style w:type="paragraph" w:styleId="1075">
    <w:name w:val="标题"/>
    <w:basedOn w:val="1010"/>
    <w:next w:val="1075"/>
    <w:link w:val="1076"/>
    <w:qFormat/>
    <w:pPr>
      <w:jc w:val="center"/>
      <w:outlineLvl w:val="0"/>
    </w:pPr>
    <w:rPr>
      <w:b/>
      <w:sz w:val="32"/>
      <w:szCs w:val="20"/>
    </w:rPr>
  </w:style>
  <w:style w:type="character" w:styleId="1076">
    <w:name w:val="Title Char"/>
    <w:next w:val="1076"/>
    <w:link w:val="1075"/>
    <w:qFormat/>
    <w:rPr>
      <w:b/>
      <w:sz w:val="32"/>
    </w:rPr>
  </w:style>
  <w:style w:type="paragraph" w:styleId="1077">
    <w:name w:val="批注主题"/>
    <w:basedOn w:val="1037"/>
    <w:next w:val="1037"/>
    <w:link w:val="1078"/>
    <w:qFormat/>
    <w:rPr>
      <w:b/>
      <w:bCs/>
    </w:rPr>
  </w:style>
  <w:style w:type="character" w:styleId="1078">
    <w:name w:val="Comment Subject Char"/>
    <w:next w:val="1078"/>
    <w:link w:val="1077"/>
    <w:qFormat/>
    <w:rPr>
      <w:rFonts w:ascii="Times New Roman" w:hAnsi="Times New Roman" w:eastAsia="宋体" w:cs="Times New Roman"/>
      <w:b/>
      <w:bCs/>
      <w:sz w:val="21"/>
      <w:szCs w:val="24"/>
      <w:lang w:val="en-US" w:eastAsia="zh-CN" w:bidi="ar-SA"/>
    </w:rPr>
  </w:style>
  <w:style w:type="paragraph" w:styleId="1079">
    <w:name w:val="正文首行缩进"/>
    <w:basedOn w:val="1041"/>
    <w:next w:val="1079"/>
    <w:link w:val="1010"/>
    <w:uiPriority w:val="99"/>
    <w:unhideWhenUsed/>
    <w:qFormat/>
    <w:pPr>
      <w:ind w:firstLine="420"/>
      <w:tabs>
        <w:tab w:val="left" w:pos="567" w:leader="none"/>
      </w:tabs>
    </w:pPr>
  </w:style>
  <w:style w:type="paragraph" w:styleId="1080">
    <w:name w:val="正文首行缩进 2"/>
    <w:basedOn w:val="1043"/>
    <w:next w:val="1080"/>
    <w:link w:val="1081"/>
    <w:qFormat/>
    <w:pPr>
      <w:ind w:left="420" w:firstLine="420"/>
      <w:spacing w:after="120" w:line="480" w:lineRule="exact"/>
    </w:pPr>
    <w:rPr>
      <w:szCs w:val="20"/>
    </w:rPr>
  </w:style>
  <w:style w:type="character" w:styleId="1081">
    <w:name w:val="Body Text First Indent 2 Char"/>
    <w:next w:val="1081"/>
    <w:link w:val="1080"/>
    <w:qFormat/>
    <w:rPr>
      <w:rFonts w:eastAsia="宋体"/>
      <w:sz w:val="24"/>
      <w:szCs w:val="24"/>
      <w:lang w:val="en-US" w:eastAsia="zh-CN" w:bidi="ar-SA"/>
    </w:rPr>
  </w:style>
  <w:style w:type="table" w:styleId="1082">
    <w:name w:val="网格型"/>
    <w:basedOn w:val="1021"/>
    <w:next w:val="1082"/>
    <w:link w:val="1010"/>
    <w:uiPriority w:val="59"/>
    <w:qFormat/>
    <w:tblPr/>
  </w:style>
  <w:style w:type="table" w:styleId="1083">
    <w:name w:val="中等深浅网格 1 - 强调文字颜色 2"/>
    <w:basedOn w:val="1021"/>
    <w:next w:val="1083"/>
    <w:link w:val="1010"/>
    <w:qFormat/>
    <w:rPr>
      <w:sz w:val="21"/>
      <w:szCs w:val="24"/>
    </w:rPr>
    <w:tblPr/>
  </w:style>
  <w:style w:type="character" w:styleId="1084">
    <w:name w:val="要点"/>
    <w:next w:val="1084"/>
    <w:link w:val="1010"/>
    <w:uiPriority w:val="22"/>
    <w:qFormat/>
    <w:rPr>
      <w:b/>
      <w:bCs/>
    </w:rPr>
  </w:style>
  <w:style w:type="character" w:styleId="1085">
    <w:name w:val="页码"/>
    <w:next w:val="1085"/>
    <w:link w:val="1010"/>
    <w:qFormat/>
  </w:style>
  <w:style w:type="character" w:styleId="1086">
    <w:name w:val="已访问的超链接"/>
    <w:next w:val="1086"/>
    <w:link w:val="1010"/>
    <w:qFormat/>
    <w:rPr>
      <w:color w:val="800080"/>
      <w:u w:val="single"/>
    </w:rPr>
  </w:style>
  <w:style w:type="character" w:styleId="1087">
    <w:name w:val="强调"/>
    <w:next w:val="1087"/>
    <w:link w:val="1010"/>
    <w:uiPriority w:val="20"/>
    <w:qFormat/>
    <w:rPr>
      <w:color w:val="cc0033"/>
    </w:rPr>
  </w:style>
  <w:style w:type="character" w:styleId="1088">
    <w:name w:val="超链接"/>
    <w:next w:val="1088"/>
    <w:link w:val="1010"/>
    <w:uiPriority w:val="99"/>
    <w:qFormat/>
    <w:rPr>
      <w:color w:val="0000ff"/>
      <w:u w:val="single"/>
    </w:rPr>
  </w:style>
  <w:style w:type="character" w:styleId="1089">
    <w:name w:val="批注引用"/>
    <w:next w:val="1089"/>
    <w:link w:val="1010"/>
    <w:uiPriority w:val="99"/>
    <w:qFormat/>
    <w:rPr>
      <w:sz w:val="21"/>
      <w:szCs w:val="21"/>
    </w:rPr>
  </w:style>
  <w:style w:type="character" w:styleId="1090">
    <w:name w:val="HTML 引文"/>
    <w:next w:val="1090"/>
    <w:link w:val="1010"/>
    <w:qFormat/>
    <w:rPr>
      <w:i/>
      <w:iCs/>
    </w:rPr>
  </w:style>
  <w:style w:type="paragraph" w:styleId="1091">
    <w:name w:val="正文文本1"/>
    <w:basedOn w:val="1010"/>
    <w:next w:val="1010"/>
    <w:link w:val="1010"/>
    <w:qFormat/>
    <w:pPr>
      <w:spacing w:before="120" w:line="22" w:lineRule="atLeast"/>
      <w:tabs>
        <w:tab w:val="left" w:pos="567" w:leader="none"/>
      </w:tabs>
    </w:pPr>
    <w:rPr>
      <w:rFonts w:ascii="宋体" w:hAnsi="宋体"/>
      <w:sz w:val="24"/>
    </w:rPr>
  </w:style>
  <w:style w:type="character" w:styleId="1092">
    <w:name w:val="NormalCharacter1"/>
    <w:next w:val="1092"/>
    <w:link w:val="1010"/>
    <w:semiHidden/>
    <w:qFormat/>
    <w:rPr>
      <w:sz w:val="21"/>
      <w:szCs w:val="24"/>
      <w:lang w:val="en-US" w:eastAsia="zh-CN" w:bidi="ar-SA"/>
    </w:rPr>
  </w:style>
  <w:style w:type="character" w:styleId="1093">
    <w:name w:val="批注文字 字符"/>
    <w:next w:val="1093"/>
    <w:link w:val="1010"/>
    <w:uiPriority w:val="99"/>
    <w:qFormat/>
    <w:rPr>
      <w:rFonts w:ascii="Times New Roman" w:hAnsi="Times New Roman" w:eastAsia="宋体" w:cs="Times New Roman"/>
      <w:sz w:val="24"/>
      <w:lang w:val="en-US" w:eastAsia="zh-CN" w:bidi="ar-SA"/>
    </w:rPr>
  </w:style>
  <w:style w:type="character" w:styleId="1094">
    <w:name w:val="c21"/>
    <w:next w:val="1094"/>
    <w:link w:val="1010"/>
    <w:qFormat/>
    <w:rPr>
      <w:rFonts w:ascii="ˎ̥" w:hAnsi="ˎ̥"/>
      <w:color w:val="000000"/>
      <w:sz w:val="20"/>
      <w:szCs w:val="20"/>
      <w:u w:val="none"/>
    </w:rPr>
  </w:style>
  <w:style w:type="character" w:styleId="1095">
    <w:name w:val="title4"/>
    <w:next w:val="1095"/>
    <w:link w:val="1010"/>
    <w:qFormat/>
    <w:rPr>
      <w:b/>
      <w:bCs/>
      <w:color w:val="1d87b3"/>
      <w:sz w:val="15"/>
      <w:szCs w:val="15"/>
    </w:rPr>
  </w:style>
  <w:style w:type="character" w:styleId="1096">
    <w:name w:val="标题 2 Char Char"/>
    <w:next w:val="1096"/>
    <w:link w:val="1010"/>
    <w:qFormat/>
    <w:rPr>
      <w:rFonts w:ascii="Arial" w:hAnsi="Arial" w:eastAsia="黑体"/>
      <w:b/>
      <w:bCs/>
      <w:sz w:val="32"/>
      <w:szCs w:val="32"/>
      <w:lang w:val="en-US" w:eastAsia="zh-CN" w:bidi="ar-SA"/>
    </w:rPr>
  </w:style>
  <w:style w:type="character" w:styleId="1097">
    <w:name w:val="black1"/>
    <w:next w:val="1097"/>
    <w:link w:val="1010"/>
    <w:qFormat/>
    <w:rPr>
      <w:color w:val="000000"/>
    </w:rPr>
  </w:style>
  <w:style w:type="character" w:styleId="1098">
    <w:name w:val="street-address"/>
    <w:next w:val="1098"/>
    <w:link w:val="1010"/>
    <w:qFormat/>
  </w:style>
  <w:style w:type="character" w:styleId="1099">
    <w:name w:val="locality"/>
    <w:next w:val="1099"/>
    <w:link w:val="1010"/>
    <w:qFormat/>
  </w:style>
  <w:style w:type="character" w:styleId="1100">
    <w:name w:val="正文文本缩进 Char1"/>
    <w:next w:val="1100"/>
    <w:link w:val="1101"/>
    <w:qFormat/>
    <w:rPr>
      <w:rFonts w:ascii="宋体" w:hAnsi="宋体" w:eastAsia="宋体"/>
      <w:sz w:val="24"/>
      <w:szCs w:val="24"/>
      <w:lang w:bidi="ar-SA"/>
    </w:rPr>
  </w:style>
  <w:style w:type="paragraph" w:styleId="1101">
    <w:name w:val="正文文本缩进1"/>
    <w:basedOn w:val="1010"/>
    <w:next w:val="1101"/>
    <w:link w:val="1100"/>
    <w:qFormat/>
    <w:pPr>
      <w:ind w:firstLine="480"/>
      <w:spacing w:line="480" w:lineRule="exact"/>
    </w:pPr>
    <w:rPr>
      <w:rFonts w:ascii="宋体" w:hAnsi="宋体"/>
      <w:sz w:val="24"/>
    </w:rPr>
  </w:style>
  <w:style w:type="character" w:styleId="1102">
    <w:name w:val="Char Char11"/>
    <w:next w:val="1102"/>
    <w:link w:val="1010"/>
    <w:qFormat/>
    <w:rPr>
      <w:rFonts w:ascii="宋体" w:eastAsia="宋体"/>
      <w:b/>
      <w:sz w:val="24"/>
      <w:u w:val="single"/>
      <w:lang w:val="en-US" w:eastAsia="zh-CN" w:bidi="ar-SA"/>
    </w:rPr>
  </w:style>
  <w:style w:type="character" w:styleId="1103">
    <w:name w:val="txt"/>
    <w:next w:val="1103"/>
    <w:link w:val="1010"/>
    <w:qFormat/>
  </w:style>
  <w:style w:type="character" w:styleId="1104">
    <w:name w:val="正文缩进 Char Char"/>
    <w:next w:val="1104"/>
    <w:link w:val="1105"/>
    <w:qFormat/>
    <w:rPr>
      <w:rFonts w:ascii="宋体" w:eastAsia="宋体"/>
      <w:color w:val="000000"/>
      <w:sz w:val="28"/>
      <w:lang w:bidi="ar-SA"/>
    </w:rPr>
  </w:style>
  <w:style w:type="paragraph" w:styleId="1105">
    <w:name w:val="正文缩进1"/>
    <w:basedOn w:val="1010"/>
    <w:next w:val="1105"/>
    <w:link w:val="1104"/>
    <w:qFormat/>
    <w:pPr>
      <w:ind w:firstLine="567"/>
      <w:spacing w:line="480" w:lineRule="exact"/>
      <w:widowControl/>
    </w:pPr>
    <w:rPr>
      <w:rFonts w:ascii="宋体"/>
      <w:color w:val="000000"/>
      <w:sz w:val="28"/>
      <w:szCs w:val="20"/>
    </w:rPr>
  </w:style>
  <w:style w:type="character" w:styleId="1106">
    <w:name w:val="普通文字1 Char1"/>
    <w:next w:val="1106"/>
    <w:link w:val="1010"/>
    <w:qFormat/>
    <w:rPr>
      <w:rFonts w:ascii="宋体" w:hAnsi="Courier New" w:eastAsia="宋体"/>
      <w:sz w:val="21"/>
      <w:lang w:val="en-US" w:eastAsia="zh-CN" w:bidi="ar-SA"/>
    </w:rPr>
  </w:style>
  <w:style w:type="character" w:styleId="1107">
    <w:name w:val="chanpin1"/>
    <w:next w:val="1107"/>
    <w:link w:val="1010"/>
    <w:qFormat/>
    <w:rPr>
      <w:rFonts w:ascii="ˎ̥" w:hAnsi="ˎ̥"/>
      <w:color w:val="000000"/>
      <w:sz w:val="20"/>
      <w:szCs w:val="20"/>
      <w:u w:val="none"/>
    </w:rPr>
  </w:style>
  <w:style w:type="character" w:styleId="1108">
    <w:name w:val="List Paragraph Char"/>
    <w:next w:val="1108"/>
    <w:link w:val="1109"/>
    <w:uiPriority w:val="34"/>
    <w:qFormat/>
    <w:rPr>
      <w:rFonts w:ascii="Calibri" w:hAnsi="Calibri" w:eastAsia="宋体"/>
      <w:sz w:val="21"/>
      <w:szCs w:val="22"/>
      <w:lang w:val="en-US" w:eastAsia="zh-CN" w:bidi="ar-SA"/>
    </w:rPr>
  </w:style>
  <w:style w:type="paragraph" w:styleId="1109">
    <w:name w:val="List Paragraph"/>
    <w:basedOn w:val="1010"/>
    <w:next w:val="1109"/>
    <w:link w:val="1108"/>
    <w:uiPriority w:val="34"/>
    <w:qFormat/>
    <w:pPr>
      <w:ind w:firstLine="420"/>
    </w:pPr>
    <w:rPr>
      <w:rFonts w:ascii="Calibri" w:hAnsi="Calibri"/>
      <w:szCs w:val="22"/>
    </w:rPr>
  </w:style>
  <w:style w:type="character" w:styleId="1110">
    <w:name w:val="标题 3 Char Char"/>
    <w:next w:val="1110"/>
    <w:link w:val="1010"/>
    <w:qFormat/>
    <w:rPr>
      <w:rFonts w:eastAsia="宋体"/>
      <w:b/>
      <w:bCs/>
      <w:sz w:val="32"/>
      <w:szCs w:val="32"/>
      <w:lang w:val="en-US" w:eastAsia="zh-CN" w:bidi="ar-SA"/>
    </w:rPr>
  </w:style>
  <w:style w:type="character" w:styleId="1111">
    <w:name w:val="段1 Char"/>
    <w:next w:val="1111"/>
    <w:link w:val="1010"/>
    <w:qFormat/>
    <w:rPr>
      <w:rFonts w:ascii="宋体" w:eastAsia="宋体"/>
      <w:sz w:val="24"/>
      <w:lang w:val="en-US" w:eastAsia="zh-CN" w:bidi="ar-SA"/>
    </w:rPr>
  </w:style>
  <w:style w:type="character" w:styleId="1112">
    <w:name w:val="chanpin拷贝"/>
    <w:next w:val="1112"/>
    <w:link w:val="1010"/>
    <w:qFormat/>
  </w:style>
  <w:style w:type="character" w:styleId="1113">
    <w:name w:val="纯文本 Char1"/>
    <w:next w:val="1113"/>
    <w:link w:val="1010"/>
    <w:qFormat/>
    <w:rPr>
      <w:rFonts w:ascii="宋体" w:hAnsi="Courier New" w:eastAsia="宋体"/>
      <w:sz w:val="21"/>
      <w:lang w:val="en-US" w:eastAsia="zh-CN" w:bidi="ar-SA"/>
    </w:rPr>
  </w:style>
  <w:style w:type="character" w:styleId="1114">
    <w:name w:val="apple-style-span"/>
    <w:next w:val="1114"/>
    <w:link w:val="1010"/>
    <w:qFormat/>
    <w:rPr>
      <w:rFonts w:cs="Times New Roman"/>
    </w:rPr>
  </w:style>
  <w:style w:type="paragraph" w:styleId="1115">
    <w:name w:val="二级条标题"/>
    <w:basedOn w:val="1116"/>
    <w:next w:val="1010"/>
    <w:link w:val="1010"/>
    <w:qFormat/>
    <w:pPr>
      <w:numPr>
        <w:ilvl w:val="0"/>
        <w:numId w:val="0"/>
      </w:numPr>
      <w:ind w:hanging="840"/>
      <w:tabs>
        <w:tab w:val="left" w:pos="360" w:leader="none"/>
        <w:tab w:val="left" w:pos="840" w:leader="none"/>
      </w:tabs>
      <w:outlineLvl w:val="2"/>
    </w:pPr>
    <w:rPr>
      <w:rFonts w:ascii="宋体" w:eastAsia="宋体"/>
      <w:b w:val="0"/>
    </w:rPr>
  </w:style>
  <w:style w:type="paragraph" w:styleId="1116">
    <w:name w:val="一级条标题"/>
    <w:basedOn w:val="1117"/>
    <w:next w:val="1010"/>
    <w:link w:val="1010"/>
    <w:qFormat/>
    <w:pPr>
      <w:numPr>
        <w:ilvl w:val="1"/>
      </w:numPr>
      <w:ind w:left="0" w:hanging="840"/>
      <w:tabs>
        <w:tab w:val="left" w:pos="360" w:leader="none"/>
        <w:tab w:val="left" w:pos="840" w:leader="none"/>
      </w:tabs>
      <w:outlineLvl w:val="1"/>
    </w:pPr>
  </w:style>
  <w:style w:type="paragraph" w:styleId="1117">
    <w:name w:val="章标题"/>
    <w:next w:val="1010"/>
    <w:link w:val="101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8">
    <w:name w:val="font7"/>
    <w:basedOn w:val="1010"/>
    <w:next w:val="1118"/>
    <w:link w:val="1010"/>
    <w:qFormat/>
    <w:pPr>
      <w:jc w:val="left"/>
      <w:spacing w:before="100" w:beforeAutospacing="1" w:after="100" w:afterAutospacing="1"/>
      <w:widowControl/>
    </w:pPr>
    <w:rPr>
      <w:rFonts w:eastAsia="Arial Unicode MS"/>
      <w:b/>
      <w:bCs/>
      <w:color w:val="000000"/>
      <w:sz w:val="20"/>
      <w:szCs w:val="20"/>
    </w:rPr>
  </w:style>
  <w:style w:type="paragraph" w:styleId="1119">
    <w:name w:val="字元 字元"/>
    <w:basedOn w:val="1010"/>
    <w:next w:val="1119"/>
    <w:link w:val="1010"/>
    <w:qFormat/>
    <w:rPr>
      <w:rFonts w:ascii="Tahoma" w:hAnsi="Tahoma"/>
      <w:sz w:val="24"/>
      <w:szCs w:val="20"/>
    </w:rPr>
  </w:style>
  <w:style w:type="paragraph" w:styleId="1120">
    <w:name w:val="Char3 Char Char Char"/>
    <w:basedOn w:val="1010"/>
    <w:next w:val="1120"/>
    <w:link w:val="1010"/>
    <w:qFormat/>
    <w:rPr>
      <w:rFonts w:ascii="Tahoma" w:hAnsi="Tahoma"/>
      <w:sz w:val="24"/>
      <w:szCs w:val="20"/>
    </w:rPr>
  </w:style>
  <w:style w:type="paragraph" w:styleId="1121">
    <w:name w:val="font6"/>
    <w:basedOn w:val="1010"/>
    <w:next w:val="1121"/>
    <w:link w:val="1010"/>
    <w:qFormat/>
    <w:pPr>
      <w:jc w:val="left"/>
      <w:spacing w:before="100" w:beforeAutospacing="1" w:after="100" w:afterAutospacing="1"/>
      <w:widowControl/>
    </w:pPr>
    <w:rPr>
      <w:rFonts w:ascii="宋体" w:hAnsi="宋体" w:cs="宋体"/>
      <w:sz w:val="20"/>
      <w:szCs w:val="20"/>
    </w:rPr>
  </w:style>
  <w:style w:type="paragraph" w:styleId="1122">
    <w:name w:val="项目编号2"/>
    <w:basedOn w:val="1123"/>
    <w:next w:val="1122"/>
    <w:link w:val="1010"/>
    <w:qFormat/>
    <w:pPr>
      <w:numPr>
        <w:numId w:val="3"/>
      </w:numPr>
    </w:pPr>
  </w:style>
  <w:style w:type="paragraph" w:styleId="1123">
    <w:name w:val="项目编号1"/>
    <w:basedOn w:val="1010"/>
    <w:next w:val="1123"/>
    <w:link w:val="1010"/>
    <w:qFormat/>
    <w:pPr>
      <w:numPr>
        <w:ilvl w:val="0"/>
        <w:numId w:val="2"/>
      </w:numPr>
      <w:spacing w:before="100" w:beforeAutospacing="1" w:after="100" w:afterAutospacing="1" w:line="360" w:lineRule="auto"/>
    </w:pPr>
    <w:rPr>
      <w:sz w:val="24"/>
    </w:rPr>
  </w:style>
  <w:style w:type="paragraph" w:styleId="1124">
    <w:name w:val="图中文字"/>
    <w:basedOn w:val="1010"/>
    <w:next w:val="1124"/>
    <w:link w:val="1010"/>
    <w:qFormat/>
    <w:pPr>
      <w:jc w:val="center"/>
      <w:spacing w:line="0" w:lineRule="atLeast"/>
    </w:pPr>
    <w:rPr>
      <w:sz w:val="24"/>
      <w:szCs w:val="20"/>
    </w:rPr>
  </w:style>
  <w:style w:type="paragraph" w:styleId="1125">
    <w:name w:val="xl46"/>
    <w:basedOn w:val="1010"/>
    <w:next w:val="1125"/>
    <w:link w:val="10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6">
    <w:name w:val="xl25"/>
    <w:basedOn w:val="1010"/>
    <w:next w:val="1126"/>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7">
    <w:name w:val="Char2"/>
    <w:basedOn w:val="1010"/>
    <w:next w:val="1127"/>
    <w:link w:val="1010"/>
    <w:qFormat/>
    <w:rPr>
      <w:rFonts w:ascii="Tahoma" w:hAnsi="Tahoma"/>
      <w:sz w:val="24"/>
      <w:szCs w:val="20"/>
    </w:rPr>
  </w:style>
  <w:style w:type="paragraph" w:styleId="1128">
    <w:name w:val="xl35"/>
    <w:basedOn w:val="1010"/>
    <w:next w:val="1128"/>
    <w:link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9">
    <w:name w:val="xl40"/>
    <w:basedOn w:val="1010"/>
    <w:next w:val="1129"/>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52"/>
    <w:basedOn w:val="1010"/>
    <w:next w:val="1130"/>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1">
    <w:name w:val="xl43"/>
    <w:basedOn w:val="1010"/>
    <w:next w:val="1131"/>
    <w:link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background1"/>
    <w:basedOn w:val="1010"/>
    <w:next w:val="1132"/>
    <w:link w:val="1010"/>
    <w:qFormat/>
    <w:pPr>
      <w:jc w:val="left"/>
      <w:spacing w:before="100" w:beforeAutospacing="1" w:after="100" w:afterAutospacing="1"/>
      <w:widowControl/>
    </w:pPr>
    <w:rPr>
      <w:rFonts w:ascii="宋体" w:hAnsi="宋体" w:cs="宋体"/>
      <w:sz w:val="24"/>
    </w:rPr>
  </w:style>
  <w:style w:type="paragraph" w:styleId="1133">
    <w:name w:val="Char Char Char Char Char Char Char"/>
    <w:basedOn w:val="1010"/>
    <w:next w:val="1133"/>
    <w:link w:val="1010"/>
    <w:qFormat/>
    <w:pPr>
      <w:ind w:firstLine="200"/>
      <w:spacing w:line="360" w:lineRule="auto"/>
    </w:pPr>
    <w:rPr>
      <w:rFonts w:eastAsia="FangSong_GB2312"/>
      <w:sz w:val="24"/>
    </w:rPr>
  </w:style>
  <w:style w:type="paragraph" w:styleId="1134">
    <w:name w:val="xl38"/>
    <w:basedOn w:val="1010"/>
    <w:next w:val="1134"/>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5">
    <w:name w:val="xl36"/>
    <w:basedOn w:val="1010"/>
    <w:next w:val="1135"/>
    <w:link w:val="10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name w:val="正文 + 宋体"/>
    <w:basedOn w:val="1010"/>
    <w:next w:val="1136"/>
    <w:link w:val="1010"/>
    <w:qFormat/>
    <w:pPr>
      <w:ind w:left="360" w:hanging="360"/>
      <w:jc w:val="left"/>
      <w:widowControl/>
    </w:pPr>
    <w:rPr>
      <w:rFonts w:ascii="宋体" w:hAnsi="宋体" w:cs="宋体"/>
      <w:b/>
      <w:bCs/>
      <w:color w:val="000000"/>
      <w:sz w:val="18"/>
      <w:szCs w:val="18"/>
    </w:rPr>
  </w:style>
  <w:style w:type="paragraph" w:styleId="1137">
    <w:name w:val="正文列项_数字"/>
    <w:basedOn w:val="1010"/>
    <w:next w:val="1137"/>
    <w:link w:val="1010"/>
    <w:qFormat/>
    <w:pPr>
      <w:numPr>
        <w:ilvl w:val="7"/>
        <w:numId w:val="1"/>
      </w:numPr>
      <w:ind w:left="680" w:hanging="150"/>
      <w:spacing w:line="460" w:lineRule="exact"/>
      <w:tabs>
        <w:tab w:val="clear" w:pos="860" w:leader="none"/>
      </w:tabs>
      <w:outlineLvl w:val="7"/>
    </w:pPr>
    <w:rPr>
      <w:rFonts w:ascii="宋体"/>
      <w:sz w:val="28"/>
      <w:szCs w:val="20"/>
    </w:rPr>
  </w:style>
  <w:style w:type="paragraph" w:styleId="1138">
    <w:name w:val="xl39"/>
    <w:basedOn w:val="1010"/>
    <w:next w:val="1138"/>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name w:val="xl37"/>
    <w:basedOn w:val="1010"/>
    <w:next w:val="1139"/>
    <w:link w:val="10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xl32"/>
    <w:basedOn w:val="1010"/>
    <w:next w:val="1140"/>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font8"/>
    <w:basedOn w:val="1010"/>
    <w:next w:val="1141"/>
    <w:link w:val="1010"/>
    <w:qFormat/>
    <w:pPr>
      <w:jc w:val="left"/>
      <w:spacing w:before="100" w:beforeAutospacing="1" w:after="100" w:afterAutospacing="1"/>
      <w:widowControl/>
    </w:pPr>
    <w:rPr>
      <w:sz w:val="36"/>
      <w:szCs w:val="36"/>
    </w:rPr>
  </w:style>
  <w:style w:type="paragraph" w:styleId="1142">
    <w:name w:val="Char"/>
    <w:basedOn w:val="1010"/>
    <w:next w:val="1142"/>
    <w:link w:val="1010"/>
    <w:qFormat/>
    <w:pPr>
      <w:tabs>
        <w:tab w:val="left" w:pos="360" w:leader="none"/>
      </w:tabs>
    </w:pPr>
    <w:rPr>
      <w:sz w:val="24"/>
    </w:rPr>
  </w:style>
  <w:style w:type="paragraph" w:styleId="1143">
    <w:name w:val="Char Char Char Char Char Char Char Char Char Char Char Char Char Char Char Char"/>
    <w:basedOn w:val="1010"/>
    <w:next w:val="1143"/>
    <w:link w:val="1010"/>
    <w:qFormat/>
    <w:pPr>
      <w:jc w:val="center"/>
      <w:spacing w:after="160" w:line="240" w:lineRule="exact"/>
      <w:widowControl/>
    </w:pPr>
    <w:rPr>
      <w:rFonts w:ascii="宋体" w:hAnsi="宋体"/>
      <w:b/>
      <w:sz w:val="30"/>
      <w:szCs w:val="30"/>
      <w:lang w:eastAsia="en-US"/>
    </w:rPr>
  </w:style>
  <w:style w:type="paragraph" w:styleId="1144">
    <w:name w:val="xl45"/>
    <w:basedOn w:val="1010"/>
    <w:next w:val="1144"/>
    <w:link w:val="10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Char Char1 Char Char Char Char Char Char"/>
    <w:basedOn w:val="1010"/>
    <w:next w:val="1145"/>
    <w:link w:val="1010"/>
    <w:qFormat/>
    <w:pPr>
      <w:jc w:val="left"/>
      <w:spacing w:after="160" w:line="240" w:lineRule="exact"/>
      <w:widowControl/>
    </w:pPr>
    <w:rPr>
      <w:rFonts w:ascii="Verdana" w:hAnsi="Verdana" w:eastAsia="FangSong_GB2312"/>
      <w:sz w:val="24"/>
      <w:szCs w:val="20"/>
      <w:lang w:eastAsia="en-US"/>
    </w:rPr>
  </w:style>
  <w:style w:type="paragraph" w:styleId="1146">
    <w:name w:val="Char Char1"/>
    <w:basedOn w:val="1035"/>
    <w:next w:val="1146"/>
    <w:link w:val="1010"/>
    <w:qFormat/>
    <w:rPr>
      <w:rFonts w:ascii="Tahoma" w:hAnsi="Tahoma"/>
      <w:sz w:val="24"/>
    </w:rPr>
  </w:style>
  <w:style w:type="paragraph" w:styleId="1147">
    <w:name w:val="xl26"/>
    <w:basedOn w:val="1010"/>
    <w:next w:val="1147"/>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8">
    <w:name w:val="xl30"/>
    <w:basedOn w:val="1010"/>
    <w:next w:val="1148"/>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41"/>
    <w:basedOn w:val="1010"/>
    <w:next w:val="1149"/>
    <w:link w:val="10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name w:val="样式 宋体 五号 行距: 单倍行距"/>
    <w:basedOn w:val="1010"/>
    <w:next w:val="1150"/>
    <w:link w:val="1010"/>
    <w:qFormat/>
    <w:pPr>
      <w:jc w:val="left"/>
    </w:pPr>
    <w:rPr>
      <w:rFonts w:ascii="宋体" w:hAnsi="宋体"/>
      <w:szCs w:val="20"/>
    </w:rPr>
  </w:style>
  <w:style w:type="paragraph" w:styleId="1151">
    <w:name w:val="Char1 Char Char Char1"/>
    <w:basedOn w:val="1010"/>
    <w:next w:val="1151"/>
    <w:link w:val="1010"/>
    <w:qFormat/>
    <w:rPr>
      <w:rFonts w:ascii="Tahoma" w:hAnsi="Tahoma" w:cs="FangSong_GB2312"/>
      <w:sz w:val="24"/>
      <w:szCs w:val="28"/>
    </w:rPr>
  </w:style>
  <w:style w:type="paragraph" w:styleId="1152">
    <w:name w:val="四级条标题"/>
    <w:basedOn w:val="1153"/>
    <w:next w:val="1010"/>
    <w:link w:val="1010"/>
    <w:qFormat/>
    <w:pPr>
      <w:numPr>
        <w:ilvl w:val="4"/>
      </w:numPr>
      <w:ind w:left="0" w:hanging="840"/>
      <w:tabs>
        <w:tab w:val="left" w:pos="360" w:leader="none"/>
        <w:tab w:val="left" w:pos="840" w:leader="none"/>
      </w:tabs>
      <w:outlineLvl w:val="4"/>
    </w:pPr>
  </w:style>
  <w:style w:type="paragraph" w:styleId="1153">
    <w:name w:val="三级条标题"/>
    <w:basedOn w:val="1115"/>
    <w:next w:val="1010"/>
    <w:link w:val="1010"/>
    <w:qFormat/>
    <w:pPr>
      <w:numPr>
        <w:ilvl w:val="3"/>
        <w:numId w:val="1"/>
      </w:numPr>
      <w:ind w:left="0" w:hanging="840"/>
      <w:tabs>
        <w:tab w:val="left" w:pos="360" w:leader="none"/>
        <w:tab w:val="left" w:pos="840" w:leader="none"/>
      </w:tabs>
      <w:outlineLvl w:val="3"/>
    </w:pPr>
  </w:style>
  <w:style w:type="paragraph" w:styleId="1154">
    <w:name w:val="??"/>
    <w:next w:val="1154"/>
    <w:link w:val="1010"/>
    <w:qFormat/>
    <w:pPr>
      <w:jc w:val="both"/>
      <w:widowControl w:val="off"/>
    </w:pPr>
    <w:rPr>
      <w:sz w:val="21"/>
      <w:lang w:val="en-US" w:eastAsia="en-US" w:bidi="ar-SA"/>
    </w:rPr>
  </w:style>
  <w:style w:type="paragraph" w:styleId="1155">
    <w:name w:val="样式 标题 2 + 宋体 五号 行距: 单倍行距"/>
    <w:basedOn w:val="1012"/>
    <w:next w:val="1155"/>
    <w:link w:val="101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6">
    <w:name w:val="List Paragraph1"/>
    <w:basedOn w:val="1010"/>
    <w:next w:val="1156"/>
    <w:link w:val="1010"/>
    <w:qFormat/>
    <w:pPr>
      <w:ind w:firstLine="420"/>
    </w:pPr>
    <w:rPr>
      <w:rFonts w:ascii="Calibri" w:hAnsi="Calibri"/>
      <w:szCs w:val="22"/>
    </w:rPr>
  </w:style>
  <w:style w:type="paragraph" w:styleId="1157">
    <w:name w:val="项目符号1"/>
    <w:basedOn w:val="1158"/>
    <w:next w:val="1157"/>
    <w:link w:val="1010"/>
    <w:qFormat/>
    <w:pPr>
      <w:ind w:left="-25" w:firstLine="0"/>
    </w:pPr>
  </w:style>
  <w:style w:type="paragraph" w:styleId="1158">
    <w:name w:val="正文文本样式"/>
    <w:basedOn w:val="1010"/>
    <w:next w:val="1158"/>
    <w:link w:val="1010"/>
    <w:qFormat/>
    <w:pPr>
      <w:ind w:firstLine="482"/>
      <w:spacing w:line="360" w:lineRule="auto"/>
    </w:pPr>
    <w:rPr>
      <w:rFonts w:cs="宋体"/>
      <w:sz w:val="24"/>
      <w:szCs w:val="20"/>
    </w:rPr>
  </w:style>
  <w:style w:type="paragraph" w:styleId="1159">
    <w:name w:val="xl27"/>
    <w:basedOn w:val="1010"/>
    <w:next w:val="1159"/>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0">
    <w:name w:val="font5"/>
    <w:basedOn w:val="1010"/>
    <w:next w:val="1160"/>
    <w:link w:val="1010"/>
    <w:qFormat/>
    <w:pPr>
      <w:jc w:val="left"/>
      <w:spacing w:before="100" w:beforeAutospacing="1" w:after="100" w:afterAutospacing="1"/>
      <w:widowControl/>
    </w:pPr>
    <w:rPr>
      <w:rFonts w:ascii="宋体" w:hAnsi="宋体" w:cs="宋体"/>
      <w:sz w:val="18"/>
      <w:szCs w:val="18"/>
    </w:rPr>
  </w:style>
  <w:style w:type="paragraph" w:styleId="1161">
    <w:name w:val="五级条标题"/>
    <w:basedOn w:val="1152"/>
    <w:next w:val="1010"/>
    <w:link w:val="1010"/>
    <w:qFormat/>
    <w:pPr>
      <w:numPr>
        <w:ilvl w:val="5"/>
      </w:numPr>
      <w:ind w:left="0" w:hanging="840"/>
      <w:tabs>
        <w:tab w:val="left" w:pos="360" w:leader="none"/>
        <w:tab w:val="left" w:pos="840" w:leader="none"/>
      </w:tabs>
      <w:outlineLvl w:val="5"/>
    </w:pPr>
  </w:style>
  <w:style w:type="paragraph" w:styleId="1162">
    <w:name w:val="xl49"/>
    <w:basedOn w:val="1010"/>
    <w:next w:val="1162"/>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3">
    <w:name w:val="文档正文"/>
    <w:basedOn w:val="1010"/>
    <w:next w:val="1163"/>
    <w:link w:val="1010"/>
    <w:qFormat/>
    <w:pPr>
      <w:spacing w:before="120" w:after="120" w:line="180" w:lineRule="auto"/>
    </w:pPr>
    <w:rPr>
      <w:rFonts w:ascii="Arial" w:hAnsi="Arial"/>
      <w:szCs w:val="20"/>
    </w:rPr>
  </w:style>
  <w:style w:type="paragraph" w:styleId="1164">
    <w:name w:val="xl33"/>
    <w:basedOn w:val="1010"/>
    <w:next w:val="1164"/>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name w:val="xl42"/>
    <w:basedOn w:val="1010"/>
    <w:next w:val="1165"/>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6">
    <w:name w:val="Char Char Char1 Char"/>
    <w:basedOn w:val="1010"/>
    <w:next w:val="1166"/>
    <w:link w:val="1010"/>
    <w:qFormat/>
    <w:rPr>
      <w:rFonts w:ascii="Tahoma" w:hAnsi="Tahoma"/>
      <w:sz w:val="24"/>
      <w:szCs w:val="20"/>
    </w:rPr>
  </w:style>
  <w:style w:type="paragraph" w:styleId="1167">
    <w:name w:val="xl44"/>
    <w:basedOn w:val="1010"/>
    <w:next w:val="1167"/>
    <w:link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8">
    <w:name w:val="1名"/>
    <w:basedOn w:val="1010"/>
    <w:next w:val="1168"/>
    <w:link w:val="1010"/>
    <w:qFormat/>
    <w:pPr>
      <w:numPr>
        <w:ilvl w:val="0"/>
        <w:numId w:val="5"/>
      </w:numPr>
      <w:spacing w:before="120"/>
      <w:tabs>
        <w:tab w:val="left" w:pos="360" w:leader="none"/>
      </w:tabs>
    </w:pPr>
    <w:rPr>
      <w:rFonts w:ascii="宋体"/>
      <w:sz w:val="28"/>
      <w:szCs w:val="20"/>
    </w:rPr>
  </w:style>
  <w:style w:type="paragraph" w:styleId="1169">
    <w:name w:val="font9"/>
    <w:basedOn w:val="1010"/>
    <w:next w:val="1169"/>
    <w:link w:val="1010"/>
    <w:qFormat/>
    <w:pPr>
      <w:jc w:val="left"/>
      <w:spacing w:before="100" w:beforeAutospacing="1" w:after="100" w:afterAutospacing="1"/>
      <w:widowControl/>
    </w:pPr>
    <w:rPr>
      <w:rFonts w:hint="eastAsia" w:ascii="宋体" w:hAnsi="宋体" w:cs="Arial Unicode MS"/>
      <w:color w:val="000000"/>
      <w:sz w:val="20"/>
      <w:szCs w:val="20"/>
    </w:rPr>
  </w:style>
  <w:style w:type="paragraph" w:styleId="1170">
    <w:name w:val="Char Char Char1 Char1"/>
    <w:basedOn w:val="1010"/>
    <w:next w:val="1170"/>
    <w:link w:val="1010"/>
    <w:qFormat/>
    <w:rPr>
      <w:rFonts w:ascii="Tahoma" w:hAnsi="Tahoma"/>
      <w:sz w:val="24"/>
      <w:szCs w:val="20"/>
    </w:rPr>
  </w:style>
  <w:style w:type="paragraph" w:styleId="1171">
    <w:name w:val="Char Char Char Char Char Char Char Char Char Char"/>
    <w:basedOn w:val="1010"/>
    <w:next w:val="1171"/>
    <w:link w:val="1010"/>
    <w:qFormat/>
  </w:style>
  <w:style w:type="paragraph" w:styleId="1172">
    <w:name w:val="Char Char1 Char Char Char Char Char Char Char Char"/>
    <w:basedOn w:val="1010"/>
    <w:next w:val="1172"/>
    <w:link w:val="1010"/>
    <w:qFormat/>
    <w:pPr>
      <w:jc w:val="left"/>
      <w:spacing w:after="160" w:line="240" w:lineRule="exact"/>
      <w:widowControl/>
    </w:pPr>
    <w:rPr>
      <w:rFonts w:ascii="Verdana" w:hAnsi="Verdana"/>
      <w:sz w:val="20"/>
      <w:szCs w:val="20"/>
      <w:lang w:eastAsia="en-US"/>
    </w:rPr>
  </w:style>
  <w:style w:type="paragraph" w:styleId="1173">
    <w:name w:val="Char1"/>
    <w:basedOn w:val="1010"/>
    <w:next w:val="1173"/>
    <w:link w:val="1010"/>
    <w:qFormat/>
    <w:pPr>
      <w:tabs>
        <w:tab w:val="left" w:pos="360" w:leader="none"/>
      </w:tabs>
    </w:pPr>
    <w:rPr>
      <w:sz w:val="24"/>
    </w:rPr>
  </w:style>
  <w:style w:type="paragraph" w:styleId="1174">
    <w:name w:val="正文列项_字母"/>
    <w:basedOn w:val="1010"/>
    <w:next w:val="1174"/>
    <w:link w:val="1010"/>
    <w:qFormat/>
    <w:pPr>
      <w:numPr>
        <w:ilvl w:val="6"/>
        <w:numId w:val="1"/>
      </w:numPr>
      <w:ind w:left="480" w:hanging="180"/>
      <w:spacing w:line="460" w:lineRule="exact"/>
      <w:tabs>
        <w:tab w:val="clear" w:pos="635" w:leader="none"/>
      </w:tabs>
      <w:outlineLvl w:val="6"/>
    </w:pPr>
    <w:rPr>
      <w:rFonts w:ascii="宋体"/>
      <w:sz w:val="28"/>
      <w:szCs w:val="20"/>
    </w:rPr>
  </w:style>
  <w:style w:type="paragraph" w:styleId="1175">
    <w:name w:val="xl28"/>
    <w:basedOn w:val="1010"/>
    <w:next w:val="1175"/>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6">
    <w:name w:val="xl47"/>
    <w:basedOn w:val="1010"/>
    <w:next w:val="1176"/>
    <w:link w:val="10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name w:val="默认段落字体 Para Char Char Char Char"/>
    <w:basedOn w:val="1010"/>
    <w:next w:val="1177"/>
    <w:link w:val="1010"/>
    <w:qFormat/>
    <w:rPr>
      <w:rFonts w:ascii="Arial" w:hAnsi="Arial" w:cs="Arial"/>
      <w:szCs w:val="21"/>
    </w:rPr>
  </w:style>
  <w:style w:type="paragraph" w:styleId="1178">
    <w:name w:val="xl48"/>
    <w:basedOn w:val="1010"/>
    <w:next w:val="1178"/>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9">
    <w:name w:val="xl31"/>
    <w:basedOn w:val="1010"/>
    <w:next w:val="1179"/>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0">
    <w:name w:val="xl53"/>
    <w:basedOn w:val="1010"/>
    <w:next w:val="1180"/>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 Char Char"/>
    <w:basedOn w:val="1010"/>
    <w:next w:val="1181"/>
    <w:link w:val="1010"/>
    <w:qFormat/>
    <w:rPr>
      <w:rFonts w:ascii="Tahoma" w:hAnsi="Tahoma"/>
      <w:sz w:val="24"/>
      <w:szCs w:val="20"/>
    </w:rPr>
  </w:style>
  <w:style w:type="paragraph" w:styleId="1182">
    <w:name w:val="xl50"/>
    <w:basedOn w:val="1010"/>
    <w:next w:val="1182"/>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3">
    <w:name w:val="缺省文本"/>
    <w:basedOn w:val="1010"/>
    <w:next w:val="1183"/>
    <w:link w:val="1010"/>
    <w:qFormat/>
    <w:pPr>
      <w:jc w:val="left"/>
    </w:pPr>
    <w:rPr>
      <w:sz w:val="24"/>
    </w:rPr>
  </w:style>
  <w:style w:type="paragraph" w:styleId="1184">
    <w:name w:val="Char Char Char1"/>
    <w:basedOn w:val="1010"/>
    <w:next w:val="1184"/>
    <w:link w:val="1010"/>
    <w:qFormat/>
    <w:rPr>
      <w:rFonts w:ascii="Tahoma" w:hAnsi="Tahoma"/>
      <w:sz w:val="24"/>
      <w:szCs w:val="20"/>
    </w:rPr>
  </w:style>
  <w:style w:type="paragraph" w:styleId="1185">
    <w:name w:val="Char Char Char Char Char Char Char1"/>
    <w:basedOn w:val="1010"/>
    <w:next w:val="1185"/>
    <w:link w:val="1010"/>
    <w:qFormat/>
    <w:pPr>
      <w:ind w:firstLine="200"/>
      <w:spacing w:line="360" w:lineRule="auto"/>
    </w:pPr>
    <w:rPr>
      <w:rFonts w:eastAsia="FangSong_GB2312"/>
      <w:sz w:val="24"/>
    </w:rPr>
  </w:style>
  <w:style w:type="paragraph" w:styleId="1186">
    <w:name w:val="xl51"/>
    <w:basedOn w:val="1010"/>
    <w:next w:val="1186"/>
    <w:link w:val="10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样式2"/>
    <w:basedOn w:val="1074"/>
    <w:next w:val="1187"/>
    <w:link w:val="1010"/>
    <w:qFormat/>
    <w:pPr>
      <w:jc w:val="center"/>
      <w:spacing w:line="360" w:lineRule="auto"/>
    </w:pPr>
    <w:rPr>
      <w:sz w:val="24"/>
    </w:rPr>
  </w:style>
  <w:style w:type="paragraph" w:styleId="1188">
    <w:name w:val="xl24"/>
    <w:basedOn w:val="1010"/>
    <w:next w:val="1188"/>
    <w:link w:val="10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xl29"/>
    <w:basedOn w:val="1010"/>
    <w:next w:val="1189"/>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0">
    <w:name w:val="正文 + 楷体_GB2312"/>
    <w:basedOn w:val="1010"/>
    <w:next w:val="1190"/>
    <w:link w:val="1010"/>
    <w:qFormat/>
    <w:pPr>
      <w:jc w:val="left"/>
      <w:widowControl/>
    </w:pPr>
    <w:rPr>
      <w:rFonts w:ascii="KaiTi_GB2312" w:eastAsia="KaiTi_GB2312" w:cs="Arial"/>
      <w:sz w:val="24"/>
    </w:rPr>
  </w:style>
  <w:style w:type="paragraph" w:styleId="1191">
    <w:name w:val="xl34"/>
    <w:basedOn w:val="1010"/>
    <w:next w:val="1191"/>
    <w:link w:val="10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2">
    <w:name w:val="1 Char Char Char Char"/>
    <w:basedOn w:val="1010"/>
    <w:next w:val="1192"/>
    <w:link w:val="1010"/>
    <w:qFormat/>
    <w:rPr>
      <w:rFonts w:ascii="Tahoma" w:hAnsi="Tahoma"/>
      <w:sz w:val="24"/>
      <w:szCs w:val="20"/>
    </w:rPr>
  </w:style>
  <w:style w:type="paragraph" w:styleId="1193">
    <w:name w:val="Default"/>
    <w:next w:val="1193"/>
    <w:link w:val="1010"/>
    <w:qFormat/>
    <w:pPr>
      <w:widowControl w:val="off"/>
    </w:pPr>
    <w:rPr>
      <w:rFonts w:ascii="Symbol" w:hAnsi="Symbol" w:cs="Symbol"/>
      <w:color w:val="000000"/>
      <w:sz w:val="24"/>
      <w:szCs w:val="24"/>
      <w:lang w:val="en-US" w:eastAsia="zh-CN" w:bidi="ar-SA"/>
    </w:rPr>
  </w:style>
  <w:style w:type="paragraph" w:styleId="1194">
    <w:name w:val="列出段落1"/>
    <w:basedOn w:val="1010"/>
    <w:next w:val="1194"/>
    <w:link w:val="1010"/>
    <w:qFormat/>
    <w:pPr>
      <w:ind w:firstLine="420"/>
    </w:pPr>
    <w:rPr>
      <w:rFonts w:ascii="Calibri" w:hAnsi="Calibri"/>
      <w:szCs w:val="22"/>
    </w:rPr>
  </w:style>
  <w:style w:type="paragraph" w:styleId="1195">
    <w:name w:val="default"/>
    <w:basedOn w:val="1010"/>
    <w:next w:val="1195"/>
    <w:link w:val="1010"/>
    <w:qFormat/>
    <w:pPr>
      <w:jc w:val="left"/>
      <w:spacing w:before="100" w:beforeAutospacing="1" w:after="100" w:afterAutospacing="1"/>
      <w:widowControl/>
    </w:pPr>
    <w:rPr>
      <w:rFonts w:ascii="宋体" w:hAnsi="宋体" w:cs="宋体"/>
      <w:sz w:val="24"/>
    </w:rPr>
  </w:style>
  <w:style w:type="paragraph" w:styleId="1196">
    <w:name w:val="字元 字元1"/>
    <w:basedOn w:val="1010"/>
    <w:next w:val="1196"/>
    <w:link w:val="1010"/>
    <w:qFormat/>
    <w:rPr>
      <w:rFonts w:ascii="Tahoma" w:hAnsi="Tahoma"/>
      <w:sz w:val="24"/>
      <w:szCs w:val="20"/>
    </w:rPr>
  </w:style>
  <w:style w:type="paragraph" w:styleId="1197">
    <w:name w:val="_Style 160"/>
    <w:next w:val="1197"/>
    <w:link w:val="1010"/>
    <w:qFormat/>
    <w:rPr>
      <w:sz w:val="21"/>
      <w:szCs w:val="24"/>
      <w:lang w:val="en-US" w:eastAsia="zh-CN" w:bidi="ar-SA"/>
    </w:rPr>
  </w:style>
  <w:style w:type="paragraph" w:styleId="1198">
    <w:name w:val="项目编号3"/>
    <w:basedOn w:val="1158"/>
    <w:next w:val="1198"/>
    <w:link w:val="1010"/>
    <w:qFormat/>
    <w:pPr>
      <w:numPr>
        <w:ilvl w:val="0"/>
        <w:numId w:val="6"/>
      </w:numPr>
    </w:pPr>
  </w:style>
  <w:style w:type="paragraph" w:styleId="1199">
    <w:name w:val="Char21"/>
    <w:basedOn w:val="1010"/>
    <w:next w:val="1199"/>
    <w:link w:val="1010"/>
    <w:qFormat/>
    <w:rPr>
      <w:rFonts w:ascii="Tahoma" w:hAnsi="Tahoma"/>
      <w:sz w:val="24"/>
      <w:szCs w:val="20"/>
    </w:rPr>
  </w:style>
  <w:style w:type="paragraph" w:styleId="1200">
    <w:name w:val="表格文字"/>
    <w:basedOn w:val="1043"/>
    <w:next w:val="1200"/>
    <w:link w:val="1010"/>
    <w:qFormat/>
    <w:pPr>
      <w:ind w:firstLine="0"/>
      <w:spacing w:before="20" w:after="20" w:line="240" w:lineRule="auto"/>
    </w:pPr>
    <w:rPr>
      <w:rFonts w:ascii="Century Gothic" w:hAnsi="Century Gothic"/>
      <w:sz w:val="20"/>
      <w:szCs w:val="20"/>
    </w:rPr>
  </w:style>
  <w:style w:type="paragraph" w:styleId="1201">
    <w:name w:val="Char Char Char Char Char Char Char Char Char Char1"/>
    <w:basedOn w:val="1010"/>
    <w:next w:val="1201"/>
    <w:link w:val="1010"/>
    <w:qFormat/>
    <w:rPr>
      <w:rFonts w:ascii="宋体" w:hAnsi="宋体" w:cs="Courier New"/>
      <w:sz w:val="32"/>
      <w:szCs w:val="32"/>
    </w:rPr>
  </w:style>
  <w:style w:type="paragraph" w:styleId="1202">
    <w:name w:val="正文文本样式 加粗"/>
    <w:basedOn w:val="1158"/>
    <w:next w:val="1202"/>
    <w:link w:val="1010"/>
    <w:qFormat/>
    <w:rPr>
      <w:b/>
    </w:rPr>
  </w:style>
  <w:style w:type="paragraph" w:styleId="1203">
    <w:name w:val="Char2 Char Char Char Char Char Char"/>
    <w:basedOn w:val="1010"/>
    <w:next w:val="1203"/>
    <w:link w:val="1010"/>
    <w:qFormat/>
    <w:pPr>
      <w:jc w:val="center"/>
      <w:spacing w:line="400" w:lineRule="exact"/>
      <w:widowControl/>
    </w:pPr>
  </w:style>
  <w:style w:type="paragraph" w:styleId="1204">
    <w:name w:val="Char Char4"/>
    <w:basedOn w:val="1010"/>
    <w:next w:val="1204"/>
    <w:link w:val="1010"/>
    <w:qFormat/>
    <w:pPr>
      <w:jc w:val="center"/>
      <w:spacing w:line="400" w:lineRule="exact"/>
      <w:widowControl/>
    </w:pPr>
  </w:style>
  <w:style w:type="paragraph" w:styleId="1205">
    <w:name w:val="Char3 Char Char Char1"/>
    <w:basedOn w:val="1010"/>
    <w:next w:val="1205"/>
    <w:link w:val="1010"/>
    <w:qFormat/>
    <w:rPr>
      <w:rFonts w:ascii="Tahoma" w:hAnsi="Tahoma"/>
      <w:sz w:val="24"/>
      <w:szCs w:val="20"/>
    </w:rPr>
  </w:style>
  <w:style w:type="paragraph" w:styleId="1206">
    <w:name w:val="No Spacing"/>
    <w:next w:val="1206"/>
    <w:link w:val="1010"/>
    <w:qFormat/>
    <w:pPr>
      <w:jc w:val="both"/>
      <w:widowControl w:val="off"/>
    </w:pPr>
    <w:rPr>
      <w:sz w:val="21"/>
      <w:szCs w:val="24"/>
      <w:lang w:val="en-US" w:eastAsia="zh-CN" w:bidi="ar-SA"/>
    </w:rPr>
  </w:style>
  <w:style w:type="paragraph" w:styleId="1207">
    <w:name w:val="22222222222222"/>
    <w:basedOn w:val="1010"/>
    <w:next w:val="1207"/>
    <w:link w:val="1010"/>
    <w:qFormat/>
    <w:pPr>
      <w:ind w:firstLine="480"/>
      <w:jc w:val="left"/>
      <w:spacing w:line="360" w:lineRule="auto"/>
      <w:widowControl/>
    </w:pPr>
    <w:rPr>
      <w:color w:val="ff0000"/>
      <w:sz w:val="24"/>
      <w:szCs w:val="20"/>
    </w:rPr>
  </w:style>
  <w:style w:type="character" w:styleId="1208">
    <w:name w:val="中等深浅网格 1 - 强调文字颜色 2 Char"/>
    <w:next w:val="1208"/>
    <w:link w:val="1209"/>
    <w:qFormat/>
    <w:rPr>
      <w:sz w:val="21"/>
      <w:szCs w:val="24"/>
      <w:lang w:val="zh-CN" w:eastAsia="zh-CN" w:bidi="ar-SA"/>
    </w:rPr>
  </w:style>
  <w:style w:type="paragraph" w:styleId="1209">
    <w:name w:val="1"/>
    <w:next w:val="1209"/>
    <w:link w:val="1208"/>
    <w:qFormat/>
    <w:rPr>
      <w:sz w:val="21"/>
      <w:szCs w:val="24"/>
      <w:lang w:val="zh-CN" w:eastAsia="zh-CN" w:bidi="ar-SA"/>
    </w:rPr>
  </w:style>
  <w:style w:type="paragraph" w:styleId="1210">
    <w:name w:val="图文"/>
    <w:basedOn w:val="1010"/>
    <w:next w:val="1210"/>
    <w:link w:val="1010"/>
    <w:qFormat/>
    <w:pPr>
      <w:spacing w:after="50" w:line="360" w:lineRule="auto"/>
    </w:pPr>
    <w:rPr>
      <w:sz w:val="24"/>
    </w:rPr>
  </w:style>
  <w:style w:type="paragraph" w:styleId="1211">
    <w:name w:val="xl23"/>
    <w:basedOn w:val="1010"/>
    <w:next w:val="1211"/>
    <w:link w:val="1010"/>
    <w:qFormat/>
    <w:pPr>
      <w:spacing w:before="100" w:beforeAutospacing="1" w:after="100" w:afterAutospacing="1" w:line="360" w:lineRule="auto"/>
      <w:widowControl/>
    </w:pPr>
    <w:rPr>
      <w:sz w:val="24"/>
      <w:szCs w:val="20"/>
    </w:rPr>
  </w:style>
  <w:style w:type="paragraph" w:styleId="1212">
    <w:name w:val="正文表格"/>
    <w:basedOn w:val="1010"/>
    <w:next w:val="1212"/>
    <w:link w:val="1213"/>
    <w:qFormat/>
    <w:pPr>
      <w:jc w:val="left"/>
    </w:pPr>
    <w:rPr>
      <w:rFonts w:ascii="宋体" w:hAnsi="宋体"/>
      <w:color w:val="000000"/>
      <w:szCs w:val="21"/>
    </w:rPr>
  </w:style>
  <w:style w:type="character" w:styleId="1213">
    <w:name w:val="正文表格 Char"/>
    <w:next w:val="1213"/>
    <w:link w:val="1212"/>
    <w:qFormat/>
    <w:rPr>
      <w:rFonts w:ascii="宋体" w:hAnsi="宋体"/>
      <w:color w:val="000000"/>
      <w:sz w:val="21"/>
      <w:szCs w:val="21"/>
    </w:rPr>
  </w:style>
  <w:style w:type="paragraph" w:styleId="1214">
    <w:name w:val="正文重点"/>
    <w:basedOn w:val="1010"/>
    <w:next w:val="1214"/>
    <w:link w:val="1215"/>
    <w:qFormat/>
    <w:pPr>
      <w:ind w:firstLine="482"/>
      <w:jc w:val="left"/>
      <w:spacing w:line="360" w:lineRule="auto"/>
    </w:pPr>
    <w:rPr>
      <w:b/>
      <w:sz w:val="24"/>
      <w:szCs w:val="20"/>
    </w:rPr>
  </w:style>
  <w:style w:type="character" w:styleId="1215">
    <w:name w:val="正文重点 Char"/>
    <w:next w:val="1215"/>
    <w:link w:val="1214"/>
    <w:qFormat/>
    <w:rPr>
      <w:b/>
      <w:sz w:val="24"/>
    </w:rPr>
  </w:style>
  <w:style w:type="paragraph" w:styleId="1216">
    <w:name w:val="标题1-附件"/>
    <w:basedOn w:val="1011"/>
    <w:next w:val="1216"/>
    <w:link w:val="1010"/>
    <w:qFormat/>
    <w:pPr>
      <w:jc w:val="left"/>
    </w:pPr>
    <w:rPr>
      <w:sz w:val="24"/>
      <w:szCs w:val="24"/>
    </w:rPr>
  </w:style>
  <w:style w:type="paragraph" w:styleId="1217">
    <w:name w:val="正文小标题"/>
    <w:basedOn w:val="1010"/>
    <w:next w:val="1025"/>
    <w:link w:val="1218"/>
    <w:qFormat/>
    <w:pPr>
      <w:ind w:firstLine="482"/>
      <w:jc w:val="left"/>
      <w:spacing w:before="312" w:after="312"/>
    </w:pPr>
    <w:rPr>
      <w:rFonts w:ascii="宋体" w:hAnsi="宋体"/>
      <w:b/>
      <w:i/>
      <w:color w:val="ff0000"/>
      <w:sz w:val="24"/>
      <w:szCs w:val="20"/>
    </w:rPr>
  </w:style>
  <w:style w:type="character" w:styleId="1218">
    <w:name w:val="正文小标题 Char"/>
    <w:next w:val="1218"/>
    <w:link w:val="1217"/>
    <w:qFormat/>
    <w:rPr>
      <w:rFonts w:ascii="宋体" w:hAnsi="宋体"/>
      <w:b/>
      <w:i/>
      <w:color w:val="ff0000"/>
      <w:sz w:val="24"/>
    </w:rPr>
  </w:style>
  <w:style w:type="paragraph" w:styleId="1219">
    <w:name w:val="正文大标题"/>
    <w:basedOn w:val="1217"/>
    <w:next w:val="1025"/>
    <w:link w:val="1220"/>
    <w:qFormat/>
    <w:pPr>
      <w:jc w:val="center"/>
    </w:pPr>
    <w:rPr>
      <w:i w:val="0"/>
      <w:color w:val="000000"/>
      <w:sz w:val="28"/>
      <w:szCs w:val="21"/>
    </w:rPr>
  </w:style>
  <w:style w:type="character" w:styleId="1220">
    <w:name w:val="正文大标题 Char"/>
    <w:next w:val="1220"/>
    <w:link w:val="1219"/>
    <w:qFormat/>
    <w:rPr>
      <w:rFonts w:ascii="宋体" w:hAnsi="宋体"/>
      <w:b/>
      <w:color w:val="000000"/>
      <w:sz w:val="28"/>
      <w:szCs w:val="21"/>
    </w:rPr>
  </w:style>
  <w:style w:type="paragraph" w:styleId="1221">
    <w:name w:val="注释"/>
    <w:basedOn w:val="1010"/>
    <w:next w:val="1221"/>
    <w:link w:val="1222"/>
    <w:qFormat/>
    <w:pPr>
      <w:ind w:left="420" w:hanging="420"/>
      <w:jc w:val="left"/>
    </w:pPr>
    <w:rPr>
      <w:rFonts w:ascii="宋体" w:hAnsi="宋体"/>
      <w:szCs w:val="21"/>
    </w:rPr>
  </w:style>
  <w:style w:type="character" w:styleId="1222">
    <w:name w:val="注释 Char"/>
    <w:next w:val="1222"/>
    <w:link w:val="1221"/>
    <w:qFormat/>
    <w:rPr>
      <w:rFonts w:ascii="宋体" w:hAnsi="宋体"/>
      <w:sz w:val="21"/>
      <w:szCs w:val="21"/>
    </w:rPr>
  </w:style>
  <w:style w:type="paragraph" w:styleId="1223">
    <w:name w:val="正文须知-1级"/>
    <w:basedOn w:val="1010"/>
    <w:next w:val="1010"/>
    <w:link w:val="1010"/>
    <w:qFormat/>
    <w:pPr>
      <w:numPr>
        <w:ilvl w:val="0"/>
        <w:numId w:val="7"/>
      </w:numPr>
      <w:spacing w:line="300" w:lineRule="auto"/>
    </w:pPr>
    <w:rPr>
      <w:rFonts w:ascii="宋体" w:hAnsi="Calibri"/>
      <w:sz w:val="24"/>
      <w:szCs w:val="21"/>
    </w:rPr>
  </w:style>
  <w:style w:type="paragraph" w:styleId="1224">
    <w:name w:val="正文须知-2级"/>
    <w:basedOn w:val="1010"/>
    <w:next w:val="1224"/>
    <w:link w:val="1010"/>
    <w:qFormat/>
    <w:pPr>
      <w:numPr>
        <w:ilvl w:val="1"/>
        <w:numId w:val="7"/>
      </w:numPr>
      <w:spacing w:line="300" w:lineRule="auto"/>
    </w:pPr>
    <w:rPr>
      <w:rFonts w:ascii="宋体" w:hAnsi="Calibri"/>
      <w:sz w:val="24"/>
      <w:szCs w:val="21"/>
    </w:rPr>
  </w:style>
  <w:style w:type="paragraph" w:styleId="1225">
    <w:name w:val="正文须知-3级"/>
    <w:basedOn w:val="1010"/>
    <w:next w:val="1225"/>
    <w:link w:val="1010"/>
    <w:qFormat/>
    <w:pPr>
      <w:numPr>
        <w:ilvl w:val="2"/>
        <w:numId w:val="7"/>
      </w:numPr>
      <w:ind w:hanging="355"/>
      <w:spacing w:line="300" w:lineRule="auto"/>
    </w:pPr>
    <w:rPr>
      <w:rFonts w:ascii="宋体" w:hAnsi="Calibri"/>
      <w:sz w:val="24"/>
      <w:szCs w:val="21"/>
    </w:rPr>
  </w:style>
  <w:style w:type="character" w:styleId="1226">
    <w:name w:val="纯文本 字符"/>
    <w:next w:val="1226"/>
    <w:link w:val="1010"/>
    <w:uiPriority w:val="99"/>
    <w:qFormat/>
    <w:rPr>
      <w:rFonts w:ascii="宋体" w:hAnsi="Courier New" w:eastAsia="宋体" w:cs="Times New Roman"/>
      <w:sz w:val="21"/>
      <w:szCs w:val="21"/>
      <w:lang w:val="en-US" w:eastAsia="zh-CN" w:bidi="ar-SA"/>
    </w:rPr>
  </w:style>
  <w:style w:type="paragraph" w:styleId="1227">
    <w:name w:val="表格1"/>
    <w:basedOn w:val="1010"/>
    <w:next w:val="1227"/>
    <w:link w:val="1010"/>
    <w:qFormat/>
    <w:pPr>
      <w:ind w:firstLine="480"/>
      <w:jc w:val="center"/>
    </w:pPr>
    <w:rPr>
      <w:sz w:val="24"/>
      <w:szCs w:val="20"/>
    </w:rPr>
  </w:style>
  <w:style w:type="character" w:styleId="1228">
    <w:name w:val="纯文本 字符1"/>
    <w:next w:val="1228"/>
    <w:link w:val="1010"/>
    <w:qFormat/>
    <w:rPr>
      <w:rFonts w:ascii="宋体" w:hAnsi="Courier New"/>
    </w:rPr>
  </w:style>
  <w:style w:type="character" w:styleId="1229">
    <w:name w:val="bjh-p"/>
    <w:next w:val="1229"/>
    <w:link w:val="1010"/>
    <w:qFormat/>
  </w:style>
  <w:style w:type="paragraph" w:styleId="1230">
    <w:name w:val="无标题条"/>
    <w:next w:val="1010"/>
    <w:link w:val="1010"/>
    <w:qFormat/>
    <w:pPr>
      <w:jc w:val="both"/>
    </w:pPr>
    <w:rPr>
      <w:sz w:val="21"/>
      <w:lang w:val="en-US" w:eastAsia="zh-CN" w:bidi="ar-SA"/>
    </w:rPr>
  </w:style>
  <w:style w:type="character" w:styleId="1231">
    <w:name w:val="正文格式 Char"/>
    <w:next w:val="1231"/>
    <w:link w:val="1232"/>
    <w:qFormat/>
    <w:rPr>
      <w:rFonts w:ascii="宋体" w:hAnsi="宋体"/>
      <w:sz w:val="24"/>
      <w:szCs w:val="24"/>
      <w:lang w:val="en-GB"/>
    </w:rPr>
  </w:style>
  <w:style w:type="paragraph" w:styleId="1232">
    <w:name w:val="正文格式"/>
    <w:basedOn w:val="1010"/>
    <w:next w:val="1232"/>
    <w:link w:val="1231"/>
    <w:qFormat/>
    <w:pPr>
      <w:ind w:firstLine="480"/>
      <w:spacing w:line="360" w:lineRule="auto"/>
    </w:pPr>
    <w:rPr>
      <w:rFonts w:ascii="宋体" w:hAnsi="宋体"/>
      <w:sz w:val="24"/>
      <w:lang w:val="en-GB"/>
    </w:rPr>
  </w:style>
  <w:style w:type="character" w:styleId="1233">
    <w:name w:val="标题 3 Char"/>
    <w:next w:val="1233"/>
    <w:link w:val="1010"/>
    <w:qFormat/>
    <w:rPr>
      <w:rFonts w:ascii="宋体" w:eastAsia="宋体"/>
      <w:b/>
      <w:sz w:val="24"/>
      <w:u w:val="single"/>
      <w:lang w:val="en-US" w:eastAsia="zh-CN" w:bidi="ar-SA"/>
    </w:rPr>
  </w:style>
  <w:style w:type="character" w:styleId="1234">
    <w:name w:val="正文缩进 Char"/>
    <w:next w:val="1234"/>
    <w:link w:val="1010"/>
    <w:qFormat/>
    <w:rPr>
      <w:rFonts w:ascii="宋体" w:eastAsia="宋体"/>
      <w:sz w:val="24"/>
      <w:szCs w:val="24"/>
      <w:lang w:val="en-US" w:eastAsia="zh-CN" w:bidi="ar-SA"/>
    </w:rPr>
  </w:style>
  <w:style w:type="character" w:styleId="1235">
    <w:name w:val="Char Char111"/>
    <w:next w:val="1235"/>
    <w:link w:val="1010"/>
    <w:qFormat/>
    <w:rPr>
      <w:rFonts w:ascii="宋体" w:eastAsia="宋体"/>
      <w:b/>
      <w:sz w:val="24"/>
      <w:u w:val="single"/>
      <w:lang w:val="en-US" w:eastAsia="zh-CN" w:bidi="ar-SA"/>
    </w:rPr>
  </w:style>
  <w:style w:type="character" w:styleId="1236">
    <w:name w:val="正文文本缩进 Char"/>
    <w:next w:val="1236"/>
    <w:link w:val="1010"/>
    <w:qFormat/>
    <w:rPr>
      <w:rFonts w:eastAsia="宋体"/>
      <w:sz w:val="24"/>
      <w:szCs w:val="24"/>
      <w:lang w:val="en-US" w:eastAsia="zh-CN" w:bidi="ar-SA"/>
    </w:rPr>
  </w:style>
  <w:style w:type="character" w:styleId="1237">
    <w:name w:val="列出段落 Char"/>
    <w:next w:val="1237"/>
    <w:link w:val="1010"/>
    <w:qFormat/>
    <w:rPr>
      <w:rFonts w:ascii="Calibri" w:hAnsi="Calibri" w:eastAsia="宋体"/>
      <w:sz w:val="21"/>
      <w:szCs w:val="22"/>
      <w:lang w:val="en-US" w:eastAsia="zh-CN" w:bidi="ar-SA"/>
    </w:rPr>
  </w:style>
  <w:style w:type="character" w:styleId="1238">
    <w:name w:val="页眉 Char"/>
    <w:next w:val="1238"/>
    <w:link w:val="1010"/>
    <w:qFormat/>
    <w:rPr>
      <w:rFonts w:eastAsia="宋体"/>
      <w:sz w:val="18"/>
      <w:szCs w:val="18"/>
      <w:lang w:val="en-US" w:eastAsia="zh-CN" w:bidi="ar-SA"/>
    </w:rPr>
  </w:style>
  <w:style w:type="character" w:styleId="1239">
    <w:name w:val="标题 2 Char"/>
    <w:next w:val="1239"/>
    <w:link w:val="1010"/>
    <w:qFormat/>
    <w:rPr>
      <w:rFonts w:ascii="Arial" w:hAnsi="Arial" w:eastAsia="黑体"/>
      <w:b/>
      <w:sz w:val="30"/>
      <w:lang w:val="en-US" w:eastAsia="zh-CN" w:bidi="ar-SA"/>
    </w:rPr>
  </w:style>
  <w:style w:type="paragraph" w:styleId="1240">
    <w:name w:val="字元 字元2"/>
    <w:basedOn w:val="1010"/>
    <w:next w:val="1240"/>
    <w:link w:val="1010"/>
    <w:qFormat/>
    <w:rPr>
      <w:rFonts w:ascii="Tahoma" w:hAnsi="Tahoma"/>
      <w:sz w:val="24"/>
      <w:szCs w:val="20"/>
    </w:rPr>
  </w:style>
  <w:style w:type="paragraph" w:styleId="1241">
    <w:name w:val="Char3 Char Char Char2"/>
    <w:basedOn w:val="1010"/>
    <w:next w:val="1241"/>
    <w:link w:val="1010"/>
    <w:qFormat/>
    <w:rPr>
      <w:rFonts w:ascii="Tahoma" w:hAnsi="Tahoma"/>
      <w:sz w:val="24"/>
      <w:szCs w:val="20"/>
    </w:rPr>
  </w:style>
  <w:style w:type="paragraph" w:styleId="1242">
    <w:name w:val="正文文本缩进2"/>
    <w:basedOn w:val="1010"/>
    <w:next w:val="1242"/>
    <w:link w:val="1010"/>
    <w:qFormat/>
    <w:pPr>
      <w:ind w:firstLine="480"/>
      <w:spacing w:line="480" w:lineRule="exact"/>
    </w:pPr>
    <w:rPr>
      <w:rFonts w:ascii="宋体" w:hAnsi="宋体"/>
      <w:sz w:val="24"/>
      <w:lang w:val="zh-CN" w:eastAsia="zh-CN"/>
    </w:rPr>
  </w:style>
  <w:style w:type="paragraph" w:styleId="1243">
    <w:name w:val="Char3"/>
    <w:basedOn w:val="1010"/>
    <w:next w:val="1243"/>
    <w:link w:val="1010"/>
    <w:qFormat/>
    <w:pPr>
      <w:tabs>
        <w:tab w:val="left" w:pos="360" w:leader="none"/>
      </w:tabs>
    </w:pPr>
    <w:rPr>
      <w:sz w:val="24"/>
    </w:rPr>
  </w:style>
  <w:style w:type="paragraph" w:styleId="1244">
    <w:name w:val="Char Char Char Char Char Char Char Char Char Char Char Char Char Char Char Char1"/>
    <w:basedOn w:val="1010"/>
    <w:next w:val="1244"/>
    <w:link w:val="1010"/>
    <w:qFormat/>
    <w:pPr>
      <w:jc w:val="center"/>
      <w:spacing w:after="160" w:line="240" w:lineRule="exact"/>
      <w:widowControl/>
    </w:pPr>
    <w:rPr>
      <w:rFonts w:ascii="宋体" w:hAnsi="宋体"/>
      <w:b/>
      <w:sz w:val="30"/>
      <w:szCs w:val="30"/>
      <w:lang w:eastAsia="en-US"/>
    </w:rPr>
  </w:style>
  <w:style w:type="paragraph" w:styleId="1245">
    <w:name w:val="Char Char1 Char Char Char Char Char Char1"/>
    <w:basedOn w:val="1010"/>
    <w:next w:val="1245"/>
    <w:link w:val="1010"/>
    <w:qFormat/>
    <w:pPr>
      <w:jc w:val="left"/>
      <w:spacing w:after="160" w:line="240" w:lineRule="exact"/>
      <w:widowControl/>
    </w:pPr>
    <w:rPr>
      <w:rFonts w:ascii="Verdana" w:hAnsi="Verdana" w:eastAsia="FangSong_GB2312"/>
      <w:sz w:val="24"/>
      <w:szCs w:val="20"/>
      <w:lang w:eastAsia="en-US"/>
    </w:rPr>
  </w:style>
  <w:style w:type="paragraph" w:styleId="1246">
    <w:name w:val="列出段落2"/>
    <w:basedOn w:val="1010"/>
    <w:next w:val="1246"/>
    <w:link w:val="1010"/>
    <w:qFormat/>
    <w:pPr>
      <w:ind w:firstLine="420"/>
    </w:pPr>
    <w:rPr>
      <w:rFonts w:ascii="Calibri" w:hAnsi="Calibri"/>
      <w:szCs w:val="22"/>
    </w:rPr>
  </w:style>
  <w:style w:type="paragraph" w:styleId="1247">
    <w:name w:val="Char Char Char1 Char2"/>
    <w:basedOn w:val="1010"/>
    <w:next w:val="1247"/>
    <w:link w:val="1010"/>
    <w:qFormat/>
    <w:rPr>
      <w:rFonts w:ascii="Tahoma" w:hAnsi="Tahoma"/>
      <w:sz w:val="24"/>
      <w:szCs w:val="20"/>
    </w:rPr>
  </w:style>
  <w:style w:type="paragraph" w:styleId="1248">
    <w:name w:val="Char Char Char2"/>
    <w:basedOn w:val="1010"/>
    <w:next w:val="1248"/>
    <w:link w:val="1010"/>
    <w:qFormat/>
    <w:rPr>
      <w:rFonts w:ascii="Tahoma" w:hAnsi="Tahoma"/>
      <w:sz w:val="24"/>
      <w:szCs w:val="20"/>
    </w:rPr>
  </w:style>
  <w:style w:type="paragraph" w:styleId="1249">
    <w:name w:val="Char Char Char Char Char Char Char2"/>
    <w:basedOn w:val="1010"/>
    <w:next w:val="1249"/>
    <w:link w:val="1010"/>
    <w:qFormat/>
    <w:pPr>
      <w:ind w:firstLine="200"/>
      <w:spacing w:line="360" w:lineRule="auto"/>
    </w:pPr>
    <w:rPr>
      <w:rFonts w:eastAsia="FangSong_GB2312"/>
      <w:sz w:val="24"/>
    </w:rPr>
  </w:style>
  <w:style w:type="paragraph" w:styleId="1250">
    <w:name w:val="正文缩进2"/>
    <w:basedOn w:val="1010"/>
    <w:next w:val="1250"/>
    <w:link w:val="1010"/>
    <w:qFormat/>
    <w:pPr>
      <w:ind w:firstLine="567"/>
      <w:spacing w:line="480" w:lineRule="exact"/>
      <w:widowControl/>
    </w:pPr>
    <w:rPr>
      <w:rFonts w:ascii="宋体"/>
      <w:color w:val="000000"/>
      <w:sz w:val="28"/>
      <w:szCs w:val="20"/>
      <w:lang w:val="zh-CN" w:eastAsia="zh-CN"/>
    </w:rPr>
  </w:style>
  <w:style w:type="paragraph" w:styleId="1251">
    <w:name w:val="Revision1"/>
    <w:next w:val="1251"/>
    <w:link w:val="1010"/>
    <w:qFormat/>
    <w:rPr>
      <w:sz w:val="21"/>
      <w:szCs w:val="24"/>
      <w:lang w:val="en-US" w:eastAsia="zh-CN" w:bidi="ar-SA"/>
    </w:rPr>
  </w:style>
  <w:style w:type="paragraph" w:styleId="1252">
    <w:name w:val="Char22"/>
    <w:basedOn w:val="1010"/>
    <w:next w:val="1252"/>
    <w:link w:val="1010"/>
    <w:qFormat/>
    <w:rPr>
      <w:rFonts w:ascii="Tahoma" w:hAnsi="Tahoma"/>
      <w:sz w:val="24"/>
      <w:szCs w:val="20"/>
    </w:rPr>
  </w:style>
  <w:style w:type="paragraph" w:styleId="1253">
    <w:name w:val="Char Char Char Char Char Char Char Char Char Char2"/>
    <w:basedOn w:val="1010"/>
    <w:next w:val="1253"/>
    <w:link w:val="1010"/>
    <w:qFormat/>
    <w:rPr>
      <w:rFonts w:ascii="宋体" w:hAnsi="宋体" w:cs="Courier New"/>
      <w:sz w:val="32"/>
      <w:szCs w:val="32"/>
    </w:rPr>
  </w:style>
  <w:style w:type="paragraph" w:styleId="1254">
    <w:name w:val="Char2 Char Char Char Char Char Char1"/>
    <w:basedOn w:val="1010"/>
    <w:next w:val="1254"/>
    <w:link w:val="1010"/>
    <w:qFormat/>
    <w:pPr>
      <w:jc w:val="center"/>
      <w:spacing w:line="400" w:lineRule="exact"/>
      <w:widowControl/>
    </w:pPr>
  </w:style>
  <w:style w:type="character" w:styleId="1255">
    <w:name w:val="页脚 Char"/>
    <w:next w:val="1255"/>
    <w:link w:val="1010"/>
    <w:qFormat/>
    <w:rPr>
      <w:rFonts w:ascii="宋体" w:eastAsia="宋体"/>
      <w:sz w:val="18"/>
      <w:lang w:val="en-US" w:eastAsia="zh-CN" w:bidi="ar-SA"/>
    </w:rPr>
  </w:style>
  <w:style w:type="paragraph" w:styleId="1256">
    <w:name w:val="Char Char41"/>
    <w:basedOn w:val="1010"/>
    <w:next w:val="1256"/>
    <w:link w:val="1010"/>
    <w:qFormat/>
    <w:pPr>
      <w:jc w:val="center"/>
      <w:spacing w:line="400" w:lineRule="exact"/>
      <w:widowControl/>
    </w:pPr>
  </w:style>
  <w:style w:type="character" w:styleId="1257">
    <w:name w:val="批注文字 Char"/>
    <w:next w:val="1257"/>
    <w:link w:val="1010"/>
    <w:uiPriority w:val="99"/>
    <w:qFormat/>
    <w:rPr>
      <w:sz w:val="21"/>
      <w:szCs w:val="24"/>
    </w:rPr>
  </w:style>
  <w:style w:type="character" w:styleId="1258">
    <w:name w:val="标题 Char"/>
    <w:next w:val="1258"/>
    <w:link w:val="1010"/>
    <w:qFormat/>
    <w:rPr>
      <w:b/>
      <w:sz w:val="32"/>
    </w:rPr>
  </w:style>
  <w:style w:type="paragraph" w:styleId="1259">
    <w:name w:val="图例"/>
    <w:basedOn w:val="1010"/>
    <w:next w:val="1259"/>
    <w:link w:val="1010"/>
    <w:qFormat/>
    <w:pPr>
      <w:jc w:val="center"/>
      <w:spacing w:before="120" w:after="120" w:line="360" w:lineRule="auto"/>
    </w:pPr>
    <w:rPr>
      <w:rFonts w:eastAsia="FangSong_GB2312"/>
      <w:b/>
      <w:sz w:val="24"/>
      <w:szCs w:val="20"/>
    </w:rPr>
  </w:style>
  <w:style w:type="table" w:styleId="1260">
    <w:name w:val="Table Normal1"/>
    <w:next w:val="1260"/>
    <w:link w:val="1010"/>
    <w:uiPriority w:val="2"/>
    <w:unhideWhenUsed/>
    <w:qFormat/>
    <w:pPr>
      <w:widowControl w:val="off"/>
    </w:pPr>
    <w:rPr>
      <w:rFonts w:ascii="Calibri" w:hAnsi="Calibri"/>
      <w:sz w:val="22"/>
      <w:szCs w:val="22"/>
      <w:lang w:val="en-US" w:eastAsia="en-US" w:bidi="ar-SA"/>
    </w:rPr>
    <w:tblPr/>
  </w:style>
  <w:style w:type="paragraph" w:styleId="1261">
    <w:name w:val="Table Paragraph"/>
    <w:basedOn w:val="1010"/>
    <w:next w:val="1261"/>
    <w:link w:val="1010"/>
    <w:uiPriority w:val="1"/>
    <w:qFormat/>
    <w:pPr>
      <w:jc w:val="left"/>
    </w:pPr>
    <w:rPr>
      <w:rFonts w:ascii="宋体" w:hAnsi="宋体" w:cs="宋体"/>
      <w:sz w:val="22"/>
      <w:szCs w:val="22"/>
      <w:lang w:eastAsia="en-US"/>
    </w:rPr>
  </w:style>
  <w:style w:type="paragraph" w:styleId="1262">
    <w:name w:val="成文日期"/>
    <w:basedOn w:val="1010"/>
    <w:next w:val="1262"/>
    <w:link w:val="1263"/>
    <w:qFormat/>
    <w:pPr>
      <w:ind w:right="400" w:firstLine="200"/>
      <w:jc w:val="right"/>
      <w:spacing w:line="570" w:lineRule="exact"/>
    </w:pPr>
    <w:rPr>
      <w:rFonts w:ascii="FangSong_GB2312" w:eastAsia="FangSong_GB2312"/>
      <w:sz w:val="32"/>
      <w:szCs w:val="20"/>
    </w:rPr>
  </w:style>
  <w:style w:type="character" w:styleId="1263">
    <w:name w:val="成文日期 Char"/>
    <w:next w:val="1263"/>
    <w:link w:val="1262"/>
    <w:rPr>
      <w:rFonts w:ascii="FangSong_GB2312" w:eastAsia="FangSong_GB2312"/>
      <w:sz w:val="32"/>
    </w:rPr>
  </w:style>
  <w:style w:type="paragraph" w:styleId="1264">
    <w:name w:val="Revision"/>
    <w:next w:val="1264"/>
    <w:link w:val="1010"/>
    <w:uiPriority w:val="99"/>
    <w:unhideWhenUsed/>
    <w:rPr>
      <w:sz w:val="21"/>
      <w:szCs w:val="24"/>
      <w:lang w:val="en-US" w:eastAsia="zh-CN" w:bidi="ar-SA"/>
    </w:rPr>
  </w:style>
  <w:style w:type="character" w:styleId="1265">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265"/>
    <w:link w:val="1010"/>
    <w:qFormat/>
    <w:rPr>
      <w:rFonts w:ascii="宋体" w:hAnsi="宋体" w:eastAsia="宋体"/>
      <w:sz w:val="24"/>
      <w:szCs w:val="24"/>
    </w:rPr>
  </w:style>
  <w:style w:type="character" w:styleId="1266">
    <w:name w:val="NormalCharacter1"/>
    <w:next w:val="1266"/>
    <w:link w:val="1010"/>
    <w:qFormat/>
  </w:style>
  <w:style w:type="character" w:styleId="1267">
    <w:name w:val="正文缩进 Char1"/>
    <w:next w:val="1267"/>
    <w:link w:val="1010"/>
    <w:qFormat/>
    <w:rPr>
      <w:rFonts w:ascii="宋体" w:hAnsi="宋体" w:eastAsia="宋体"/>
      <w:sz w:val="24"/>
    </w:rPr>
  </w:style>
  <w:style w:type="paragraph" w:styleId="1268">
    <w:name w:val="索引 11"/>
    <w:basedOn w:val="1010"/>
    <w:next w:val="1010"/>
    <w:link w:val="1010"/>
    <w:pPr>
      <w:spacing w:line="360" w:lineRule="auto"/>
    </w:pPr>
    <w:rPr>
      <w:rFonts w:ascii="FangSong_GB2312" w:eastAsia="FangSong_GB2312"/>
      <w:sz w:val="24"/>
      <w:szCs w:val="20"/>
    </w:rPr>
  </w:style>
  <w:style w:type="paragraph" w:styleId="1269">
    <w:name w:val="Table Text"/>
    <w:basedOn w:val="1010"/>
    <w:next w:val="1269"/>
    <w:link w:val="1010"/>
    <w:semiHidden/>
    <w:qFormat/>
    <w:rPr>
      <w:rFonts w:ascii="Arial" w:hAnsi="Arial" w:eastAsia="Arial" w:cs="Arial"/>
      <w:sz w:val="21"/>
      <w:szCs w:val="21"/>
      <w:lang w:val="en-US" w:eastAsia="en-US" w:bidi="ar-SA"/>
    </w:rPr>
  </w:style>
  <w:style w:type="character" w:styleId="1270">
    <w:name w:val="fontstyle01"/>
    <w:next w:val="1270"/>
    <w:link w:val="1010"/>
    <w:qFormat/>
    <w:rPr>
      <w:rFonts w:ascii="宋体" w:hAnsi="宋体" w:eastAsia="宋体" w:cs="宋体"/>
      <w:color w:val="000000"/>
      <w:sz w:val="22"/>
      <w:szCs w:val="22"/>
    </w:rPr>
  </w:style>
  <w:style w:type="table" w:styleId="1271">
    <w:name w:val="网格型1"/>
    <w:basedOn w:val="1272"/>
    <w:next w:val="1271"/>
    <w:link w:val="1010"/>
    <w:uiPriority w:val="39"/>
    <w:qFormat/>
    <w:tblPr/>
  </w:style>
  <w:style w:type="table" w:styleId="1272">
    <w:name w:val="普通表格1"/>
    <w:next w:val="1272"/>
    <w:link w:val="1010"/>
    <w:uiPriority w:val="99"/>
    <w:unhideWhenUsed/>
    <w:qFormat/>
    <w:rPr>
      <w:lang w:val="en-US" w:eastAsia="zh-CN" w:bidi="ar-SA"/>
    </w:rPr>
    <w:tblPr/>
  </w:style>
  <w:style w:type="paragraph" w:styleId="1273">
    <w:name w:val="标题 21"/>
    <w:basedOn w:val="1010"/>
    <w:next w:val="1274"/>
    <w:link w:val="1010"/>
    <w:qFormat/>
    <w:pPr>
      <w:jc w:val="center"/>
      <w:keepLines/>
      <w:keepNext/>
      <w:spacing w:before="120" w:line="300" w:lineRule="auto"/>
      <w:outlineLvl w:val="1"/>
    </w:pPr>
    <w:rPr>
      <w:rFonts w:ascii="Arial" w:hAnsi="Arial" w:eastAsia="黑体"/>
      <w:b/>
      <w:sz w:val="30"/>
      <w:szCs w:val="20"/>
    </w:rPr>
  </w:style>
  <w:style w:type="paragraph" w:styleId="1274">
    <w:name w:val="正文缩进11"/>
    <w:basedOn w:val="1010"/>
    <w:next w:val="1010"/>
    <w:link w:val="1010"/>
    <w:qFormat/>
    <w:pPr>
      <w:ind w:firstLine="420"/>
      <w:jc w:val="left"/>
    </w:pPr>
    <w:rPr>
      <w:rFonts w:ascii="宋体"/>
      <w:sz w:val="24"/>
    </w:rPr>
  </w:style>
  <w:style w:type="paragraph" w:styleId="1275">
    <w:name w:val="_Style 2"/>
    <w:basedOn w:val="1010"/>
    <w:next w:val="1275"/>
    <w:link w:val="1010"/>
    <w:uiPriority w:val="99"/>
    <w:qFormat/>
    <w:pPr>
      <w:ind w:firstLine="420"/>
    </w:pPr>
    <w:rPr>
      <w:rFonts w:eastAsia="宋体"/>
    </w:rPr>
  </w:style>
  <w:style w:type="paragraph" w:styleId="1276">
    <w:name w:val="Andy_正文"/>
    <w:basedOn w:val="1010"/>
    <w:next w:val="1276"/>
    <w:link w:val="1010"/>
    <w:qFormat/>
    <w:pPr>
      <w:ind w:firstLine="480"/>
      <w:spacing w:line="360" w:lineRule="auto"/>
    </w:pPr>
    <w:rPr>
      <w:sz w:val="24"/>
    </w:rPr>
  </w:style>
  <w:style w:type="paragraph" w:styleId="1277">
    <w:name w:val="首行缩进"/>
    <w:basedOn w:val="1010"/>
    <w:next w:val="1277"/>
    <w:link w:val="1010"/>
    <w:qFormat/>
    <w:pPr>
      <w:ind w:firstLine="480"/>
    </w:pPr>
    <w:rPr>
      <w:rFonts w:ascii="Times New Roman" w:hAnsi="Times New Roman"/>
      <w:szCs w:val="20"/>
      <w:lang w:val="zh-CN"/>
    </w:rPr>
  </w:style>
  <w:style w:type="paragraph" w:styleId="1278">
    <w:name w:val="列出段落"/>
    <w:basedOn w:val="1010"/>
    <w:next w:val="1278"/>
    <w:link w:val="1010"/>
    <w:uiPriority w:val="34"/>
    <w:qFormat/>
    <w:pPr>
      <w:ind w:firstLine="420"/>
    </w:pPr>
    <w:rPr>
      <w:rFonts w:ascii="Calibri" w:hAnsi="Calibri"/>
      <w:szCs w:val="22"/>
    </w:rPr>
  </w:style>
  <w:style w:type="paragraph" w:styleId="1279">
    <w:name w:val="一、"/>
    <w:next w:val="1279"/>
    <w:link w:val="1010"/>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character" w:styleId="1280" w:default="1">
    <w:name w:val="Default Paragraph Font"/>
    <w:uiPriority w:val="1"/>
    <w:semiHidden/>
    <w:unhideWhenUsed/>
  </w:style>
  <w:style w:type="numbering" w:styleId="1281" w:default="1">
    <w:name w:val="No List"/>
    <w:uiPriority w:val="99"/>
    <w:semiHidden/>
    <w:unhideWhenUsed/>
  </w:style>
  <w:style w:type="table" w:styleId="12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盈泰</dc:creator>
  <cp:lastModifiedBy>周洁</cp:lastModifiedBy>
  <cp:revision>3</cp:revision>
  <dcterms:created xsi:type="dcterms:W3CDTF">2022-05-30T16:08:00Z</dcterms:created>
  <dcterms:modified xsi:type="dcterms:W3CDTF">2026-06-05T08:19:36Z</dcterms:modified>
</cp:coreProperties>
</file>