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F729F8F">
      <w:pPr>
        <w:spacing w:line="360" w:lineRule="auto"/>
        <w:ind w:firstLine="160" w:firstLineChars="50"/>
        <w:rPr>
          <w:rFonts w:hint="eastAsia" w:ascii="CESI黑体-GB2312" w:hAnsi="CESI黑体-GB2312" w:eastAsia="CESI黑体-GB2312" w:cs="CESI黑体-GB2312"/>
          <w:color w:val="auto"/>
          <w:sz w:val="32"/>
          <w:szCs w:val="32"/>
        </w:rPr>
      </w:pPr>
    </w:p>
    <w:p w14:paraId="73D6632E">
      <w:pPr>
        <w:spacing w:line="360" w:lineRule="auto"/>
        <w:ind w:firstLine="300" w:firstLineChars="50"/>
        <w:rPr>
          <w:color w:val="auto"/>
          <w:sz w:val="60"/>
          <w:szCs w:val="60"/>
        </w:rPr>
      </w:pPr>
    </w:p>
    <w:p w14:paraId="16BC07C7">
      <w:pPr>
        <w:pStyle w:val="40"/>
        <w:rPr>
          <w:color w:val="auto"/>
          <w:sz w:val="44"/>
          <w:szCs w:val="44"/>
        </w:rPr>
      </w:pPr>
      <w:r>
        <w:rPr>
          <w:color w:val="auto"/>
          <w:sz w:val="44"/>
          <w:szCs w:val="44"/>
        </w:rPr>
        <w:t>常州市政府采购项目</w:t>
      </w:r>
      <w:r>
        <w:rPr>
          <w:color w:val="auto"/>
          <w:sz w:val="44"/>
          <w:szCs w:val="44"/>
        </w:rPr>
        <w:br w:type="textWrapping"/>
      </w:r>
      <w:r>
        <w:rPr>
          <w:color w:val="auto"/>
          <w:sz w:val="44"/>
          <w:szCs w:val="44"/>
        </w:rPr>
        <w:t>询价通知书</w:t>
      </w:r>
    </w:p>
    <w:p w14:paraId="3BD57E6E">
      <w:pPr>
        <w:spacing w:line="360" w:lineRule="auto"/>
        <w:jc w:val="center"/>
        <w:rPr>
          <w:color w:val="auto"/>
          <w:sz w:val="60"/>
          <w:szCs w:val="60"/>
        </w:rPr>
      </w:pPr>
    </w:p>
    <w:p w14:paraId="0D1E91F3">
      <w:pPr>
        <w:tabs>
          <w:tab w:val="left" w:pos="3240"/>
          <w:tab w:val="left" w:pos="3420"/>
        </w:tabs>
        <w:spacing w:line="360" w:lineRule="auto"/>
        <w:ind w:left="2832" w:leftChars="444" w:hanging="1900" w:hangingChars="528"/>
        <w:jc w:val="left"/>
        <w:rPr>
          <w:bCs/>
          <w:color w:val="auto"/>
          <w:sz w:val="36"/>
          <w:szCs w:val="36"/>
        </w:rPr>
      </w:pPr>
    </w:p>
    <w:p w14:paraId="2C92613B">
      <w:pPr>
        <w:tabs>
          <w:tab w:val="left" w:pos="3240"/>
          <w:tab w:val="left" w:pos="3420"/>
        </w:tabs>
        <w:spacing w:line="360" w:lineRule="auto"/>
        <w:ind w:firstLine="643" w:firstLineChars="200"/>
        <w:jc w:val="left"/>
        <w:rPr>
          <w:rFonts w:hint="eastAsia" w:asciiTheme="minorEastAsia" w:hAnsiTheme="minorEastAsia" w:eastAsiaTheme="minorEastAsia" w:cstheme="minorEastAsia"/>
          <w:b/>
          <w:bCs/>
          <w:color w:val="auto"/>
          <w:kern w:val="0"/>
          <w:sz w:val="32"/>
          <w:szCs w:val="24"/>
          <w:lang w:val="en-US" w:eastAsia="zh-CN" w:bidi="ar-SA"/>
        </w:rPr>
      </w:pPr>
      <w:r>
        <w:rPr>
          <w:rFonts w:hint="eastAsia" w:asciiTheme="minorEastAsia" w:hAnsiTheme="minorEastAsia" w:eastAsiaTheme="minorEastAsia" w:cstheme="minorEastAsia"/>
          <w:b/>
          <w:bCs/>
          <w:color w:val="auto"/>
          <w:kern w:val="0"/>
          <w:sz w:val="32"/>
          <w:szCs w:val="24"/>
          <w:lang w:val="en-US" w:eastAsia="zh-CN" w:bidi="ar-SA"/>
        </w:rPr>
        <w:t>项目名称：常州市第二十四中学等校安防设备采购及安装</w:t>
      </w:r>
    </w:p>
    <w:p w14:paraId="67619A72">
      <w:pPr>
        <w:tabs>
          <w:tab w:val="left" w:pos="3240"/>
          <w:tab w:val="left" w:pos="3420"/>
        </w:tabs>
        <w:spacing w:line="360" w:lineRule="auto"/>
        <w:ind w:firstLine="643" w:firstLineChars="200"/>
        <w:jc w:val="left"/>
        <w:rPr>
          <w:rFonts w:hint="eastAsia" w:asciiTheme="minorEastAsia" w:hAnsiTheme="minorEastAsia" w:eastAsiaTheme="minorEastAsia" w:cstheme="minorEastAsia"/>
          <w:b/>
          <w:bCs/>
          <w:color w:val="auto"/>
          <w:kern w:val="0"/>
          <w:sz w:val="32"/>
          <w:szCs w:val="24"/>
          <w:lang w:val="en-US" w:eastAsia="zh-CN" w:bidi="ar-SA"/>
        </w:rPr>
      </w:pPr>
      <w:r>
        <w:rPr>
          <w:rFonts w:hint="eastAsia" w:asciiTheme="minorEastAsia" w:hAnsiTheme="minorEastAsia" w:eastAsiaTheme="minorEastAsia" w:cstheme="minorEastAsia"/>
          <w:b/>
          <w:bCs/>
          <w:color w:val="auto"/>
          <w:kern w:val="0"/>
          <w:sz w:val="32"/>
          <w:szCs w:val="24"/>
          <w:lang w:val="en-US" w:eastAsia="zh-CN" w:bidi="ar-SA"/>
        </w:rPr>
        <w:t>项目编号/包号：JSZC-320400-JZCG-X2026-0163</w:t>
      </w:r>
    </w:p>
    <w:p w14:paraId="0C0591B3">
      <w:pPr>
        <w:tabs>
          <w:tab w:val="left" w:pos="3240"/>
          <w:tab w:val="left" w:pos="3420"/>
        </w:tabs>
        <w:spacing w:line="360" w:lineRule="auto"/>
        <w:ind w:firstLine="643" w:firstLineChars="200"/>
        <w:jc w:val="left"/>
        <w:rPr>
          <w:rFonts w:hint="eastAsia" w:asciiTheme="minorEastAsia" w:hAnsiTheme="minorEastAsia" w:eastAsiaTheme="minorEastAsia" w:cstheme="minorEastAsia"/>
          <w:b/>
          <w:bCs/>
          <w:color w:val="auto"/>
          <w:kern w:val="0"/>
          <w:sz w:val="32"/>
          <w:szCs w:val="24"/>
          <w:lang w:val="en-US" w:eastAsia="zh-CN" w:bidi="ar-SA"/>
        </w:rPr>
      </w:pPr>
      <w:r>
        <w:rPr>
          <w:rFonts w:hint="eastAsia" w:asciiTheme="minorEastAsia" w:hAnsiTheme="minorEastAsia" w:eastAsiaTheme="minorEastAsia" w:cstheme="minorEastAsia"/>
          <w:b/>
          <w:bCs/>
          <w:color w:val="auto"/>
          <w:kern w:val="0"/>
          <w:sz w:val="32"/>
          <w:szCs w:val="24"/>
          <w:lang w:val="en-US" w:eastAsia="zh-CN" w:bidi="ar-SA"/>
        </w:rPr>
        <w:t>采 购 人： 常州市第二十四中学等校</w:t>
      </w:r>
    </w:p>
    <w:p w14:paraId="64297FD4">
      <w:pPr>
        <w:tabs>
          <w:tab w:val="left" w:pos="3240"/>
          <w:tab w:val="left" w:pos="3420"/>
        </w:tabs>
        <w:spacing w:line="360" w:lineRule="auto"/>
        <w:ind w:firstLine="643" w:firstLineChars="200"/>
        <w:jc w:val="left"/>
        <w:rPr>
          <w:rFonts w:hint="eastAsia" w:asciiTheme="minorEastAsia" w:hAnsiTheme="minorEastAsia" w:eastAsiaTheme="minorEastAsia" w:cstheme="minorEastAsia"/>
          <w:b/>
          <w:bCs/>
          <w:color w:val="auto"/>
          <w:kern w:val="0"/>
          <w:sz w:val="32"/>
          <w:szCs w:val="24"/>
          <w:lang w:val="en-US" w:eastAsia="zh-CN" w:bidi="ar-SA"/>
        </w:rPr>
      </w:pPr>
      <w:r>
        <w:rPr>
          <w:rFonts w:hint="eastAsia" w:asciiTheme="minorEastAsia" w:hAnsiTheme="minorEastAsia" w:eastAsiaTheme="minorEastAsia" w:cstheme="minorEastAsia"/>
          <w:b/>
          <w:bCs/>
          <w:color w:val="auto"/>
          <w:kern w:val="0"/>
          <w:sz w:val="32"/>
          <w:szCs w:val="24"/>
          <w:lang w:val="en-US" w:eastAsia="zh-CN" w:bidi="ar-SA"/>
        </w:rPr>
        <w:t xml:space="preserve">采购代理机构：常州市教育基本建设与装备管理中心 </w:t>
      </w:r>
    </w:p>
    <w:p w14:paraId="46BA3449">
      <w:pPr>
        <w:spacing w:line="360" w:lineRule="auto"/>
        <w:jc w:val="center"/>
        <w:rPr>
          <w:rFonts w:hint="eastAsia" w:asciiTheme="minorEastAsia" w:hAnsiTheme="minorEastAsia" w:eastAsiaTheme="minorEastAsia" w:cstheme="minorEastAsia"/>
          <w:b/>
          <w:bCs w:val="0"/>
          <w:color w:val="auto"/>
          <w:sz w:val="30"/>
          <w:szCs w:val="30"/>
        </w:rPr>
      </w:pPr>
      <w:r>
        <w:rPr>
          <w:b/>
          <w:bCs w:val="0"/>
          <w:color w:val="auto"/>
          <w:sz w:val="36"/>
          <w:szCs w:val="36"/>
        </w:rPr>
        <w:t xml:space="preserve"> </w:t>
      </w:r>
      <w:r>
        <w:rPr>
          <w:rFonts w:hint="eastAsia" w:asciiTheme="minorEastAsia" w:hAnsiTheme="minorEastAsia" w:eastAsiaTheme="minorEastAsia" w:cstheme="minorEastAsia"/>
          <w:b/>
          <w:bCs w:val="0"/>
          <w:color w:val="auto"/>
          <w:sz w:val="30"/>
          <w:szCs w:val="30"/>
        </w:rPr>
        <w:t>（全流程电子化-货物类项目，适用常州市教育基本建设与装备采购系统，</w:t>
      </w:r>
      <w:r>
        <w:rPr>
          <w:rFonts w:hint="eastAsia" w:asciiTheme="minorEastAsia" w:hAnsiTheme="minorEastAsia" w:eastAsiaTheme="minorEastAsia" w:cstheme="minorEastAsia"/>
          <w:b/>
          <w:bCs w:val="0"/>
          <w:color w:val="auto"/>
          <w:sz w:val="30"/>
          <w:szCs w:val="30"/>
          <w:lang w:val="en-US" w:eastAsia="zh-CN"/>
        </w:rPr>
        <w:t>不</w:t>
      </w:r>
      <w:r>
        <w:rPr>
          <w:rFonts w:hint="eastAsia" w:asciiTheme="minorEastAsia" w:hAnsiTheme="minorEastAsia" w:eastAsiaTheme="minorEastAsia" w:cstheme="minorEastAsia"/>
          <w:b/>
          <w:bCs w:val="0"/>
          <w:color w:val="auto"/>
          <w:sz w:val="30"/>
          <w:szCs w:val="30"/>
        </w:rPr>
        <w:t>专门面向中小企业）</w:t>
      </w:r>
    </w:p>
    <w:p w14:paraId="5E1EE9B9">
      <w:pPr>
        <w:tabs>
          <w:tab w:val="left" w:pos="3240"/>
          <w:tab w:val="left" w:pos="3420"/>
        </w:tabs>
        <w:spacing w:line="360" w:lineRule="auto"/>
        <w:ind w:left="2832" w:leftChars="444" w:hanging="1900" w:hangingChars="528"/>
        <w:jc w:val="left"/>
        <w:rPr>
          <w:bCs/>
          <w:color w:val="auto"/>
          <w:sz w:val="36"/>
          <w:szCs w:val="36"/>
        </w:rPr>
      </w:pPr>
    </w:p>
    <w:p w14:paraId="4FEFA6DB">
      <w:pPr>
        <w:tabs>
          <w:tab w:val="left" w:pos="3240"/>
          <w:tab w:val="left" w:pos="3420"/>
        </w:tabs>
        <w:spacing w:line="360" w:lineRule="auto"/>
        <w:ind w:left="2832" w:leftChars="444" w:hanging="1900" w:hangingChars="528"/>
        <w:jc w:val="left"/>
        <w:rPr>
          <w:bCs/>
          <w:color w:val="auto"/>
          <w:sz w:val="36"/>
          <w:szCs w:val="36"/>
        </w:rPr>
      </w:pPr>
    </w:p>
    <w:p w14:paraId="6C51C935">
      <w:pPr>
        <w:tabs>
          <w:tab w:val="left" w:pos="3240"/>
          <w:tab w:val="left" w:pos="3420"/>
        </w:tabs>
        <w:spacing w:line="360" w:lineRule="auto"/>
        <w:ind w:left="2832" w:leftChars="444" w:hanging="1900" w:hangingChars="528"/>
        <w:jc w:val="left"/>
        <w:rPr>
          <w:bCs/>
          <w:color w:val="auto"/>
          <w:sz w:val="36"/>
          <w:szCs w:val="36"/>
        </w:rPr>
      </w:pPr>
    </w:p>
    <w:p w14:paraId="38A76AE2">
      <w:pPr>
        <w:pStyle w:val="18"/>
        <w:rPr>
          <w:bCs/>
          <w:color w:val="auto"/>
          <w:sz w:val="36"/>
          <w:szCs w:val="36"/>
        </w:rPr>
      </w:pPr>
    </w:p>
    <w:p w14:paraId="3D9D6426">
      <w:pPr>
        <w:pStyle w:val="18"/>
        <w:rPr>
          <w:bCs/>
          <w:color w:val="auto"/>
          <w:sz w:val="36"/>
          <w:szCs w:val="36"/>
        </w:rPr>
      </w:pPr>
    </w:p>
    <w:p w14:paraId="0DD2096E">
      <w:pPr>
        <w:tabs>
          <w:tab w:val="left" w:pos="3240"/>
          <w:tab w:val="left" w:pos="3420"/>
        </w:tabs>
        <w:spacing w:line="360" w:lineRule="auto"/>
        <w:ind w:left="2832" w:leftChars="444" w:hanging="1900" w:hangingChars="528"/>
        <w:jc w:val="left"/>
        <w:rPr>
          <w:bCs/>
          <w:color w:val="auto"/>
          <w:sz w:val="36"/>
          <w:szCs w:val="36"/>
        </w:rPr>
      </w:pPr>
    </w:p>
    <w:p w14:paraId="1907E5AC">
      <w:pPr>
        <w:tabs>
          <w:tab w:val="left" w:pos="3240"/>
          <w:tab w:val="left" w:pos="3420"/>
        </w:tabs>
        <w:spacing w:line="360" w:lineRule="auto"/>
        <w:ind w:left="2832" w:leftChars="444" w:hanging="1900" w:hangingChars="528"/>
        <w:jc w:val="left"/>
        <w:rPr>
          <w:bCs/>
          <w:color w:val="auto"/>
          <w:sz w:val="36"/>
          <w:szCs w:val="36"/>
        </w:rPr>
      </w:pPr>
    </w:p>
    <w:p w14:paraId="5F66D498">
      <w:pPr>
        <w:pStyle w:val="23"/>
        <w:tabs>
          <w:tab w:val="left" w:pos="6804"/>
        </w:tabs>
        <w:overflowPunct w:val="0"/>
        <w:snapToGrid w:val="0"/>
        <w:spacing w:line="360" w:lineRule="auto"/>
        <w:jc w:val="center"/>
        <w:rPr>
          <w:rFonts w:ascii="Times New Roman" w:hAnsi="Times New Roman"/>
          <w:bCs/>
          <w:color w:val="auto"/>
          <w:sz w:val="36"/>
          <w:szCs w:val="36"/>
        </w:rPr>
      </w:pPr>
      <w:r>
        <w:rPr>
          <w:rFonts w:ascii="Times New Roman" w:hAnsi="Times New Roman"/>
          <w:bCs/>
          <w:color w:val="auto"/>
          <w:sz w:val="36"/>
          <w:szCs w:val="36"/>
        </w:rPr>
        <w:t>202</w:t>
      </w:r>
      <w:r>
        <w:rPr>
          <w:rFonts w:hint="eastAsia" w:ascii="Times New Roman" w:hAnsi="Times New Roman"/>
          <w:bCs/>
          <w:color w:val="auto"/>
          <w:sz w:val="36"/>
          <w:szCs w:val="36"/>
          <w:lang w:val="en-US" w:eastAsia="zh-CN"/>
        </w:rPr>
        <w:t>6</w:t>
      </w:r>
      <w:r>
        <w:rPr>
          <w:rFonts w:ascii="Times New Roman" w:hAnsi="Times New Roman"/>
          <w:bCs/>
          <w:color w:val="auto"/>
          <w:sz w:val="36"/>
          <w:szCs w:val="36"/>
        </w:rPr>
        <w:t>年</w:t>
      </w:r>
      <w:r>
        <w:rPr>
          <w:rFonts w:hint="eastAsia" w:ascii="Times New Roman" w:hAnsi="Times New Roman"/>
          <w:bCs/>
          <w:color w:val="auto"/>
          <w:sz w:val="36"/>
          <w:szCs w:val="36"/>
          <w:lang w:val="en-US" w:eastAsia="zh-CN"/>
        </w:rPr>
        <w:t xml:space="preserve"> 6 </w:t>
      </w:r>
      <w:r>
        <w:rPr>
          <w:rFonts w:ascii="Times New Roman" w:hAnsi="Times New Roman"/>
          <w:bCs/>
          <w:color w:val="auto"/>
          <w:sz w:val="36"/>
          <w:szCs w:val="36"/>
        </w:rPr>
        <w:t>月</w:t>
      </w:r>
    </w:p>
    <w:p w14:paraId="366A57A3">
      <w:pPr>
        <w:tabs>
          <w:tab w:val="left" w:pos="3240"/>
          <w:tab w:val="left" w:pos="3420"/>
        </w:tabs>
        <w:spacing w:line="360" w:lineRule="auto"/>
        <w:ind w:left="2832" w:leftChars="444" w:hanging="1900" w:hangingChars="528"/>
        <w:jc w:val="left"/>
        <w:rPr>
          <w:bCs/>
          <w:color w:val="auto"/>
          <w:sz w:val="36"/>
          <w:szCs w:val="36"/>
        </w:rPr>
      </w:pPr>
    </w:p>
    <w:p w14:paraId="0A173CA4">
      <w:pPr>
        <w:pStyle w:val="105"/>
        <w:outlineLvl w:val="9"/>
        <w:rPr>
          <w:color w:val="auto"/>
        </w:rPr>
      </w:pPr>
      <w:bookmarkStart w:id="0" w:name="_Toc21435"/>
      <w:bookmarkStart w:id="1" w:name="_Toc99301344"/>
      <w:r>
        <w:rPr>
          <w:color w:val="auto"/>
        </w:rPr>
        <w:t>目      录</w:t>
      </w:r>
      <w:bookmarkEnd w:id="0"/>
      <w:bookmarkEnd w:id="1"/>
    </w:p>
    <w:p w14:paraId="594AF1E9">
      <w:pPr>
        <w:rPr>
          <w:color w:val="auto"/>
        </w:rPr>
      </w:pPr>
    </w:p>
    <w:p w14:paraId="078F8B13">
      <w:pPr>
        <w:rPr>
          <w:color w:val="auto"/>
        </w:rPr>
      </w:pPr>
    </w:p>
    <w:p w14:paraId="65B9910F">
      <w:pPr>
        <w:rPr>
          <w:color w:val="auto"/>
        </w:rPr>
      </w:pPr>
    </w:p>
    <w:p w14:paraId="6BF9E66B">
      <w:pPr>
        <w:pStyle w:val="30"/>
        <w:tabs>
          <w:tab w:val="right" w:leader="dot" w:pos="9072"/>
          <w:tab w:val="clear" w:pos="1050"/>
          <w:tab w:val="clear" w:pos="8937"/>
        </w:tabs>
        <w:rPr>
          <w:color w:val="auto"/>
        </w:rPr>
      </w:pPr>
      <w:r>
        <w:rPr>
          <w:rFonts w:ascii="Times New Roman" w:hAnsi="Times New Roman"/>
          <w:b w:val="0"/>
          <w:color w:val="auto"/>
        </w:rPr>
        <w:fldChar w:fldCharType="begin"/>
      </w:r>
      <w:r>
        <w:rPr>
          <w:rFonts w:ascii="Times New Roman" w:hAnsi="Times New Roman"/>
          <w:b w:val="0"/>
          <w:color w:val="auto"/>
        </w:rPr>
        <w:instrText xml:space="preserve"> TOC \o "1-1" \h \z \u </w:instrText>
      </w:r>
      <w:r>
        <w:rPr>
          <w:rFonts w:ascii="Times New Roman" w:hAnsi="Times New Roman"/>
          <w:b w:val="0"/>
          <w:color w:val="auto"/>
        </w:rPr>
        <w:fldChar w:fldCharType="separate"/>
      </w:r>
      <w:r>
        <w:rPr>
          <w:rFonts w:ascii="Times New Roman" w:hAnsi="Times New Roman"/>
          <w:color w:val="auto"/>
        </w:rPr>
        <w:fldChar w:fldCharType="begin"/>
      </w:r>
      <w:r>
        <w:rPr>
          <w:rFonts w:ascii="Times New Roman" w:hAnsi="Times New Roman"/>
          <w:color w:val="auto"/>
        </w:rPr>
        <w:instrText xml:space="preserve"> HYPERLINK \l _Toc6551 </w:instrText>
      </w:r>
      <w:r>
        <w:rPr>
          <w:rFonts w:ascii="Times New Roman" w:hAnsi="Times New Roman"/>
          <w:color w:val="auto"/>
        </w:rPr>
        <w:fldChar w:fldCharType="separate"/>
      </w:r>
      <w:r>
        <w:rPr>
          <w:rFonts w:hint="eastAsia"/>
          <w:color w:val="auto"/>
        </w:rPr>
        <w:t xml:space="preserve">第一章 </w:t>
      </w:r>
      <w:r>
        <w:rPr>
          <w:color w:val="auto"/>
        </w:rPr>
        <w:t>采购邀请</w:t>
      </w:r>
      <w:r>
        <w:rPr>
          <w:color w:val="auto"/>
        </w:rPr>
        <w:tab/>
      </w:r>
      <w:r>
        <w:rPr>
          <w:color w:val="auto"/>
        </w:rPr>
        <w:fldChar w:fldCharType="begin"/>
      </w:r>
      <w:r>
        <w:rPr>
          <w:color w:val="auto"/>
        </w:rPr>
        <w:instrText xml:space="preserve"> PAGEREF _Toc6551 \h </w:instrText>
      </w:r>
      <w:r>
        <w:rPr>
          <w:color w:val="auto"/>
        </w:rPr>
        <w:fldChar w:fldCharType="separate"/>
      </w:r>
      <w:r>
        <w:rPr>
          <w:color w:val="auto"/>
        </w:rPr>
        <w:t>1</w:t>
      </w:r>
      <w:r>
        <w:rPr>
          <w:color w:val="auto"/>
        </w:rPr>
        <w:fldChar w:fldCharType="end"/>
      </w:r>
      <w:r>
        <w:rPr>
          <w:rFonts w:ascii="Times New Roman" w:hAnsi="Times New Roman"/>
          <w:color w:val="auto"/>
        </w:rPr>
        <w:fldChar w:fldCharType="end"/>
      </w:r>
    </w:p>
    <w:p w14:paraId="258308EF">
      <w:pPr>
        <w:pStyle w:val="30"/>
        <w:tabs>
          <w:tab w:val="right" w:leader="dot" w:pos="9072"/>
          <w:tab w:val="clear" w:pos="1050"/>
          <w:tab w:val="clear" w:pos="8937"/>
        </w:tabs>
        <w:rPr>
          <w:color w:val="auto"/>
        </w:rPr>
      </w:pPr>
      <w:r>
        <w:rPr>
          <w:rFonts w:ascii="Times New Roman" w:hAnsi="Times New Roman"/>
          <w:color w:val="auto"/>
        </w:rPr>
        <w:fldChar w:fldCharType="begin"/>
      </w:r>
      <w:r>
        <w:rPr>
          <w:rFonts w:ascii="Times New Roman" w:hAnsi="Times New Roman"/>
          <w:color w:val="auto"/>
        </w:rPr>
        <w:instrText xml:space="preserve"> HYPERLINK \l _Toc4902 </w:instrText>
      </w:r>
      <w:r>
        <w:rPr>
          <w:rFonts w:ascii="Times New Roman" w:hAnsi="Times New Roman"/>
          <w:color w:val="auto"/>
        </w:rPr>
        <w:fldChar w:fldCharType="separate"/>
      </w:r>
      <w:r>
        <w:rPr>
          <w:rFonts w:hint="eastAsia"/>
          <w:color w:val="auto"/>
        </w:rPr>
        <w:t xml:space="preserve">第二章 </w:t>
      </w:r>
      <w:r>
        <w:rPr>
          <w:color w:val="auto"/>
        </w:rPr>
        <w:t>供应商须知</w:t>
      </w:r>
      <w:r>
        <w:rPr>
          <w:color w:val="auto"/>
        </w:rPr>
        <w:tab/>
      </w:r>
      <w:r>
        <w:rPr>
          <w:color w:val="auto"/>
        </w:rPr>
        <w:fldChar w:fldCharType="begin"/>
      </w:r>
      <w:r>
        <w:rPr>
          <w:color w:val="auto"/>
        </w:rPr>
        <w:instrText xml:space="preserve"> PAGEREF _Toc4902 \h </w:instrText>
      </w:r>
      <w:r>
        <w:rPr>
          <w:color w:val="auto"/>
        </w:rPr>
        <w:fldChar w:fldCharType="separate"/>
      </w:r>
      <w:r>
        <w:rPr>
          <w:color w:val="auto"/>
        </w:rPr>
        <w:t>4</w:t>
      </w:r>
      <w:r>
        <w:rPr>
          <w:color w:val="auto"/>
        </w:rPr>
        <w:fldChar w:fldCharType="end"/>
      </w:r>
      <w:r>
        <w:rPr>
          <w:rFonts w:ascii="Times New Roman" w:hAnsi="Times New Roman"/>
          <w:color w:val="auto"/>
        </w:rPr>
        <w:fldChar w:fldCharType="end"/>
      </w:r>
    </w:p>
    <w:p w14:paraId="381D40F8">
      <w:pPr>
        <w:pStyle w:val="30"/>
        <w:tabs>
          <w:tab w:val="right" w:leader="dot" w:pos="9072"/>
          <w:tab w:val="clear" w:pos="1050"/>
          <w:tab w:val="clear" w:pos="8937"/>
        </w:tabs>
        <w:rPr>
          <w:color w:val="auto"/>
        </w:rPr>
      </w:pPr>
      <w:r>
        <w:rPr>
          <w:rFonts w:ascii="Times New Roman" w:hAnsi="Times New Roman"/>
          <w:color w:val="auto"/>
        </w:rPr>
        <w:fldChar w:fldCharType="begin"/>
      </w:r>
      <w:r>
        <w:rPr>
          <w:rFonts w:ascii="Times New Roman" w:hAnsi="Times New Roman"/>
          <w:color w:val="auto"/>
        </w:rPr>
        <w:instrText xml:space="preserve"> HYPERLINK \l _Toc628 </w:instrText>
      </w:r>
      <w:r>
        <w:rPr>
          <w:rFonts w:ascii="Times New Roman" w:hAnsi="Times New Roman"/>
          <w:color w:val="auto"/>
        </w:rPr>
        <w:fldChar w:fldCharType="separate"/>
      </w:r>
      <w:r>
        <w:rPr>
          <w:color w:val="auto"/>
        </w:rPr>
        <w:t>供应商须知</w:t>
      </w:r>
      <w:r>
        <w:rPr>
          <w:color w:val="auto"/>
        </w:rPr>
        <w:tab/>
      </w:r>
      <w:r>
        <w:rPr>
          <w:color w:val="auto"/>
        </w:rPr>
        <w:fldChar w:fldCharType="begin"/>
      </w:r>
      <w:r>
        <w:rPr>
          <w:color w:val="auto"/>
        </w:rPr>
        <w:instrText xml:space="preserve"> PAGEREF _Toc628 \h </w:instrText>
      </w:r>
      <w:r>
        <w:rPr>
          <w:color w:val="auto"/>
        </w:rPr>
        <w:fldChar w:fldCharType="separate"/>
      </w:r>
      <w:r>
        <w:rPr>
          <w:color w:val="auto"/>
        </w:rPr>
        <w:t>6</w:t>
      </w:r>
      <w:r>
        <w:rPr>
          <w:color w:val="auto"/>
        </w:rPr>
        <w:fldChar w:fldCharType="end"/>
      </w:r>
      <w:r>
        <w:rPr>
          <w:rFonts w:ascii="Times New Roman" w:hAnsi="Times New Roman"/>
          <w:color w:val="auto"/>
        </w:rPr>
        <w:fldChar w:fldCharType="end"/>
      </w:r>
    </w:p>
    <w:p w14:paraId="2ABD5E6E">
      <w:pPr>
        <w:pStyle w:val="30"/>
        <w:tabs>
          <w:tab w:val="right" w:leader="dot" w:pos="9072"/>
          <w:tab w:val="clear" w:pos="1050"/>
          <w:tab w:val="clear" w:pos="8937"/>
        </w:tabs>
        <w:rPr>
          <w:color w:val="auto"/>
        </w:rPr>
      </w:pPr>
      <w:r>
        <w:rPr>
          <w:rFonts w:ascii="Times New Roman" w:hAnsi="Times New Roman"/>
          <w:color w:val="auto"/>
        </w:rPr>
        <w:fldChar w:fldCharType="begin"/>
      </w:r>
      <w:r>
        <w:rPr>
          <w:rFonts w:ascii="Times New Roman" w:hAnsi="Times New Roman"/>
          <w:color w:val="auto"/>
        </w:rPr>
        <w:instrText xml:space="preserve"> HYPERLINK \l _Toc6218 </w:instrText>
      </w:r>
      <w:r>
        <w:rPr>
          <w:rFonts w:ascii="Times New Roman" w:hAnsi="Times New Roman"/>
          <w:color w:val="auto"/>
        </w:rPr>
        <w:fldChar w:fldCharType="separate"/>
      </w:r>
      <w:r>
        <w:rPr>
          <w:rFonts w:hint="eastAsia"/>
          <w:color w:val="auto"/>
        </w:rPr>
        <w:t xml:space="preserve">第三章 </w:t>
      </w:r>
      <w:r>
        <w:rPr>
          <w:color w:val="auto"/>
        </w:rPr>
        <w:t>评审程序和评定成交的标准</w:t>
      </w:r>
      <w:r>
        <w:rPr>
          <w:color w:val="auto"/>
        </w:rPr>
        <w:tab/>
      </w:r>
      <w:r>
        <w:rPr>
          <w:color w:val="auto"/>
        </w:rPr>
        <w:fldChar w:fldCharType="begin"/>
      </w:r>
      <w:r>
        <w:rPr>
          <w:color w:val="auto"/>
        </w:rPr>
        <w:instrText xml:space="preserve"> PAGEREF _Toc6218 \h </w:instrText>
      </w:r>
      <w:r>
        <w:rPr>
          <w:color w:val="auto"/>
        </w:rPr>
        <w:fldChar w:fldCharType="separate"/>
      </w:r>
      <w:r>
        <w:rPr>
          <w:color w:val="auto"/>
        </w:rPr>
        <w:t>18</w:t>
      </w:r>
      <w:r>
        <w:rPr>
          <w:color w:val="auto"/>
        </w:rPr>
        <w:fldChar w:fldCharType="end"/>
      </w:r>
      <w:r>
        <w:rPr>
          <w:rFonts w:ascii="Times New Roman" w:hAnsi="Times New Roman"/>
          <w:color w:val="auto"/>
        </w:rPr>
        <w:fldChar w:fldCharType="end"/>
      </w:r>
    </w:p>
    <w:p w14:paraId="2F9F3F44">
      <w:pPr>
        <w:pStyle w:val="30"/>
        <w:tabs>
          <w:tab w:val="right" w:leader="dot" w:pos="9072"/>
          <w:tab w:val="clear" w:pos="1050"/>
          <w:tab w:val="clear" w:pos="8937"/>
        </w:tabs>
        <w:rPr>
          <w:color w:val="auto"/>
        </w:rPr>
      </w:pPr>
      <w:r>
        <w:rPr>
          <w:rFonts w:ascii="Times New Roman" w:hAnsi="Times New Roman"/>
          <w:color w:val="auto"/>
        </w:rPr>
        <w:fldChar w:fldCharType="begin"/>
      </w:r>
      <w:r>
        <w:rPr>
          <w:rFonts w:ascii="Times New Roman" w:hAnsi="Times New Roman"/>
          <w:color w:val="auto"/>
        </w:rPr>
        <w:instrText xml:space="preserve"> HYPERLINK \l _Toc1141 </w:instrText>
      </w:r>
      <w:r>
        <w:rPr>
          <w:rFonts w:ascii="Times New Roman" w:hAnsi="Times New Roman"/>
          <w:color w:val="auto"/>
        </w:rPr>
        <w:fldChar w:fldCharType="separate"/>
      </w:r>
      <w:r>
        <w:rPr>
          <w:rFonts w:hint="eastAsia"/>
          <w:color w:val="auto"/>
        </w:rPr>
        <w:t xml:space="preserve">第四章 </w:t>
      </w:r>
      <w:r>
        <w:rPr>
          <w:color w:val="auto"/>
        </w:rPr>
        <w:t>采购需求</w:t>
      </w:r>
      <w:r>
        <w:rPr>
          <w:color w:val="auto"/>
        </w:rPr>
        <w:tab/>
      </w:r>
      <w:r>
        <w:rPr>
          <w:color w:val="auto"/>
        </w:rPr>
        <w:fldChar w:fldCharType="begin"/>
      </w:r>
      <w:r>
        <w:rPr>
          <w:color w:val="auto"/>
        </w:rPr>
        <w:instrText xml:space="preserve"> PAGEREF _Toc1141 \h </w:instrText>
      </w:r>
      <w:r>
        <w:rPr>
          <w:color w:val="auto"/>
        </w:rPr>
        <w:fldChar w:fldCharType="separate"/>
      </w:r>
      <w:r>
        <w:rPr>
          <w:color w:val="auto"/>
        </w:rPr>
        <w:t>25</w:t>
      </w:r>
      <w:r>
        <w:rPr>
          <w:color w:val="auto"/>
        </w:rPr>
        <w:fldChar w:fldCharType="end"/>
      </w:r>
      <w:r>
        <w:rPr>
          <w:rFonts w:ascii="Times New Roman" w:hAnsi="Times New Roman"/>
          <w:color w:val="auto"/>
        </w:rPr>
        <w:fldChar w:fldCharType="end"/>
      </w:r>
    </w:p>
    <w:p w14:paraId="2F2A9CD8">
      <w:pPr>
        <w:pStyle w:val="30"/>
        <w:tabs>
          <w:tab w:val="right" w:leader="dot" w:pos="9072"/>
          <w:tab w:val="clear" w:pos="1050"/>
          <w:tab w:val="clear" w:pos="8937"/>
        </w:tabs>
        <w:rPr>
          <w:color w:val="auto"/>
        </w:rPr>
      </w:pPr>
      <w:r>
        <w:rPr>
          <w:rFonts w:ascii="Times New Roman" w:hAnsi="Times New Roman"/>
          <w:color w:val="auto"/>
        </w:rPr>
        <w:fldChar w:fldCharType="begin"/>
      </w:r>
      <w:r>
        <w:rPr>
          <w:rFonts w:ascii="Times New Roman" w:hAnsi="Times New Roman"/>
          <w:color w:val="auto"/>
        </w:rPr>
        <w:instrText xml:space="preserve"> HYPERLINK \l _Toc27681 </w:instrText>
      </w:r>
      <w:r>
        <w:rPr>
          <w:rFonts w:ascii="Times New Roman" w:hAnsi="Times New Roman"/>
          <w:color w:val="auto"/>
        </w:rPr>
        <w:fldChar w:fldCharType="separate"/>
      </w:r>
      <w:r>
        <w:rPr>
          <w:rFonts w:hint="eastAsia"/>
          <w:color w:val="auto"/>
        </w:rPr>
        <w:t xml:space="preserve">第五章 </w:t>
      </w:r>
      <w:r>
        <w:rPr>
          <w:color w:val="auto"/>
        </w:rPr>
        <w:t>拟签订的合同文本</w:t>
      </w:r>
      <w:r>
        <w:rPr>
          <w:color w:val="auto"/>
        </w:rPr>
        <w:tab/>
      </w:r>
      <w:r>
        <w:rPr>
          <w:color w:val="auto"/>
        </w:rPr>
        <w:fldChar w:fldCharType="begin"/>
      </w:r>
      <w:r>
        <w:rPr>
          <w:color w:val="auto"/>
        </w:rPr>
        <w:instrText xml:space="preserve"> PAGEREF _Toc27681 \h </w:instrText>
      </w:r>
      <w:r>
        <w:rPr>
          <w:color w:val="auto"/>
        </w:rPr>
        <w:fldChar w:fldCharType="separate"/>
      </w:r>
      <w:r>
        <w:rPr>
          <w:color w:val="auto"/>
        </w:rPr>
        <w:t>46</w:t>
      </w:r>
      <w:r>
        <w:rPr>
          <w:color w:val="auto"/>
        </w:rPr>
        <w:fldChar w:fldCharType="end"/>
      </w:r>
      <w:r>
        <w:rPr>
          <w:rFonts w:ascii="Times New Roman" w:hAnsi="Times New Roman"/>
          <w:color w:val="auto"/>
        </w:rPr>
        <w:fldChar w:fldCharType="end"/>
      </w:r>
    </w:p>
    <w:p w14:paraId="4C210556">
      <w:pPr>
        <w:pStyle w:val="30"/>
        <w:tabs>
          <w:tab w:val="right" w:leader="dot" w:pos="9072"/>
          <w:tab w:val="clear" w:pos="1050"/>
          <w:tab w:val="clear" w:pos="8937"/>
        </w:tabs>
        <w:rPr>
          <w:color w:val="auto"/>
        </w:rPr>
      </w:pPr>
      <w:r>
        <w:rPr>
          <w:rFonts w:ascii="Times New Roman" w:hAnsi="Times New Roman"/>
          <w:color w:val="auto"/>
        </w:rPr>
        <w:fldChar w:fldCharType="begin"/>
      </w:r>
      <w:r>
        <w:rPr>
          <w:rFonts w:ascii="Times New Roman" w:hAnsi="Times New Roman"/>
          <w:color w:val="auto"/>
        </w:rPr>
        <w:instrText xml:space="preserve"> HYPERLINK \l _Toc20741 </w:instrText>
      </w:r>
      <w:r>
        <w:rPr>
          <w:rFonts w:ascii="Times New Roman" w:hAnsi="Times New Roman"/>
          <w:color w:val="auto"/>
        </w:rPr>
        <w:fldChar w:fldCharType="separate"/>
      </w:r>
      <w:r>
        <w:rPr>
          <w:rFonts w:hint="eastAsia"/>
          <w:color w:val="auto"/>
        </w:rPr>
        <w:t xml:space="preserve">第六章 </w:t>
      </w:r>
      <w:r>
        <w:rPr>
          <w:color w:val="auto"/>
        </w:rPr>
        <w:t>响应文件格式</w:t>
      </w:r>
      <w:r>
        <w:rPr>
          <w:color w:val="auto"/>
        </w:rPr>
        <w:tab/>
      </w:r>
      <w:r>
        <w:rPr>
          <w:color w:val="auto"/>
        </w:rPr>
        <w:fldChar w:fldCharType="begin"/>
      </w:r>
      <w:r>
        <w:rPr>
          <w:color w:val="auto"/>
        </w:rPr>
        <w:instrText xml:space="preserve"> PAGEREF _Toc20741 \h </w:instrText>
      </w:r>
      <w:r>
        <w:rPr>
          <w:color w:val="auto"/>
        </w:rPr>
        <w:fldChar w:fldCharType="separate"/>
      </w:r>
      <w:r>
        <w:rPr>
          <w:color w:val="auto"/>
        </w:rPr>
        <w:t>50</w:t>
      </w:r>
      <w:r>
        <w:rPr>
          <w:color w:val="auto"/>
        </w:rPr>
        <w:fldChar w:fldCharType="end"/>
      </w:r>
      <w:r>
        <w:rPr>
          <w:rFonts w:ascii="Times New Roman" w:hAnsi="Times New Roman"/>
          <w:color w:val="auto"/>
        </w:rPr>
        <w:fldChar w:fldCharType="end"/>
      </w:r>
    </w:p>
    <w:p w14:paraId="1006E2CF">
      <w:pPr>
        <w:pStyle w:val="30"/>
        <w:tabs>
          <w:tab w:val="right" w:leader="dot" w:pos="9072"/>
          <w:tab w:val="clear" w:pos="1050"/>
          <w:tab w:val="clear" w:pos="8937"/>
        </w:tabs>
        <w:rPr>
          <w:color w:val="auto"/>
        </w:rPr>
      </w:pPr>
      <w:r>
        <w:rPr>
          <w:rFonts w:ascii="Times New Roman" w:hAnsi="Times New Roman"/>
          <w:color w:val="auto"/>
        </w:rPr>
        <w:fldChar w:fldCharType="begin"/>
      </w:r>
      <w:r>
        <w:rPr>
          <w:rFonts w:ascii="Times New Roman" w:hAnsi="Times New Roman"/>
          <w:color w:val="auto"/>
        </w:rPr>
        <w:instrText xml:space="preserve"> HYPERLINK \l _Toc11602 </w:instrText>
      </w:r>
      <w:r>
        <w:rPr>
          <w:rFonts w:ascii="Times New Roman" w:hAnsi="Times New Roman"/>
          <w:color w:val="auto"/>
        </w:rPr>
        <w:fldChar w:fldCharType="separate"/>
      </w:r>
      <w:r>
        <w:rPr>
          <w:color w:val="auto"/>
        </w:rPr>
        <w:t>供应商编制文件须知</w:t>
      </w:r>
      <w:r>
        <w:rPr>
          <w:color w:val="auto"/>
        </w:rPr>
        <w:tab/>
      </w:r>
      <w:r>
        <w:rPr>
          <w:color w:val="auto"/>
        </w:rPr>
        <w:fldChar w:fldCharType="begin"/>
      </w:r>
      <w:r>
        <w:rPr>
          <w:color w:val="auto"/>
        </w:rPr>
        <w:instrText xml:space="preserve"> PAGEREF _Toc11602 \h </w:instrText>
      </w:r>
      <w:r>
        <w:rPr>
          <w:color w:val="auto"/>
        </w:rPr>
        <w:fldChar w:fldCharType="separate"/>
      </w:r>
      <w:r>
        <w:rPr>
          <w:color w:val="auto"/>
        </w:rPr>
        <w:t>51</w:t>
      </w:r>
      <w:r>
        <w:rPr>
          <w:color w:val="auto"/>
        </w:rPr>
        <w:fldChar w:fldCharType="end"/>
      </w:r>
      <w:r>
        <w:rPr>
          <w:rFonts w:ascii="Times New Roman" w:hAnsi="Times New Roman"/>
          <w:color w:val="auto"/>
        </w:rPr>
        <w:fldChar w:fldCharType="end"/>
      </w:r>
    </w:p>
    <w:p w14:paraId="174A6C00">
      <w:pPr>
        <w:pStyle w:val="30"/>
        <w:tabs>
          <w:tab w:val="right" w:leader="dot" w:pos="9072"/>
          <w:tab w:val="clear" w:pos="1050"/>
          <w:tab w:val="clear" w:pos="8937"/>
        </w:tabs>
        <w:rPr>
          <w:color w:val="auto"/>
        </w:rPr>
      </w:pPr>
      <w:r>
        <w:rPr>
          <w:rFonts w:ascii="Times New Roman" w:hAnsi="Times New Roman"/>
          <w:color w:val="auto"/>
        </w:rPr>
        <w:fldChar w:fldCharType="begin"/>
      </w:r>
      <w:r>
        <w:rPr>
          <w:rFonts w:ascii="Times New Roman" w:hAnsi="Times New Roman"/>
          <w:color w:val="auto"/>
        </w:rPr>
        <w:instrText xml:space="preserve"> HYPERLINK \l _Toc7025 </w:instrText>
      </w:r>
      <w:r>
        <w:rPr>
          <w:rFonts w:ascii="Times New Roman" w:hAnsi="Times New Roman"/>
          <w:color w:val="auto"/>
        </w:rPr>
        <w:fldChar w:fldCharType="separate"/>
      </w:r>
      <w:r>
        <w:rPr>
          <w:color w:val="auto"/>
        </w:rPr>
        <w:t>响应文件封面（非实质性格式）</w:t>
      </w:r>
      <w:r>
        <w:rPr>
          <w:color w:val="auto"/>
        </w:rPr>
        <w:tab/>
      </w:r>
      <w:r>
        <w:rPr>
          <w:color w:val="auto"/>
        </w:rPr>
        <w:fldChar w:fldCharType="begin"/>
      </w:r>
      <w:r>
        <w:rPr>
          <w:color w:val="auto"/>
        </w:rPr>
        <w:instrText xml:space="preserve"> PAGEREF _Toc7025 \h </w:instrText>
      </w:r>
      <w:r>
        <w:rPr>
          <w:color w:val="auto"/>
        </w:rPr>
        <w:fldChar w:fldCharType="separate"/>
      </w:r>
      <w:r>
        <w:rPr>
          <w:color w:val="auto"/>
        </w:rPr>
        <w:t>52</w:t>
      </w:r>
      <w:r>
        <w:rPr>
          <w:color w:val="auto"/>
        </w:rPr>
        <w:fldChar w:fldCharType="end"/>
      </w:r>
      <w:r>
        <w:rPr>
          <w:rFonts w:ascii="Times New Roman" w:hAnsi="Times New Roman"/>
          <w:color w:val="auto"/>
        </w:rPr>
        <w:fldChar w:fldCharType="end"/>
      </w:r>
    </w:p>
    <w:p w14:paraId="346257D5">
      <w:pPr>
        <w:pStyle w:val="30"/>
        <w:tabs>
          <w:tab w:val="right" w:leader="dot" w:pos="9072"/>
          <w:tab w:val="clear" w:pos="1050"/>
          <w:tab w:val="clear" w:pos="8937"/>
        </w:tabs>
        <w:rPr>
          <w:color w:val="auto"/>
        </w:rPr>
      </w:pPr>
      <w:r>
        <w:rPr>
          <w:rFonts w:ascii="Times New Roman" w:hAnsi="Times New Roman"/>
          <w:color w:val="auto"/>
        </w:rPr>
        <w:fldChar w:fldCharType="begin"/>
      </w:r>
      <w:r>
        <w:rPr>
          <w:rFonts w:ascii="Times New Roman" w:hAnsi="Times New Roman"/>
          <w:color w:val="auto"/>
        </w:rPr>
        <w:instrText xml:space="preserve"> HYPERLINK \l _Toc7216 </w:instrText>
      </w:r>
      <w:r>
        <w:rPr>
          <w:rFonts w:ascii="Times New Roman" w:hAnsi="Times New Roman"/>
          <w:color w:val="auto"/>
        </w:rPr>
        <w:fldChar w:fldCharType="separate"/>
      </w:r>
      <w:r>
        <w:rPr>
          <w:rFonts w:hint="eastAsia"/>
          <w:color w:val="auto"/>
        </w:rPr>
        <w:t xml:space="preserve">一、 </w:t>
      </w:r>
      <w:r>
        <w:rPr>
          <w:color w:val="auto"/>
        </w:rPr>
        <w:t>资格证明文件</w:t>
      </w:r>
      <w:r>
        <w:rPr>
          <w:color w:val="auto"/>
        </w:rPr>
        <w:tab/>
      </w:r>
      <w:r>
        <w:rPr>
          <w:color w:val="auto"/>
        </w:rPr>
        <w:fldChar w:fldCharType="begin"/>
      </w:r>
      <w:r>
        <w:rPr>
          <w:color w:val="auto"/>
        </w:rPr>
        <w:instrText xml:space="preserve"> PAGEREF _Toc7216 \h </w:instrText>
      </w:r>
      <w:r>
        <w:rPr>
          <w:color w:val="auto"/>
        </w:rPr>
        <w:fldChar w:fldCharType="separate"/>
      </w:r>
      <w:r>
        <w:rPr>
          <w:color w:val="auto"/>
        </w:rPr>
        <w:t>53</w:t>
      </w:r>
      <w:r>
        <w:rPr>
          <w:color w:val="auto"/>
        </w:rPr>
        <w:fldChar w:fldCharType="end"/>
      </w:r>
      <w:r>
        <w:rPr>
          <w:rFonts w:ascii="Times New Roman" w:hAnsi="Times New Roman"/>
          <w:color w:val="auto"/>
        </w:rPr>
        <w:fldChar w:fldCharType="end"/>
      </w:r>
    </w:p>
    <w:p w14:paraId="383B083A">
      <w:pPr>
        <w:pStyle w:val="30"/>
        <w:tabs>
          <w:tab w:val="right" w:leader="dot" w:pos="9072"/>
          <w:tab w:val="clear" w:pos="1050"/>
          <w:tab w:val="clear" w:pos="8937"/>
        </w:tabs>
        <w:rPr>
          <w:color w:val="auto"/>
        </w:rPr>
      </w:pPr>
      <w:r>
        <w:rPr>
          <w:rFonts w:ascii="Times New Roman" w:hAnsi="Times New Roman"/>
          <w:color w:val="auto"/>
        </w:rPr>
        <w:fldChar w:fldCharType="begin"/>
      </w:r>
      <w:r>
        <w:rPr>
          <w:rFonts w:ascii="Times New Roman" w:hAnsi="Times New Roman"/>
          <w:color w:val="auto"/>
        </w:rPr>
        <w:instrText xml:space="preserve"> HYPERLINK \l _Toc31765 </w:instrText>
      </w:r>
      <w:r>
        <w:rPr>
          <w:rFonts w:ascii="Times New Roman" w:hAnsi="Times New Roman"/>
          <w:color w:val="auto"/>
        </w:rPr>
        <w:fldChar w:fldCharType="separate"/>
      </w:r>
      <w:r>
        <w:rPr>
          <w:color w:val="auto"/>
        </w:rPr>
        <w:t>二、中小企业声明函</w:t>
      </w:r>
      <w:r>
        <w:rPr>
          <w:color w:val="auto"/>
        </w:rPr>
        <w:tab/>
      </w:r>
      <w:r>
        <w:rPr>
          <w:color w:val="auto"/>
        </w:rPr>
        <w:fldChar w:fldCharType="begin"/>
      </w:r>
      <w:r>
        <w:rPr>
          <w:color w:val="auto"/>
        </w:rPr>
        <w:instrText xml:space="preserve"> PAGEREF _Toc31765 \h </w:instrText>
      </w:r>
      <w:r>
        <w:rPr>
          <w:color w:val="auto"/>
        </w:rPr>
        <w:fldChar w:fldCharType="separate"/>
      </w:r>
      <w:r>
        <w:rPr>
          <w:color w:val="auto"/>
        </w:rPr>
        <w:t>58</w:t>
      </w:r>
      <w:r>
        <w:rPr>
          <w:color w:val="auto"/>
        </w:rPr>
        <w:fldChar w:fldCharType="end"/>
      </w:r>
      <w:r>
        <w:rPr>
          <w:rFonts w:ascii="Times New Roman" w:hAnsi="Times New Roman"/>
          <w:color w:val="auto"/>
        </w:rPr>
        <w:fldChar w:fldCharType="end"/>
      </w:r>
    </w:p>
    <w:p w14:paraId="5364A40C">
      <w:pPr>
        <w:pStyle w:val="30"/>
        <w:tabs>
          <w:tab w:val="right" w:leader="dot" w:pos="9072"/>
          <w:tab w:val="clear" w:pos="1050"/>
          <w:tab w:val="clear" w:pos="8937"/>
        </w:tabs>
        <w:rPr>
          <w:color w:val="auto"/>
        </w:rPr>
      </w:pPr>
      <w:r>
        <w:rPr>
          <w:rFonts w:ascii="Times New Roman" w:hAnsi="Times New Roman"/>
          <w:color w:val="auto"/>
        </w:rPr>
        <w:fldChar w:fldCharType="begin"/>
      </w:r>
      <w:r>
        <w:rPr>
          <w:rFonts w:ascii="Times New Roman" w:hAnsi="Times New Roman"/>
          <w:color w:val="auto"/>
        </w:rPr>
        <w:instrText xml:space="preserve"> HYPERLINK \l _Toc11185 </w:instrText>
      </w:r>
      <w:r>
        <w:rPr>
          <w:rFonts w:ascii="Times New Roman" w:hAnsi="Times New Roman"/>
          <w:color w:val="auto"/>
        </w:rPr>
        <w:fldChar w:fldCharType="separate"/>
      </w:r>
      <w:r>
        <w:rPr>
          <w:color w:val="auto"/>
        </w:rPr>
        <w:t>三、商务技术文件格式</w:t>
      </w:r>
      <w:r>
        <w:rPr>
          <w:color w:val="auto"/>
        </w:rPr>
        <w:tab/>
      </w:r>
      <w:r>
        <w:rPr>
          <w:color w:val="auto"/>
        </w:rPr>
        <w:fldChar w:fldCharType="begin"/>
      </w:r>
      <w:r>
        <w:rPr>
          <w:color w:val="auto"/>
        </w:rPr>
        <w:instrText xml:space="preserve"> PAGEREF _Toc11185 \h </w:instrText>
      </w:r>
      <w:r>
        <w:rPr>
          <w:color w:val="auto"/>
        </w:rPr>
        <w:fldChar w:fldCharType="separate"/>
      </w:r>
      <w:r>
        <w:rPr>
          <w:color w:val="auto"/>
        </w:rPr>
        <w:t>60</w:t>
      </w:r>
      <w:r>
        <w:rPr>
          <w:color w:val="auto"/>
        </w:rPr>
        <w:fldChar w:fldCharType="end"/>
      </w:r>
      <w:r>
        <w:rPr>
          <w:rFonts w:ascii="Times New Roman" w:hAnsi="Times New Roman"/>
          <w:color w:val="auto"/>
        </w:rPr>
        <w:fldChar w:fldCharType="end"/>
      </w:r>
    </w:p>
    <w:p w14:paraId="53F4B689">
      <w:pPr>
        <w:pStyle w:val="30"/>
        <w:tabs>
          <w:tab w:val="right" w:leader="dot" w:pos="9072"/>
          <w:tab w:val="clear" w:pos="1050"/>
          <w:tab w:val="clear" w:pos="8937"/>
        </w:tabs>
        <w:rPr>
          <w:color w:val="auto"/>
        </w:rPr>
      </w:pPr>
      <w:r>
        <w:rPr>
          <w:rFonts w:ascii="Times New Roman" w:hAnsi="Times New Roman"/>
          <w:color w:val="auto"/>
        </w:rPr>
        <w:fldChar w:fldCharType="begin"/>
      </w:r>
      <w:r>
        <w:rPr>
          <w:rFonts w:ascii="Times New Roman" w:hAnsi="Times New Roman"/>
          <w:color w:val="auto"/>
        </w:rPr>
        <w:instrText xml:space="preserve"> HYPERLINK \l _Toc3564 </w:instrText>
      </w:r>
      <w:r>
        <w:rPr>
          <w:rFonts w:ascii="Times New Roman" w:hAnsi="Times New Roman"/>
          <w:color w:val="auto"/>
        </w:rPr>
        <w:fldChar w:fldCharType="separate"/>
      </w:r>
      <w:r>
        <w:rPr>
          <w:color w:val="auto"/>
        </w:rPr>
        <w:t>法定代表人资格证明书</w:t>
      </w:r>
      <w:r>
        <w:rPr>
          <w:color w:val="auto"/>
        </w:rPr>
        <w:tab/>
      </w:r>
      <w:r>
        <w:rPr>
          <w:color w:val="auto"/>
        </w:rPr>
        <w:fldChar w:fldCharType="begin"/>
      </w:r>
      <w:r>
        <w:rPr>
          <w:color w:val="auto"/>
        </w:rPr>
        <w:instrText xml:space="preserve"> PAGEREF _Toc3564 \h </w:instrText>
      </w:r>
      <w:r>
        <w:rPr>
          <w:color w:val="auto"/>
        </w:rPr>
        <w:fldChar w:fldCharType="separate"/>
      </w:r>
      <w:r>
        <w:rPr>
          <w:color w:val="auto"/>
        </w:rPr>
        <w:t>62</w:t>
      </w:r>
      <w:r>
        <w:rPr>
          <w:color w:val="auto"/>
        </w:rPr>
        <w:fldChar w:fldCharType="end"/>
      </w:r>
      <w:r>
        <w:rPr>
          <w:rFonts w:ascii="Times New Roman" w:hAnsi="Times New Roman"/>
          <w:color w:val="auto"/>
        </w:rPr>
        <w:fldChar w:fldCharType="end"/>
      </w:r>
    </w:p>
    <w:p w14:paraId="31877D7F">
      <w:pPr>
        <w:pStyle w:val="30"/>
        <w:spacing w:line="480" w:lineRule="auto"/>
        <w:rPr>
          <w:rFonts w:ascii="Times New Roman" w:hAnsi="Times New Roman"/>
          <w:b w:val="0"/>
          <w:color w:val="auto"/>
        </w:rPr>
      </w:pPr>
      <w:r>
        <w:rPr>
          <w:rFonts w:ascii="Times New Roman" w:hAnsi="Times New Roman"/>
          <w:color w:val="auto"/>
        </w:rPr>
        <w:fldChar w:fldCharType="end"/>
      </w:r>
    </w:p>
    <w:p w14:paraId="1BCCC948">
      <w:pPr>
        <w:widowControl/>
        <w:jc w:val="left"/>
        <w:rPr>
          <w:b/>
          <w:color w:val="auto"/>
          <w:sz w:val="36"/>
          <w:szCs w:val="36"/>
        </w:rPr>
        <w:sectPr>
          <w:footerReference r:id="rId4" w:type="first"/>
          <w:headerReference r:id="rId3" w:type="default"/>
          <w:pgSz w:w="11907" w:h="16840"/>
          <w:pgMar w:top="1418" w:right="1134" w:bottom="1418" w:left="1701" w:header="851" w:footer="851" w:gutter="0"/>
          <w:pgBorders>
            <w:top w:val="none" w:sz="0" w:space="0"/>
            <w:left w:val="none" w:sz="0" w:space="0"/>
            <w:bottom w:val="none" w:sz="0" w:space="0"/>
            <w:right w:val="none" w:sz="0" w:space="0"/>
          </w:pgBorders>
          <w:pgNumType w:start="1"/>
          <w:cols w:space="720" w:num="1"/>
          <w:docGrid w:linePitch="462" w:charSpace="0"/>
        </w:sectPr>
      </w:pPr>
    </w:p>
    <w:p w14:paraId="2094A2CC">
      <w:pPr>
        <w:pStyle w:val="2"/>
        <w:numPr>
          <w:ilvl w:val="0"/>
          <w:numId w:val="8"/>
        </w:numPr>
        <w:ind w:left="0" w:leftChars="0" w:firstLine="0" w:firstLineChars="0"/>
        <w:jc w:val="center"/>
        <w:rPr>
          <w:b w:val="0"/>
          <w:color w:val="auto"/>
          <w:sz w:val="44"/>
          <w:szCs w:val="44"/>
        </w:rPr>
      </w:pPr>
      <w:bookmarkStart w:id="2" w:name="_Toc6551"/>
      <w:r>
        <w:rPr>
          <w:color w:val="auto"/>
          <w:sz w:val="44"/>
          <w:szCs w:val="44"/>
        </w:rPr>
        <w:t>采购邀请</w:t>
      </w:r>
      <w:bookmarkEnd w:id="2"/>
    </w:p>
    <w:p w14:paraId="58E9C636">
      <w:pPr>
        <w:spacing w:line="360" w:lineRule="auto"/>
        <w:ind w:firstLine="480"/>
        <w:rPr>
          <w:rFonts w:hint="eastAsia" w:ascii="宋体" w:hAnsi="宋体"/>
          <w:color w:val="auto"/>
          <w:sz w:val="24"/>
          <w:szCs w:val="24"/>
        </w:rPr>
      </w:pPr>
      <w:bookmarkStart w:id="3" w:name="_Toc35393790"/>
      <w:bookmarkStart w:id="4" w:name="_Toc28359079"/>
      <w:bookmarkStart w:id="5" w:name="_Toc28359002"/>
      <w:bookmarkStart w:id="6" w:name="_Toc35393621"/>
      <w:bookmarkStart w:id="7" w:name="_Hlk24379207"/>
      <w:r>
        <w:rPr>
          <w:rFonts w:hint="eastAsia" w:ascii="宋体" w:hAnsi="宋体"/>
          <w:color w:val="auto"/>
          <w:sz w:val="24"/>
          <w:szCs w:val="24"/>
        </w:rPr>
        <w:t>受</w:t>
      </w:r>
      <w:r>
        <w:rPr>
          <w:rFonts w:hint="eastAsia" w:ascii="宋体" w:hAnsi="宋体"/>
          <w:color w:val="auto"/>
          <w:sz w:val="24"/>
          <w:szCs w:val="24"/>
          <w:lang w:eastAsia="zh-CN"/>
        </w:rPr>
        <w:t>［</w:t>
      </w:r>
      <w:r>
        <w:rPr>
          <w:rFonts w:hint="eastAsia" w:ascii="宋体" w:hAnsi="宋体"/>
          <w:color w:val="auto"/>
          <w:sz w:val="24"/>
          <w:szCs w:val="24"/>
          <w:lang w:val="en-US" w:eastAsia="zh-CN"/>
        </w:rPr>
        <w:t>常州市北郊高级中学、常州市田家炳高级中学、常州市第二十四中学、常州市实验初级中学、常州市花园中学</w:t>
      </w:r>
      <w:r>
        <w:rPr>
          <w:rFonts w:hint="eastAsia" w:ascii="宋体" w:hAnsi="宋体"/>
          <w:color w:val="auto"/>
          <w:sz w:val="24"/>
          <w:szCs w:val="24"/>
          <w:lang w:eastAsia="zh-CN"/>
        </w:rPr>
        <w:t>］</w:t>
      </w:r>
      <w:r>
        <w:rPr>
          <w:rFonts w:hint="eastAsia" w:ascii="宋体" w:hAnsi="宋体"/>
          <w:color w:val="auto"/>
          <w:sz w:val="24"/>
          <w:szCs w:val="24"/>
        </w:rPr>
        <w:t>的</w:t>
      </w:r>
      <w:r>
        <w:rPr>
          <w:rFonts w:hint="eastAsia" w:ascii="宋体" w:hAnsi="宋体"/>
          <w:color w:val="auto"/>
          <w:sz w:val="24"/>
          <w:szCs w:val="24"/>
          <w:lang w:val="en-US" w:eastAsia="zh-CN"/>
        </w:rPr>
        <w:t>共同</w:t>
      </w:r>
      <w:r>
        <w:rPr>
          <w:rFonts w:hint="eastAsia" w:ascii="宋体" w:hAnsi="宋体"/>
          <w:color w:val="auto"/>
          <w:sz w:val="24"/>
          <w:szCs w:val="24"/>
        </w:rPr>
        <w:t>委托，常州市</w:t>
      </w:r>
      <w:r>
        <w:rPr>
          <w:rFonts w:hint="eastAsia" w:ascii="宋体" w:hAnsi="宋体"/>
          <w:color w:val="auto"/>
          <w:sz w:val="24"/>
          <w:szCs w:val="24"/>
          <w:lang w:val="en-US" w:eastAsia="zh-CN"/>
        </w:rPr>
        <w:t>教育基本建设与装备管理中心（采购代理机构）</w:t>
      </w:r>
      <w:r>
        <w:rPr>
          <w:rFonts w:hint="eastAsia" w:ascii="宋体" w:hAnsi="宋体"/>
          <w:color w:val="auto"/>
          <w:sz w:val="24"/>
          <w:szCs w:val="24"/>
        </w:rPr>
        <w:t>就</w:t>
      </w:r>
      <w:r>
        <w:rPr>
          <w:rFonts w:hint="eastAsia" w:ascii="宋体" w:hAnsi="宋体"/>
          <w:color w:val="auto"/>
          <w:sz w:val="24"/>
          <w:szCs w:val="24"/>
          <w:lang w:eastAsia="zh-CN"/>
        </w:rPr>
        <w:t>［</w:t>
      </w:r>
      <w:r>
        <w:rPr>
          <w:rFonts w:hint="eastAsia" w:ascii="宋体" w:hAnsi="宋体"/>
          <w:color w:val="auto"/>
          <w:sz w:val="24"/>
          <w:szCs w:val="24"/>
          <w:lang w:val="en-US" w:eastAsia="zh-CN"/>
        </w:rPr>
        <w:t>常州市第二十四中学等校安防设备采购及安装</w:t>
      </w:r>
      <w:r>
        <w:rPr>
          <w:rFonts w:hint="eastAsia" w:ascii="宋体" w:hAnsi="宋体"/>
          <w:color w:val="auto"/>
          <w:sz w:val="24"/>
          <w:szCs w:val="24"/>
          <w:lang w:eastAsia="zh-CN"/>
        </w:rPr>
        <w:t>］</w:t>
      </w:r>
      <w:r>
        <w:rPr>
          <w:rFonts w:hint="eastAsia" w:ascii="宋体" w:hAnsi="宋体"/>
          <w:color w:val="auto"/>
          <w:sz w:val="24"/>
          <w:szCs w:val="24"/>
        </w:rPr>
        <w:t>(</w:t>
      </w:r>
      <w:r>
        <w:rPr>
          <w:rFonts w:hint="eastAsia" w:ascii="宋体" w:hAnsi="宋体"/>
          <w:color w:val="auto"/>
          <w:sz w:val="24"/>
          <w:szCs w:val="24"/>
          <w:lang w:val="en-US" w:eastAsia="zh-CN"/>
        </w:rPr>
        <w:t>项目编号：JSZC-320400-JZCG-X2026-0163</w:t>
      </w:r>
      <w:bookmarkStart w:id="662" w:name="_GoBack"/>
      <w:bookmarkEnd w:id="662"/>
      <w:r>
        <w:rPr>
          <w:rFonts w:hint="eastAsia" w:ascii="宋体" w:hAnsi="宋体"/>
          <w:color w:val="auto"/>
          <w:sz w:val="24"/>
          <w:szCs w:val="24"/>
          <w:lang w:val="en-US" w:eastAsia="zh-CN"/>
        </w:rPr>
        <w:t xml:space="preserve"> </w:t>
      </w:r>
      <w:r>
        <w:rPr>
          <w:rFonts w:hint="eastAsia" w:ascii="宋体" w:hAnsi="宋体"/>
          <w:color w:val="auto"/>
          <w:sz w:val="24"/>
          <w:szCs w:val="24"/>
        </w:rPr>
        <w:t>)项目进行</w:t>
      </w:r>
      <w:r>
        <w:rPr>
          <w:rFonts w:hint="eastAsia" w:ascii="宋体" w:hAnsi="宋体"/>
          <w:color w:val="auto"/>
          <w:sz w:val="24"/>
          <w:szCs w:val="24"/>
          <w:lang w:val="en-US" w:eastAsia="zh-CN"/>
        </w:rPr>
        <w:t>询价</w:t>
      </w:r>
      <w:r>
        <w:rPr>
          <w:rFonts w:hint="eastAsia" w:ascii="宋体" w:hAnsi="宋体"/>
          <w:color w:val="auto"/>
          <w:sz w:val="24"/>
          <w:szCs w:val="24"/>
        </w:rPr>
        <w:t>，欢迎符合条件的供应商</w:t>
      </w:r>
      <w:r>
        <w:rPr>
          <w:rFonts w:hint="eastAsia" w:ascii="宋体" w:hAnsi="宋体"/>
          <w:color w:val="auto"/>
          <w:sz w:val="24"/>
          <w:szCs w:val="24"/>
          <w:lang w:val="en-US" w:eastAsia="zh-CN"/>
        </w:rPr>
        <w:t>响应</w:t>
      </w:r>
      <w:r>
        <w:rPr>
          <w:rFonts w:hint="eastAsia" w:ascii="宋体" w:hAnsi="宋体"/>
          <w:color w:val="auto"/>
          <w:sz w:val="24"/>
          <w:szCs w:val="24"/>
        </w:rPr>
        <w:t>。</w:t>
      </w:r>
    </w:p>
    <w:p w14:paraId="0F8FC80A">
      <w:pPr>
        <w:pStyle w:val="3"/>
        <w:numPr>
          <w:ilvl w:val="0"/>
          <w:numId w:val="9"/>
        </w:numPr>
        <w:topLinePunct w:val="0"/>
        <w:ind w:left="0" w:leftChars="0" w:firstLine="0" w:firstLineChars="0"/>
        <w:rPr>
          <w:b w:val="0"/>
          <w:color w:val="auto"/>
        </w:rPr>
      </w:pPr>
      <w:r>
        <w:rPr>
          <w:color w:val="auto"/>
        </w:rPr>
        <w:t>项目基本情况</w:t>
      </w:r>
      <w:bookmarkEnd w:id="3"/>
      <w:bookmarkEnd w:id="4"/>
      <w:bookmarkEnd w:id="5"/>
      <w:bookmarkEnd w:id="6"/>
    </w:p>
    <w:bookmarkEnd w:id="7"/>
    <w:p w14:paraId="4C4699FE">
      <w:pPr>
        <w:pStyle w:val="17"/>
        <w:numPr>
          <w:ilvl w:val="0"/>
          <w:numId w:val="10"/>
        </w:numPr>
        <w:ind w:left="0" w:leftChars="0" w:firstLine="480" w:firstLineChars="0"/>
        <w:rPr>
          <w:b w:val="0"/>
          <w:color w:val="auto"/>
          <w:u w:val="single"/>
        </w:rPr>
      </w:pPr>
      <w:r>
        <w:rPr>
          <w:color w:val="auto"/>
        </w:rPr>
        <w:t>项目编号/包号：</w:t>
      </w:r>
      <w:r>
        <w:rPr>
          <w:rFonts w:hint="eastAsia"/>
          <w:color w:val="auto"/>
        </w:rPr>
        <w:t>JSZC-320400-JZCG-X2026-0</w:t>
      </w:r>
      <w:r>
        <w:rPr>
          <w:rFonts w:hint="eastAsia"/>
          <w:color w:val="auto"/>
          <w:lang w:val="en-US" w:eastAsia="zh-CN"/>
        </w:rPr>
        <w:t>163</w:t>
      </w:r>
    </w:p>
    <w:p w14:paraId="1C68B6BC">
      <w:pPr>
        <w:pStyle w:val="17"/>
        <w:numPr>
          <w:ilvl w:val="0"/>
          <w:numId w:val="10"/>
        </w:numPr>
        <w:ind w:left="0" w:leftChars="0" w:firstLine="480" w:firstLineChars="0"/>
        <w:rPr>
          <w:b w:val="0"/>
          <w:color w:val="auto"/>
        </w:rPr>
      </w:pPr>
      <w:r>
        <w:rPr>
          <w:color w:val="auto"/>
        </w:rPr>
        <w:t>项目名称：</w:t>
      </w:r>
      <w:r>
        <w:rPr>
          <w:rFonts w:hint="eastAsia"/>
          <w:color w:val="auto"/>
          <w:sz w:val="24"/>
          <w:u w:val="single"/>
          <w:lang w:val="en-US" w:eastAsia="zh-CN"/>
        </w:rPr>
        <w:t>常州市第二十四中学等校安防设备采购及安装</w:t>
      </w:r>
    </w:p>
    <w:p w14:paraId="2274F4BF">
      <w:pPr>
        <w:pStyle w:val="17"/>
        <w:numPr>
          <w:ilvl w:val="0"/>
          <w:numId w:val="10"/>
        </w:numPr>
        <w:ind w:left="0" w:leftChars="0" w:firstLine="480" w:firstLineChars="0"/>
        <w:rPr>
          <w:b w:val="0"/>
          <w:color w:val="auto"/>
        </w:rPr>
      </w:pPr>
      <w:r>
        <w:rPr>
          <w:color w:val="auto"/>
        </w:rPr>
        <w:t>采购方式：询价</w:t>
      </w:r>
    </w:p>
    <w:p w14:paraId="2AA44E05">
      <w:pPr>
        <w:pStyle w:val="17"/>
        <w:numPr>
          <w:ilvl w:val="0"/>
          <w:numId w:val="10"/>
        </w:numPr>
        <w:ind w:left="0" w:leftChars="0" w:firstLine="480" w:firstLineChars="0"/>
        <w:rPr>
          <w:b w:val="0"/>
          <w:color w:val="auto"/>
        </w:rPr>
      </w:pPr>
      <w:r>
        <w:rPr>
          <w:color w:val="auto"/>
        </w:rPr>
        <w:t>项目预算金额：</w:t>
      </w:r>
      <w:r>
        <w:rPr>
          <w:color w:val="auto"/>
          <w:u w:val="single"/>
        </w:rPr>
        <w:t xml:space="preserve">  </w:t>
      </w:r>
      <w:r>
        <w:rPr>
          <w:rFonts w:hint="eastAsia"/>
          <w:color w:val="auto"/>
          <w:u w:val="single"/>
          <w:lang w:val="en-US" w:eastAsia="zh-CN"/>
        </w:rPr>
        <w:t>101.24</w:t>
      </w:r>
      <w:r>
        <w:rPr>
          <w:color w:val="auto"/>
          <w:u w:val="single"/>
        </w:rPr>
        <w:t xml:space="preserve">  </w:t>
      </w:r>
      <w:r>
        <w:rPr>
          <w:color w:val="auto"/>
        </w:rPr>
        <w:t>万元</w:t>
      </w:r>
      <w:r>
        <w:rPr>
          <w:rFonts w:hint="eastAsia"/>
          <w:color w:val="auto"/>
          <w:lang w:val="en-US" w:eastAsia="zh-CN"/>
        </w:rPr>
        <w:t>；最高限价金额：</w:t>
      </w:r>
      <w:r>
        <w:rPr>
          <w:color w:val="auto"/>
          <w:u w:val="single"/>
        </w:rPr>
        <w:t xml:space="preserve">  </w:t>
      </w:r>
      <w:r>
        <w:rPr>
          <w:rFonts w:hint="eastAsia"/>
          <w:color w:val="auto"/>
          <w:u w:val="single"/>
          <w:lang w:val="en-US" w:eastAsia="zh-CN"/>
        </w:rPr>
        <w:t>101.24</w:t>
      </w:r>
      <w:r>
        <w:rPr>
          <w:color w:val="auto"/>
          <w:u w:val="single"/>
        </w:rPr>
        <w:t xml:space="preserve">  </w:t>
      </w:r>
      <w:r>
        <w:rPr>
          <w:color w:val="auto"/>
        </w:rPr>
        <w:t>万元</w:t>
      </w:r>
    </w:p>
    <w:tbl>
      <w:tblPr>
        <w:tblStyle w:val="43"/>
        <w:tblW w:w="928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30"/>
        <w:gridCol w:w="3600"/>
        <w:gridCol w:w="1691"/>
        <w:gridCol w:w="1831"/>
        <w:gridCol w:w="1531"/>
      </w:tblGrid>
      <w:tr w14:paraId="62B0B1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F40CB">
            <w:pPr>
              <w:keepNext w:val="0"/>
              <w:keepLines w:val="0"/>
              <w:pageBreakBefore w:val="0"/>
              <w:widowControl/>
              <w:suppressLineNumbers w:val="0"/>
              <w:wordWrap/>
              <w:topLinePunct w:val="0"/>
              <w:bidi w:val="0"/>
              <w:spacing w:beforeAutospacing="0" w:afterAutospacing="0" w:line="360" w:lineRule="auto"/>
              <w:ind w:left="0" w:leftChars="0" w:right="0" w:rightChars="0"/>
              <w:jc w:val="center"/>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包号</w:t>
            </w:r>
          </w:p>
        </w:tc>
        <w:tc>
          <w:tcPr>
            <w:tcW w:w="3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E270F">
            <w:pPr>
              <w:keepNext w:val="0"/>
              <w:keepLines w:val="0"/>
              <w:pageBreakBefore w:val="0"/>
              <w:widowControl/>
              <w:suppressLineNumbers w:val="0"/>
              <w:wordWrap/>
              <w:topLinePunct w:val="0"/>
              <w:bidi w:val="0"/>
              <w:spacing w:beforeAutospacing="0" w:afterAutospacing="0" w:line="360" w:lineRule="auto"/>
              <w:ind w:left="0" w:leftChars="0" w:right="0" w:rightChars="0"/>
              <w:jc w:val="center"/>
              <w:textAlignment w:val="center"/>
              <w:rPr>
                <w:rFonts w:hint="default" w:ascii="宋体" w:hAnsi="宋体" w:eastAsia="宋体" w:cs="宋体"/>
                <w:i w:val="0"/>
                <w:iCs w:val="0"/>
                <w:color w:val="auto"/>
                <w:kern w:val="0"/>
                <w:sz w:val="21"/>
                <w:szCs w:val="21"/>
                <w:u w:val="none"/>
                <w:lang w:val="en-US" w:eastAsia="zh-CN" w:bidi="ar"/>
              </w:rPr>
            </w:pPr>
            <w:r>
              <w:rPr>
                <w:bCs/>
                <w:color w:val="auto"/>
                <w:szCs w:val="21"/>
              </w:rPr>
              <w:t>标的名称</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4DA55">
            <w:pPr>
              <w:pageBreakBefore w:val="0"/>
              <w:wordWrap/>
              <w:topLinePunct w:val="0"/>
              <w:bidi w:val="0"/>
              <w:spacing w:beforeAutospacing="0" w:afterAutospacing="0" w:line="360" w:lineRule="auto"/>
              <w:ind w:left="0" w:leftChars="0" w:right="0" w:rightChars="0"/>
              <w:jc w:val="center"/>
              <w:rPr>
                <w:bCs/>
                <w:color w:val="auto"/>
                <w:szCs w:val="21"/>
              </w:rPr>
            </w:pPr>
            <w:r>
              <w:rPr>
                <w:bCs/>
                <w:color w:val="auto"/>
                <w:szCs w:val="21"/>
              </w:rPr>
              <w:t>采购包预算金额</w:t>
            </w:r>
          </w:p>
          <w:p w14:paraId="18776AD9">
            <w:pPr>
              <w:keepNext w:val="0"/>
              <w:keepLines w:val="0"/>
              <w:pageBreakBefore w:val="0"/>
              <w:widowControl/>
              <w:suppressLineNumbers w:val="0"/>
              <w:wordWrap/>
              <w:topLinePunct w:val="0"/>
              <w:bidi w:val="0"/>
              <w:spacing w:beforeAutospacing="0" w:afterAutospacing="0" w:line="360" w:lineRule="auto"/>
              <w:ind w:left="0" w:leftChars="0" w:right="0" w:rightChars="0"/>
              <w:jc w:val="center"/>
              <w:textAlignment w:val="center"/>
              <w:rPr>
                <w:rFonts w:hint="default" w:ascii="宋体" w:hAnsi="宋体" w:eastAsia="宋体" w:cs="宋体"/>
                <w:i w:val="0"/>
                <w:iCs w:val="0"/>
                <w:color w:val="auto"/>
                <w:kern w:val="0"/>
                <w:sz w:val="21"/>
                <w:szCs w:val="21"/>
                <w:u w:val="none"/>
                <w:lang w:val="en-US" w:eastAsia="zh-CN" w:bidi="ar"/>
              </w:rPr>
            </w:pPr>
            <w:r>
              <w:rPr>
                <w:bCs/>
                <w:color w:val="auto"/>
                <w:szCs w:val="21"/>
              </w:rPr>
              <w:t>（万元）</w:t>
            </w:r>
          </w:p>
        </w:tc>
        <w:tc>
          <w:tcPr>
            <w:tcW w:w="18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9A25A">
            <w:pPr>
              <w:keepNext w:val="0"/>
              <w:keepLines w:val="0"/>
              <w:pageBreakBefore w:val="0"/>
              <w:widowControl/>
              <w:suppressLineNumbers w:val="0"/>
              <w:wordWrap/>
              <w:topLinePunct w:val="0"/>
              <w:bidi w:val="0"/>
              <w:spacing w:beforeAutospacing="0" w:afterAutospacing="0" w:line="360" w:lineRule="auto"/>
              <w:ind w:left="0" w:leftChars="0" w:right="0" w:rightChars="0"/>
              <w:jc w:val="center"/>
              <w:textAlignment w:val="center"/>
              <w:rPr>
                <w:rFonts w:hint="eastAsia" w:ascii="宋体" w:hAnsi="宋体" w:eastAsia="宋体" w:cs="宋体"/>
                <w:i w:val="0"/>
                <w:iCs w:val="0"/>
                <w:color w:val="auto"/>
                <w:kern w:val="0"/>
                <w:sz w:val="21"/>
                <w:szCs w:val="21"/>
                <w:u w:val="none"/>
                <w:lang w:val="en-US" w:eastAsia="zh-CN" w:bidi="ar"/>
              </w:rPr>
            </w:pPr>
            <w:r>
              <w:rPr>
                <w:bCs/>
                <w:color w:val="auto"/>
                <w:szCs w:val="21"/>
              </w:rPr>
              <w:t>采购包</w:t>
            </w:r>
            <w:r>
              <w:rPr>
                <w:rFonts w:hint="eastAsia" w:ascii="宋体" w:hAnsi="宋体" w:eastAsia="宋体" w:cs="宋体"/>
                <w:i w:val="0"/>
                <w:iCs w:val="0"/>
                <w:color w:val="auto"/>
                <w:kern w:val="0"/>
                <w:sz w:val="21"/>
                <w:szCs w:val="21"/>
                <w:u w:val="none"/>
                <w:lang w:val="en-US" w:eastAsia="zh-CN" w:bidi="ar"/>
              </w:rPr>
              <w:t>最高限额</w:t>
            </w:r>
          </w:p>
          <w:p w14:paraId="1455A4B3">
            <w:pPr>
              <w:keepNext w:val="0"/>
              <w:keepLines w:val="0"/>
              <w:pageBreakBefore w:val="0"/>
              <w:widowControl/>
              <w:suppressLineNumbers w:val="0"/>
              <w:wordWrap/>
              <w:topLinePunct w:val="0"/>
              <w:bidi w:val="0"/>
              <w:spacing w:beforeAutospacing="0" w:afterAutospacing="0" w:line="360" w:lineRule="auto"/>
              <w:ind w:left="0" w:leftChars="0" w:right="0" w:rightChars="0"/>
              <w:jc w:val="center"/>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（万元）</w:t>
            </w:r>
          </w:p>
        </w:tc>
        <w:tc>
          <w:tcPr>
            <w:tcW w:w="1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382D5">
            <w:pPr>
              <w:keepNext w:val="0"/>
              <w:keepLines w:val="0"/>
              <w:pageBreakBefore w:val="0"/>
              <w:widowControl/>
              <w:suppressLineNumbers w:val="0"/>
              <w:wordWrap/>
              <w:topLinePunct w:val="0"/>
              <w:bidi w:val="0"/>
              <w:spacing w:beforeAutospacing="0" w:afterAutospacing="0" w:line="360" w:lineRule="auto"/>
              <w:ind w:left="0" w:leftChars="0" w:right="0" w:rightChars="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简要技术需求或服务要求</w:t>
            </w:r>
          </w:p>
        </w:tc>
      </w:tr>
      <w:tr w14:paraId="3BDEB5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30" w:type="dxa"/>
            <w:vMerge w:val="restart"/>
            <w:tcBorders>
              <w:top w:val="single" w:color="000000" w:sz="4" w:space="0"/>
              <w:left w:val="single" w:color="000000" w:sz="4" w:space="0"/>
              <w:right w:val="single" w:color="000000" w:sz="4" w:space="0"/>
            </w:tcBorders>
            <w:shd w:val="clear" w:color="auto" w:fill="auto"/>
            <w:vAlign w:val="center"/>
          </w:tcPr>
          <w:p w14:paraId="2D387823">
            <w:pPr>
              <w:keepNext w:val="0"/>
              <w:keepLines w:val="0"/>
              <w:pageBreakBefore w:val="0"/>
              <w:widowControl/>
              <w:suppressLineNumbers w:val="0"/>
              <w:wordWrap/>
              <w:topLinePunct w:val="0"/>
              <w:bidi w:val="0"/>
              <w:spacing w:beforeAutospacing="0" w:afterAutospacing="0" w:line="360" w:lineRule="auto"/>
              <w:ind w:left="0" w:leftChars="0" w:right="0" w:rightChars="0"/>
              <w:jc w:val="center"/>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1</w:t>
            </w:r>
          </w:p>
        </w:tc>
        <w:tc>
          <w:tcPr>
            <w:tcW w:w="3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6ECA0">
            <w:pPr>
              <w:keepNext w:val="0"/>
              <w:keepLines w:val="0"/>
              <w:pageBreakBefore w:val="0"/>
              <w:widowControl/>
              <w:suppressLineNumbers w:val="0"/>
              <w:wordWrap/>
              <w:topLinePunct w:val="0"/>
              <w:bidi w:val="0"/>
              <w:spacing w:beforeAutospacing="0" w:afterAutospacing="0" w:line="360" w:lineRule="auto"/>
              <w:ind w:left="0" w:leftChars="0" w:right="0" w:rightChars="0"/>
              <w:jc w:val="center"/>
              <w:textAlignment w:val="center"/>
              <w:rPr>
                <w:rFonts w:hint="default" w:ascii="宋体" w:hAnsi="宋体" w:eastAsia="宋体" w:cs="宋体"/>
                <w:i w:val="0"/>
                <w:iCs w:val="0"/>
                <w:color w:val="auto"/>
                <w:sz w:val="21"/>
                <w:szCs w:val="21"/>
                <w:u w:val="none"/>
                <w:lang w:val="en-US"/>
              </w:rPr>
            </w:pPr>
            <w:r>
              <w:rPr>
                <w:rFonts w:hint="eastAsia" w:ascii="宋体" w:hAnsi="宋体" w:cs="宋体"/>
                <w:i w:val="0"/>
                <w:iCs w:val="0"/>
                <w:color w:val="auto"/>
                <w:kern w:val="0"/>
                <w:sz w:val="21"/>
                <w:szCs w:val="21"/>
                <w:u w:val="none"/>
                <w:lang w:val="en-US" w:eastAsia="zh-CN" w:bidi="ar"/>
              </w:rPr>
              <w:t>常州市</w:t>
            </w:r>
            <w:r>
              <w:rPr>
                <w:rFonts w:hint="eastAsia" w:ascii="宋体" w:hAnsi="宋体" w:eastAsia="宋体" w:cs="宋体"/>
                <w:i w:val="0"/>
                <w:iCs w:val="0"/>
                <w:color w:val="auto"/>
                <w:kern w:val="0"/>
                <w:sz w:val="21"/>
                <w:szCs w:val="21"/>
                <w:u w:val="none"/>
                <w:lang w:val="en-US" w:eastAsia="zh-CN" w:bidi="ar"/>
              </w:rPr>
              <w:t>北郊高中校园部分安防设备更换</w:t>
            </w:r>
            <w:r>
              <w:rPr>
                <w:rFonts w:hint="eastAsia" w:ascii="宋体" w:hAnsi="宋体" w:cs="宋体"/>
                <w:i w:val="0"/>
                <w:iCs w:val="0"/>
                <w:color w:val="auto"/>
                <w:kern w:val="0"/>
                <w:sz w:val="21"/>
                <w:szCs w:val="21"/>
                <w:u w:val="none"/>
                <w:lang w:val="en-US" w:eastAsia="zh-CN" w:bidi="ar"/>
              </w:rPr>
              <w:t>采购</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BE4C2">
            <w:pPr>
              <w:keepNext w:val="0"/>
              <w:keepLines w:val="0"/>
              <w:pageBreakBefore w:val="0"/>
              <w:widowControl/>
              <w:suppressLineNumbers w:val="0"/>
              <w:wordWrap/>
              <w:topLinePunct w:val="0"/>
              <w:bidi w:val="0"/>
              <w:spacing w:beforeAutospacing="0" w:afterAutospacing="0" w:line="360" w:lineRule="auto"/>
              <w:ind w:left="0" w:leftChars="0" w:right="0" w:right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17.5</w:t>
            </w:r>
          </w:p>
        </w:tc>
        <w:tc>
          <w:tcPr>
            <w:tcW w:w="18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57810">
            <w:pPr>
              <w:keepNext w:val="0"/>
              <w:keepLines w:val="0"/>
              <w:pageBreakBefore w:val="0"/>
              <w:widowControl/>
              <w:suppressLineNumbers w:val="0"/>
              <w:wordWrap/>
              <w:topLinePunct w:val="0"/>
              <w:bidi w:val="0"/>
              <w:spacing w:beforeAutospacing="0" w:afterAutospacing="0" w:line="360" w:lineRule="auto"/>
              <w:ind w:left="0" w:leftChars="0" w:right="0" w:rightChars="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17.5</w:t>
            </w:r>
          </w:p>
        </w:tc>
        <w:tc>
          <w:tcPr>
            <w:tcW w:w="1531" w:type="dxa"/>
            <w:vMerge w:val="restart"/>
            <w:tcBorders>
              <w:top w:val="single" w:color="000000" w:sz="4" w:space="0"/>
              <w:left w:val="single" w:color="000000" w:sz="4" w:space="0"/>
              <w:right w:val="single" w:color="000000" w:sz="4" w:space="0"/>
            </w:tcBorders>
            <w:shd w:val="clear" w:color="auto" w:fill="auto"/>
            <w:noWrap/>
            <w:vAlign w:val="center"/>
          </w:tcPr>
          <w:p w14:paraId="027AD799">
            <w:pPr>
              <w:keepNext w:val="0"/>
              <w:keepLines w:val="0"/>
              <w:pageBreakBefore w:val="0"/>
              <w:widowControl/>
              <w:suppressLineNumbers w:val="0"/>
              <w:wordWrap/>
              <w:topLinePunct w:val="0"/>
              <w:bidi w:val="0"/>
              <w:spacing w:beforeAutospacing="0" w:afterAutospacing="0" w:line="360" w:lineRule="auto"/>
              <w:ind w:left="0" w:leftChars="0" w:right="0" w:rightChars="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color w:val="auto"/>
                <w:kern w:val="0"/>
                <w:sz w:val="21"/>
                <w:szCs w:val="21"/>
              </w:rPr>
              <w:t>详见“第四章 采购需求”</w:t>
            </w:r>
          </w:p>
        </w:tc>
      </w:tr>
      <w:tr w14:paraId="4CF186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30" w:type="dxa"/>
            <w:vMerge w:val="continue"/>
            <w:tcBorders>
              <w:left w:val="single" w:color="000000" w:sz="4" w:space="0"/>
              <w:right w:val="single" w:color="000000" w:sz="4" w:space="0"/>
            </w:tcBorders>
            <w:shd w:val="clear" w:color="auto" w:fill="auto"/>
            <w:vAlign w:val="center"/>
          </w:tcPr>
          <w:p w14:paraId="3895E7C0">
            <w:pPr>
              <w:keepNext w:val="0"/>
              <w:keepLines w:val="0"/>
              <w:pageBreakBefore w:val="0"/>
              <w:widowControl/>
              <w:suppressLineNumbers w:val="0"/>
              <w:wordWrap/>
              <w:topLinePunct w:val="0"/>
              <w:bidi w:val="0"/>
              <w:spacing w:beforeAutospacing="0" w:afterAutospacing="0" w:line="360" w:lineRule="auto"/>
              <w:ind w:left="0" w:leftChars="0" w:right="0" w:rightChars="0"/>
              <w:jc w:val="center"/>
              <w:textAlignment w:val="center"/>
              <w:rPr>
                <w:rFonts w:hint="eastAsia" w:ascii="宋体" w:hAnsi="宋体" w:eastAsia="宋体" w:cs="宋体"/>
                <w:i w:val="0"/>
                <w:iCs w:val="0"/>
                <w:color w:val="auto"/>
                <w:kern w:val="0"/>
                <w:sz w:val="21"/>
                <w:szCs w:val="21"/>
                <w:u w:val="none"/>
                <w:lang w:val="en-US" w:eastAsia="zh-CN" w:bidi="ar"/>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5E1BF">
            <w:pPr>
              <w:keepNext w:val="0"/>
              <w:keepLines w:val="0"/>
              <w:pageBreakBefore w:val="0"/>
              <w:widowControl/>
              <w:suppressLineNumbers w:val="0"/>
              <w:wordWrap/>
              <w:topLinePunct w:val="0"/>
              <w:bidi w:val="0"/>
              <w:spacing w:beforeAutospacing="0" w:afterAutospacing="0" w:line="360" w:lineRule="auto"/>
              <w:ind w:left="0" w:leftChars="0" w:right="0" w:rightChars="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cs="宋体"/>
                <w:i w:val="0"/>
                <w:iCs w:val="0"/>
                <w:color w:val="auto"/>
                <w:kern w:val="0"/>
                <w:sz w:val="21"/>
                <w:szCs w:val="21"/>
                <w:u w:val="none"/>
                <w:lang w:val="en-US" w:eastAsia="zh-CN" w:bidi="ar"/>
              </w:rPr>
              <w:t>常州市第</w:t>
            </w:r>
            <w:r>
              <w:rPr>
                <w:rFonts w:hint="eastAsia" w:ascii="宋体" w:hAnsi="宋体" w:eastAsia="宋体" w:cs="宋体"/>
                <w:i w:val="0"/>
                <w:iCs w:val="0"/>
                <w:color w:val="auto"/>
                <w:kern w:val="0"/>
                <w:sz w:val="21"/>
                <w:szCs w:val="21"/>
                <w:u w:val="none"/>
                <w:lang w:val="en-US" w:eastAsia="zh-CN" w:bidi="ar"/>
              </w:rPr>
              <w:t>二十四中</w:t>
            </w:r>
            <w:r>
              <w:rPr>
                <w:rFonts w:hint="eastAsia" w:ascii="宋体" w:hAnsi="宋体" w:cs="宋体"/>
                <w:i w:val="0"/>
                <w:iCs w:val="0"/>
                <w:color w:val="auto"/>
                <w:kern w:val="0"/>
                <w:sz w:val="21"/>
                <w:szCs w:val="21"/>
                <w:u w:val="none"/>
                <w:lang w:val="en-US" w:eastAsia="zh-CN" w:bidi="ar"/>
              </w:rPr>
              <w:t>学校</w:t>
            </w:r>
            <w:r>
              <w:rPr>
                <w:rFonts w:hint="eastAsia" w:ascii="宋体" w:hAnsi="宋体" w:eastAsia="宋体" w:cs="宋体"/>
                <w:i w:val="0"/>
                <w:iCs w:val="0"/>
                <w:color w:val="auto"/>
                <w:kern w:val="0"/>
                <w:sz w:val="21"/>
                <w:szCs w:val="21"/>
                <w:u w:val="none"/>
                <w:lang w:val="en-US" w:eastAsia="zh-CN" w:bidi="ar"/>
              </w:rPr>
              <w:t>园增设监控</w:t>
            </w:r>
            <w:r>
              <w:rPr>
                <w:rFonts w:hint="eastAsia" w:ascii="宋体" w:hAnsi="宋体" w:cs="宋体"/>
                <w:i w:val="0"/>
                <w:iCs w:val="0"/>
                <w:color w:val="auto"/>
                <w:kern w:val="0"/>
                <w:sz w:val="21"/>
                <w:szCs w:val="21"/>
                <w:u w:val="none"/>
                <w:lang w:val="en-US" w:eastAsia="zh-CN" w:bidi="ar"/>
              </w:rPr>
              <w:t>设备采购</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275BF">
            <w:pPr>
              <w:keepNext w:val="0"/>
              <w:keepLines w:val="0"/>
              <w:pageBreakBefore w:val="0"/>
              <w:widowControl/>
              <w:suppressLineNumbers w:val="0"/>
              <w:wordWrap/>
              <w:topLinePunct w:val="0"/>
              <w:bidi w:val="0"/>
              <w:spacing w:beforeAutospacing="0" w:afterAutospacing="0" w:line="360" w:lineRule="auto"/>
              <w:ind w:left="0" w:leftChars="0" w:right="0" w:rightChars="0"/>
              <w:jc w:val="center"/>
              <w:textAlignment w:val="center"/>
              <w:rPr>
                <w:rFonts w:hint="default"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23.46</w:t>
            </w:r>
          </w:p>
        </w:tc>
        <w:tc>
          <w:tcPr>
            <w:tcW w:w="18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2D8B4">
            <w:pPr>
              <w:keepNext w:val="0"/>
              <w:keepLines w:val="0"/>
              <w:pageBreakBefore w:val="0"/>
              <w:widowControl/>
              <w:suppressLineNumbers w:val="0"/>
              <w:wordWrap/>
              <w:topLinePunct w:val="0"/>
              <w:bidi w:val="0"/>
              <w:spacing w:beforeAutospacing="0" w:afterAutospacing="0" w:line="360" w:lineRule="auto"/>
              <w:ind w:left="0" w:leftChars="0" w:right="0" w:rightChars="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23.46</w:t>
            </w:r>
          </w:p>
        </w:tc>
        <w:tc>
          <w:tcPr>
            <w:tcW w:w="1531" w:type="dxa"/>
            <w:vMerge w:val="continue"/>
            <w:tcBorders>
              <w:left w:val="single" w:color="000000" w:sz="4" w:space="0"/>
              <w:right w:val="single" w:color="000000" w:sz="4" w:space="0"/>
            </w:tcBorders>
            <w:shd w:val="clear" w:color="auto" w:fill="auto"/>
            <w:noWrap/>
            <w:vAlign w:val="center"/>
          </w:tcPr>
          <w:p w14:paraId="1F4162A9">
            <w:pPr>
              <w:keepNext w:val="0"/>
              <w:keepLines w:val="0"/>
              <w:pageBreakBefore w:val="0"/>
              <w:widowControl/>
              <w:suppressLineNumbers w:val="0"/>
              <w:wordWrap/>
              <w:topLinePunct w:val="0"/>
              <w:bidi w:val="0"/>
              <w:spacing w:beforeAutospacing="0" w:afterAutospacing="0" w:line="360" w:lineRule="auto"/>
              <w:ind w:left="0" w:leftChars="0" w:right="0" w:rightChars="0"/>
              <w:jc w:val="center"/>
              <w:textAlignment w:val="center"/>
              <w:rPr>
                <w:rFonts w:hint="eastAsia" w:ascii="宋体" w:hAnsi="宋体" w:eastAsia="宋体" w:cs="宋体"/>
                <w:i w:val="0"/>
                <w:iCs w:val="0"/>
                <w:color w:val="auto"/>
                <w:kern w:val="0"/>
                <w:sz w:val="21"/>
                <w:szCs w:val="21"/>
                <w:u w:val="none"/>
                <w:lang w:val="en-US" w:eastAsia="zh-CN" w:bidi="ar"/>
              </w:rPr>
            </w:pPr>
          </w:p>
        </w:tc>
      </w:tr>
      <w:tr w14:paraId="6F193E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30" w:type="dxa"/>
            <w:vMerge w:val="continue"/>
            <w:tcBorders>
              <w:left w:val="single" w:color="000000" w:sz="4" w:space="0"/>
              <w:right w:val="single" w:color="000000" w:sz="4" w:space="0"/>
            </w:tcBorders>
            <w:shd w:val="clear" w:color="auto" w:fill="auto"/>
            <w:vAlign w:val="center"/>
          </w:tcPr>
          <w:p w14:paraId="22AA0BCB">
            <w:pPr>
              <w:keepNext w:val="0"/>
              <w:keepLines w:val="0"/>
              <w:pageBreakBefore w:val="0"/>
              <w:widowControl/>
              <w:suppressLineNumbers w:val="0"/>
              <w:wordWrap/>
              <w:topLinePunct w:val="0"/>
              <w:bidi w:val="0"/>
              <w:spacing w:beforeAutospacing="0" w:afterAutospacing="0" w:line="360" w:lineRule="auto"/>
              <w:ind w:left="0" w:leftChars="0" w:right="0" w:rightChars="0"/>
              <w:jc w:val="center"/>
              <w:textAlignment w:val="center"/>
              <w:rPr>
                <w:rFonts w:hint="default" w:ascii="宋体" w:hAnsi="宋体" w:eastAsia="宋体" w:cs="宋体"/>
                <w:i w:val="0"/>
                <w:iCs w:val="0"/>
                <w:color w:val="auto"/>
                <w:kern w:val="0"/>
                <w:sz w:val="21"/>
                <w:szCs w:val="21"/>
                <w:u w:val="none"/>
                <w:lang w:val="en-US" w:eastAsia="zh-CN" w:bidi="ar"/>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67115">
            <w:pPr>
              <w:keepNext w:val="0"/>
              <w:keepLines w:val="0"/>
              <w:pageBreakBefore w:val="0"/>
              <w:widowControl/>
              <w:suppressLineNumbers w:val="0"/>
              <w:wordWrap/>
              <w:topLinePunct w:val="0"/>
              <w:bidi w:val="0"/>
              <w:spacing w:beforeAutospacing="0" w:afterAutospacing="0" w:line="360" w:lineRule="auto"/>
              <w:ind w:left="0" w:leftChars="0" w:right="0" w:rightChars="0"/>
              <w:jc w:val="center"/>
              <w:textAlignment w:val="center"/>
              <w:rPr>
                <w:rFonts w:hint="default" w:ascii="宋体" w:hAnsi="宋体" w:eastAsia="宋体" w:cs="宋体"/>
                <w:i w:val="0"/>
                <w:iCs w:val="0"/>
                <w:color w:val="auto"/>
                <w:sz w:val="21"/>
                <w:szCs w:val="21"/>
                <w:u w:val="none"/>
                <w:lang w:val="en-US"/>
              </w:rPr>
            </w:pPr>
            <w:r>
              <w:rPr>
                <w:rFonts w:hint="eastAsia" w:ascii="宋体" w:hAnsi="宋体" w:cs="宋体"/>
                <w:i w:val="0"/>
                <w:iCs w:val="0"/>
                <w:color w:val="auto"/>
                <w:kern w:val="0"/>
                <w:sz w:val="21"/>
                <w:szCs w:val="21"/>
                <w:u w:val="none"/>
                <w:lang w:val="en-US" w:eastAsia="zh-CN" w:bidi="ar"/>
              </w:rPr>
              <w:t>常州市</w:t>
            </w:r>
            <w:r>
              <w:rPr>
                <w:rFonts w:hint="eastAsia" w:ascii="宋体" w:hAnsi="宋体" w:eastAsia="宋体" w:cs="宋体"/>
                <w:i w:val="0"/>
                <w:iCs w:val="0"/>
                <w:color w:val="auto"/>
                <w:kern w:val="0"/>
                <w:sz w:val="21"/>
                <w:szCs w:val="21"/>
                <w:u w:val="none"/>
                <w:lang w:val="en-US" w:eastAsia="zh-CN" w:bidi="ar"/>
              </w:rPr>
              <w:t>田</w:t>
            </w:r>
            <w:r>
              <w:rPr>
                <w:rFonts w:hint="eastAsia" w:ascii="宋体" w:hAnsi="宋体" w:cs="宋体"/>
                <w:i w:val="0"/>
                <w:iCs w:val="0"/>
                <w:color w:val="auto"/>
                <w:kern w:val="0"/>
                <w:sz w:val="21"/>
                <w:szCs w:val="21"/>
                <w:u w:val="none"/>
                <w:lang w:val="en-US" w:eastAsia="zh-CN" w:bidi="ar"/>
              </w:rPr>
              <w:t>家炳</w:t>
            </w:r>
            <w:r>
              <w:rPr>
                <w:rFonts w:hint="eastAsia" w:ascii="宋体" w:hAnsi="宋体" w:eastAsia="宋体" w:cs="宋体"/>
                <w:i w:val="0"/>
                <w:iCs w:val="0"/>
                <w:color w:val="auto"/>
                <w:kern w:val="0"/>
                <w:sz w:val="21"/>
                <w:szCs w:val="21"/>
                <w:u w:val="none"/>
                <w:lang w:val="en-US" w:eastAsia="zh-CN" w:bidi="ar"/>
              </w:rPr>
              <w:t>高中安防设备更新</w:t>
            </w:r>
            <w:r>
              <w:rPr>
                <w:rFonts w:hint="eastAsia" w:ascii="宋体" w:hAnsi="宋体" w:cs="宋体"/>
                <w:i w:val="0"/>
                <w:iCs w:val="0"/>
                <w:color w:val="auto"/>
                <w:kern w:val="0"/>
                <w:sz w:val="21"/>
                <w:szCs w:val="21"/>
                <w:u w:val="none"/>
                <w:lang w:val="en-US" w:eastAsia="zh-CN" w:bidi="ar"/>
              </w:rPr>
              <w:t>采购</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AE9F2">
            <w:pPr>
              <w:keepNext w:val="0"/>
              <w:keepLines w:val="0"/>
              <w:pageBreakBefore w:val="0"/>
              <w:widowControl/>
              <w:suppressLineNumbers w:val="0"/>
              <w:wordWrap/>
              <w:topLinePunct w:val="0"/>
              <w:bidi w:val="0"/>
              <w:spacing w:beforeAutospacing="0" w:afterAutospacing="0" w:line="360" w:lineRule="auto"/>
              <w:ind w:left="0" w:leftChars="0" w:right="0" w:rightChars="0"/>
              <w:jc w:val="center"/>
              <w:textAlignment w:val="center"/>
              <w:rPr>
                <w:rFonts w:hint="default" w:ascii="宋体" w:hAnsi="宋体" w:eastAsia="宋体" w:cs="宋体"/>
                <w:i w:val="0"/>
                <w:iCs w:val="0"/>
                <w:color w:val="auto"/>
                <w:sz w:val="21"/>
                <w:szCs w:val="21"/>
                <w:u w:val="none"/>
                <w:lang w:val="en-US"/>
              </w:rPr>
            </w:pPr>
            <w:r>
              <w:rPr>
                <w:rFonts w:hint="eastAsia" w:ascii="宋体" w:hAnsi="宋体" w:cs="宋体"/>
                <w:i w:val="0"/>
                <w:iCs w:val="0"/>
                <w:color w:val="auto"/>
                <w:kern w:val="0"/>
                <w:sz w:val="21"/>
                <w:szCs w:val="21"/>
                <w:u w:val="none"/>
                <w:lang w:val="en-US" w:eastAsia="zh-CN" w:bidi="ar"/>
              </w:rPr>
              <w:t>22.2</w:t>
            </w:r>
          </w:p>
        </w:tc>
        <w:tc>
          <w:tcPr>
            <w:tcW w:w="18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63B05">
            <w:pPr>
              <w:keepNext w:val="0"/>
              <w:keepLines w:val="0"/>
              <w:pageBreakBefore w:val="0"/>
              <w:widowControl/>
              <w:suppressLineNumbers w:val="0"/>
              <w:wordWrap/>
              <w:topLinePunct w:val="0"/>
              <w:bidi w:val="0"/>
              <w:spacing w:beforeAutospacing="0" w:afterAutospacing="0" w:line="360" w:lineRule="auto"/>
              <w:ind w:left="0" w:leftChars="0" w:right="0" w:rightChars="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cs="宋体"/>
                <w:i w:val="0"/>
                <w:iCs w:val="0"/>
                <w:color w:val="auto"/>
                <w:kern w:val="0"/>
                <w:sz w:val="21"/>
                <w:szCs w:val="21"/>
                <w:u w:val="none"/>
                <w:lang w:val="en-US" w:eastAsia="zh-CN" w:bidi="ar"/>
              </w:rPr>
              <w:t>22.2</w:t>
            </w:r>
          </w:p>
        </w:tc>
        <w:tc>
          <w:tcPr>
            <w:tcW w:w="1531" w:type="dxa"/>
            <w:vMerge w:val="continue"/>
            <w:tcBorders>
              <w:left w:val="single" w:color="000000" w:sz="4" w:space="0"/>
              <w:right w:val="single" w:color="000000" w:sz="4" w:space="0"/>
            </w:tcBorders>
            <w:shd w:val="clear" w:color="auto" w:fill="auto"/>
            <w:noWrap/>
            <w:vAlign w:val="center"/>
          </w:tcPr>
          <w:p w14:paraId="6D428147">
            <w:pPr>
              <w:keepNext w:val="0"/>
              <w:keepLines w:val="0"/>
              <w:pageBreakBefore w:val="0"/>
              <w:widowControl/>
              <w:suppressLineNumbers w:val="0"/>
              <w:wordWrap/>
              <w:topLinePunct w:val="0"/>
              <w:bidi w:val="0"/>
              <w:spacing w:beforeAutospacing="0" w:afterAutospacing="0" w:line="360" w:lineRule="auto"/>
              <w:ind w:left="0" w:leftChars="0" w:right="0" w:rightChars="0"/>
              <w:jc w:val="center"/>
              <w:textAlignment w:val="center"/>
              <w:rPr>
                <w:rFonts w:hint="eastAsia" w:ascii="宋体" w:hAnsi="宋体" w:eastAsia="宋体" w:cs="宋体"/>
                <w:i w:val="0"/>
                <w:iCs w:val="0"/>
                <w:color w:val="auto"/>
                <w:kern w:val="0"/>
                <w:sz w:val="21"/>
                <w:szCs w:val="21"/>
                <w:u w:val="none"/>
                <w:lang w:val="en-US" w:eastAsia="zh-CN" w:bidi="ar"/>
              </w:rPr>
            </w:pPr>
          </w:p>
        </w:tc>
      </w:tr>
      <w:tr w14:paraId="7755B2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30" w:type="dxa"/>
            <w:vMerge w:val="continue"/>
            <w:tcBorders>
              <w:left w:val="single" w:color="000000" w:sz="4" w:space="0"/>
              <w:right w:val="single" w:color="000000" w:sz="4" w:space="0"/>
            </w:tcBorders>
            <w:shd w:val="clear" w:color="auto" w:fill="auto"/>
            <w:vAlign w:val="center"/>
          </w:tcPr>
          <w:p w14:paraId="14B719E2">
            <w:pPr>
              <w:keepNext w:val="0"/>
              <w:keepLines w:val="0"/>
              <w:pageBreakBefore w:val="0"/>
              <w:widowControl/>
              <w:suppressLineNumbers w:val="0"/>
              <w:wordWrap/>
              <w:topLinePunct w:val="0"/>
              <w:bidi w:val="0"/>
              <w:spacing w:beforeAutospacing="0" w:afterAutospacing="0" w:line="360" w:lineRule="auto"/>
              <w:ind w:left="0" w:leftChars="0" w:right="0" w:rightChars="0"/>
              <w:jc w:val="center"/>
              <w:textAlignment w:val="center"/>
              <w:rPr>
                <w:rFonts w:hint="default" w:ascii="宋体" w:hAnsi="宋体" w:eastAsia="宋体" w:cs="宋体"/>
                <w:i w:val="0"/>
                <w:iCs w:val="0"/>
                <w:color w:val="auto"/>
                <w:kern w:val="0"/>
                <w:sz w:val="21"/>
                <w:szCs w:val="21"/>
                <w:u w:val="none"/>
                <w:lang w:val="en-US" w:eastAsia="zh-CN" w:bidi="ar"/>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37F8E">
            <w:pPr>
              <w:keepNext w:val="0"/>
              <w:keepLines w:val="0"/>
              <w:pageBreakBefore w:val="0"/>
              <w:widowControl/>
              <w:suppressLineNumbers w:val="0"/>
              <w:wordWrap/>
              <w:topLinePunct w:val="0"/>
              <w:bidi w:val="0"/>
              <w:spacing w:beforeAutospacing="0" w:afterAutospacing="0" w:line="360" w:lineRule="auto"/>
              <w:ind w:left="0" w:leftChars="0" w:right="0" w:rightChars="0"/>
              <w:jc w:val="center"/>
              <w:textAlignment w:val="center"/>
              <w:rPr>
                <w:rFonts w:hint="default" w:ascii="宋体" w:hAnsi="宋体" w:eastAsia="宋体" w:cs="宋体"/>
                <w:i w:val="0"/>
                <w:iCs w:val="0"/>
                <w:color w:val="auto"/>
                <w:sz w:val="21"/>
                <w:szCs w:val="21"/>
                <w:u w:val="none"/>
                <w:lang w:val="en-US"/>
              </w:rPr>
            </w:pPr>
            <w:r>
              <w:rPr>
                <w:rFonts w:hint="eastAsia" w:ascii="宋体" w:hAnsi="宋体" w:cs="宋体"/>
                <w:i w:val="0"/>
                <w:iCs w:val="0"/>
                <w:color w:val="auto"/>
                <w:kern w:val="0"/>
                <w:sz w:val="21"/>
                <w:szCs w:val="21"/>
                <w:u w:val="none"/>
                <w:lang w:val="en-US" w:eastAsia="zh-CN" w:bidi="ar"/>
              </w:rPr>
              <w:t>常州市实验</w:t>
            </w:r>
            <w:r>
              <w:rPr>
                <w:rFonts w:hint="eastAsia" w:ascii="宋体" w:hAnsi="宋体" w:eastAsia="宋体" w:cs="宋体"/>
                <w:i w:val="0"/>
                <w:iCs w:val="0"/>
                <w:color w:val="auto"/>
                <w:kern w:val="0"/>
                <w:sz w:val="21"/>
                <w:szCs w:val="21"/>
                <w:u w:val="none"/>
                <w:lang w:val="en-US" w:eastAsia="zh-CN" w:bidi="ar"/>
              </w:rPr>
              <w:t>初中监控</w:t>
            </w:r>
            <w:r>
              <w:rPr>
                <w:rFonts w:hint="eastAsia" w:ascii="宋体" w:hAnsi="宋体" w:cs="宋体"/>
                <w:i w:val="0"/>
                <w:iCs w:val="0"/>
                <w:color w:val="auto"/>
                <w:kern w:val="0"/>
                <w:sz w:val="21"/>
                <w:szCs w:val="21"/>
                <w:u w:val="none"/>
                <w:lang w:val="en-US" w:eastAsia="zh-CN" w:bidi="ar"/>
              </w:rPr>
              <w:t>设备采购</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21845">
            <w:pPr>
              <w:keepNext w:val="0"/>
              <w:keepLines w:val="0"/>
              <w:pageBreakBefore w:val="0"/>
              <w:widowControl/>
              <w:suppressLineNumbers w:val="0"/>
              <w:wordWrap/>
              <w:topLinePunct w:val="0"/>
              <w:bidi w:val="0"/>
              <w:spacing w:beforeAutospacing="0" w:afterAutospacing="0" w:line="360" w:lineRule="auto"/>
              <w:ind w:left="0" w:leftChars="0" w:right="0" w:rightChars="0"/>
              <w:jc w:val="center"/>
              <w:textAlignment w:val="center"/>
              <w:rPr>
                <w:rFonts w:hint="default" w:ascii="宋体" w:hAnsi="宋体" w:eastAsia="宋体" w:cs="宋体"/>
                <w:i w:val="0"/>
                <w:iCs w:val="0"/>
                <w:color w:val="auto"/>
                <w:sz w:val="21"/>
                <w:szCs w:val="21"/>
                <w:u w:val="none"/>
                <w:lang w:val="en-US"/>
              </w:rPr>
            </w:pPr>
            <w:r>
              <w:rPr>
                <w:rFonts w:hint="eastAsia" w:ascii="宋体" w:hAnsi="宋体" w:cs="宋体"/>
                <w:i w:val="0"/>
                <w:iCs w:val="0"/>
                <w:color w:val="auto"/>
                <w:kern w:val="0"/>
                <w:sz w:val="21"/>
                <w:szCs w:val="21"/>
                <w:u w:val="none"/>
                <w:lang w:val="en-US" w:eastAsia="zh-CN" w:bidi="ar"/>
              </w:rPr>
              <w:t>17.78</w:t>
            </w:r>
          </w:p>
        </w:tc>
        <w:tc>
          <w:tcPr>
            <w:tcW w:w="18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E819B">
            <w:pPr>
              <w:keepNext w:val="0"/>
              <w:keepLines w:val="0"/>
              <w:pageBreakBefore w:val="0"/>
              <w:widowControl/>
              <w:suppressLineNumbers w:val="0"/>
              <w:wordWrap/>
              <w:topLinePunct w:val="0"/>
              <w:bidi w:val="0"/>
              <w:spacing w:beforeAutospacing="0" w:afterAutospacing="0" w:line="360" w:lineRule="auto"/>
              <w:ind w:left="0" w:leftChars="0" w:right="0" w:rightChars="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cs="宋体"/>
                <w:i w:val="0"/>
                <w:iCs w:val="0"/>
                <w:color w:val="auto"/>
                <w:kern w:val="0"/>
                <w:sz w:val="21"/>
                <w:szCs w:val="21"/>
                <w:u w:val="none"/>
                <w:lang w:val="en-US" w:eastAsia="zh-CN" w:bidi="ar"/>
              </w:rPr>
              <w:t>17.78</w:t>
            </w:r>
          </w:p>
        </w:tc>
        <w:tc>
          <w:tcPr>
            <w:tcW w:w="1531" w:type="dxa"/>
            <w:vMerge w:val="continue"/>
            <w:tcBorders>
              <w:left w:val="single" w:color="000000" w:sz="4" w:space="0"/>
              <w:right w:val="single" w:color="000000" w:sz="4" w:space="0"/>
            </w:tcBorders>
            <w:shd w:val="clear" w:color="auto" w:fill="auto"/>
            <w:noWrap/>
            <w:vAlign w:val="center"/>
          </w:tcPr>
          <w:p w14:paraId="0AF55F51">
            <w:pPr>
              <w:keepNext w:val="0"/>
              <w:keepLines w:val="0"/>
              <w:pageBreakBefore w:val="0"/>
              <w:widowControl/>
              <w:suppressLineNumbers w:val="0"/>
              <w:wordWrap/>
              <w:topLinePunct w:val="0"/>
              <w:bidi w:val="0"/>
              <w:spacing w:beforeAutospacing="0" w:afterAutospacing="0" w:line="360" w:lineRule="auto"/>
              <w:ind w:left="0" w:leftChars="0" w:right="0" w:rightChars="0"/>
              <w:jc w:val="center"/>
              <w:textAlignment w:val="center"/>
              <w:rPr>
                <w:rFonts w:hint="eastAsia" w:ascii="宋体" w:hAnsi="宋体" w:eastAsia="宋体" w:cs="宋体"/>
                <w:i w:val="0"/>
                <w:iCs w:val="0"/>
                <w:color w:val="auto"/>
                <w:kern w:val="0"/>
                <w:sz w:val="21"/>
                <w:szCs w:val="21"/>
                <w:u w:val="none"/>
                <w:lang w:val="en-US" w:eastAsia="zh-CN" w:bidi="ar"/>
              </w:rPr>
            </w:pPr>
          </w:p>
        </w:tc>
      </w:tr>
      <w:tr w14:paraId="0A7BFD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30" w:type="dxa"/>
            <w:vMerge w:val="continue"/>
            <w:tcBorders>
              <w:left w:val="single" w:color="000000" w:sz="4" w:space="0"/>
              <w:bottom w:val="single" w:color="000000" w:sz="4" w:space="0"/>
              <w:right w:val="single" w:color="000000" w:sz="4" w:space="0"/>
            </w:tcBorders>
            <w:shd w:val="clear" w:color="auto" w:fill="auto"/>
            <w:vAlign w:val="center"/>
          </w:tcPr>
          <w:p w14:paraId="456BFECD">
            <w:pPr>
              <w:keepNext w:val="0"/>
              <w:keepLines w:val="0"/>
              <w:pageBreakBefore w:val="0"/>
              <w:widowControl/>
              <w:suppressLineNumbers w:val="0"/>
              <w:wordWrap/>
              <w:topLinePunct w:val="0"/>
              <w:bidi w:val="0"/>
              <w:spacing w:beforeAutospacing="0" w:afterAutospacing="0" w:line="360" w:lineRule="auto"/>
              <w:ind w:left="0" w:leftChars="0" w:right="0" w:rightChars="0"/>
              <w:jc w:val="center"/>
              <w:textAlignment w:val="center"/>
              <w:rPr>
                <w:rFonts w:hint="default" w:ascii="宋体" w:hAnsi="宋体" w:eastAsia="宋体" w:cs="宋体"/>
                <w:i w:val="0"/>
                <w:iCs w:val="0"/>
                <w:color w:val="auto"/>
                <w:kern w:val="0"/>
                <w:sz w:val="21"/>
                <w:szCs w:val="21"/>
                <w:u w:val="none"/>
                <w:lang w:val="en-US" w:eastAsia="zh-CN" w:bidi="ar"/>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13452">
            <w:pPr>
              <w:keepNext w:val="0"/>
              <w:keepLines w:val="0"/>
              <w:pageBreakBefore w:val="0"/>
              <w:widowControl/>
              <w:suppressLineNumbers w:val="0"/>
              <w:wordWrap/>
              <w:topLinePunct w:val="0"/>
              <w:bidi w:val="0"/>
              <w:spacing w:beforeAutospacing="0" w:afterAutospacing="0" w:line="360" w:lineRule="auto"/>
              <w:ind w:left="0" w:leftChars="0" w:right="0" w:rightChars="0"/>
              <w:jc w:val="center"/>
              <w:textAlignment w:val="center"/>
              <w:rPr>
                <w:rFonts w:hint="default" w:ascii="宋体" w:hAnsi="宋体" w:eastAsia="宋体" w:cs="宋体"/>
                <w:i w:val="0"/>
                <w:iCs w:val="0"/>
                <w:color w:val="auto"/>
                <w:sz w:val="21"/>
                <w:szCs w:val="21"/>
                <w:u w:val="none"/>
                <w:lang w:val="en-US"/>
              </w:rPr>
            </w:pPr>
            <w:r>
              <w:rPr>
                <w:rFonts w:hint="eastAsia" w:ascii="宋体" w:hAnsi="宋体" w:cs="宋体"/>
                <w:i w:val="0"/>
                <w:iCs w:val="0"/>
                <w:color w:val="auto"/>
                <w:kern w:val="0"/>
                <w:sz w:val="21"/>
                <w:szCs w:val="21"/>
                <w:u w:val="none"/>
                <w:lang w:val="en-US" w:eastAsia="zh-CN" w:bidi="ar"/>
              </w:rPr>
              <w:t>常州市</w:t>
            </w:r>
            <w:r>
              <w:rPr>
                <w:rFonts w:hint="eastAsia" w:ascii="宋体" w:hAnsi="宋体" w:eastAsia="宋体" w:cs="宋体"/>
                <w:i w:val="0"/>
                <w:iCs w:val="0"/>
                <w:color w:val="auto"/>
                <w:kern w:val="0"/>
                <w:sz w:val="21"/>
                <w:szCs w:val="21"/>
                <w:u w:val="none"/>
                <w:lang w:val="en-US" w:eastAsia="zh-CN" w:bidi="ar"/>
              </w:rPr>
              <w:t>花园中学校园局部监控更补</w:t>
            </w:r>
            <w:r>
              <w:rPr>
                <w:rFonts w:hint="eastAsia" w:ascii="宋体" w:hAnsi="宋体" w:cs="宋体"/>
                <w:i w:val="0"/>
                <w:iCs w:val="0"/>
                <w:color w:val="auto"/>
                <w:kern w:val="0"/>
                <w:sz w:val="21"/>
                <w:szCs w:val="21"/>
                <w:u w:val="none"/>
                <w:lang w:val="en-US" w:eastAsia="zh-CN" w:bidi="ar"/>
              </w:rPr>
              <w:t>采购</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8145A">
            <w:pPr>
              <w:keepNext w:val="0"/>
              <w:keepLines w:val="0"/>
              <w:pageBreakBefore w:val="0"/>
              <w:widowControl/>
              <w:suppressLineNumbers w:val="0"/>
              <w:wordWrap/>
              <w:topLinePunct w:val="0"/>
              <w:bidi w:val="0"/>
              <w:spacing w:beforeAutospacing="0" w:afterAutospacing="0" w:line="360" w:lineRule="auto"/>
              <w:ind w:left="0" w:leftChars="0" w:right="0" w:rightChars="0"/>
              <w:jc w:val="center"/>
              <w:textAlignment w:val="center"/>
              <w:rPr>
                <w:rFonts w:hint="default" w:ascii="宋体" w:hAnsi="宋体" w:eastAsia="宋体" w:cs="宋体"/>
                <w:i w:val="0"/>
                <w:iCs w:val="0"/>
                <w:color w:val="auto"/>
                <w:sz w:val="21"/>
                <w:szCs w:val="21"/>
                <w:u w:val="none"/>
                <w:lang w:val="en-US"/>
              </w:rPr>
            </w:pPr>
            <w:r>
              <w:rPr>
                <w:rFonts w:hint="eastAsia" w:ascii="宋体" w:hAnsi="宋体" w:cs="宋体"/>
                <w:i w:val="0"/>
                <w:iCs w:val="0"/>
                <w:color w:val="auto"/>
                <w:kern w:val="0"/>
                <w:sz w:val="21"/>
                <w:szCs w:val="21"/>
                <w:u w:val="none"/>
                <w:lang w:val="en-US" w:eastAsia="zh-CN" w:bidi="ar"/>
              </w:rPr>
              <w:t>20.3</w:t>
            </w:r>
          </w:p>
        </w:tc>
        <w:tc>
          <w:tcPr>
            <w:tcW w:w="18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E5A71">
            <w:pPr>
              <w:keepNext w:val="0"/>
              <w:keepLines w:val="0"/>
              <w:pageBreakBefore w:val="0"/>
              <w:widowControl/>
              <w:suppressLineNumbers w:val="0"/>
              <w:wordWrap/>
              <w:topLinePunct w:val="0"/>
              <w:bidi w:val="0"/>
              <w:spacing w:beforeAutospacing="0" w:afterAutospacing="0" w:line="360" w:lineRule="auto"/>
              <w:ind w:left="0" w:leftChars="0" w:right="0" w:rightChars="0"/>
              <w:jc w:val="center"/>
              <w:textAlignment w:val="center"/>
              <w:rPr>
                <w:rFonts w:hint="default" w:ascii="宋体" w:hAnsi="宋体" w:eastAsia="宋体" w:cs="宋体"/>
                <w:i w:val="0"/>
                <w:iCs w:val="0"/>
                <w:color w:val="auto"/>
                <w:kern w:val="2"/>
                <w:sz w:val="21"/>
                <w:szCs w:val="21"/>
                <w:u w:val="none"/>
                <w:lang w:val="en-US" w:eastAsia="zh-CN" w:bidi="ar-SA"/>
              </w:rPr>
            </w:pPr>
            <w:r>
              <w:rPr>
                <w:rFonts w:hint="eastAsia" w:ascii="宋体" w:hAnsi="宋体" w:cs="宋体"/>
                <w:i w:val="0"/>
                <w:iCs w:val="0"/>
                <w:color w:val="auto"/>
                <w:kern w:val="0"/>
                <w:sz w:val="21"/>
                <w:szCs w:val="21"/>
                <w:u w:val="none"/>
                <w:lang w:val="en-US" w:eastAsia="zh-CN" w:bidi="ar"/>
              </w:rPr>
              <w:t>20.3</w:t>
            </w:r>
          </w:p>
        </w:tc>
        <w:tc>
          <w:tcPr>
            <w:tcW w:w="1531" w:type="dxa"/>
            <w:vMerge w:val="continue"/>
            <w:tcBorders>
              <w:left w:val="single" w:color="000000" w:sz="4" w:space="0"/>
              <w:bottom w:val="single" w:color="000000" w:sz="4" w:space="0"/>
              <w:right w:val="single" w:color="000000" w:sz="4" w:space="0"/>
            </w:tcBorders>
            <w:shd w:val="clear" w:color="auto" w:fill="auto"/>
            <w:noWrap/>
            <w:vAlign w:val="center"/>
          </w:tcPr>
          <w:p w14:paraId="6AF614A2">
            <w:pPr>
              <w:keepNext w:val="0"/>
              <w:keepLines w:val="0"/>
              <w:pageBreakBefore w:val="0"/>
              <w:widowControl/>
              <w:suppressLineNumbers w:val="0"/>
              <w:wordWrap/>
              <w:topLinePunct w:val="0"/>
              <w:bidi w:val="0"/>
              <w:spacing w:beforeAutospacing="0" w:afterAutospacing="0" w:line="360" w:lineRule="auto"/>
              <w:ind w:left="0" w:leftChars="0" w:right="0" w:rightChars="0"/>
              <w:jc w:val="center"/>
              <w:textAlignment w:val="center"/>
              <w:rPr>
                <w:rFonts w:hint="eastAsia" w:ascii="宋体" w:hAnsi="宋体" w:eastAsia="宋体" w:cs="宋体"/>
                <w:i w:val="0"/>
                <w:iCs w:val="0"/>
                <w:color w:val="auto"/>
                <w:kern w:val="0"/>
                <w:sz w:val="21"/>
                <w:szCs w:val="21"/>
                <w:u w:val="none"/>
                <w:lang w:val="en-US" w:eastAsia="zh-CN" w:bidi="ar"/>
              </w:rPr>
            </w:pPr>
          </w:p>
        </w:tc>
      </w:tr>
    </w:tbl>
    <w:p w14:paraId="7971C6E8">
      <w:pPr>
        <w:pStyle w:val="17"/>
        <w:rPr>
          <w:b/>
          <w:bCs/>
          <w:color w:val="auto"/>
        </w:rPr>
      </w:pPr>
      <w:r>
        <w:rPr>
          <w:b/>
          <w:bCs/>
          <w:color w:val="auto"/>
        </w:rPr>
        <w:t>注：</w:t>
      </w:r>
    </w:p>
    <w:p w14:paraId="64ED3EF8">
      <w:pPr>
        <w:pStyle w:val="17"/>
        <w:numPr>
          <w:ilvl w:val="0"/>
          <w:numId w:val="11"/>
        </w:numPr>
        <w:tabs>
          <w:tab w:val="left" w:pos="567"/>
        </w:tabs>
        <w:topLinePunct w:val="0"/>
        <w:ind w:left="0" w:leftChars="0" w:firstLine="480" w:firstLineChars="0"/>
        <w:rPr>
          <w:b/>
          <w:bCs/>
          <w:color w:val="auto"/>
        </w:rPr>
      </w:pPr>
      <w:r>
        <w:rPr>
          <w:rFonts w:hint="eastAsia"/>
          <w:b/>
          <w:bCs/>
          <w:color w:val="auto"/>
          <w:lang w:val="en-US" w:eastAsia="zh-CN"/>
        </w:rPr>
        <w:t>响应人报价应不超过本项目的预算金额和最高限价，对</w:t>
      </w:r>
      <w:r>
        <w:rPr>
          <w:b/>
          <w:bCs/>
          <w:color w:val="auto"/>
        </w:rPr>
        <w:t>各</w:t>
      </w:r>
      <w:r>
        <w:rPr>
          <w:rFonts w:hint="eastAsia"/>
          <w:b/>
          <w:bCs/>
          <w:color w:val="auto"/>
          <w:lang w:val="en-US" w:eastAsia="zh-CN"/>
        </w:rPr>
        <w:t>采购单位的</w:t>
      </w:r>
      <w:r>
        <w:rPr>
          <w:b/>
          <w:bCs/>
          <w:color w:val="auto"/>
        </w:rPr>
        <w:t>报价</w:t>
      </w:r>
      <w:r>
        <w:rPr>
          <w:rFonts w:hint="eastAsia"/>
          <w:b/>
          <w:bCs/>
          <w:color w:val="auto"/>
          <w:lang w:val="en-US" w:eastAsia="zh-CN"/>
        </w:rPr>
        <w:t>也</w:t>
      </w:r>
      <w:r>
        <w:rPr>
          <w:b/>
          <w:bCs/>
          <w:color w:val="auto"/>
        </w:rPr>
        <w:t>不得超过</w:t>
      </w:r>
      <w:r>
        <w:rPr>
          <w:rFonts w:hint="eastAsia"/>
          <w:b/>
          <w:bCs/>
          <w:color w:val="auto"/>
          <w:lang w:val="en-US" w:eastAsia="zh-CN"/>
        </w:rPr>
        <w:t>对应的</w:t>
      </w:r>
      <w:r>
        <w:rPr>
          <w:b/>
          <w:bCs/>
          <w:color w:val="auto"/>
        </w:rPr>
        <w:t>预算金额</w:t>
      </w:r>
      <w:r>
        <w:rPr>
          <w:rFonts w:hint="eastAsia"/>
          <w:b/>
          <w:bCs/>
          <w:color w:val="auto"/>
          <w:lang w:val="en-US" w:eastAsia="zh-CN"/>
        </w:rPr>
        <w:t>和最高限额</w:t>
      </w:r>
      <w:r>
        <w:rPr>
          <w:b/>
          <w:bCs/>
          <w:color w:val="auto"/>
        </w:rPr>
        <w:t>，否则作无效</w:t>
      </w:r>
      <w:r>
        <w:rPr>
          <w:rFonts w:hint="eastAsia"/>
          <w:b/>
          <w:bCs/>
          <w:color w:val="auto"/>
          <w:lang w:val="en-US" w:eastAsia="zh-CN"/>
        </w:rPr>
        <w:t>投标</w:t>
      </w:r>
      <w:r>
        <w:rPr>
          <w:b/>
          <w:bCs/>
          <w:color w:val="auto"/>
        </w:rPr>
        <w:t>处理。</w:t>
      </w:r>
    </w:p>
    <w:p w14:paraId="7CE493DD">
      <w:pPr>
        <w:pStyle w:val="17"/>
        <w:numPr>
          <w:ilvl w:val="0"/>
          <w:numId w:val="10"/>
        </w:numPr>
        <w:ind w:left="0" w:leftChars="0" w:firstLine="480" w:firstLineChars="0"/>
        <w:rPr>
          <w:rFonts w:ascii="Times New Roman" w:hAnsi="Times New Roman" w:eastAsia="宋体" w:cs="Times New Roman"/>
          <w:color w:val="auto"/>
        </w:rPr>
      </w:pPr>
      <w:r>
        <w:rPr>
          <w:rFonts w:ascii="Times New Roman" w:hAnsi="Times New Roman" w:eastAsia="宋体" w:cs="Times New Roman"/>
          <w:color w:val="auto"/>
        </w:rPr>
        <w:t>采购需求（简介）：</w:t>
      </w:r>
      <w:r>
        <w:rPr>
          <w:rFonts w:hint="eastAsia" w:ascii="Times New Roman" w:hAnsi="Times New Roman" w:eastAsia="宋体" w:cs="Times New Roman"/>
          <w:color w:val="auto"/>
          <w:lang w:val="en-US" w:eastAsia="zh-CN"/>
        </w:rPr>
        <w:t>含常州市北郊高中校园部分安防设备更换采购、常州市第二十四中学校园增设监控设备采购、常州市田家炳高中安防设备更新采购、常州市实验初中监控设备采购、常州市花园中学校园局部监控更补采购</w:t>
      </w:r>
      <w:r>
        <w:rPr>
          <w:rFonts w:ascii="Times New Roman" w:hAnsi="Times New Roman" w:eastAsia="宋体" w:cs="Times New Roman"/>
          <w:color w:val="auto"/>
        </w:rPr>
        <w:t>，</w:t>
      </w:r>
      <w:r>
        <w:rPr>
          <w:rFonts w:hint="eastAsia" w:ascii="Times New Roman" w:hAnsi="Times New Roman" w:eastAsia="宋体" w:cs="Times New Roman"/>
          <w:color w:val="auto"/>
          <w:lang w:val="en-US" w:eastAsia="zh-CN"/>
        </w:rPr>
        <w:t>均</w:t>
      </w:r>
      <w:r>
        <w:rPr>
          <w:rFonts w:ascii="Times New Roman" w:hAnsi="Times New Roman" w:eastAsia="宋体" w:cs="Times New Roman"/>
          <w:color w:val="auto"/>
        </w:rPr>
        <w:t>包括设备安装调试及项目集成。（详细内容见本</w:t>
      </w:r>
      <w:r>
        <w:rPr>
          <w:rFonts w:hint="eastAsia" w:ascii="Times New Roman" w:hAnsi="Times New Roman" w:eastAsia="宋体" w:cs="Times New Roman"/>
          <w:color w:val="auto"/>
          <w:lang w:val="en-US" w:eastAsia="zh-CN"/>
        </w:rPr>
        <w:t>采购</w:t>
      </w:r>
      <w:r>
        <w:rPr>
          <w:rFonts w:ascii="Times New Roman" w:hAnsi="Times New Roman" w:eastAsia="宋体" w:cs="Times New Roman"/>
          <w:color w:val="auto"/>
        </w:rPr>
        <w:t xml:space="preserve">文件第四章） </w:t>
      </w:r>
      <w:r>
        <w:rPr>
          <w:rFonts w:hint="eastAsia" w:ascii="Times New Roman" w:hAnsi="Times New Roman" w:eastAsia="宋体" w:cs="Times New Roman"/>
          <w:color w:val="auto"/>
        </w:rPr>
        <w:t xml:space="preserve"> </w:t>
      </w:r>
    </w:p>
    <w:p w14:paraId="6736AAC0">
      <w:pPr>
        <w:pStyle w:val="17"/>
        <w:numPr>
          <w:ilvl w:val="0"/>
          <w:numId w:val="10"/>
        </w:numPr>
        <w:ind w:left="0" w:leftChars="0" w:firstLine="480" w:firstLineChars="0"/>
        <w:rPr>
          <w:b w:val="0"/>
          <w:color w:val="auto"/>
          <w:u w:val="single"/>
        </w:rPr>
      </w:pPr>
      <w:r>
        <w:rPr>
          <w:color w:val="auto"/>
        </w:rPr>
        <w:t>合同履行期限：</w:t>
      </w:r>
      <w:r>
        <w:rPr>
          <w:b/>
          <w:strike w:val="0"/>
          <w:color w:val="auto"/>
        </w:rPr>
        <w:t>自合同签订生效之日</w:t>
      </w:r>
      <w:r>
        <w:rPr>
          <w:strike w:val="0"/>
          <w:color w:val="auto"/>
        </w:rPr>
        <w:t>起、项目验收合格之日止。</w:t>
      </w:r>
    </w:p>
    <w:p w14:paraId="2CD0AE6F">
      <w:pPr>
        <w:pStyle w:val="17"/>
        <w:numPr>
          <w:ilvl w:val="0"/>
          <w:numId w:val="10"/>
        </w:numPr>
        <w:ind w:left="0" w:leftChars="0" w:firstLine="480" w:firstLineChars="0"/>
        <w:rPr>
          <w:b w:val="0"/>
          <w:color w:val="auto"/>
        </w:rPr>
      </w:pPr>
      <w:r>
        <w:rPr>
          <w:color w:val="auto"/>
        </w:rPr>
        <w:t>本项目是否接受联合体投标</w:t>
      </w:r>
      <w:r>
        <w:rPr>
          <w:rFonts w:hint="eastAsia"/>
          <w:color w:val="auto"/>
          <w:lang w:eastAsia="zh-CN"/>
        </w:rPr>
        <w:t>（</w:t>
      </w:r>
      <w:r>
        <w:rPr>
          <w:rFonts w:hint="eastAsia"/>
          <w:color w:val="auto"/>
          <w:lang w:val="en-US" w:eastAsia="zh-CN"/>
        </w:rPr>
        <w:t>响应</w:t>
      </w:r>
      <w:r>
        <w:rPr>
          <w:rFonts w:hint="eastAsia"/>
          <w:color w:val="auto"/>
          <w:lang w:eastAsia="zh-CN"/>
        </w:rPr>
        <w:t>）</w:t>
      </w:r>
      <w:r>
        <w:rPr>
          <w:color w:val="auto"/>
        </w:rPr>
        <w:t>： 否。</w:t>
      </w:r>
    </w:p>
    <w:p w14:paraId="60AD0B8D">
      <w:pPr>
        <w:pStyle w:val="17"/>
        <w:numPr>
          <w:ilvl w:val="0"/>
          <w:numId w:val="10"/>
        </w:numPr>
        <w:ind w:left="0" w:leftChars="0" w:firstLine="480" w:firstLineChars="0"/>
        <w:rPr>
          <w:b w:val="0"/>
          <w:color w:val="auto"/>
        </w:rPr>
      </w:pPr>
      <w:r>
        <w:rPr>
          <w:color w:val="auto"/>
        </w:rPr>
        <w:t>本项目是否接受进口产品投标</w:t>
      </w:r>
      <w:r>
        <w:rPr>
          <w:rFonts w:hint="eastAsia"/>
          <w:color w:val="auto"/>
          <w:lang w:eastAsia="zh-CN"/>
        </w:rPr>
        <w:t>（</w:t>
      </w:r>
      <w:r>
        <w:rPr>
          <w:rFonts w:hint="eastAsia"/>
          <w:color w:val="auto"/>
          <w:lang w:val="en-US" w:eastAsia="zh-CN"/>
        </w:rPr>
        <w:t>响应</w:t>
      </w:r>
      <w:r>
        <w:rPr>
          <w:rFonts w:hint="eastAsia"/>
          <w:color w:val="auto"/>
          <w:lang w:eastAsia="zh-CN"/>
        </w:rPr>
        <w:t>）</w:t>
      </w:r>
      <w:r>
        <w:rPr>
          <w:color w:val="auto"/>
        </w:rPr>
        <w:t>：否。</w:t>
      </w:r>
    </w:p>
    <w:p w14:paraId="3C0D8FE4">
      <w:pPr>
        <w:pStyle w:val="3"/>
        <w:numPr>
          <w:ilvl w:val="0"/>
          <w:numId w:val="9"/>
        </w:numPr>
        <w:topLinePunct w:val="0"/>
        <w:ind w:left="0" w:leftChars="0" w:firstLine="0" w:firstLineChars="0"/>
        <w:rPr>
          <w:b w:val="0"/>
          <w:color w:val="auto"/>
        </w:rPr>
      </w:pPr>
      <w:bookmarkStart w:id="8" w:name="_Toc35393622"/>
      <w:bookmarkStart w:id="9" w:name="_Toc28359003"/>
      <w:bookmarkStart w:id="10" w:name="_Toc35393791"/>
      <w:bookmarkStart w:id="11" w:name="_Toc28359080"/>
      <w:r>
        <w:rPr>
          <w:color w:val="auto"/>
        </w:rPr>
        <w:t>申请人的资格要求（须同时满足）</w:t>
      </w:r>
      <w:bookmarkEnd w:id="8"/>
      <w:bookmarkEnd w:id="9"/>
      <w:bookmarkEnd w:id="10"/>
      <w:bookmarkEnd w:id="11"/>
    </w:p>
    <w:p w14:paraId="6D2794C6">
      <w:pPr>
        <w:pStyle w:val="4"/>
        <w:numPr>
          <w:ilvl w:val="0"/>
          <w:numId w:val="12"/>
        </w:numPr>
        <w:ind w:left="0" w:leftChars="0" w:firstLine="0" w:firstLineChars="0"/>
        <w:rPr>
          <w:b w:val="0"/>
          <w:color w:val="auto"/>
        </w:rPr>
      </w:pPr>
      <w:r>
        <w:rPr>
          <w:color w:val="auto"/>
        </w:rPr>
        <w:t>满足《中华人民共和国政府采购法》第二十二条规定以及下列情形：</w:t>
      </w:r>
    </w:p>
    <w:p w14:paraId="03E61104">
      <w:pPr>
        <w:pStyle w:val="17"/>
        <w:numPr>
          <w:ilvl w:val="0"/>
          <w:numId w:val="13"/>
        </w:numPr>
        <w:ind w:left="0" w:leftChars="0" w:firstLine="480" w:firstLineChars="0"/>
        <w:rPr>
          <w:b w:val="0"/>
          <w:color w:val="auto"/>
        </w:rPr>
      </w:pPr>
      <w:r>
        <w:rPr>
          <w:color w:val="auto"/>
        </w:rPr>
        <w:t>未被“信用中国”网站（www.creditchina.gov.cn）或“中国政府采购网”网站（www.ccgp.gov.cn）列入失信被执行人、重大税收违法案件当事人名单、政府采购严重失信行为记录名单及其他不符合《中华人民共和国政府采购法》第二十二条规定条件的信用记录。</w:t>
      </w:r>
    </w:p>
    <w:p w14:paraId="35E78ADB">
      <w:pPr>
        <w:pStyle w:val="17"/>
        <w:numPr>
          <w:ilvl w:val="0"/>
          <w:numId w:val="13"/>
        </w:numPr>
        <w:ind w:left="0" w:leftChars="0" w:firstLine="480" w:firstLineChars="0"/>
        <w:rPr>
          <w:b w:val="0"/>
          <w:color w:val="auto"/>
        </w:rPr>
      </w:pPr>
      <w:r>
        <w:rPr>
          <w:color w:val="auto"/>
        </w:rPr>
        <w:t>单位负责人为同一人或者存在直接控股、管理关系的不同供应商（包含法定代表人为同一个人的两个及两个以上法人，母公司、全资子公司及其控股公司），不得参加同一合同项下的政府采购活动。</w:t>
      </w:r>
    </w:p>
    <w:p w14:paraId="74AC3FBD">
      <w:pPr>
        <w:pStyle w:val="4"/>
        <w:numPr>
          <w:ilvl w:val="0"/>
          <w:numId w:val="12"/>
        </w:numPr>
        <w:ind w:left="0" w:leftChars="0" w:firstLine="0" w:firstLineChars="0"/>
        <w:rPr>
          <w:b w:val="0"/>
          <w:color w:val="auto"/>
        </w:rPr>
      </w:pPr>
      <w:bookmarkStart w:id="12" w:name="_Toc28359004"/>
      <w:bookmarkStart w:id="13" w:name="_Toc28359081"/>
      <w:r>
        <w:rPr>
          <w:color w:val="auto"/>
        </w:rPr>
        <w:t>落实政府采购政策需满足的资格要求：</w:t>
      </w:r>
    </w:p>
    <w:p w14:paraId="5895407A">
      <w:pPr>
        <w:pStyle w:val="6"/>
        <w:numPr>
          <w:ilvl w:val="0"/>
          <w:numId w:val="14"/>
        </w:numPr>
        <w:ind w:left="0" w:leftChars="0" w:firstLine="0" w:firstLineChars="0"/>
        <w:rPr>
          <w:b w:val="0"/>
          <w:color w:val="auto"/>
        </w:rPr>
      </w:pPr>
      <w:r>
        <w:rPr>
          <w:color w:val="auto"/>
        </w:rPr>
        <w:t>中小企业政策</w:t>
      </w:r>
    </w:p>
    <w:p w14:paraId="2DC5C17E">
      <w:pPr>
        <w:pStyle w:val="17"/>
        <w:rPr>
          <w:color w:val="auto"/>
        </w:rPr>
      </w:pPr>
      <w:r>
        <w:rPr>
          <w:color w:val="auto"/>
        </w:rPr>
        <w:t>■本项目</w:t>
      </w:r>
      <w:r>
        <w:rPr>
          <w:rFonts w:hint="eastAsia"/>
          <w:color w:val="auto"/>
          <w:lang w:val="en-US" w:eastAsia="zh-CN"/>
        </w:rPr>
        <w:t>不</w:t>
      </w:r>
      <w:r>
        <w:rPr>
          <w:color w:val="auto"/>
        </w:rPr>
        <w:t>专门面向中小企业预留采购份额。</w:t>
      </w:r>
    </w:p>
    <w:p w14:paraId="13F1F39F">
      <w:pPr>
        <w:pStyle w:val="6"/>
        <w:numPr>
          <w:ilvl w:val="0"/>
          <w:numId w:val="14"/>
        </w:numPr>
        <w:ind w:left="0" w:leftChars="0" w:firstLine="0" w:firstLineChars="0"/>
        <w:rPr>
          <w:b w:val="0"/>
          <w:color w:val="auto"/>
        </w:rPr>
      </w:pPr>
      <w:r>
        <w:rPr>
          <w:color w:val="auto"/>
        </w:rPr>
        <w:t>其它落实政府采购政策的资格要求：</w:t>
      </w:r>
      <w:r>
        <w:rPr>
          <w:color w:val="auto"/>
          <w:u w:val="single"/>
        </w:rPr>
        <w:t>无</w:t>
      </w:r>
      <w:r>
        <w:rPr>
          <w:color w:val="auto"/>
        </w:rPr>
        <w:t>。</w:t>
      </w:r>
    </w:p>
    <w:p w14:paraId="5FA0B9B8">
      <w:pPr>
        <w:pStyle w:val="4"/>
        <w:numPr>
          <w:ilvl w:val="0"/>
          <w:numId w:val="12"/>
        </w:numPr>
        <w:ind w:left="0" w:leftChars="0" w:firstLine="0" w:firstLineChars="0"/>
        <w:rPr>
          <w:b w:val="0"/>
          <w:color w:val="auto"/>
          <w:u w:val="single"/>
        </w:rPr>
      </w:pPr>
      <w:r>
        <w:rPr>
          <w:color w:val="auto"/>
        </w:rPr>
        <w:t>本项目的特定资格要求：</w:t>
      </w:r>
    </w:p>
    <w:p w14:paraId="226E5BBE">
      <w:pPr>
        <w:pStyle w:val="17"/>
        <w:numPr>
          <w:ilvl w:val="0"/>
          <w:numId w:val="15"/>
        </w:numPr>
        <w:ind w:left="0" w:leftChars="0" w:firstLine="480" w:firstLineChars="0"/>
        <w:rPr>
          <w:b w:val="0"/>
          <w:color w:val="auto"/>
        </w:rPr>
      </w:pPr>
      <w:r>
        <w:rPr>
          <w:color w:val="auto"/>
        </w:rPr>
        <w:t>本项目是否接受分支机构参与投标</w:t>
      </w:r>
      <w:r>
        <w:rPr>
          <w:rFonts w:hint="eastAsia"/>
          <w:color w:val="auto"/>
          <w:lang w:eastAsia="zh-CN"/>
        </w:rPr>
        <w:t>（</w:t>
      </w:r>
      <w:r>
        <w:rPr>
          <w:rFonts w:hint="eastAsia"/>
          <w:color w:val="auto"/>
          <w:lang w:val="en-US" w:eastAsia="zh-CN"/>
        </w:rPr>
        <w:t>响应</w:t>
      </w:r>
      <w:r>
        <w:rPr>
          <w:rFonts w:hint="eastAsia"/>
          <w:color w:val="auto"/>
          <w:lang w:eastAsia="zh-CN"/>
        </w:rPr>
        <w:t>）</w:t>
      </w:r>
      <w:r>
        <w:rPr>
          <w:color w:val="auto"/>
        </w:rPr>
        <w:t>：否；</w:t>
      </w:r>
    </w:p>
    <w:p w14:paraId="6B46E631">
      <w:pPr>
        <w:pStyle w:val="17"/>
        <w:numPr>
          <w:ilvl w:val="0"/>
          <w:numId w:val="15"/>
        </w:numPr>
        <w:ind w:left="0" w:leftChars="0" w:firstLine="480" w:firstLineChars="0"/>
        <w:rPr>
          <w:b w:val="0"/>
          <w:color w:val="auto"/>
        </w:rPr>
      </w:pPr>
      <w:r>
        <w:rPr>
          <w:color w:val="auto"/>
        </w:rPr>
        <w:t>其他特定资格要求：</w:t>
      </w:r>
      <w:r>
        <w:rPr>
          <w:color w:val="auto"/>
          <w:u w:val="single"/>
        </w:rPr>
        <w:t>无</w:t>
      </w:r>
      <w:r>
        <w:rPr>
          <w:color w:val="auto"/>
        </w:rPr>
        <w:t>。</w:t>
      </w:r>
    </w:p>
    <w:bookmarkEnd w:id="12"/>
    <w:bookmarkEnd w:id="13"/>
    <w:p w14:paraId="3DC13659">
      <w:pPr>
        <w:pStyle w:val="3"/>
        <w:widowControl/>
        <w:numPr>
          <w:ilvl w:val="0"/>
          <w:numId w:val="9"/>
        </w:numPr>
        <w:topLinePunct w:val="0"/>
        <w:ind w:left="0" w:leftChars="0" w:firstLine="0" w:firstLineChars="0"/>
        <w:rPr>
          <w:b w:val="0"/>
          <w:color w:val="auto"/>
        </w:rPr>
      </w:pPr>
      <w:bookmarkStart w:id="14" w:name="_Toc35393623"/>
      <w:bookmarkStart w:id="15" w:name="_Toc35393792"/>
      <w:r>
        <w:rPr>
          <w:color w:val="auto"/>
        </w:rPr>
        <w:t>获取询价通知书</w:t>
      </w:r>
      <w:bookmarkEnd w:id="14"/>
      <w:bookmarkEnd w:id="15"/>
    </w:p>
    <w:p w14:paraId="7A422047">
      <w:pPr>
        <w:pStyle w:val="17"/>
        <w:numPr>
          <w:ilvl w:val="0"/>
          <w:numId w:val="16"/>
        </w:numPr>
        <w:ind w:left="0" w:leftChars="0" w:firstLine="480" w:firstLineChars="0"/>
        <w:rPr>
          <w:b w:val="0"/>
          <w:color w:val="auto"/>
          <w:u w:val="none"/>
        </w:rPr>
      </w:pPr>
      <w:bookmarkStart w:id="16" w:name="_Toc35393624"/>
      <w:bookmarkStart w:id="17" w:name="_Toc28359005"/>
      <w:bookmarkStart w:id="18" w:name="_Toc35393793"/>
      <w:bookmarkStart w:id="19" w:name="_Toc28359082"/>
      <w:r>
        <w:rPr>
          <w:color w:val="auto"/>
          <w:u w:val="none"/>
        </w:rPr>
        <w:t>时间：详见采购公告。</w:t>
      </w:r>
    </w:p>
    <w:p w14:paraId="0B80F582">
      <w:pPr>
        <w:pStyle w:val="17"/>
        <w:rPr>
          <w:rFonts w:hint="default" w:eastAsia="宋体"/>
          <w:color w:val="auto"/>
          <w:u w:val="none"/>
          <w:lang w:val="en-US" w:eastAsia="zh-CN"/>
        </w:rPr>
      </w:pPr>
      <w:r>
        <w:rPr>
          <w:rFonts w:hint="eastAsia"/>
          <w:color w:val="auto"/>
          <w:u w:val="none"/>
          <w:lang w:val="en-US" w:eastAsia="zh-CN"/>
        </w:rPr>
        <w:t>2.</w:t>
      </w:r>
      <w:r>
        <w:rPr>
          <w:color w:val="auto"/>
          <w:u w:val="none"/>
        </w:rPr>
        <w:t>方式：响应人在</w:t>
      </w:r>
      <w:r>
        <w:rPr>
          <w:rFonts w:hint="eastAsia"/>
          <w:color w:val="auto"/>
          <w:u w:val="none"/>
        </w:rPr>
        <w:t>在“江苏政府采购网”、“常州市政府采购网”自行免费下载招标文件。</w:t>
      </w:r>
    </w:p>
    <w:bookmarkEnd w:id="16"/>
    <w:bookmarkEnd w:id="17"/>
    <w:bookmarkEnd w:id="18"/>
    <w:bookmarkEnd w:id="19"/>
    <w:p w14:paraId="7845DF66">
      <w:pPr>
        <w:pStyle w:val="3"/>
        <w:widowControl/>
        <w:numPr>
          <w:ilvl w:val="0"/>
          <w:numId w:val="9"/>
        </w:numPr>
        <w:topLinePunct w:val="0"/>
        <w:ind w:left="0" w:leftChars="0" w:firstLine="0" w:firstLineChars="0"/>
        <w:rPr>
          <w:b w:val="0"/>
          <w:color w:val="auto"/>
        </w:rPr>
      </w:pPr>
      <w:r>
        <w:rPr>
          <w:color w:val="auto"/>
        </w:rPr>
        <w:t>响应文件提交截止时间、开启时间和地点</w:t>
      </w:r>
    </w:p>
    <w:p w14:paraId="1894F2CA">
      <w:pPr>
        <w:pStyle w:val="17"/>
        <w:rPr>
          <w:color w:val="auto"/>
          <w:u w:val="none"/>
        </w:rPr>
      </w:pPr>
      <w:r>
        <w:rPr>
          <w:color w:val="auto"/>
          <w:u w:val="none"/>
        </w:rPr>
        <w:t>截止时间、开启时间：详见采购公告。</w:t>
      </w:r>
    </w:p>
    <w:p w14:paraId="12970244">
      <w:pPr>
        <w:pStyle w:val="17"/>
        <w:rPr>
          <w:color w:val="auto"/>
          <w:u w:val="none"/>
        </w:rPr>
      </w:pPr>
      <w:r>
        <w:rPr>
          <w:color w:val="auto"/>
          <w:u w:val="none"/>
        </w:rPr>
        <w:t>地    点：本项目采用不见面交易方式，无需到现场提交，响应人登录</w:t>
      </w:r>
      <w:r>
        <w:rPr>
          <w:rFonts w:hint="eastAsia"/>
          <w:color w:val="auto"/>
          <w:u w:val="none"/>
        </w:rPr>
        <w:t>苏采云政府采购一体化平台</w:t>
      </w:r>
      <w:r>
        <w:rPr>
          <w:color w:val="auto"/>
          <w:u w:val="none"/>
        </w:rPr>
        <w:t>供应商端，通过系统在线提交和解密电子响应文件。</w:t>
      </w:r>
    </w:p>
    <w:p w14:paraId="4598A098">
      <w:pPr>
        <w:pStyle w:val="3"/>
        <w:numPr>
          <w:ilvl w:val="0"/>
          <w:numId w:val="9"/>
        </w:numPr>
        <w:topLinePunct w:val="0"/>
        <w:ind w:left="0" w:leftChars="0" w:firstLine="0" w:firstLineChars="0"/>
        <w:rPr>
          <w:b w:val="0"/>
          <w:color w:val="auto"/>
        </w:rPr>
      </w:pPr>
      <w:bookmarkStart w:id="20" w:name="_Toc28359007"/>
      <w:bookmarkStart w:id="21" w:name="_Toc35393794"/>
      <w:bookmarkStart w:id="22" w:name="_Toc28359084"/>
      <w:bookmarkStart w:id="23" w:name="_Toc35393625"/>
      <w:r>
        <w:rPr>
          <w:color w:val="auto"/>
        </w:rPr>
        <w:t>公告期限</w:t>
      </w:r>
      <w:bookmarkEnd w:id="20"/>
      <w:bookmarkEnd w:id="21"/>
      <w:bookmarkEnd w:id="22"/>
      <w:bookmarkEnd w:id="23"/>
    </w:p>
    <w:p w14:paraId="76FE971B">
      <w:pPr>
        <w:pStyle w:val="17"/>
        <w:rPr>
          <w:color w:val="auto"/>
        </w:rPr>
      </w:pPr>
      <w:r>
        <w:rPr>
          <w:color w:val="auto"/>
        </w:rPr>
        <w:t>自本公告发布之日起3个工作日。</w:t>
      </w:r>
    </w:p>
    <w:p w14:paraId="316EAE4B">
      <w:pPr>
        <w:pStyle w:val="3"/>
        <w:numPr>
          <w:ilvl w:val="0"/>
          <w:numId w:val="9"/>
        </w:numPr>
        <w:topLinePunct w:val="0"/>
        <w:ind w:left="0" w:leftChars="0" w:firstLine="0" w:firstLineChars="0"/>
        <w:rPr>
          <w:b w:val="0"/>
          <w:color w:val="auto"/>
        </w:rPr>
      </w:pPr>
      <w:bookmarkStart w:id="24" w:name="_Toc35393795"/>
      <w:bookmarkStart w:id="25" w:name="_Toc35393626"/>
      <w:r>
        <w:rPr>
          <w:color w:val="auto"/>
        </w:rPr>
        <w:t>其他补充事宜</w:t>
      </w:r>
      <w:bookmarkEnd w:id="24"/>
      <w:bookmarkEnd w:id="25"/>
    </w:p>
    <w:p w14:paraId="436E14C8">
      <w:pPr>
        <w:pStyle w:val="17"/>
        <w:numPr>
          <w:ilvl w:val="0"/>
          <w:numId w:val="17"/>
        </w:numPr>
        <w:ind w:left="0" w:leftChars="0" w:firstLine="480" w:firstLineChars="0"/>
        <w:rPr>
          <w:b w:val="0"/>
          <w:color w:val="auto"/>
        </w:rPr>
      </w:pPr>
      <w:r>
        <w:rPr>
          <w:color w:val="auto"/>
        </w:rPr>
        <w:t>本项目需要落实的3.3-3.7以外的政府采购政策：</w:t>
      </w:r>
      <w:r>
        <w:rPr>
          <w:color w:val="auto"/>
          <w:u w:val="single"/>
        </w:rPr>
        <w:t>无</w:t>
      </w:r>
      <w:r>
        <w:rPr>
          <w:color w:val="auto"/>
        </w:rPr>
        <w:t xml:space="preserve">。 </w:t>
      </w:r>
    </w:p>
    <w:p w14:paraId="551748EC">
      <w:pPr>
        <w:pStyle w:val="17"/>
        <w:numPr>
          <w:ilvl w:val="0"/>
          <w:numId w:val="17"/>
        </w:numPr>
        <w:ind w:left="0" w:leftChars="0" w:firstLine="480" w:firstLineChars="0"/>
        <w:rPr>
          <w:b w:val="0"/>
          <w:color w:val="auto"/>
        </w:rPr>
      </w:pPr>
      <w:r>
        <w:rPr>
          <w:color w:val="auto"/>
        </w:rPr>
        <w:t>注意事项</w:t>
      </w:r>
    </w:p>
    <w:p w14:paraId="7555538A">
      <w:pPr>
        <w:pStyle w:val="17"/>
        <w:rPr>
          <w:color w:val="auto"/>
        </w:rPr>
      </w:pPr>
      <w:r>
        <w:rPr>
          <w:color w:val="auto"/>
        </w:rPr>
        <w:t>2.1有关本次采购的事项若存在变动或修改，</w:t>
      </w:r>
      <w:r>
        <w:rPr>
          <w:rFonts w:hint="eastAsia"/>
          <w:color w:val="auto"/>
        </w:rPr>
        <w:t>敬请及时关注常州市教育基本建设与装备管理中心在“江苏政府采购网” 、“常州市政府采购网”发布的更正公告。</w:t>
      </w:r>
    </w:p>
    <w:p w14:paraId="7A010FAA">
      <w:pPr>
        <w:pStyle w:val="17"/>
        <w:numPr>
          <w:ilvl w:val="0"/>
          <w:numId w:val="17"/>
        </w:numPr>
        <w:ind w:left="0" w:leftChars="0" w:firstLine="480" w:firstLineChars="0"/>
        <w:rPr>
          <w:rFonts w:hint="eastAsia" w:ascii="Times New Roman" w:hAnsi="Times New Roman" w:eastAsia="宋体" w:cs="Times New Roman"/>
          <w:color w:val="auto"/>
        </w:rPr>
      </w:pPr>
      <w:bookmarkStart w:id="26" w:name="_Toc28359008"/>
      <w:bookmarkStart w:id="27" w:name="_Toc28359085"/>
      <w:bookmarkStart w:id="28" w:name="_Toc35393796"/>
      <w:bookmarkStart w:id="29" w:name="_Toc35393627"/>
      <w:r>
        <w:rPr>
          <w:rFonts w:hint="eastAsia" w:ascii="Times New Roman" w:hAnsi="Times New Roman" w:eastAsia="宋体" w:cs="Times New Roman"/>
          <w:color w:val="auto"/>
        </w:rPr>
        <w:t>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p>
    <w:p w14:paraId="680568C5">
      <w:pPr>
        <w:pStyle w:val="17"/>
        <w:numPr>
          <w:ilvl w:val="0"/>
          <w:numId w:val="0"/>
        </w:numPr>
        <w:ind w:firstLine="420" w:firstLineChars="0"/>
        <w:rPr>
          <w:rFonts w:ascii="Times New Roman" w:hAnsi="Times New Roman" w:eastAsia="宋体" w:cs="Times New Roman"/>
          <w:color w:val="auto"/>
        </w:rPr>
      </w:pPr>
      <w:r>
        <w:rPr>
          <w:rFonts w:hint="eastAsia" w:ascii="Times New Roman" w:hAnsi="Times New Roman" w:eastAsia="宋体" w:cs="Times New Roman"/>
          <w:color w:val="auto"/>
        </w:rPr>
        <w:t>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ascii="Times New Roman" w:hAnsi="Times New Roman" w:eastAsia="宋体" w:cs="Times New Roman"/>
          <w:color w:val="auto"/>
        </w:rPr>
        <w:t>对本次</w:t>
      </w:r>
      <w:r>
        <w:rPr>
          <w:rFonts w:hint="eastAsia" w:ascii="Times New Roman" w:hAnsi="Times New Roman" w:eastAsia="宋体" w:cs="Times New Roman"/>
          <w:color w:val="auto"/>
          <w:lang w:val="en-US" w:eastAsia="zh-CN"/>
        </w:rPr>
        <w:t>询价</w:t>
      </w:r>
      <w:r>
        <w:rPr>
          <w:rFonts w:ascii="Times New Roman" w:hAnsi="Times New Roman" w:eastAsia="宋体" w:cs="Times New Roman"/>
          <w:color w:val="auto"/>
        </w:rPr>
        <w:t>提出询问，请按以下方式联系。</w:t>
      </w:r>
      <w:bookmarkEnd w:id="26"/>
      <w:bookmarkEnd w:id="27"/>
      <w:bookmarkEnd w:id="28"/>
      <w:bookmarkEnd w:id="29"/>
    </w:p>
    <w:p w14:paraId="0ABDB81B">
      <w:pPr>
        <w:pStyle w:val="4"/>
        <w:widowControl/>
        <w:numPr>
          <w:ilvl w:val="0"/>
          <w:numId w:val="18"/>
        </w:numPr>
        <w:ind w:left="0" w:leftChars="0" w:firstLine="0" w:firstLineChars="0"/>
        <w:rPr>
          <w:b w:val="0"/>
          <w:color w:val="auto"/>
        </w:rPr>
      </w:pPr>
      <w:r>
        <w:rPr>
          <w:color w:val="auto"/>
        </w:rPr>
        <w:t>采购人信息</w:t>
      </w:r>
      <w:r>
        <w:rPr>
          <w:rFonts w:hint="eastAsia"/>
          <w:color w:val="auto"/>
          <w:lang w:eastAsia="zh-CN"/>
        </w:rPr>
        <w:t>（</w:t>
      </w:r>
      <w:r>
        <w:rPr>
          <w:rFonts w:hint="eastAsia"/>
          <w:color w:val="auto"/>
          <w:lang w:val="en-US" w:eastAsia="zh-CN"/>
        </w:rPr>
        <w:t>各单位核对信息</w:t>
      </w:r>
      <w:r>
        <w:rPr>
          <w:rFonts w:hint="eastAsia"/>
          <w:color w:val="auto"/>
          <w:lang w:eastAsia="zh-CN"/>
        </w:rPr>
        <w:t>）</w:t>
      </w:r>
    </w:p>
    <w:p w14:paraId="3A3197DE">
      <w:pPr>
        <w:pageBreakBefore w:val="0"/>
        <w:widowControl/>
        <w:wordWrap/>
        <w:topLinePunct w:val="0"/>
        <w:bidi w:val="0"/>
        <w:spacing w:beforeAutospacing="0" w:afterAutospacing="0" w:line="360" w:lineRule="auto"/>
        <w:ind w:right="0" w:rightChars="0" w:firstLine="723" w:firstLineChars="300"/>
        <w:jc w:val="left"/>
        <w:rPr>
          <w:b/>
          <w:color w:val="auto"/>
          <w:sz w:val="24"/>
        </w:rPr>
      </w:pPr>
      <w:bookmarkStart w:id="30" w:name="_Toc28359009"/>
      <w:bookmarkStart w:id="31" w:name="_Toc28359086"/>
      <w:r>
        <w:rPr>
          <w:b/>
          <w:color w:val="auto"/>
          <w:sz w:val="24"/>
        </w:rPr>
        <w:t>采购人</w:t>
      </w:r>
      <w:r>
        <w:rPr>
          <w:rFonts w:hint="eastAsia"/>
          <w:b/>
          <w:color w:val="auto"/>
          <w:sz w:val="24"/>
          <w:lang w:val="en-US" w:eastAsia="zh-CN"/>
        </w:rPr>
        <w:t>1</w:t>
      </w:r>
      <w:r>
        <w:rPr>
          <w:b/>
          <w:color w:val="auto"/>
          <w:sz w:val="24"/>
        </w:rPr>
        <w:t>信息</w:t>
      </w:r>
    </w:p>
    <w:p w14:paraId="17DF646D">
      <w:pPr>
        <w:pageBreakBefore w:val="0"/>
        <w:wordWrap/>
        <w:topLinePunct w:val="0"/>
        <w:bidi w:val="0"/>
        <w:spacing w:beforeAutospacing="0" w:afterAutospacing="0" w:line="360" w:lineRule="auto"/>
        <w:ind w:left="930" w:leftChars="300" w:right="0" w:rightChars="0" w:hanging="300" w:hangingChars="125"/>
        <w:jc w:val="left"/>
        <w:rPr>
          <w:rFonts w:hint="default" w:eastAsia="宋体"/>
          <w:color w:val="auto"/>
          <w:sz w:val="24"/>
          <w:u w:val="single"/>
          <w:lang w:val="en-US" w:eastAsia="zh-CN"/>
        </w:rPr>
      </w:pPr>
      <w:r>
        <w:rPr>
          <w:color w:val="auto"/>
          <w:sz w:val="24"/>
        </w:rPr>
        <w:t>名    称：</w:t>
      </w:r>
      <w:r>
        <w:rPr>
          <w:rFonts w:hint="eastAsia"/>
          <w:color w:val="auto"/>
          <w:sz w:val="24"/>
          <w:u w:val="single"/>
        </w:rPr>
        <w:t>常州市</w:t>
      </w:r>
      <w:r>
        <w:rPr>
          <w:rFonts w:hint="eastAsia"/>
          <w:color w:val="auto"/>
          <w:sz w:val="24"/>
          <w:u w:val="single"/>
          <w:lang w:val="en-US" w:eastAsia="zh-CN"/>
        </w:rPr>
        <w:t>第二十四中学</w:t>
      </w:r>
    </w:p>
    <w:p w14:paraId="18ED7C8E">
      <w:pPr>
        <w:pageBreakBefore w:val="0"/>
        <w:wordWrap/>
        <w:topLinePunct w:val="0"/>
        <w:bidi w:val="0"/>
        <w:spacing w:beforeAutospacing="0" w:afterAutospacing="0" w:line="360" w:lineRule="auto"/>
        <w:ind w:left="930" w:leftChars="300" w:right="0" w:rightChars="0" w:hanging="300" w:hangingChars="125"/>
        <w:jc w:val="left"/>
        <w:rPr>
          <w:rFonts w:hint="default" w:eastAsia="宋体"/>
          <w:color w:val="auto"/>
          <w:sz w:val="24"/>
          <w:u w:val="single"/>
          <w:lang w:val="en-US" w:eastAsia="zh-CN"/>
        </w:rPr>
      </w:pPr>
      <w:r>
        <w:rPr>
          <w:color w:val="auto"/>
          <w:sz w:val="24"/>
        </w:rPr>
        <w:t>地    址：</w:t>
      </w:r>
      <w:r>
        <w:rPr>
          <w:rFonts w:hint="eastAsia"/>
          <w:color w:val="auto"/>
          <w:sz w:val="24"/>
          <w:u w:val="single"/>
        </w:rPr>
        <w:t xml:space="preserve"> 常州市</w:t>
      </w:r>
      <w:r>
        <w:rPr>
          <w:rFonts w:hint="eastAsia"/>
          <w:color w:val="auto"/>
          <w:sz w:val="24"/>
          <w:u w:val="single"/>
          <w:lang w:val="en-US" w:eastAsia="zh-CN"/>
        </w:rPr>
        <w:t>罗汉</w:t>
      </w:r>
      <w:r>
        <w:rPr>
          <w:rFonts w:hint="eastAsia"/>
          <w:color w:val="auto"/>
          <w:sz w:val="24"/>
          <w:u w:val="single"/>
        </w:rPr>
        <w:t>路9号</w:t>
      </w:r>
      <w:r>
        <w:rPr>
          <w:rFonts w:hint="eastAsia"/>
          <w:color w:val="auto"/>
          <w:sz w:val="24"/>
          <w:u w:val="single"/>
          <w:lang w:val="en-US" w:eastAsia="zh-CN"/>
        </w:rPr>
        <w:t xml:space="preserve">         </w:t>
      </w:r>
    </w:p>
    <w:p w14:paraId="1F47701D">
      <w:pPr>
        <w:pageBreakBefore w:val="0"/>
        <w:wordWrap/>
        <w:topLinePunct w:val="0"/>
        <w:bidi w:val="0"/>
        <w:spacing w:beforeAutospacing="0" w:afterAutospacing="0" w:line="360" w:lineRule="auto"/>
        <w:ind w:left="930" w:leftChars="300" w:right="0" w:rightChars="0" w:hanging="300" w:hangingChars="125"/>
        <w:jc w:val="left"/>
        <w:rPr>
          <w:rFonts w:hint="eastAsia"/>
          <w:color w:val="auto"/>
          <w:sz w:val="24"/>
          <w:u w:val="single"/>
          <w:lang w:val="en-US" w:eastAsia="zh-CN"/>
        </w:rPr>
      </w:pPr>
      <w:r>
        <w:rPr>
          <w:color w:val="auto"/>
          <w:sz w:val="24"/>
        </w:rPr>
        <w:t>联系方式：</w:t>
      </w:r>
      <w:r>
        <w:rPr>
          <w:rFonts w:hint="eastAsia"/>
          <w:color w:val="auto"/>
          <w:sz w:val="24"/>
          <w:u w:val="single"/>
          <w:lang w:val="en-US" w:eastAsia="zh-CN"/>
        </w:rPr>
        <w:t xml:space="preserve">  董老师  </w:t>
      </w:r>
      <w:r>
        <w:rPr>
          <w:rFonts w:ascii="Times New Roman" w:hAnsi="Times New Roman"/>
          <w:color w:val="auto"/>
          <w:sz w:val="24"/>
          <w:szCs w:val="24"/>
          <w:u w:val="single"/>
        </w:rPr>
        <w:t>0519-</w:t>
      </w:r>
      <w:r>
        <w:rPr>
          <w:rFonts w:hint="eastAsia"/>
          <w:color w:val="auto"/>
          <w:sz w:val="24"/>
          <w:u w:val="single"/>
          <w:lang w:val="en-US" w:eastAsia="zh-CN"/>
        </w:rPr>
        <w:t>88109055</w:t>
      </w:r>
    </w:p>
    <w:p w14:paraId="41BBDF16">
      <w:pPr>
        <w:pageBreakBefore w:val="0"/>
        <w:widowControl/>
        <w:wordWrap/>
        <w:topLinePunct w:val="0"/>
        <w:bidi w:val="0"/>
        <w:spacing w:beforeAutospacing="0" w:afterAutospacing="0" w:line="360" w:lineRule="auto"/>
        <w:ind w:right="0" w:rightChars="0" w:firstLine="723" w:firstLineChars="300"/>
        <w:jc w:val="left"/>
        <w:rPr>
          <w:b/>
          <w:color w:val="auto"/>
          <w:sz w:val="24"/>
        </w:rPr>
      </w:pPr>
      <w:r>
        <w:rPr>
          <w:b/>
          <w:color w:val="auto"/>
          <w:sz w:val="24"/>
        </w:rPr>
        <w:t>采购人</w:t>
      </w:r>
      <w:r>
        <w:rPr>
          <w:rFonts w:hint="eastAsia"/>
          <w:b/>
          <w:color w:val="auto"/>
          <w:sz w:val="24"/>
          <w:lang w:val="en-US" w:eastAsia="zh-CN"/>
        </w:rPr>
        <w:t>2</w:t>
      </w:r>
      <w:r>
        <w:rPr>
          <w:b/>
          <w:color w:val="auto"/>
          <w:sz w:val="24"/>
        </w:rPr>
        <w:t>信息</w:t>
      </w:r>
    </w:p>
    <w:p w14:paraId="0BDBD8C6">
      <w:pPr>
        <w:pageBreakBefore w:val="0"/>
        <w:wordWrap/>
        <w:topLinePunct w:val="0"/>
        <w:bidi w:val="0"/>
        <w:spacing w:beforeAutospacing="0" w:afterAutospacing="0" w:line="360" w:lineRule="auto"/>
        <w:ind w:left="930" w:leftChars="300" w:right="0" w:rightChars="0" w:hanging="300" w:hangingChars="125"/>
        <w:jc w:val="left"/>
        <w:rPr>
          <w:rFonts w:hint="default" w:eastAsia="宋体"/>
          <w:color w:val="auto"/>
          <w:sz w:val="24"/>
          <w:u w:val="single"/>
          <w:lang w:val="en-US" w:eastAsia="zh-CN"/>
        </w:rPr>
      </w:pPr>
      <w:r>
        <w:rPr>
          <w:color w:val="auto"/>
          <w:sz w:val="24"/>
        </w:rPr>
        <w:t>名    称：</w:t>
      </w:r>
      <w:r>
        <w:rPr>
          <w:rFonts w:hint="eastAsia"/>
          <w:color w:val="auto"/>
          <w:sz w:val="24"/>
          <w:u w:val="single"/>
        </w:rPr>
        <w:t>常州市</w:t>
      </w:r>
      <w:r>
        <w:rPr>
          <w:rFonts w:hint="eastAsia"/>
          <w:color w:val="auto"/>
          <w:sz w:val="24"/>
          <w:u w:val="single"/>
          <w:lang w:val="en-US" w:eastAsia="zh-CN"/>
        </w:rPr>
        <w:t>北郊高级中学</w:t>
      </w:r>
    </w:p>
    <w:p w14:paraId="3A8F7316">
      <w:pPr>
        <w:pageBreakBefore w:val="0"/>
        <w:wordWrap/>
        <w:topLinePunct w:val="0"/>
        <w:bidi w:val="0"/>
        <w:spacing w:beforeAutospacing="0" w:afterAutospacing="0" w:line="360" w:lineRule="auto"/>
        <w:ind w:left="930" w:leftChars="300" w:right="0" w:rightChars="0" w:hanging="300" w:hangingChars="125"/>
        <w:jc w:val="left"/>
        <w:rPr>
          <w:rFonts w:hint="default" w:eastAsia="宋体"/>
          <w:color w:val="auto"/>
          <w:sz w:val="24"/>
          <w:u w:val="single"/>
          <w:lang w:val="en-US" w:eastAsia="zh-CN"/>
        </w:rPr>
      </w:pPr>
      <w:r>
        <w:rPr>
          <w:color w:val="auto"/>
          <w:sz w:val="24"/>
        </w:rPr>
        <w:t>地    址：</w:t>
      </w:r>
      <w:r>
        <w:rPr>
          <w:rFonts w:hint="eastAsia"/>
          <w:color w:val="auto"/>
          <w:sz w:val="24"/>
          <w:u w:val="single"/>
        </w:rPr>
        <w:t xml:space="preserve"> 常州市</w:t>
      </w:r>
      <w:r>
        <w:rPr>
          <w:rFonts w:hint="eastAsia"/>
          <w:color w:val="auto"/>
          <w:sz w:val="24"/>
          <w:u w:val="single"/>
          <w:lang w:val="en-US" w:eastAsia="zh-CN"/>
        </w:rPr>
        <w:t>新北区辽河路218</w:t>
      </w:r>
      <w:r>
        <w:rPr>
          <w:rFonts w:hint="eastAsia"/>
          <w:color w:val="auto"/>
          <w:sz w:val="24"/>
          <w:u w:val="single"/>
        </w:rPr>
        <w:t>号</w:t>
      </w:r>
      <w:r>
        <w:rPr>
          <w:rFonts w:hint="eastAsia"/>
          <w:color w:val="auto"/>
          <w:sz w:val="24"/>
          <w:u w:val="single"/>
          <w:lang w:val="en-US" w:eastAsia="zh-CN"/>
        </w:rPr>
        <w:t xml:space="preserve">  </w:t>
      </w:r>
    </w:p>
    <w:p w14:paraId="12C85BA8">
      <w:pPr>
        <w:pageBreakBefore w:val="0"/>
        <w:wordWrap/>
        <w:topLinePunct w:val="0"/>
        <w:bidi w:val="0"/>
        <w:spacing w:beforeAutospacing="0" w:afterAutospacing="0" w:line="360" w:lineRule="auto"/>
        <w:ind w:left="930" w:leftChars="300" w:right="0" w:rightChars="0" w:hanging="300" w:hangingChars="125"/>
        <w:jc w:val="left"/>
        <w:rPr>
          <w:rFonts w:hint="default" w:eastAsia="宋体"/>
          <w:color w:val="auto"/>
          <w:sz w:val="24"/>
          <w:u w:val="single"/>
          <w:lang w:val="en-US" w:eastAsia="zh-CN"/>
        </w:rPr>
      </w:pPr>
      <w:r>
        <w:rPr>
          <w:color w:val="auto"/>
          <w:sz w:val="24"/>
        </w:rPr>
        <w:t>联系方式：</w:t>
      </w:r>
      <w:r>
        <w:rPr>
          <w:rFonts w:hint="eastAsia"/>
          <w:color w:val="auto"/>
          <w:sz w:val="24"/>
          <w:u w:val="single"/>
          <w:lang w:val="en-US" w:eastAsia="zh-CN"/>
        </w:rPr>
        <w:t xml:space="preserve">   钱老师 </w:t>
      </w:r>
      <w:r>
        <w:rPr>
          <w:rFonts w:hint="eastAsia" w:ascii="Times New Roman" w:hAnsi="Times New Roman" w:eastAsia="宋体" w:cs="Times New Roman"/>
          <w:color w:val="auto"/>
          <w:sz w:val="24"/>
          <w:u w:val="single"/>
          <w:lang w:val="en-US" w:eastAsia="zh-CN"/>
        </w:rPr>
        <w:t xml:space="preserve">  0519-81189712 </w:t>
      </w:r>
    </w:p>
    <w:p w14:paraId="52F95745">
      <w:pPr>
        <w:pageBreakBefore w:val="0"/>
        <w:widowControl/>
        <w:wordWrap/>
        <w:topLinePunct w:val="0"/>
        <w:bidi w:val="0"/>
        <w:spacing w:beforeAutospacing="0" w:afterAutospacing="0" w:line="360" w:lineRule="auto"/>
        <w:ind w:left="0" w:leftChars="0" w:right="0" w:rightChars="0" w:firstLine="723" w:firstLineChars="300"/>
        <w:jc w:val="left"/>
        <w:rPr>
          <w:b/>
          <w:color w:val="auto"/>
          <w:sz w:val="24"/>
        </w:rPr>
      </w:pPr>
      <w:r>
        <w:rPr>
          <w:b/>
          <w:color w:val="auto"/>
          <w:sz w:val="24"/>
        </w:rPr>
        <w:t>采购人</w:t>
      </w:r>
      <w:r>
        <w:rPr>
          <w:rFonts w:hint="eastAsia"/>
          <w:b/>
          <w:color w:val="auto"/>
          <w:sz w:val="24"/>
          <w:lang w:val="en-US" w:eastAsia="zh-CN"/>
        </w:rPr>
        <w:t>3</w:t>
      </w:r>
      <w:r>
        <w:rPr>
          <w:b/>
          <w:color w:val="auto"/>
          <w:sz w:val="24"/>
        </w:rPr>
        <w:t>信息</w:t>
      </w:r>
    </w:p>
    <w:p w14:paraId="44024A2B">
      <w:pPr>
        <w:pageBreakBefore w:val="0"/>
        <w:wordWrap/>
        <w:topLinePunct w:val="0"/>
        <w:bidi w:val="0"/>
        <w:spacing w:beforeAutospacing="0" w:afterAutospacing="0" w:line="360" w:lineRule="auto"/>
        <w:ind w:left="930" w:leftChars="300" w:right="0" w:rightChars="0" w:hanging="300" w:hangingChars="125"/>
        <w:jc w:val="left"/>
        <w:rPr>
          <w:rFonts w:hint="default" w:eastAsia="宋体"/>
          <w:color w:val="auto"/>
          <w:sz w:val="24"/>
          <w:u w:val="single"/>
          <w:lang w:val="en-US" w:eastAsia="zh-CN"/>
        </w:rPr>
      </w:pPr>
      <w:r>
        <w:rPr>
          <w:color w:val="auto"/>
          <w:sz w:val="24"/>
        </w:rPr>
        <w:t>名    称：</w:t>
      </w:r>
      <w:r>
        <w:rPr>
          <w:rFonts w:hint="eastAsia"/>
          <w:color w:val="auto"/>
          <w:sz w:val="24"/>
          <w:u w:val="single"/>
        </w:rPr>
        <w:t>常州市</w:t>
      </w:r>
      <w:r>
        <w:rPr>
          <w:rFonts w:hint="eastAsia"/>
          <w:color w:val="auto"/>
          <w:sz w:val="24"/>
          <w:u w:val="single"/>
          <w:lang w:val="en-US" w:eastAsia="zh-CN"/>
        </w:rPr>
        <w:t>田家炳高级中学</w:t>
      </w:r>
    </w:p>
    <w:p w14:paraId="44EE10FC">
      <w:pPr>
        <w:pageBreakBefore w:val="0"/>
        <w:wordWrap/>
        <w:topLinePunct w:val="0"/>
        <w:bidi w:val="0"/>
        <w:spacing w:beforeAutospacing="0" w:afterAutospacing="0" w:line="360" w:lineRule="auto"/>
        <w:ind w:left="930" w:leftChars="300" w:right="0" w:rightChars="0" w:hanging="300" w:hangingChars="125"/>
        <w:jc w:val="left"/>
        <w:rPr>
          <w:rFonts w:hint="default" w:eastAsia="宋体"/>
          <w:color w:val="auto"/>
          <w:sz w:val="24"/>
          <w:u w:val="single"/>
          <w:lang w:val="en-US" w:eastAsia="zh-CN"/>
        </w:rPr>
      </w:pPr>
      <w:r>
        <w:rPr>
          <w:color w:val="auto"/>
          <w:sz w:val="24"/>
        </w:rPr>
        <w:t>地    址：</w:t>
      </w:r>
      <w:r>
        <w:rPr>
          <w:rFonts w:hint="eastAsia"/>
          <w:color w:val="auto"/>
          <w:sz w:val="24"/>
          <w:u w:val="single"/>
        </w:rPr>
        <w:t xml:space="preserve"> 常州市</w:t>
      </w:r>
      <w:r>
        <w:rPr>
          <w:rFonts w:hint="eastAsia"/>
          <w:color w:val="auto"/>
          <w:sz w:val="24"/>
          <w:u w:val="single"/>
          <w:lang w:val="en-US" w:eastAsia="zh-CN"/>
        </w:rPr>
        <w:t>天宁区龙游</w:t>
      </w:r>
      <w:r>
        <w:rPr>
          <w:rFonts w:hint="eastAsia"/>
          <w:color w:val="auto"/>
          <w:sz w:val="24"/>
          <w:u w:val="single"/>
        </w:rPr>
        <w:t>路9号</w:t>
      </w:r>
      <w:r>
        <w:rPr>
          <w:rFonts w:hint="eastAsia"/>
          <w:color w:val="auto"/>
          <w:sz w:val="24"/>
          <w:u w:val="single"/>
          <w:lang w:val="en-US" w:eastAsia="zh-CN"/>
        </w:rPr>
        <w:t xml:space="preserve">         </w:t>
      </w:r>
    </w:p>
    <w:p w14:paraId="17834CD5">
      <w:pPr>
        <w:pageBreakBefore w:val="0"/>
        <w:wordWrap/>
        <w:topLinePunct w:val="0"/>
        <w:bidi w:val="0"/>
        <w:spacing w:beforeAutospacing="0" w:afterAutospacing="0" w:line="360" w:lineRule="auto"/>
        <w:ind w:left="930" w:leftChars="300" w:right="0" w:rightChars="0" w:hanging="300" w:hangingChars="125"/>
        <w:jc w:val="left"/>
        <w:rPr>
          <w:rFonts w:hint="default" w:eastAsia="宋体"/>
          <w:color w:val="auto"/>
          <w:sz w:val="24"/>
          <w:u w:val="single"/>
          <w:lang w:val="en-US" w:eastAsia="zh-CN"/>
        </w:rPr>
      </w:pPr>
      <w:r>
        <w:rPr>
          <w:color w:val="auto"/>
          <w:sz w:val="24"/>
        </w:rPr>
        <w:t>联系方式：</w:t>
      </w:r>
      <w:r>
        <w:rPr>
          <w:rFonts w:hint="eastAsia"/>
          <w:color w:val="auto"/>
          <w:sz w:val="24"/>
          <w:u w:val="single"/>
          <w:lang w:val="en-US" w:eastAsia="zh-CN"/>
        </w:rPr>
        <w:t xml:space="preserve">   胡老师 </w:t>
      </w:r>
      <w:r>
        <w:rPr>
          <w:rFonts w:hint="eastAsia" w:ascii="Times New Roman" w:hAnsi="Times New Roman"/>
          <w:color w:val="auto"/>
          <w:sz w:val="24"/>
          <w:szCs w:val="24"/>
          <w:u w:val="single"/>
        </w:rPr>
        <w:t>0519</w:t>
      </w:r>
      <w:r>
        <w:rPr>
          <w:rFonts w:hint="eastAsia"/>
          <w:color w:val="auto"/>
          <w:sz w:val="24"/>
          <w:szCs w:val="24"/>
          <w:u w:val="single"/>
          <w:lang w:val="en-US" w:eastAsia="zh-CN"/>
        </w:rPr>
        <w:t>-</w:t>
      </w:r>
      <w:r>
        <w:rPr>
          <w:rFonts w:hint="eastAsia" w:ascii="Times New Roman" w:hAnsi="Times New Roman"/>
          <w:color w:val="auto"/>
          <w:sz w:val="24"/>
          <w:szCs w:val="24"/>
          <w:u w:val="single"/>
        </w:rPr>
        <w:t>88102323</w:t>
      </w:r>
    </w:p>
    <w:p w14:paraId="416F1E0B">
      <w:pPr>
        <w:pageBreakBefore w:val="0"/>
        <w:widowControl/>
        <w:wordWrap/>
        <w:topLinePunct w:val="0"/>
        <w:bidi w:val="0"/>
        <w:spacing w:beforeAutospacing="0" w:afterAutospacing="0" w:line="360" w:lineRule="auto"/>
        <w:ind w:left="0" w:leftChars="0" w:right="0" w:rightChars="0" w:firstLine="723" w:firstLineChars="300"/>
        <w:jc w:val="left"/>
        <w:rPr>
          <w:b/>
          <w:color w:val="auto"/>
          <w:sz w:val="24"/>
        </w:rPr>
      </w:pPr>
      <w:r>
        <w:rPr>
          <w:b/>
          <w:color w:val="auto"/>
          <w:sz w:val="24"/>
        </w:rPr>
        <w:t>采购人</w:t>
      </w:r>
      <w:r>
        <w:rPr>
          <w:rFonts w:hint="eastAsia"/>
          <w:b/>
          <w:color w:val="auto"/>
          <w:sz w:val="24"/>
          <w:lang w:val="en-US" w:eastAsia="zh-CN"/>
        </w:rPr>
        <w:t>4</w:t>
      </w:r>
      <w:r>
        <w:rPr>
          <w:b/>
          <w:color w:val="auto"/>
          <w:sz w:val="24"/>
        </w:rPr>
        <w:t>信息</w:t>
      </w:r>
    </w:p>
    <w:p w14:paraId="3CE248CC">
      <w:pPr>
        <w:pageBreakBefore w:val="0"/>
        <w:wordWrap/>
        <w:topLinePunct w:val="0"/>
        <w:bidi w:val="0"/>
        <w:spacing w:beforeAutospacing="0" w:afterAutospacing="0" w:line="360" w:lineRule="auto"/>
        <w:ind w:left="930" w:leftChars="300" w:right="0" w:rightChars="0" w:hanging="300" w:hangingChars="125"/>
        <w:jc w:val="left"/>
        <w:rPr>
          <w:rFonts w:hint="default" w:eastAsia="宋体"/>
          <w:color w:val="auto"/>
          <w:sz w:val="24"/>
          <w:u w:val="single"/>
          <w:lang w:val="en-US" w:eastAsia="zh-CN"/>
        </w:rPr>
      </w:pPr>
      <w:r>
        <w:rPr>
          <w:color w:val="auto"/>
          <w:sz w:val="24"/>
        </w:rPr>
        <w:t>名    称：</w:t>
      </w:r>
      <w:r>
        <w:rPr>
          <w:rFonts w:hint="eastAsia"/>
          <w:color w:val="auto"/>
          <w:sz w:val="24"/>
          <w:u w:val="single"/>
        </w:rPr>
        <w:t>常州市</w:t>
      </w:r>
      <w:r>
        <w:rPr>
          <w:rFonts w:hint="eastAsia"/>
          <w:color w:val="auto"/>
          <w:sz w:val="24"/>
          <w:u w:val="single"/>
          <w:lang w:val="en-US" w:eastAsia="zh-CN"/>
        </w:rPr>
        <w:t>实验初级中学</w:t>
      </w:r>
    </w:p>
    <w:p w14:paraId="42A00E57">
      <w:pPr>
        <w:pageBreakBefore w:val="0"/>
        <w:wordWrap/>
        <w:topLinePunct w:val="0"/>
        <w:bidi w:val="0"/>
        <w:spacing w:beforeAutospacing="0" w:afterAutospacing="0" w:line="360" w:lineRule="auto"/>
        <w:ind w:left="930" w:leftChars="300" w:right="0" w:rightChars="0" w:hanging="300" w:hangingChars="125"/>
        <w:jc w:val="left"/>
        <w:rPr>
          <w:rFonts w:hint="default" w:eastAsia="宋体"/>
          <w:color w:val="auto"/>
          <w:sz w:val="24"/>
          <w:u w:val="single"/>
          <w:lang w:val="en-US" w:eastAsia="zh-CN"/>
        </w:rPr>
      </w:pPr>
      <w:r>
        <w:rPr>
          <w:color w:val="auto"/>
          <w:sz w:val="24"/>
        </w:rPr>
        <w:t>地    址：</w:t>
      </w:r>
      <w:r>
        <w:rPr>
          <w:rFonts w:hint="eastAsia"/>
          <w:color w:val="auto"/>
          <w:sz w:val="24"/>
          <w:u w:val="single"/>
        </w:rPr>
        <w:t xml:space="preserve"> 常州市</w:t>
      </w:r>
      <w:r>
        <w:rPr>
          <w:rFonts w:hint="eastAsia"/>
          <w:color w:val="auto"/>
          <w:sz w:val="24"/>
          <w:u w:val="single"/>
          <w:lang w:val="en-US" w:eastAsia="zh-CN"/>
        </w:rPr>
        <w:t>博爱</w:t>
      </w:r>
      <w:r>
        <w:rPr>
          <w:rFonts w:hint="eastAsia"/>
          <w:color w:val="auto"/>
          <w:sz w:val="24"/>
          <w:u w:val="single"/>
        </w:rPr>
        <w:t>路</w:t>
      </w:r>
      <w:r>
        <w:rPr>
          <w:rFonts w:hint="eastAsia"/>
          <w:color w:val="auto"/>
          <w:sz w:val="24"/>
          <w:u w:val="single"/>
          <w:lang w:val="en-US" w:eastAsia="zh-CN"/>
        </w:rPr>
        <w:t>154</w:t>
      </w:r>
      <w:r>
        <w:rPr>
          <w:rFonts w:hint="eastAsia"/>
          <w:color w:val="auto"/>
          <w:sz w:val="24"/>
          <w:u w:val="single"/>
        </w:rPr>
        <w:t>号</w:t>
      </w:r>
      <w:r>
        <w:rPr>
          <w:rFonts w:hint="eastAsia"/>
          <w:color w:val="auto"/>
          <w:sz w:val="24"/>
          <w:u w:val="single"/>
          <w:lang w:val="en-US" w:eastAsia="zh-CN"/>
        </w:rPr>
        <w:t xml:space="preserve">     </w:t>
      </w:r>
    </w:p>
    <w:p w14:paraId="05C76C73">
      <w:pPr>
        <w:pageBreakBefore w:val="0"/>
        <w:wordWrap/>
        <w:topLinePunct w:val="0"/>
        <w:bidi w:val="0"/>
        <w:spacing w:beforeAutospacing="0" w:afterAutospacing="0" w:line="360" w:lineRule="auto"/>
        <w:ind w:left="930" w:leftChars="300" w:right="0" w:rightChars="0" w:hanging="300" w:hangingChars="125"/>
        <w:jc w:val="left"/>
        <w:rPr>
          <w:rFonts w:hint="default" w:eastAsia="宋体"/>
          <w:color w:val="auto"/>
          <w:sz w:val="24"/>
          <w:u w:val="single"/>
          <w:lang w:val="en-US" w:eastAsia="zh-CN"/>
        </w:rPr>
      </w:pPr>
      <w:r>
        <w:rPr>
          <w:color w:val="auto"/>
          <w:sz w:val="24"/>
        </w:rPr>
        <w:t>联系方式：</w:t>
      </w:r>
      <w:r>
        <w:rPr>
          <w:rFonts w:hint="eastAsia"/>
          <w:color w:val="auto"/>
          <w:sz w:val="24"/>
          <w:u w:val="single"/>
          <w:lang w:val="en-US" w:eastAsia="zh-CN"/>
        </w:rPr>
        <w:t xml:space="preserve">  周老师  </w:t>
      </w:r>
      <w:r>
        <w:rPr>
          <w:rFonts w:hint="eastAsia" w:ascii="Times New Roman" w:hAnsi="Times New Roman"/>
          <w:color w:val="auto"/>
          <w:sz w:val="24"/>
          <w:szCs w:val="24"/>
          <w:u w:val="single"/>
        </w:rPr>
        <w:t xml:space="preserve"> </w:t>
      </w:r>
      <w:r>
        <w:rPr>
          <w:rFonts w:hint="eastAsia"/>
          <w:color w:val="auto"/>
          <w:sz w:val="24"/>
          <w:szCs w:val="24"/>
          <w:u w:val="single"/>
          <w:lang w:val="en-US" w:eastAsia="zh-CN"/>
        </w:rPr>
        <w:t>0519-</w:t>
      </w:r>
      <w:r>
        <w:rPr>
          <w:rFonts w:hint="eastAsia" w:ascii="Times New Roman" w:hAnsi="Times New Roman"/>
          <w:color w:val="auto"/>
          <w:sz w:val="24"/>
          <w:szCs w:val="24"/>
          <w:u w:val="single"/>
        </w:rPr>
        <w:t>88103955</w:t>
      </w:r>
    </w:p>
    <w:p w14:paraId="669FDDEE">
      <w:pPr>
        <w:pageBreakBefore w:val="0"/>
        <w:widowControl/>
        <w:wordWrap/>
        <w:topLinePunct w:val="0"/>
        <w:bidi w:val="0"/>
        <w:spacing w:beforeAutospacing="0" w:afterAutospacing="0" w:line="360" w:lineRule="auto"/>
        <w:ind w:left="0" w:leftChars="0" w:right="0" w:rightChars="0" w:firstLine="723" w:firstLineChars="300"/>
        <w:jc w:val="left"/>
        <w:rPr>
          <w:b/>
          <w:color w:val="auto"/>
          <w:sz w:val="24"/>
        </w:rPr>
      </w:pPr>
      <w:r>
        <w:rPr>
          <w:b/>
          <w:color w:val="auto"/>
          <w:sz w:val="24"/>
        </w:rPr>
        <w:t>采购人</w:t>
      </w:r>
      <w:r>
        <w:rPr>
          <w:rFonts w:hint="eastAsia"/>
          <w:b/>
          <w:color w:val="auto"/>
          <w:sz w:val="24"/>
          <w:lang w:val="en-US" w:eastAsia="zh-CN"/>
        </w:rPr>
        <w:t>5</w:t>
      </w:r>
      <w:r>
        <w:rPr>
          <w:b/>
          <w:color w:val="auto"/>
          <w:sz w:val="24"/>
        </w:rPr>
        <w:t>信息</w:t>
      </w:r>
    </w:p>
    <w:p w14:paraId="3D44277C">
      <w:pPr>
        <w:pageBreakBefore w:val="0"/>
        <w:wordWrap/>
        <w:topLinePunct w:val="0"/>
        <w:bidi w:val="0"/>
        <w:spacing w:beforeAutospacing="0" w:afterAutospacing="0" w:line="360" w:lineRule="auto"/>
        <w:ind w:left="930" w:leftChars="300" w:right="0" w:rightChars="0" w:hanging="300" w:hangingChars="125"/>
        <w:jc w:val="left"/>
        <w:rPr>
          <w:rFonts w:hint="default" w:eastAsia="宋体"/>
          <w:color w:val="auto"/>
          <w:sz w:val="24"/>
          <w:u w:val="single"/>
          <w:lang w:val="en-US" w:eastAsia="zh-CN"/>
        </w:rPr>
      </w:pPr>
      <w:r>
        <w:rPr>
          <w:color w:val="auto"/>
          <w:sz w:val="24"/>
        </w:rPr>
        <w:t>名    称：</w:t>
      </w:r>
      <w:r>
        <w:rPr>
          <w:rFonts w:hint="eastAsia"/>
          <w:color w:val="auto"/>
          <w:sz w:val="24"/>
          <w:u w:val="single"/>
        </w:rPr>
        <w:t>常州市</w:t>
      </w:r>
      <w:r>
        <w:rPr>
          <w:rFonts w:hint="eastAsia"/>
          <w:color w:val="auto"/>
          <w:sz w:val="24"/>
          <w:u w:val="single"/>
          <w:lang w:val="en-US" w:eastAsia="zh-CN"/>
        </w:rPr>
        <w:t>花园中学</w:t>
      </w:r>
    </w:p>
    <w:p w14:paraId="7F5EE399">
      <w:pPr>
        <w:pageBreakBefore w:val="0"/>
        <w:wordWrap/>
        <w:topLinePunct w:val="0"/>
        <w:bidi w:val="0"/>
        <w:spacing w:beforeAutospacing="0" w:afterAutospacing="0" w:line="360" w:lineRule="auto"/>
        <w:ind w:left="930" w:leftChars="300" w:right="0" w:rightChars="0" w:hanging="300" w:hangingChars="125"/>
        <w:jc w:val="left"/>
        <w:rPr>
          <w:rFonts w:hint="default" w:eastAsia="宋体"/>
          <w:color w:val="auto"/>
          <w:sz w:val="24"/>
          <w:u w:val="single"/>
          <w:lang w:val="en-US" w:eastAsia="zh-CN"/>
        </w:rPr>
      </w:pPr>
      <w:r>
        <w:rPr>
          <w:color w:val="auto"/>
          <w:sz w:val="24"/>
        </w:rPr>
        <w:t>地    址：</w:t>
      </w:r>
      <w:r>
        <w:rPr>
          <w:rFonts w:hint="eastAsia"/>
          <w:color w:val="auto"/>
          <w:sz w:val="24"/>
          <w:u w:val="single"/>
        </w:rPr>
        <w:t xml:space="preserve"> 常州市钟楼区</w:t>
      </w:r>
      <w:r>
        <w:rPr>
          <w:rFonts w:hint="eastAsia"/>
          <w:color w:val="auto"/>
          <w:sz w:val="24"/>
          <w:u w:val="single"/>
          <w:lang w:val="en-US" w:eastAsia="zh-CN"/>
        </w:rPr>
        <w:t>花园新村4</w:t>
      </w:r>
      <w:r>
        <w:rPr>
          <w:rFonts w:hint="eastAsia"/>
          <w:color w:val="auto"/>
          <w:sz w:val="24"/>
          <w:u w:val="single"/>
        </w:rPr>
        <w:t>号</w:t>
      </w:r>
      <w:r>
        <w:rPr>
          <w:rFonts w:hint="eastAsia"/>
          <w:color w:val="auto"/>
          <w:sz w:val="24"/>
          <w:u w:val="single"/>
          <w:lang w:val="en-US" w:eastAsia="zh-CN"/>
        </w:rPr>
        <w:t xml:space="preserve">         </w:t>
      </w:r>
    </w:p>
    <w:p w14:paraId="3FF4D861">
      <w:pPr>
        <w:pageBreakBefore w:val="0"/>
        <w:wordWrap/>
        <w:topLinePunct w:val="0"/>
        <w:bidi w:val="0"/>
        <w:spacing w:beforeAutospacing="0" w:afterAutospacing="0" w:line="360" w:lineRule="auto"/>
        <w:ind w:left="930" w:leftChars="300" w:right="0" w:rightChars="0" w:hanging="300" w:hangingChars="125"/>
        <w:jc w:val="left"/>
        <w:rPr>
          <w:rFonts w:hint="default" w:eastAsia="宋体"/>
          <w:color w:val="auto"/>
          <w:sz w:val="24"/>
          <w:u w:val="single"/>
          <w:lang w:val="en-US" w:eastAsia="zh-CN"/>
        </w:rPr>
      </w:pPr>
      <w:r>
        <w:rPr>
          <w:color w:val="auto"/>
          <w:sz w:val="24"/>
        </w:rPr>
        <w:t>联系方式：</w:t>
      </w:r>
      <w:r>
        <w:rPr>
          <w:rFonts w:hint="eastAsia"/>
          <w:color w:val="auto"/>
          <w:sz w:val="24"/>
          <w:u w:val="single"/>
          <w:lang w:val="en-US" w:eastAsia="zh-CN"/>
        </w:rPr>
        <w:t xml:space="preserve">  高老师  </w:t>
      </w:r>
      <w:r>
        <w:rPr>
          <w:rFonts w:ascii="Times New Roman" w:hAnsi="Times New Roman"/>
          <w:color w:val="auto"/>
          <w:sz w:val="24"/>
          <w:szCs w:val="24"/>
          <w:u w:val="single"/>
        </w:rPr>
        <w:t>0519-</w:t>
      </w:r>
      <w:r>
        <w:rPr>
          <w:rFonts w:hint="eastAsia"/>
          <w:color w:val="auto"/>
          <w:sz w:val="24"/>
          <w:u w:val="single"/>
          <w:lang w:val="en-US" w:eastAsia="zh-CN"/>
        </w:rPr>
        <w:t>83273674-8008</w:t>
      </w:r>
    </w:p>
    <w:p w14:paraId="0683470A">
      <w:pPr>
        <w:pStyle w:val="4"/>
        <w:numPr>
          <w:ilvl w:val="0"/>
          <w:numId w:val="18"/>
        </w:numPr>
        <w:ind w:left="0" w:leftChars="0" w:firstLine="0" w:firstLineChars="0"/>
        <w:rPr>
          <w:b w:val="0"/>
          <w:color w:val="auto"/>
        </w:rPr>
      </w:pPr>
      <w:r>
        <w:rPr>
          <w:color w:val="auto"/>
        </w:rPr>
        <w:t>采购代理机构信息</w:t>
      </w:r>
      <w:bookmarkEnd w:id="30"/>
      <w:bookmarkEnd w:id="31"/>
    </w:p>
    <w:p w14:paraId="01838455">
      <w:pPr>
        <w:pStyle w:val="17"/>
        <w:rPr>
          <w:color w:val="auto"/>
          <w:u w:val="single"/>
        </w:rPr>
      </w:pPr>
      <w:bookmarkStart w:id="32" w:name="_Toc28359010"/>
      <w:bookmarkStart w:id="33" w:name="_Toc28359087"/>
      <w:r>
        <w:rPr>
          <w:color w:val="auto"/>
        </w:rPr>
        <w:t>名    称：</w:t>
      </w:r>
      <w:r>
        <w:rPr>
          <w:color w:val="auto"/>
          <w:u w:val="single"/>
        </w:rPr>
        <w:t>常州市教育基本建设与装备管理中心</w:t>
      </w:r>
    </w:p>
    <w:p w14:paraId="143C30BB">
      <w:pPr>
        <w:pStyle w:val="17"/>
        <w:rPr>
          <w:color w:val="auto"/>
          <w:u w:val="single"/>
        </w:rPr>
      </w:pPr>
      <w:r>
        <w:rPr>
          <w:color w:val="auto"/>
        </w:rPr>
        <w:t>地    址：</w:t>
      </w:r>
      <w:r>
        <w:rPr>
          <w:color w:val="auto"/>
          <w:u w:val="single"/>
        </w:rPr>
        <w:t xml:space="preserve">   常州市钟楼区新市路9号       </w:t>
      </w:r>
    </w:p>
    <w:p w14:paraId="71C31306">
      <w:pPr>
        <w:pStyle w:val="4"/>
        <w:numPr>
          <w:ilvl w:val="0"/>
          <w:numId w:val="18"/>
        </w:numPr>
        <w:ind w:left="0" w:leftChars="0" w:firstLine="0" w:firstLineChars="0"/>
        <w:rPr>
          <w:b w:val="0"/>
          <w:color w:val="auto"/>
          <w:u w:val="single"/>
        </w:rPr>
      </w:pPr>
      <w:r>
        <w:rPr>
          <w:color w:val="auto"/>
        </w:rPr>
        <w:t>项目联系方式</w:t>
      </w:r>
      <w:bookmarkEnd w:id="32"/>
      <w:bookmarkEnd w:id="33"/>
    </w:p>
    <w:p w14:paraId="7BBCF74B">
      <w:pPr>
        <w:pStyle w:val="17"/>
        <w:rPr>
          <w:color w:val="auto"/>
          <w:u w:val="single"/>
        </w:rPr>
      </w:pPr>
      <w:r>
        <w:rPr>
          <w:color w:val="auto"/>
        </w:rPr>
        <w:t>项目联系人：</w:t>
      </w:r>
      <w:r>
        <w:rPr>
          <w:color w:val="auto"/>
          <w:u w:val="single"/>
        </w:rPr>
        <w:t xml:space="preserve">  彭先生   </w:t>
      </w:r>
    </w:p>
    <w:p w14:paraId="7C22D1B6">
      <w:pPr>
        <w:pStyle w:val="17"/>
        <w:rPr>
          <w:color w:val="auto"/>
          <w:u w:val="single"/>
        </w:rPr>
      </w:pPr>
      <w:r>
        <w:rPr>
          <w:color w:val="auto"/>
        </w:rPr>
        <w:t>电      话：</w:t>
      </w:r>
      <w:r>
        <w:rPr>
          <w:color w:val="auto"/>
          <w:u w:val="single"/>
        </w:rPr>
        <w:t xml:space="preserve"> 0519-81098176 </w:t>
      </w:r>
    </w:p>
    <w:p w14:paraId="200D442A">
      <w:pPr>
        <w:pStyle w:val="17"/>
        <w:rPr>
          <w:color w:val="auto"/>
          <w:u w:val="single"/>
        </w:rPr>
      </w:pPr>
      <w:r>
        <w:rPr>
          <w:color w:val="auto"/>
        </w:rPr>
        <w:t>开评标相关联系人：</w:t>
      </w:r>
      <w:r>
        <w:rPr>
          <w:color w:val="auto"/>
          <w:u w:val="single"/>
        </w:rPr>
        <w:t xml:space="preserve">  周先生   </w:t>
      </w:r>
    </w:p>
    <w:p w14:paraId="6D3B0F0C">
      <w:pPr>
        <w:pStyle w:val="17"/>
        <w:rPr>
          <w:color w:val="auto"/>
          <w:u w:val="single"/>
        </w:rPr>
      </w:pPr>
      <w:r>
        <w:rPr>
          <w:color w:val="auto"/>
        </w:rPr>
        <w:t>电      话：</w:t>
      </w:r>
      <w:r>
        <w:rPr>
          <w:color w:val="auto"/>
          <w:u w:val="single"/>
        </w:rPr>
        <w:t xml:space="preserve">0519-86607039    </w:t>
      </w:r>
    </w:p>
    <w:p w14:paraId="5413C64F">
      <w:pPr>
        <w:rPr>
          <w:color w:val="auto"/>
          <w:u w:val="single"/>
        </w:rPr>
      </w:pPr>
    </w:p>
    <w:p w14:paraId="106A9F0D">
      <w:pPr>
        <w:rPr>
          <w:color w:val="auto"/>
          <w:u w:val="single"/>
        </w:rPr>
      </w:pPr>
    </w:p>
    <w:p w14:paraId="30E0FDA1">
      <w:pPr>
        <w:rPr>
          <w:color w:val="auto"/>
          <w:u w:val="single"/>
        </w:rPr>
      </w:pPr>
    </w:p>
    <w:p w14:paraId="7739913D">
      <w:pPr>
        <w:rPr>
          <w:color w:val="auto"/>
          <w:u w:val="single"/>
        </w:rPr>
      </w:pPr>
    </w:p>
    <w:p w14:paraId="7ECD1D32">
      <w:pPr>
        <w:rPr>
          <w:color w:val="auto"/>
          <w:u w:val="single"/>
        </w:rPr>
      </w:pPr>
    </w:p>
    <w:p w14:paraId="32A29CAD">
      <w:pPr>
        <w:rPr>
          <w:color w:val="auto"/>
          <w:u w:val="single"/>
        </w:rPr>
      </w:pPr>
    </w:p>
    <w:p w14:paraId="4DD559D8">
      <w:pPr>
        <w:rPr>
          <w:color w:val="auto"/>
          <w:u w:val="single"/>
        </w:rPr>
      </w:pPr>
    </w:p>
    <w:p w14:paraId="79EFB8A1">
      <w:pPr>
        <w:rPr>
          <w:color w:val="auto"/>
          <w:u w:val="single"/>
        </w:rPr>
      </w:pPr>
    </w:p>
    <w:p w14:paraId="00A23A8A">
      <w:pPr>
        <w:rPr>
          <w:color w:val="auto"/>
          <w:u w:val="single"/>
        </w:rPr>
      </w:pPr>
    </w:p>
    <w:p w14:paraId="10B4D0CA">
      <w:pPr>
        <w:rPr>
          <w:color w:val="auto"/>
          <w:u w:val="single"/>
        </w:rPr>
      </w:pPr>
    </w:p>
    <w:p w14:paraId="085ECCF0">
      <w:pPr>
        <w:rPr>
          <w:color w:val="auto"/>
          <w:u w:val="single"/>
        </w:rPr>
      </w:pPr>
    </w:p>
    <w:p w14:paraId="68783B3F">
      <w:pPr>
        <w:rPr>
          <w:color w:val="auto"/>
          <w:u w:val="single"/>
        </w:rPr>
      </w:pPr>
    </w:p>
    <w:p w14:paraId="4B40D37A">
      <w:pPr>
        <w:rPr>
          <w:color w:val="auto"/>
          <w:u w:val="single"/>
        </w:rPr>
      </w:pPr>
    </w:p>
    <w:p w14:paraId="42445A45">
      <w:pPr>
        <w:rPr>
          <w:color w:val="auto"/>
          <w:u w:val="single"/>
        </w:rPr>
      </w:pPr>
    </w:p>
    <w:p w14:paraId="301908FC">
      <w:pPr>
        <w:rPr>
          <w:color w:val="auto"/>
          <w:u w:val="single"/>
        </w:rPr>
      </w:pPr>
    </w:p>
    <w:p w14:paraId="338FDA13">
      <w:pPr>
        <w:rPr>
          <w:color w:val="auto"/>
          <w:u w:val="single"/>
        </w:rPr>
      </w:pPr>
    </w:p>
    <w:p w14:paraId="1796A14B">
      <w:pPr>
        <w:rPr>
          <w:color w:val="auto"/>
          <w:u w:val="single"/>
        </w:rPr>
      </w:pPr>
    </w:p>
    <w:p w14:paraId="0D14A704">
      <w:pPr>
        <w:rPr>
          <w:color w:val="auto"/>
          <w:u w:val="single"/>
        </w:rPr>
      </w:pPr>
    </w:p>
    <w:p w14:paraId="7EA0DFA1">
      <w:pPr>
        <w:rPr>
          <w:color w:val="auto"/>
          <w:u w:val="single"/>
        </w:rPr>
      </w:pPr>
    </w:p>
    <w:p w14:paraId="6D0579FC">
      <w:pPr>
        <w:rPr>
          <w:color w:val="auto"/>
          <w:u w:val="single"/>
        </w:rPr>
      </w:pPr>
    </w:p>
    <w:p w14:paraId="317A73A5">
      <w:pPr>
        <w:rPr>
          <w:color w:val="auto"/>
          <w:u w:val="single"/>
        </w:rPr>
      </w:pPr>
    </w:p>
    <w:p w14:paraId="76CA202F">
      <w:pPr>
        <w:pStyle w:val="2"/>
        <w:numPr>
          <w:ilvl w:val="0"/>
          <w:numId w:val="8"/>
        </w:numPr>
        <w:ind w:left="0" w:leftChars="0" w:firstLine="0" w:firstLineChars="0"/>
        <w:jc w:val="center"/>
        <w:rPr>
          <w:b w:val="0"/>
          <w:color w:val="auto"/>
          <w:sz w:val="44"/>
          <w:szCs w:val="44"/>
        </w:rPr>
      </w:pPr>
      <w:bookmarkStart w:id="34" w:name="_Toc127161488"/>
      <w:bookmarkStart w:id="35" w:name="_Toc265228423"/>
      <w:bookmarkStart w:id="36" w:name="_Toc512937850"/>
      <w:bookmarkStart w:id="37" w:name="_Toc226965856"/>
      <w:bookmarkStart w:id="38" w:name="_Toc305158854"/>
      <w:bookmarkStart w:id="39" w:name="_Toc127151777"/>
      <w:bookmarkStart w:id="40" w:name="_Toc353825548"/>
      <w:bookmarkStart w:id="41" w:name="_Toc353873938"/>
      <w:bookmarkStart w:id="42" w:name="_Toc264969275"/>
      <w:bookmarkStart w:id="43" w:name="_Toc4902"/>
      <w:bookmarkStart w:id="44" w:name="_Toc305158928"/>
      <w:bookmarkStart w:id="45" w:name="_Toc195842950"/>
      <w:bookmarkStart w:id="46" w:name="_Toc150774783"/>
      <w:r>
        <w:rPr>
          <w:color w:val="auto"/>
          <w:sz w:val="44"/>
          <w:szCs w:val="44"/>
        </w:rPr>
        <w:t>供应商须知</w:t>
      </w:r>
      <w:bookmarkEnd w:id="34"/>
      <w:bookmarkEnd w:id="35"/>
      <w:bookmarkEnd w:id="36"/>
      <w:bookmarkEnd w:id="37"/>
      <w:bookmarkEnd w:id="38"/>
      <w:bookmarkEnd w:id="39"/>
      <w:bookmarkEnd w:id="40"/>
      <w:bookmarkEnd w:id="41"/>
      <w:bookmarkEnd w:id="42"/>
      <w:bookmarkEnd w:id="43"/>
      <w:bookmarkEnd w:id="44"/>
      <w:bookmarkEnd w:id="45"/>
      <w:bookmarkEnd w:id="46"/>
    </w:p>
    <w:p w14:paraId="5A7EC45B">
      <w:pPr>
        <w:pStyle w:val="17"/>
        <w:rPr>
          <w:color w:val="auto"/>
        </w:rPr>
      </w:pPr>
      <w:bookmarkStart w:id="47" w:name="_Toc151190146"/>
      <w:bookmarkStart w:id="48" w:name="_Toc226965792"/>
      <w:bookmarkStart w:id="49" w:name="_Toc226965709"/>
      <w:bookmarkStart w:id="50" w:name="_Toc150480757"/>
      <w:bookmarkStart w:id="51" w:name="_Toc127151720"/>
      <w:bookmarkStart w:id="52" w:name="_Toc226309763"/>
      <w:bookmarkStart w:id="53" w:name="_Toc164229214"/>
      <w:bookmarkStart w:id="54" w:name="_Toc127161433"/>
      <w:bookmarkStart w:id="55" w:name="_Toc150509270"/>
      <w:bookmarkStart w:id="56" w:name="_Toc195842884"/>
      <w:bookmarkStart w:id="57" w:name="_Toc149720812"/>
      <w:bookmarkStart w:id="58" w:name="_Toc151193689"/>
      <w:bookmarkStart w:id="59" w:name="_Toc520356144"/>
      <w:bookmarkStart w:id="60" w:name="_Toc164351613"/>
      <w:bookmarkStart w:id="61" w:name="_Toc226337215"/>
      <w:bookmarkStart w:id="62" w:name="_Toc164608633"/>
      <w:bookmarkStart w:id="63" w:name="_Toc151193907"/>
      <w:bookmarkStart w:id="64" w:name="_Toc150774724"/>
      <w:bookmarkStart w:id="65" w:name="_Toc151193761"/>
      <w:bookmarkStart w:id="66" w:name="_Toc151193617"/>
      <w:bookmarkStart w:id="67" w:name="_Toc142311021"/>
      <w:bookmarkStart w:id="68" w:name="_Toc164608788"/>
      <w:bookmarkStart w:id="69" w:name="_Toc127151519"/>
      <w:bookmarkStart w:id="70" w:name="_Toc164229360"/>
      <w:bookmarkStart w:id="71" w:name="_Toc150774619"/>
      <w:bookmarkStart w:id="72" w:name="_Toc151193833"/>
      <w:r>
        <w:rPr>
          <w:color w:val="auto"/>
        </w:rPr>
        <w:t>供应商须知资料表</w:t>
      </w:r>
    </w:p>
    <w:p w14:paraId="33A1128D">
      <w:pPr>
        <w:jc w:val="center"/>
        <w:rPr>
          <w:b/>
          <w:color w:val="auto"/>
          <w:sz w:val="28"/>
          <w:szCs w:val="28"/>
        </w:rPr>
      </w:pPr>
    </w:p>
    <w:p w14:paraId="2DB59925">
      <w:pPr>
        <w:pStyle w:val="17"/>
        <w:rPr>
          <w:color w:val="auto"/>
        </w:rPr>
      </w:pPr>
      <w:r>
        <w:rPr>
          <w:color w:val="auto"/>
        </w:rPr>
        <w:t>本表是对供应商须知的具体补充和修改，如有矛盾，均以本资料表为准。标记“</w:t>
      </w:r>
      <w:r>
        <w:rPr>
          <w:b/>
          <w:color w:val="auto"/>
        </w:rPr>
        <w:t>■</w:t>
      </w:r>
      <w:r>
        <w:rPr>
          <w:color w:val="auto"/>
        </w:rPr>
        <w:t>”的选项意为适用于本项目，标记“□”的选项意为不适用于本项目。</w:t>
      </w:r>
    </w:p>
    <w:tbl>
      <w:tblPr>
        <w:tblStyle w:val="4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2"/>
        <w:gridCol w:w="1588"/>
        <w:gridCol w:w="6736"/>
      </w:tblGrid>
      <w:tr w14:paraId="78DA6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518" w:type="pct"/>
            <w:noWrap w:val="0"/>
            <w:vAlign w:val="center"/>
          </w:tcPr>
          <w:p w14:paraId="62378179">
            <w:pPr>
              <w:keepNext w:val="0"/>
              <w:keepLines w:val="0"/>
              <w:pageBreakBefore w:val="0"/>
              <w:widowControl w:val="0"/>
              <w:kinsoku/>
              <w:wordWrap/>
              <w:overflowPunct/>
              <w:topLinePunct w:val="0"/>
              <w:autoSpaceDE/>
              <w:autoSpaceDN/>
              <w:bidi w:val="0"/>
              <w:spacing w:line="380" w:lineRule="exact"/>
              <w:jc w:val="center"/>
              <w:textAlignment w:val="auto"/>
              <w:rPr>
                <w:b/>
                <w:bCs/>
                <w:color w:val="auto"/>
                <w:sz w:val="24"/>
              </w:rPr>
            </w:pPr>
            <w:r>
              <w:rPr>
                <w:b/>
                <w:color w:val="auto"/>
                <w:sz w:val="24"/>
              </w:rPr>
              <w:t>条款号</w:t>
            </w:r>
          </w:p>
        </w:tc>
        <w:tc>
          <w:tcPr>
            <w:tcW w:w="855" w:type="pct"/>
            <w:noWrap w:val="0"/>
            <w:vAlign w:val="center"/>
          </w:tcPr>
          <w:p w14:paraId="0134CE66">
            <w:pPr>
              <w:keepNext w:val="0"/>
              <w:keepLines w:val="0"/>
              <w:pageBreakBefore w:val="0"/>
              <w:widowControl w:val="0"/>
              <w:kinsoku/>
              <w:wordWrap/>
              <w:overflowPunct/>
              <w:topLinePunct w:val="0"/>
              <w:autoSpaceDE/>
              <w:autoSpaceDN/>
              <w:bidi w:val="0"/>
              <w:spacing w:line="380" w:lineRule="exact"/>
              <w:jc w:val="center"/>
              <w:textAlignment w:val="auto"/>
              <w:rPr>
                <w:b/>
                <w:bCs/>
                <w:color w:val="auto"/>
                <w:sz w:val="24"/>
              </w:rPr>
            </w:pPr>
            <w:r>
              <w:rPr>
                <w:b/>
                <w:bCs/>
                <w:color w:val="auto"/>
                <w:sz w:val="24"/>
              </w:rPr>
              <w:t>条目</w:t>
            </w:r>
          </w:p>
        </w:tc>
        <w:tc>
          <w:tcPr>
            <w:tcW w:w="3626" w:type="pct"/>
            <w:noWrap w:val="0"/>
            <w:vAlign w:val="center"/>
          </w:tcPr>
          <w:p w14:paraId="516C8D17">
            <w:pPr>
              <w:keepNext w:val="0"/>
              <w:keepLines w:val="0"/>
              <w:pageBreakBefore w:val="0"/>
              <w:widowControl w:val="0"/>
              <w:kinsoku/>
              <w:wordWrap/>
              <w:overflowPunct/>
              <w:topLinePunct w:val="0"/>
              <w:autoSpaceDE/>
              <w:autoSpaceDN/>
              <w:bidi w:val="0"/>
              <w:spacing w:line="380" w:lineRule="exact"/>
              <w:jc w:val="center"/>
              <w:textAlignment w:val="auto"/>
              <w:rPr>
                <w:b/>
                <w:bCs/>
                <w:color w:val="auto"/>
                <w:sz w:val="24"/>
              </w:rPr>
            </w:pPr>
            <w:r>
              <w:rPr>
                <w:b/>
                <w:bCs/>
                <w:color w:val="auto"/>
                <w:sz w:val="24"/>
              </w:rPr>
              <w:t>内容</w:t>
            </w:r>
          </w:p>
        </w:tc>
      </w:tr>
      <w:tr w14:paraId="5FF61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18" w:type="pct"/>
            <w:noWrap w:val="0"/>
            <w:vAlign w:val="center"/>
          </w:tcPr>
          <w:p w14:paraId="160BC3F7">
            <w:pPr>
              <w:keepNext w:val="0"/>
              <w:keepLines w:val="0"/>
              <w:pageBreakBefore w:val="0"/>
              <w:widowControl w:val="0"/>
              <w:kinsoku/>
              <w:wordWrap/>
              <w:overflowPunct/>
              <w:topLinePunct w:val="0"/>
              <w:autoSpaceDE/>
              <w:autoSpaceDN/>
              <w:bidi w:val="0"/>
              <w:spacing w:line="380" w:lineRule="exact"/>
              <w:jc w:val="center"/>
              <w:textAlignment w:val="auto"/>
              <w:rPr>
                <w:color w:val="auto"/>
                <w:sz w:val="24"/>
              </w:rPr>
            </w:pPr>
            <w:r>
              <w:rPr>
                <w:color w:val="auto"/>
                <w:sz w:val="24"/>
              </w:rPr>
              <w:t>2.2</w:t>
            </w:r>
          </w:p>
        </w:tc>
        <w:tc>
          <w:tcPr>
            <w:tcW w:w="855" w:type="pct"/>
            <w:noWrap w:val="0"/>
            <w:vAlign w:val="center"/>
          </w:tcPr>
          <w:p w14:paraId="394EB4D2">
            <w:pPr>
              <w:keepNext w:val="0"/>
              <w:keepLines w:val="0"/>
              <w:pageBreakBefore w:val="0"/>
              <w:widowControl w:val="0"/>
              <w:kinsoku/>
              <w:wordWrap/>
              <w:overflowPunct/>
              <w:topLinePunct w:val="0"/>
              <w:autoSpaceDE/>
              <w:autoSpaceDN/>
              <w:bidi w:val="0"/>
              <w:spacing w:line="380" w:lineRule="exact"/>
              <w:jc w:val="center"/>
              <w:textAlignment w:val="auto"/>
              <w:rPr>
                <w:color w:val="auto"/>
                <w:sz w:val="24"/>
              </w:rPr>
            </w:pPr>
            <w:r>
              <w:rPr>
                <w:color w:val="auto"/>
                <w:sz w:val="24"/>
              </w:rPr>
              <w:t>科研仪器设备</w:t>
            </w:r>
          </w:p>
        </w:tc>
        <w:tc>
          <w:tcPr>
            <w:tcW w:w="3626" w:type="pct"/>
            <w:noWrap w:val="0"/>
            <w:vAlign w:val="center"/>
          </w:tcPr>
          <w:p w14:paraId="1DA11801">
            <w:pPr>
              <w:keepNext w:val="0"/>
              <w:keepLines w:val="0"/>
              <w:pageBreakBefore w:val="0"/>
              <w:widowControl w:val="0"/>
              <w:kinsoku/>
              <w:wordWrap/>
              <w:overflowPunct/>
              <w:topLinePunct w:val="0"/>
              <w:autoSpaceDE/>
              <w:autoSpaceDN/>
              <w:bidi w:val="0"/>
              <w:spacing w:line="380" w:lineRule="exact"/>
              <w:textAlignment w:val="auto"/>
              <w:rPr>
                <w:color w:val="auto"/>
                <w:sz w:val="24"/>
              </w:rPr>
            </w:pPr>
            <w:r>
              <w:rPr>
                <w:color w:val="auto"/>
                <w:sz w:val="24"/>
              </w:rPr>
              <w:t>是否属于科研仪器设备采购项目：</w:t>
            </w:r>
          </w:p>
          <w:p w14:paraId="6A3E36AB">
            <w:pPr>
              <w:keepNext w:val="0"/>
              <w:keepLines w:val="0"/>
              <w:pageBreakBefore w:val="0"/>
              <w:widowControl w:val="0"/>
              <w:kinsoku/>
              <w:wordWrap/>
              <w:overflowPunct/>
              <w:topLinePunct w:val="0"/>
              <w:autoSpaceDE/>
              <w:autoSpaceDN/>
              <w:bidi w:val="0"/>
              <w:spacing w:line="380" w:lineRule="exact"/>
              <w:textAlignment w:val="auto"/>
              <w:rPr>
                <w:color w:val="auto"/>
                <w:sz w:val="24"/>
              </w:rPr>
            </w:pPr>
            <w:r>
              <w:rPr>
                <w:color w:val="auto"/>
                <w:sz w:val="24"/>
              </w:rPr>
              <w:sym w:font="Wingdings 2" w:char="00A3"/>
            </w:r>
            <w:r>
              <w:rPr>
                <w:color w:val="auto"/>
                <w:sz w:val="24"/>
              </w:rPr>
              <w:t>是</w:t>
            </w:r>
          </w:p>
          <w:p w14:paraId="0C8D4BE3">
            <w:pPr>
              <w:keepNext w:val="0"/>
              <w:keepLines w:val="0"/>
              <w:pageBreakBefore w:val="0"/>
              <w:widowControl w:val="0"/>
              <w:kinsoku/>
              <w:wordWrap/>
              <w:overflowPunct/>
              <w:topLinePunct w:val="0"/>
              <w:autoSpaceDE/>
              <w:autoSpaceDN/>
              <w:bidi w:val="0"/>
              <w:spacing w:line="380" w:lineRule="exact"/>
              <w:textAlignment w:val="auto"/>
              <w:rPr>
                <w:color w:val="auto"/>
                <w:sz w:val="24"/>
              </w:rPr>
            </w:pPr>
            <w:r>
              <w:rPr>
                <w:rFonts w:hint="eastAsia" w:ascii="宋体" w:hAnsi="宋体" w:cs="宋体"/>
                <w:color w:val="auto"/>
                <w:sz w:val="24"/>
              </w:rPr>
              <w:t>■否</w:t>
            </w:r>
          </w:p>
        </w:tc>
      </w:tr>
      <w:tr w14:paraId="26DA1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8" w:hRule="atLeast"/>
          <w:jc w:val="center"/>
        </w:trPr>
        <w:tc>
          <w:tcPr>
            <w:tcW w:w="518" w:type="pct"/>
            <w:noWrap w:val="0"/>
            <w:vAlign w:val="center"/>
          </w:tcPr>
          <w:p w14:paraId="27A44F66">
            <w:pPr>
              <w:keepNext w:val="0"/>
              <w:keepLines w:val="0"/>
              <w:pageBreakBefore w:val="0"/>
              <w:widowControl w:val="0"/>
              <w:kinsoku/>
              <w:wordWrap/>
              <w:overflowPunct/>
              <w:topLinePunct w:val="0"/>
              <w:autoSpaceDE/>
              <w:autoSpaceDN/>
              <w:bidi w:val="0"/>
              <w:spacing w:line="380" w:lineRule="exact"/>
              <w:jc w:val="center"/>
              <w:textAlignment w:val="auto"/>
              <w:rPr>
                <w:color w:val="auto"/>
                <w:sz w:val="24"/>
              </w:rPr>
            </w:pPr>
            <w:r>
              <w:rPr>
                <w:color w:val="auto"/>
                <w:sz w:val="24"/>
              </w:rPr>
              <w:t>3.2.5</w:t>
            </w:r>
          </w:p>
        </w:tc>
        <w:tc>
          <w:tcPr>
            <w:tcW w:w="855" w:type="pct"/>
            <w:noWrap w:val="0"/>
            <w:vAlign w:val="center"/>
          </w:tcPr>
          <w:p w14:paraId="25060F95">
            <w:pPr>
              <w:keepNext w:val="0"/>
              <w:keepLines w:val="0"/>
              <w:pageBreakBefore w:val="0"/>
              <w:widowControl w:val="0"/>
              <w:kinsoku/>
              <w:wordWrap/>
              <w:overflowPunct/>
              <w:topLinePunct w:val="0"/>
              <w:autoSpaceDE/>
              <w:autoSpaceDN/>
              <w:bidi w:val="0"/>
              <w:spacing w:line="380" w:lineRule="exact"/>
              <w:jc w:val="center"/>
              <w:textAlignment w:val="auto"/>
              <w:rPr>
                <w:color w:val="auto"/>
                <w:sz w:val="24"/>
              </w:rPr>
            </w:pPr>
            <w:r>
              <w:rPr>
                <w:color w:val="auto"/>
                <w:sz w:val="24"/>
              </w:rPr>
              <w:t>标的所属行业</w:t>
            </w:r>
          </w:p>
        </w:tc>
        <w:tc>
          <w:tcPr>
            <w:tcW w:w="3626" w:type="pct"/>
            <w:noWrap w:val="0"/>
            <w:vAlign w:val="center"/>
          </w:tcPr>
          <w:p w14:paraId="6EC68378">
            <w:pPr>
              <w:keepNext w:val="0"/>
              <w:keepLines w:val="0"/>
              <w:pageBreakBefore w:val="0"/>
              <w:widowControl w:val="0"/>
              <w:kinsoku/>
              <w:wordWrap/>
              <w:overflowPunct/>
              <w:topLinePunct w:val="0"/>
              <w:autoSpaceDE/>
              <w:autoSpaceDN/>
              <w:bidi w:val="0"/>
              <w:spacing w:line="380" w:lineRule="exact"/>
              <w:textAlignment w:val="auto"/>
              <w:rPr>
                <w:color w:val="auto"/>
                <w:sz w:val="24"/>
              </w:rPr>
            </w:pPr>
            <w:r>
              <w:rPr>
                <w:color w:val="auto"/>
                <w:sz w:val="24"/>
              </w:rPr>
              <w:t>本项目采购标的对应的中小企业划分标准所属行业：</w:t>
            </w:r>
            <w:r>
              <w:rPr>
                <w:rFonts w:hint="eastAsia" w:ascii="宋体" w:hAnsi="宋体" w:cs="宋体"/>
                <w:color w:val="auto"/>
                <w:sz w:val="24"/>
                <w:u w:val="single"/>
              </w:rPr>
              <w:t>工业（制造业）</w:t>
            </w:r>
          </w:p>
        </w:tc>
      </w:tr>
      <w:tr w14:paraId="30676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518" w:type="pct"/>
            <w:noWrap w:val="0"/>
            <w:vAlign w:val="center"/>
          </w:tcPr>
          <w:p w14:paraId="3F95CABD">
            <w:pPr>
              <w:keepNext w:val="0"/>
              <w:keepLines w:val="0"/>
              <w:pageBreakBefore w:val="0"/>
              <w:widowControl w:val="0"/>
              <w:kinsoku/>
              <w:wordWrap/>
              <w:overflowPunct/>
              <w:topLinePunct w:val="0"/>
              <w:autoSpaceDE/>
              <w:autoSpaceDN/>
              <w:bidi w:val="0"/>
              <w:spacing w:line="380" w:lineRule="exact"/>
              <w:jc w:val="center"/>
              <w:textAlignment w:val="auto"/>
              <w:rPr>
                <w:color w:val="auto"/>
                <w:sz w:val="24"/>
              </w:rPr>
            </w:pPr>
            <w:r>
              <w:rPr>
                <w:rFonts w:hint="eastAsia"/>
                <w:color w:val="auto"/>
                <w:sz w:val="24"/>
              </w:rPr>
              <w:t>9.7</w:t>
            </w:r>
          </w:p>
        </w:tc>
        <w:tc>
          <w:tcPr>
            <w:tcW w:w="855" w:type="pct"/>
            <w:noWrap w:val="0"/>
            <w:vAlign w:val="center"/>
          </w:tcPr>
          <w:p w14:paraId="05862EBF">
            <w:pPr>
              <w:keepNext w:val="0"/>
              <w:keepLines w:val="0"/>
              <w:pageBreakBefore w:val="0"/>
              <w:widowControl w:val="0"/>
              <w:kinsoku/>
              <w:wordWrap/>
              <w:overflowPunct/>
              <w:topLinePunct w:val="0"/>
              <w:autoSpaceDE/>
              <w:autoSpaceDN/>
              <w:bidi w:val="0"/>
              <w:spacing w:line="380" w:lineRule="exact"/>
              <w:jc w:val="center"/>
              <w:textAlignment w:val="auto"/>
              <w:rPr>
                <w:rFonts w:hint="eastAsia"/>
                <w:color w:val="auto"/>
                <w:sz w:val="24"/>
              </w:rPr>
            </w:pPr>
            <w:r>
              <w:rPr>
                <w:rFonts w:hint="eastAsia" w:ascii="宋体" w:hAnsi="宋体" w:cs="宋体"/>
                <w:color w:val="auto"/>
                <w:sz w:val="24"/>
              </w:rPr>
              <w:t>响应文件份数</w:t>
            </w:r>
          </w:p>
        </w:tc>
        <w:tc>
          <w:tcPr>
            <w:tcW w:w="3626" w:type="pct"/>
            <w:noWrap w:val="0"/>
            <w:vAlign w:val="center"/>
          </w:tcPr>
          <w:p w14:paraId="097B2BAD">
            <w:pPr>
              <w:keepNext w:val="0"/>
              <w:keepLines w:val="0"/>
              <w:pageBreakBefore w:val="0"/>
              <w:widowControl w:val="0"/>
              <w:kinsoku/>
              <w:wordWrap/>
              <w:overflowPunct/>
              <w:topLinePunct w:val="0"/>
              <w:autoSpaceDE/>
              <w:autoSpaceDN/>
              <w:bidi w:val="0"/>
              <w:spacing w:line="380" w:lineRule="exact"/>
              <w:jc w:val="left"/>
              <w:textAlignment w:val="auto"/>
              <w:rPr>
                <w:rFonts w:hint="eastAsia" w:eastAsia="宋体"/>
                <w:strike/>
                <w:color w:val="auto"/>
                <w:sz w:val="24"/>
                <w:lang w:eastAsia="zh-CN"/>
              </w:rPr>
            </w:pPr>
            <w:r>
              <w:rPr>
                <w:rFonts w:hint="eastAsia" w:ascii="宋体" w:hAnsi="宋体"/>
                <w:color w:val="auto"/>
                <w:sz w:val="24"/>
              </w:rPr>
              <w:t>本项目采用不见面交易方式，</w:t>
            </w:r>
            <w:r>
              <w:rPr>
                <w:rFonts w:hint="eastAsia" w:ascii="宋体" w:hAnsi="宋体"/>
                <w:color w:val="auto"/>
                <w:sz w:val="24"/>
                <w:lang w:val="en-US" w:eastAsia="zh-CN"/>
              </w:rPr>
              <w:t>采购电子响应文件提交。成交</w:t>
            </w:r>
            <w:r>
              <w:rPr>
                <w:rFonts w:hint="eastAsia" w:ascii="宋体" w:hAnsi="宋体" w:cs="宋体"/>
                <w:color w:val="auto"/>
                <w:sz w:val="24"/>
              </w:rPr>
              <w:t>供应商</w:t>
            </w:r>
            <w:r>
              <w:rPr>
                <w:rFonts w:hint="eastAsia" w:ascii="宋体" w:hAnsi="宋体" w:cs="宋体"/>
                <w:color w:val="auto"/>
                <w:sz w:val="24"/>
                <w:lang w:val="en-US" w:eastAsia="zh-CN"/>
              </w:rPr>
              <w:t>按第四章中商务要求</w:t>
            </w:r>
            <w:r>
              <w:rPr>
                <w:rFonts w:hint="eastAsia" w:ascii="宋体" w:hAnsi="宋体" w:cs="宋体"/>
                <w:color w:val="auto"/>
                <w:sz w:val="24"/>
              </w:rPr>
              <w:t>递交电子响应文件</w:t>
            </w:r>
            <w:r>
              <w:rPr>
                <w:rFonts w:hint="eastAsia" w:ascii="宋体" w:hAnsi="宋体" w:cs="宋体"/>
                <w:color w:val="auto"/>
                <w:sz w:val="24"/>
                <w:lang w:val="en-US" w:eastAsia="zh-CN"/>
              </w:rPr>
              <w:t>纸质</w:t>
            </w:r>
            <w:r>
              <w:rPr>
                <w:rFonts w:hint="eastAsia" w:ascii="宋体" w:hAnsi="宋体" w:cs="宋体"/>
                <w:color w:val="auto"/>
                <w:sz w:val="24"/>
              </w:rPr>
              <w:t>稿</w:t>
            </w:r>
            <w:r>
              <w:rPr>
                <w:rFonts w:hint="eastAsia" w:ascii="宋体" w:hAnsi="宋体" w:cs="宋体"/>
                <w:color w:val="auto"/>
                <w:sz w:val="24"/>
                <w:lang w:eastAsia="zh-CN"/>
              </w:rPr>
              <w:t>。</w:t>
            </w:r>
          </w:p>
        </w:tc>
      </w:tr>
      <w:tr w14:paraId="48CFF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2" w:hRule="atLeast"/>
          <w:jc w:val="center"/>
        </w:trPr>
        <w:tc>
          <w:tcPr>
            <w:tcW w:w="518" w:type="pct"/>
            <w:noWrap w:val="0"/>
            <w:vAlign w:val="center"/>
          </w:tcPr>
          <w:p w14:paraId="2DB20E4B">
            <w:pPr>
              <w:keepNext w:val="0"/>
              <w:keepLines w:val="0"/>
              <w:pageBreakBefore w:val="0"/>
              <w:widowControl w:val="0"/>
              <w:kinsoku/>
              <w:wordWrap/>
              <w:overflowPunct/>
              <w:topLinePunct w:val="0"/>
              <w:autoSpaceDE/>
              <w:autoSpaceDN/>
              <w:bidi w:val="0"/>
              <w:spacing w:line="380" w:lineRule="exact"/>
              <w:jc w:val="center"/>
              <w:textAlignment w:val="auto"/>
              <w:rPr>
                <w:color w:val="auto"/>
                <w:sz w:val="24"/>
              </w:rPr>
            </w:pPr>
            <w:r>
              <w:rPr>
                <w:rFonts w:hint="eastAsia"/>
                <w:color w:val="auto"/>
                <w:sz w:val="24"/>
              </w:rPr>
              <w:t>10</w:t>
            </w:r>
          </w:p>
        </w:tc>
        <w:tc>
          <w:tcPr>
            <w:tcW w:w="855" w:type="pct"/>
            <w:noWrap w:val="0"/>
            <w:vAlign w:val="center"/>
          </w:tcPr>
          <w:p w14:paraId="45937010">
            <w:pPr>
              <w:keepNext w:val="0"/>
              <w:keepLines w:val="0"/>
              <w:pageBreakBefore w:val="0"/>
              <w:widowControl w:val="0"/>
              <w:kinsoku/>
              <w:wordWrap/>
              <w:overflowPunct/>
              <w:topLinePunct w:val="0"/>
              <w:autoSpaceDE/>
              <w:autoSpaceDN/>
              <w:bidi w:val="0"/>
              <w:spacing w:line="380" w:lineRule="exact"/>
              <w:jc w:val="center"/>
              <w:textAlignment w:val="auto"/>
              <w:rPr>
                <w:color w:val="auto"/>
                <w:sz w:val="24"/>
              </w:rPr>
            </w:pPr>
            <w:r>
              <w:rPr>
                <w:color w:val="auto"/>
                <w:sz w:val="24"/>
              </w:rPr>
              <w:t>报价</w:t>
            </w:r>
          </w:p>
        </w:tc>
        <w:tc>
          <w:tcPr>
            <w:tcW w:w="3626" w:type="pct"/>
            <w:noWrap w:val="0"/>
            <w:vAlign w:val="center"/>
          </w:tcPr>
          <w:p w14:paraId="0811B15F">
            <w:pPr>
              <w:keepNext w:val="0"/>
              <w:keepLines w:val="0"/>
              <w:pageBreakBefore w:val="0"/>
              <w:widowControl w:val="0"/>
              <w:kinsoku/>
              <w:wordWrap/>
              <w:overflowPunct/>
              <w:topLinePunct w:val="0"/>
              <w:autoSpaceDE/>
              <w:autoSpaceDN/>
              <w:bidi w:val="0"/>
              <w:spacing w:line="380" w:lineRule="exact"/>
              <w:textAlignment w:val="auto"/>
              <w:rPr>
                <w:color w:val="auto"/>
                <w:sz w:val="24"/>
              </w:rPr>
            </w:pPr>
            <w:r>
              <w:rPr>
                <w:rFonts w:hint="eastAsia"/>
                <w:color w:val="auto"/>
                <w:sz w:val="24"/>
              </w:rPr>
              <w:t>响应报价的特殊规定：</w:t>
            </w:r>
          </w:p>
          <w:p w14:paraId="3D22F36E">
            <w:pPr>
              <w:keepNext w:val="0"/>
              <w:keepLines w:val="0"/>
              <w:pageBreakBefore w:val="0"/>
              <w:widowControl w:val="0"/>
              <w:kinsoku/>
              <w:wordWrap/>
              <w:overflowPunct/>
              <w:topLinePunct w:val="0"/>
              <w:autoSpaceDE/>
              <w:autoSpaceDN/>
              <w:bidi w:val="0"/>
              <w:spacing w:line="380" w:lineRule="exact"/>
              <w:textAlignment w:val="auto"/>
              <w:rPr>
                <w:color w:val="auto"/>
                <w:sz w:val="24"/>
              </w:rPr>
            </w:pPr>
            <w:r>
              <w:rPr>
                <w:rFonts w:hint="eastAsia" w:ascii="宋体" w:hAnsi="宋体" w:cs="宋体"/>
                <w:color w:val="auto"/>
                <w:sz w:val="24"/>
              </w:rPr>
              <w:t>■</w:t>
            </w:r>
            <w:r>
              <w:rPr>
                <w:color w:val="auto"/>
                <w:sz w:val="24"/>
              </w:rPr>
              <w:t>无</w:t>
            </w:r>
          </w:p>
          <w:p w14:paraId="0B0A13FE">
            <w:pPr>
              <w:keepNext w:val="0"/>
              <w:keepLines w:val="0"/>
              <w:pageBreakBefore w:val="0"/>
              <w:widowControl w:val="0"/>
              <w:kinsoku/>
              <w:wordWrap/>
              <w:overflowPunct/>
              <w:topLinePunct w:val="0"/>
              <w:autoSpaceDE/>
              <w:autoSpaceDN/>
              <w:bidi w:val="0"/>
              <w:spacing w:line="380" w:lineRule="exact"/>
              <w:textAlignment w:val="auto"/>
              <w:rPr>
                <w:color w:val="auto"/>
                <w:sz w:val="24"/>
              </w:rPr>
            </w:pPr>
            <w:r>
              <w:rPr>
                <w:color w:val="auto"/>
                <w:sz w:val="24"/>
              </w:rPr>
              <w:sym w:font="Wingdings 2" w:char="00A3"/>
            </w:r>
            <w:r>
              <w:rPr>
                <w:color w:val="auto"/>
                <w:sz w:val="24"/>
              </w:rPr>
              <w:t>有，具体情形：_____。</w:t>
            </w:r>
          </w:p>
        </w:tc>
      </w:tr>
      <w:tr w14:paraId="78D68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518" w:type="pct"/>
            <w:noWrap w:val="0"/>
            <w:vAlign w:val="center"/>
          </w:tcPr>
          <w:p w14:paraId="08954734">
            <w:pPr>
              <w:keepNext w:val="0"/>
              <w:keepLines w:val="0"/>
              <w:pageBreakBefore w:val="0"/>
              <w:widowControl w:val="0"/>
              <w:kinsoku/>
              <w:wordWrap/>
              <w:overflowPunct/>
              <w:topLinePunct w:val="0"/>
              <w:autoSpaceDE/>
              <w:autoSpaceDN/>
              <w:bidi w:val="0"/>
              <w:spacing w:line="380" w:lineRule="exact"/>
              <w:jc w:val="center"/>
              <w:textAlignment w:val="auto"/>
              <w:rPr>
                <w:color w:val="auto"/>
                <w:sz w:val="24"/>
              </w:rPr>
            </w:pPr>
            <w:r>
              <w:rPr>
                <w:color w:val="auto"/>
                <w:sz w:val="24"/>
              </w:rPr>
              <w:t>1</w:t>
            </w:r>
            <w:r>
              <w:rPr>
                <w:rFonts w:hint="eastAsia"/>
                <w:color w:val="auto"/>
                <w:sz w:val="24"/>
              </w:rPr>
              <w:t>1</w:t>
            </w:r>
            <w:r>
              <w:rPr>
                <w:color w:val="auto"/>
                <w:sz w:val="24"/>
              </w:rPr>
              <w:t>.1</w:t>
            </w:r>
          </w:p>
        </w:tc>
        <w:tc>
          <w:tcPr>
            <w:tcW w:w="855" w:type="pct"/>
            <w:noWrap w:val="0"/>
            <w:vAlign w:val="center"/>
          </w:tcPr>
          <w:p w14:paraId="390020B0">
            <w:pPr>
              <w:keepNext w:val="0"/>
              <w:keepLines w:val="0"/>
              <w:pageBreakBefore w:val="0"/>
              <w:widowControl w:val="0"/>
              <w:kinsoku/>
              <w:wordWrap/>
              <w:overflowPunct/>
              <w:topLinePunct w:val="0"/>
              <w:autoSpaceDE/>
              <w:autoSpaceDN/>
              <w:bidi w:val="0"/>
              <w:spacing w:line="380" w:lineRule="exact"/>
              <w:jc w:val="center"/>
              <w:textAlignment w:val="auto"/>
              <w:rPr>
                <w:color w:val="auto"/>
                <w:sz w:val="24"/>
              </w:rPr>
            </w:pPr>
            <w:r>
              <w:rPr>
                <w:color w:val="auto"/>
                <w:sz w:val="24"/>
              </w:rPr>
              <w:t>保证金</w:t>
            </w:r>
          </w:p>
        </w:tc>
        <w:tc>
          <w:tcPr>
            <w:tcW w:w="3626" w:type="pct"/>
            <w:noWrap w:val="0"/>
            <w:vAlign w:val="center"/>
          </w:tcPr>
          <w:p w14:paraId="7B1B28EA">
            <w:pPr>
              <w:keepNext w:val="0"/>
              <w:keepLines w:val="0"/>
              <w:pageBreakBefore w:val="0"/>
              <w:widowControl w:val="0"/>
              <w:kinsoku/>
              <w:wordWrap/>
              <w:overflowPunct/>
              <w:topLinePunct w:val="0"/>
              <w:autoSpaceDE/>
              <w:autoSpaceDN/>
              <w:bidi w:val="0"/>
              <w:spacing w:line="380" w:lineRule="exact"/>
              <w:jc w:val="left"/>
              <w:textAlignment w:val="auto"/>
              <w:rPr>
                <w:color w:val="auto"/>
                <w:sz w:val="24"/>
              </w:rPr>
            </w:pPr>
            <w:r>
              <w:rPr>
                <w:rFonts w:hint="eastAsia"/>
                <w:color w:val="auto"/>
                <w:sz w:val="24"/>
              </w:rPr>
              <w:t>免收</w:t>
            </w:r>
          </w:p>
        </w:tc>
      </w:tr>
      <w:tr w14:paraId="3F459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18" w:type="pct"/>
            <w:noWrap w:val="0"/>
            <w:vAlign w:val="center"/>
          </w:tcPr>
          <w:p w14:paraId="23B5A307">
            <w:pPr>
              <w:keepNext w:val="0"/>
              <w:keepLines w:val="0"/>
              <w:pageBreakBefore w:val="0"/>
              <w:widowControl w:val="0"/>
              <w:kinsoku/>
              <w:wordWrap/>
              <w:overflowPunct/>
              <w:topLinePunct w:val="0"/>
              <w:autoSpaceDE/>
              <w:autoSpaceDN/>
              <w:bidi w:val="0"/>
              <w:spacing w:line="380" w:lineRule="exact"/>
              <w:jc w:val="center"/>
              <w:textAlignment w:val="auto"/>
              <w:rPr>
                <w:color w:val="auto"/>
                <w:sz w:val="24"/>
              </w:rPr>
            </w:pPr>
            <w:r>
              <w:rPr>
                <w:color w:val="auto"/>
                <w:sz w:val="24"/>
              </w:rPr>
              <w:t>1</w:t>
            </w:r>
            <w:r>
              <w:rPr>
                <w:rFonts w:hint="eastAsia"/>
                <w:color w:val="auto"/>
                <w:sz w:val="24"/>
              </w:rPr>
              <w:t>2</w:t>
            </w:r>
            <w:r>
              <w:rPr>
                <w:color w:val="auto"/>
                <w:sz w:val="24"/>
              </w:rPr>
              <w:t>.1</w:t>
            </w:r>
          </w:p>
        </w:tc>
        <w:tc>
          <w:tcPr>
            <w:tcW w:w="855" w:type="pct"/>
            <w:noWrap w:val="0"/>
            <w:vAlign w:val="center"/>
          </w:tcPr>
          <w:p w14:paraId="18C9B028">
            <w:pPr>
              <w:keepNext w:val="0"/>
              <w:keepLines w:val="0"/>
              <w:pageBreakBefore w:val="0"/>
              <w:widowControl w:val="0"/>
              <w:kinsoku/>
              <w:wordWrap/>
              <w:overflowPunct/>
              <w:topLinePunct w:val="0"/>
              <w:autoSpaceDE/>
              <w:autoSpaceDN/>
              <w:bidi w:val="0"/>
              <w:spacing w:line="380" w:lineRule="exact"/>
              <w:jc w:val="center"/>
              <w:textAlignment w:val="auto"/>
              <w:rPr>
                <w:color w:val="auto"/>
                <w:sz w:val="24"/>
              </w:rPr>
            </w:pPr>
            <w:r>
              <w:rPr>
                <w:color w:val="auto"/>
                <w:sz w:val="24"/>
              </w:rPr>
              <w:t>响应有效期</w:t>
            </w:r>
          </w:p>
        </w:tc>
        <w:tc>
          <w:tcPr>
            <w:tcW w:w="3626" w:type="pct"/>
            <w:noWrap w:val="0"/>
            <w:vAlign w:val="center"/>
          </w:tcPr>
          <w:p w14:paraId="5B21ACE7">
            <w:pPr>
              <w:keepNext w:val="0"/>
              <w:keepLines w:val="0"/>
              <w:pageBreakBefore w:val="0"/>
              <w:widowControl w:val="0"/>
              <w:kinsoku/>
              <w:wordWrap/>
              <w:overflowPunct/>
              <w:topLinePunct w:val="0"/>
              <w:autoSpaceDE/>
              <w:autoSpaceDN/>
              <w:bidi w:val="0"/>
              <w:spacing w:line="380" w:lineRule="exact"/>
              <w:jc w:val="left"/>
              <w:textAlignment w:val="auto"/>
              <w:rPr>
                <w:color w:val="auto"/>
                <w:sz w:val="24"/>
              </w:rPr>
            </w:pPr>
            <w:r>
              <w:rPr>
                <w:color w:val="auto"/>
                <w:sz w:val="24"/>
              </w:rPr>
              <w:t>自提交响应文件的截止之日起算_</w:t>
            </w:r>
            <w:r>
              <w:rPr>
                <w:rFonts w:hint="eastAsia"/>
                <w:color w:val="auto"/>
                <w:sz w:val="24"/>
                <w:u w:val="single"/>
              </w:rPr>
              <w:t>60</w:t>
            </w:r>
            <w:r>
              <w:rPr>
                <w:color w:val="auto"/>
                <w:sz w:val="24"/>
              </w:rPr>
              <w:t>_日历天。</w:t>
            </w:r>
          </w:p>
        </w:tc>
      </w:tr>
      <w:tr w14:paraId="2BF15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18" w:type="pct"/>
            <w:noWrap w:val="0"/>
            <w:vAlign w:val="center"/>
          </w:tcPr>
          <w:p w14:paraId="355D6F43">
            <w:pPr>
              <w:keepNext w:val="0"/>
              <w:keepLines w:val="0"/>
              <w:pageBreakBefore w:val="0"/>
              <w:widowControl w:val="0"/>
              <w:kinsoku/>
              <w:wordWrap/>
              <w:overflowPunct/>
              <w:topLinePunct w:val="0"/>
              <w:autoSpaceDE/>
              <w:autoSpaceDN/>
              <w:bidi w:val="0"/>
              <w:spacing w:line="380" w:lineRule="exact"/>
              <w:jc w:val="center"/>
              <w:textAlignment w:val="auto"/>
              <w:rPr>
                <w:color w:val="auto"/>
                <w:sz w:val="24"/>
              </w:rPr>
            </w:pPr>
            <w:r>
              <w:rPr>
                <w:color w:val="auto"/>
                <w:sz w:val="24"/>
              </w:rPr>
              <w:t>19.1</w:t>
            </w:r>
          </w:p>
        </w:tc>
        <w:tc>
          <w:tcPr>
            <w:tcW w:w="855" w:type="pct"/>
            <w:noWrap w:val="0"/>
            <w:vAlign w:val="center"/>
          </w:tcPr>
          <w:p w14:paraId="47D33C2C">
            <w:pPr>
              <w:keepNext w:val="0"/>
              <w:keepLines w:val="0"/>
              <w:pageBreakBefore w:val="0"/>
              <w:widowControl w:val="0"/>
              <w:kinsoku/>
              <w:wordWrap/>
              <w:overflowPunct/>
              <w:topLinePunct w:val="0"/>
              <w:autoSpaceDE/>
              <w:autoSpaceDN/>
              <w:bidi w:val="0"/>
              <w:spacing w:line="380" w:lineRule="exact"/>
              <w:jc w:val="center"/>
              <w:textAlignment w:val="auto"/>
              <w:rPr>
                <w:color w:val="auto"/>
                <w:sz w:val="24"/>
              </w:rPr>
            </w:pPr>
            <w:r>
              <w:rPr>
                <w:color w:val="auto"/>
                <w:sz w:val="24"/>
              </w:rPr>
              <w:t>确定成交</w:t>
            </w:r>
          </w:p>
          <w:p w14:paraId="41627937">
            <w:pPr>
              <w:keepNext w:val="0"/>
              <w:keepLines w:val="0"/>
              <w:pageBreakBefore w:val="0"/>
              <w:widowControl w:val="0"/>
              <w:kinsoku/>
              <w:wordWrap/>
              <w:overflowPunct/>
              <w:topLinePunct w:val="0"/>
              <w:autoSpaceDE/>
              <w:autoSpaceDN/>
              <w:bidi w:val="0"/>
              <w:spacing w:line="380" w:lineRule="exact"/>
              <w:jc w:val="center"/>
              <w:textAlignment w:val="auto"/>
              <w:rPr>
                <w:color w:val="auto"/>
                <w:sz w:val="24"/>
              </w:rPr>
            </w:pPr>
            <w:r>
              <w:rPr>
                <w:color w:val="auto"/>
                <w:sz w:val="24"/>
              </w:rPr>
              <w:t>供应商</w:t>
            </w:r>
          </w:p>
        </w:tc>
        <w:tc>
          <w:tcPr>
            <w:tcW w:w="3626" w:type="pct"/>
            <w:noWrap w:val="0"/>
            <w:vAlign w:val="center"/>
          </w:tcPr>
          <w:p w14:paraId="53C5892E">
            <w:pPr>
              <w:pStyle w:val="23"/>
              <w:keepNext w:val="0"/>
              <w:keepLines w:val="0"/>
              <w:pageBreakBefore w:val="0"/>
              <w:widowControl w:val="0"/>
              <w:kinsoku/>
              <w:wordWrap/>
              <w:overflowPunct/>
              <w:topLinePunct w:val="0"/>
              <w:autoSpaceDE/>
              <w:autoSpaceDN/>
              <w:bidi w:val="0"/>
              <w:adjustRightInd w:val="0"/>
              <w:snapToGrid w:val="0"/>
              <w:spacing w:line="380" w:lineRule="exact"/>
              <w:textAlignment w:val="auto"/>
              <w:rPr>
                <w:rFonts w:hint="default" w:ascii="Times New Roman" w:hAnsi="Times New Roman"/>
                <w:color w:val="auto"/>
                <w:sz w:val="24"/>
              </w:rPr>
            </w:pPr>
            <w:r>
              <w:rPr>
                <w:rFonts w:hint="default" w:ascii="Times New Roman" w:hAnsi="Times New Roman"/>
                <w:color w:val="auto"/>
                <w:sz w:val="24"/>
              </w:rPr>
              <w:t>采购人是否授权询价小组直接确定成交供应商：</w:t>
            </w:r>
          </w:p>
          <w:p w14:paraId="5F209BB4">
            <w:pPr>
              <w:pStyle w:val="23"/>
              <w:keepNext w:val="0"/>
              <w:keepLines w:val="0"/>
              <w:pageBreakBefore w:val="0"/>
              <w:widowControl w:val="0"/>
              <w:kinsoku/>
              <w:wordWrap/>
              <w:overflowPunct/>
              <w:topLinePunct w:val="0"/>
              <w:autoSpaceDE/>
              <w:autoSpaceDN/>
              <w:bidi w:val="0"/>
              <w:adjustRightInd w:val="0"/>
              <w:snapToGrid w:val="0"/>
              <w:spacing w:line="380" w:lineRule="exact"/>
              <w:textAlignment w:val="auto"/>
              <w:rPr>
                <w:rFonts w:hint="default" w:ascii="Times New Roman" w:hAnsi="Times New Roman"/>
                <w:color w:val="auto"/>
                <w:sz w:val="24"/>
              </w:rPr>
            </w:pPr>
            <w:r>
              <w:rPr>
                <w:rFonts w:hint="default" w:ascii="Times New Roman" w:hAnsi="Times New Roman"/>
                <w:color w:val="auto"/>
                <w:sz w:val="24"/>
              </w:rPr>
              <w:sym w:font="Wingdings 2" w:char="00A3"/>
            </w:r>
            <w:r>
              <w:rPr>
                <w:rFonts w:hint="default" w:ascii="Times New Roman" w:hAnsi="Times New Roman"/>
                <w:color w:val="auto"/>
                <w:sz w:val="24"/>
              </w:rPr>
              <w:t>否</w:t>
            </w:r>
          </w:p>
          <w:p w14:paraId="3FA727BA">
            <w:pPr>
              <w:pStyle w:val="23"/>
              <w:keepNext w:val="0"/>
              <w:keepLines w:val="0"/>
              <w:pageBreakBefore w:val="0"/>
              <w:widowControl w:val="0"/>
              <w:kinsoku/>
              <w:wordWrap/>
              <w:overflowPunct/>
              <w:topLinePunct w:val="0"/>
              <w:autoSpaceDE/>
              <w:autoSpaceDN/>
              <w:bidi w:val="0"/>
              <w:adjustRightInd w:val="0"/>
              <w:snapToGrid w:val="0"/>
              <w:spacing w:line="380" w:lineRule="exact"/>
              <w:textAlignment w:val="auto"/>
              <w:rPr>
                <w:rFonts w:hint="default" w:ascii="Times New Roman" w:hAnsi="Times New Roman"/>
                <w:color w:val="auto"/>
                <w:sz w:val="24"/>
                <w:u w:val="single"/>
              </w:rPr>
            </w:pPr>
            <w:r>
              <w:rPr>
                <w:rFonts w:ascii="Times New Roman" w:hAnsi="Times New Roman"/>
                <w:color w:val="auto"/>
                <w:sz w:val="24"/>
                <w:szCs w:val="24"/>
              </w:rPr>
              <w:t>■</w:t>
            </w:r>
            <w:r>
              <w:rPr>
                <w:rFonts w:hint="default" w:ascii="Times New Roman" w:hAnsi="Times New Roman"/>
                <w:color w:val="auto"/>
                <w:sz w:val="24"/>
              </w:rPr>
              <w:t>是</w:t>
            </w:r>
          </w:p>
        </w:tc>
      </w:tr>
      <w:tr w14:paraId="179D1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518" w:type="pct"/>
            <w:noWrap w:val="0"/>
            <w:vAlign w:val="center"/>
          </w:tcPr>
          <w:p w14:paraId="6CE5A686">
            <w:pPr>
              <w:keepNext w:val="0"/>
              <w:keepLines w:val="0"/>
              <w:pageBreakBefore w:val="0"/>
              <w:widowControl w:val="0"/>
              <w:kinsoku/>
              <w:wordWrap/>
              <w:overflowPunct/>
              <w:topLinePunct w:val="0"/>
              <w:autoSpaceDE/>
              <w:autoSpaceDN/>
              <w:bidi w:val="0"/>
              <w:spacing w:line="380" w:lineRule="exact"/>
              <w:jc w:val="center"/>
              <w:textAlignment w:val="auto"/>
              <w:rPr>
                <w:color w:val="auto"/>
                <w:sz w:val="24"/>
              </w:rPr>
            </w:pPr>
            <w:r>
              <w:rPr>
                <w:color w:val="auto"/>
                <w:sz w:val="24"/>
              </w:rPr>
              <w:t>2</w:t>
            </w:r>
            <w:r>
              <w:rPr>
                <w:rFonts w:hint="eastAsia"/>
                <w:color w:val="auto"/>
                <w:sz w:val="24"/>
              </w:rPr>
              <w:t>7</w:t>
            </w:r>
            <w:r>
              <w:rPr>
                <w:color w:val="auto"/>
                <w:sz w:val="24"/>
              </w:rPr>
              <w:t>.1.1</w:t>
            </w:r>
          </w:p>
        </w:tc>
        <w:tc>
          <w:tcPr>
            <w:tcW w:w="855" w:type="pct"/>
            <w:noWrap w:val="0"/>
            <w:vAlign w:val="center"/>
          </w:tcPr>
          <w:p w14:paraId="370725FB">
            <w:pPr>
              <w:keepNext w:val="0"/>
              <w:keepLines w:val="0"/>
              <w:pageBreakBefore w:val="0"/>
              <w:widowControl w:val="0"/>
              <w:kinsoku/>
              <w:wordWrap/>
              <w:overflowPunct/>
              <w:topLinePunct w:val="0"/>
              <w:autoSpaceDE/>
              <w:autoSpaceDN/>
              <w:bidi w:val="0"/>
              <w:spacing w:line="380" w:lineRule="exact"/>
              <w:jc w:val="center"/>
              <w:textAlignment w:val="auto"/>
              <w:rPr>
                <w:color w:val="auto"/>
                <w:sz w:val="24"/>
              </w:rPr>
            </w:pPr>
            <w:r>
              <w:rPr>
                <w:color w:val="auto"/>
                <w:sz w:val="24"/>
              </w:rPr>
              <w:t>询问</w:t>
            </w:r>
          </w:p>
        </w:tc>
        <w:tc>
          <w:tcPr>
            <w:tcW w:w="3626" w:type="pct"/>
            <w:noWrap w:val="0"/>
            <w:vAlign w:val="center"/>
          </w:tcPr>
          <w:p w14:paraId="0610A130">
            <w:pPr>
              <w:keepNext w:val="0"/>
              <w:keepLines w:val="0"/>
              <w:pageBreakBefore w:val="0"/>
              <w:widowControl w:val="0"/>
              <w:kinsoku/>
              <w:wordWrap/>
              <w:overflowPunct/>
              <w:topLinePunct w:val="0"/>
              <w:autoSpaceDE/>
              <w:autoSpaceDN/>
              <w:bidi w:val="0"/>
              <w:spacing w:line="380" w:lineRule="exact"/>
              <w:jc w:val="left"/>
              <w:textAlignment w:val="auto"/>
              <w:rPr>
                <w:color w:val="auto"/>
                <w:sz w:val="24"/>
              </w:rPr>
            </w:pPr>
            <w:r>
              <w:rPr>
                <w:rFonts w:hint="eastAsia" w:ascii="宋体" w:hAnsi="宋体" w:cs="宋体"/>
                <w:color w:val="auto"/>
                <w:sz w:val="24"/>
              </w:rPr>
              <w:t>询问送达形式：</w:t>
            </w:r>
            <w:r>
              <w:rPr>
                <w:rFonts w:hint="eastAsia" w:ascii="宋体" w:hAnsi="宋体" w:cs="宋体"/>
                <w:color w:val="auto"/>
                <w:sz w:val="24"/>
                <w:u w:val="single"/>
              </w:rPr>
              <w:t>书面或邮寄送达。</w:t>
            </w:r>
          </w:p>
        </w:tc>
      </w:tr>
      <w:tr w14:paraId="2675E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18" w:type="pct"/>
            <w:noWrap w:val="0"/>
            <w:vAlign w:val="center"/>
          </w:tcPr>
          <w:p w14:paraId="605BA7C1">
            <w:pPr>
              <w:keepNext w:val="0"/>
              <w:keepLines w:val="0"/>
              <w:pageBreakBefore w:val="0"/>
              <w:widowControl w:val="0"/>
              <w:kinsoku/>
              <w:wordWrap/>
              <w:overflowPunct/>
              <w:topLinePunct w:val="0"/>
              <w:autoSpaceDE/>
              <w:autoSpaceDN/>
              <w:bidi w:val="0"/>
              <w:spacing w:line="380" w:lineRule="exact"/>
              <w:jc w:val="center"/>
              <w:textAlignment w:val="auto"/>
              <w:rPr>
                <w:color w:val="auto"/>
                <w:sz w:val="24"/>
              </w:rPr>
            </w:pPr>
            <w:r>
              <w:rPr>
                <w:color w:val="auto"/>
                <w:sz w:val="24"/>
              </w:rPr>
              <w:t>2</w:t>
            </w:r>
            <w:r>
              <w:rPr>
                <w:rFonts w:hint="eastAsia"/>
                <w:color w:val="auto"/>
                <w:sz w:val="24"/>
              </w:rPr>
              <w:t>7</w:t>
            </w:r>
            <w:r>
              <w:rPr>
                <w:color w:val="auto"/>
                <w:sz w:val="24"/>
              </w:rPr>
              <w:t>.3</w:t>
            </w:r>
          </w:p>
        </w:tc>
        <w:tc>
          <w:tcPr>
            <w:tcW w:w="855" w:type="pct"/>
            <w:noWrap w:val="0"/>
            <w:vAlign w:val="center"/>
          </w:tcPr>
          <w:p w14:paraId="1ED8C4CC">
            <w:pPr>
              <w:keepNext w:val="0"/>
              <w:keepLines w:val="0"/>
              <w:pageBreakBefore w:val="0"/>
              <w:widowControl w:val="0"/>
              <w:kinsoku/>
              <w:wordWrap/>
              <w:overflowPunct/>
              <w:topLinePunct w:val="0"/>
              <w:autoSpaceDE/>
              <w:autoSpaceDN/>
              <w:bidi w:val="0"/>
              <w:spacing w:line="380" w:lineRule="exact"/>
              <w:jc w:val="center"/>
              <w:textAlignment w:val="auto"/>
              <w:rPr>
                <w:color w:val="auto"/>
                <w:sz w:val="24"/>
              </w:rPr>
            </w:pPr>
            <w:r>
              <w:rPr>
                <w:rFonts w:hint="eastAsia" w:ascii="宋体" w:hAnsi="宋体" w:cs="宋体"/>
                <w:color w:val="auto"/>
                <w:sz w:val="24"/>
              </w:rPr>
              <w:t>联系方式</w:t>
            </w:r>
          </w:p>
        </w:tc>
        <w:tc>
          <w:tcPr>
            <w:tcW w:w="3626" w:type="pct"/>
            <w:noWrap w:val="0"/>
            <w:vAlign w:val="center"/>
          </w:tcPr>
          <w:p w14:paraId="15C35641">
            <w:pPr>
              <w:keepNext w:val="0"/>
              <w:keepLines w:val="0"/>
              <w:pageBreakBefore w:val="0"/>
              <w:widowControl w:val="0"/>
              <w:kinsoku/>
              <w:wordWrap/>
              <w:overflowPunct/>
              <w:topLinePunct w:val="0"/>
              <w:autoSpaceDE/>
              <w:autoSpaceDN/>
              <w:bidi w:val="0"/>
              <w:spacing w:beforeAutospacing="0" w:afterAutospacing="0" w:line="380" w:lineRule="exact"/>
              <w:ind w:left="0" w:leftChars="0" w:right="0" w:rightChars="0"/>
              <w:jc w:val="left"/>
              <w:textAlignment w:val="auto"/>
              <w:rPr>
                <w:rFonts w:hint="eastAsia" w:ascii="宋体" w:hAnsi="宋体" w:cs="宋体"/>
                <w:color w:val="auto"/>
                <w:sz w:val="24"/>
              </w:rPr>
            </w:pPr>
            <w:r>
              <w:rPr>
                <w:rFonts w:hint="eastAsia" w:ascii="宋体" w:hAnsi="宋体" w:cs="宋体"/>
                <w:color w:val="auto"/>
                <w:sz w:val="24"/>
              </w:rPr>
              <w:t>接收询问和质疑的联系方式</w:t>
            </w:r>
          </w:p>
          <w:p w14:paraId="46F2C7DC">
            <w:pPr>
              <w:keepNext w:val="0"/>
              <w:keepLines w:val="0"/>
              <w:pageBreakBefore w:val="0"/>
              <w:widowControl w:val="0"/>
              <w:kinsoku/>
              <w:wordWrap/>
              <w:overflowPunct/>
              <w:topLinePunct w:val="0"/>
              <w:autoSpaceDE/>
              <w:autoSpaceDN/>
              <w:bidi w:val="0"/>
              <w:spacing w:beforeAutospacing="0" w:afterAutospacing="0" w:line="380" w:lineRule="exact"/>
              <w:ind w:left="0" w:leftChars="0" w:right="0" w:rightChars="0"/>
              <w:jc w:val="left"/>
              <w:textAlignment w:val="auto"/>
              <w:rPr>
                <w:rFonts w:hint="eastAsia" w:ascii="宋体" w:hAnsi="宋体" w:cs="宋体"/>
                <w:color w:val="auto"/>
                <w:sz w:val="24"/>
              </w:rPr>
            </w:pPr>
            <w:r>
              <w:rPr>
                <w:rFonts w:hint="eastAsia" w:ascii="宋体" w:hAnsi="宋体" w:cs="宋体"/>
                <w:color w:val="auto"/>
                <w:sz w:val="24"/>
                <w:lang w:val="en-US" w:eastAsia="zh-CN"/>
              </w:rPr>
              <w:t>采购牵头人</w:t>
            </w:r>
            <w:r>
              <w:rPr>
                <w:rFonts w:hint="eastAsia" w:ascii="宋体" w:hAnsi="宋体" w:cs="宋体"/>
                <w:color w:val="auto"/>
                <w:sz w:val="24"/>
              </w:rPr>
              <w:t>：</w:t>
            </w:r>
            <w:r>
              <w:rPr>
                <w:rFonts w:hint="eastAsia"/>
                <w:color w:val="auto"/>
                <w:sz w:val="24"/>
                <w:u w:val="single"/>
                <w:lang w:val="en-US" w:eastAsia="zh-CN"/>
              </w:rPr>
              <w:t>常州市第二十四中学</w:t>
            </w:r>
            <w:r>
              <w:rPr>
                <w:rFonts w:hint="eastAsia" w:ascii="宋体" w:hAnsi="宋体" w:cs="宋体"/>
                <w:color w:val="auto"/>
                <w:sz w:val="24"/>
              </w:rPr>
              <w:t xml:space="preserve"> ；</w:t>
            </w:r>
          </w:p>
          <w:p w14:paraId="222D1D61">
            <w:pPr>
              <w:keepNext w:val="0"/>
              <w:keepLines w:val="0"/>
              <w:pageBreakBefore w:val="0"/>
              <w:widowControl w:val="0"/>
              <w:kinsoku/>
              <w:wordWrap/>
              <w:overflowPunct/>
              <w:topLinePunct w:val="0"/>
              <w:autoSpaceDE/>
              <w:autoSpaceDN/>
              <w:bidi w:val="0"/>
              <w:spacing w:beforeAutospacing="0" w:afterAutospacing="0" w:line="380" w:lineRule="exact"/>
              <w:ind w:left="0" w:leftChars="0" w:right="0" w:rightChars="0"/>
              <w:jc w:val="left"/>
              <w:textAlignment w:val="auto"/>
              <w:rPr>
                <w:rFonts w:hint="eastAsia" w:ascii="宋体" w:hAnsi="宋体" w:cs="宋体"/>
                <w:color w:val="auto"/>
                <w:sz w:val="24"/>
              </w:rPr>
            </w:pPr>
            <w:r>
              <w:rPr>
                <w:rFonts w:hint="eastAsia" w:ascii="宋体" w:hAnsi="宋体" w:cs="宋体"/>
                <w:color w:val="auto"/>
                <w:sz w:val="24"/>
              </w:rPr>
              <w:t>联系人：</w:t>
            </w:r>
            <w:r>
              <w:rPr>
                <w:rFonts w:hint="eastAsia" w:ascii="宋体" w:hAnsi="宋体" w:cs="宋体"/>
                <w:color w:val="auto"/>
                <w:sz w:val="24"/>
                <w:lang w:val="en-US" w:eastAsia="zh-CN"/>
              </w:rPr>
              <w:t xml:space="preserve"> </w:t>
            </w:r>
            <w:r>
              <w:rPr>
                <w:rFonts w:hint="eastAsia"/>
                <w:color w:val="auto"/>
                <w:sz w:val="24"/>
                <w:u w:val="single"/>
                <w:lang w:val="en-US" w:eastAsia="zh-CN"/>
              </w:rPr>
              <w:t xml:space="preserve">   董老师       </w:t>
            </w:r>
            <w:r>
              <w:rPr>
                <w:rFonts w:hint="eastAsia" w:ascii="宋体" w:hAnsi="宋体" w:cs="宋体"/>
                <w:color w:val="auto"/>
                <w:sz w:val="24"/>
              </w:rPr>
              <w:t>；</w:t>
            </w:r>
          </w:p>
          <w:p w14:paraId="3D59DC0D">
            <w:pPr>
              <w:keepNext w:val="0"/>
              <w:keepLines w:val="0"/>
              <w:pageBreakBefore w:val="0"/>
              <w:widowControl w:val="0"/>
              <w:kinsoku/>
              <w:wordWrap/>
              <w:overflowPunct/>
              <w:topLinePunct w:val="0"/>
              <w:autoSpaceDE/>
              <w:autoSpaceDN/>
              <w:bidi w:val="0"/>
              <w:spacing w:beforeAutospacing="0" w:afterAutospacing="0" w:line="380" w:lineRule="exact"/>
              <w:ind w:left="0" w:leftChars="0" w:right="0" w:rightChars="0"/>
              <w:jc w:val="left"/>
              <w:textAlignment w:val="auto"/>
              <w:rPr>
                <w:rFonts w:hint="eastAsia" w:ascii="宋体" w:hAnsi="宋体" w:cs="宋体"/>
                <w:color w:val="auto"/>
                <w:sz w:val="24"/>
              </w:rPr>
            </w:pPr>
            <w:r>
              <w:rPr>
                <w:rFonts w:hint="eastAsia" w:ascii="宋体" w:hAnsi="宋体" w:cs="宋体"/>
                <w:color w:val="auto"/>
                <w:sz w:val="24"/>
              </w:rPr>
              <w:t>联系电话：</w:t>
            </w:r>
            <w:r>
              <w:rPr>
                <w:rFonts w:hint="eastAsia"/>
                <w:color w:val="auto"/>
                <w:sz w:val="24"/>
                <w:u w:val="single"/>
                <w:lang w:val="en-US" w:eastAsia="zh-CN"/>
              </w:rPr>
              <w:t>0519-88109055</w:t>
            </w:r>
            <w:r>
              <w:rPr>
                <w:rFonts w:hint="eastAsia" w:ascii="宋体" w:hAnsi="宋体" w:cs="宋体"/>
                <w:color w:val="auto"/>
                <w:sz w:val="24"/>
              </w:rPr>
              <w:t>；</w:t>
            </w:r>
          </w:p>
          <w:p w14:paraId="38DE9936">
            <w:pPr>
              <w:keepNext w:val="0"/>
              <w:keepLines w:val="0"/>
              <w:pageBreakBefore w:val="0"/>
              <w:widowControl w:val="0"/>
              <w:kinsoku/>
              <w:wordWrap/>
              <w:overflowPunct/>
              <w:topLinePunct w:val="0"/>
              <w:autoSpaceDE/>
              <w:autoSpaceDN/>
              <w:bidi w:val="0"/>
              <w:spacing w:beforeAutospacing="0" w:afterAutospacing="0" w:line="380" w:lineRule="exact"/>
              <w:ind w:left="0" w:leftChars="0" w:right="0" w:rightChars="0"/>
              <w:jc w:val="left"/>
              <w:textAlignment w:val="auto"/>
              <w:rPr>
                <w:rFonts w:hint="eastAsia" w:ascii="宋体" w:hAnsi="宋体" w:cs="宋体"/>
                <w:color w:val="auto"/>
                <w:sz w:val="24"/>
              </w:rPr>
            </w:pPr>
            <w:r>
              <w:rPr>
                <w:rFonts w:hint="eastAsia" w:ascii="宋体" w:hAnsi="宋体" w:cs="宋体"/>
                <w:color w:val="auto"/>
                <w:sz w:val="24"/>
              </w:rPr>
              <w:t>通讯地址：</w:t>
            </w:r>
            <w:r>
              <w:rPr>
                <w:rFonts w:hint="eastAsia"/>
                <w:color w:val="auto"/>
                <w:sz w:val="24"/>
                <w:u w:val="single"/>
              </w:rPr>
              <w:t>常州市</w:t>
            </w:r>
            <w:r>
              <w:rPr>
                <w:rFonts w:hint="eastAsia"/>
                <w:color w:val="auto"/>
                <w:sz w:val="24"/>
                <w:u w:val="single"/>
                <w:lang w:val="en-US" w:eastAsia="zh-CN"/>
              </w:rPr>
              <w:t>罗汉</w:t>
            </w:r>
            <w:r>
              <w:rPr>
                <w:rFonts w:hint="eastAsia"/>
                <w:color w:val="auto"/>
                <w:sz w:val="24"/>
                <w:u w:val="single"/>
              </w:rPr>
              <w:t>路9号</w:t>
            </w:r>
            <w:r>
              <w:rPr>
                <w:rFonts w:hint="eastAsia" w:ascii="宋体" w:hAnsi="宋体" w:cs="宋体"/>
                <w:color w:val="auto"/>
                <w:sz w:val="24"/>
              </w:rPr>
              <w:t>。</w:t>
            </w:r>
          </w:p>
          <w:p w14:paraId="610C9A77">
            <w:pPr>
              <w:keepNext w:val="0"/>
              <w:keepLines w:val="0"/>
              <w:pageBreakBefore w:val="0"/>
              <w:widowControl w:val="0"/>
              <w:kinsoku/>
              <w:wordWrap/>
              <w:overflowPunct/>
              <w:topLinePunct w:val="0"/>
              <w:autoSpaceDE/>
              <w:autoSpaceDN/>
              <w:bidi w:val="0"/>
              <w:spacing w:beforeAutospacing="0" w:afterAutospacing="0" w:line="380" w:lineRule="exact"/>
              <w:ind w:left="0" w:leftChars="0" w:right="0" w:rightChars="0"/>
              <w:jc w:val="left"/>
              <w:textAlignment w:val="auto"/>
              <w:rPr>
                <w:rFonts w:hint="eastAsia" w:ascii="宋体" w:hAnsi="宋体" w:cs="宋体"/>
                <w:color w:val="auto"/>
                <w:sz w:val="24"/>
              </w:rPr>
            </w:pPr>
            <w:r>
              <w:rPr>
                <w:rFonts w:hint="eastAsia" w:ascii="宋体" w:hAnsi="宋体" w:cs="宋体"/>
                <w:color w:val="auto"/>
                <w:sz w:val="24"/>
                <w:lang w:val="en-US" w:eastAsia="zh-CN"/>
              </w:rPr>
              <w:t>代理机构</w:t>
            </w:r>
            <w:r>
              <w:rPr>
                <w:rFonts w:hint="eastAsia" w:ascii="宋体" w:hAnsi="宋体" w:cs="宋体"/>
                <w:color w:val="auto"/>
                <w:sz w:val="24"/>
              </w:rPr>
              <w:t>：</w:t>
            </w:r>
            <w:r>
              <w:rPr>
                <w:rFonts w:hint="eastAsia"/>
                <w:color w:val="auto"/>
                <w:sz w:val="24"/>
                <w:u w:val="single"/>
                <w:lang w:val="en-US" w:eastAsia="zh-CN"/>
              </w:rPr>
              <w:t>常州市教育基本建设与装备管理中心</w:t>
            </w:r>
            <w:r>
              <w:rPr>
                <w:rFonts w:hint="eastAsia" w:ascii="宋体" w:hAnsi="宋体" w:cs="宋体"/>
                <w:color w:val="auto"/>
                <w:sz w:val="24"/>
              </w:rPr>
              <w:t xml:space="preserve"> ；</w:t>
            </w:r>
          </w:p>
          <w:p w14:paraId="250993E5">
            <w:pPr>
              <w:keepNext w:val="0"/>
              <w:keepLines w:val="0"/>
              <w:pageBreakBefore w:val="0"/>
              <w:widowControl w:val="0"/>
              <w:kinsoku/>
              <w:wordWrap/>
              <w:overflowPunct/>
              <w:topLinePunct w:val="0"/>
              <w:autoSpaceDE/>
              <w:autoSpaceDN/>
              <w:bidi w:val="0"/>
              <w:spacing w:beforeAutospacing="0" w:afterAutospacing="0" w:line="380" w:lineRule="exact"/>
              <w:ind w:left="0" w:leftChars="0" w:right="0" w:rightChars="0"/>
              <w:jc w:val="left"/>
              <w:textAlignment w:val="auto"/>
              <w:rPr>
                <w:rFonts w:hint="eastAsia"/>
                <w:color w:val="auto"/>
              </w:rPr>
            </w:pPr>
            <w:r>
              <w:rPr>
                <w:rFonts w:hint="eastAsia" w:ascii="宋体" w:hAnsi="宋体" w:cs="宋体"/>
                <w:color w:val="auto"/>
                <w:sz w:val="24"/>
              </w:rPr>
              <w:t>联系人：</w:t>
            </w:r>
            <w:r>
              <w:rPr>
                <w:rFonts w:hint="eastAsia" w:ascii="宋体" w:hAnsi="宋体" w:cs="宋体"/>
                <w:color w:val="auto"/>
                <w:sz w:val="24"/>
                <w:lang w:val="en-US" w:eastAsia="zh-CN"/>
              </w:rPr>
              <w:t xml:space="preserve"> </w:t>
            </w:r>
            <w:r>
              <w:rPr>
                <w:rFonts w:hint="eastAsia"/>
                <w:color w:val="auto"/>
                <w:sz w:val="24"/>
                <w:u w:val="single"/>
                <w:lang w:val="en-US" w:eastAsia="zh-CN"/>
              </w:rPr>
              <w:t xml:space="preserve">   项目管理科  </w:t>
            </w:r>
            <w:r>
              <w:rPr>
                <w:rFonts w:hint="eastAsia" w:ascii="宋体" w:hAnsi="宋体" w:cs="宋体"/>
                <w:color w:val="auto"/>
                <w:sz w:val="24"/>
              </w:rPr>
              <w:t>；</w:t>
            </w:r>
          </w:p>
          <w:p w14:paraId="2005095B">
            <w:pPr>
              <w:keepNext w:val="0"/>
              <w:keepLines w:val="0"/>
              <w:pageBreakBefore w:val="0"/>
              <w:widowControl w:val="0"/>
              <w:kinsoku/>
              <w:wordWrap/>
              <w:overflowPunct/>
              <w:topLinePunct w:val="0"/>
              <w:autoSpaceDE/>
              <w:autoSpaceDN/>
              <w:bidi w:val="0"/>
              <w:spacing w:beforeAutospacing="0" w:afterAutospacing="0" w:line="380" w:lineRule="exact"/>
              <w:ind w:left="0" w:leftChars="0" w:right="0" w:rightChars="0"/>
              <w:jc w:val="left"/>
              <w:textAlignment w:val="auto"/>
              <w:rPr>
                <w:rFonts w:hint="eastAsia" w:ascii="宋体" w:hAnsi="宋体" w:cs="宋体"/>
                <w:color w:val="auto"/>
                <w:sz w:val="24"/>
              </w:rPr>
            </w:pPr>
            <w:r>
              <w:rPr>
                <w:rFonts w:hint="eastAsia" w:ascii="宋体" w:hAnsi="宋体" w:cs="宋体"/>
                <w:color w:val="auto"/>
                <w:sz w:val="24"/>
              </w:rPr>
              <w:t>联系电话：</w:t>
            </w:r>
            <w:r>
              <w:rPr>
                <w:rFonts w:hint="eastAsia"/>
                <w:color w:val="auto"/>
                <w:sz w:val="24"/>
                <w:u w:val="single"/>
                <w:lang w:val="en-US" w:eastAsia="zh-CN"/>
              </w:rPr>
              <w:t>0519-86802236</w:t>
            </w:r>
            <w:r>
              <w:rPr>
                <w:rFonts w:hint="eastAsia" w:ascii="宋体" w:hAnsi="宋体" w:cs="宋体"/>
                <w:color w:val="auto"/>
                <w:sz w:val="24"/>
              </w:rPr>
              <w:t>；</w:t>
            </w:r>
          </w:p>
          <w:p w14:paraId="22DB27D0">
            <w:pPr>
              <w:keepNext w:val="0"/>
              <w:keepLines w:val="0"/>
              <w:pageBreakBefore w:val="0"/>
              <w:widowControl w:val="0"/>
              <w:kinsoku/>
              <w:wordWrap/>
              <w:overflowPunct/>
              <w:topLinePunct w:val="0"/>
              <w:autoSpaceDE/>
              <w:autoSpaceDN/>
              <w:bidi w:val="0"/>
              <w:spacing w:line="380" w:lineRule="exact"/>
              <w:jc w:val="left"/>
              <w:textAlignment w:val="auto"/>
              <w:rPr>
                <w:color w:val="auto"/>
                <w:sz w:val="24"/>
              </w:rPr>
            </w:pPr>
            <w:r>
              <w:rPr>
                <w:rFonts w:hint="eastAsia" w:ascii="宋体" w:hAnsi="宋体" w:cs="宋体"/>
                <w:color w:val="auto"/>
                <w:sz w:val="24"/>
              </w:rPr>
              <w:t>通讯地址：</w:t>
            </w:r>
            <w:r>
              <w:rPr>
                <w:rFonts w:hint="eastAsia"/>
                <w:color w:val="auto"/>
                <w:sz w:val="24"/>
                <w:u w:val="single"/>
                <w:lang w:val="en-US" w:eastAsia="zh-CN"/>
              </w:rPr>
              <w:t>常州市新市路9号</w:t>
            </w:r>
            <w:r>
              <w:rPr>
                <w:rFonts w:hint="eastAsia" w:ascii="宋体" w:hAnsi="宋体" w:cs="宋体"/>
                <w:color w:val="auto"/>
                <w:sz w:val="24"/>
              </w:rPr>
              <w:t>。</w:t>
            </w:r>
          </w:p>
        </w:tc>
      </w:tr>
      <w:tr w14:paraId="54F1D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18" w:type="pct"/>
            <w:noWrap w:val="0"/>
            <w:vAlign w:val="center"/>
          </w:tcPr>
          <w:p w14:paraId="44BF7F98">
            <w:pPr>
              <w:keepNext w:val="0"/>
              <w:keepLines w:val="0"/>
              <w:pageBreakBefore w:val="0"/>
              <w:widowControl w:val="0"/>
              <w:kinsoku/>
              <w:wordWrap/>
              <w:overflowPunct/>
              <w:topLinePunct w:val="0"/>
              <w:autoSpaceDE/>
              <w:autoSpaceDN/>
              <w:bidi w:val="0"/>
              <w:spacing w:line="380" w:lineRule="exact"/>
              <w:jc w:val="center"/>
              <w:textAlignment w:val="auto"/>
              <w:rPr>
                <w:color w:val="auto"/>
                <w:sz w:val="24"/>
              </w:rPr>
            </w:pPr>
            <w:r>
              <w:rPr>
                <w:color w:val="auto"/>
                <w:sz w:val="24"/>
              </w:rPr>
              <w:t>2</w:t>
            </w:r>
            <w:r>
              <w:rPr>
                <w:rFonts w:hint="eastAsia"/>
                <w:color w:val="auto"/>
                <w:sz w:val="24"/>
              </w:rPr>
              <w:t>8</w:t>
            </w:r>
            <w:r>
              <w:rPr>
                <w:color w:val="auto"/>
                <w:sz w:val="24"/>
              </w:rPr>
              <w:t>.1</w:t>
            </w:r>
          </w:p>
        </w:tc>
        <w:tc>
          <w:tcPr>
            <w:tcW w:w="855" w:type="pct"/>
            <w:noWrap w:val="0"/>
            <w:vAlign w:val="center"/>
          </w:tcPr>
          <w:p w14:paraId="696E9B17">
            <w:pPr>
              <w:keepNext w:val="0"/>
              <w:keepLines w:val="0"/>
              <w:pageBreakBefore w:val="0"/>
              <w:widowControl w:val="0"/>
              <w:kinsoku/>
              <w:wordWrap/>
              <w:overflowPunct/>
              <w:topLinePunct w:val="0"/>
              <w:autoSpaceDE/>
              <w:autoSpaceDN/>
              <w:bidi w:val="0"/>
              <w:spacing w:line="380" w:lineRule="exact"/>
              <w:jc w:val="center"/>
              <w:textAlignment w:val="auto"/>
              <w:rPr>
                <w:strike/>
                <w:color w:val="auto"/>
                <w:sz w:val="24"/>
              </w:rPr>
            </w:pPr>
            <w:r>
              <w:rPr>
                <w:color w:val="auto"/>
                <w:sz w:val="24"/>
              </w:rPr>
              <w:t>代理费</w:t>
            </w:r>
          </w:p>
        </w:tc>
        <w:tc>
          <w:tcPr>
            <w:tcW w:w="3626" w:type="pct"/>
            <w:noWrap w:val="0"/>
            <w:vAlign w:val="center"/>
          </w:tcPr>
          <w:p w14:paraId="4EC19B26">
            <w:pPr>
              <w:keepNext w:val="0"/>
              <w:keepLines w:val="0"/>
              <w:pageBreakBefore w:val="0"/>
              <w:widowControl w:val="0"/>
              <w:kinsoku/>
              <w:wordWrap/>
              <w:overflowPunct/>
              <w:topLinePunct w:val="0"/>
              <w:autoSpaceDE/>
              <w:autoSpaceDN/>
              <w:bidi w:val="0"/>
              <w:spacing w:line="380" w:lineRule="exact"/>
              <w:jc w:val="left"/>
              <w:textAlignment w:val="auto"/>
              <w:rPr>
                <w:strike/>
                <w:color w:val="auto"/>
                <w:sz w:val="24"/>
              </w:rPr>
            </w:pPr>
            <w:r>
              <w:rPr>
                <w:rFonts w:hint="eastAsia"/>
                <w:color w:val="auto"/>
                <w:sz w:val="24"/>
              </w:rPr>
              <w:t>无</w:t>
            </w:r>
          </w:p>
        </w:tc>
      </w:tr>
    </w:tbl>
    <w:p w14:paraId="6D22CAC9">
      <w:pPr>
        <w:tabs>
          <w:tab w:val="left" w:pos="5580"/>
        </w:tabs>
        <w:adjustRightInd w:val="0"/>
        <w:spacing w:line="360" w:lineRule="auto"/>
        <w:jc w:val="distribute"/>
        <w:rPr>
          <w:color w:val="auto"/>
          <w:sz w:val="24"/>
        </w:rPr>
        <w:sectPr>
          <w:footerReference r:id="rId6" w:type="first"/>
          <w:footerReference r:id="rId5" w:type="default"/>
          <w:pgSz w:w="11907" w:h="16840"/>
          <w:pgMar w:top="1418" w:right="1134" w:bottom="1418" w:left="1701" w:header="851" w:footer="851" w:gutter="0"/>
          <w:pgBorders>
            <w:top w:val="none" w:sz="0" w:space="0"/>
            <w:left w:val="none" w:sz="0" w:space="0"/>
            <w:bottom w:val="none" w:sz="0" w:space="0"/>
            <w:right w:val="none" w:sz="0" w:space="0"/>
          </w:pgBorders>
          <w:pgNumType w:start="1"/>
          <w:cols w:space="720" w:num="1"/>
          <w:titlePg/>
          <w:docGrid w:linePitch="462" w:charSpace="0"/>
        </w:sectPr>
      </w:pPr>
    </w:p>
    <w:p w14:paraId="55C2C369">
      <w:pPr>
        <w:pStyle w:val="2"/>
        <w:jc w:val="center"/>
        <w:rPr>
          <w:color w:val="auto"/>
        </w:rPr>
      </w:pPr>
      <w:bookmarkStart w:id="73" w:name="_Toc628"/>
      <w:r>
        <w:rPr>
          <w:color w:val="auto"/>
        </w:rPr>
        <w:t>供应商须知</w:t>
      </w:r>
      <w:bookmarkEnd w:id="73"/>
    </w:p>
    <w:p w14:paraId="76C8ED2E">
      <w:pPr>
        <w:pStyle w:val="3"/>
        <w:numPr>
          <w:ilvl w:val="0"/>
          <w:numId w:val="19"/>
        </w:numPr>
        <w:ind w:left="0" w:leftChars="0" w:firstLine="0" w:firstLineChars="0"/>
        <w:rPr>
          <w:b w:val="0"/>
          <w:color w:val="auto"/>
        </w:rPr>
      </w:pPr>
      <w:bookmarkStart w:id="74" w:name="_Toc127151518"/>
      <w:bookmarkStart w:id="75" w:name="_Toc150774723"/>
      <w:bookmarkStart w:id="76" w:name="_Toc265228356"/>
      <w:bookmarkStart w:id="77" w:name="_Toc151193688"/>
      <w:bookmarkStart w:id="78" w:name="_Toc151190145"/>
      <w:bookmarkStart w:id="79" w:name="_Toc520356143"/>
      <w:bookmarkStart w:id="80" w:name="_Toc195842883"/>
      <w:bookmarkStart w:id="81" w:name="_Toc226965791"/>
      <w:bookmarkStart w:id="82" w:name="_Toc142311020"/>
      <w:bookmarkStart w:id="83" w:name="_Toc226309762"/>
      <w:bookmarkStart w:id="84" w:name="_Toc226337214"/>
      <w:bookmarkStart w:id="85" w:name="_Toc150509269"/>
      <w:bookmarkStart w:id="86" w:name="_Toc151193760"/>
      <w:bookmarkStart w:id="87" w:name="_Toc151193832"/>
      <w:bookmarkStart w:id="88" w:name="_Toc264969208"/>
      <w:bookmarkStart w:id="89" w:name="_Toc151193616"/>
      <w:bookmarkStart w:id="90" w:name="_Toc150774618"/>
      <w:bookmarkStart w:id="91" w:name="_Toc305158860"/>
      <w:bookmarkStart w:id="92" w:name="_Toc151193906"/>
      <w:bookmarkStart w:id="93" w:name="_Toc150480756"/>
      <w:bookmarkStart w:id="94" w:name="_Toc305158786"/>
      <w:bookmarkStart w:id="95" w:name="_Toc226965708"/>
      <w:r>
        <w:rPr>
          <w:color w:val="auto"/>
        </w:rPr>
        <w:t>说  明</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rPr>
          <w:color w:val="auto"/>
        </w:rPr>
        <w:tab/>
      </w:r>
    </w:p>
    <w:p w14:paraId="1A6E7DE0">
      <w:pPr>
        <w:pStyle w:val="4"/>
        <w:numPr>
          <w:ilvl w:val="0"/>
          <w:numId w:val="20"/>
        </w:numPr>
        <w:ind w:left="0" w:leftChars="0" w:firstLine="0" w:firstLineChars="0"/>
        <w:rPr>
          <w:b w:val="0"/>
          <w:color w:val="auto"/>
        </w:rPr>
      </w:pPr>
      <w:bookmarkStart w:id="96" w:name="_Toc305158787"/>
      <w:bookmarkStart w:id="97" w:name="_Toc265228357"/>
      <w:bookmarkStart w:id="98" w:name="_Toc305158861"/>
      <w:bookmarkStart w:id="99" w:name="_Toc264969209"/>
      <w:r>
        <w:rPr>
          <w:color w:val="auto"/>
        </w:rPr>
        <w:t>采购人、采购代理机构、供应商（申请人）</w:t>
      </w:r>
      <w:bookmarkEnd w:id="96"/>
      <w:bookmarkEnd w:id="97"/>
      <w:bookmarkEnd w:id="98"/>
      <w:bookmarkEnd w:id="99"/>
      <w:r>
        <w:rPr>
          <w:color w:val="auto"/>
        </w:rPr>
        <w:t>、联合体</w:t>
      </w:r>
    </w:p>
    <w:p w14:paraId="10D0E1B7">
      <w:pPr>
        <w:pStyle w:val="17"/>
        <w:numPr>
          <w:ilvl w:val="0"/>
          <w:numId w:val="21"/>
        </w:numPr>
        <w:ind w:left="0" w:leftChars="0" w:firstLine="480" w:firstLineChars="0"/>
        <w:rPr>
          <w:b w:val="0"/>
          <w:color w:val="auto"/>
        </w:rPr>
      </w:pPr>
      <w:r>
        <w:rPr>
          <w:color w:val="auto"/>
        </w:rPr>
        <w:t>采购人、采购代理机构：指依法进行政府采购的国家机关、事业单位、团体组织，及其委托的采购代理机构。本项目采购人、采购代理机构见第一章《采购邀请》。</w:t>
      </w:r>
    </w:p>
    <w:p w14:paraId="1961BBA3">
      <w:pPr>
        <w:pStyle w:val="17"/>
        <w:numPr>
          <w:ilvl w:val="0"/>
          <w:numId w:val="21"/>
        </w:numPr>
        <w:ind w:left="0" w:leftChars="0" w:firstLine="480" w:firstLineChars="0"/>
        <w:rPr>
          <w:b w:val="0"/>
          <w:color w:val="auto"/>
        </w:rPr>
      </w:pPr>
      <w:r>
        <w:rPr>
          <w:color w:val="auto"/>
        </w:rPr>
        <w:t>供应商（也称“申请人”）：指向采购人提供货物、工程或者服务的法人、其他组织或者自然人。</w:t>
      </w:r>
    </w:p>
    <w:p w14:paraId="636DB914">
      <w:pPr>
        <w:pStyle w:val="17"/>
        <w:numPr>
          <w:ilvl w:val="0"/>
          <w:numId w:val="21"/>
        </w:numPr>
        <w:ind w:left="0" w:leftChars="0" w:firstLine="480" w:firstLineChars="0"/>
        <w:rPr>
          <w:b w:val="0"/>
          <w:color w:val="auto"/>
        </w:rPr>
      </w:pPr>
      <w:r>
        <w:rPr>
          <w:color w:val="auto"/>
        </w:rPr>
        <w:t>联合体：指两个以上的自然人、法人或者其他组织组成一个联合体，以一个供应商的身份共同参加政府采购。</w:t>
      </w:r>
    </w:p>
    <w:p w14:paraId="73850F9F">
      <w:pPr>
        <w:pStyle w:val="4"/>
        <w:numPr>
          <w:ilvl w:val="0"/>
          <w:numId w:val="20"/>
        </w:numPr>
        <w:ind w:left="0" w:leftChars="0" w:firstLine="0" w:firstLineChars="0"/>
        <w:rPr>
          <w:b w:val="0"/>
          <w:color w:val="auto"/>
        </w:rPr>
      </w:pPr>
      <w:bookmarkStart w:id="100" w:name="_Toc142311022"/>
      <w:bookmarkStart w:id="101" w:name="_Toc164229361"/>
      <w:bookmarkStart w:id="102" w:name="_Toc151193908"/>
      <w:bookmarkStart w:id="103" w:name="_Toc150509271"/>
      <w:bookmarkStart w:id="104" w:name="_Toc150480758"/>
      <w:bookmarkStart w:id="105" w:name="_Toc195842885"/>
      <w:bookmarkStart w:id="106" w:name="_Toc305158788"/>
      <w:bookmarkStart w:id="107" w:name="_Toc150774725"/>
      <w:bookmarkStart w:id="108" w:name="_Toc151193762"/>
      <w:bookmarkStart w:id="109" w:name="_Toc151193618"/>
      <w:bookmarkStart w:id="110" w:name="_Toc226337216"/>
      <w:bookmarkStart w:id="111" w:name="_Toc264969210"/>
      <w:bookmarkStart w:id="112" w:name="_Toc151190147"/>
      <w:bookmarkStart w:id="113" w:name="_Toc151193690"/>
      <w:bookmarkStart w:id="114" w:name="_Toc226965793"/>
      <w:bookmarkStart w:id="115" w:name="_Toc150774620"/>
      <w:bookmarkStart w:id="116" w:name="_Toc127151520"/>
      <w:bookmarkStart w:id="117" w:name="_Toc149720813"/>
      <w:bookmarkStart w:id="118" w:name="_Toc127161434"/>
      <w:bookmarkStart w:id="119" w:name="_Toc164229215"/>
      <w:bookmarkStart w:id="120" w:name="_Toc305158862"/>
      <w:bookmarkStart w:id="121" w:name="_Toc164351614"/>
      <w:bookmarkStart w:id="122" w:name="_Toc226965710"/>
      <w:bookmarkStart w:id="123" w:name="_Toc164608789"/>
      <w:bookmarkStart w:id="124" w:name="_Toc226309764"/>
      <w:bookmarkStart w:id="125" w:name="_Toc265228358"/>
      <w:bookmarkStart w:id="126" w:name="_Toc151193834"/>
      <w:bookmarkStart w:id="127" w:name="_Toc164608634"/>
      <w:bookmarkStart w:id="128" w:name="_Toc127151721"/>
      <w:r>
        <w:rPr>
          <w:color w:val="auto"/>
        </w:rPr>
        <w:t>资金来源</w:t>
      </w:r>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Pr>
          <w:color w:val="auto"/>
        </w:rPr>
        <w:t>、科研仪器设备采购</w:t>
      </w:r>
    </w:p>
    <w:p w14:paraId="0F52668B">
      <w:pPr>
        <w:pStyle w:val="17"/>
        <w:numPr>
          <w:ilvl w:val="0"/>
          <w:numId w:val="22"/>
        </w:numPr>
        <w:ind w:left="0" w:leftChars="0" w:firstLine="480" w:firstLineChars="0"/>
        <w:rPr>
          <w:b w:val="0"/>
          <w:color w:val="auto"/>
        </w:rPr>
      </w:pPr>
      <w:r>
        <w:rPr>
          <w:color w:val="auto"/>
        </w:rPr>
        <w:t>资金来源为财政性资金和/或本项目采购中无法与财政性资金分割的非财政性资金。</w:t>
      </w:r>
    </w:p>
    <w:p w14:paraId="15CA2BF2">
      <w:pPr>
        <w:pStyle w:val="17"/>
        <w:numPr>
          <w:ilvl w:val="0"/>
          <w:numId w:val="22"/>
        </w:numPr>
        <w:ind w:left="0" w:leftChars="0" w:firstLine="480" w:firstLineChars="0"/>
        <w:rPr>
          <w:b w:val="0"/>
          <w:color w:val="auto"/>
        </w:rPr>
      </w:pPr>
      <w:r>
        <w:rPr>
          <w:color w:val="auto"/>
        </w:rPr>
        <w:t>是否属于科研仪器设备采购见《供应商须知资料表》。</w:t>
      </w:r>
    </w:p>
    <w:p w14:paraId="48773B21">
      <w:pPr>
        <w:pStyle w:val="4"/>
        <w:numPr>
          <w:ilvl w:val="0"/>
          <w:numId w:val="20"/>
        </w:numPr>
        <w:ind w:left="0" w:leftChars="0" w:firstLine="0" w:firstLineChars="0"/>
        <w:rPr>
          <w:b w:val="0"/>
          <w:color w:val="auto"/>
        </w:rPr>
      </w:pPr>
      <w:bookmarkStart w:id="129" w:name="_Toc226965795"/>
      <w:bookmarkStart w:id="130" w:name="_Toc305158790"/>
      <w:bookmarkStart w:id="131" w:name="_Toc150509273"/>
      <w:bookmarkStart w:id="132" w:name="_Toc195842887"/>
      <w:bookmarkStart w:id="133" w:name="_Toc520356146"/>
      <w:bookmarkStart w:id="134" w:name="_Toc151193692"/>
      <w:bookmarkStart w:id="135" w:name="_Toc151193764"/>
      <w:bookmarkStart w:id="136" w:name="_Toc150480760"/>
      <w:bookmarkStart w:id="137" w:name="_Toc226337218"/>
      <w:bookmarkStart w:id="138" w:name="_Toc265228360"/>
      <w:bookmarkStart w:id="139" w:name="_Toc151193620"/>
      <w:bookmarkStart w:id="140" w:name="_Toc226965712"/>
      <w:bookmarkStart w:id="141" w:name="_Toc151190149"/>
      <w:bookmarkStart w:id="142" w:name="_Toc151193910"/>
      <w:bookmarkStart w:id="143" w:name="_Toc150774622"/>
      <w:bookmarkStart w:id="144" w:name="_Toc264969212"/>
      <w:bookmarkStart w:id="145" w:name="_Toc127151522"/>
      <w:bookmarkStart w:id="146" w:name="_Toc226309766"/>
      <w:bookmarkStart w:id="147" w:name="_Toc151193836"/>
      <w:bookmarkStart w:id="148" w:name="_Toc142311024"/>
      <w:bookmarkStart w:id="149" w:name="_Toc305158864"/>
      <w:bookmarkStart w:id="150" w:name="_Toc150774727"/>
      <w:r>
        <w:rPr>
          <w:color w:val="auto"/>
        </w:rPr>
        <w:t>政府采购政策（包括但不限于下列具体政策要求）</w:t>
      </w:r>
    </w:p>
    <w:p w14:paraId="05458171">
      <w:pPr>
        <w:pStyle w:val="6"/>
        <w:numPr>
          <w:ilvl w:val="0"/>
          <w:numId w:val="23"/>
        </w:numPr>
        <w:ind w:left="0" w:leftChars="0" w:firstLine="0" w:firstLineChars="0"/>
        <w:rPr>
          <w:b w:val="0"/>
          <w:color w:val="auto"/>
        </w:rPr>
      </w:pPr>
      <w:r>
        <w:rPr>
          <w:color w:val="auto"/>
        </w:rPr>
        <w:t>进口产品</w:t>
      </w:r>
    </w:p>
    <w:p w14:paraId="02E8CC2C">
      <w:pPr>
        <w:pStyle w:val="17"/>
        <w:rPr>
          <w:color w:val="auto"/>
        </w:rPr>
      </w:pPr>
      <w:r>
        <w:rPr>
          <w:color w:val="auto"/>
        </w:rPr>
        <w:t>3.1.1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345DAF60">
      <w:pPr>
        <w:pStyle w:val="6"/>
        <w:numPr>
          <w:ilvl w:val="0"/>
          <w:numId w:val="23"/>
        </w:numPr>
        <w:ind w:left="0" w:leftChars="0" w:firstLine="0" w:firstLineChars="0"/>
        <w:rPr>
          <w:b w:val="0"/>
          <w:color w:val="auto"/>
        </w:rPr>
      </w:pPr>
      <w:r>
        <w:rPr>
          <w:color w:val="auto"/>
        </w:rPr>
        <w:t>中小企业、监狱企业及残疾人福利性单位</w:t>
      </w:r>
    </w:p>
    <w:p w14:paraId="41270BD5">
      <w:pPr>
        <w:pStyle w:val="17"/>
        <w:numPr>
          <w:ilvl w:val="0"/>
          <w:numId w:val="24"/>
        </w:numPr>
        <w:ind w:left="0" w:leftChars="0" w:firstLine="480" w:firstLineChars="0"/>
        <w:rPr>
          <w:b w:val="0"/>
          <w:color w:val="auto"/>
        </w:rPr>
      </w:pPr>
      <w:r>
        <w:rPr>
          <w:color w:val="auto"/>
        </w:rPr>
        <w:t>中小企业定义：</w:t>
      </w:r>
    </w:p>
    <w:p w14:paraId="0B9CFFF6">
      <w:pPr>
        <w:pStyle w:val="17"/>
        <w:numPr>
          <w:ilvl w:val="0"/>
          <w:numId w:val="25"/>
        </w:numPr>
        <w:ind w:left="0" w:leftChars="0" w:firstLine="480" w:firstLineChars="0"/>
        <w:rPr>
          <w:b w:val="0"/>
          <w:color w:val="auto"/>
        </w:rPr>
      </w:pPr>
      <w:r>
        <w:rPr>
          <w:color w:val="auto"/>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42DD673D">
      <w:pPr>
        <w:pStyle w:val="17"/>
        <w:numPr>
          <w:ilvl w:val="0"/>
          <w:numId w:val="25"/>
        </w:numPr>
        <w:ind w:left="0" w:leftChars="0" w:firstLine="480" w:firstLineChars="0"/>
        <w:rPr>
          <w:b w:val="0"/>
          <w:color w:val="auto"/>
        </w:rPr>
      </w:pPr>
      <w:r>
        <w:rPr>
          <w:color w:val="auto"/>
        </w:rPr>
        <w:t>供应商提供的货物、工程或者服务符合下列情形的，享受中小企业扶持政策：</w:t>
      </w:r>
    </w:p>
    <w:p w14:paraId="01DCD3A9">
      <w:pPr>
        <w:pStyle w:val="17"/>
        <w:numPr>
          <w:ilvl w:val="0"/>
          <w:numId w:val="26"/>
        </w:numPr>
        <w:topLinePunct w:val="0"/>
        <w:ind w:left="0" w:leftChars="0" w:firstLine="480" w:firstLineChars="0"/>
        <w:rPr>
          <w:b w:val="0"/>
          <w:color w:val="auto"/>
        </w:rPr>
      </w:pPr>
      <w:r>
        <w:rPr>
          <w:color w:val="auto"/>
        </w:rPr>
        <w:t>在货物采购项目中，货物由中小企业制造，即货物由中小企业生产且使用该中小企业商号或者注册商标；</w:t>
      </w:r>
    </w:p>
    <w:p w14:paraId="78E98630">
      <w:pPr>
        <w:pStyle w:val="17"/>
        <w:numPr>
          <w:ilvl w:val="0"/>
          <w:numId w:val="26"/>
        </w:numPr>
        <w:topLinePunct w:val="0"/>
        <w:ind w:left="0" w:leftChars="0" w:firstLine="480" w:firstLineChars="0"/>
        <w:rPr>
          <w:b w:val="0"/>
          <w:color w:val="auto"/>
        </w:rPr>
      </w:pPr>
      <w:r>
        <w:rPr>
          <w:color w:val="auto"/>
        </w:rPr>
        <w:t>在工程采购项目中，工程由中小企业承建，即工程施工单位为中小企业；</w:t>
      </w:r>
    </w:p>
    <w:p w14:paraId="129EA6B5">
      <w:pPr>
        <w:pStyle w:val="17"/>
        <w:numPr>
          <w:ilvl w:val="0"/>
          <w:numId w:val="26"/>
        </w:numPr>
        <w:topLinePunct w:val="0"/>
        <w:ind w:left="0" w:leftChars="0" w:firstLine="480" w:firstLineChars="0"/>
        <w:rPr>
          <w:b w:val="0"/>
          <w:color w:val="auto"/>
        </w:rPr>
      </w:pPr>
      <w:r>
        <w:rPr>
          <w:color w:val="auto"/>
        </w:rPr>
        <w:t>在服务采购项目中，服务由中小企业承接，即提供服务的人员为中小企业依照《中华人民共和国劳动合同法》订立劳动合同的从业人员。</w:t>
      </w:r>
    </w:p>
    <w:p w14:paraId="473FCFB9">
      <w:pPr>
        <w:pStyle w:val="17"/>
        <w:numPr>
          <w:ilvl w:val="0"/>
          <w:numId w:val="25"/>
        </w:numPr>
        <w:ind w:left="0" w:leftChars="0" w:firstLine="480" w:firstLineChars="0"/>
        <w:rPr>
          <w:b w:val="0"/>
          <w:color w:val="auto"/>
        </w:rPr>
      </w:pPr>
      <w:r>
        <w:rPr>
          <w:color w:val="auto"/>
        </w:rPr>
        <w:t>在货物采购项目中，供应商提供的货物既有中小企业制造货物，也有大型企业制造货物的，不享受中小企业扶持政策。</w:t>
      </w:r>
    </w:p>
    <w:p w14:paraId="731D7327">
      <w:pPr>
        <w:pStyle w:val="17"/>
        <w:numPr>
          <w:ilvl w:val="0"/>
          <w:numId w:val="25"/>
        </w:numPr>
        <w:ind w:left="0" w:leftChars="0" w:firstLine="480" w:firstLineChars="0"/>
        <w:rPr>
          <w:b w:val="0"/>
          <w:color w:val="auto"/>
        </w:rPr>
      </w:pPr>
      <w:r>
        <w:rPr>
          <w:color w:val="auto"/>
        </w:rPr>
        <w:t>以联合体形式参加政府采购活动，联合体各方均为中小企业的，联合体视同中小企业。其中，联合体各方均为小微企业的，联合体视同小微企业。</w:t>
      </w:r>
    </w:p>
    <w:p w14:paraId="16A45278">
      <w:pPr>
        <w:pStyle w:val="17"/>
        <w:numPr>
          <w:ilvl w:val="0"/>
          <w:numId w:val="24"/>
        </w:numPr>
        <w:ind w:left="0" w:leftChars="0" w:firstLine="480" w:firstLineChars="0"/>
        <w:rPr>
          <w:b w:val="0"/>
          <w:color w:val="auto"/>
        </w:rPr>
      </w:pPr>
      <w:r>
        <w:rPr>
          <w:color w:val="auto"/>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1AB74F2">
      <w:pPr>
        <w:pStyle w:val="17"/>
        <w:numPr>
          <w:ilvl w:val="0"/>
          <w:numId w:val="24"/>
        </w:numPr>
        <w:ind w:left="0" w:leftChars="0" w:firstLine="480" w:firstLineChars="0"/>
        <w:rPr>
          <w:b w:val="0"/>
          <w:color w:val="auto"/>
        </w:rPr>
      </w:pPr>
      <w:r>
        <w:rPr>
          <w:color w:val="auto"/>
        </w:rPr>
        <w:t>残疾人福利单位定义：享受政府采购支持政策的残疾人福利性单位应当同时满足以下条件：</w:t>
      </w:r>
    </w:p>
    <w:p w14:paraId="30FDE09F">
      <w:pPr>
        <w:pStyle w:val="17"/>
        <w:numPr>
          <w:ilvl w:val="0"/>
          <w:numId w:val="27"/>
        </w:numPr>
        <w:ind w:left="0" w:leftChars="0" w:firstLine="480" w:firstLineChars="0"/>
        <w:rPr>
          <w:b w:val="0"/>
          <w:color w:val="auto"/>
        </w:rPr>
      </w:pPr>
      <w:r>
        <w:rPr>
          <w:color w:val="auto"/>
        </w:rPr>
        <w:t>安置的残疾人占本单位在职职工人数的比例不低于25%（含25%），并且安置的残疾人人数不少于10 人（含10 人）；</w:t>
      </w:r>
    </w:p>
    <w:p w14:paraId="7E29E476">
      <w:pPr>
        <w:pStyle w:val="17"/>
        <w:numPr>
          <w:ilvl w:val="0"/>
          <w:numId w:val="27"/>
        </w:numPr>
        <w:ind w:left="0" w:leftChars="0" w:firstLine="480" w:firstLineChars="0"/>
        <w:rPr>
          <w:b w:val="0"/>
          <w:color w:val="auto"/>
        </w:rPr>
      </w:pPr>
      <w:r>
        <w:rPr>
          <w:color w:val="auto"/>
        </w:rPr>
        <w:t>依法与安置的每位残疾人签订了一年以上（含一年）的劳动合同或服务协议；</w:t>
      </w:r>
    </w:p>
    <w:p w14:paraId="7BCFD227">
      <w:pPr>
        <w:pStyle w:val="17"/>
        <w:numPr>
          <w:ilvl w:val="0"/>
          <w:numId w:val="27"/>
        </w:numPr>
        <w:ind w:left="0" w:leftChars="0" w:firstLine="480" w:firstLineChars="0"/>
        <w:rPr>
          <w:b w:val="0"/>
          <w:color w:val="auto"/>
        </w:rPr>
      </w:pPr>
      <w:r>
        <w:rPr>
          <w:color w:val="auto"/>
        </w:rPr>
        <w:t>为安置的每位残疾人按月足额缴纳了基本养老保险、基本医疗保险、失业保险、工伤保险和生育保险等社会保险费；</w:t>
      </w:r>
    </w:p>
    <w:p w14:paraId="48E50C0B">
      <w:pPr>
        <w:pStyle w:val="17"/>
        <w:numPr>
          <w:ilvl w:val="0"/>
          <w:numId w:val="27"/>
        </w:numPr>
        <w:ind w:left="0" w:leftChars="0" w:firstLine="480" w:firstLineChars="0"/>
        <w:rPr>
          <w:b w:val="0"/>
          <w:color w:val="auto"/>
        </w:rPr>
      </w:pPr>
      <w:r>
        <w:rPr>
          <w:color w:val="auto"/>
        </w:rPr>
        <w:t>通过银行等金融机构向安置的每位残疾人，按月支付了不低于单位所在区县适用的经省级人民政府批准的月最低工资标准的工资；</w:t>
      </w:r>
    </w:p>
    <w:p w14:paraId="0CDB6D45">
      <w:pPr>
        <w:pStyle w:val="17"/>
        <w:numPr>
          <w:ilvl w:val="0"/>
          <w:numId w:val="27"/>
        </w:numPr>
        <w:ind w:left="0" w:leftChars="0" w:firstLine="480" w:firstLineChars="0"/>
        <w:rPr>
          <w:b w:val="0"/>
          <w:color w:val="auto"/>
        </w:rPr>
      </w:pPr>
      <w:r>
        <w:rPr>
          <w:color w:val="auto"/>
        </w:rPr>
        <w:t>提供本单位制造的货物、承担的工程或者服务（以下简称产品），或者提供其他残疾人福利性单位制造的货物（不包括使用非残疾人福利性单位注册商标的货物）；</w:t>
      </w:r>
    </w:p>
    <w:p w14:paraId="4BCCB0F5">
      <w:pPr>
        <w:pStyle w:val="17"/>
        <w:numPr>
          <w:ilvl w:val="0"/>
          <w:numId w:val="27"/>
        </w:numPr>
        <w:ind w:left="0" w:leftChars="0" w:firstLine="480" w:firstLineChars="0"/>
        <w:rPr>
          <w:b w:val="0"/>
          <w:color w:val="auto"/>
        </w:rPr>
      </w:pPr>
      <w:r>
        <w:rPr>
          <w:color w:val="auto"/>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3721FF92">
      <w:pPr>
        <w:pStyle w:val="17"/>
        <w:numPr>
          <w:ilvl w:val="0"/>
          <w:numId w:val="27"/>
        </w:numPr>
        <w:ind w:left="0" w:leftChars="0" w:firstLine="480" w:firstLineChars="0"/>
        <w:rPr>
          <w:b w:val="0"/>
          <w:color w:val="auto"/>
        </w:rPr>
      </w:pPr>
      <w:r>
        <w:rPr>
          <w:color w:val="auto"/>
        </w:rPr>
        <w:t>残疾人福利单位、监狱企业属于小型、微型企业的，不重复享受政策。</w:t>
      </w:r>
    </w:p>
    <w:p w14:paraId="729A1266">
      <w:pPr>
        <w:pStyle w:val="17"/>
        <w:numPr>
          <w:ilvl w:val="0"/>
          <w:numId w:val="24"/>
        </w:numPr>
        <w:ind w:left="0" w:leftChars="0" w:firstLine="480" w:firstLineChars="0"/>
        <w:rPr>
          <w:b w:val="0"/>
          <w:color w:val="auto"/>
        </w:rPr>
      </w:pPr>
      <w:r>
        <w:rPr>
          <w:color w:val="auto"/>
        </w:rPr>
        <w:t>本项目是否专门面向中小企业预留采购份额见第一章《采购邀请》。</w:t>
      </w:r>
    </w:p>
    <w:p w14:paraId="437E3C9E">
      <w:pPr>
        <w:pStyle w:val="17"/>
        <w:numPr>
          <w:ilvl w:val="0"/>
          <w:numId w:val="24"/>
        </w:numPr>
        <w:ind w:left="0" w:leftChars="0" w:firstLine="480" w:firstLineChars="0"/>
        <w:rPr>
          <w:b w:val="0"/>
          <w:color w:val="auto"/>
        </w:rPr>
      </w:pPr>
      <w:r>
        <w:rPr>
          <w:color w:val="auto"/>
        </w:rPr>
        <w:t>采购标的对应的中小企业划分标准所属行业见《供应商须知资料表》。</w:t>
      </w:r>
    </w:p>
    <w:p w14:paraId="58AEE6EB">
      <w:pPr>
        <w:pStyle w:val="17"/>
        <w:numPr>
          <w:ilvl w:val="0"/>
          <w:numId w:val="24"/>
        </w:numPr>
        <w:ind w:left="0" w:leftChars="0" w:firstLine="480" w:firstLineChars="0"/>
        <w:rPr>
          <w:b w:val="0"/>
          <w:color w:val="auto"/>
        </w:rPr>
      </w:pPr>
      <w:r>
        <w:rPr>
          <w:color w:val="auto"/>
        </w:rPr>
        <w:t>小微企业价格评审优惠的政策调整：见第三章《评审程序和评定成交的标准》。</w:t>
      </w:r>
    </w:p>
    <w:p w14:paraId="7B350B42">
      <w:pPr>
        <w:pStyle w:val="6"/>
        <w:numPr>
          <w:ilvl w:val="0"/>
          <w:numId w:val="23"/>
        </w:numPr>
        <w:ind w:left="0" w:leftChars="0" w:firstLine="0" w:firstLineChars="0"/>
        <w:rPr>
          <w:b w:val="0"/>
          <w:color w:val="auto"/>
        </w:rPr>
      </w:pPr>
      <w:r>
        <w:rPr>
          <w:color w:val="auto"/>
        </w:rPr>
        <w:t>政府采购节能产品、环境标志产品</w:t>
      </w:r>
    </w:p>
    <w:p w14:paraId="49F844A3">
      <w:pPr>
        <w:pStyle w:val="17"/>
        <w:numPr>
          <w:ilvl w:val="0"/>
          <w:numId w:val="28"/>
        </w:numPr>
        <w:ind w:left="0" w:leftChars="0" w:firstLine="480" w:firstLineChars="0"/>
        <w:rPr>
          <w:b w:val="0"/>
          <w:color w:val="auto"/>
        </w:rPr>
      </w:pPr>
      <w:r>
        <w:rPr>
          <w:color w:val="auto"/>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9C60805">
      <w:pPr>
        <w:pStyle w:val="17"/>
        <w:numPr>
          <w:ilvl w:val="0"/>
          <w:numId w:val="28"/>
        </w:numPr>
        <w:ind w:left="0" w:leftChars="0" w:firstLine="480" w:firstLineChars="0"/>
        <w:rPr>
          <w:b w:val="0"/>
          <w:color w:val="auto"/>
        </w:rPr>
      </w:pPr>
      <w:r>
        <w:rPr>
          <w:color w:val="auto"/>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0AAF41E6">
      <w:pPr>
        <w:pStyle w:val="17"/>
        <w:numPr>
          <w:ilvl w:val="0"/>
          <w:numId w:val="28"/>
        </w:numPr>
        <w:ind w:left="0" w:leftChars="0" w:firstLine="480" w:firstLineChars="0"/>
        <w:rPr>
          <w:b w:val="0"/>
          <w:color w:val="auto"/>
        </w:rPr>
      </w:pPr>
      <w:r>
        <w:rPr>
          <w:color w:val="auto"/>
        </w:rPr>
        <w:t>如本项目采购产品属于实施政府强制采购品目清单范围的节能产品，则供应商所报产品必须获得国家确定的认证机构出具的、处于有效期之内的节能产品认证证书，否则</w:t>
      </w:r>
      <w:r>
        <w:rPr>
          <w:b/>
          <w:color w:val="auto"/>
        </w:rPr>
        <w:t>响应无效</w:t>
      </w:r>
      <w:r>
        <w:rPr>
          <w:color w:val="auto"/>
        </w:rPr>
        <w:t>；</w:t>
      </w:r>
    </w:p>
    <w:p w14:paraId="0B99C1B4">
      <w:pPr>
        <w:pStyle w:val="17"/>
        <w:numPr>
          <w:ilvl w:val="0"/>
          <w:numId w:val="28"/>
        </w:numPr>
        <w:ind w:left="0" w:leftChars="0" w:firstLine="480" w:firstLineChars="0"/>
        <w:rPr>
          <w:b w:val="0"/>
          <w:color w:val="auto"/>
        </w:rPr>
      </w:pPr>
      <w:r>
        <w:rPr>
          <w:color w:val="auto"/>
        </w:rPr>
        <w:t>非政府强制采购的节能产品或环境标志产品，依据品目清单和认证证书实施政府优先采购。优先采购的具体规定见第三章《评审程序和评定成交的标准》（如涉及）。</w:t>
      </w:r>
    </w:p>
    <w:p w14:paraId="79E753FC">
      <w:pPr>
        <w:pStyle w:val="17"/>
        <w:numPr>
          <w:ilvl w:val="0"/>
          <w:numId w:val="28"/>
        </w:numPr>
        <w:ind w:left="0" w:leftChars="0" w:firstLine="480" w:firstLineChars="0"/>
        <w:rPr>
          <w:b w:val="0"/>
          <w:color w:val="auto"/>
        </w:rPr>
      </w:pPr>
      <w:r>
        <w:rPr>
          <w:color w:val="auto"/>
        </w:rPr>
        <w:t>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4CB48A78">
      <w:pPr>
        <w:pStyle w:val="6"/>
        <w:numPr>
          <w:ilvl w:val="0"/>
          <w:numId w:val="23"/>
        </w:numPr>
        <w:ind w:left="0" w:leftChars="0" w:firstLine="0" w:firstLineChars="0"/>
        <w:rPr>
          <w:b w:val="0"/>
          <w:color w:val="auto"/>
        </w:rPr>
      </w:pPr>
      <w:r>
        <w:rPr>
          <w:color w:val="auto"/>
        </w:rPr>
        <w:t>支持乡村产业振兴管理</w:t>
      </w:r>
    </w:p>
    <w:p w14:paraId="1E4B9525">
      <w:pPr>
        <w:pStyle w:val="17"/>
        <w:rPr>
          <w:color w:val="auto"/>
        </w:rPr>
      </w:pPr>
      <w:r>
        <w:rPr>
          <w:color w:val="auto"/>
        </w:rPr>
        <w:t>3.4.1为落实《关于运用政府采购政策支持乡村产业振兴的通知》（财库〔2021〕19号）有关要求，做好支持脱贫攻坚工作，本项目采购活动中对于支持乡村振兴管理的相关要求见第四章《采购需求》（如涉及）。</w:t>
      </w:r>
    </w:p>
    <w:p w14:paraId="6D7FB6AC">
      <w:pPr>
        <w:pStyle w:val="6"/>
        <w:numPr>
          <w:ilvl w:val="0"/>
          <w:numId w:val="23"/>
        </w:numPr>
        <w:ind w:left="0" w:leftChars="0" w:firstLine="0" w:firstLineChars="0"/>
        <w:rPr>
          <w:b w:val="0"/>
          <w:color w:val="auto"/>
        </w:rPr>
      </w:pPr>
      <w:r>
        <w:rPr>
          <w:color w:val="auto"/>
        </w:rPr>
        <w:t>正版软件</w:t>
      </w:r>
    </w:p>
    <w:p w14:paraId="6589D375">
      <w:pPr>
        <w:pStyle w:val="17"/>
        <w:numPr>
          <w:ilvl w:val="0"/>
          <w:numId w:val="29"/>
        </w:numPr>
        <w:ind w:left="0" w:leftChars="0" w:firstLine="480" w:firstLineChars="0"/>
        <w:rPr>
          <w:b w:val="0"/>
          <w:color w:val="auto"/>
        </w:rPr>
      </w:pPr>
      <w:r>
        <w:rPr>
          <w:color w:val="auto"/>
        </w:rPr>
        <w:t>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15629.11/1102）并通过国家产品认证的产品。其中，国家有特殊信息安全要求的项目必须采购认证产品，否则投标</w:t>
      </w:r>
      <w:r>
        <w:rPr>
          <w:rFonts w:hint="eastAsia"/>
          <w:color w:val="auto"/>
          <w:lang w:eastAsia="zh-CN"/>
        </w:rPr>
        <w:t>（</w:t>
      </w:r>
      <w:r>
        <w:rPr>
          <w:rFonts w:hint="eastAsia"/>
          <w:color w:val="auto"/>
          <w:lang w:val="en-US" w:eastAsia="zh-CN"/>
        </w:rPr>
        <w:t>响应</w:t>
      </w:r>
      <w:r>
        <w:rPr>
          <w:rFonts w:hint="eastAsia"/>
          <w:color w:val="auto"/>
          <w:lang w:eastAsia="zh-CN"/>
        </w:rPr>
        <w:t>）</w:t>
      </w:r>
      <w:r>
        <w:rPr>
          <w:color w:val="auto"/>
        </w:rPr>
        <w:t>无效。</w:t>
      </w:r>
    </w:p>
    <w:p w14:paraId="421C9B7D">
      <w:pPr>
        <w:pStyle w:val="17"/>
        <w:numPr>
          <w:ilvl w:val="0"/>
          <w:numId w:val="29"/>
        </w:numPr>
        <w:ind w:left="0" w:leftChars="0" w:firstLine="480" w:firstLineChars="0"/>
        <w:rPr>
          <w:b w:val="0"/>
          <w:color w:val="auto"/>
        </w:rPr>
      </w:pPr>
      <w:r>
        <w:rPr>
          <w:color w:val="auto"/>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33340B4D">
      <w:pPr>
        <w:pStyle w:val="6"/>
        <w:numPr>
          <w:ilvl w:val="0"/>
          <w:numId w:val="23"/>
        </w:numPr>
        <w:ind w:left="0" w:leftChars="0" w:firstLine="0" w:firstLineChars="0"/>
        <w:rPr>
          <w:b w:val="0"/>
          <w:color w:val="auto"/>
        </w:rPr>
      </w:pPr>
      <w:r>
        <w:rPr>
          <w:color w:val="auto"/>
        </w:rPr>
        <w:t>信息安全产品</w:t>
      </w:r>
    </w:p>
    <w:p w14:paraId="7355112D">
      <w:pPr>
        <w:pStyle w:val="17"/>
        <w:rPr>
          <w:color w:val="auto"/>
        </w:rPr>
      </w:pPr>
      <w:r>
        <w:rPr>
          <w:color w:val="auto"/>
        </w:rPr>
        <w:t>3.6.1所投产品属于《关于调整信息安全产品强制性认证实施要求的公告》（2009 年第33 号）范围的，采购经国家认证的信息安全产品，否则</w:t>
      </w:r>
      <w:r>
        <w:rPr>
          <w:b/>
          <w:color w:val="auto"/>
        </w:rPr>
        <w:t>响应无效</w:t>
      </w:r>
      <w:r>
        <w:rPr>
          <w:color w:val="auto"/>
        </w:rPr>
        <w:t>。关于信息安全相关规定依据《关于信息安全产品实施政府采购的通知》（财库〔2010〕48 号）。</w:t>
      </w:r>
    </w:p>
    <w:p w14:paraId="53843EE1">
      <w:pPr>
        <w:pStyle w:val="6"/>
        <w:numPr>
          <w:ilvl w:val="0"/>
          <w:numId w:val="23"/>
        </w:numPr>
        <w:ind w:left="0" w:leftChars="0" w:firstLine="0" w:firstLineChars="0"/>
        <w:rPr>
          <w:b w:val="0"/>
          <w:color w:val="auto"/>
        </w:rPr>
      </w:pPr>
      <w:r>
        <w:rPr>
          <w:color w:val="auto"/>
        </w:rPr>
        <w:t>政府采购创新产品政策</w:t>
      </w:r>
    </w:p>
    <w:p w14:paraId="655396FA">
      <w:pPr>
        <w:pStyle w:val="17"/>
        <w:rPr>
          <w:color w:val="auto"/>
        </w:rPr>
      </w:pPr>
      <w:r>
        <w:rPr>
          <w:color w:val="auto"/>
        </w:rPr>
        <w:t>3.7.1</w:t>
      </w:r>
      <w:r>
        <w:rPr>
          <w:color w:val="auto"/>
          <w:u w:val="single"/>
        </w:rPr>
        <w:t>本项目优先采购各级政府部门公开发布的有效期内的创新产品、创新服务、首台套、首购首用等《目录》的创新产品。</w:t>
      </w:r>
    </w:p>
    <w:p w14:paraId="68DD2104">
      <w:pPr>
        <w:pStyle w:val="17"/>
        <w:rPr>
          <w:color w:val="auto"/>
        </w:rPr>
      </w:pPr>
      <w:r>
        <w:rPr>
          <w:color w:val="auto"/>
        </w:rPr>
        <w:t>上述《目录》内创新产品，自认定之日起2年内视同已具备相应销售业绩，参加政府采购活动时业绩分值为满分。</w:t>
      </w:r>
    </w:p>
    <w:p w14:paraId="72223E0D">
      <w:pPr>
        <w:pStyle w:val="6"/>
        <w:numPr>
          <w:ilvl w:val="0"/>
          <w:numId w:val="23"/>
        </w:numPr>
        <w:ind w:left="0" w:leftChars="0" w:firstLine="0" w:firstLineChars="0"/>
        <w:rPr>
          <w:b w:val="0"/>
          <w:color w:val="auto"/>
        </w:rPr>
      </w:pPr>
      <w:r>
        <w:rPr>
          <w:color w:val="auto"/>
        </w:rPr>
        <w:t>采购本国产品的支持政策</w:t>
      </w:r>
    </w:p>
    <w:p w14:paraId="4CBD5954">
      <w:pPr>
        <w:pStyle w:val="17"/>
        <w:numPr>
          <w:ilvl w:val="0"/>
          <w:numId w:val="30"/>
        </w:numPr>
        <w:ind w:left="0" w:leftChars="0" w:firstLine="480" w:firstLineChars="0"/>
        <w:rPr>
          <w:b w:val="0"/>
          <w:color w:val="auto"/>
        </w:rPr>
      </w:pPr>
      <w:r>
        <w:rPr>
          <w:color w:val="auto"/>
          <w:u w:val="single"/>
        </w:rPr>
        <w:t>本项目对采购本国产品给予政策支持，价格评审优惠的政策调整：见第三章《评审程序和评定成交的标准》</w:t>
      </w:r>
    </w:p>
    <w:p w14:paraId="32DF6251">
      <w:pPr>
        <w:pStyle w:val="17"/>
        <w:numPr>
          <w:ilvl w:val="0"/>
          <w:numId w:val="30"/>
        </w:numPr>
        <w:ind w:left="0" w:leftChars="0" w:firstLine="480" w:firstLineChars="0"/>
        <w:rPr>
          <w:b w:val="0"/>
          <w:color w:val="auto"/>
        </w:rPr>
      </w:pPr>
      <w:r>
        <w:rPr>
          <w:color w:val="auto"/>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82C2E52">
      <w:pPr>
        <w:pStyle w:val="17"/>
        <w:numPr>
          <w:ilvl w:val="0"/>
          <w:numId w:val="30"/>
        </w:numPr>
        <w:ind w:left="0" w:leftChars="0" w:firstLine="480" w:firstLineChars="0"/>
        <w:rPr>
          <w:b w:val="0"/>
          <w:color w:val="auto"/>
        </w:rPr>
      </w:pPr>
      <w:r>
        <w:rPr>
          <w:color w:val="auto"/>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CBCDA72">
      <w:pPr>
        <w:pStyle w:val="4"/>
        <w:numPr>
          <w:ilvl w:val="0"/>
          <w:numId w:val="20"/>
        </w:numPr>
        <w:ind w:left="0" w:leftChars="0" w:firstLine="0" w:firstLineChars="0"/>
        <w:rPr>
          <w:b w:val="0"/>
          <w:color w:val="auto"/>
        </w:rPr>
      </w:pPr>
      <w:r>
        <w:rPr>
          <w:color w:val="auto"/>
        </w:rPr>
        <w:t>响应费用</w:t>
      </w:r>
    </w:p>
    <w:p w14:paraId="08A77C09">
      <w:pPr>
        <w:pStyle w:val="17"/>
        <w:rPr>
          <w:color w:val="auto"/>
        </w:rPr>
      </w:pPr>
      <w:r>
        <w:rPr>
          <w:color w:val="auto"/>
        </w:rPr>
        <w:t>4.1供应商应自行承担所有与准备和参加询价采购有关的费用，无论询价采购响应的结果如何，采购人或采购代理机构在任何情况下均无承担这些费用的义务和责任。</w:t>
      </w:r>
    </w:p>
    <w:p w14:paraId="069C32FD">
      <w:pPr>
        <w:pStyle w:val="3"/>
        <w:numPr>
          <w:ilvl w:val="0"/>
          <w:numId w:val="19"/>
        </w:numPr>
        <w:ind w:left="0" w:leftChars="0" w:firstLine="0" w:firstLineChars="0"/>
        <w:rPr>
          <w:b w:val="0"/>
          <w:color w:val="auto"/>
        </w:rPr>
      </w:pPr>
      <w:bookmarkStart w:id="151" w:name="_1.8_计量单位"/>
      <w:bookmarkEnd w:id="151"/>
      <w:r>
        <w:rPr>
          <w:color w:val="auto"/>
        </w:rPr>
        <w:t>询价通知书</w:t>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14:paraId="68E96C62">
      <w:pPr>
        <w:pStyle w:val="4"/>
        <w:numPr>
          <w:ilvl w:val="0"/>
          <w:numId w:val="31"/>
        </w:numPr>
        <w:ind w:left="0" w:leftChars="0" w:firstLine="0" w:firstLineChars="0"/>
        <w:rPr>
          <w:b w:val="0"/>
          <w:color w:val="auto"/>
        </w:rPr>
      </w:pPr>
      <w:bookmarkStart w:id="152" w:name="_Toc151193693"/>
      <w:bookmarkStart w:id="153" w:name="_Toc264969213"/>
      <w:bookmarkStart w:id="154" w:name="_Toc151193765"/>
      <w:bookmarkStart w:id="155" w:name="_Toc520356147"/>
      <w:bookmarkStart w:id="156" w:name="_Toc226965713"/>
      <w:bookmarkStart w:id="157" w:name="_Toc164608637"/>
      <w:bookmarkStart w:id="158" w:name="_Toc265228361"/>
      <w:bookmarkStart w:id="159" w:name="_Toc150774623"/>
      <w:bookmarkStart w:id="160" w:name="_Toc226965796"/>
      <w:bookmarkStart w:id="161" w:name="_Toc164608792"/>
      <w:bookmarkStart w:id="162" w:name="_Toc305158865"/>
      <w:bookmarkStart w:id="163" w:name="_Toc226309767"/>
      <w:bookmarkStart w:id="164" w:name="_Toc164351617"/>
      <w:bookmarkStart w:id="165" w:name="_Toc127151724"/>
      <w:bookmarkStart w:id="166" w:name="_Toc127161437"/>
      <w:bookmarkStart w:id="167" w:name="_Toc164229218"/>
      <w:bookmarkStart w:id="168" w:name="_Toc127151523"/>
      <w:bookmarkStart w:id="169" w:name="_Toc164229364"/>
      <w:bookmarkStart w:id="170" w:name="_Toc151193837"/>
      <w:bookmarkStart w:id="171" w:name="_Toc226337219"/>
      <w:bookmarkStart w:id="172" w:name="_Toc151190150"/>
      <w:bookmarkStart w:id="173" w:name="_Toc151193621"/>
      <w:bookmarkStart w:id="174" w:name="_Toc150480761"/>
      <w:bookmarkStart w:id="175" w:name="_Toc142311025"/>
      <w:bookmarkStart w:id="176" w:name="_Toc151193911"/>
      <w:bookmarkStart w:id="177" w:name="_Toc150774728"/>
      <w:bookmarkStart w:id="178" w:name="_Toc149720816"/>
      <w:bookmarkStart w:id="179" w:name="_Toc150509274"/>
      <w:bookmarkStart w:id="180" w:name="_Toc305158791"/>
      <w:bookmarkStart w:id="181" w:name="_Toc195842888"/>
      <w:r>
        <w:rPr>
          <w:color w:val="auto"/>
        </w:rPr>
        <w:t>询价通知书构</w:t>
      </w:r>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Pr>
          <w:color w:val="auto"/>
        </w:rPr>
        <w:t>成</w:t>
      </w:r>
    </w:p>
    <w:p w14:paraId="69542C81">
      <w:pPr>
        <w:pStyle w:val="17"/>
        <w:numPr>
          <w:ilvl w:val="0"/>
          <w:numId w:val="32"/>
        </w:numPr>
        <w:ind w:left="0" w:leftChars="0" w:firstLine="480" w:firstLineChars="0"/>
        <w:rPr>
          <w:b w:val="0"/>
          <w:color w:val="auto"/>
        </w:rPr>
      </w:pPr>
      <w:r>
        <w:rPr>
          <w:color w:val="auto"/>
        </w:rPr>
        <w:t>询价通知书包括以下部分：</w:t>
      </w:r>
    </w:p>
    <w:p w14:paraId="2174ACCA">
      <w:pPr>
        <w:pStyle w:val="17"/>
        <w:rPr>
          <w:color w:val="auto"/>
        </w:rPr>
      </w:pPr>
      <w:r>
        <w:rPr>
          <w:color w:val="auto"/>
        </w:rPr>
        <w:t>第一章采购邀请</w:t>
      </w:r>
    </w:p>
    <w:p w14:paraId="1E0FE2FC">
      <w:pPr>
        <w:pStyle w:val="17"/>
        <w:rPr>
          <w:color w:val="auto"/>
        </w:rPr>
      </w:pPr>
      <w:r>
        <w:rPr>
          <w:color w:val="auto"/>
        </w:rPr>
        <w:t>第二章供应商须知</w:t>
      </w:r>
    </w:p>
    <w:p w14:paraId="388BEFD4">
      <w:pPr>
        <w:pStyle w:val="17"/>
        <w:rPr>
          <w:color w:val="auto"/>
        </w:rPr>
      </w:pPr>
      <w:r>
        <w:rPr>
          <w:color w:val="auto"/>
        </w:rPr>
        <w:t>第三章评审程序和评定成交的标准</w:t>
      </w:r>
    </w:p>
    <w:p w14:paraId="396DABFF">
      <w:pPr>
        <w:pStyle w:val="17"/>
        <w:rPr>
          <w:color w:val="auto"/>
        </w:rPr>
      </w:pPr>
      <w:r>
        <w:rPr>
          <w:color w:val="auto"/>
        </w:rPr>
        <w:t>第四章采购需求</w:t>
      </w:r>
    </w:p>
    <w:p w14:paraId="184A3F2A">
      <w:pPr>
        <w:pStyle w:val="17"/>
        <w:rPr>
          <w:color w:val="auto"/>
        </w:rPr>
      </w:pPr>
      <w:r>
        <w:rPr>
          <w:color w:val="auto"/>
        </w:rPr>
        <w:t>第五章拟签订的合同文本</w:t>
      </w:r>
    </w:p>
    <w:p w14:paraId="092563CB">
      <w:pPr>
        <w:pStyle w:val="17"/>
        <w:rPr>
          <w:color w:val="auto"/>
        </w:rPr>
      </w:pPr>
      <w:r>
        <w:rPr>
          <w:color w:val="auto"/>
        </w:rPr>
        <w:t>第六章响应文件格式</w:t>
      </w:r>
    </w:p>
    <w:p w14:paraId="4F1A11DF">
      <w:pPr>
        <w:pStyle w:val="17"/>
        <w:numPr>
          <w:ilvl w:val="0"/>
          <w:numId w:val="32"/>
        </w:numPr>
        <w:ind w:left="0" w:leftChars="0" w:firstLine="480" w:firstLineChars="0"/>
        <w:rPr>
          <w:b w:val="0"/>
          <w:color w:val="auto"/>
        </w:rPr>
      </w:pPr>
      <w:r>
        <w:rPr>
          <w:color w:val="auto"/>
        </w:rPr>
        <w:t>供应商应认真阅读询价通知书的全部内容。供应商应按照询价通知书要求提交响应文件并保证所提供的全部资料的真实性，并对询价通知书做出实质性响应，否则</w:t>
      </w:r>
      <w:r>
        <w:rPr>
          <w:b/>
          <w:color w:val="auto"/>
        </w:rPr>
        <w:t>响应无效</w:t>
      </w:r>
      <w:r>
        <w:rPr>
          <w:color w:val="auto"/>
        </w:rPr>
        <w:t>。</w:t>
      </w:r>
    </w:p>
    <w:p w14:paraId="2D0E112D">
      <w:pPr>
        <w:pStyle w:val="4"/>
        <w:numPr>
          <w:ilvl w:val="0"/>
          <w:numId w:val="31"/>
        </w:numPr>
        <w:ind w:left="0" w:leftChars="0" w:firstLine="0" w:firstLineChars="0"/>
        <w:rPr>
          <w:b w:val="0"/>
          <w:color w:val="auto"/>
        </w:rPr>
      </w:pPr>
      <w:r>
        <w:rPr>
          <w:color w:val="auto"/>
        </w:rPr>
        <w:t>对询价通知书的澄清或修改</w:t>
      </w:r>
    </w:p>
    <w:p w14:paraId="04FA75CA">
      <w:pPr>
        <w:pStyle w:val="17"/>
        <w:numPr>
          <w:ilvl w:val="0"/>
          <w:numId w:val="33"/>
        </w:numPr>
        <w:ind w:left="0" w:leftChars="0" w:firstLine="480" w:firstLineChars="0"/>
        <w:rPr>
          <w:b w:val="0"/>
          <w:color w:val="auto"/>
        </w:rPr>
      </w:pPr>
      <w:r>
        <w:rPr>
          <w:color w:val="auto"/>
        </w:rPr>
        <w:t>采购人或采购代理机构对已发出的询价通知书进行必要澄清或者修改的，将在原公告发布媒体上以发布更正公告的形式通知所有获取询价通知书的供应商。</w:t>
      </w:r>
    </w:p>
    <w:p w14:paraId="502AF057">
      <w:pPr>
        <w:pStyle w:val="17"/>
        <w:numPr>
          <w:ilvl w:val="0"/>
          <w:numId w:val="33"/>
        </w:numPr>
        <w:ind w:left="0" w:leftChars="0" w:firstLine="480" w:firstLineChars="0"/>
        <w:rPr>
          <w:b w:val="0"/>
          <w:color w:val="auto"/>
        </w:rPr>
      </w:pPr>
      <w:r>
        <w:rPr>
          <w:color w:val="auto"/>
        </w:rPr>
        <w:t>澄清或者修改的内容为询价通知书的组成部分，并对所有获取询价通知书的潜在供应商具有约束力。澄清或者修改的内容可能影响响应文件编制的，将在提交响应文件截止之日3个工作日前，以更正形式通知所有接收询价通知书的供应商；不足3个工作日的，将顺延提交响应文件的截止之日。</w:t>
      </w:r>
    </w:p>
    <w:p w14:paraId="26957356">
      <w:pPr>
        <w:tabs>
          <w:tab w:val="left" w:pos="900"/>
          <w:tab w:val="left" w:pos="1080"/>
          <w:tab w:val="left" w:pos="1561"/>
          <w:tab w:val="left" w:pos="1589"/>
        </w:tabs>
        <w:snapToGrid w:val="0"/>
        <w:spacing w:line="360" w:lineRule="auto"/>
        <w:ind w:left="1080"/>
        <w:rPr>
          <w:color w:val="auto"/>
          <w:sz w:val="24"/>
        </w:rPr>
      </w:pPr>
    </w:p>
    <w:p w14:paraId="5C9EB976">
      <w:pPr>
        <w:pStyle w:val="3"/>
        <w:numPr>
          <w:ilvl w:val="0"/>
          <w:numId w:val="19"/>
        </w:numPr>
        <w:ind w:left="0" w:leftChars="0" w:firstLine="0" w:firstLineChars="0"/>
        <w:rPr>
          <w:b w:val="0"/>
          <w:color w:val="auto"/>
        </w:rPr>
      </w:pPr>
      <w:bookmarkStart w:id="182" w:name="_Toc516367020"/>
      <w:bookmarkStart w:id="183" w:name="_Toc127151526"/>
      <w:bookmarkStart w:id="184" w:name="_Toc151190153"/>
      <w:bookmarkStart w:id="185" w:name="_Toc151193914"/>
      <w:bookmarkStart w:id="186" w:name="_Toc150774731"/>
      <w:bookmarkStart w:id="187" w:name="_Toc151193840"/>
      <w:bookmarkStart w:id="188" w:name="_Toc305158868"/>
      <w:bookmarkStart w:id="189" w:name="_Toc226337222"/>
      <w:bookmarkStart w:id="190" w:name="_Toc265228364"/>
      <w:bookmarkStart w:id="191" w:name="_Toc151193768"/>
      <w:bookmarkStart w:id="192" w:name="_Toc226965799"/>
      <w:bookmarkStart w:id="193" w:name="_Toc150774626"/>
      <w:bookmarkStart w:id="194" w:name="_Toc195842891"/>
      <w:bookmarkStart w:id="195" w:name="_Toc305158794"/>
      <w:bookmarkStart w:id="196" w:name="_Toc520356150"/>
      <w:bookmarkStart w:id="197" w:name="_Toc151193696"/>
      <w:bookmarkStart w:id="198" w:name="_Toc264969216"/>
      <w:bookmarkStart w:id="199" w:name="_Toc226965716"/>
      <w:bookmarkStart w:id="200" w:name="_Toc150480764"/>
      <w:bookmarkStart w:id="201" w:name="_Toc151193624"/>
      <w:bookmarkStart w:id="202" w:name="_Toc150509277"/>
      <w:bookmarkStart w:id="203" w:name="_Toc226309770"/>
      <w:bookmarkStart w:id="204" w:name="_Toc142311028"/>
      <w:r>
        <w:rPr>
          <w:color w:val="auto"/>
        </w:rPr>
        <w:t>响应文件</w:t>
      </w:r>
      <w:bookmarkEnd w:id="182"/>
      <w:r>
        <w:rPr>
          <w:color w:val="auto"/>
        </w:rPr>
        <w:t>的编制</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14:paraId="06737BB2">
      <w:pPr>
        <w:pStyle w:val="4"/>
        <w:numPr>
          <w:ilvl w:val="0"/>
          <w:numId w:val="34"/>
        </w:numPr>
        <w:ind w:left="0" w:leftChars="0" w:firstLine="0" w:firstLineChars="0"/>
        <w:rPr>
          <w:b w:val="0"/>
          <w:color w:val="auto"/>
        </w:rPr>
      </w:pPr>
      <w:bookmarkStart w:id="205" w:name="_Toc150774627"/>
      <w:bookmarkStart w:id="206" w:name="_Toc150480765"/>
      <w:bookmarkStart w:id="207" w:name="_Toc164229368"/>
      <w:bookmarkStart w:id="208" w:name="_Toc151193915"/>
      <w:bookmarkStart w:id="209" w:name="_Toc150509278"/>
      <w:bookmarkStart w:id="210" w:name="_Toc142311029"/>
      <w:bookmarkStart w:id="211" w:name="_Toc150774732"/>
      <w:bookmarkStart w:id="212" w:name="_Toc226337223"/>
      <w:bookmarkStart w:id="213" w:name="_Toc226965800"/>
      <w:bookmarkStart w:id="214" w:name="_Toc520356151"/>
      <w:bookmarkStart w:id="215" w:name="_Toc164229222"/>
      <w:bookmarkStart w:id="216" w:name="_Toc164351621"/>
      <w:bookmarkStart w:id="217" w:name="_Toc164608796"/>
      <w:bookmarkStart w:id="218" w:name="_Toc127161441"/>
      <w:bookmarkStart w:id="219" w:name="_Toc127151728"/>
      <w:bookmarkStart w:id="220" w:name="_Toc265228365"/>
      <w:bookmarkStart w:id="221" w:name="_Toc226965717"/>
      <w:bookmarkStart w:id="222" w:name="_Toc127151527"/>
      <w:bookmarkStart w:id="223" w:name="_Toc305158869"/>
      <w:bookmarkStart w:id="224" w:name="_Toc151193769"/>
      <w:bookmarkStart w:id="225" w:name="_Toc305158795"/>
      <w:bookmarkStart w:id="226" w:name="_Toc151193697"/>
      <w:bookmarkStart w:id="227" w:name="_Toc151190154"/>
      <w:bookmarkStart w:id="228" w:name="_Toc151193841"/>
      <w:bookmarkStart w:id="229" w:name="_Toc149720820"/>
      <w:bookmarkStart w:id="230" w:name="_Toc195842892"/>
      <w:bookmarkStart w:id="231" w:name="_Toc151193625"/>
      <w:bookmarkStart w:id="232" w:name="_Toc264969217"/>
      <w:bookmarkStart w:id="233" w:name="_Toc516367021"/>
      <w:bookmarkStart w:id="234" w:name="_Toc164608641"/>
      <w:bookmarkStart w:id="235" w:name="_Toc226309771"/>
      <w:r>
        <w:rPr>
          <w:color w:val="auto"/>
        </w:rPr>
        <w:t>响应范围、响应文件中计量单位的使用</w:t>
      </w:r>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r>
        <w:rPr>
          <w:color w:val="auto"/>
        </w:rPr>
        <w:t>及响应语言</w:t>
      </w:r>
    </w:p>
    <w:p w14:paraId="7B402EC0">
      <w:pPr>
        <w:pStyle w:val="17"/>
        <w:numPr>
          <w:ilvl w:val="0"/>
          <w:numId w:val="35"/>
        </w:numPr>
        <w:ind w:left="0" w:leftChars="0" w:firstLine="480" w:firstLineChars="0"/>
        <w:rPr>
          <w:b w:val="0"/>
          <w:color w:val="auto"/>
        </w:rPr>
      </w:pPr>
      <w:r>
        <w:rPr>
          <w:color w:val="auto"/>
        </w:rPr>
        <w:t>本项目如划分采购包，供应商可以对本项目的其中一个采购包进行响应，也可同时对多个采购包进行响应。供应商应当对所投采购包对应第四章《采购需求》所列的全部内容进行响应，不得将一个采购包中的内容拆开响应，否则其对该采购包的响应将被认定为</w:t>
      </w:r>
      <w:r>
        <w:rPr>
          <w:b/>
          <w:color w:val="auto"/>
        </w:rPr>
        <w:t>无效响应</w:t>
      </w:r>
      <w:r>
        <w:rPr>
          <w:color w:val="auto"/>
        </w:rPr>
        <w:t>。</w:t>
      </w:r>
    </w:p>
    <w:p w14:paraId="2E2E1E02">
      <w:pPr>
        <w:pStyle w:val="17"/>
        <w:numPr>
          <w:ilvl w:val="0"/>
          <w:numId w:val="35"/>
        </w:numPr>
        <w:ind w:left="0" w:leftChars="0" w:firstLine="480" w:firstLineChars="0"/>
        <w:rPr>
          <w:b w:val="0"/>
          <w:color w:val="auto"/>
        </w:rPr>
      </w:pPr>
      <w:r>
        <w:rPr>
          <w:color w:val="auto"/>
        </w:rPr>
        <w:t>除询价通知书有特殊要求外，本项目响应所使用的计量单位，应采用中华人民共和国法定计量单位。</w:t>
      </w:r>
    </w:p>
    <w:p w14:paraId="5A1BDE48">
      <w:pPr>
        <w:pStyle w:val="17"/>
        <w:numPr>
          <w:ilvl w:val="0"/>
          <w:numId w:val="35"/>
        </w:numPr>
        <w:ind w:left="0" w:leftChars="0" w:firstLine="480" w:firstLineChars="0"/>
        <w:rPr>
          <w:b w:val="0"/>
          <w:color w:val="auto"/>
        </w:rPr>
      </w:pPr>
      <w:r>
        <w:rPr>
          <w:color w:val="auto"/>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4137BAB7">
      <w:pPr>
        <w:pStyle w:val="4"/>
        <w:numPr>
          <w:ilvl w:val="0"/>
          <w:numId w:val="34"/>
        </w:numPr>
        <w:ind w:left="0" w:leftChars="0" w:firstLine="0" w:firstLineChars="0"/>
        <w:rPr>
          <w:b w:val="0"/>
          <w:color w:val="auto"/>
        </w:rPr>
      </w:pPr>
      <w:bookmarkStart w:id="236" w:name="_Toc151193626"/>
      <w:bookmarkStart w:id="237" w:name="_Toc127151528"/>
      <w:bookmarkStart w:id="238" w:name="_Toc164351622"/>
      <w:bookmarkStart w:id="239" w:name="_Toc305158796"/>
      <w:bookmarkStart w:id="240" w:name="_Toc226309772"/>
      <w:bookmarkStart w:id="241" w:name="_Toc151193770"/>
      <w:bookmarkStart w:id="242" w:name="_Toc127151729"/>
      <w:bookmarkStart w:id="243" w:name="_Toc142311030"/>
      <w:bookmarkStart w:id="244" w:name="_Toc150509279"/>
      <w:bookmarkStart w:id="245" w:name="_Toc164608642"/>
      <w:bookmarkStart w:id="246" w:name="_Toc195842893"/>
      <w:bookmarkStart w:id="247" w:name="_Toc305158870"/>
      <w:bookmarkStart w:id="248" w:name="_Toc264969218"/>
      <w:bookmarkStart w:id="249" w:name="_Toc151190155"/>
      <w:bookmarkStart w:id="250" w:name="_Toc151193842"/>
      <w:bookmarkStart w:id="251" w:name="_Toc149720821"/>
      <w:bookmarkStart w:id="252" w:name="_Toc127161442"/>
      <w:bookmarkStart w:id="253" w:name="_Toc164229223"/>
      <w:bookmarkStart w:id="254" w:name="_Toc150480766"/>
      <w:bookmarkStart w:id="255" w:name="_Toc226965718"/>
      <w:bookmarkStart w:id="256" w:name="_Toc164229369"/>
      <w:bookmarkStart w:id="257" w:name="_Toc150774733"/>
      <w:bookmarkStart w:id="258" w:name="_Toc265228366"/>
      <w:bookmarkStart w:id="259" w:name="_Toc150774628"/>
      <w:bookmarkStart w:id="260" w:name="_Toc520356152"/>
      <w:bookmarkStart w:id="261" w:name="_Toc151193916"/>
      <w:bookmarkStart w:id="262" w:name="_Toc164608797"/>
      <w:bookmarkStart w:id="263" w:name="_Toc226337224"/>
      <w:bookmarkStart w:id="264" w:name="_Toc226965801"/>
      <w:bookmarkStart w:id="265" w:name="_Toc151193698"/>
      <w:r>
        <w:rPr>
          <w:color w:val="auto"/>
        </w:rPr>
        <w:t>响应文件构成</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14:paraId="1638CBC6">
      <w:pPr>
        <w:pStyle w:val="17"/>
        <w:numPr>
          <w:ilvl w:val="0"/>
          <w:numId w:val="36"/>
        </w:numPr>
        <w:ind w:left="0" w:leftChars="0" w:firstLine="480" w:firstLineChars="0"/>
        <w:rPr>
          <w:b w:val="0"/>
          <w:color w:val="auto"/>
        </w:rPr>
      </w:pPr>
      <w:bookmarkStart w:id="266" w:name="_Ref467052588"/>
      <w:r>
        <w:rPr>
          <w:color w:val="auto"/>
        </w:rPr>
        <w:t>供应商应当按照询价通知书的要求编制响应文件。响应文件的部分格式要求，见第六章《响应文件格式》。</w:t>
      </w:r>
    </w:p>
    <w:p w14:paraId="18A50605">
      <w:pPr>
        <w:pStyle w:val="17"/>
        <w:numPr>
          <w:ilvl w:val="0"/>
          <w:numId w:val="36"/>
        </w:numPr>
        <w:ind w:left="0" w:leftChars="0" w:firstLine="480" w:firstLineChars="0"/>
        <w:rPr>
          <w:b w:val="0"/>
          <w:color w:val="auto"/>
        </w:rPr>
      </w:pPr>
      <w:r>
        <w:rPr>
          <w:color w:val="auto"/>
        </w:rPr>
        <w:t>对于询价通知书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b/>
          <w:color w:val="auto"/>
        </w:rPr>
        <w:t>响应无效</w:t>
      </w:r>
      <w:r>
        <w:rPr>
          <w:color w:val="auto"/>
        </w:rPr>
        <w:t>。未标记“实质性格式”的文件和询价通知书未提供格式的内容，可由供应商自行编写。</w:t>
      </w:r>
    </w:p>
    <w:p w14:paraId="2C25668F">
      <w:pPr>
        <w:pStyle w:val="17"/>
        <w:numPr>
          <w:ilvl w:val="0"/>
          <w:numId w:val="36"/>
        </w:numPr>
        <w:ind w:left="0" w:leftChars="0" w:firstLine="480" w:firstLineChars="0"/>
        <w:rPr>
          <w:b w:val="0"/>
          <w:color w:val="auto"/>
        </w:rPr>
      </w:pPr>
      <w:r>
        <w:rPr>
          <w:color w:val="auto"/>
        </w:rPr>
        <w:t>第三章《评审程序和评定成交的标准》中涉及的证明文件。</w:t>
      </w:r>
    </w:p>
    <w:p w14:paraId="052FD600">
      <w:pPr>
        <w:pStyle w:val="17"/>
        <w:numPr>
          <w:ilvl w:val="0"/>
          <w:numId w:val="36"/>
        </w:numPr>
        <w:ind w:left="0" w:leftChars="0" w:firstLine="480" w:firstLineChars="0"/>
        <w:rPr>
          <w:b w:val="0"/>
          <w:color w:val="auto"/>
        </w:rPr>
      </w:pPr>
      <w:r>
        <w:rPr>
          <w:color w:val="auto"/>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444A83AD">
      <w:pPr>
        <w:pStyle w:val="17"/>
        <w:numPr>
          <w:ilvl w:val="0"/>
          <w:numId w:val="36"/>
        </w:numPr>
        <w:ind w:left="0" w:leftChars="0" w:firstLine="480" w:firstLineChars="0"/>
        <w:rPr>
          <w:b w:val="0"/>
          <w:color w:val="auto"/>
        </w:rPr>
      </w:pPr>
      <w:r>
        <w:rPr>
          <w:color w:val="auto"/>
        </w:rPr>
        <w:t>供应商认为应附的其他材料。</w:t>
      </w:r>
      <w:bookmarkEnd w:id="266"/>
    </w:p>
    <w:p w14:paraId="2AB7E51B">
      <w:pPr>
        <w:pStyle w:val="4"/>
        <w:numPr>
          <w:ilvl w:val="0"/>
          <w:numId w:val="34"/>
        </w:numPr>
        <w:ind w:left="0" w:leftChars="0" w:firstLine="0" w:firstLineChars="0"/>
        <w:rPr>
          <w:b w:val="0"/>
          <w:color w:val="auto"/>
        </w:rPr>
      </w:pPr>
      <w:bookmarkStart w:id="267" w:name="_Toc150480768"/>
      <w:bookmarkStart w:id="268" w:name="_Toc151190157"/>
      <w:bookmarkStart w:id="269" w:name="_Toc150509281"/>
      <w:bookmarkStart w:id="270" w:name="_Toc151193918"/>
      <w:bookmarkStart w:id="271" w:name="_Toc151193700"/>
      <w:bookmarkStart w:id="272" w:name="_Toc150774630"/>
      <w:bookmarkStart w:id="273" w:name="_Toc149720823"/>
      <w:bookmarkStart w:id="274" w:name="_Toc127161444"/>
      <w:bookmarkStart w:id="275" w:name="_Toc150774735"/>
      <w:bookmarkStart w:id="276" w:name="_Toc127151731"/>
      <w:bookmarkStart w:id="277" w:name="_Toc164351624"/>
      <w:bookmarkStart w:id="278" w:name="_Toc164608644"/>
      <w:bookmarkStart w:id="279" w:name="_Toc164229371"/>
      <w:bookmarkStart w:id="280" w:name="_Toc164608799"/>
      <w:bookmarkStart w:id="281" w:name="_Toc151193628"/>
      <w:bookmarkStart w:id="282" w:name="_Toc195842895"/>
      <w:bookmarkStart w:id="283" w:name="_Toc151193772"/>
      <w:bookmarkStart w:id="284" w:name="_Toc151193844"/>
      <w:bookmarkStart w:id="285" w:name="_Toc142311032"/>
      <w:bookmarkStart w:id="286" w:name="_Toc164229225"/>
      <w:bookmarkStart w:id="287" w:name="_Toc520356155"/>
      <w:bookmarkStart w:id="288" w:name="_Toc127151530"/>
      <w:r>
        <w:rPr>
          <w:color w:val="auto"/>
        </w:rPr>
        <w:t>响应文件编制</w:t>
      </w:r>
    </w:p>
    <w:p w14:paraId="23FA3C34">
      <w:pPr>
        <w:pStyle w:val="17"/>
        <w:numPr>
          <w:ilvl w:val="0"/>
          <w:numId w:val="37"/>
        </w:numPr>
        <w:ind w:left="0" w:leftChars="0" w:firstLine="480" w:firstLineChars="0"/>
        <w:rPr>
          <w:b w:val="0"/>
          <w:color w:val="auto"/>
        </w:rPr>
      </w:pPr>
      <w:r>
        <w:rPr>
          <w:color w:val="auto"/>
        </w:rPr>
        <w:t>供应商应仔细阅读询价通知书，在充分了解采购需求的内容、技术参数、标准要求和商务条款以及实质性要求和条件后，编写响应文件。</w:t>
      </w:r>
    </w:p>
    <w:p w14:paraId="6E82A0A7">
      <w:pPr>
        <w:pStyle w:val="17"/>
        <w:numPr>
          <w:ilvl w:val="0"/>
          <w:numId w:val="37"/>
        </w:numPr>
        <w:ind w:left="0" w:leftChars="0" w:firstLine="480" w:firstLineChars="0"/>
        <w:rPr>
          <w:b w:val="0"/>
          <w:color w:val="auto"/>
        </w:rPr>
      </w:pPr>
      <w:r>
        <w:rPr>
          <w:color w:val="auto"/>
        </w:rPr>
        <w:t>对询价通知书的实质性要求和条件作出响应是指供应商必须对询价通知书中标注为实质性要求和条件的需求、商务条款及其它内容作出满足或者优于原要求和条件的承诺。</w:t>
      </w:r>
    </w:p>
    <w:p w14:paraId="0F8CB344">
      <w:pPr>
        <w:pStyle w:val="17"/>
        <w:numPr>
          <w:ilvl w:val="0"/>
          <w:numId w:val="37"/>
        </w:numPr>
        <w:ind w:left="0" w:leftChars="0" w:firstLine="480" w:firstLineChars="0"/>
        <w:rPr>
          <w:b w:val="0"/>
          <w:color w:val="auto"/>
        </w:rPr>
      </w:pPr>
      <w:r>
        <w:rPr>
          <w:color w:val="auto"/>
        </w:rPr>
        <w:t>询价通知书中带★号指标为实质性要求和条件。</w:t>
      </w:r>
    </w:p>
    <w:p w14:paraId="75EA1E48">
      <w:pPr>
        <w:pStyle w:val="17"/>
        <w:numPr>
          <w:ilvl w:val="0"/>
          <w:numId w:val="37"/>
        </w:numPr>
        <w:ind w:left="0" w:leftChars="0" w:firstLine="480" w:firstLineChars="0"/>
        <w:rPr>
          <w:b w:val="0"/>
          <w:color w:val="auto"/>
        </w:rPr>
      </w:pPr>
      <w:r>
        <w:rPr>
          <w:color w:val="auto"/>
        </w:rPr>
        <w:t>响应文件应用不褪色的材料书写或打印，保证其清楚、工整，相关材料的复印件应清晰可辨认。响应文件字迹潦草、表达不清、模糊无法辨认而导致非唯一理解将可能被评标委员会视作</w:t>
      </w:r>
      <w:r>
        <w:rPr>
          <w:b/>
          <w:color w:val="auto"/>
        </w:rPr>
        <w:t>响应无效</w:t>
      </w:r>
      <w:r>
        <w:rPr>
          <w:color w:val="auto"/>
        </w:rPr>
        <w:t>。</w:t>
      </w:r>
    </w:p>
    <w:p w14:paraId="2F13728D">
      <w:pPr>
        <w:pStyle w:val="17"/>
        <w:numPr>
          <w:ilvl w:val="0"/>
          <w:numId w:val="37"/>
        </w:numPr>
        <w:ind w:left="0" w:leftChars="0" w:firstLine="480" w:firstLineChars="0"/>
        <w:rPr>
          <w:b w:val="0"/>
          <w:color w:val="auto"/>
        </w:rPr>
      </w:pPr>
      <w:r>
        <w:rPr>
          <w:color w:val="auto"/>
        </w:rPr>
        <w:t>响应文件应由供应商的法定代表人（或其委托代理人）在凡规定签章处逐一签字（或签章）并加盖单位公章。响应文件应尽量避免涂改、行间插字或删除。如果出现上述情况，改动之处应加盖单位公章或由供应商的法定代表人（或其委托代理人）签字确认，否则视作</w:t>
      </w:r>
      <w:r>
        <w:rPr>
          <w:b/>
          <w:color w:val="auto"/>
        </w:rPr>
        <w:t>响应无效</w:t>
      </w:r>
      <w:r>
        <w:rPr>
          <w:color w:val="auto"/>
        </w:rPr>
        <w:t>。</w:t>
      </w:r>
    </w:p>
    <w:p w14:paraId="7C98322C">
      <w:pPr>
        <w:pStyle w:val="17"/>
        <w:numPr>
          <w:ilvl w:val="0"/>
          <w:numId w:val="37"/>
        </w:numPr>
        <w:ind w:left="0" w:leftChars="0" w:firstLine="480" w:firstLineChars="0"/>
        <w:rPr>
          <w:b w:val="0"/>
          <w:color w:val="auto"/>
        </w:rPr>
      </w:pPr>
      <w:r>
        <w:rPr>
          <w:color w:val="auto"/>
        </w:rPr>
        <w:t>响应文件应编制目录，按顺序将响应文件装订成册，每页下方按顺序居中编制数字页码</w:t>
      </w:r>
      <w:r>
        <w:rPr>
          <w:rFonts w:hint="eastAsia"/>
          <w:color w:val="auto"/>
          <w:lang w:eastAsia="zh-CN"/>
        </w:rPr>
        <w:t>。</w:t>
      </w:r>
    </w:p>
    <w:p w14:paraId="238D341C">
      <w:pPr>
        <w:pStyle w:val="4"/>
        <w:numPr>
          <w:ilvl w:val="0"/>
          <w:numId w:val="34"/>
        </w:numPr>
        <w:ind w:left="0" w:leftChars="0" w:firstLine="0" w:firstLineChars="0"/>
        <w:rPr>
          <w:b w:val="0"/>
          <w:color w:val="auto"/>
        </w:rPr>
      </w:pPr>
      <w:r>
        <w:rPr>
          <w:color w:val="auto"/>
        </w:rPr>
        <w:t>报价</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14:paraId="111189E7">
      <w:pPr>
        <w:pStyle w:val="17"/>
        <w:numPr>
          <w:ilvl w:val="0"/>
          <w:numId w:val="38"/>
        </w:numPr>
        <w:ind w:left="0" w:leftChars="0" w:firstLine="480" w:firstLineChars="0"/>
        <w:rPr>
          <w:b w:val="0"/>
          <w:color w:val="auto"/>
        </w:rPr>
      </w:pPr>
      <w:r>
        <w:rPr>
          <w:color w:val="auto"/>
        </w:rPr>
        <w:t>所有响应均以人民币报价。</w:t>
      </w:r>
    </w:p>
    <w:p w14:paraId="2A4ADE0B">
      <w:pPr>
        <w:pStyle w:val="17"/>
        <w:numPr>
          <w:ilvl w:val="0"/>
          <w:numId w:val="38"/>
        </w:numPr>
        <w:ind w:left="0" w:leftChars="0" w:firstLine="480" w:firstLineChars="0"/>
        <w:rPr>
          <w:b w:val="0"/>
          <w:color w:val="auto"/>
        </w:rPr>
      </w:pPr>
      <w:r>
        <w:rPr>
          <w:color w:val="auto"/>
        </w:rPr>
        <w:t>供应商应包括为完成本项目所发生的一切费用和税费，采购人将不再支付报价以外的任何费用。供应商的报价应包括但不限于下列内容，《供应商须知资料表》中有特殊规定的，从其规定。</w:t>
      </w:r>
    </w:p>
    <w:p w14:paraId="31C4F048">
      <w:pPr>
        <w:pStyle w:val="17"/>
        <w:numPr>
          <w:ilvl w:val="0"/>
          <w:numId w:val="39"/>
        </w:numPr>
        <w:ind w:left="0" w:leftChars="0" w:firstLine="480" w:firstLineChars="0"/>
        <w:rPr>
          <w:b w:val="0"/>
          <w:color w:val="auto"/>
        </w:rPr>
      </w:pPr>
      <w:r>
        <w:rPr>
          <w:color w:val="auto"/>
        </w:rPr>
        <w:t>响应货物及其备品、备件和专用工具费用、土建配合费、税费及包装、运至最终目的地的运输、保险、现场吊装、检测验收、安装调试、技术支持与培训、售后服务与维保及相关劳务支出等工作所发生的全部费用以及供应商企业利润、税金和政策性文件规定及合同包含的所有风险、责任等各项应有费用。供应商所报价格在合同实施期间不因市场变化因素而变动。</w:t>
      </w:r>
    </w:p>
    <w:p w14:paraId="161EA520">
      <w:pPr>
        <w:pStyle w:val="17"/>
        <w:numPr>
          <w:ilvl w:val="0"/>
          <w:numId w:val="39"/>
        </w:numPr>
        <w:ind w:left="0" w:leftChars="0" w:firstLine="480" w:firstLineChars="0"/>
        <w:rPr>
          <w:b w:val="0"/>
          <w:color w:val="auto"/>
        </w:rPr>
      </w:pPr>
      <w:r>
        <w:rPr>
          <w:color w:val="auto"/>
        </w:rPr>
        <w:t>供应商提供的所有产品的质量必须符合产品标准或行业标准，并符合出厂检验标准。响应单位应保证商品为全新、未使用的符合国家质量标准的合格品。</w:t>
      </w:r>
    </w:p>
    <w:p w14:paraId="1C64E4E2">
      <w:pPr>
        <w:pStyle w:val="17"/>
        <w:numPr>
          <w:ilvl w:val="0"/>
          <w:numId w:val="39"/>
        </w:numPr>
        <w:ind w:left="0" w:leftChars="0" w:firstLine="480" w:firstLineChars="0"/>
        <w:rPr>
          <w:b w:val="0"/>
          <w:color w:val="auto"/>
        </w:rPr>
      </w:pPr>
      <w:r>
        <w:rPr>
          <w:color w:val="auto"/>
        </w:rPr>
        <w:t>按照询价通知要求完成本项目的全部相关工程或服务费用。</w:t>
      </w:r>
    </w:p>
    <w:p w14:paraId="6F813333">
      <w:pPr>
        <w:pStyle w:val="17"/>
        <w:numPr>
          <w:ilvl w:val="0"/>
          <w:numId w:val="38"/>
        </w:numPr>
        <w:ind w:left="0" w:leftChars="0" w:firstLine="480" w:firstLineChars="0"/>
        <w:rPr>
          <w:b w:val="0"/>
          <w:color w:val="auto"/>
          <w:highlight w:val="none"/>
        </w:rPr>
      </w:pPr>
      <w:r>
        <w:rPr>
          <w:color w:val="auto"/>
          <w:highlight w:val="none"/>
        </w:rPr>
        <w:t>供应商应按《分项报价表》中的全部内容计算单价和总价。《分项报价表》中的每一单项均应计算并填写单价和总价。供应商未填单价或合价的项目，在实施后，采购人将不予支付，并视为该项费用已包括在其它有价款的单价或合价内。</w:t>
      </w:r>
    </w:p>
    <w:p w14:paraId="70BACF02">
      <w:pPr>
        <w:pStyle w:val="17"/>
        <w:numPr>
          <w:ilvl w:val="0"/>
          <w:numId w:val="38"/>
        </w:numPr>
        <w:ind w:left="0" w:leftChars="0" w:firstLine="480" w:firstLineChars="0"/>
        <w:rPr>
          <w:b w:val="0"/>
          <w:color w:val="auto"/>
        </w:rPr>
      </w:pPr>
      <w:r>
        <w:rPr>
          <w:color w:val="auto"/>
        </w:rPr>
        <w:t>采购人不得向供应商索要或者接受其给予的赠品、回扣或者与采购无关的其他商品、服务。</w:t>
      </w:r>
    </w:p>
    <w:p w14:paraId="368472E0">
      <w:pPr>
        <w:pStyle w:val="17"/>
        <w:numPr>
          <w:ilvl w:val="0"/>
          <w:numId w:val="38"/>
        </w:numPr>
        <w:ind w:left="0" w:leftChars="0" w:firstLine="480" w:firstLineChars="0"/>
        <w:rPr>
          <w:b w:val="0"/>
          <w:color w:val="auto"/>
        </w:rPr>
      </w:pPr>
      <w:r>
        <w:rPr>
          <w:color w:val="auto"/>
        </w:rPr>
        <w:t>供应商应当按照询价通知书的规定一次报出不得更改的价格。供应商不能提供任何有选择性或可调整的报价，否则其响应无效。</w:t>
      </w:r>
    </w:p>
    <w:p w14:paraId="5A50B87F">
      <w:pPr>
        <w:pStyle w:val="4"/>
        <w:numPr>
          <w:ilvl w:val="0"/>
          <w:numId w:val="34"/>
        </w:numPr>
        <w:ind w:left="0" w:leftChars="0" w:firstLine="0" w:firstLineChars="0"/>
        <w:rPr>
          <w:b w:val="0"/>
          <w:color w:val="auto"/>
        </w:rPr>
      </w:pPr>
      <w:r>
        <w:rPr>
          <w:color w:val="auto"/>
        </w:rPr>
        <w:t>保证金</w:t>
      </w:r>
    </w:p>
    <w:p w14:paraId="281D8944">
      <w:pPr>
        <w:pStyle w:val="17"/>
        <w:rPr>
          <w:color w:val="auto"/>
        </w:rPr>
      </w:pPr>
      <w:r>
        <w:rPr>
          <w:color w:val="auto"/>
        </w:rPr>
        <w:t>11.1根据江苏省和常州市的相关文件规定，免收保证金。</w:t>
      </w:r>
    </w:p>
    <w:p w14:paraId="73EFD532">
      <w:pPr>
        <w:pStyle w:val="4"/>
        <w:numPr>
          <w:ilvl w:val="0"/>
          <w:numId w:val="34"/>
        </w:numPr>
        <w:ind w:left="0" w:leftChars="0" w:firstLine="0" w:firstLineChars="0"/>
        <w:rPr>
          <w:b w:val="0"/>
          <w:color w:val="auto"/>
        </w:rPr>
      </w:pPr>
      <w:r>
        <w:rPr>
          <w:color w:val="auto"/>
        </w:rPr>
        <w:t>响应有效期</w:t>
      </w:r>
    </w:p>
    <w:p w14:paraId="294FEB07">
      <w:pPr>
        <w:pStyle w:val="17"/>
        <w:rPr>
          <w:color w:val="auto"/>
        </w:rPr>
      </w:pPr>
      <w:r>
        <w:rPr>
          <w:color w:val="auto"/>
        </w:rPr>
        <w:t>12.1响应文件应在本询价通知书《供应商须知资料表》中规定的响应有效期内保持有效，响应有效期少于询价通知书规定期限的，其</w:t>
      </w:r>
      <w:r>
        <w:rPr>
          <w:b/>
          <w:color w:val="auto"/>
        </w:rPr>
        <w:t>响应无效</w:t>
      </w:r>
      <w:r>
        <w:rPr>
          <w:color w:val="auto"/>
        </w:rPr>
        <w:t>。</w:t>
      </w:r>
    </w:p>
    <w:p w14:paraId="11CE107B">
      <w:pPr>
        <w:pStyle w:val="4"/>
        <w:numPr>
          <w:ilvl w:val="0"/>
          <w:numId w:val="34"/>
        </w:numPr>
        <w:ind w:left="0" w:leftChars="0" w:firstLine="0" w:firstLineChars="0"/>
        <w:rPr>
          <w:b w:val="0"/>
          <w:color w:val="auto"/>
        </w:rPr>
      </w:pPr>
      <w:bookmarkStart w:id="289" w:name="_Toc150774739"/>
      <w:bookmarkStart w:id="290" w:name="_Toc520356159"/>
      <w:bookmarkStart w:id="291" w:name="_Toc150509285"/>
      <w:bookmarkStart w:id="292" w:name="_Toc150774634"/>
      <w:bookmarkStart w:id="293" w:name="_Toc226309778"/>
      <w:bookmarkStart w:id="294" w:name="_Toc151193704"/>
      <w:bookmarkStart w:id="295" w:name="_Toc151193632"/>
      <w:bookmarkStart w:id="296" w:name="_Toc226337230"/>
      <w:bookmarkStart w:id="297" w:name="_Toc226965724"/>
      <w:bookmarkStart w:id="298" w:name="_Toc150480772"/>
      <w:bookmarkStart w:id="299" w:name="_Toc195842899"/>
      <w:bookmarkStart w:id="300" w:name="_Toc151190161"/>
      <w:bookmarkStart w:id="301" w:name="_Toc264969224"/>
      <w:bookmarkStart w:id="302" w:name="_Toc305158876"/>
      <w:bookmarkStart w:id="303" w:name="_Toc265228372"/>
      <w:bookmarkStart w:id="304" w:name="_Toc142311036"/>
      <w:bookmarkStart w:id="305" w:name="_Toc151193776"/>
      <w:bookmarkStart w:id="306" w:name="_Toc226965807"/>
      <w:bookmarkStart w:id="307" w:name="_Toc305158802"/>
      <w:bookmarkStart w:id="308" w:name="_Toc151193922"/>
      <w:bookmarkStart w:id="309" w:name="_Toc127151534"/>
      <w:bookmarkStart w:id="310" w:name="_Toc151193848"/>
      <w:r>
        <w:rPr>
          <w:color w:val="auto"/>
        </w:rPr>
        <w:t>响应文件的密封</w:t>
      </w:r>
    </w:p>
    <w:p w14:paraId="31733AD6">
      <w:pPr>
        <w:pStyle w:val="17"/>
        <w:numPr>
          <w:ilvl w:val="0"/>
          <w:numId w:val="40"/>
        </w:numPr>
        <w:ind w:left="0" w:leftChars="0" w:firstLine="480" w:firstLineChars="0"/>
        <w:rPr>
          <w:b w:val="0"/>
          <w:color w:val="auto"/>
        </w:rPr>
      </w:pPr>
      <w:r>
        <w:rPr>
          <w:rFonts w:hint="eastAsia"/>
          <w:color w:val="auto"/>
          <w:lang w:val="en-US" w:eastAsia="zh-CN"/>
        </w:rPr>
        <w:t>本项目采用不见面交易方式，无需到现场提交。</w:t>
      </w:r>
    </w:p>
    <w:p w14:paraId="06B41B88">
      <w:pPr>
        <w:pStyle w:val="3"/>
        <w:numPr>
          <w:ilvl w:val="0"/>
          <w:numId w:val="19"/>
        </w:numPr>
        <w:ind w:left="0" w:leftChars="0" w:firstLine="0" w:firstLineChars="0"/>
        <w:rPr>
          <w:b w:val="0"/>
          <w:color w:val="auto"/>
        </w:rPr>
      </w:pPr>
      <w:r>
        <w:rPr>
          <w:color w:val="auto"/>
        </w:rPr>
        <w:t>响应文件的提交</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14:paraId="70C14707">
      <w:pPr>
        <w:pStyle w:val="4"/>
        <w:numPr>
          <w:ilvl w:val="0"/>
          <w:numId w:val="41"/>
        </w:numPr>
        <w:ind w:left="0" w:leftChars="0" w:firstLine="0" w:firstLineChars="0"/>
        <w:rPr>
          <w:b w:val="0"/>
          <w:color w:val="auto"/>
        </w:rPr>
      </w:pPr>
      <w:bookmarkStart w:id="311" w:name="_Toc226965808"/>
      <w:bookmarkStart w:id="312" w:name="_Toc305158803"/>
      <w:bookmarkStart w:id="313" w:name="_Toc264969225"/>
      <w:bookmarkStart w:id="314" w:name="_Toc151193923"/>
      <w:bookmarkStart w:id="315" w:name="_Toc150774740"/>
      <w:bookmarkStart w:id="316" w:name="_Toc195842900"/>
      <w:bookmarkStart w:id="317" w:name="_Toc149720828"/>
      <w:bookmarkStart w:id="318" w:name="_Toc127161449"/>
      <w:bookmarkStart w:id="319" w:name="_Toc305158877"/>
      <w:bookmarkStart w:id="320" w:name="_Toc151193849"/>
      <w:bookmarkStart w:id="321" w:name="_Toc127151535"/>
      <w:bookmarkStart w:id="322" w:name="_Toc150480773"/>
      <w:bookmarkStart w:id="323" w:name="_Toc127151736"/>
      <w:bookmarkStart w:id="324" w:name="_Toc226309779"/>
      <w:bookmarkStart w:id="325" w:name="_Toc150509286"/>
      <w:bookmarkStart w:id="326" w:name="_Toc164608804"/>
      <w:bookmarkStart w:id="327" w:name="_Toc150774635"/>
      <w:bookmarkStart w:id="328" w:name="_Toc226337231"/>
      <w:bookmarkStart w:id="329" w:name="_Toc520356160"/>
      <w:bookmarkStart w:id="330" w:name="_Toc151190162"/>
      <w:bookmarkStart w:id="331" w:name="_Toc164608649"/>
      <w:bookmarkStart w:id="332" w:name="_Toc151193705"/>
      <w:bookmarkStart w:id="333" w:name="_Toc151193777"/>
      <w:bookmarkStart w:id="334" w:name="_Toc265228373"/>
      <w:bookmarkStart w:id="335" w:name="_Toc164229230"/>
      <w:bookmarkStart w:id="336" w:name="_Toc226965725"/>
      <w:bookmarkStart w:id="337" w:name="_Toc142311037"/>
      <w:bookmarkStart w:id="338" w:name="_Toc164351629"/>
      <w:bookmarkStart w:id="339" w:name="_Toc151193633"/>
      <w:bookmarkStart w:id="340" w:name="_Toc164229376"/>
      <w:r>
        <w:rPr>
          <w:color w:val="auto"/>
        </w:rPr>
        <w:t>响应文件的</w:t>
      </w:r>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r>
        <w:rPr>
          <w:color w:val="auto"/>
        </w:rPr>
        <w:t>提交</w:t>
      </w:r>
    </w:p>
    <w:p w14:paraId="6031580A">
      <w:pPr>
        <w:pStyle w:val="17"/>
        <w:numPr>
          <w:ilvl w:val="0"/>
          <w:numId w:val="42"/>
        </w:numPr>
        <w:ind w:left="0" w:leftChars="0" w:firstLine="480" w:firstLineChars="0"/>
        <w:rPr>
          <w:b w:val="0"/>
          <w:color w:val="auto"/>
        </w:rPr>
      </w:pPr>
      <w:bookmarkStart w:id="341" w:name="_Toc151190163"/>
      <w:bookmarkStart w:id="342" w:name="_Toc151193706"/>
      <w:bookmarkStart w:id="343" w:name="_Toc151193924"/>
      <w:bookmarkStart w:id="344" w:name="_Toc149720829"/>
      <w:bookmarkStart w:id="345" w:name="_Toc305158804"/>
      <w:bookmarkStart w:id="346" w:name="_Toc127151536"/>
      <w:bookmarkStart w:id="347" w:name="_Toc151193850"/>
      <w:bookmarkStart w:id="348" w:name="_Toc142311038"/>
      <w:bookmarkStart w:id="349" w:name="_Toc150509287"/>
      <w:bookmarkStart w:id="350" w:name="_Toc164351630"/>
      <w:bookmarkStart w:id="351" w:name="_Toc264969226"/>
      <w:bookmarkStart w:id="352" w:name="_Toc195842901"/>
      <w:bookmarkStart w:id="353" w:name="_Toc226309780"/>
      <w:bookmarkStart w:id="354" w:name="_Toc151193634"/>
      <w:bookmarkStart w:id="355" w:name="_Toc164229231"/>
      <w:bookmarkStart w:id="356" w:name="_Toc164229377"/>
      <w:bookmarkStart w:id="357" w:name="_Toc164608805"/>
      <w:bookmarkStart w:id="358" w:name="_Toc150774636"/>
      <w:bookmarkStart w:id="359" w:name="_Toc127151737"/>
      <w:bookmarkStart w:id="360" w:name="_Toc520356161"/>
      <w:bookmarkStart w:id="361" w:name="_Toc265228374"/>
      <w:bookmarkStart w:id="362" w:name="_Toc305158878"/>
      <w:bookmarkStart w:id="363" w:name="_Toc127161450"/>
      <w:bookmarkStart w:id="364" w:name="_Toc150480774"/>
      <w:bookmarkStart w:id="365" w:name="_Toc164608650"/>
      <w:bookmarkStart w:id="366" w:name="_Toc150774741"/>
      <w:bookmarkStart w:id="367" w:name="_Toc151193778"/>
      <w:bookmarkStart w:id="368" w:name="_Toc226965809"/>
      <w:bookmarkStart w:id="369" w:name="_Toc226337232"/>
      <w:bookmarkStart w:id="370" w:name="_Toc226965726"/>
      <w:r>
        <w:rPr>
          <w:color w:val="auto"/>
        </w:rPr>
        <w:t>供应商提交响应文件截止时间（开启时间）：见“第一章 采购邀请”。</w:t>
      </w:r>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p w14:paraId="04AAEA17">
      <w:pPr>
        <w:pStyle w:val="17"/>
        <w:numPr>
          <w:ilvl w:val="0"/>
          <w:numId w:val="42"/>
        </w:numPr>
        <w:ind w:left="0" w:leftChars="0" w:firstLine="480" w:firstLineChars="0"/>
        <w:rPr>
          <w:b w:val="0"/>
          <w:color w:val="auto"/>
        </w:rPr>
      </w:pPr>
      <w:r>
        <w:rPr>
          <w:color w:val="auto"/>
        </w:rPr>
        <w:t>供应商提交响应文件地点：见“第一章 采购邀请”。</w:t>
      </w:r>
    </w:p>
    <w:p w14:paraId="78AB6715">
      <w:pPr>
        <w:pStyle w:val="4"/>
        <w:numPr>
          <w:ilvl w:val="0"/>
          <w:numId w:val="41"/>
        </w:numPr>
        <w:ind w:left="0" w:leftChars="0" w:firstLine="0" w:firstLineChars="0"/>
        <w:rPr>
          <w:b w:val="0"/>
          <w:color w:val="auto"/>
        </w:rPr>
      </w:pPr>
      <w:r>
        <w:rPr>
          <w:color w:val="auto"/>
        </w:rPr>
        <w:t>响应文件截止时间</w:t>
      </w:r>
    </w:p>
    <w:p w14:paraId="31BB36C2">
      <w:pPr>
        <w:pStyle w:val="17"/>
        <w:rPr>
          <w:color w:val="auto"/>
        </w:rPr>
      </w:pPr>
      <w:r>
        <w:rPr>
          <w:color w:val="auto"/>
        </w:rPr>
        <w:t>15.1供应商应在询价通知书要求的提交响应文件截止时间前，送交至指定地点。</w:t>
      </w:r>
    </w:p>
    <w:p w14:paraId="287A96A7">
      <w:pPr>
        <w:pStyle w:val="4"/>
        <w:numPr>
          <w:ilvl w:val="0"/>
          <w:numId w:val="41"/>
        </w:numPr>
        <w:ind w:left="0" w:leftChars="0" w:firstLine="0" w:firstLineChars="0"/>
        <w:rPr>
          <w:b w:val="0"/>
          <w:color w:val="auto"/>
        </w:rPr>
      </w:pPr>
      <w:bookmarkStart w:id="371" w:name="_Toc226309781"/>
      <w:bookmarkStart w:id="372" w:name="_Toc164229232"/>
      <w:bookmarkStart w:id="373" w:name="_Toc150480775"/>
      <w:bookmarkStart w:id="374" w:name="_Toc305158879"/>
      <w:bookmarkStart w:id="375" w:name="_Toc150509288"/>
      <w:bookmarkStart w:id="376" w:name="_Toc151193779"/>
      <w:bookmarkStart w:id="377" w:name="_Toc164229378"/>
      <w:bookmarkStart w:id="378" w:name="_Toc151193707"/>
      <w:bookmarkStart w:id="379" w:name="_Toc264969227"/>
      <w:bookmarkStart w:id="380" w:name="_Toc150774637"/>
      <w:bookmarkStart w:id="381" w:name="_Toc164608651"/>
      <w:bookmarkStart w:id="382" w:name="_Toc226965810"/>
      <w:bookmarkStart w:id="383" w:name="_Toc195842902"/>
      <w:bookmarkStart w:id="384" w:name="_Toc226337233"/>
      <w:bookmarkStart w:id="385" w:name="_Toc127161451"/>
      <w:bookmarkStart w:id="386" w:name="_Toc150774742"/>
      <w:bookmarkStart w:id="387" w:name="_Toc142311039"/>
      <w:bookmarkStart w:id="388" w:name="_Toc151193851"/>
      <w:bookmarkStart w:id="389" w:name="_Toc226965727"/>
      <w:bookmarkStart w:id="390" w:name="_Toc164351631"/>
      <w:bookmarkStart w:id="391" w:name="_Toc151193635"/>
      <w:bookmarkStart w:id="392" w:name="_Toc151190164"/>
      <w:bookmarkStart w:id="393" w:name="_Toc164608806"/>
      <w:bookmarkStart w:id="394" w:name="_Toc127151738"/>
      <w:bookmarkStart w:id="395" w:name="_Toc520356162"/>
      <w:bookmarkStart w:id="396" w:name="_Toc305158805"/>
      <w:bookmarkStart w:id="397" w:name="_Toc151193925"/>
      <w:bookmarkStart w:id="398" w:name="_Toc127151537"/>
      <w:bookmarkStart w:id="399" w:name="_Toc265228375"/>
      <w:bookmarkStart w:id="400" w:name="_Toc149720830"/>
      <w:r>
        <w:rPr>
          <w:color w:val="auto"/>
        </w:rPr>
        <w:t>响应文件的修改与撤回</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p>
    <w:p w14:paraId="41526B13">
      <w:pPr>
        <w:pStyle w:val="17"/>
        <w:rPr>
          <w:color w:val="auto"/>
        </w:rPr>
      </w:pPr>
      <w:r>
        <w:rPr>
          <w:color w:val="auto"/>
        </w:rPr>
        <w:t>16.1提交响应文件截止时间前，供应商可以对所提交的响应文件进行补充、修改或者撤回，并书面通知采购人或者采购代理机构。补充、修改的内容应当按照竞争性磋商文件要求签署、盖章，作为响应文件的组成部分。</w:t>
      </w:r>
    </w:p>
    <w:p w14:paraId="3E013BAA">
      <w:pPr>
        <w:spacing w:line="360" w:lineRule="auto"/>
        <w:rPr>
          <w:color w:val="auto"/>
          <w:sz w:val="24"/>
        </w:rPr>
      </w:pPr>
    </w:p>
    <w:p w14:paraId="2FCD8520">
      <w:pPr>
        <w:pStyle w:val="3"/>
        <w:numPr>
          <w:ilvl w:val="0"/>
          <w:numId w:val="19"/>
        </w:numPr>
        <w:ind w:left="0" w:leftChars="0" w:firstLine="0" w:firstLineChars="0"/>
        <w:rPr>
          <w:b w:val="0"/>
          <w:color w:val="auto"/>
        </w:rPr>
      </w:pPr>
      <w:r>
        <w:rPr>
          <w:color w:val="auto"/>
        </w:rPr>
        <w:t>评审</w:t>
      </w:r>
    </w:p>
    <w:p w14:paraId="47DBD065">
      <w:pPr>
        <w:pStyle w:val="4"/>
        <w:numPr>
          <w:ilvl w:val="0"/>
          <w:numId w:val="43"/>
        </w:numPr>
        <w:ind w:left="0" w:leftChars="0" w:firstLine="0" w:firstLineChars="0"/>
        <w:rPr>
          <w:b w:val="0"/>
          <w:color w:val="auto"/>
        </w:rPr>
      </w:pPr>
      <w:r>
        <w:rPr>
          <w:color w:val="auto"/>
        </w:rPr>
        <w:t>开启</w:t>
      </w:r>
    </w:p>
    <w:p w14:paraId="56FE0619">
      <w:pPr>
        <w:pStyle w:val="17"/>
        <w:numPr>
          <w:ilvl w:val="0"/>
          <w:numId w:val="44"/>
        </w:numPr>
        <w:ind w:left="0" w:leftChars="0" w:firstLine="480" w:firstLineChars="0"/>
        <w:rPr>
          <w:b w:val="0"/>
          <w:color w:val="auto"/>
        </w:rPr>
      </w:pPr>
      <w:r>
        <w:rPr>
          <w:color w:val="auto"/>
        </w:rPr>
        <w:t>采购人或采购代理机构将按询价通知书的规定，在提交响应文件截止时间的同一时间和《供应商须知资料表》约定的地点组织开启。</w:t>
      </w:r>
      <w:bookmarkStart w:id="401" w:name="_Toc520356165"/>
    </w:p>
    <w:p w14:paraId="0C94868B">
      <w:pPr>
        <w:pStyle w:val="17"/>
        <w:numPr>
          <w:ilvl w:val="0"/>
          <w:numId w:val="44"/>
        </w:numPr>
        <w:ind w:left="0" w:leftChars="0" w:firstLine="480" w:firstLineChars="0"/>
        <w:rPr>
          <w:b w:val="0"/>
          <w:color w:val="auto"/>
        </w:rPr>
      </w:pPr>
      <w:r>
        <w:rPr>
          <w:color w:val="auto"/>
        </w:rPr>
        <w:t>本项目不公开报价。</w:t>
      </w:r>
    </w:p>
    <w:p w14:paraId="31480E23">
      <w:pPr>
        <w:tabs>
          <w:tab w:val="left" w:pos="1080"/>
          <w:tab w:val="left" w:pos="1589"/>
          <w:tab w:val="left" w:pos="2014"/>
        </w:tabs>
        <w:snapToGrid w:val="0"/>
        <w:spacing w:line="360" w:lineRule="auto"/>
        <w:rPr>
          <w:strike/>
          <w:color w:val="auto"/>
          <w:sz w:val="24"/>
        </w:rPr>
      </w:pPr>
    </w:p>
    <w:bookmarkEnd w:id="401"/>
    <w:p w14:paraId="6BBB8D27">
      <w:pPr>
        <w:pStyle w:val="4"/>
        <w:numPr>
          <w:ilvl w:val="0"/>
          <w:numId w:val="43"/>
        </w:numPr>
        <w:ind w:left="0" w:leftChars="0" w:firstLine="0" w:firstLineChars="0"/>
        <w:rPr>
          <w:b w:val="0"/>
          <w:color w:val="auto"/>
        </w:rPr>
      </w:pPr>
      <w:r>
        <w:rPr>
          <w:color w:val="auto"/>
        </w:rPr>
        <w:t>询价小组</w:t>
      </w:r>
    </w:p>
    <w:p w14:paraId="362B61D2">
      <w:pPr>
        <w:pStyle w:val="17"/>
        <w:numPr>
          <w:ilvl w:val="0"/>
          <w:numId w:val="45"/>
        </w:numPr>
        <w:ind w:left="0" w:leftChars="0" w:firstLine="480" w:firstLineChars="0"/>
        <w:rPr>
          <w:b w:val="0"/>
          <w:color w:val="auto"/>
        </w:rPr>
      </w:pPr>
      <w:r>
        <w:rPr>
          <w:color w:val="auto"/>
        </w:rPr>
        <w:t>询价小组根据政府采购有关规定和本次采购项目的特点进行组建，并负责具体评审事务，独立履行职责。</w:t>
      </w:r>
      <w:bookmarkStart w:id="402" w:name="_Toc520356166"/>
    </w:p>
    <w:p w14:paraId="64FD90B8">
      <w:pPr>
        <w:pStyle w:val="17"/>
        <w:numPr>
          <w:ilvl w:val="0"/>
          <w:numId w:val="45"/>
        </w:numPr>
        <w:ind w:left="0" w:leftChars="0" w:firstLine="480" w:firstLineChars="0"/>
        <w:rPr>
          <w:b w:val="0"/>
          <w:color w:val="auto"/>
        </w:rPr>
      </w:pPr>
      <w:r>
        <w:rPr>
          <w:color w:val="auto"/>
        </w:rPr>
        <w:t>评审专家须符合相关规定。依法自行选定评审专家的，采购人和采购代理机构将查询有关信用记录，对具有行贿、受贿、欺诈等不良信用记录的人员，拒绝其参与政府采购活动。</w:t>
      </w:r>
      <w:bookmarkEnd w:id="402"/>
      <w:bookmarkStart w:id="403" w:name="_Toc520356169"/>
    </w:p>
    <w:p w14:paraId="5CD2D706">
      <w:pPr>
        <w:pStyle w:val="4"/>
        <w:numPr>
          <w:ilvl w:val="0"/>
          <w:numId w:val="43"/>
        </w:numPr>
        <w:ind w:left="0" w:leftChars="0" w:firstLine="0" w:firstLineChars="0"/>
        <w:rPr>
          <w:b w:val="0"/>
          <w:color w:val="auto"/>
        </w:rPr>
      </w:pPr>
      <w:r>
        <w:rPr>
          <w:color w:val="auto"/>
        </w:rPr>
        <w:t>评审程序和评定成交的标准</w:t>
      </w:r>
    </w:p>
    <w:p w14:paraId="6A99E1D7">
      <w:pPr>
        <w:pStyle w:val="17"/>
        <w:rPr>
          <w:color w:val="auto"/>
        </w:rPr>
      </w:pPr>
      <w:r>
        <w:rPr>
          <w:color w:val="auto"/>
        </w:rPr>
        <w:t>19.1见第三章《评审程序和评定成交的标准》。</w:t>
      </w:r>
    </w:p>
    <w:p w14:paraId="5A8B2566">
      <w:pPr>
        <w:tabs>
          <w:tab w:val="left" w:pos="360"/>
          <w:tab w:val="left" w:pos="1080"/>
        </w:tabs>
        <w:snapToGrid w:val="0"/>
        <w:spacing w:line="360" w:lineRule="auto"/>
        <w:rPr>
          <w:color w:val="auto"/>
          <w:sz w:val="24"/>
        </w:rPr>
      </w:pPr>
    </w:p>
    <w:bookmarkEnd w:id="403"/>
    <w:p w14:paraId="3B10D84E">
      <w:pPr>
        <w:pStyle w:val="3"/>
        <w:numPr>
          <w:ilvl w:val="0"/>
          <w:numId w:val="19"/>
        </w:numPr>
        <w:ind w:left="0" w:leftChars="0" w:firstLine="0" w:firstLineChars="0"/>
        <w:rPr>
          <w:b w:val="0"/>
          <w:color w:val="auto"/>
        </w:rPr>
      </w:pPr>
      <w:bookmarkStart w:id="404" w:name="_Toc150774750"/>
      <w:bookmarkStart w:id="405" w:name="_Toc226965818"/>
      <w:bookmarkStart w:id="406" w:name="_Toc151193787"/>
      <w:bookmarkStart w:id="407" w:name="_Toc151193643"/>
      <w:bookmarkStart w:id="408" w:name="_Toc226965735"/>
      <w:bookmarkStart w:id="409" w:name="_Toc142311047"/>
      <w:bookmarkStart w:id="410" w:name="_Toc264969235"/>
      <w:bookmarkStart w:id="411" w:name="_Toc305158813"/>
      <w:bookmarkStart w:id="412" w:name="_Toc127151545"/>
      <w:bookmarkStart w:id="413" w:name="_Toc195842910"/>
      <w:bookmarkStart w:id="414" w:name="_Toc150509296"/>
      <w:bookmarkStart w:id="415" w:name="_Toc151193859"/>
      <w:bookmarkStart w:id="416" w:name="_Toc150480783"/>
      <w:bookmarkStart w:id="417" w:name="_Toc150774645"/>
      <w:bookmarkStart w:id="418" w:name="_Toc226309789"/>
      <w:bookmarkStart w:id="419" w:name="_Toc305158887"/>
      <w:bookmarkStart w:id="420" w:name="_Toc265228383"/>
      <w:bookmarkStart w:id="421" w:name="_Toc151193715"/>
      <w:bookmarkStart w:id="422" w:name="_Toc151190172"/>
      <w:bookmarkStart w:id="423" w:name="_Toc151193933"/>
      <w:bookmarkStart w:id="424" w:name="_Toc226337241"/>
      <w:r>
        <w:rPr>
          <w:color w:val="auto"/>
        </w:rPr>
        <w:t>确定</w:t>
      </w:r>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r>
        <w:rPr>
          <w:color w:val="auto"/>
        </w:rPr>
        <w:t>成交</w:t>
      </w:r>
    </w:p>
    <w:p w14:paraId="5133FB4C">
      <w:pPr>
        <w:pStyle w:val="4"/>
        <w:numPr>
          <w:ilvl w:val="0"/>
          <w:numId w:val="46"/>
        </w:numPr>
        <w:ind w:left="0" w:leftChars="0" w:firstLine="0" w:firstLineChars="0"/>
        <w:rPr>
          <w:b w:val="0"/>
          <w:color w:val="auto"/>
        </w:rPr>
      </w:pPr>
      <w:bookmarkStart w:id="425" w:name="_Toc149720840"/>
      <w:bookmarkStart w:id="426" w:name="_Toc226965820"/>
      <w:bookmarkStart w:id="427" w:name="_Toc151193935"/>
      <w:bookmarkStart w:id="428" w:name="_Toc164608816"/>
      <w:bookmarkStart w:id="429" w:name="_Toc305158889"/>
      <w:bookmarkStart w:id="430" w:name="_Toc226965737"/>
      <w:bookmarkStart w:id="431" w:name="_Toc151193717"/>
      <w:bookmarkStart w:id="432" w:name="_Toc151193861"/>
      <w:bookmarkStart w:id="433" w:name="_Toc150509298"/>
      <w:bookmarkStart w:id="434" w:name="_Toc127151748"/>
      <w:bookmarkStart w:id="435" w:name="_Toc264969237"/>
      <w:bookmarkStart w:id="436" w:name="_Toc164229388"/>
      <w:bookmarkStart w:id="437" w:name="_Toc150480785"/>
      <w:bookmarkStart w:id="438" w:name="_Toc164608661"/>
      <w:bookmarkStart w:id="439" w:name="_Toc151193645"/>
      <w:bookmarkStart w:id="440" w:name="_Toc151193789"/>
      <w:bookmarkStart w:id="441" w:name="_Toc150774752"/>
      <w:bookmarkStart w:id="442" w:name="_Toc127151547"/>
      <w:bookmarkStart w:id="443" w:name="_Toc164229242"/>
      <w:bookmarkStart w:id="444" w:name="_Toc305158815"/>
      <w:bookmarkStart w:id="445" w:name="_Toc150774647"/>
      <w:bookmarkStart w:id="446" w:name="_Toc265228385"/>
      <w:bookmarkStart w:id="447" w:name="_Toc226337243"/>
      <w:bookmarkStart w:id="448" w:name="_Toc195842912"/>
      <w:bookmarkStart w:id="449" w:name="_Toc226309791"/>
      <w:bookmarkStart w:id="450" w:name="_Toc127161461"/>
      <w:bookmarkStart w:id="451" w:name="_Toc151190174"/>
      <w:bookmarkStart w:id="452" w:name="_Toc142311049"/>
      <w:bookmarkStart w:id="453" w:name="_Toc164351641"/>
      <w:r>
        <w:rPr>
          <w:color w:val="auto"/>
        </w:rPr>
        <w:t>确定</w:t>
      </w:r>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r>
        <w:rPr>
          <w:color w:val="auto"/>
        </w:rPr>
        <w:t>成交供应商</w:t>
      </w:r>
    </w:p>
    <w:p w14:paraId="663A227E">
      <w:pPr>
        <w:pStyle w:val="17"/>
        <w:rPr>
          <w:color w:val="auto"/>
        </w:rPr>
      </w:pPr>
      <w:r>
        <w:rPr>
          <w:color w:val="auto"/>
        </w:rPr>
        <w:t>20.1采购人将在评审报告提出的成交候选人中，根据质量和服务均能满足询价通知书实质性响应要求且报价最低的原则确定成交供应商。</w:t>
      </w:r>
    </w:p>
    <w:p w14:paraId="2C655AFD">
      <w:pPr>
        <w:pStyle w:val="4"/>
        <w:numPr>
          <w:ilvl w:val="0"/>
          <w:numId w:val="46"/>
        </w:numPr>
        <w:ind w:left="0" w:leftChars="0" w:firstLine="0" w:firstLineChars="0"/>
        <w:rPr>
          <w:b w:val="0"/>
          <w:color w:val="auto"/>
        </w:rPr>
      </w:pPr>
      <w:bookmarkStart w:id="454" w:name="_Toc305158891"/>
      <w:bookmarkStart w:id="455" w:name="_Toc305158817"/>
      <w:bookmarkStart w:id="456" w:name="_Toc149720842"/>
      <w:bookmarkStart w:id="457" w:name="_Toc226965822"/>
      <w:bookmarkStart w:id="458" w:name="_Toc226337245"/>
      <w:bookmarkStart w:id="459" w:name="_Toc164229244"/>
      <w:bookmarkStart w:id="460" w:name="_Toc226965739"/>
      <w:bookmarkStart w:id="461" w:name="_Toc150480787"/>
      <w:bookmarkStart w:id="462" w:name="_Toc150774754"/>
      <w:bookmarkStart w:id="463" w:name="_Toc151193647"/>
      <w:bookmarkStart w:id="464" w:name="_Toc142311051"/>
      <w:bookmarkStart w:id="465" w:name="_Toc265228387"/>
      <w:bookmarkStart w:id="466" w:name="_Toc151193719"/>
      <w:bookmarkStart w:id="467" w:name="_Toc127151549"/>
      <w:bookmarkStart w:id="468" w:name="_Toc164229390"/>
      <w:bookmarkStart w:id="469" w:name="_Toc127161463"/>
      <w:bookmarkStart w:id="470" w:name="_Toc150774649"/>
      <w:bookmarkStart w:id="471" w:name="_Toc151193791"/>
      <w:bookmarkStart w:id="472" w:name="_Toc164608663"/>
      <w:bookmarkStart w:id="473" w:name="_Toc151190176"/>
      <w:bookmarkStart w:id="474" w:name="_Toc151193937"/>
      <w:bookmarkStart w:id="475" w:name="_Toc195842914"/>
      <w:bookmarkStart w:id="476" w:name="_Toc226309793"/>
      <w:bookmarkStart w:id="477" w:name="_Toc151193863"/>
      <w:bookmarkStart w:id="478" w:name="_Toc264969239"/>
      <w:bookmarkStart w:id="479" w:name="_Toc164351643"/>
      <w:bookmarkStart w:id="480" w:name="_Toc164608818"/>
      <w:bookmarkStart w:id="481" w:name="_Toc127151750"/>
      <w:bookmarkStart w:id="482" w:name="_Toc150509300"/>
      <w:bookmarkStart w:id="483" w:name="_Ref467306425"/>
      <w:bookmarkStart w:id="484" w:name="_Toc520356176"/>
      <w:bookmarkStart w:id="485" w:name="_Ref467307090"/>
      <w:r>
        <w:rPr>
          <w:color w:val="auto"/>
        </w:rPr>
        <w:t>成交公告与成交通知书</w:t>
      </w:r>
      <w:bookmarkEnd w:id="454"/>
      <w:bookmarkEnd w:id="455"/>
    </w:p>
    <w:p w14:paraId="4CC10F20">
      <w:pPr>
        <w:pStyle w:val="17"/>
        <w:numPr>
          <w:ilvl w:val="0"/>
          <w:numId w:val="47"/>
        </w:numPr>
        <w:ind w:left="0" w:leftChars="0" w:firstLine="480" w:firstLineChars="0"/>
        <w:rPr>
          <w:b w:val="0"/>
          <w:color w:val="auto"/>
        </w:rPr>
      </w:pPr>
      <w:r>
        <w:rPr>
          <w:color w:val="auto"/>
        </w:rPr>
        <w:t>采购人或采购代理机构自成交供应商确定后2个工作日内，在常州市政府采购网公告成交结果，同时向成交供应商发出成交通知书，成交公告期限为1个工作日。</w:t>
      </w:r>
    </w:p>
    <w:p w14:paraId="29D61256">
      <w:pPr>
        <w:pStyle w:val="17"/>
        <w:numPr>
          <w:ilvl w:val="0"/>
          <w:numId w:val="47"/>
        </w:numPr>
        <w:ind w:left="0" w:leftChars="0" w:firstLine="480" w:firstLineChars="0"/>
        <w:rPr>
          <w:b w:val="0"/>
          <w:color w:val="auto"/>
        </w:rPr>
      </w:pPr>
      <w:r>
        <w:rPr>
          <w:color w:val="auto"/>
        </w:rPr>
        <w:t>成交通知书对采购人和成交供应商均具有法律效力。成交通知书发出后，采购人改变成交结果的，或者成交供应商放弃成交项目的，应当依法承担法律责任。</w:t>
      </w:r>
    </w:p>
    <w:p w14:paraId="0257C700">
      <w:pPr>
        <w:pStyle w:val="4"/>
        <w:numPr>
          <w:ilvl w:val="0"/>
          <w:numId w:val="46"/>
        </w:numPr>
        <w:ind w:left="0" w:leftChars="0" w:firstLine="0" w:firstLineChars="0"/>
        <w:rPr>
          <w:b w:val="0"/>
          <w:color w:val="auto"/>
        </w:rPr>
      </w:pPr>
      <w:r>
        <w:rPr>
          <w:color w:val="auto"/>
        </w:rPr>
        <w:t>终止</w:t>
      </w:r>
    </w:p>
    <w:p w14:paraId="69A61B9D">
      <w:pPr>
        <w:pStyle w:val="17"/>
        <w:rPr>
          <w:color w:val="auto"/>
        </w:rPr>
      </w:pPr>
      <w:r>
        <w:rPr>
          <w:color w:val="auto"/>
        </w:rPr>
        <w:t>22.1出现下列情形之一的，采购人或采购代理机构终止询价采购活动的，将发布项目终止公告并说明原因，重新开展采购活动：</w:t>
      </w:r>
    </w:p>
    <w:p w14:paraId="251CC411">
      <w:pPr>
        <w:pStyle w:val="17"/>
        <w:numPr>
          <w:ilvl w:val="0"/>
          <w:numId w:val="48"/>
        </w:numPr>
        <w:ind w:left="0" w:leftChars="0" w:firstLine="480" w:firstLineChars="0"/>
        <w:rPr>
          <w:b w:val="0"/>
          <w:color w:val="auto"/>
        </w:rPr>
      </w:pPr>
      <w:r>
        <w:rPr>
          <w:color w:val="auto"/>
        </w:rPr>
        <w:t>因情况变化，不再符合规定的询价采购方式适用情形的；</w:t>
      </w:r>
    </w:p>
    <w:p w14:paraId="6D946AF1">
      <w:pPr>
        <w:pStyle w:val="17"/>
        <w:numPr>
          <w:ilvl w:val="0"/>
          <w:numId w:val="48"/>
        </w:numPr>
        <w:ind w:left="0" w:leftChars="0" w:firstLine="480" w:firstLineChars="0"/>
        <w:rPr>
          <w:b w:val="0"/>
          <w:color w:val="auto"/>
        </w:rPr>
      </w:pPr>
      <w:r>
        <w:rPr>
          <w:color w:val="auto"/>
        </w:rPr>
        <w:t>出现影响采购公正的违法、违规行为的；</w:t>
      </w:r>
    </w:p>
    <w:p w14:paraId="2E399083">
      <w:pPr>
        <w:pStyle w:val="17"/>
        <w:numPr>
          <w:ilvl w:val="0"/>
          <w:numId w:val="48"/>
        </w:numPr>
        <w:ind w:left="0" w:leftChars="0" w:firstLine="480" w:firstLineChars="0"/>
        <w:rPr>
          <w:b w:val="0"/>
          <w:color w:val="auto"/>
        </w:rPr>
      </w:pPr>
      <w:r>
        <w:rPr>
          <w:color w:val="auto"/>
        </w:rPr>
        <w:t>在采购过程中符合竞争要求的供应商或者报价未超过采购预算的供应商不足3家的。</w:t>
      </w:r>
    </w:p>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p w14:paraId="44A3788C">
      <w:pPr>
        <w:pStyle w:val="4"/>
        <w:numPr>
          <w:ilvl w:val="0"/>
          <w:numId w:val="46"/>
        </w:numPr>
        <w:ind w:left="0" w:leftChars="0" w:firstLine="0" w:firstLineChars="0"/>
        <w:rPr>
          <w:b w:val="0"/>
          <w:color w:val="auto"/>
        </w:rPr>
      </w:pPr>
      <w:bookmarkStart w:id="486" w:name="_Ref467306978"/>
      <w:bookmarkStart w:id="487" w:name="_Toc151193792"/>
      <w:bookmarkStart w:id="488" w:name="_Toc151193864"/>
      <w:bookmarkStart w:id="489" w:name="_Toc520356175"/>
      <w:bookmarkStart w:id="490" w:name="_Toc150774755"/>
      <w:bookmarkStart w:id="491" w:name="_Toc151190177"/>
      <w:bookmarkStart w:id="492" w:name="_Toc127151751"/>
      <w:bookmarkStart w:id="493" w:name="_Toc195842915"/>
      <w:bookmarkStart w:id="494" w:name="_Toc226337246"/>
      <w:bookmarkStart w:id="495" w:name="_Toc226309794"/>
      <w:bookmarkStart w:id="496" w:name="_Toc151193720"/>
      <w:bookmarkStart w:id="497" w:name="_Toc164608664"/>
      <w:bookmarkStart w:id="498" w:name="_Toc127151550"/>
      <w:bookmarkStart w:id="499" w:name="_Toc150480788"/>
      <w:bookmarkStart w:id="500" w:name="_Toc151193648"/>
      <w:bookmarkStart w:id="501" w:name="_Toc164608819"/>
      <w:bookmarkStart w:id="502" w:name="_Toc264969240"/>
      <w:bookmarkStart w:id="503" w:name="_Toc150509301"/>
      <w:bookmarkStart w:id="504" w:name="_Toc305158818"/>
      <w:bookmarkStart w:id="505" w:name="_Ref467307062"/>
      <w:bookmarkStart w:id="506" w:name="_Ref467306377"/>
      <w:bookmarkStart w:id="507" w:name="_Ref467307204"/>
      <w:bookmarkStart w:id="508" w:name="_Toc226965740"/>
      <w:bookmarkStart w:id="509" w:name="_Toc142311052"/>
      <w:bookmarkStart w:id="510" w:name="_Toc149720843"/>
      <w:bookmarkStart w:id="511" w:name="_Toc150774650"/>
      <w:bookmarkStart w:id="512" w:name="_Toc127161464"/>
      <w:bookmarkStart w:id="513" w:name="_Toc164351644"/>
      <w:bookmarkStart w:id="514" w:name="_Toc305158892"/>
      <w:bookmarkStart w:id="515" w:name="_Toc164229391"/>
      <w:bookmarkStart w:id="516" w:name="_Toc151193938"/>
      <w:bookmarkStart w:id="517" w:name="_Toc164229245"/>
      <w:bookmarkStart w:id="518" w:name="_Toc226965823"/>
      <w:bookmarkStart w:id="519" w:name="_Toc265228388"/>
      <w:r>
        <w:rPr>
          <w:color w:val="auto"/>
        </w:rPr>
        <w:t>签订合同</w:t>
      </w:r>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p>
    <w:p w14:paraId="33F9ABB2">
      <w:pPr>
        <w:pStyle w:val="17"/>
        <w:numPr>
          <w:ilvl w:val="0"/>
          <w:numId w:val="49"/>
        </w:numPr>
        <w:ind w:left="0" w:leftChars="0" w:firstLine="480" w:firstLineChars="0"/>
        <w:rPr>
          <w:b w:val="0"/>
          <w:color w:val="auto"/>
        </w:rPr>
      </w:pPr>
      <w:r>
        <w:rPr>
          <w:color w:val="auto"/>
        </w:rPr>
        <w:t>采购人与成交供应商应当在成交通知书发出之日起</w:t>
      </w:r>
      <w:r>
        <w:rPr>
          <w:rFonts w:hint="eastAsia"/>
          <w:b/>
          <w:color w:val="auto"/>
          <w:lang w:val="en-US" w:eastAsia="zh-CN"/>
        </w:rPr>
        <w:t>30</w:t>
      </w:r>
      <w:r>
        <w:rPr>
          <w:color w:val="auto"/>
        </w:rPr>
        <w:t>日内，按照询价通知书确定的合同文本以及采购标的、规格型号、采购金额、采购数量、技术和服务要求等事项签订政府采购合同。</w:t>
      </w:r>
    </w:p>
    <w:p w14:paraId="5E0555A2">
      <w:pPr>
        <w:pStyle w:val="17"/>
        <w:numPr>
          <w:ilvl w:val="0"/>
          <w:numId w:val="49"/>
        </w:numPr>
        <w:ind w:left="0" w:leftChars="0" w:firstLine="480" w:firstLineChars="0"/>
        <w:rPr>
          <w:b w:val="0"/>
          <w:color w:val="auto"/>
        </w:rPr>
      </w:pPr>
      <w:r>
        <w:rPr>
          <w:color w:val="auto"/>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5586D4E1">
      <w:pPr>
        <w:pStyle w:val="17"/>
        <w:numPr>
          <w:ilvl w:val="0"/>
          <w:numId w:val="49"/>
        </w:numPr>
        <w:ind w:left="0" w:leftChars="0" w:firstLine="480" w:firstLineChars="0"/>
        <w:rPr>
          <w:b w:val="0"/>
          <w:color w:val="auto"/>
        </w:rPr>
      </w:pPr>
      <w:r>
        <w:rPr>
          <w:color w:val="auto"/>
        </w:rPr>
        <w:t>联合体成交的，联合体各方应当共同与采购人签订合同，就采购合同约定的事项向采购人承担连带责任。</w:t>
      </w:r>
    </w:p>
    <w:p w14:paraId="035DA486">
      <w:pPr>
        <w:pStyle w:val="17"/>
        <w:numPr>
          <w:ilvl w:val="0"/>
          <w:numId w:val="49"/>
        </w:numPr>
        <w:ind w:left="0" w:leftChars="0" w:firstLine="480" w:firstLineChars="0"/>
        <w:rPr>
          <w:b w:val="0"/>
          <w:color w:val="auto"/>
        </w:rPr>
      </w:pPr>
      <w:r>
        <w:rPr>
          <w:color w:val="auto"/>
        </w:rPr>
        <w:t>政府采购合同不能转包。</w:t>
      </w:r>
    </w:p>
    <w:p w14:paraId="0462240A">
      <w:pPr>
        <w:pStyle w:val="17"/>
        <w:numPr>
          <w:ilvl w:val="0"/>
          <w:numId w:val="49"/>
        </w:numPr>
        <w:ind w:left="0" w:leftChars="0" w:firstLine="480" w:firstLineChars="0"/>
        <w:rPr>
          <w:b w:val="0"/>
          <w:color w:val="auto"/>
        </w:rPr>
      </w:pPr>
      <w:r>
        <w:rPr>
          <w:color w:val="auto"/>
        </w:rPr>
        <w:t>采购人允许采用分包方式履行合同的，成交供应商可以依法采取分包方式履行合同。本项目的是否允许分包，见《供应商须知资料表》。政府采购合同分包履行的，应当在响应文件中载明分包承担主体，分包承担主体应当具备相应资质条件且不得再次分包，否则</w:t>
      </w:r>
      <w:r>
        <w:rPr>
          <w:b/>
          <w:color w:val="auto"/>
        </w:rPr>
        <w:t>响应无效</w:t>
      </w:r>
      <w:r>
        <w:rPr>
          <w:color w:val="auto"/>
        </w:rPr>
        <w:t>。成交供应商就采购项目和分包项目向采购人负责，分包供应商就分包项目承担责任。</w:t>
      </w:r>
    </w:p>
    <w:bookmarkEnd w:id="483"/>
    <w:bookmarkEnd w:id="484"/>
    <w:bookmarkEnd w:id="485"/>
    <w:p w14:paraId="3760EDD4">
      <w:pPr>
        <w:pStyle w:val="4"/>
        <w:numPr>
          <w:ilvl w:val="0"/>
          <w:numId w:val="46"/>
        </w:numPr>
        <w:ind w:left="0" w:leftChars="0" w:firstLine="0" w:firstLineChars="0"/>
        <w:rPr>
          <w:b w:val="0"/>
          <w:color w:val="auto"/>
        </w:rPr>
      </w:pPr>
      <w:r>
        <w:rPr>
          <w:color w:val="auto"/>
        </w:rPr>
        <w:t>产权</w:t>
      </w:r>
    </w:p>
    <w:p w14:paraId="44D95458">
      <w:pPr>
        <w:pStyle w:val="17"/>
        <w:numPr>
          <w:ilvl w:val="0"/>
          <w:numId w:val="50"/>
        </w:numPr>
        <w:ind w:left="0" w:leftChars="0" w:firstLine="480" w:firstLineChars="0"/>
        <w:rPr>
          <w:b w:val="0"/>
          <w:color w:val="auto"/>
        </w:rPr>
      </w:pPr>
      <w:r>
        <w:rPr>
          <w:color w:val="auto"/>
        </w:rPr>
        <w:t>成交供应商保证所提供的货物或其任何一部分均不会侵犯任何第三方的专利权、商标权或著作权。</w:t>
      </w:r>
    </w:p>
    <w:p w14:paraId="4EAA70AF">
      <w:pPr>
        <w:pStyle w:val="17"/>
        <w:numPr>
          <w:ilvl w:val="0"/>
          <w:numId w:val="50"/>
        </w:numPr>
        <w:ind w:left="0" w:leftChars="0" w:firstLine="480" w:firstLineChars="0"/>
        <w:rPr>
          <w:b w:val="0"/>
          <w:color w:val="auto"/>
        </w:rPr>
      </w:pPr>
      <w:r>
        <w:rPr>
          <w:color w:val="auto"/>
        </w:rPr>
        <w:t>成交供应商保证所交付货物的所有权完全属于成交供应商且无任何抵押、查封等产权瑕疵。</w:t>
      </w:r>
    </w:p>
    <w:p w14:paraId="6E658535">
      <w:pPr>
        <w:pStyle w:val="4"/>
        <w:numPr>
          <w:ilvl w:val="0"/>
          <w:numId w:val="46"/>
        </w:numPr>
        <w:ind w:left="0" w:leftChars="0" w:firstLine="0" w:firstLineChars="0"/>
        <w:rPr>
          <w:b w:val="0"/>
          <w:color w:val="auto"/>
        </w:rPr>
      </w:pPr>
      <w:r>
        <w:rPr>
          <w:color w:val="auto"/>
        </w:rPr>
        <w:t>履约</w:t>
      </w:r>
    </w:p>
    <w:p w14:paraId="199D2BBE">
      <w:pPr>
        <w:pStyle w:val="17"/>
        <w:numPr>
          <w:ilvl w:val="0"/>
          <w:numId w:val="51"/>
        </w:numPr>
        <w:ind w:left="0" w:leftChars="0" w:firstLine="480" w:firstLineChars="0"/>
        <w:rPr>
          <w:b w:val="0"/>
          <w:color w:val="auto"/>
        </w:rPr>
      </w:pPr>
      <w:r>
        <w:rPr>
          <w:color w:val="auto"/>
        </w:rPr>
        <w:t>由采购人提出变更合同内容的，必须由采购人征得成交供应商书面同意，并向上级主管部门提出申请。上级主管部门批复同意后，由采购人和成交供应商共同填写履约变更单。履约变更单一式三份，采购人、成交供应商和采购代理机构各执一份。</w:t>
      </w:r>
    </w:p>
    <w:p w14:paraId="535FABF1">
      <w:pPr>
        <w:pStyle w:val="17"/>
        <w:numPr>
          <w:ilvl w:val="0"/>
          <w:numId w:val="51"/>
        </w:numPr>
        <w:ind w:left="0" w:leftChars="0" w:firstLine="480" w:firstLineChars="0"/>
        <w:rPr>
          <w:b w:val="0"/>
          <w:color w:val="auto"/>
        </w:rPr>
      </w:pPr>
      <w:r>
        <w:rPr>
          <w:color w:val="auto"/>
        </w:rPr>
        <w:t>签订合同后，如成交供应商不按双方签订合同约定履约，按相关的法律、法规执行。</w:t>
      </w:r>
    </w:p>
    <w:p w14:paraId="57F813F3">
      <w:pPr>
        <w:pStyle w:val="4"/>
        <w:numPr>
          <w:ilvl w:val="0"/>
          <w:numId w:val="46"/>
        </w:numPr>
        <w:ind w:left="0" w:leftChars="0" w:firstLine="0" w:firstLineChars="0"/>
        <w:rPr>
          <w:b w:val="0"/>
          <w:color w:val="auto"/>
        </w:rPr>
      </w:pPr>
      <w:r>
        <w:rPr>
          <w:color w:val="auto"/>
        </w:rPr>
        <w:t>验收</w:t>
      </w:r>
    </w:p>
    <w:p w14:paraId="188AAA6E">
      <w:pPr>
        <w:pStyle w:val="17"/>
        <w:numPr>
          <w:ilvl w:val="0"/>
          <w:numId w:val="52"/>
        </w:numPr>
        <w:ind w:left="0" w:leftChars="0" w:firstLine="480" w:firstLineChars="0"/>
        <w:rPr>
          <w:b w:val="0"/>
          <w:color w:val="auto"/>
        </w:rPr>
      </w:pPr>
      <w:r>
        <w:rPr>
          <w:color w:val="auto"/>
        </w:rPr>
        <w:t>项目履约完成后，按招询价通知书及合同约定方式进行验收。</w:t>
      </w:r>
    </w:p>
    <w:p w14:paraId="53DB4230">
      <w:pPr>
        <w:pStyle w:val="17"/>
        <w:numPr>
          <w:ilvl w:val="0"/>
          <w:numId w:val="52"/>
        </w:numPr>
        <w:ind w:left="0" w:leftChars="0" w:firstLine="480" w:firstLineChars="0"/>
        <w:rPr>
          <w:b w:val="0"/>
          <w:color w:val="auto"/>
        </w:rPr>
      </w:pPr>
      <w:r>
        <w:rPr>
          <w:color w:val="auto"/>
        </w:rPr>
        <w:t>验收完成后及时进入结账流程。</w:t>
      </w:r>
    </w:p>
    <w:p w14:paraId="60012D1D">
      <w:pPr>
        <w:pStyle w:val="4"/>
        <w:numPr>
          <w:ilvl w:val="0"/>
          <w:numId w:val="46"/>
        </w:numPr>
        <w:ind w:left="0" w:leftChars="0" w:firstLine="0" w:firstLineChars="0"/>
        <w:rPr>
          <w:b w:val="0"/>
          <w:color w:val="auto"/>
        </w:rPr>
      </w:pPr>
      <w:r>
        <w:rPr>
          <w:color w:val="auto"/>
        </w:rPr>
        <w:t>询问与质疑</w:t>
      </w:r>
    </w:p>
    <w:p w14:paraId="6DBB3200">
      <w:pPr>
        <w:pStyle w:val="6"/>
        <w:numPr>
          <w:ilvl w:val="0"/>
          <w:numId w:val="53"/>
        </w:numPr>
        <w:ind w:left="0" w:leftChars="0" w:firstLine="0" w:firstLineChars="0"/>
        <w:rPr>
          <w:b w:val="0"/>
          <w:color w:val="auto"/>
        </w:rPr>
      </w:pPr>
      <w:r>
        <w:rPr>
          <w:color w:val="auto"/>
        </w:rPr>
        <w:t>询问</w:t>
      </w:r>
    </w:p>
    <w:p w14:paraId="3A92400C">
      <w:pPr>
        <w:pStyle w:val="17"/>
        <w:numPr>
          <w:ilvl w:val="0"/>
          <w:numId w:val="54"/>
        </w:numPr>
        <w:ind w:left="0" w:leftChars="0" w:firstLine="480" w:firstLineChars="0"/>
        <w:rPr>
          <w:b w:val="0"/>
          <w:color w:val="auto"/>
        </w:rPr>
      </w:pPr>
      <w:r>
        <w:rPr>
          <w:color w:val="auto"/>
        </w:rPr>
        <w:t>供应商对政府采购活动事项有疑问的，可依法提出询问，并按《供应商须知资料表》载明的形式送达采购人。</w:t>
      </w:r>
    </w:p>
    <w:p w14:paraId="3E05EEA0">
      <w:pPr>
        <w:pStyle w:val="17"/>
        <w:numPr>
          <w:ilvl w:val="0"/>
          <w:numId w:val="54"/>
        </w:numPr>
        <w:ind w:left="0" w:leftChars="0" w:firstLine="480" w:firstLineChars="0"/>
        <w:rPr>
          <w:b w:val="0"/>
          <w:color w:val="auto"/>
        </w:rPr>
      </w:pPr>
      <w:r>
        <w:rPr>
          <w:color w:val="auto"/>
        </w:rPr>
        <w:t>采购人或采购代理机构对供应商依法提出的询问，在3个工作日内作出答复，但答复的内容不得涉及商业秘密。</w:t>
      </w:r>
    </w:p>
    <w:p w14:paraId="4292C421">
      <w:pPr>
        <w:pStyle w:val="6"/>
        <w:numPr>
          <w:ilvl w:val="0"/>
          <w:numId w:val="53"/>
        </w:numPr>
        <w:ind w:left="0" w:leftChars="0" w:firstLine="0" w:firstLineChars="0"/>
        <w:rPr>
          <w:b w:val="0"/>
          <w:color w:val="auto"/>
        </w:rPr>
      </w:pPr>
      <w:r>
        <w:rPr>
          <w:color w:val="auto"/>
        </w:rPr>
        <w:t>质疑</w:t>
      </w:r>
    </w:p>
    <w:p w14:paraId="5B6D4818">
      <w:pPr>
        <w:pStyle w:val="17"/>
        <w:numPr>
          <w:ilvl w:val="0"/>
          <w:numId w:val="55"/>
        </w:numPr>
        <w:ind w:left="0" w:leftChars="0" w:firstLine="480" w:firstLineChars="0"/>
        <w:rPr>
          <w:b w:val="0"/>
          <w:color w:val="auto"/>
        </w:rPr>
      </w:pPr>
      <w:r>
        <w:rPr>
          <w:color w:val="auto"/>
        </w:rPr>
        <w:t>供应商认为询价通知书、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3D589BA4">
      <w:pPr>
        <w:pStyle w:val="17"/>
        <w:numPr>
          <w:ilvl w:val="0"/>
          <w:numId w:val="55"/>
        </w:numPr>
        <w:ind w:left="0" w:leftChars="0" w:firstLine="480" w:firstLineChars="0"/>
        <w:rPr>
          <w:b/>
          <w:color w:val="auto"/>
          <w:highlight w:val="none"/>
        </w:rPr>
      </w:pPr>
      <w:r>
        <w:rPr>
          <w:rFonts w:hint="eastAsia"/>
          <w:b/>
          <w:color w:val="auto"/>
          <w:highlight w:val="none"/>
        </w:rPr>
        <w:t>供应商（含潜在供应商）对采购方式、采购需求、供应商资格条件、评审方法与评审标准、合同文本的询问、质疑请向采购人提出，由采购人负责答复。供应商对其他事项的询问、质疑请向建装中心提出，由建装中心负责答复。</w:t>
      </w:r>
    </w:p>
    <w:p w14:paraId="37A3DA50">
      <w:pPr>
        <w:pStyle w:val="17"/>
        <w:numPr>
          <w:ilvl w:val="0"/>
          <w:numId w:val="55"/>
        </w:numPr>
        <w:ind w:left="0" w:leftChars="0" w:firstLine="480" w:firstLineChars="0"/>
        <w:rPr>
          <w:b/>
          <w:color w:val="auto"/>
        </w:rPr>
      </w:pPr>
      <w:r>
        <w:rPr>
          <w:b/>
          <w:color w:val="auto"/>
          <w:highlight w:val="none"/>
        </w:rPr>
        <w:t>采购人及建装中心只接收以纸质原件形式送达的质疑,建议外地供应商尽量通过邮寄方式提交质疑（采购人和建装中心不接受未填写快递运单的快件）。采购人质疑接收部门及联系方式见第一章采购邀请。建装中心质疑接收部门为项目管理科（快递运单上的收件人填写“项目管理科”即可），联系地址：常州市新市路9号，联系电话：0519-86802236。</w:t>
      </w:r>
    </w:p>
    <w:p w14:paraId="3EAC4158">
      <w:pPr>
        <w:pStyle w:val="17"/>
        <w:numPr>
          <w:ilvl w:val="0"/>
          <w:numId w:val="55"/>
        </w:numPr>
        <w:ind w:left="0" w:leftChars="0" w:firstLine="480" w:firstLineChars="0"/>
        <w:rPr>
          <w:b w:val="0"/>
          <w:color w:val="auto"/>
        </w:rPr>
      </w:pPr>
      <w:r>
        <w:rPr>
          <w:color w:val="auto"/>
        </w:rPr>
        <w:t>质疑函须使用财政部制定的范本文件。（下载网址：</w:t>
      </w:r>
      <w:r>
        <w:rPr>
          <w:color w:val="auto"/>
        </w:rPr>
        <w:fldChar w:fldCharType="begin"/>
      </w:r>
      <w:r>
        <w:rPr>
          <w:color w:val="auto"/>
        </w:rPr>
        <w:instrText xml:space="preserve"> HYPERLINK "http://gks.mof.gov.cn/ztztz/zhengfucaigouguanli/201802/t20180201_2804589.htm" </w:instrText>
      </w:r>
      <w:r>
        <w:rPr>
          <w:color w:val="auto"/>
        </w:rPr>
        <w:fldChar w:fldCharType="separate"/>
      </w:r>
      <w:r>
        <w:rPr>
          <w:rStyle w:val="51"/>
          <w:color w:val="auto"/>
        </w:rPr>
        <w:t>http://gk</w:t>
      </w:r>
      <w:bookmarkStart w:id="520" w:name="_Hlt100654014"/>
      <w:r>
        <w:rPr>
          <w:rStyle w:val="51"/>
          <w:color w:val="auto"/>
        </w:rPr>
        <w:t>s</w:t>
      </w:r>
      <w:bookmarkEnd w:id="520"/>
      <w:r>
        <w:rPr>
          <w:rStyle w:val="51"/>
          <w:color w:val="auto"/>
        </w:rPr>
        <w:t>.m</w:t>
      </w:r>
      <w:bookmarkStart w:id="521" w:name="_Hlt100653994"/>
      <w:bookmarkStart w:id="522" w:name="_Hlt100653993"/>
      <w:r>
        <w:rPr>
          <w:rStyle w:val="51"/>
          <w:color w:val="auto"/>
        </w:rPr>
        <w:t>o</w:t>
      </w:r>
      <w:bookmarkEnd w:id="521"/>
      <w:bookmarkEnd w:id="522"/>
      <w:bookmarkStart w:id="523" w:name="_Hlt101169156"/>
      <w:r>
        <w:rPr>
          <w:rStyle w:val="51"/>
          <w:color w:val="auto"/>
        </w:rPr>
        <w:t>f</w:t>
      </w:r>
      <w:bookmarkEnd w:id="523"/>
      <w:r>
        <w:rPr>
          <w:rStyle w:val="51"/>
          <w:color w:val="auto"/>
        </w:rPr>
        <w:t>.gov.cn/ztztz/zhengfucaigouguanli/201802/t20180201_2804589.htm</w:t>
      </w:r>
      <w:r>
        <w:rPr>
          <w:color w:val="auto"/>
        </w:rPr>
        <w:fldChar w:fldCharType="end"/>
      </w:r>
      <w:r>
        <w:rPr>
          <w:color w:val="auto"/>
        </w:rPr>
        <w:t>）</w:t>
      </w:r>
    </w:p>
    <w:p w14:paraId="2EB10428">
      <w:pPr>
        <w:pStyle w:val="17"/>
        <w:numPr>
          <w:ilvl w:val="0"/>
          <w:numId w:val="55"/>
        </w:numPr>
        <w:ind w:left="0" w:leftChars="0" w:firstLine="480" w:firstLineChars="0"/>
        <w:rPr>
          <w:b w:val="0"/>
          <w:color w:val="auto"/>
        </w:rPr>
      </w:pPr>
      <w:r>
        <w:rPr>
          <w:color w:val="auto"/>
        </w:rPr>
        <w:t>供应商为自然人的，应当由本人签字；供应商为法人或者其他组织的，应当由法定代表人、主要负责人，或者其授权代表签字或者盖章，并加盖公章。</w:t>
      </w:r>
    </w:p>
    <w:p w14:paraId="4DA5A727">
      <w:pPr>
        <w:pStyle w:val="17"/>
        <w:numPr>
          <w:ilvl w:val="0"/>
          <w:numId w:val="55"/>
        </w:numPr>
        <w:ind w:left="0" w:leftChars="0" w:firstLine="480" w:firstLineChars="0"/>
        <w:rPr>
          <w:b w:val="0"/>
          <w:color w:val="auto"/>
        </w:rPr>
      </w:pPr>
      <w:r>
        <w:rPr>
          <w:color w:val="auto"/>
        </w:rPr>
        <w:t>供应商应在法定质疑期内一次性提出针对同一采购程序环节的质疑，法定质疑期内针对同一采购程序环节再次提出的质疑，采购人、采购代理机构有权不予答复。</w:t>
      </w:r>
    </w:p>
    <w:p w14:paraId="65FD0033">
      <w:pPr>
        <w:pStyle w:val="6"/>
        <w:numPr>
          <w:ilvl w:val="0"/>
          <w:numId w:val="53"/>
        </w:numPr>
        <w:ind w:left="0" w:leftChars="0" w:firstLine="0" w:firstLineChars="0"/>
        <w:rPr>
          <w:b w:val="0"/>
          <w:color w:val="auto"/>
        </w:rPr>
      </w:pPr>
      <w:r>
        <w:rPr>
          <w:color w:val="auto"/>
        </w:rPr>
        <w:t>接收询问和质疑的联系部门、联系电话和通讯地址见《供应商须知资料表》。</w:t>
      </w:r>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Start w:id="524" w:name="_Toc487900382"/>
      <w:bookmarkEnd w:id="524"/>
    </w:p>
    <w:p w14:paraId="4C60420E">
      <w:pPr>
        <w:pStyle w:val="4"/>
        <w:numPr>
          <w:ilvl w:val="0"/>
          <w:numId w:val="46"/>
        </w:numPr>
        <w:ind w:left="0" w:leftChars="0" w:firstLine="0" w:firstLineChars="0"/>
        <w:rPr>
          <w:b w:val="0"/>
          <w:color w:val="auto"/>
        </w:rPr>
      </w:pPr>
      <w:r>
        <w:rPr>
          <w:color w:val="auto"/>
        </w:rPr>
        <w:t>代理费</w:t>
      </w:r>
    </w:p>
    <w:p w14:paraId="4DB3EBA4">
      <w:pPr>
        <w:pStyle w:val="17"/>
        <w:rPr>
          <w:color w:val="auto"/>
        </w:rPr>
      </w:pPr>
      <w:r>
        <w:rPr>
          <w:color w:val="auto"/>
        </w:rPr>
        <w:t>28.1本项目不收取代理费。</w:t>
      </w:r>
    </w:p>
    <w:p w14:paraId="684BABCB">
      <w:pPr>
        <w:pStyle w:val="4"/>
        <w:numPr>
          <w:ilvl w:val="0"/>
          <w:numId w:val="46"/>
        </w:numPr>
        <w:ind w:left="0" w:leftChars="0" w:firstLine="0" w:firstLineChars="0"/>
        <w:rPr>
          <w:b w:val="0"/>
          <w:color w:val="auto"/>
        </w:rPr>
      </w:pPr>
      <w:r>
        <w:rPr>
          <w:color w:val="auto"/>
        </w:rPr>
        <w:t>其他</w:t>
      </w:r>
    </w:p>
    <w:p w14:paraId="5A417EF0">
      <w:pPr>
        <w:pStyle w:val="6"/>
        <w:numPr>
          <w:ilvl w:val="1"/>
          <w:numId w:val="0"/>
        </w:numPr>
        <w:rPr>
          <w:color w:val="auto"/>
        </w:rPr>
      </w:pPr>
      <w:r>
        <w:rPr>
          <w:color w:val="auto"/>
        </w:rPr>
        <w:t>29.1供应商有下列情形之一的，采购代理机构按相关的法律、法规处罚。</w:t>
      </w:r>
    </w:p>
    <w:p w14:paraId="1AE2DD1F">
      <w:pPr>
        <w:pStyle w:val="17"/>
        <w:numPr>
          <w:ilvl w:val="0"/>
          <w:numId w:val="56"/>
        </w:numPr>
        <w:ind w:left="0" w:leftChars="0" w:firstLine="480" w:firstLineChars="0"/>
        <w:rPr>
          <w:b w:val="0"/>
          <w:color w:val="auto"/>
        </w:rPr>
      </w:pPr>
      <w:r>
        <w:rPr>
          <w:color w:val="auto"/>
        </w:rPr>
        <w:t>在开启后要求撤回响应文件的；</w:t>
      </w:r>
    </w:p>
    <w:p w14:paraId="0C1E7BD9">
      <w:pPr>
        <w:pStyle w:val="17"/>
        <w:numPr>
          <w:ilvl w:val="0"/>
          <w:numId w:val="56"/>
        </w:numPr>
        <w:ind w:left="0" w:leftChars="0" w:firstLine="480" w:firstLineChars="0"/>
        <w:rPr>
          <w:b w:val="0"/>
          <w:color w:val="auto"/>
        </w:rPr>
      </w:pPr>
      <w:r>
        <w:rPr>
          <w:color w:val="auto"/>
        </w:rPr>
        <w:t>成交后无正当理由不与采购人或者采购代理机构按规定的时间、地点签订合同的；</w:t>
      </w:r>
    </w:p>
    <w:p w14:paraId="265AA7CC">
      <w:pPr>
        <w:pStyle w:val="17"/>
        <w:numPr>
          <w:ilvl w:val="0"/>
          <w:numId w:val="56"/>
        </w:numPr>
        <w:ind w:left="0" w:leftChars="0" w:firstLine="480" w:firstLineChars="0"/>
        <w:rPr>
          <w:b w:val="0"/>
          <w:color w:val="auto"/>
        </w:rPr>
      </w:pPr>
      <w:r>
        <w:rPr>
          <w:color w:val="auto"/>
        </w:rPr>
        <w:t>成交后与采购人签订对采购文件和响应文件作了实质性修改的合同，或与采购人私下订立背离合同实质性内容的协议的；</w:t>
      </w:r>
    </w:p>
    <w:p w14:paraId="6F787B60">
      <w:pPr>
        <w:pStyle w:val="17"/>
        <w:numPr>
          <w:ilvl w:val="0"/>
          <w:numId w:val="56"/>
        </w:numPr>
        <w:ind w:left="0" w:leftChars="0" w:firstLine="480" w:firstLineChars="0"/>
        <w:rPr>
          <w:b w:val="0"/>
          <w:color w:val="auto"/>
        </w:rPr>
      </w:pPr>
      <w:r>
        <w:rPr>
          <w:color w:val="auto"/>
        </w:rPr>
        <w:t>将成交项目转让给他人，或者在响应文件中未说明，且未经采购人或采购代理机构同意，将成交项目分包给他人的。</w:t>
      </w:r>
    </w:p>
    <w:p w14:paraId="093CDC1E">
      <w:pPr>
        <w:tabs>
          <w:tab w:val="left" w:pos="1080"/>
          <w:tab w:val="left" w:pos="2014"/>
        </w:tabs>
        <w:snapToGrid w:val="0"/>
        <w:spacing w:line="360" w:lineRule="auto"/>
        <w:ind w:left="1795" w:leftChars="512" w:hanging="720" w:hangingChars="300"/>
        <w:rPr>
          <w:rFonts w:hint="eastAsia"/>
          <w:color w:val="auto"/>
          <w:sz w:val="24"/>
        </w:rPr>
        <w:sectPr>
          <w:footerReference r:id="rId7" w:type="even"/>
          <w:pgSz w:w="11907" w:h="16840"/>
          <w:pgMar w:top="1440" w:right="1304" w:bottom="1440" w:left="1304" w:header="851" w:footer="851" w:gutter="0"/>
          <w:pgBorders>
            <w:top w:val="none" w:sz="0" w:space="0"/>
            <w:left w:val="none" w:sz="0" w:space="0"/>
            <w:bottom w:val="none" w:sz="0" w:space="0"/>
            <w:right w:val="none" w:sz="0" w:space="0"/>
          </w:pgBorders>
          <w:cols w:space="720" w:num="1"/>
          <w:docGrid w:linePitch="462" w:charSpace="0"/>
        </w:sectPr>
      </w:pPr>
    </w:p>
    <w:p w14:paraId="3AE27453">
      <w:pPr>
        <w:pStyle w:val="2"/>
        <w:numPr>
          <w:ilvl w:val="0"/>
          <w:numId w:val="8"/>
        </w:numPr>
        <w:ind w:left="0" w:leftChars="0" w:firstLine="0" w:firstLineChars="0"/>
        <w:jc w:val="center"/>
        <w:rPr>
          <w:b w:val="0"/>
          <w:color w:val="auto"/>
          <w:sz w:val="44"/>
          <w:szCs w:val="44"/>
        </w:rPr>
      </w:pPr>
      <w:bookmarkStart w:id="525" w:name="_Toc6218"/>
      <w:r>
        <w:rPr>
          <w:color w:val="auto"/>
          <w:sz w:val="44"/>
          <w:szCs w:val="44"/>
        </w:rPr>
        <w:t>评审程序和评定成交的标准</w:t>
      </w:r>
      <w:bookmarkEnd w:id="525"/>
    </w:p>
    <w:p w14:paraId="22901536">
      <w:pPr>
        <w:pStyle w:val="3"/>
        <w:numPr>
          <w:ilvl w:val="0"/>
          <w:numId w:val="57"/>
        </w:numPr>
        <w:ind w:left="0" w:leftChars="0" w:firstLine="0" w:firstLineChars="0"/>
        <w:rPr>
          <w:b w:val="0"/>
          <w:color w:val="auto"/>
        </w:rPr>
      </w:pPr>
      <w:r>
        <w:rPr>
          <w:color w:val="auto"/>
        </w:rPr>
        <w:t>响应文件的资格审查和符合性检查</w:t>
      </w:r>
    </w:p>
    <w:p w14:paraId="69919C3D">
      <w:pPr>
        <w:pStyle w:val="17"/>
        <w:numPr>
          <w:ilvl w:val="0"/>
          <w:numId w:val="58"/>
        </w:numPr>
        <w:ind w:left="0" w:leftChars="0" w:firstLine="480" w:firstLineChars="0"/>
        <w:rPr>
          <w:b w:val="0"/>
          <w:color w:val="auto"/>
        </w:rPr>
      </w:pPr>
      <w:r>
        <w:rPr>
          <w:color w:val="auto"/>
        </w:rPr>
        <w:t>询价小组将根据《资格审查要求》和《符合性检查要求》中规定的内容，对供应商进行审查，并形成审查结果。供应商《响应文件》有任何一项不符合《资格审查要求》和《符合性检查要求》的，视为</w:t>
      </w:r>
      <w:r>
        <w:rPr>
          <w:b/>
          <w:color w:val="auto"/>
        </w:rPr>
        <w:t>无效响应</w:t>
      </w:r>
      <w:r>
        <w:rPr>
          <w:color w:val="auto"/>
        </w:rPr>
        <w:t>。</w:t>
      </w:r>
    </w:p>
    <w:p w14:paraId="7538C4CE">
      <w:pPr>
        <w:pStyle w:val="17"/>
        <w:numPr>
          <w:ilvl w:val="0"/>
          <w:numId w:val="58"/>
        </w:numPr>
        <w:ind w:left="0" w:leftChars="0" w:firstLine="480" w:firstLineChars="0"/>
        <w:rPr>
          <w:b w:val="0"/>
          <w:color w:val="auto"/>
        </w:rPr>
      </w:pPr>
      <w:r>
        <w:rPr>
          <w:color w:val="auto"/>
        </w:rPr>
        <w:t>《资格审查要求》中对格式有要求的，除询价通知书另有规定外，均为“实质性格式”文件。</w:t>
      </w:r>
    </w:p>
    <w:p w14:paraId="1D6860F7">
      <w:pPr>
        <w:pStyle w:val="17"/>
        <w:numPr>
          <w:ilvl w:val="0"/>
          <w:numId w:val="58"/>
        </w:numPr>
        <w:ind w:left="0" w:leftChars="0" w:firstLine="480" w:firstLineChars="0"/>
        <w:rPr>
          <w:b w:val="0"/>
          <w:color w:val="auto"/>
        </w:rPr>
      </w:pPr>
      <w:r>
        <w:rPr>
          <w:color w:val="auto"/>
        </w:rPr>
        <w:t>《资格审查要求》见下表：</w:t>
      </w:r>
    </w:p>
    <w:p w14:paraId="4C651305">
      <w:pPr>
        <w:pStyle w:val="265"/>
        <w:rPr>
          <w:color w:val="auto"/>
        </w:rPr>
      </w:pPr>
      <w:r>
        <w:rPr>
          <w:color w:val="auto"/>
        </w:rPr>
        <w:t>资格审查要求</w:t>
      </w:r>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0"/>
        <w:gridCol w:w="1884"/>
        <w:gridCol w:w="4794"/>
        <w:gridCol w:w="1910"/>
      </w:tblGrid>
      <w:tr w14:paraId="7E0F48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468" w:hRule="atLeast"/>
          <w:tblHeader/>
        </w:trPr>
        <w:tc>
          <w:tcPr>
            <w:tcW w:w="377" w:type="pct"/>
            <w:noWrap w:val="0"/>
            <w:vAlign w:val="center"/>
          </w:tcPr>
          <w:p w14:paraId="50262BFA">
            <w:pPr>
              <w:tabs>
                <w:tab w:val="left" w:pos="1080"/>
              </w:tabs>
              <w:snapToGrid w:val="0"/>
              <w:jc w:val="center"/>
              <w:rPr>
                <w:b/>
                <w:color w:val="auto"/>
                <w:sz w:val="24"/>
              </w:rPr>
            </w:pPr>
            <w:bookmarkStart w:id="526" w:name="_Hlt487972895"/>
            <w:bookmarkEnd w:id="526"/>
            <w:r>
              <w:rPr>
                <w:b/>
                <w:color w:val="auto"/>
                <w:sz w:val="24"/>
              </w:rPr>
              <w:t>序号</w:t>
            </w:r>
          </w:p>
        </w:tc>
        <w:tc>
          <w:tcPr>
            <w:tcW w:w="1014" w:type="pct"/>
            <w:noWrap w:val="0"/>
            <w:vAlign w:val="center"/>
          </w:tcPr>
          <w:p w14:paraId="45A20CE1">
            <w:pPr>
              <w:tabs>
                <w:tab w:val="left" w:pos="1080"/>
              </w:tabs>
              <w:snapToGrid w:val="0"/>
              <w:jc w:val="center"/>
              <w:rPr>
                <w:b/>
                <w:color w:val="auto"/>
                <w:sz w:val="24"/>
              </w:rPr>
            </w:pPr>
            <w:r>
              <w:rPr>
                <w:b/>
                <w:color w:val="auto"/>
                <w:sz w:val="24"/>
              </w:rPr>
              <w:t>审查因素</w:t>
            </w:r>
          </w:p>
        </w:tc>
        <w:tc>
          <w:tcPr>
            <w:tcW w:w="2580" w:type="pct"/>
            <w:noWrap w:val="0"/>
            <w:vAlign w:val="center"/>
          </w:tcPr>
          <w:p w14:paraId="440E2D6D">
            <w:pPr>
              <w:tabs>
                <w:tab w:val="left" w:pos="1080"/>
              </w:tabs>
              <w:snapToGrid w:val="0"/>
              <w:jc w:val="center"/>
              <w:rPr>
                <w:b/>
                <w:color w:val="auto"/>
                <w:sz w:val="24"/>
              </w:rPr>
            </w:pPr>
            <w:r>
              <w:rPr>
                <w:b/>
                <w:color w:val="auto"/>
                <w:sz w:val="24"/>
              </w:rPr>
              <w:t>审查内容</w:t>
            </w:r>
          </w:p>
        </w:tc>
        <w:tc>
          <w:tcPr>
            <w:tcW w:w="1028" w:type="pct"/>
            <w:noWrap w:val="0"/>
            <w:vAlign w:val="center"/>
          </w:tcPr>
          <w:p w14:paraId="502F5168">
            <w:pPr>
              <w:tabs>
                <w:tab w:val="left" w:pos="1080"/>
              </w:tabs>
              <w:snapToGrid w:val="0"/>
              <w:jc w:val="center"/>
              <w:rPr>
                <w:b/>
                <w:color w:val="auto"/>
                <w:sz w:val="24"/>
              </w:rPr>
            </w:pPr>
            <w:r>
              <w:rPr>
                <w:b/>
                <w:color w:val="auto"/>
                <w:sz w:val="24"/>
              </w:rPr>
              <w:t>格式要求</w:t>
            </w:r>
          </w:p>
        </w:tc>
      </w:tr>
      <w:tr w14:paraId="087BD3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377" w:type="pct"/>
            <w:noWrap w:val="0"/>
            <w:vAlign w:val="center"/>
          </w:tcPr>
          <w:p w14:paraId="48604CA1">
            <w:pPr>
              <w:tabs>
                <w:tab w:val="left" w:pos="1080"/>
              </w:tabs>
              <w:snapToGrid w:val="0"/>
              <w:jc w:val="center"/>
              <w:rPr>
                <w:color w:val="auto"/>
                <w:sz w:val="24"/>
              </w:rPr>
            </w:pPr>
            <w:r>
              <w:rPr>
                <w:color w:val="auto"/>
                <w:sz w:val="24"/>
              </w:rPr>
              <w:t>1</w:t>
            </w:r>
          </w:p>
        </w:tc>
        <w:tc>
          <w:tcPr>
            <w:tcW w:w="1014" w:type="pct"/>
            <w:noWrap w:val="0"/>
            <w:vAlign w:val="center"/>
          </w:tcPr>
          <w:p w14:paraId="00E5DA4C">
            <w:pPr>
              <w:tabs>
                <w:tab w:val="left" w:pos="1080"/>
              </w:tabs>
              <w:snapToGrid w:val="0"/>
              <w:rPr>
                <w:color w:val="auto"/>
                <w:sz w:val="24"/>
              </w:rPr>
            </w:pPr>
            <w:r>
              <w:rPr>
                <w:color w:val="auto"/>
                <w:sz w:val="24"/>
              </w:rPr>
              <w:t>满足《中华人民共和国政府采购法》第二十二条规定及法律法规的其他规定</w:t>
            </w:r>
          </w:p>
        </w:tc>
        <w:tc>
          <w:tcPr>
            <w:tcW w:w="2580" w:type="pct"/>
            <w:noWrap w:val="0"/>
            <w:vAlign w:val="center"/>
          </w:tcPr>
          <w:p w14:paraId="6677A027">
            <w:pPr>
              <w:tabs>
                <w:tab w:val="left" w:pos="1080"/>
              </w:tabs>
              <w:snapToGrid w:val="0"/>
              <w:rPr>
                <w:color w:val="auto"/>
                <w:sz w:val="24"/>
              </w:rPr>
            </w:pPr>
            <w:r>
              <w:rPr>
                <w:color w:val="auto"/>
                <w:sz w:val="24"/>
              </w:rPr>
              <w:t>具体规定见第一章《采购邀请》</w:t>
            </w:r>
          </w:p>
        </w:tc>
        <w:tc>
          <w:tcPr>
            <w:tcW w:w="1028" w:type="pct"/>
            <w:noWrap w:val="0"/>
            <w:vAlign w:val="center"/>
          </w:tcPr>
          <w:p w14:paraId="7AA403E8">
            <w:pPr>
              <w:tabs>
                <w:tab w:val="left" w:pos="1080"/>
              </w:tabs>
              <w:snapToGrid w:val="0"/>
              <w:rPr>
                <w:color w:val="auto"/>
                <w:sz w:val="24"/>
              </w:rPr>
            </w:pPr>
          </w:p>
        </w:tc>
      </w:tr>
      <w:tr w14:paraId="564651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377" w:type="pct"/>
            <w:noWrap w:val="0"/>
            <w:vAlign w:val="center"/>
          </w:tcPr>
          <w:p w14:paraId="20908C35">
            <w:pPr>
              <w:tabs>
                <w:tab w:val="left" w:pos="1080"/>
              </w:tabs>
              <w:snapToGrid w:val="0"/>
              <w:jc w:val="center"/>
              <w:rPr>
                <w:color w:val="auto"/>
                <w:sz w:val="24"/>
              </w:rPr>
            </w:pPr>
            <w:r>
              <w:rPr>
                <w:color w:val="auto"/>
                <w:sz w:val="24"/>
              </w:rPr>
              <w:t>1-1</w:t>
            </w:r>
          </w:p>
        </w:tc>
        <w:tc>
          <w:tcPr>
            <w:tcW w:w="1014" w:type="pct"/>
            <w:noWrap w:val="0"/>
            <w:vAlign w:val="center"/>
          </w:tcPr>
          <w:p w14:paraId="41D1FDA0">
            <w:pPr>
              <w:tabs>
                <w:tab w:val="left" w:pos="1080"/>
              </w:tabs>
              <w:snapToGrid w:val="0"/>
              <w:rPr>
                <w:color w:val="auto"/>
                <w:sz w:val="24"/>
              </w:rPr>
            </w:pPr>
            <w:r>
              <w:rPr>
                <w:rFonts w:hint="eastAsia"/>
                <w:color w:val="auto"/>
                <w:sz w:val="24"/>
              </w:rPr>
              <w:t>供应商资格声明函</w:t>
            </w:r>
          </w:p>
        </w:tc>
        <w:tc>
          <w:tcPr>
            <w:tcW w:w="2580" w:type="pct"/>
            <w:noWrap w:val="0"/>
            <w:vAlign w:val="center"/>
          </w:tcPr>
          <w:p w14:paraId="65723A38">
            <w:pPr>
              <w:tabs>
                <w:tab w:val="left" w:pos="1080"/>
              </w:tabs>
              <w:snapToGrid w:val="0"/>
              <w:rPr>
                <w:color w:val="auto"/>
                <w:sz w:val="24"/>
              </w:rPr>
            </w:pPr>
            <w:r>
              <w:rPr>
                <w:color w:val="auto"/>
                <w:sz w:val="24"/>
              </w:rPr>
              <w:t>提供了符合</w:t>
            </w:r>
            <w:r>
              <w:rPr>
                <w:rFonts w:hint="eastAsia"/>
                <w:color w:val="auto"/>
                <w:sz w:val="24"/>
              </w:rPr>
              <w:t>询价通知书</w:t>
            </w:r>
            <w:r>
              <w:rPr>
                <w:color w:val="auto"/>
                <w:sz w:val="24"/>
              </w:rPr>
              <w:t>要求的《</w:t>
            </w:r>
            <w:r>
              <w:rPr>
                <w:rFonts w:hint="eastAsia"/>
                <w:color w:val="auto"/>
                <w:sz w:val="24"/>
              </w:rPr>
              <w:t>供应商资格声明函</w:t>
            </w:r>
            <w:r>
              <w:rPr>
                <w:color w:val="auto"/>
                <w:sz w:val="24"/>
              </w:rPr>
              <w:t>》。</w:t>
            </w:r>
          </w:p>
        </w:tc>
        <w:tc>
          <w:tcPr>
            <w:tcW w:w="1028" w:type="pct"/>
            <w:noWrap w:val="0"/>
            <w:vAlign w:val="center"/>
          </w:tcPr>
          <w:p w14:paraId="57FF0E4C">
            <w:pPr>
              <w:tabs>
                <w:tab w:val="left" w:pos="1080"/>
              </w:tabs>
              <w:snapToGrid w:val="0"/>
              <w:rPr>
                <w:color w:val="auto"/>
                <w:sz w:val="24"/>
              </w:rPr>
            </w:pPr>
            <w:r>
              <w:rPr>
                <w:color w:val="auto"/>
                <w:sz w:val="24"/>
              </w:rPr>
              <w:t>格式见《</w:t>
            </w:r>
            <w:r>
              <w:rPr>
                <w:rFonts w:hint="eastAsia"/>
                <w:color w:val="auto"/>
                <w:sz w:val="24"/>
              </w:rPr>
              <w:t>响应</w:t>
            </w:r>
            <w:r>
              <w:rPr>
                <w:color w:val="auto"/>
                <w:sz w:val="24"/>
              </w:rPr>
              <w:t>文件格式》</w:t>
            </w:r>
          </w:p>
        </w:tc>
      </w:tr>
      <w:tr w14:paraId="1D92C6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377" w:type="pct"/>
            <w:noWrap w:val="0"/>
            <w:vAlign w:val="center"/>
          </w:tcPr>
          <w:p w14:paraId="44496E21">
            <w:pPr>
              <w:tabs>
                <w:tab w:val="left" w:pos="1080"/>
              </w:tabs>
              <w:snapToGrid w:val="0"/>
              <w:jc w:val="center"/>
              <w:rPr>
                <w:color w:val="auto"/>
                <w:sz w:val="24"/>
              </w:rPr>
            </w:pPr>
            <w:r>
              <w:rPr>
                <w:color w:val="auto"/>
                <w:sz w:val="24"/>
              </w:rPr>
              <w:t>1-</w:t>
            </w:r>
            <w:r>
              <w:rPr>
                <w:rFonts w:hint="eastAsia"/>
                <w:color w:val="auto"/>
                <w:sz w:val="24"/>
              </w:rPr>
              <w:t>2</w:t>
            </w:r>
          </w:p>
        </w:tc>
        <w:tc>
          <w:tcPr>
            <w:tcW w:w="1014" w:type="pct"/>
            <w:noWrap w:val="0"/>
            <w:vAlign w:val="center"/>
          </w:tcPr>
          <w:p w14:paraId="40B43E88">
            <w:pPr>
              <w:tabs>
                <w:tab w:val="left" w:pos="1080"/>
              </w:tabs>
              <w:snapToGrid w:val="0"/>
              <w:rPr>
                <w:color w:val="auto"/>
                <w:sz w:val="24"/>
              </w:rPr>
            </w:pPr>
            <w:r>
              <w:rPr>
                <w:color w:val="auto"/>
                <w:sz w:val="24"/>
              </w:rPr>
              <w:t>供应商信用记录</w:t>
            </w:r>
          </w:p>
        </w:tc>
        <w:tc>
          <w:tcPr>
            <w:tcW w:w="2580" w:type="pct"/>
            <w:noWrap w:val="0"/>
            <w:vAlign w:val="center"/>
          </w:tcPr>
          <w:p w14:paraId="649B1416">
            <w:pPr>
              <w:tabs>
                <w:tab w:val="left" w:pos="1080"/>
              </w:tabs>
              <w:snapToGrid w:val="0"/>
              <w:rPr>
                <w:color w:val="auto"/>
                <w:sz w:val="24"/>
              </w:rPr>
            </w:pPr>
            <w:r>
              <w:rPr>
                <w:color w:val="auto"/>
                <w:sz w:val="24"/>
              </w:rPr>
              <w:t>查询渠道：信用中国网站和中国政府采购网（</w:t>
            </w:r>
            <w:r>
              <w:rPr>
                <w:color w:val="auto"/>
              </w:rPr>
              <w:t>www.creditchina.gov.cn</w:t>
            </w:r>
            <w:r>
              <w:rPr>
                <w:color w:val="auto"/>
                <w:sz w:val="24"/>
              </w:rPr>
              <w:t>、</w:t>
            </w:r>
            <w:r>
              <w:rPr>
                <w:color w:val="auto"/>
              </w:rPr>
              <w:t>www.ccgp.gov.cn</w:t>
            </w:r>
            <w:r>
              <w:rPr>
                <w:color w:val="auto"/>
                <w:sz w:val="24"/>
              </w:rPr>
              <w:t>）；</w:t>
            </w:r>
          </w:p>
          <w:p w14:paraId="2D146FDD">
            <w:pPr>
              <w:tabs>
                <w:tab w:val="left" w:pos="900"/>
                <w:tab w:val="left" w:pos="1980"/>
              </w:tabs>
              <w:snapToGrid w:val="0"/>
              <w:rPr>
                <w:color w:val="auto"/>
                <w:sz w:val="24"/>
              </w:rPr>
            </w:pPr>
            <w:r>
              <w:rPr>
                <w:color w:val="auto"/>
                <w:sz w:val="24"/>
              </w:rPr>
              <w:t>截止时点：提交响应文件截止时间以后、资格审查阶段采购人或采购代理机构的实际</w:t>
            </w:r>
            <w:r>
              <w:rPr>
                <w:rFonts w:hint="eastAsia"/>
                <w:color w:val="auto"/>
                <w:sz w:val="24"/>
              </w:rPr>
              <w:t>核</w:t>
            </w:r>
            <w:r>
              <w:rPr>
                <w:color w:val="auto"/>
                <w:sz w:val="24"/>
              </w:rPr>
              <w:t>查时间；</w:t>
            </w:r>
          </w:p>
          <w:p w14:paraId="27EF08C8">
            <w:pPr>
              <w:tabs>
                <w:tab w:val="left" w:pos="900"/>
                <w:tab w:val="left" w:pos="1980"/>
              </w:tabs>
              <w:snapToGrid w:val="0"/>
              <w:rPr>
                <w:color w:val="auto"/>
                <w:sz w:val="24"/>
              </w:rPr>
            </w:pPr>
            <w:r>
              <w:rPr>
                <w:color w:val="auto"/>
                <w:sz w:val="24"/>
              </w:rPr>
              <w:t>信用信息查询记录和证据留存具体方式：查询结果网页打印页作为查询记录和证据，与其他询价通知书一并保存；</w:t>
            </w:r>
          </w:p>
          <w:p w14:paraId="18811F43">
            <w:pPr>
              <w:tabs>
                <w:tab w:val="left" w:pos="1080"/>
              </w:tabs>
              <w:snapToGrid w:val="0"/>
              <w:rPr>
                <w:color w:val="auto"/>
                <w:sz w:val="24"/>
              </w:rPr>
            </w:pPr>
            <w:r>
              <w:rPr>
                <w:color w:val="auto"/>
                <w:sz w:val="24"/>
              </w:rPr>
              <w:t>信用信息的使用原则：经认定的被列入失信被执行人、重大税收违法案件当事人名单、政府采购严重违法失信行为记录名单的供应商，其</w:t>
            </w:r>
            <w:r>
              <w:rPr>
                <w:b/>
                <w:color w:val="auto"/>
                <w:sz w:val="24"/>
              </w:rPr>
              <w:t>响应无效</w:t>
            </w:r>
            <w:r>
              <w:rPr>
                <w:color w:val="auto"/>
                <w:sz w:val="24"/>
              </w:rPr>
              <w:t>。联合体形式响应的，联合体成员存在不良信用记录，视同联合体存在不良信用记录。</w:t>
            </w:r>
          </w:p>
        </w:tc>
        <w:tc>
          <w:tcPr>
            <w:tcW w:w="1028" w:type="pct"/>
            <w:noWrap w:val="0"/>
            <w:vAlign w:val="center"/>
          </w:tcPr>
          <w:p w14:paraId="2629A670">
            <w:pPr>
              <w:tabs>
                <w:tab w:val="left" w:pos="1080"/>
              </w:tabs>
              <w:snapToGrid w:val="0"/>
              <w:spacing w:line="360" w:lineRule="auto"/>
              <w:rPr>
                <w:color w:val="auto"/>
                <w:sz w:val="24"/>
              </w:rPr>
            </w:pPr>
            <w:r>
              <w:rPr>
                <w:rFonts w:hint="eastAsia"/>
                <w:color w:val="auto"/>
                <w:sz w:val="24"/>
              </w:rPr>
              <w:t>无需投标人（供应商）提供材料。由采购人</w:t>
            </w:r>
            <w:r>
              <w:rPr>
                <w:rFonts w:hint="eastAsia"/>
                <w:color w:val="auto"/>
                <w:sz w:val="24"/>
                <w:lang w:val="en-US" w:eastAsia="zh-CN"/>
              </w:rPr>
              <w:t>或采购代理机构</w:t>
            </w:r>
            <w:r>
              <w:rPr>
                <w:rFonts w:hint="eastAsia"/>
                <w:color w:val="auto"/>
                <w:sz w:val="24"/>
              </w:rPr>
              <w:t>审查。</w:t>
            </w:r>
          </w:p>
        </w:tc>
      </w:tr>
      <w:tr w14:paraId="610C2E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577" w:hRule="atLeast"/>
        </w:trPr>
        <w:tc>
          <w:tcPr>
            <w:tcW w:w="377" w:type="pct"/>
            <w:noWrap w:val="0"/>
            <w:vAlign w:val="center"/>
          </w:tcPr>
          <w:p w14:paraId="783573FB">
            <w:pPr>
              <w:tabs>
                <w:tab w:val="left" w:pos="1080"/>
              </w:tabs>
              <w:snapToGrid w:val="0"/>
              <w:jc w:val="center"/>
              <w:rPr>
                <w:color w:val="auto"/>
                <w:sz w:val="24"/>
              </w:rPr>
            </w:pPr>
            <w:r>
              <w:rPr>
                <w:color w:val="auto"/>
                <w:sz w:val="24"/>
              </w:rPr>
              <w:t>2</w:t>
            </w:r>
          </w:p>
        </w:tc>
        <w:tc>
          <w:tcPr>
            <w:tcW w:w="1014" w:type="pct"/>
            <w:noWrap w:val="0"/>
            <w:vAlign w:val="center"/>
          </w:tcPr>
          <w:p w14:paraId="1A42B734">
            <w:pPr>
              <w:tabs>
                <w:tab w:val="left" w:pos="1080"/>
              </w:tabs>
              <w:snapToGrid w:val="0"/>
              <w:rPr>
                <w:color w:val="auto"/>
                <w:sz w:val="24"/>
              </w:rPr>
            </w:pPr>
            <w:r>
              <w:rPr>
                <w:color w:val="auto"/>
                <w:sz w:val="24"/>
              </w:rPr>
              <w:t>落实政府采购政策需满足的资格要求</w:t>
            </w:r>
          </w:p>
        </w:tc>
        <w:tc>
          <w:tcPr>
            <w:tcW w:w="2580" w:type="pct"/>
            <w:noWrap w:val="0"/>
            <w:vAlign w:val="center"/>
          </w:tcPr>
          <w:p w14:paraId="2254A377">
            <w:pPr>
              <w:tabs>
                <w:tab w:val="left" w:pos="1080"/>
              </w:tabs>
              <w:snapToGrid w:val="0"/>
              <w:rPr>
                <w:color w:val="auto"/>
                <w:sz w:val="24"/>
              </w:rPr>
            </w:pPr>
            <w:r>
              <w:rPr>
                <w:color w:val="auto"/>
                <w:sz w:val="24"/>
              </w:rPr>
              <w:t>具体要求见第一章《采购邀请》</w:t>
            </w:r>
          </w:p>
        </w:tc>
        <w:tc>
          <w:tcPr>
            <w:tcW w:w="1028" w:type="pct"/>
            <w:noWrap w:val="0"/>
            <w:vAlign w:val="center"/>
          </w:tcPr>
          <w:p w14:paraId="5433D7E6">
            <w:pPr>
              <w:tabs>
                <w:tab w:val="left" w:pos="1080"/>
              </w:tabs>
              <w:snapToGrid w:val="0"/>
              <w:rPr>
                <w:color w:val="auto"/>
                <w:sz w:val="24"/>
              </w:rPr>
            </w:pPr>
          </w:p>
        </w:tc>
      </w:tr>
      <w:tr w14:paraId="07AF33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377" w:type="pct"/>
            <w:noWrap w:val="0"/>
            <w:vAlign w:val="center"/>
          </w:tcPr>
          <w:p w14:paraId="62CDD5DC">
            <w:pPr>
              <w:tabs>
                <w:tab w:val="left" w:pos="1080"/>
              </w:tabs>
              <w:snapToGrid w:val="0"/>
              <w:jc w:val="center"/>
              <w:rPr>
                <w:color w:val="auto"/>
                <w:sz w:val="24"/>
              </w:rPr>
            </w:pPr>
            <w:r>
              <w:rPr>
                <w:color w:val="auto"/>
                <w:sz w:val="24"/>
              </w:rPr>
              <w:t>2-1</w:t>
            </w:r>
          </w:p>
        </w:tc>
        <w:tc>
          <w:tcPr>
            <w:tcW w:w="1014" w:type="pct"/>
            <w:noWrap w:val="0"/>
            <w:vAlign w:val="center"/>
          </w:tcPr>
          <w:p w14:paraId="379C21D9">
            <w:pPr>
              <w:tabs>
                <w:tab w:val="left" w:pos="1080"/>
              </w:tabs>
              <w:snapToGrid w:val="0"/>
              <w:rPr>
                <w:color w:val="auto"/>
                <w:sz w:val="24"/>
              </w:rPr>
            </w:pPr>
            <w:r>
              <w:rPr>
                <w:color w:val="auto"/>
                <w:sz w:val="24"/>
              </w:rPr>
              <w:t>中小企业声明函</w:t>
            </w:r>
          </w:p>
        </w:tc>
        <w:tc>
          <w:tcPr>
            <w:tcW w:w="2580" w:type="pct"/>
            <w:noWrap w:val="0"/>
            <w:vAlign w:val="center"/>
          </w:tcPr>
          <w:p w14:paraId="3D18F7FE">
            <w:pPr>
              <w:tabs>
                <w:tab w:val="left" w:pos="1080"/>
              </w:tabs>
              <w:snapToGrid w:val="0"/>
              <w:rPr>
                <w:rFonts w:hint="eastAsia"/>
                <w:iCs/>
                <w:color w:val="auto"/>
                <w:sz w:val="24"/>
              </w:rPr>
            </w:pPr>
            <w:r>
              <w:rPr>
                <w:rFonts w:hint="eastAsia"/>
                <w:iCs/>
                <w:color w:val="auto"/>
                <w:sz w:val="24"/>
              </w:rPr>
              <w:t>（本条仅适用专门面向中小企业采购的项目）</w:t>
            </w:r>
          </w:p>
          <w:p w14:paraId="5CC2DBB8">
            <w:pPr>
              <w:tabs>
                <w:tab w:val="left" w:pos="1080"/>
              </w:tabs>
              <w:snapToGrid w:val="0"/>
              <w:rPr>
                <w:rFonts w:hint="eastAsia"/>
                <w:color w:val="auto"/>
                <w:sz w:val="24"/>
              </w:rPr>
            </w:pPr>
          </w:p>
          <w:p w14:paraId="08602C91">
            <w:pPr>
              <w:tabs>
                <w:tab w:val="left" w:pos="1080"/>
              </w:tabs>
              <w:snapToGrid w:val="0"/>
              <w:rPr>
                <w:color w:val="auto"/>
                <w:sz w:val="24"/>
              </w:rPr>
            </w:pPr>
            <w:r>
              <w:rPr>
                <w:rFonts w:hint="eastAsia"/>
                <w:color w:val="auto"/>
                <w:sz w:val="24"/>
              </w:rPr>
              <w:t>1、供应商单独响应的，应提供中小企业声明函；如为监狱企业或残疾人福利性单位，不必提供中小企业声明函，但须按注1或注2要求提供证明材料。</w:t>
            </w:r>
          </w:p>
          <w:p w14:paraId="5C8D232A">
            <w:pPr>
              <w:tabs>
                <w:tab w:val="left" w:pos="1080"/>
              </w:tabs>
              <w:snapToGrid w:val="0"/>
              <w:rPr>
                <w:color w:val="auto"/>
                <w:sz w:val="24"/>
              </w:rPr>
            </w:pPr>
            <w:r>
              <w:rPr>
                <w:rFonts w:hint="eastAsia"/>
                <w:color w:val="auto"/>
                <w:sz w:val="24"/>
              </w:rPr>
              <w:t>2、如询价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14:paraId="57EFB2B0">
            <w:pPr>
              <w:tabs>
                <w:tab w:val="left" w:pos="1080"/>
              </w:tabs>
              <w:snapToGrid w:val="0"/>
              <w:rPr>
                <w:color w:val="auto"/>
                <w:sz w:val="24"/>
              </w:rPr>
            </w:pPr>
          </w:p>
          <w:p w14:paraId="01FD9532">
            <w:pPr>
              <w:tabs>
                <w:tab w:val="left" w:pos="1080"/>
              </w:tabs>
              <w:snapToGrid w:val="0"/>
              <w:rPr>
                <w:color w:val="auto"/>
                <w:sz w:val="24"/>
              </w:rPr>
            </w:pPr>
            <w:r>
              <w:rPr>
                <w:rFonts w:hint="eastAsia"/>
                <w:color w:val="auto"/>
                <w:sz w:val="24"/>
              </w:rPr>
              <w:t>注1：监狱企业须提供由省级以上监狱管理局（常州市含教育矫治局）、戒毒管理局（含新疆生产建设兵团）出具的属于监狱企业的证明文件。</w:t>
            </w:r>
          </w:p>
          <w:p w14:paraId="70723ABE">
            <w:pPr>
              <w:tabs>
                <w:tab w:val="left" w:pos="1080"/>
              </w:tabs>
              <w:snapToGrid w:val="0"/>
              <w:rPr>
                <w:color w:val="auto"/>
                <w:sz w:val="24"/>
              </w:rPr>
            </w:pPr>
            <w:r>
              <w:rPr>
                <w:rFonts w:hint="eastAsia"/>
                <w:color w:val="auto"/>
                <w:sz w:val="24"/>
              </w:rPr>
              <w:t>注2：残疾人福利性单位须按询价文件要求提供《残疾人福利性单位声明函》。</w:t>
            </w:r>
          </w:p>
        </w:tc>
        <w:tc>
          <w:tcPr>
            <w:tcW w:w="1028" w:type="pct"/>
            <w:noWrap w:val="0"/>
            <w:vAlign w:val="center"/>
          </w:tcPr>
          <w:p w14:paraId="74FA1802">
            <w:pPr>
              <w:tabs>
                <w:tab w:val="left" w:pos="1080"/>
              </w:tabs>
              <w:snapToGrid w:val="0"/>
              <w:rPr>
                <w:color w:val="auto"/>
                <w:sz w:val="24"/>
              </w:rPr>
            </w:pPr>
            <w:r>
              <w:rPr>
                <w:color w:val="auto"/>
                <w:sz w:val="24"/>
              </w:rPr>
              <w:t>格式见《响应文件格式》</w:t>
            </w:r>
          </w:p>
        </w:tc>
      </w:tr>
      <w:tr w14:paraId="6C8999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41" w:hRule="atLeast"/>
        </w:trPr>
        <w:tc>
          <w:tcPr>
            <w:tcW w:w="377" w:type="pct"/>
            <w:noWrap w:val="0"/>
            <w:vAlign w:val="center"/>
          </w:tcPr>
          <w:p w14:paraId="207465D5">
            <w:pPr>
              <w:tabs>
                <w:tab w:val="left" w:pos="1080"/>
              </w:tabs>
              <w:snapToGrid w:val="0"/>
              <w:jc w:val="center"/>
              <w:rPr>
                <w:color w:val="auto"/>
                <w:sz w:val="24"/>
              </w:rPr>
            </w:pPr>
            <w:r>
              <w:rPr>
                <w:color w:val="auto"/>
                <w:sz w:val="24"/>
              </w:rPr>
              <w:t>2-3</w:t>
            </w:r>
          </w:p>
        </w:tc>
        <w:tc>
          <w:tcPr>
            <w:tcW w:w="1014" w:type="pct"/>
            <w:noWrap w:val="0"/>
            <w:vAlign w:val="center"/>
          </w:tcPr>
          <w:p w14:paraId="49D11C5B">
            <w:pPr>
              <w:tabs>
                <w:tab w:val="left" w:pos="1080"/>
              </w:tabs>
              <w:snapToGrid w:val="0"/>
              <w:rPr>
                <w:color w:val="auto"/>
                <w:sz w:val="24"/>
              </w:rPr>
            </w:pPr>
            <w:r>
              <w:rPr>
                <w:color w:val="auto"/>
                <w:sz w:val="24"/>
              </w:rPr>
              <w:t>其它落实政府采购政策的资格要求</w:t>
            </w:r>
          </w:p>
        </w:tc>
        <w:tc>
          <w:tcPr>
            <w:tcW w:w="2580" w:type="pct"/>
            <w:noWrap w:val="0"/>
            <w:vAlign w:val="center"/>
          </w:tcPr>
          <w:p w14:paraId="24E4DC1C">
            <w:pPr>
              <w:tabs>
                <w:tab w:val="left" w:pos="1080"/>
              </w:tabs>
              <w:snapToGrid w:val="0"/>
              <w:rPr>
                <w:color w:val="auto"/>
                <w:sz w:val="24"/>
              </w:rPr>
            </w:pPr>
            <w:r>
              <w:rPr>
                <w:color w:val="auto"/>
                <w:sz w:val="24"/>
              </w:rPr>
              <w:t>如有，见第一章《采购邀请》</w:t>
            </w:r>
          </w:p>
        </w:tc>
        <w:tc>
          <w:tcPr>
            <w:tcW w:w="1028" w:type="pct"/>
            <w:noWrap w:val="0"/>
            <w:vAlign w:val="center"/>
          </w:tcPr>
          <w:p w14:paraId="2FB70A94">
            <w:pPr>
              <w:tabs>
                <w:tab w:val="left" w:pos="1080"/>
              </w:tabs>
              <w:snapToGrid w:val="0"/>
              <w:rPr>
                <w:color w:val="auto"/>
                <w:sz w:val="24"/>
              </w:rPr>
            </w:pPr>
            <w:r>
              <w:rPr>
                <w:color w:val="auto"/>
                <w:sz w:val="24"/>
              </w:rPr>
              <w:t>提供证明文件的</w:t>
            </w:r>
            <w:r>
              <w:rPr>
                <w:rFonts w:hint="eastAsia"/>
                <w:color w:val="auto"/>
                <w:sz w:val="24"/>
              </w:rPr>
              <w:t>复印件加盖公章</w:t>
            </w:r>
          </w:p>
        </w:tc>
      </w:tr>
      <w:tr w14:paraId="6577EF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72" w:hRule="atLeast"/>
        </w:trPr>
        <w:tc>
          <w:tcPr>
            <w:tcW w:w="377" w:type="pct"/>
            <w:noWrap w:val="0"/>
            <w:vAlign w:val="center"/>
          </w:tcPr>
          <w:p w14:paraId="15E9DAC1">
            <w:pPr>
              <w:tabs>
                <w:tab w:val="left" w:pos="1080"/>
              </w:tabs>
              <w:snapToGrid w:val="0"/>
              <w:jc w:val="center"/>
              <w:rPr>
                <w:color w:val="auto"/>
                <w:sz w:val="24"/>
              </w:rPr>
            </w:pPr>
            <w:r>
              <w:rPr>
                <w:color w:val="auto"/>
                <w:sz w:val="24"/>
              </w:rPr>
              <w:t>3</w:t>
            </w:r>
          </w:p>
        </w:tc>
        <w:tc>
          <w:tcPr>
            <w:tcW w:w="1014" w:type="pct"/>
            <w:noWrap w:val="0"/>
            <w:vAlign w:val="center"/>
          </w:tcPr>
          <w:p w14:paraId="05CBC201">
            <w:pPr>
              <w:tabs>
                <w:tab w:val="left" w:pos="1080"/>
              </w:tabs>
              <w:snapToGrid w:val="0"/>
              <w:rPr>
                <w:color w:val="auto"/>
                <w:sz w:val="24"/>
              </w:rPr>
            </w:pPr>
            <w:r>
              <w:rPr>
                <w:color w:val="auto"/>
                <w:sz w:val="24"/>
              </w:rPr>
              <w:t>本项目的特定资格要求</w:t>
            </w:r>
          </w:p>
        </w:tc>
        <w:tc>
          <w:tcPr>
            <w:tcW w:w="2580" w:type="pct"/>
            <w:noWrap w:val="0"/>
            <w:vAlign w:val="center"/>
          </w:tcPr>
          <w:p w14:paraId="77687B73">
            <w:pPr>
              <w:tabs>
                <w:tab w:val="left" w:pos="1080"/>
              </w:tabs>
              <w:snapToGrid w:val="0"/>
              <w:rPr>
                <w:color w:val="auto"/>
                <w:sz w:val="24"/>
              </w:rPr>
            </w:pPr>
            <w:r>
              <w:rPr>
                <w:color w:val="auto"/>
                <w:sz w:val="24"/>
              </w:rPr>
              <w:t>如有，见第一章《采购邀请》</w:t>
            </w:r>
          </w:p>
        </w:tc>
        <w:tc>
          <w:tcPr>
            <w:tcW w:w="1028" w:type="pct"/>
            <w:noWrap w:val="0"/>
            <w:vAlign w:val="center"/>
          </w:tcPr>
          <w:p w14:paraId="35959BF1">
            <w:pPr>
              <w:tabs>
                <w:tab w:val="left" w:pos="1080"/>
              </w:tabs>
              <w:snapToGrid w:val="0"/>
              <w:rPr>
                <w:color w:val="auto"/>
                <w:sz w:val="24"/>
              </w:rPr>
            </w:pPr>
          </w:p>
        </w:tc>
      </w:tr>
      <w:tr w14:paraId="7CBE96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58" w:hRule="atLeast"/>
        </w:trPr>
        <w:tc>
          <w:tcPr>
            <w:tcW w:w="377" w:type="pct"/>
            <w:noWrap w:val="0"/>
            <w:vAlign w:val="center"/>
          </w:tcPr>
          <w:p w14:paraId="77B9F5F3">
            <w:pPr>
              <w:tabs>
                <w:tab w:val="left" w:pos="1080"/>
              </w:tabs>
              <w:snapToGrid w:val="0"/>
              <w:jc w:val="center"/>
              <w:rPr>
                <w:rFonts w:hint="eastAsia"/>
                <w:color w:val="auto"/>
                <w:sz w:val="24"/>
              </w:rPr>
            </w:pPr>
            <w:r>
              <w:rPr>
                <w:color w:val="auto"/>
                <w:sz w:val="24"/>
              </w:rPr>
              <w:t>3-</w:t>
            </w:r>
            <w:r>
              <w:rPr>
                <w:rFonts w:hint="eastAsia"/>
                <w:color w:val="auto"/>
                <w:sz w:val="24"/>
              </w:rPr>
              <w:t>1</w:t>
            </w:r>
          </w:p>
        </w:tc>
        <w:tc>
          <w:tcPr>
            <w:tcW w:w="1014" w:type="pct"/>
            <w:noWrap w:val="0"/>
            <w:vAlign w:val="center"/>
          </w:tcPr>
          <w:p w14:paraId="15A3C32F">
            <w:pPr>
              <w:tabs>
                <w:tab w:val="left" w:pos="1080"/>
              </w:tabs>
              <w:snapToGrid w:val="0"/>
              <w:rPr>
                <w:color w:val="auto"/>
                <w:sz w:val="24"/>
              </w:rPr>
            </w:pPr>
            <w:r>
              <w:rPr>
                <w:color w:val="auto"/>
                <w:sz w:val="24"/>
              </w:rPr>
              <w:t>其他特定资格要求</w:t>
            </w:r>
          </w:p>
        </w:tc>
        <w:tc>
          <w:tcPr>
            <w:tcW w:w="2580" w:type="pct"/>
            <w:noWrap w:val="0"/>
            <w:vAlign w:val="center"/>
          </w:tcPr>
          <w:p w14:paraId="4BDD6B2D">
            <w:pPr>
              <w:tabs>
                <w:tab w:val="left" w:pos="1080"/>
              </w:tabs>
              <w:snapToGrid w:val="0"/>
              <w:rPr>
                <w:color w:val="auto"/>
                <w:sz w:val="24"/>
              </w:rPr>
            </w:pPr>
            <w:r>
              <w:rPr>
                <w:color w:val="auto"/>
                <w:sz w:val="24"/>
              </w:rPr>
              <w:t>如有，见第一章《采购邀请》</w:t>
            </w:r>
          </w:p>
        </w:tc>
        <w:tc>
          <w:tcPr>
            <w:tcW w:w="1028" w:type="pct"/>
            <w:noWrap w:val="0"/>
            <w:vAlign w:val="center"/>
          </w:tcPr>
          <w:p w14:paraId="35986D54">
            <w:pPr>
              <w:tabs>
                <w:tab w:val="left" w:pos="1080"/>
              </w:tabs>
              <w:snapToGrid w:val="0"/>
              <w:rPr>
                <w:color w:val="auto"/>
                <w:sz w:val="24"/>
              </w:rPr>
            </w:pPr>
            <w:r>
              <w:rPr>
                <w:color w:val="auto"/>
                <w:sz w:val="24"/>
              </w:rPr>
              <w:t>提供证明文件的</w:t>
            </w:r>
            <w:r>
              <w:rPr>
                <w:rFonts w:hint="eastAsia"/>
                <w:color w:val="auto"/>
                <w:sz w:val="24"/>
              </w:rPr>
              <w:t>复印件加盖公章</w:t>
            </w:r>
          </w:p>
        </w:tc>
      </w:tr>
    </w:tbl>
    <w:p w14:paraId="33966E8F">
      <w:pPr>
        <w:widowControl/>
        <w:jc w:val="left"/>
        <w:rPr>
          <w:rFonts w:hint="eastAsia"/>
          <w:color w:val="auto"/>
          <w:kern w:val="0"/>
          <w:sz w:val="24"/>
        </w:rPr>
      </w:pPr>
      <w:bookmarkStart w:id="527" w:name="_Hlt487900425"/>
      <w:bookmarkEnd w:id="527"/>
      <w:bookmarkStart w:id="528" w:name="_Hlt522424701"/>
      <w:bookmarkEnd w:id="528"/>
      <w:bookmarkStart w:id="529" w:name="_Toc353825550"/>
      <w:bookmarkStart w:id="530" w:name="_Toc353873940"/>
      <w:bookmarkStart w:id="531" w:name="_Toc127161490"/>
      <w:bookmarkStart w:id="532" w:name="_Toc127151779"/>
      <w:bookmarkStart w:id="533" w:name="_Toc226965858"/>
    </w:p>
    <w:p w14:paraId="2B6AF391">
      <w:pPr>
        <w:widowControl/>
        <w:jc w:val="left"/>
        <w:rPr>
          <w:rFonts w:hint="eastAsia"/>
          <w:color w:val="auto"/>
          <w:kern w:val="0"/>
          <w:sz w:val="24"/>
        </w:rPr>
      </w:pPr>
    </w:p>
    <w:p w14:paraId="4B4F7574">
      <w:pPr>
        <w:widowControl/>
        <w:jc w:val="left"/>
        <w:rPr>
          <w:rFonts w:hint="eastAsia"/>
          <w:color w:val="auto"/>
          <w:kern w:val="0"/>
          <w:sz w:val="24"/>
        </w:rPr>
      </w:pPr>
    </w:p>
    <w:p w14:paraId="586B5BD3">
      <w:pPr>
        <w:widowControl/>
        <w:jc w:val="left"/>
        <w:rPr>
          <w:rFonts w:hint="eastAsia"/>
          <w:color w:val="auto"/>
          <w:kern w:val="0"/>
          <w:sz w:val="24"/>
        </w:rPr>
      </w:pPr>
    </w:p>
    <w:p w14:paraId="0794C645">
      <w:pPr>
        <w:widowControl/>
        <w:jc w:val="left"/>
        <w:rPr>
          <w:rFonts w:hint="eastAsia"/>
          <w:color w:val="auto"/>
          <w:kern w:val="0"/>
          <w:sz w:val="24"/>
        </w:rPr>
      </w:pPr>
    </w:p>
    <w:p w14:paraId="320AEA15">
      <w:pPr>
        <w:widowControl/>
        <w:jc w:val="left"/>
        <w:rPr>
          <w:rFonts w:hint="eastAsia"/>
          <w:color w:val="auto"/>
          <w:kern w:val="0"/>
          <w:sz w:val="24"/>
        </w:rPr>
      </w:pPr>
    </w:p>
    <w:p w14:paraId="2CEEEB42">
      <w:pPr>
        <w:widowControl/>
        <w:jc w:val="left"/>
        <w:rPr>
          <w:rFonts w:hint="eastAsia"/>
          <w:color w:val="auto"/>
          <w:kern w:val="0"/>
          <w:sz w:val="24"/>
        </w:rPr>
      </w:pPr>
    </w:p>
    <w:p w14:paraId="1875C116">
      <w:pPr>
        <w:widowControl/>
        <w:jc w:val="left"/>
        <w:rPr>
          <w:rFonts w:hint="eastAsia"/>
          <w:color w:val="auto"/>
          <w:kern w:val="0"/>
          <w:sz w:val="24"/>
        </w:rPr>
      </w:pPr>
    </w:p>
    <w:p w14:paraId="4F3F9721">
      <w:pPr>
        <w:widowControl/>
        <w:jc w:val="left"/>
        <w:rPr>
          <w:rFonts w:hint="eastAsia"/>
          <w:color w:val="auto"/>
          <w:kern w:val="0"/>
          <w:sz w:val="24"/>
        </w:rPr>
      </w:pPr>
    </w:p>
    <w:p w14:paraId="0F8CBEB7">
      <w:pPr>
        <w:pStyle w:val="17"/>
        <w:numPr>
          <w:ilvl w:val="0"/>
          <w:numId w:val="58"/>
        </w:numPr>
        <w:ind w:left="0" w:leftChars="0" w:firstLine="480" w:firstLineChars="0"/>
        <w:rPr>
          <w:b w:val="0"/>
          <w:color w:val="auto"/>
        </w:rPr>
      </w:pPr>
      <w:r>
        <w:rPr>
          <w:color w:val="auto"/>
        </w:rPr>
        <w:t>《符合性检查要求》见下表：</w:t>
      </w:r>
      <w:bookmarkEnd w:id="529"/>
      <w:bookmarkEnd w:id="530"/>
      <w:bookmarkEnd w:id="531"/>
      <w:bookmarkEnd w:id="532"/>
      <w:bookmarkEnd w:id="533"/>
      <w:bookmarkStart w:id="534" w:name="_Toc353873941"/>
      <w:bookmarkStart w:id="535" w:name="_Toc353825551"/>
      <w:bookmarkStart w:id="536" w:name="_Toc226965828"/>
      <w:bookmarkStart w:id="537" w:name="_Toc142311057"/>
      <w:bookmarkStart w:id="538" w:name="_Toc226337251"/>
      <w:bookmarkStart w:id="539" w:name="_Toc127151555"/>
      <w:bookmarkStart w:id="540" w:name="_Toc265228393"/>
      <w:bookmarkStart w:id="541" w:name="_Toc305158823"/>
      <w:bookmarkStart w:id="542" w:name="_Toc150774760"/>
      <w:bookmarkStart w:id="543" w:name="_Toc353825545"/>
      <w:bookmarkStart w:id="544" w:name="_Toc150480793"/>
      <w:bookmarkStart w:id="545" w:name="_Toc353873935"/>
      <w:bookmarkStart w:id="546" w:name="_Toc305158897"/>
      <w:bookmarkStart w:id="547" w:name="_Toc195842920"/>
      <w:bookmarkStart w:id="548" w:name="_Toc264969245"/>
      <w:bookmarkStart w:id="549" w:name="_Toc353873665"/>
    </w:p>
    <w:p w14:paraId="42CE4D4C">
      <w:pPr>
        <w:pStyle w:val="265"/>
        <w:rPr>
          <w:color w:val="auto"/>
        </w:rPr>
      </w:pPr>
      <w:r>
        <w:rPr>
          <w:color w:val="auto"/>
        </w:rPr>
        <w:t>符合性审查要求</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4"/>
        <w:gridCol w:w="1812"/>
        <w:gridCol w:w="6732"/>
      </w:tblGrid>
      <w:tr w14:paraId="2E979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1" w:type="pct"/>
            <w:noWrap w:val="0"/>
            <w:vAlign w:val="center"/>
          </w:tcPr>
          <w:p w14:paraId="6ACBAD5F">
            <w:pPr>
              <w:widowControl/>
              <w:jc w:val="center"/>
              <w:rPr>
                <w:b/>
                <w:color w:val="auto"/>
                <w:kern w:val="0"/>
                <w:sz w:val="24"/>
              </w:rPr>
            </w:pPr>
            <w:r>
              <w:rPr>
                <w:b/>
                <w:color w:val="auto"/>
                <w:kern w:val="0"/>
                <w:sz w:val="24"/>
              </w:rPr>
              <w:t>序号</w:t>
            </w:r>
          </w:p>
        </w:tc>
        <w:tc>
          <w:tcPr>
            <w:tcW w:w="975" w:type="pct"/>
            <w:noWrap w:val="0"/>
            <w:vAlign w:val="center"/>
          </w:tcPr>
          <w:p w14:paraId="716F9C55">
            <w:pPr>
              <w:widowControl/>
              <w:jc w:val="center"/>
              <w:rPr>
                <w:b/>
                <w:color w:val="auto"/>
                <w:kern w:val="0"/>
                <w:sz w:val="24"/>
              </w:rPr>
            </w:pPr>
            <w:r>
              <w:rPr>
                <w:b/>
                <w:color w:val="auto"/>
                <w:kern w:val="0"/>
                <w:sz w:val="24"/>
              </w:rPr>
              <w:t>审查因素</w:t>
            </w:r>
          </w:p>
        </w:tc>
        <w:tc>
          <w:tcPr>
            <w:tcW w:w="3623" w:type="pct"/>
            <w:noWrap w:val="0"/>
            <w:vAlign w:val="center"/>
          </w:tcPr>
          <w:p w14:paraId="6C0F1396">
            <w:pPr>
              <w:widowControl/>
              <w:jc w:val="center"/>
              <w:rPr>
                <w:b/>
                <w:color w:val="auto"/>
                <w:kern w:val="0"/>
                <w:sz w:val="24"/>
              </w:rPr>
            </w:pPr>
            <w:r>
              <w:rPr>
                <w:b/>
                <w:color w:val="auto"/>
                <w:kern w:val="0"/>
                <w:sz w:val="24"/>
              </w:rPr>
              <w:t>审查内容</w:t>
            </w:r>
          </w:p>
        </w:tc>
      </w:tr>
      <w:tr w14:paraId="2B5B9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noWrap w:val="0"/>
            <w:vAlign w:val="center"/>
          </w:tcPr>
          <w:p w14:paraId="2894E429">
            <w:pPr>
              <w:widowControl/>
              <w:jc w:val="center"/>
              <w:rPr>
                <w:color w:val="auto"/>
                <w:kern w:val="0"/>
                <w:sz w:val="24"/>
              </w:rPr>
            </w:pPr>
            <w:r>
              <w:rPr>
                <w:color w:val="auto"/>
                <w:kern w:val="0"/>
                <w:sz w:val="24"/>
              </w:rPr>
              <w:t>1</w:t>
            </w:r>
          </w:p>
        </w:tc>
        <w:tc>
          <w:tcPr>
            <w:tcW w:w="975" w:type="pct"/>
            <w:noWrap w:val="0"/>
            <w:vAlign w:val="center"/>
          </w:tcPr>
          <w:p w14:paraId="7B0D86CA">
            <w:pPr>
              <w:widowControl/>
              <w:jc w:val="left"/>
              <w:rPr>
                <w:color w:val="auto"/>
                <w:kern w:val="0"/>
                <w:sz w:val="24"/>
              </w:rPr>
            </w:pPr>
            <w:r>
              <w:rPr>
                <w:rFonts w:hint="eastAsia"/>
                <w:color w:val="auto"/>
                <w:kern w:val="0"/>
                <w:sz w:val="24"/>
              </w:rPr>
              <w:t>响应函、</w:t>
            </w:r>
            <w:r>
              <w:rPr>
                <w:rFonts w:hint="eastAsia"/>
                <w:color w:val="auto"/>
                <w:sz w:val="24"/>
              </w:rPr>
              <w:t>法定代表人资格证明书、授权委托书（如有）和政府采购供应商信用承诺书</w:t>
            </w:r>
          </w:p>
        </w:tc>
        <w:tc>
          <w:tcPr>
            <w:tcW w:w="3623" w:type="pct"/>
            <w:noWrap w:val="0"/>
            <w:vAlign w:val="center"/>
          </w:tcPr>
          <w:p w14:paraId="22B15B7F">
            <w:pPr>
              <w:widowControl/>
              <w:jc w:val="left"/>
              <w:rPr>
                <w:rFonts w:hint="eastAsia"/>
                <w:color w:val="auto"/>
                <w:kern w:val="0"/>
                <w:sz w:val="24"/>
              </w:rPr>
            </w:pPr>
            <w:r>
              <w:rPr>
                <w:color w:val="auto"/>
                <w:kern w:val="0"/>
                <w:sz w:val="24"/>
              </w:rPr>
              <w:t>按询价通知书要求提供</w:t>
            </w:r>
            <w:r>
              <w:rPr>
                <w:rFonts w:hint="eastAsia"/>
                <w:color w:val="auto"/>
                <w:kern w:val="0"/>
                <w:sz w:val="24"/>
              </w:rPr>
              <w:t>响应函、</w:t>
            </w:r>
            <w:r>
              <w:rPr>
                <w:rFonts w:hint="eastAsia"/>
                <w:color w:val="auto"/>
                <w:sz w:val="24"/>
              </w:rPr>
              <w:t>法定代表人资格证明书、授权委托书（如有）和政府采购供应商信用承诺书</w:t>
            </w:r>
            <w:r>
              <w:rPr>
                <w:color w:val="auto"/>
                <w:kern w:val="0"/>
                <w:sz w:val="24"/>
              </w:rPr>
              <w:t>；</w:t>
            </w:r>
          </w:p>
        </w:tc>
      </w:tr>
      <w:tr w14:paraId="4FB52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noWrap w:val="0"/>
            <w:vAlign w:val="center"/>
          </w:tcPr>
          <w:p w14:paraId="48E49B47">
            <w:pPr>
              <w:widowControl/>
              <w:jc w:val="center"/>
              <w:rPr>
                <w:color w:val="auto"/>
                <w:kern w:val="0"/>
                <w:sz w:val="24"/>
              </w:rPr>
            </w:pPr>
            <w:r>
              <w:rPr>
                <w:color w:val="auto"/>
                <w:kern w:val="0"/>
                <w:sz w:val="24"/>
              </w:rPr>
              <w:t>2</w:t>
            </w:r>
          </w:p>
        </w:tc>
        <w:tc>
          <w:tcPr>
            <w:tcW w:w="975" w:type="pct"/>
            <w:noWrap w:val="0"/>
            <w:vAlign w:val="center"/>
          </w:tcPr>
          <w:p w14:paraId="2712B32B">
            <w:pPr>
              <w:widowControl/>
              <w:jc w:val="left"/>
              <w:rPr>
                <w:color w:val="auto"/>
                <w:kern w:val="0"/>
                <w:sz w:val="24"/>
              </w:rPr>
            </w:pPr>
            <w:r>
              <w:rPr>
                <w:color w:val="auto"/>
                <w:kern w:val="0"/>
                <w:sz w:val="24"/>
              </w:rPr>
              <w:t>响应完整性</w:t>
            </w:r>
          </w:p>
        </w:tc>
        <w:tc>
          <w:tcPr>
            <w:tcW w:w="3623" w:type="pct"/>
            <w:noWrap w:val="0"/>
            <w:vAlign w:val="center"/>
          </w:tcPr>
          <w:p w14:paraId="58B091AB">
            <w:pPr>
              <w:widowControl/>
              <w:jc w:val="left"/>
              <w:rPr>
                <w:rFonts w:hint="eastAsia"/>
                <w:color w:val="auto"/>
                <w:kern w:val="0"/>
                <w:sz w:val="24"/>
              </w:rPr>
            </w:pPr>
            <w:r>
              <w:rPr>
                <w:rFonts w:hint="eastAsia"/>
                <w:color w:val="auto"/>
                <w:sz w:val="24"/>
              </w:rPr>
              <w:t>未</w:t>
            </w:r>
            <w:r>
              <w:rPr>
                <w:color w:val="auto"/>
                <w:sz w:val="24"/>
              </w:rPr>
              <w:t>将一个采购包中的内容拆开响应；</w:t>
            </w:r>
          </w:p>
        </w:tc>
      </w:tr>
      <w:tr w14:paraId="2A7DE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noWrap w:val="0"/>
            <w:vAlign w:val="center"/>
          </w:tcPr>
          <w:p w14:paraId="38C6D387">
            <w:pPr>
              <w:widowControl/>
              <w:jc w:val="center"/>
              <w:rPr>
                <w:color w:val="auto"/>
                <w:kern w:val="0"/>
                <w:sz w:val="24"/>
              </w:rPr>
            </w:pPr>
            <w:r>
              <w:rPr>
                <w:color w:val="auto"/>
                <w:kern w:val="0"/>
                <w:sz w:val="24"/>
              </w:rPr>
              <w:t>3</w:t>
            </w:r>
          </w:p>
        </w:tc>
        <w:tc>
          <w:tcPr>
            <w:tcW w:w="975" w:type="pct"/>
            <w:noWrap w:val="0"/>
            <w:vAlign w:val="center"/>
          </w:tcPr>
          <w:p w14:paraId="2E5684AF">
            <w:pPr>
              <w:widowControl/>
              <w:jc w:val="left"/>
              <w:rPr>
                <w:color w:val="auto"/>
                <w:kern w:val="0"/>
                <w:sz w:val="24"/>
              </w:rPr>
            </w:pPr>
            <w:r>
              <w:rPr>
                <w:color w:val="auto"/>
                <w:kern w:val="0"/>
                <w:sz w:val="24"/>
              </w:rPr>
              <w:t>响应报价</w:t>
            </w:r>
          </w:p>
        </w:tc>
        <w:tc>
          <w:tcPr>
            <w:tcW w:w="3623" w:type="pct"/>
            <w:noWrap w:val="0"/>
            <w:vAlign w:val="center"/>
          </w:tcPr>
          <w:p w14:paraId="2522DFA4">
            <w:pPr>
              <w:widowControl/>
              <w:jc w:val="left"/>
              <w:rPr>
                <w:rFonts w:hint="eastAsia"/>
                <w:color w:val="auto"/>
                <w:kern w:val="0"/>
                <w:sz w:val="24"/>
              </w:rPr>
            </w:pPr>
            <w:r>
              <w:rPr>
                <w:color w:val="auto"/>
                <w:kern w:val="0"/>
                <w:sz w:val="24"/>
              </w:rPr>
              <w:t>响应报价</w:t>
            </w:r>
            <w:r>
              <w:rPr>
                <w:rFonts w:hint="eastAsia"/>
                <w:color w:val="auto"/>
                <w:kern w:val="0"/>
                <w:sz w:val="24"/>
              </w:rPr>
              <w:t>未</w:t>
            </w:r>
            <w:r>
              <w:rPr>
                <w:color w:val="auto"/>
                <w:sz w:val="24"/>
              </w:rPr>
              <w:t>超过询价通知书中规定的项目/采购包预算金额或者项目/采购包最高限价</w:t>
            </w:r>
            <w:r>
              <w:rPr>
                <w:color w:val="auto"/>
                <w:kern w:val="0"/>
                <w:sz w:val="24"/>
              </w:rPr>
              <w:t>；</w:t>
            </w:r>
          </w:p>
        </w:tc>
      </w:tr>
      <w:tr w14:paraId="45F1B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noWrap w:val="0"/>
            <w:vAlign w:val="center"/>
          </w:tcPr>
          <w:p w14:paraId="67800FDC">
            <w:pPr>
              <w:widowControl/>
              <w:jc w:val="center"/>
              <w:rPr>
                <w:color w:val="auto"/>
                <w:kern w:val="0"/>
                <w:sz w:val="24"/>
              </w:rPr>
            </w:pPr>
            <w:r>
              <w:rPr>
                <w:color w:val="auto"/>
                <w:kern w:val="0"/>
                <w:sz w:val="24"/>
              </w:rPr>
              <w:t>4</w:t>
            </w:r>
          </w:p>
        </w:tc>
        <w:tc>
          <w:tcPr>
            <w:tcW w:w="975" w:type="pct"/>
            <w:noWrap w:val="0"/>
            <w:vAlign w:val="center"/>
          </w:tcPr>
          <w:p w14:paraId="724F11D0">
            <w:pPr>
              <w:widowControl/>
              <w:jc w:val="left"/>
              <w:rPr>
                <w:color w:val="auto"/>
                <w:kern w:val="0"/>
                <w:sz w:val="24"/>
              </w:rPr>
            </w:pPr>
            <w:r>
              <w:rPr>
                <w:color w:val="auto"/>
                <w:kern w:val="0"/>
                <w:sz w:val="24"/>
              </w:rPr>
              <w:t>报价唯一性</w:t>
            </w:r>
          </w:p>
        </w:tc>
        <w:tc>
          <w:tcPr>
            <w:tcW w:w="3623" w:type="pct"/>
            <w:noWrap w:val="0"/>
            <w:vAlign w:val="center"/>
          </w:tcPr>
          <w:p w14:paraId="1C19A23A">
            <w:pPr>
              <w:widowControl/>
              <w:jc w:val="left"/>
              <w:rPr>
                <w:rFonts w:hint="eastAsia"/>
                <w:color w:val="auto"/>
                <w:kern w:val="0"/>
                <w:sz w:val="24"/>
              </w:rPr>
            </w:pPr>
            <w:r>
              <w:rPr>
                <w:color w:val="auto"/>
                <w:kern w:val="0"/>
                <w:sz w:val="24"/>
              </w:rPr>
              <w:t>响应文件</w:t>
            </w:r>
            <w:r>
              <w:rPr>
                <w:rFonts w:hint="eastAsia"/>
                <w:color w:val="auto"/>
                <w:kern w:val="0"/>
                <w:sz w:val="24"/>
              </w:rPr>
              <w:t>未</w:t>
            </w:r>
            <w:r>
              <w:rPr>
                <w:rFonts w:hint="eastAsia"/>
                <w:color w:val="auto"/>
                <w:sz w:val="24"/>
              </w:rPr>
              <w:t>出现可选择性或可调整的报价（询价通知书另有规定的除外）</w:t>
            </w:r>
            <w:r>
              <w:rPr>
                <w:color w:val="auto"/>
                <w:kern w:val="0"/>
                <w:sz w:val="24"/>
              </w:rPr>
              <w:t>；</w:t>
            </w:r>
          </w:p>
        </w:tc>
      </w:tr>
      <w:tr w14:paraId="5C10A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noWrap w:val="0"/>
            <w:vAlign w:val="center"/>
          </w:tcPr>
          <w:p w14:paraId="0A6E34F2">
            <w:pPr>
              <w:widowControl/>
              <w:jc w:val="center"/>
              <w:rPr>
                <w:color w:val="auto"/>
                <w:kern w:val="0"/>
                <w:sz w:val="24"/>
              </w:rPr>
            </w:pPr>
            <w:r>
              <w:rPr>
                <w:color w:val="auto"/>
                <w:kern w:val="0"/>
                <w:sz w:val="24"/>
              </w:rPr>
              <w:t>5</w:t>
            </w:r>
          </w:p>
        </w:tc>
        <w:tc>
          <w:tcPr>
            <w:tcW w:w="975" w:type="pct"/>
            <w:noWrap w:val="0"/>
            <w:vAlign w:val="center"/>
          </w:tcPr>
          <w:p w14:paraId="30079CC4">
            <w:pPr>
              <w:widowControl/>
              <w:jc w:val="left"/>
              <w:rPr>
                <w:color w:val="auto"/>
                <w:kern w:val="0"/>
                <w:sz w:val="24"/>
              </w:rPr>
            </w:pPr>
            <w:r>
              <w:rPr>
                <w:color w:val="auto"/>
                <w:kern w:val="0"/>
                <w:sz w:val="24"/>
              </w:rPr>
              <w:t>响应有效期</w:t>
            </w:r>
          </w:p>
        </w:tc>
        <w:tc>
          <w:tcPr>
            <w:tcW w:w="3623" w:type="pct"/>
            <w:noWrap w:val="0"/>
            <w:vAlign w:val="center"/>
          </w:tcPr>
          <w:p w14:paraId="596ACBBF">
            <w:pPr>
              <w:widowControl/>
              <w:jc w:val="left"/>
              <w:rPr>
                <w:rFonts w:hint="eastAsia"/>
                <w:color w:val="auto"/>
                <w:kern w:val="0"/>
                <w:sz w:val="24"/>
              </w:rPr>
            </w:pPr>
            <w:r>
              <w:rPr>
                <w:color w:val="auto"/>
                <w:kern w:val="0"/>
                <w:sz w:val="24"/>
              </w:rPr>
              <w:t>响应文件中承诺的响应有效期</w:t>
            </w:r>
            <w:r>
              <w:rPr>
                <w:rFonts w:hint="eastAsia"/>
                <w:color w:val="auto"/>
                <w:kern w:val="0"/>
                <w:sz w:val="24"/>
              </w:rPr>
              <w:t>满足</w:t>
            </w:r>
            <w:r>
              <w:rPr>
                <w:color w:val="auto"/>
                <w:kern w:val="0"/>
                <w:sz w:val="24"/>
              </w:rPr>
              <w:t>询价通知书中载明的响应有效期的；</w:t>
            </w:r>
          </w:p>
        </w:tc>
      </w:tr>
      <w:tr w14:paraId="164D5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noWrap w:val="0"/>
            <w:vAlign w:val="center"/>
          </w:tcPr>
          <w:p w14:paraId="30FB9F68">
            <w:pPr>
              <w:widowControl/>
              <w:jc w:val="center"/>
              <w:rPr>
                <w:color w:val="auto"/>
                <w:kern w:val="0"/>
                <w:sz w:val="24"/>
              </w:rPr>
            </w:pPr>
            <w:r>
              <w:rPr>
                <w:color w:val="auto"/>
                <w:kern w:val="0"/>
                <w:sz w:val="24"/>
              </w:rPr>
              <w:t>6</w:t>
            </w:r>
          </w:p>
        </w:tc>
        <w:tc>
          <w:tcPr>
            <w:tcW w:w="975" w:type="pct"/>
            <w:noWrap w:val="0"/>
            <w:vAlign w:val="center"/>
          </w:tcPr>
          <w:p w14:paraId="07B89A27">
            <w:pPr>
              <w:widowControl/>
              <w:jc w:val="left"/>
              <w:rPr>
                <w:color w:val="auto"/>
                <w:kern w:val="0"/>
                <w:sz w:val="24"/>
              </w:rPr>
            </w:pPr>
            <w:r>
              <w:rPr>
                <w:color w:val="auto"/>
                <w:kern w:val="0"/>
                <w:sz w:val="24"/>
              </w:rPr>
              <w:t>签署、加盖公章</w:t>
            </w:r>
          </w:p>
        </w:tc>
        <w:tc>
          <w:tcPr>
            <w:tcW w:w="3623" w:type="pct"/>
            <w:noWrap w:val="0"/>
            <w:vAlign w:val="center"/>
          </w:tcPr>
          <w:p w14:paraId="27B34032">
            <w:pPr>
              <w:widowControl/>
              <w:jc w:val="left"/>
              <w:rPr>
                <w:rFonts w:hint="eastAsia"/>
                <w:color w:val="auto"/>
                <w:kern w:val="0"/>
                <w:sz w:val="24"/>
              </w:rPr>
            </w:pPr>
            <w:r>
              <w:rPr>
                <w:color w:val="auto"/>
                <w:kern w:val="0"/>
                <w:sz w:val="24"/>
              </w:rPr>
              <w:t>按照询价通知书要求签署、加盖公章的；</w:t>
            </w:r>
          </w:p>
        </w:tc>
      </w:tr>
      <w:tr w14:paraId="12AD7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noWrap w:val="0"/>
            <w:vAlign w:val="center"/>
          </w:tcPr>
          <w:p w14:paraId="5988153D">
            <w:pPr>
              <w:widowControl/>
              <w:jc w:val="center"/>
              <w:rPr>
                <w:color w:val="auto"/>
                <w:kern w:val="0"/>
                <w:sz w:val="24"/>
              </w:rPr>
            </w:pPr>
            <w:r>
              <w:rPr>
                <w:rFonts w:hint="eastAsia"/>
                <w:color w:val="auto"/>
                <w:kern w:val="0"/>
                <w:sz w:val="24"/>
              </w:rPr>
              <w:t>7</w:t>
            </w:r>
          </w:p>
        </w:tc>
        <w:tc>
          <w:tcPr>
            <w:tcW w:w="975" w:type="pct"/>
            <w:noWrap w:val="0"/>
            <w:vAlign w:val="center"/>
          </w:tcPr>
          <w:p w14:paraId="1E410943">
            <w:pPr>
              <w:widowControl/>
              <w:jc w:val="left"/>
              <w:rPr>
                <w:color w:val="auto"/>
                <w:kern w:val="0"/>
                <w:sz w:val="24"/>
              </w:rPr>
            </w:pPr>
            <w:r>
              <w:rPr>
                <w:rFonts w:hint="eastAsia"/>
                <w:color w:val="auto"/>
                <w:kern w:val="0"/>
                <w:sz w:val="24"/>
              </w:rPr>
              <w:t>实质性格式</w:t>
            </w:r>
          </w:p>
        </w:tc>
        <w:tc>
          <w:tcPr>
            <w:tcW w:w="3623" w:type="pct"/>
            <w:noWrap w:val="0"/>
            <w:vAlign w:val="center"/>
          </w:tcPr>
          <w:p w14:paraId="57848139">
            <w:pPr>
              <w:widowControl/>
              <w:jc w:val="left"/>
              <w:rPr>
                <w:rFonts w:hint="eastAsia"/>
                <w:color w:val="auto"/>
                <w:kern w:val="0"/>
                <w:sz w:val="24"/>
              </w:rPr>
            </w:pPr>
            <w:r>
              <w:rPr>
                <w:rFonts w:hint="eastAsia"/>
                <w:color w:val="auto"/>
                <w:kern w:val="0"/>
                <w:sz w:val="24"/>
              </w:rPr>
              <w:t>标记为</w:t>
            </w:r>
            <w:r>
              <w:rPr>
                <w:color w:val="auto"/>
                <w:kern w:val="0"/>
                <w:sz w:val="24"/>
              </w:rPr>
              <w:t>“实质性格式”的</w:t>
            </w:r>
            <w:r>
              <w:rPr>
                <w:rFonts w:hint="eastAsia"/>
                <w:color w:val="auto"/>
                <w:kern w:val="0"/>
                <w:sz w:val="24"/>
              </w:rPr>
              <w:t>文件均按</w:t>
            </w:r>
            <w:r>
              <w:rPr>
                <w:color w:val="auto"/>
                <w:kern w:val="0"/>
                <w:sz w:val="24"/>
              </w:rPr>
              <w:t>询价通知书</w:t>
            </w:r>
            <w:r>
              <w:rPr>
                <w:rFonts w:hint="eastAsia"/>
                <w:color w:val="auto"/>
                <w:kern w:val="0"/>
                <w:sz w:val="24"/>
              </w:rPr>
              <w:t>要求提供；</w:t>
            </w:r>
          </w:p>
        </w:tc>
      </w:tr>
      <w:tr w14:paraId="66562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noWrap w:val="0"/>
            <w:vAlign w:val="center"/>
          </w:tcPr>
          <w:p w14:paraId="21A62223">
            <w:pPr>
              <w:widowControl/>
              <w:jc w:val="center"/>
              <w:rPr>
                <w:rFonts w:hint="eastAsia"/>
                <w:color w:val="auto"/>
                <w:kern w:val="0"/>
                <w:sz w:val="24"/>
              </w:rPr>
            </w:pPr>
            <w:r>
              <w:rPr>
                <w:rFonts w:hint="eastAsia"/>
                <w:color w:val="auto"/>
                <w:kern w:val="0"/>
                <w:sz w:val="24"/>
              </w:rPr>
              <w:t>8</w:t>
            </w:r>
          </w:p>
        </w:tc>
        <w:tc>
          <w:tcPr>
            <w:tcW w:w="975" w:type="pct"/>
            <w:noWrap w:val="0"/>
            <w:vAlign w:val="center"/>
          </w:tcPr>
          <w:p w14:paraId="42B04D1B">
            <w:pPr>
              <w:widowControl/>
              <w:jc w:val="left"/>
              <w:rPr>
                <w:color w:val="auto"/>
                <w:kern w:val="0"/>
                <w:sz w:val="24"/>
              </w:rPr>
            </w:pPr>
            <w:r>
              <w:rPr>
                <w:rFonts w:ascii="Segoe UI Symbol" w:hAnsi="Segoe UI Symbol" w:cs="Segoe UI Symbol"/>
                <w:color w:val="auto"/>
                <w:kern w:val="0"/>
                <w:sz w:val="24"/>
              </w:rPr>
              <w:t>★</w:t>
            </w:r>
            <w:r>
              <w:rPr>
                <w:color w:val="auto"/>
                <w:kern w:val="0"/>
                <w:sz w:val="24"/>
              </w:rPr>
              <w:t>号条款响应</w:t>
            </w:r>
          </w:p>
        </w:tc>
        <w:tc>
          <w:tcPr>
            <w:tcW w:w="3623" w:type="pct"/>
            <w:noWrap w:val="0"/>
            <w:vAlign w:val="center"/>
          </w:tcPr>
          <w:p w14:paraId="4D84FF54">
            <w:pPr>
              <w:widowControl/>
              <w:jc w:val="left"/>
              <w:rPr>
                <w:color w:val="auto"/>
                <w:kern w:val="0"/>
                <w:sz w:val="24"/>
              </w:rPr>
            </w:pPr>
            <w:r>
              <w:rPr>
                <w:color w:val="auto"/>
                <w:kern w:val="0"/>
                <w:sz w:val="24"/>
              </w:rPr>
              <w:t>响应文件满足询价通知书</w:t>
            </w:r>
            <w:r>
              <w:rPr>
                <w:color w:val="auto"/>
                <w:sz w:val="24"/>
              </w:rPr>
              <w:t>第五章《采购需求》</w:t>
            </w:r>
            <w:r>
              <w:rPr>
                <w:color w:val="auto"/>
                <w:kern w:val="0"/>
                <w:sz w:val="24"/>
              </w:rPr>
              <w:t>中</w:t>
            </w:r>
            <w:r>
              <w:rPr>
                <w:rFonts w:ascii="Segoe UI Symbol" w:hAnsi="Segoe UI Symbol" w:cs="Segoe UI Symbol"/>
                <w:color w:val="auto"/>
                <w:kern w:val="0"/>
                <w:sz w:val="24"/>
              </w:rPr>
              <w:t>★</w:t>
            </w:r>
            <w:r>
              <w:rPr>
                <w:color w:val="auto"/>
                <w:kern w:val="0"/>
                <w:sz w:val="24"/>
              </w:rPr>
              <w:t>号条款要求的；</w:t>
            </w:r>
          </w:p>
        </w:tc>
      </w:tr>
      <w:tr w14:paraId="30552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noWrap w:val="0"/>
            <w:vAlign w:val="center"/>
          </w:tcPr>
          <w:p w14:paraId="431E8792">
            <w:pPr>
              <w:widowControl/>
              <w:jc w:val="center"/>
              <w:rPr>
                <w:rFonts w:hint="eastAsia"/>
                <w:color w:val="auto"/>
                <w:kern w:val="0"/>
                <w:sz w:val="24"/>
              </w:rPr>
            </w:pPr>
            <w:r>
              <w:rPr>
                <w:rFonts w:hint="eastAsia"/>
                <w:color w:val="auto"/>
                <w:kern w:val="0"/>
                <w:sz w:val="24"/>
              </w:rPr>
              <w:t>9</w:t>
            </w:r>
          </w:p>
        </w:tc>
        <w:tc>
          <w:tcPr>
            <w:tcW w:w="975" w:type="pct"/>
            <w:noWrap w:val="0"/>
            <w:vAlign w:val="center"/>
          </w:tcPr>
          <w:p w14:paraId="7B771405">
            <w:pPr>
              <w:widowControl/>
              <w:jc w:val="left"/>
              <w:rPr>
                <w:color w:val="auto"/>
                <w:kern w:val="0"/>
                <w:sz w:val="24"/>
              </w:rPr>
            </w:pPr>
            <w:r>
              <w:rPr>
                <w:color w:val="auto"/>
                <w:kern w:val="0"/>
                <w:sz w:val="24"/>
              </w:rPr>
              <w:t>报价的修正（如有）</w:t>
            </w:r>
          </w:p>
        </w:tc>
        <w:tc>
          <w:tcPr>
            <w:tcW w:w="3623" w:type="pct"/>
            <w:noWrap w:val="0"/>
            <w:vAlign w:val="center"/>
          </w:tcPr>
          <w:p w14:paraId="398A8F6C">
            <w:pPr>
              <w:widowControl/>
              <w:jc w:val="left"/>
              <w:rPr>
                <w:rFonts w:hint="eastAsia"/>
                <w:color w:val="auto"/>
                <w:kern w:val="0"/>
                <w:sz w:val="24"/>
              </w:rPr>
            </w:pPr>
            <w:r>
              <w:rPr>
                <w:rFonts w:hint="eastAsia"/>
                <w:color w:val="auto"/>
                <w:kern w:val="0"/>
                <w:sz w:val="24"/>
              </w:rPr>
              <w:t>不涉及报价修正</w:t>
            </w:r>
            <w:r>
              <w:rPr>
                <w:color w:val="auto"/>
                <w:kern w:val="0"/>
                <w:sz w:val="24"/>
              </w:rPr>
              <w:t>，或响应文件报价出现前后不一致</w:t>
            </w:r>
            <w:r>
              <w:rPr>
                <w:rFonts w:hint="eastAsia"/>
                <w:color w:val="auto"/>
                <w:kern w:val="0"/>
                <w:sz w:val="24"/>
              </w:rPr>
              <w:t>时</w:t>
            </w:r>
            <w:r>
              <w:rPr>
                <w:color w:val="auto"/>
                <w:kern w:val="0"/>
                <w:sz w:val="24"/>
              </w:rPr>
              <w:t>，供应商对修正后的报价予</w:t>
            </w:r>
            <w:r>
              <w:rPr>
                <w:rFonts w:hint="eastAsia"/>
                <w:color w:val="auto"/>
                <w:kern w:val="0"/>
                <w:sz w:val="24"/>
              </w:rPr>
              <w:t>以</w:t>
            </w:r>
            <w:r>
              <w:rPr>
                <w:color w:val="auto"/>
                <w:kern w:val="0"/>
                <w:sz w:val="24"/>
              </w:rPr>
              <w:t>确认；（如有）</w:t>
            </w:r>
          </w:p>
        </w:tc>
      </w:tr>
      <w:tr w14:paraId="39356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noWrap w:val="0"/>
            <w:vAlign w:val="center"/>
          </w:tcPr>
          <w:p w14:paraId="7C0C18DB">
            <w:pPr>
              <w:widowControl/>
              <w:jc w:val="center"/>
              <w:rPr>
                <w:rFonts w:hint="eastAsia"/>
                <w:color w:val="auto"/>
                <w:kern w:val="0"/>
                <w:sz w:val="24"/>
              </w:rPr>
            </w:pPr>
            <w:r>
              <w:rPr>
                <w:color w:val="auto"/>
                <w:kern w:val="0"/>
                <w:sz w:val="24"/>
              </w:rPr>
              <w:t>1</w:t>
            </w:r>
            <w:r>
              <w:rPr>
                <w:rFonts w:hint="eastAsia"/>
                <w:color w:val="auto"/>
                <w:kern w:val="0"/>
                <w:sz w:val="24"/>
              </w:rPr>
              <w:t>0</w:t>
            </w:r>
          </w:p>
        </w:tc>
        <w:tc>
          <w:tcPr>
            <w:tcW w:w="975" w:type="pct"/>
            <w:noWrap w:val="0"/>
            <w:vAlign w:val="center"/>
          </w:tcPr>
          <w:p w14:paraId="0B8DF09F">
            <w:pPr>
              <w:widowControl/>
              <w:jc w:val="left"/>
              <w:rPr>
                <w:color w:val="auto"/>
                <w:kern w:val="0"/>
                <w:sz w:val="24"/>
              </w:rPr>
            </w:pPr>
            <w:r>
              <w:rPr>
                <w:color w:val="auto"/>
                <w:kern w:val="0"/>
                <w:sz w:val="24"/>
              </w:rPr>
              <w:t>进口产品</w:t>
            </w:r>
          </w:p>
          <w:p w14:paraId="543DBC5F">
            <w:pPr>
              <w:widowControl/>
              <w:jc w:val="left"/>
              <w:rPr>
                <w:color w:val="auto"/>
                <w:kern w:val="0"/>
                <w:sz w:val="24"/>
              </w:rPr>
            </w:pPr>
            <w:r>
              <w:rPr>
                <w:color w:val="auto"/>
                <w:kern w:val="0"/>
                <w:sz w:val="24"/>
              </w:rPr>
              <w:t>（如有）</w:t>
            </w:r>
          </w:p>
        </w:tc>
        <w:tc>
          <w:tcPr>
            <w:tcW w:w="3623" w:type="pct"/>
            <w:noWrap w:val="0"/>
            <w:vAlign w:val="center"/>
          </w:tcPr>
          <w:p w14:paraId="4EA17884">
            <w:pPr>
              <w:widowControl/>
              <w:jc w:val="left"/>
              <w:rPr>
                <w:rFonts w:hint="eastAsia"/>
                <w:color w:val="auto"/>
                <w:kern w:val="0"/>
                <w:sz w:val="24"/>
              </w:rPr>
            </w:pPr>
            <w:r>
              <w:rPr>
                <w:rFonts w:hint="eastAsia" w:ascii="宋体" w:hAnsi="宋体"/>
                <w:color w:val="auto"/>
                <w:sz w:val="24"/>
              </w:rPr>
              <w:t>询价通知书</w:t>
            </w:r>
            <w:r>
              <w:rPr>
                <w:rFonts w:ascii="宋体" w:hAnsi="宋体"/>
                <w:color w:val="auto"/>
                <w:sz w:val="24"/>
              </w:rPr>
              <w:t>不接受进口产品响应</w:t>
            </w:r>
            <w:r>
              <w:rPr>
                <w:rFonts w:hint="eastAsia" w:ascii="宋体" w:hAnsi="宋体"/>
                <w:color w:val="auto"/>
                <w:sz w:val="24"/>
              </w:rPr>
              <w:t>的内容时</w:t>
            </w:r>
            <w:r>
              <w:rPr>
                <w:rFonts w:ascii="宋体" w:hAnsi="宋体"/>
                <w:color w:val="auto"/>
                <w:sz w:val="24"/>
              </w:rPr>
              <w:t>，</w:t>
            </w:r>
            <w:r>
              <w:rPr>
                <w:rFonts w:hint="eastAsia" w:ascii="宋体" w:hAnsi="宋体"/>
                <w:color w:val="auto"/>
                <w:sz w:val="24"/>
              </w:rPr>
              <w:t>供应商所投产品非进口产品的；</w:t>
            </w:r>
          </w:p>
        </w:tc>
      </w:tr>
      <w:tr w14:paraId="469AF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vMerge w:val="restart"/>
            <w:noWrap w:val="0"/>
            <w:vAlign w:val="center"/>
          </w:tcPr>
          <w:p w14:paraId="62FADD3E">
            <w:pPr>
              <w:widowControl/>
              <w:jc w:val="center"/>
              <w:rPr>
                <w:color w:val="auto"/>
                <w:kern w:val="0"/>
                <w:sz w:val="24"/>
              </w:rPr>
            </w:pPr>
            <w:r>
              <w:rPr>
                <w:color w:val="auto"/>
                <w:kern w:val="0"/>
                <w:sz w:val="24"/>
              </w:rPr>
              <w:t>1</w:t>
            </w:r>
            <w:r>
              <w:rPr>
                <w:rFonts w:hint="eastAsia"/>
                <w:color w:val="auto"/>
                <w:kern w:val="0"/>
                <w:sz w:val="24"/>
              </w:rPr>
              <w:t>1</w:t>
            </w:r>
          </w:p>
          <w:p w14:paraId="3041B2F3">
            <w:pPr>
              <w:widowControl/>
              <w:jc w:val="center"/>
              <w:rPr>
                <w:rFonts w:hint="eastAsia"/>
                <w:color w:val="auto"/>
                <w:kern w:val="0"/>
                <w:sz w:val="24"/>
              </w:rPr>
            </w:pPr>
          </w:p>
        </w:tc>
        <w:tc>
          <w:tcPr>
            <w:tcW w:w="975" w:type="pct"/>
            <w:vMerge w:val="restart"/>
            <w:noWrap w:val="0"/>
            <w:vAlign w:val="center"/>
          </w:tcPr>
          <w:p w14:paraId="1A63BB2C">
            <w:pPr>
              <w:widowControl/>
              <w:jc w:val="left"/>
              <w:rPr>
                <w:color w:val="auto"/>
                <w:kern w:val="0"/>
                <w:sz w:val="24"/>
              </w:rPr>
            </w:pPr>
            <w:r>
              <w:rPr>
                <w:color w:val="auto"/>
                <w:kern w:val="0"/>
                <w:sz w:val="24"/>
              </w:rPr>
              <w:t>公平竞争</w:t>
            </w:r>
          </w:p>
          <w:p w14:paraId="25371B16">
            <w:pPr>
              <w:widowControl/>
              <w:jc w:val="left"/>
              <w:rPr>
                <w:color w:val="auto"/>
                <w:kern w:val="0"/>
                <w:sz w:val="24"/>
              </w:rPr>
            </w:pPr>
          </w:p>
        </w:tc>
        <w:tc>
          <w:tcPr>
            <w:tcW w:w="3623" w:type="pct"/>
            <w:noWrap w:val="0"/>
            <w:vAlign w:val="center"/>
          </w:tcPr>
          <w:p w14:paraId="19EB117E">
            <w:pPr>
              <w:widowControl/>
              <w:jc w:val="left"/>
              <w:rPr>
                <w:rFonts w:hint="eastAsia"/>
                <w:color w:val="auto"/>
                <w:kern w:val="0"/>
                <w:sz w:val="24"/>
              </w:rPr>
            </w:pPr>
            <w:r>
              <w:rPr>
                <w:color w:val="auto"/>
                <w:sz w:val="24"/>
              </w:rPr>
              <w:t>供应商遵循公平竞争的原则，不存在恶意串通，妨碍其他供应商的竞争行为，不存在损害采购人或者其他供应商的合法权益情形的；</w:t>
            </w:r>
          </w:p>
        </w:tc>
      </w:tr>
      <w:tr w14:paraId="386D8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vMerge w:val="continue"/>
            <w:noWrap w:val="0"/>
            <w:vAlign w:val="center"/>
          </w:tcPr>
          <w:p w14:paraId="4A518898">
            <w:pPr>
              <w:widowControl/>
              <w:jc w:val="center"/>
              <w:rPr>
                <w:rFonts w:hint="eastAsia"/>
                <w:color w:val="auto"/>
                <w:kern w:val="0"/>
                <w:sz w:val="24"/>
              </w:rPr>
            </w:pPr>
          </w:p>
        </w:tc>
        <w:tc>
          <w:tcPr>
            <w:tcW w:w="975" w:type="pct"/>
            <w:vMerge w:val="continue"/>
            <w:noWrap w:val="0"/>
            <w:vAlign w:val="center"/>
          </w:tcPr>
          <w:p w14:paraId="053D5731">
            <w:pPr>
              <w:widowControl/>
              <w:jc w:val="left"/>
              <w:rPr>
                <w:color w:val="auto"/>
                <w:kern w:val="0"/>
                <w:sz w:val="24"/>
              </w:rPr>
            </w:pPr>
          </w:p>
        </w:tc>
        <w:tc>
          <w:tcPr>
            <w:tcW w:w="3623" w:type="pct"/>
            <w:noWrap w:val="0"/>
            <w:vAlign w:val="center"/>
          </w:tcPr>
          <w:p w14:paraId="33C0FCB7">
            <w:pPr>
              <w:widowControl/>
              <w:jc w:val="left"/>
              <w:rPr>
                <w:rFonts w:hint="eastAsia"/>
                <w:color w:val="auto"/>
                <w:kern w:val="0"/>
                <w:sz w:val="24"/>
              </w:rPr>
            </w:pPr>
            <w:r>
              <w:rPr>
                <w:rFonts w:hint="eastAsia"/>
                <w:color w:val="auto"/>
                <w:sz w:val="24"/>
              </w:rPr>
              <w:t>不存在《政府采购货物和服务招标响应管理办法》视为供应商串通响应的情形：（一）不同供应商的响应文件由同一单位或者个人编制</w:t>
            </w:r>
            <w:r>
              <w:rPr>
                <w:rFonts w:hint="eastAsia" w:ascii="宋体" w:hAnsi="宋体"/>
                <w:color w:val="auto"/>
                <w:sz w:val="24"/>
              </w:rPr>
              <w:t>（包含使用同一MAC地址的计算机制作电子响应文件的情形）</w:t>
            </w:r>
            <w:r>
              <w:rPr>
                <w:rFonts w:hint="eastAsia"/>
                <w:color w:val="auto"/>
                <w:sz w:val="24"/>
              </w:rPr>
              <w:t>；（二）不同供应商委托同一单位或者个人办理响应事宜</w:t>
            </w:r>
            <w:r>
              <w:rPr>
                <w:rFonts w:hint="eastAsia" w:ascii="宋体" w:hAnsi="宋体"/>
                <w:color w:val="auto"/>
                <w:sz w:val="24"/>
              </w:rPr>
              <w:t>（包含使用同一MAC地址的计算机提交或者解密电子响应文件的情形）</w:t>
            </w:r>
            <w:r>
              <w:rPr>
                <w:rFonts w:hint="eastAsia"/>
                <w:color w:val="auto"/>
                <w:sz w:val="24"/>
              </w:rPr>
              <w:t>；（三）不同供应商的响应文件载明的项目管理成员或者联系人员为同一人；（四）不同供应商的响应文件异常一致或者响应报价呈规律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auto"/>
                <w:sz w:val="24"/>
              </w:rPr>
              <w:t>；</w:t>
            </w:r>
          </w:p>
        </w:tc>
      </w:tr>
      <w:tr w14:paraId="762AC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noWrap w:val="0"/>
            <w:vAlign w:val="center"/>
          </w:tcPr>
          <w:p w14:paraId="1467BB32">
            <w:pPr>
              <w:widowControl/>
              <w:jc w:val="center"/>
              <w:rPr>
                <w:rFonts w:hint="eastAsia" w:eastAsia="宋体"/>
                <w:color w:val="auto"/>
                <w:kern w:val="0"/>
                <w:sz w:val="24"/>
                <w:lang w:eastAsia="zh-CN"/>
              </w:rPr>
            </w:pPr>
            <w:r>
              <w:rPr>
                <w:color w:val="auto"/>
                <w:kern w:val="0"/>
                <w:sz w:val="24"/>
              </w:rPr>
              <w:t>1</w:t>
            </w:r>
            <w:r>
              <w:rPr>
                <w:rFonts w:hint="eastAsia"/>
                <w:color w:val="auto"/>
                <w:kern w:val="0"/>
                <w:sz w:val="24"/>
                <w:lang w:val="en-US" w:eastAsia="zh-CN"/>
              </w:rPr>
              <w:t>2</w:t>
            </w:r>
          </w:p>
        </w:tc>
        <w:tc>
          <w:tcPr>
            <w:tcW w:w="975" w:type="pct"/>
            <w:noWrap w:val="0"/>
            <w:vAlign w:val="center"/>
          </w:tcPr>
          <w:p w14:paraId="6ACE1AC8">
            <w:pPr>
              <w:widowControl/>
              <w:jc w:val="left"/>
              <w:rPr>
                <w:color w:val="auto"/>
                <w:kern w:val="0"/>
                <w:sz w:val="24"/>
              </w:rPr>
            </w:pPr>
            <w:r>
              <w:rPr>
                <w:color w:val="auto"/>
                <w:kern w:val="0"/>
                <w:sz w:val="24"/>
              </w:rPr>
              <w:t>附加条件</w:t>
            </w:r>
          </w:p>
        </w:tc>
        <w:tc>
          <w:tcPr>
            <w:tcW w:w="3623" w:type="pct"/>
            <w:noWrap w:val="0"/>
            <w:vAlign w:val="center"/>
          </w:tcPr>
          <w:p w14:paraId="0B962B74">
            <w:pPr>
              <w:widowControl/>
              <w:jc w:val="left"/>
              <w:rPr>
                <w:rFonts w:hint="eastAsia"/>
                <w:color w:val="auto"/>
                <w:kern w:val="0"/>
                <w:sz w:val="24"/>
              </w:rPr>
            </w:pPr>
            <w:r>
              <w:rPr>
                <w:color w:val="auto"/>
                <w:kern w:val="0"/>
                <w:sz w:val="24"/>
              </w:rPr>
              <w:t>响应文件</w:t>
            </w:r>
            <w:r>
              <w:rPr>
                <w:rFonts w:hint="eastAsia"/>
                <w:color w:val="auto"/>
                <w:kern w:val="0"/>
                <w:sz w:val="24"/>
              </w:rPr>
              <w:t>未</w:t>
            </w:r>
            <w:r>
              <w:rPr>
                <w:color w:val="auto"/>
                <w:kern w:val="0"/>
                <w:sz w:val="24"/>
              </w:rPr>
              <w:t>含有采购人不能接受的附加条件的；</w:t>
            </w:r>
          </w:p>
        </w:tc>
      </w:tr>
      <w:tr w14:paraId="1ACF0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noWrap w:val="0"/>
            <w:vAlign w:val="center"/>
          </w:tcPr>
          <w:p w14:paraId="67703220">
            <w:pPr>
              <w:widowControl/>
              <w:jc w:val="center"/>
              <w:rPr>
                <w:rFonts w:hint="eastAsia" w:eastAsia="宋体"/>
                <w:color w:val="auto"/>
                <w:kern w:val="0"/>
                <w:sz w:val="24"/>
                <w:lang w:eastAsia="zh-CN"/>
              </w:rPr>
            </w:pPr>
            <w:r>
              <w:rPr>
                <w:rFonts w:hint="eastAsia"/>
                <w:color w:val="auto"/>
                <w:kern w:val="0"/>
                <w:sz w:val="24"/>
              </w:rPr>
              <w:t>1</w:t>
            </w:r>
            <w:r>
              <w:rPr>
                <w:rFonts w:hint="eastAsia"/>
                <w:color w:val="auto"/>
                <w:kern w:val="0"/>
                <w:sz w:val="24"/>
                <w:lang w:val="en-US" w:eastAsia="zh-CN"/>
              </w:rPr>
              <w:t>3</w:t>
            </w:r>
          </w:p>
        </w:tc>
        <w:tc>
          <w:tcPr>
            <w:tcW w:w="975" w:type="pct"/>
            <w:noWrap w:val="0"/>
            <w:vAlign w:val="center"/>
          </w:tcPr>
          <w:p w14:paraId="163C44BE">
            <w:pPr>
              <w:widowControl/>
              <w:jc w:val="left"/>
              <w:rPr>
                <w:color w:val="auto"/>
                <w:kern w:val="0"/>
                <w:sz w:val="24"/>
              </w:rPr>
            </w:pPr>
            <w:r>
              <w:rPr>
                <w:color w:val="auto"/>
                <w:kern w:val="0"/>
                <w:sz w:val="24"/>
              </w:rPr>
              <w:t>其他无效情形</w:t>
            </w:r>
          </w:p>
        </w:tc>
        <w:tc>
          <w:tcPr>
            <w:tcW w:w="3623" w:type="pct"/>
            <w:noWrap w:val="0"/>
            <w:vAlign w:val="center"/>
          </w:tcPr>
          <w:p w14:paraId="34C0F938">
            <w:pPr>
              <w:widowControl/>
              <w:jc w:val="left"/>
              <w:rPr>
                <w:color w:val="auto"/>
                <w:kern w:val="0"/>
                <w:sz w:val="24"/>
              </w:rPr>
            </w:pPr>
            <w:r>
              <w:rPr>
                <w:color w:val="auto"/>
                <w:sz w:val="24"/>
              </w:rPr>
              <w:t>供应商、响应文件</w:t>
            </w:r>
            <w:r>
              <w:rPr>
                <w:rFonts w:hint="eastAsia"/>
                <w:color w:val="auto"/>
                <w:sz w:val="24"/>
              </w:rPr>
              <w:t>不存在</w:t>
            </w:r>
            <w:r>
              <w:rPr>
                <w:color w:val="auto"/>
                <w:sz w:val="24"/>
              </w:rPr>
              <w:t>不符合法律、法规和询价通知书规定的其他无效情形。</w:t>
            </w:r>
          </w:p>
        </w:tc>
      </w:tr>
      <w:tr w14:paraId="189E4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noWrap w:val="0"/>
            <w:vAlign w:val="center"/>
          </w:tcPr>
          <w:p w14:paraId="278BEEF0">
            <w:pPr>
              <w:widowControl/>
              <w:jc w:val="center"/>
              <w:rPr>
                <w:rFonts w:hint="eastAsia" w:eastAsia="宋体"/>
                <w:color w:val="auto"/>
                <w:kern w:val="0"/>
                <w:sz w:val="24"/>
                <w:lang w:eastAsia="zh-CN"/>
              </w:rPr>
            </w:pPr>
            <w:r>
              <w:rPr>
                <w:rFonts w:hint="eastAsia"/>
                <w:color w:val="auto"/>
                <w:kern w:val="0"/>
                <w:sz w:val="24"/>
              </w:rPr>
              <w:t>1</w:t>
            </w:r>
            <w:r>
              <w:rPr>
                <w:rFonts w:hint="eastAsia"/>
                <w:color w:val="auto"/>
                <w:kern w:val="0"/>
                <w:sz w:val="24"/>
                <w:lang w:val="en-US" w:eastAsia="zh-CN"/>
              </w:rPr>
              <w:t>4</w:t>
            </w:r>
          </w:p>
        </w:tc>
        <w:tc>
          <w:tcPr>
            <w:tcW w:w="975" w:type="pct"/>
            <w:noWrap w:val="0"/>
            <w:vAlign w:val="center"/>
          </w:tcPr>
          <w:p w14:paraId="5B0D41C5">
            <w:pPr>
              <w:widowControl/>
              <w:jc w:val="left"/>
              <w:rPr>
                <w:rFonts w:ascii="宋体" w:hAnsi="宋体"/>
                <w:color w:val="auto"/>
                <w:kern w:val="0"/>
                <w:sz w:val="24"/>
              </w:rPr>
            </w:pPr>
            <w:r>
              <w:rPr>
                <w:rFonts w:hint="eastAsia" w:ascii="宋体" w:hAnsi="宋体" w:cs="Segoe UI Symbol"/>
                <w:color w:val="auto"/>
                <w:kern w:val="0"/>
                <w:sz w:val="24"/>
              </w:rPr>
              <w:t>实质性</w:t>
            </w:r>
            <w:r>
              <w:rPr>
                <w:rFonts w:ascii="宋体" w:hAnsi="宋体"/>
                <w:color w:val="auto"/>
                <w:kern w:val="0"/>
                <w:sz w:val="24"/>
              </w:rPr>
              <w:t>条款</w:t>
            </w:r>
            <w:r>
              <w:rPr>
                <w:rFonts w:hint="eastAsia" w:ascii="宋体" w:hAnsi="宋体" w:cs="Segoe UI Symbol"/>
                <w:color w:val="auto"/>
                <w:kern w:val="0"/>
                <w:sz w:val="24"/>
              </w:rPr>
              <w:t>（</w:t>
            </w:r>
            <w:r>
              <w:rPr>
                <w:rFonts w:ascii="宋体" w:hAnsi="宋体" w:cs="Segoe UI Symbol"/>
                <w:color w:val="auto"/>
                <w:kern w:val="0"/>
                <w:sz w:val="24"/>
              </w:rPr>
              <w:t>★</w:t>
            </w:r>
            <w:r>
              <w:rPr>
                <w:rFonts w:ascii="宋体" w:hAnsi="宋体"/>
                <w:color w:val="auto"/>
                <w:kern w:val="0"/>
                <w:sz w:val="24"/>
              </w:rPr>
              <w:t>号</w:t>
            </w:r>
            <w:r>
              <w:rPr>
                <w:rFonts w:hint="eastAsia" w:ascii="宋体" w:hAnsi="宋体"/>
                <w:color w:val="auto"/>
                <w:kern w:val="0"/>
                <w:sz w:val="24"/>
              </w:rPr>
              <w:t>条款）</w:t>
            </w:r>
            <w:r>
              <w:rPr>
                <w:rFonts w:ascii="宋体" w:hAnsi="宋体"/>
                <w:color w:val="auto"/>
                <w:kern w:val="0"/>
                <w:sz w:val="24"/>
              </w:rPr>
              <w:t>响应</w:t>
            </w:r>
          </w:p>
        </w:tc>
        <w:tc>
          <w:tcPr>
            <w:tcW w:w="3623" w:type="pct"/>
            <w:noWrap w:val="0"/>
            <w:vAlign w:val="center"/>
          </w:tcPr>
          <w:p w14:paraId="518BEC96">
            <w:pPr>
              <w:widowControl/>
              <w:jc w:val="left"/>
              <w:rPr>
                <w:rFonts w:ascii="宋体" w:hAnsi="宋体"/>
                <w:color w:val="auto"/>
                <w:kern w:val="0"/>
                <w:sz w:val="24"/>
              </w:rPr>
            </w:pPr>
            <w:r>
              <w:rPr>
                <w:rFonts w:hint="eastAsia" w:ascii="宋体" w:hAnsi="宋体"/>
                <w:color w:val="auto"/>
                <w:kern w:val="0"/>
                <w:sz w:val="24"/>
                <w:lang w:val="en-US" w:eastAsia="zh-CN"/>
              </w:rPr>
              <w:t>响应</w:t>
            </w:r>
            <w:r>
              <w:rPr>
                <w:rFonts w:ascii="宋体" w:hAnsi="宋体"/>
                <w:color w:val="auto"/>
                <w:kern w:val="0"/>
                <w:sz w:val="24"/>
              </w:rPr>
              <w:t>文件满足</w:t>
            </w:r>
            <w:r>
              <w:rPr>
                <w:rFonts w:hint="eastAsia" w:ascii="宋体" w:hAnsi="宋体"/>
                <w:color w:val="auto"/>
                <w:kern w:val="0"/>
                <w:sz w:val="24"/>
                <w:lang w:val="en-US" w:eastAsia="zh-CN"/>
              </w:rPr>
              <w:t>采购</w:t>
            </w:r>
            <w:r>
              <w:rPr>
                <w:rFonts w:ascii="宋体" w:hAnsi="宋体"/>
                <w:color w:val="auto"/>
                <w:kern w:val="0"/>
                <w:sz w:val="24"/>
              </w:rPr>
              <w:t>文件</w:t>
            </w:r>
            <w:r>
              <w:rPr>
                <w:rFonts w:ascii="宋体" w:hAnsi="宋体"/>
                <w:color w:val="auto"/>
                <w:sz w:val="24"/>
              </w:rPr>
              <w:t>第五章《采购需求》</w:t>
            </w:r>
            <w:r>
              <w:rPr>
                <w:rFonts w:ascii="宋体" w:hAnsi="宋体"/>
                <w:color w:val="auto"/>
                <w:kern w:val="0"/>
                <w:sz w:val="24"/>
              </w:rPr>
              <w:t>中</w:t>
            </w:r>
            <w:r>
              <w:rPr>
                <w:rFonts w:hint="eastAsia" w:ascii="宋体" w:hAnsi="宋体" w:cs="Segoe UI Symbol"/>
                <w:color w:val="auto"/>
                <w:kern w:val="0"/>
                <w:sz w:val="24"/>
              </w:rPr>
              <w:t>实质性</w:t>
            </w:r>
            <w:r>
              <w:rPr>
                <w:rFonts w:ascii="宋体" w:hAnsi="宋体"/>
                <w:color w:val="auto"/>
                <w:kern w:val="0"/>
                <w:sz w:val="24"/>
              </w:rPr>
              <w:t>条款</w:t>
            </w:r>
            <w:r>
              <w:rPr>
                <w:rFonts w:hint="eastAsia" w:ascii="宋体" w:hAnsi="宋体" w:cs="Segoe UI Symbol"/>
                <w:color w:val="auto"/>
                <w:kern w:val="0"/>
                <w:sz w:val="24"/>
              </w:rPr>
              <w:t>（</w:t>
            </w:r>
            <w:r>
              <w:rPr>
                <w:rFonts w:ascii="宋体" w:hAnsi="宋体" w:cs="Segoe UI Symbol"/>
                <w:color w:val="auto"/>
                <w:kern w:val="0"/>
                <w:sz w:val="24"/>
              </w:rPr>
              <w:t>★</w:t>
            </w:r>
            <w:r>
              <w:rPr>
                <w:rFonts w:ascii="宋体" w:hAnsi="宋体"/>
                <w:color w:val="auto"/>
                <w:kern w:val="0"/>
                <w:sz w:val="24"/>
              </w:rPr>
              <w:t>号</w:t>
            </w:r>
            <w:r>
              <w:rPr>
                <w:rFonts w:hint="eastAsia" w:ascii="宋体" w:hAnsi="宋体"/>
                <w:color w:val="auto"/>
                <w:kern w:val="0"/>
                <w:sz w:val="24"/>
              </w:rPr>
              <w:t>条款）</w:t>
            </w:r>
            <w:r>
              <w:rPr>
                <w:rFonts w:ascii="宋体" w:hAnsi="宋体"/>
                <w:color w:val="auto"/>
                <w:kern w:val="0"/>
                <w:sz w:val="24"/>
              </w:rPr>
              <w:t>要求的；</w:t>
            </w:r>
            <w:r>
              <w:rPr>
                <w:rFonts w:hint="eastAsia" w:ascii="宋体" w:hAnsi="宋体"/>
                <w:b/>
                <w:color w:val="auto"/>
                <w:kern w:val="0"/>
                <w:sz w:val="24"/>
              </w:rPr>
              <w:t>如有的，根据下面列出的实质性条款，按照序号逐项提供相关证明材料；</w:t>
            </w:r>
            <w:r>
              <w:rPr>
                <w:rFonts w:hint="eastAsia" w:ascii="宋体" w:hAnsi="宋体"/>
                <w:color w:val="auto"/>
                <w:kern w:val="0"/>
                <w:sz w:val="24"/>
              </w:rPr>
              <w:t>如没有的，则无需</w:t>
            </w:r>
            <w:r>
              <w:rPr>
                <w:rFonts w:hint="eastAsia" w:ascii="宋体" w:hAnsi="宋体"/>
                <w:color w:val="auto"/>
                <w:kern w:val="0"/>
                <w:sz w:val="24"/>
                <w:lang w:val="en-US" w:eastAsia="zh-CN"/>
              </w:rPr>
              <w:t>供应商</w:t>
            </w:r>
            <w:r>
              <w:rPr>
                <w:rFonts w:hint="eastAsia" w:ascii="宋体" w:hAnsi="宋体"/>
                <w:color w:val="auto"/>
                <w:kern w:val="0"/>
                <w:sz w:val="24"/>
              </w:rPr>
              <w:t>提供材料。</w:t>
            </w:r>
          </w:p>
        </w:tc>
      </w:tr>
    </w:tbl>
    <w:p w14:paraId="7DADF131">
      <w:pPr>
        <w:pStyle w:val="17"/>
        <w:tabs>
          <w:tab w:val="left" w:pos="567"/>
        </w:tabs>
        <w:rPr>
          <w:color w:val="auto"/>
        </w:rPr>
      </w:pPr>
    </w:p>
    <w:p w14:paraId="19E81B79">
      <w:pPr>
        <w:rPr>
          <w:rFonts w:hint="eastAsia"/>
          <w:color w:val="auto"/>
        </w:rPr>
      </w:pPr>
    </w:p>
    <w:p w14:paraId="7957FB45">
      <w:pPr>
        <w:pStyle w:val="3"/>
        <w:numPr>
          <w:ilvl w:val="0"/>
          <w:numId w:val="57"/>
        </w:numPr>
        <w:ind w:left="0" w:leftChars="0" w:firstLine="0" w:firstLineChars="0"/>
        <w:rPr>
          <w:b w:val="0"/>
          <w:color w:val="auto"/>
        </w:rPr>
      </w:pPr>
      <w:r>
        <w:rPr>
          <w:color w:val="auto"/>
        </w:rPr>
        <w:t>响应文件有关事项的澄清、说明或者更正</w:t>
      </w:r>
    </w:p>
    <w:p w14:paraId="7A170A7D">
      <w:pPr>
        <w:pStyle w:val="17"/>
        <w:numPr>
          <w:ilvl w:val="0"/>
          <w:numId w:val="59"/>
        </w:numPr>
        <w:ind w:left="0" w:leftChars="0" w:firstLine="480" w:firstLineChars="0"/>
        <w:rPr>
          <w:b w:val="0"/>
          <w:color w:val="auto"/>
        </w:rPr>
      </w:pPr>
      <w:r>
        <w:rPr>
          <w:color w:val="auto"/>
        </w:rPr>
        <w:t>评审过程中，询价小组会将通过书面形式要求供应商对其响应文件中含义不明确、同类问题表述不一致或者有明显文字和计算错误的内容，作出必要的澄清、说明或者补正。供应商的澄清、说明或者补正应当采用书面形式，并由法定代表人（或委托代理人）签字确认。供应商的澄清、说明或者补正不得超出响应文件的范围或者改变响应文件的实质性内容。澄清文件将作为响应文件内容的一部分。</w:t>
      </w:r>
    </w:p>
    <w:p w14:paraId="6CA3A203">
      <w:pPr>
        <w:pStyle w:val="17"/>
        <w:numPr>
          <w:ilvl w:val="0"/>
          <w:numId w:val="59"/>
        </w:numPr>
        <w:ind w:left="0" w:leftChars="0" w:firstLine="480" w:firstLineChars="0"/>
        <w:rPr>
          <w:b w:val="0"/>
          <w:color w:val="auto"/>
        </w:rPr>
      </w:pPr>
      <w:r>
        <w:rPr>
          <w:color w:val="auto"/>
        </w:rPr>
        <w:t>报价须包含询价通知书全部内容，如分项报价表有缺漏视为已含在其他各项报价中，将不对响应总价进行调整。询价小组有权要求供应商在评审现场合理的时间内对此进行书面确认，供应商不确认的，视为将一个采购包中的内容拆开响应，其</w:t>
      </w:r>
      <w:r>
        <w:rPr>
          <w:b/>
          <w:color w:val="auto"/>
        </w:rPr>
        <w:t>响应无效</w:t>
      </w:r>
      <w:r>
        <w:rPr>
          <w:color w:val="auto"/>
        </w:rPr>
        <w:t>。</w:t>
      </w:r>
    </w:p>
    <w:p w14:paraId="13E2DE13">
      <w:pPr>
        <w:pStyle w:val="17"/>
        <w:numPr>
          <w:ilvl w:val="0"/>
          <w:numId w:val="59"/>
        </w:numPr>
        <w:ind w:left="0" w:leftChars="0" w:firstLine="480" w:firstLineChars="0"/>
        <w:rPr>
          <w:b w:val="0"/>
          <w:color w:val="auto"/>
        </w:rPr>
      </w:pPr>
      <w:r>
        <w:rPr>
          <w:color w:val="auto"/>
        </w:rPr>
        <w:t>响应文件报价出现前后不一致的，按照下列规定修正：</w:t>
      </w:r>
    </w:p>
    <w:p w14:paraId="379CCC1B">
      <w:pPr>
        <w:pStyle w:val="17"/>
        <w:numPr>
          <w:ilvl w:val="0"/>
          <w:numId w:val="60"/>
        </w:numPr>
        <w:ind w:left="0" w:leftChars="0" w:firstLine="480" w:firstLineChars="0"/>
        <w:rPr>
          <w:b w:val="0"/>
          <w:color w:val="auto"/>
        </w:rPr>
      </w:pPr>
      <w:r>
        <w:rPr>
          <w:color w:val="auto"/>
        </w:rPr>
        <w:t>询价通知书对于报价修正是否另有规定：</w:t>
      </w:r>
    </w:p>
    <w:p w14:paraId="0D39CDCA">
      <w:pPr>
        <w:pStyle w:val="17"/>
        <w:rPr>
          <w:color w:val="auto"/>
          <w:u w:val="single"/>
        </w:rPr>
      </w:pPr>
      <w:r>
        <w:rPr>
          <w:color w:val="auto"/>
        </w:rPr>
        <w:t>(有，具体规定为：____________________________</w:t>
      </w:r>
    </w:p>
    <w:p w14:paraId="70A1C86C">
      <w:pPr>
        <w:pStyle w:val="17"/>
        <w:rPr>
          <w:color w:val="auto"/>
        </w:rPr>
      </w:pPr>
      <w:r>
        <w:rPr>
          <w:color w:val="auto"/>
        </w:rPr>
        <w:t>■无，按下述2.4.2-2.4.6</w:t>
      </w:r>
      <w:r>
        <w:rPr>
          <w:rFonts w:hint="eastAsia"/>
          <w:color w:val="auto"/>
          <w:lang w:eastAsia="zh-CN"/>
        </w:rPr>
        <w:t>、</w:t>
      </w:r>
      <w:r>
        <w:rPr>
          <w:rFonts w:hint="eastAsia"/>
          <w:color w:val="auto"/>
          <w:lang w:val="en-US" w:eastAsia="zh-CN"/>
        </w:rPr>
        <w:t>2.4.11</w:t>
      </w:r>
      <w:r>
        <w:rPr>
          <w:color w:val="auto"/>
        </w:rPr>
        <w:t>项规定修正。</w:t>
      </w:r>
    </w:p>
    <w:p w14:paraId="17AEAA30">
      <w:pPr>
        <w:pStyle w:val="17"/>
        <w:numPr>
          <w:ilvl w:val="0"/>
          <w:numId w:val="60"/>
        </w:numPr>
        <w:ind w:left="0" w:leftChars="0" w:firstLine="480" w:firstLineChars="0"/>
        <w:rPr>
          <w:b w:val="0"/>
          <w:color w:val="auto"/>
        </w:rPr>
      </w:pPr>
      <w:r>
        <w:rPr>
          <w:color w:val="auto"/>
        </w:rPr>
        <w:t>响应文件中报价一览表内容与响应文件中相应内容不一致的，以报价一览表为准；</w:t>
      </w:r>
    </w:p>
    <w:p w14:paraId="6A9E8E02">
      <w:pPr>
        <w:pStyle w:val="17"/>
        <w:numPr>
          <w:ilvl w:val="0"/>
          <w:numId w:val="60"/>
        </w:numPr>
        <w:ind w:left="0" w:leftChars="0" w:firstLine="480" w:firstLineChars="0"/>
        <w:rPr>
          <w:b w:val="0"/>
          <w:color w:val="auto"/>
        </w:rPr>
      </w:pPr>
      <w:r>
        <w:rPr>
          <w:color w:val="auto"/>
        </w:rPr>
        <w:t>大写金额和小写金额不一致的，以大写金额为准；</w:t>
      </w:r>
    </w:p>
    <w:p w14:paraId="29D697AA">
      <w:pPr>
        <w:pStyle w:val="17"/>
        <w:numPr>
          <w:ilvl w:val="0"/>
          <w:numId w:val="60"/>
        </w:numPr>
        <w:ind w:left="0" w:leftChars="0" w:firstLine="480" w:firstLineChars="0"/>
        <w:rPr>
          <w:b w:val="0"/>
          <w:color w:val="auto"/>
        </w:rPr>
      </w:pPr>
      <w:r>
        <w:rPr>
          <w:color w:val="auto"/>
        </w:rPr>
        <w:t>单价金额小数点或者百分比有明显错位的，以报价一览表的总价为准，并修改单价；</w:t>
      </w:r>
    </w:p>
    <w:p w14:paraId="08073303">
      <w:pPr>
        <w:pStyle w:val="17"/>
        <w:numPr>
          <w:ilvl w:val="0"/>
          <w:numId w:val="60"/>
        </w:numPr>
        <w:ind w:left="0" w:leftChars="0" w:firstLine="480" w:firstLineChars="0"/>
        <w:rPr>
          <w:b w:val="0"/>
          <w:color w:val="auto"/>
        </w:rPr>
      </w:pPr>
      <w:r>
        <w:rPr>
          <w:color w:val="auto"/>
        </w:rPr>
        <w:t>总价金额与按单价汇总金额不一致的，以单价金额计算结果为准。</w:t>
      </w:r>
    </w:p>
    <w:p w14:paraId="2119E799">
      <w:pPr>
        <w:pStyle w:val="17"/>
        <w:numPr>
          <w:ilvl w:val="0"/>
          <w:numId w:val="60"/>
        </w:numPr>
        <w:ind w:left="0" w:leftChars="0" w:firstLine="480" w:firstLineChars="0"/>
        <w:rPr>
          <w:b w:val="0"/>
          <w:color w:val="auto"/>
        </w:rPr>
      </w:pPr>
      <w:r>
        <w:rPr>
          <w:color w:val="auto"/>
        </w:rPr>
        <w:t>同时出现两种以上不一致的，按照前款规定的顺序修正。修正后的报价经供应商书面确认后产生约束力，供应商不确认的，其</w:t>
      </w:r>
      <w:r>
        <w:rPr>
          <w:b/>
          <w:color w:val="auto"/>
        </w:rPr>
        <w:t>响应无效</w:t>
      </w:r>
      <w:r>
        <w:rPr>
          <w:color w:val="auto"/>
        </w:rPr>
        <w:t>。</w:t>
      </w:r>
    </w:p>
    <w:p w14:paraId="27DB6CA9">
      <w:pPr>
        <w:pStyle w:val="17"/>
        <w:numPr>
          <w:ilvl w:val="0"/>
          <w:numId w:val="59"/>
        </w:numPr>
        <w:ind w:left="0" w:leftChars="0" w:firstLine="480" w:firstLineChars="0"/>
        <w:rPr>
          <w:b w:val="0"/>
          <w:color w:val="auto"/>
        </w:rPr>
      </w:pPr>
      <w:r>
        <w:rPr>
          <w:color w:val="auto"/>
        </w:rPr>
        <w:t>落实政府采购政策的价格调整：只有符合第二章《供应商须知》3.2条规定情形的，可以享受中小企业扶持政策，用扣除后的价格参加评审；否则，评审时价格不予扣除。</w:t>
      </w:r>
    </w:p>
    <w:p w14:paraId="7B2B52D4">
      <w:pPr>
        <w:pStyle w:val="17"/>
        <w:numPr>
          <w:ilvl w:val="0"/>
          <w:numId w:val="61"/>
        </w:numPr>
        <w:ind w:left="0" w:leftChars="0" w:firstLine="480" w:firstLineChars="0"/>
        <w:rPr>
          <w:b w:val="0"/>
          <w:color w:val="auto"/>
        </w:rPr>
      </w:pPr>
      <w:r>
        <w:rPr>
          <w:color w:val="auto"/>
        </w:rPr>
        <w:t>对于未预留份额专门面向中小企业采购的采购项目，以及预留份额项目中的非预留部分采购包，对</w:t>
      </w:r>
      <w:r>
        <w:rPr>
          <w:b/>
          <w:color w:val="auto"/>
        </w:rPr>
        <w:t>小微企业</w:t>
      </w:r>
      <w:r>
        <w:rPr>
          <w:color w:val="auto"/>
        </w:rPr>
        <w:t>报价给予10%的扣除，用扣除后的价格参加评审。</w:t>
      </w:r>
    </w:p>
    <w:p w14:paraId="6D38ADEE">
      <w:pPr>
        <w:pStyle w:val="17"/>
        <w:numPr>
          <w:ilvl w:val="0"/>
          <w:numId w:val="61"/>
        </w:numPr>
        <w:ind w:left="0" w:leftChars="0" w:firstLine="480" w:firstLineChars="0"/>
        <w:rPr>
          <w:b w:val="0"/>
          <w:color w:val="auto"/>
        </w:rPr>
      </w:pPr>
      <w:r>
        <w:rPr>
          <w:color w:val="auto"/>
        </w:rPr>
        <w:t>对于未预留份额专门面向中小企业采购的采购项目，以及预留份额项目中的非预留部分采购包，且接受大中型企业与</w:t>
      </w:r>
      <w:r>
        <w:rPr>
          <w:b/>
          <w:color w:val="auto"/>
        </w:rPr>
        <w:t>小微企业</w:t>
      </w:r>
      <w:r>
        <w:rPr>
          <w:color w:val="auto"/>
        </w:rPr>
        <w:t>组成联合体或者允许大中型企业向一家或者多家</w:t>
      </w:r>
      <w:r>
        <w:rPr>
          <w:b/>
          <w:color w:val="auto"/>
        </w:rPr>
        <w:t>小微企业</w:t>
      </w:r>
      <w:r>
        <w:rPr>
          <w:color w:val="auto"/>
        </w:rPr>
        <w:t>分包的采购项目，对于联合协议或者分包意向协议约定</w:t>
      </w:r>
      <w:r>
        <w:rPr>
          <w:b/>
          <w:color w:val="auto"/>
        </w:rPr>
        <w:t>小微企业</w:t>
      </w:r>
      <w:r>
        <w:rPr>
          <w:color w:val="auto"/>
        </w:rPr>
        <w:t>的合同份额占到合同总金额 30%以上的联合体或者大中型企业的报价给予3%的扣除，用扣除后的价格参加评审。</w:t>
      </w:r>
    </w:p>
    <w:p w14:paraId="26D13551">
      <w:pPr>
        <w:pStyle w:val="17"/>
        <w:numPr>
          <w:ilvl w:val="0"/>
          <w:numId w:val="61"/>
        </w:numPr>
        <w:ind w:left="0" w:leftChars="0" w:firstLine="480" w:firstLineChars="0"/>
        <w:rPr>
          <w:b w:val="0"/>
          <w:color w:val="auto"/>
        </w:rPr>
      </w:pPr>
      <w:r>
        <w:rPr>
          <w:color w:val="auto"/>
        </w:rPr>
        <w:t>组成联合体或者接受分包的小微企业与联合体内其他企业、分包企业之间存在直接控股、管理关系的，不享受价格扣除优惠政策。</w:t>
      </w:r>
    </w:p>
    <w:p w14:paraId="0079A06E">
      <w:pPr>
        <w:pStyle w:val="17"/>
        <w:numPr>
          <w:ilvl w:val="0"/>
          <w:numId w:val="61"/>
        </w:numPr>
        <w:ind w:left="0" w:leftChars="0" w:firstLine="480" w:firstLineChars="0"/>
        <w:rPr>
          <w:b w:val="0"/>
          <w:color w:val="auto"/>
        </w:rPr>
      </w:pPr>
      <w:r>
        <w:rPr>
          <w:color w:val="auto"/>
        </w:rPr>
        <w:t>价格扣除比例对小型企业和微型企业同等对待，不作区分。</w:t>
      </w:r>
    </w:p>
    <w:p w14:paraId="017C5E75">
      <w:pPr>
        <w:pStyle w:val="17"/>
        <w:numPr>
          <w:ilvl w:val="0"/>
          <w:numId w:val="61"/>
        </w:numPr>
        <w:ind w:left="0" w:leftChars="0" w:firstLine="480" w:firstLineChars="0"/>
        <w:rPr>
          <w:b w:val="0"/>
          <w:color w:val="auto"/>
        </w:rPr>
      </w:pPr>
      <w:r>
        <w:rPr>
          <w:color w:val="auto"/>
        </w:rPr>
        <w:t>中小企业参加政府采购活动，应当按照询价通知书给定的格式出具《中小企业声明函》，否则不得享受相关中小企业扶持政策。</w:t>
      </w:r>
    </w:p>
    <w:p w14:paraId="49AA84CD">
      <w:pPr>
        <w:pStyle w:val="17"/>
        <w:numPr>
          <w:ilvl w:val="0"/>
          <w:numId w:val="61"/>
        </w:numPr>
        <w:ind w:left="0" w:leftChars="0" w:firstLine="480" w:firstLineChars="0"/>
        <w:rPr>
          <w:b w:val="0"/>
          <w:color w:val="auto"/>
        </w:rPr>
      </w:pPr>
      <w:r>
        <w:rPr>
          <w:color w:val="auto"/>
        </w:rPr>
        <w:t>监狱企业提供了由省级以上监狱管理局（常州市含教育矫治局）、戒毒管理局（含新疆生产建设兵团）出具的属于监狱企业的证明文件的，视同小微企业。</w:t>
      </w:r>
    </w:p>
    <w:p w14:paraId="6665B2AB">
      <w:pPr>
        <w:pStyle w:val="17"/>
        <w:numPr>
          <w:ilvl w:val="0"/>
          <w:numId w:val="61"/>
        </w:numPr>
        <w:ind w:left="0" w:leftChars="0" w:firstLine="480" w:firstLineChars="0"/>
        <w:rPr>
          <w:b w:val="0"/>
          <w:color w:val="auto"/>
        </w:rPr>
      </w:pPr>
      <w:r>
        <w:rPr>
          <w:color w:val="auto"/>
        </w:rPr>
        <w:t>残疾人福利性单位按询价通知书要求提供了《残疾人福利性单位声明函》（见附件）的，视同小微企业。</w:t>
      </w:r>
    </w:p>
    <w:p w14:paraId="57271A54">
      <w:pPr>
        <w:pStyle w:val="17"/>
        <w:numPr>
          <w:ilvl w:val="0"/>
          <w:numId w:val="61"/>
        </w:numPr>
        <w:ind w:left="0" w:leftChars="0" w:firstLine="480" w:firstLineChars="0"/>
        <w:rPr>
          <w:b w:val="0"/>
          <w:color w:val="auto"/>
        </w:rPr>
      </w:pPr>
      <w:r>
        <w:rPr>
          <w:color w:val="auto"/>
        </w:rPr>
        <w:t>若供应商同时属于小型或微型企业、监狱企业、残疾人福利性单位中的两种及以上，将不重复享受小微企业价格扣减的优惠政策。</w:t>
      </w:r>
      <w:bookmarkEnd w:id="534"/>
      <w:bookmarkEnd w:id="535"/>
    </w:p>
    <w:p w14:paraId="30F85C6B">
      <w:pPr>
        <w:pStyle w:val="17"/>
        <w:numPr>
          <w:ilvl w:val="0"/>
          <w:numId w:val="61"/>
        </w:numPr>
        <w:ind w:left="0" w:leftChars="0" w:firstLine="480" w:firstLineChars="0"/>
        <w:rPr>
          <w:b w:val="0"/>
          <w:color w:val="auto"/>
        </w:rPr>
      </w:pPr>
      <w:r>
        <w:rPr>
          <w:color w:val="auto"/>
        </w:rPr>
        <w:t>非政府强制采购的节能产品或环境标志产品，依据品目清单和认证证书实施政府优先采购。优先采购的具体规定：</w:t>
      </w:r>
      <w:r>
        <w:rPr>
          <w:color w:val="auto"/>
          <w:u w:val="single"/>
        </w:rPr>
        <w:t>_属优先采购的节能产品或环保产品，所投产品入选财政部公布的节能产品或环保产品政府采购品目清单、具有认证证书的则优先成交</w:t>
      </w:r>
      <w:r>
        <w:rPr>
          <w:color w:val="auto"/>
        </w:rPr>
        <w:t>。</w:t>
      </w:r>
    </w:p>
    <w:p w14:paraId="6FC0E81B">
      <w:pPr>
        <w:pStyle w:val="17"/>
        <w:numPr>
          <w:ilvl w:val="0"/>
          <w:numId w:val="61"/>
        </w:numPr>
        <w:ind w:left="0" w:leftChars="0" w:firstLine="480" w:firstLineChars="0"/>
        <w:rPr>
          <w:b w:val="0"/>
          <w:color w:val="auto"/>
        </w:rPr>
      </w:pPr>
      <w:r>
        <w:rPr>
          <w:color w:val="auto"/>
        </w:rPr>
        <w:t>关于无线局域网认证产品政府采购清单中的产品，优先采购的具体规定：无。</w:t>
      </w:r>
    </w:p>
    <w:p w14:paraId="105588AE">
      <w:pPr>
        <w:pStyle w:val="17"/>
        <w:numPr>
          <w:ilvl w:val="0"/>
          <w:numId w:val="61"/>
        </w:numPr>
        <w:ind w:left="0" w:leftChars="0" w:firstLine="480" w:firstLineChars="0"/>
        <w:rPr>
          <w:b w:val="0"/>
          <w:color w:val="auto"/>
        </w:rPr>
      </w:pPr>
      <w:r>
        <w:rPr>
          <w:color w:val="auto"/>
        </w:rPr>
        <w:t>采购本国产品的支持政策</w:t>
      </w:r>
    </w:p>
    <w:p w14:paraId="2A63C5F0">
      <w:pPr>
        <w:pStyle w:val="17"/>
        <w:numPr>
          <w:ilvl w:val="0"/>
          <w:numId w:val="62"/>
        </w:numPr>
        <w:ind w:left="0" w:leftChars="0" w:firstLine="480" w:firstLineChars="0"/>
        <w:rPr>
          <w:b w:val="0"/>
          <w:color w:val="auto"/>
        </w:rPr>
      </w:pPr>
      <w:r>
        <w:rPr>
          <w:color w:val="auto"/>
        </w:rPr>
        <w:t>本项目政府采购活动中既有本国产品又有非本国产品参与竞争的，依法对本国产品给予价格评审优惠，对本国产品的报价给予 20%的价格扣除，用扣除后的价格参与评审。</w:t>
      </w:r>
    </w:p>
    <w:p w14:paraId="08242668">
      <w:pPr>
        <w:pStyle w:val="17"/>
        <w:numPr>
          <w:ilvl w:val="0"/>
          <w:numId w:val="62"/>
        </w:numPr>
        <w:ind w:left="0" w:leftChars="0" w:firstLine="480" w:firstLineChars="0"/>
        <w:rPr>
          <w:b w:val="0"/>
          <w:color w:val="auto"/>
        </w:rPr>
      </w:pPr>
      <w:r>
        <w:rPr>
          <w:color w:val="auto"/>
        </w:rPr>
        <w:t>当采购项目或者采购包中含有多种产品，供应商为该采购项目或者采购包提供的符合本国产品标准的产品成本之和占该供应商提供的全部产品成本之和的比例达到80%以上时</w:t>
      </w:r>
      <w:r>
        <w:rPr>
          <w:b/>
          <w:bCs/>
          <w:color w:val="auto"/>
        </w:rPr>
        <w:t>（供应商需在“第六章 投标</w:t>
      </w:r>
      <w:r>
        <w:rPr>
          <w:rFonts w:hint="eastAsia"/>
          <w:b/>
          <w:bCs/>
          <w:color w:val="auto"/>
          <w:lang w:eastAsia="zh-CN"/>
        </w:rPr>
        <w:t>（</w:t>
      </w:r>
      <w:r>
        <w:rPr>
          <w:rFonts w:hint="eastAsia"/>
          <w:b/>
          <w:bCs/>
          <w:color w:val="auto"/>
          <w:lang w:val="en-US" w:eastAsia="zh-CN"/>
        </w:rPr>
        <w:t>响应</w:t>
      </w:r>
      <w:r>
        <w:rPr>
          <w:rFonts w:hint="eastAsia"/>
          <w:b/>
          <w:bCs/>
          <w:color w:val="auto"/>
          <w:lang w:eastAsia="zh-CN"/>
        </w:rPr>
        <w:t>）</w:t>
      </w:r>
      <w:r>
        <w:rPr>
          <w:b/>
          <w:bCs/>
          <w:color w:val="auto"/>
        </w:rPr>
        <w:t>文件格式”的“附件2 投标</w:t>
      </w:r>
      <w:r>
        <w:rPr>
          <w:rFonts w:hint="eastAsia"/>
          <w:b/>
          <w:bCs/>
          <w:color w:val="auto"/>
          <w:lang w:eastAsia="zh-CN"/>
        </w:rPr>
        <w:t>（</w:t>
      </w:r>
      <w:r>
        <w:rPr>
          <w:rFonts w:hint="eastAsia"/>
          <w:b/>
          <w:bCs/>
          <w:color w:val="auto"/>
          <w:lang w:val="en-US" w:eastAsia="zh-CN"/>
        </w:rPr>
        <w:t>响应</w:t>
      </w:r>
      <w:r>
        <w:rPr>
          <w:rFonts w:hint="eastAsia"/>
          <w:b/>
          <w:bCs/>
          <w:color w:val="auto"/>
          <w:lang w:eastAsia="zh-CN"/>
        </w:rPr>
        <w:t>）</w:t>
      </w:r>
      <w:r>
        <w:rPr>
          <w:b/>
          <w:bCs/>
          <w:color w:val="auto"/>
        </w:rPr>
        <w:t>分项报价表”中填写比例数值）</w:t>
      </w:r>
      <w:r>
        <w:rPr>
          <w:color w:val="auto"/>
        </w:rPr>
        <w:t>，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4E0FE935">
      <w:pPr>
        <w:pStyle w:val="17"/>
        <w:numPr>
          <w:ilvl w:val="0"/>
          <w:numId w:val="62"/>
        </w:numPr>
        <w:ind w:left="0" w:leftChars="0" w:firstLine="480" w:firstLineChars="0"/>
        <w:rPr>
          <w:b w:val="0"/>
          <w:color w:val="auto"/>
        </w:rPr>
      </w:pPr>
      <w:r>
        <w:rPr>
          <w:color w:val="auto"/>
        </w:rPr>
        <w:t>供应商需按照询价文件的要求提供《关于符合本国产品标准的声明函》（以下简称《声明函》），如不提供将不享受本国产品价格评审优惠。</w:t>
      </w:r>
    </w:p>
    <w:p w14:paraId="72871BB3">
      <w:pPr>
        <w:pStyle w:val="17"/>
        <w:numPr>
          <w:ilvl w:val="0"/>
          <w:numId w:val="62"/>
        </w:numPr>
        <w:ind w:left="0" w:leftChars="0" w:firstLine="480" w:firstLineChars="0"/>
        <w:rPr>
          <w:b w:val="0"/>
          <w:color w:val="auto"/>
        </w:rPr>
      </w:pPr>
      <w:r>
        <w:rPr>
          <w:color w:val="auto"/>
        </w:rPr>
        <w:t>供应商需在《声明函》中逐一、准确填写产品名称、厂名、生产厂址三项信息（《声明函》中用斜线划除的地方无需填写），三项信息中任意一项未填写的视为该项产品不符合本国产品标准，不享受本国产品价格评审优惠。</w:t>
      </w:r>
    </w:p>
    <w:p w14:paraId="73B85C82">
      <w:pPr>
        <w:pStyle w:val="17"/>
        <w:numPr>
          <w:ilvl w:val="0"/>
          <w:numId w:val="62"/>
        </w:numPr>
        <w:ind w:left="0" w:leftChars="0" w:firstLine="480" w:firstLineChars="0"/>
        <w:rPr>
          <w:b w:val="0"/>
          <w:color w:val="auto"/>
        </w:rPr>
      </w:pPr>
      <w:r>
        <w:rPr>
          <w:color w:val="auto"/>
        </w:rPr>
        <w:t>评审过程中，如发现供应商在《声明函》内容含义不明确、同类事项与投标（响应）文件表述不一致或者有明显文字错误等情况的，询价小组应当以书面形式要求供应商作出必要的澄清、说明或者补正。经澄清、说明或者补正的《声明函》仍然不符合《国务院办公厅关于在政府采购中实施本国产品标准及相关政策的通知》（国办发〔2025〕34号）和询价文件规定的，供应商提供的相关产品视为不符合本国产品标准。</w:t>
      </w:r>
    </w:p>
    <w:p w14:paraId="60EEDB82">
      <w:pPr>
        <w:pStyle w:val="17"/>
        <w:numPr>
          <w:ilvl w:val="0"/>
          <w:numId w:val="61"/>
        </w:numPr>
        <w:ind w:left="0" w:leftChars="0" w:firstLine="480" w:firstLineChars="0"/>
        <w:rPr>
          <w:b w:val="0"/>
          <w:color w:val="auto"/>
        </w:rPr>
      </w:pPr>
      <w:r>
        <w:rPr>
          <w:color w:val="auto"/>
        </w:rPr>
        <w:t>其他为落实政府采购政策实施的优先采购：无。</w:t>
      </w:r>
    </w:p>
    <w:p w14:paraId="6B72441E">
      <w:pPr>
        <w:pStyle w:val="17"/>
        <w:numPr>
          <w:ilvl w:val="0"/>
          <w:numId w:val="59"/>
        </w:numPr>
        <w:ind w:left="0" w:leftChars="0" w:firstLine="480" w:firstLineChars="0"/>
        <w:rPr>
          <w:b w:val="0"/>
          <w:color w:val="auto"/>
        </w:rPr>
      </w:pPr>
      <w:r>
        <w:rPr>
          <w:color w:val="auto"/>
        </w:rPr>
        <w:t>询价小组在询价过程中，不得改变询价通知书所确定的技术和服务等要求、评审程序、评定成交的标准和合同文本等事项。</w:t>
      </w:r>
    </w:p>
    <w:p w14:paraId="1C741BB6">
      <w:pPr>
        <w:pStyle w:val="3"/>
        <w:numPr>
          <w:ilvl w:val="0"/>
          <w:numId w:val="57"/>
        </w:numPr>
        <w:ind w:left="0" w:leftChars="0" w:firstLine="0" w:firstLineChars="0"/>
        <w:rPr>
          <w:b w:val="0"/>
          <w:color w:val="auto"/>
          <w:highlight w:val="none"/>
        </w:rPr>
      </w:pPr>
      <w:r>
        <w:rPr>
          <w:color w:val="auto"/>
          <w:highlight w:val="none"/>
        </w:rPr>
        <w:t>询价小组启动异常低价投标（响应）审查的情形和具体要求</w:t>
      </w:r>
    </w:p>
    <w:p w14:paraId="5B7F1808">
      <w:pPr>
        <w:pStyle w:val="17"/>
        <w:numPr>
          <w:ilvl w:val="0"/>
          <w:numId w:val="63"/>
        </w:numPr>
        <w:ind w:left="0" w:leftChars="0" w:firstLine="480" w:firstLineChars="0"/>
        <w:rPr>
          <w:b w:val="0"/>
          <w:color w:val="auto"/>
        </w:rPr>
      </w:pPr>
      <w:r>
        <w:rPr>
          <w:color w:val="auto"/>
        </w:rPr>
        <w:t>根据财政部《关于推动解决政府采购异常低价问题的通知》财库〔2026〕2号，评审过程中出现下列情形之一的，询价小组应当启动异常低价投标（响应）审查程序：</w:t>
      </w:r>
    </w:p>
    <w:p w14:paraId="7D3E88BE">
      <w:pPr>
        <w:pStyle w:val="17"/>
        <w:numPr>
          <w:ilvl w:val="0"/>
          <w:numId w:val="64"/>
        </w:numPr>
        <w:ind w:left="0" w:leftChars="0" w:firstLine="480" w:firstLineChars="0"/>
        <w:rPr>
          <w:b w:val="0"/>
          <w:color w:val="auto"/>
        </w:rPr>
      </w:pPr>
      <w:r>
        <w:rPr>
          <w:color w:val="auto"/>
        </w:rPr>
        <w:t>投标（响应）报价低于全部通过符合性审查供应商投标（响应）报价平均值50%的，即投标（响应）报价&lt;全部通过符合性审查供应商投标（响应）报价平均值×50%； </w:t>
      </w:r>
    </w:p>
    <w:p w14:paraId="5B280B2F">
      <w:pPr>
        <w:pStyle w:val="17"/>
        <w:numPr>
          <w:ilvl w:val="0"/>
          <w:numId w:val="64"/>
        </w:numPr>
        <w:ind w:left="0" w:leftChars="0" w:firstLine="480" w:firstLineChars="0"/>
        <w:rPr>
          <w:b w:val="0"/>
          <w:color w:val="auto"/>
        </w:rPr>
      </w:pPr>
      <w:r>
        <w:rPr>
          <w:color w:val="auto"/>
        </w:rPr>
        <w:t>投标（响应）报价低于通过符合性审查的次低报价供应商投标（响应）报价50%的，即投标（响应）报价&lt;通过符合性审查的次低报价供应商投标（响应）报价×50%； </w:t>
      </w:r>
    </w:p>
    <w:p w14:paraId="6B596106">
      <w:pPr>
        <w:pStyle w:val="17"/>
        <w:numPr>
          <w:ilvl w:val="0"/>
          <w:numId w:val="64"/>
        </w:numPr>
        <w:ind w:left="0" w:leftChars="0" w:firstLine="480" w:firstLineChars="0"/>
        <w:rPr>
          <w:b w:val="0"/>
          <w:color w:val="auto"/>
        </w:rPr>
      </w:pPr>
      <w:r>
        <w:rPr>
          <w:color w:val="auto"/>
        </w:rPr>
        <w:t>投标（响应）报价低于采购项目最高限价45%的，即投标（响应）报价&lt;采购项目最高限价×45%；</w:t>
      </w:r>
    </w:p>
    <w:p w14:paraId="3B75EC19">
      <w:pPr>
        <w:pStyle w:val="17"/>
        <w:numPr>
          <w:ilvl w:val="0"/>
          <w:numId w:val="64"/>
        </w:numPr>
        <w:ind w:left="0" w:leftChars="0" w:firstLine="480" w:firstLineChars="0"/>
        <w:rPr>
          <w:b w:val="0"/>
          <w:color w:val="auto"/>
        </w:rPr>
      </w:pPr>
      <w:r>
        <w:rPr>
          <w:color w:val="auto"/>
        </w:rPr>
        <w:t>评审委员会基于专业判断，认为供应商报价过低，有可能影响产品质量或者不能诚信履约的其他情形。 </w:t>
      </w:r>
    </w:p>
    <w:p w14:paraId="42680F9E">
      <w:pPr>
        <w:pStyle w:val="17"/>
        <w:rPr>
          <w:color w:val="auto"/>
        </w:rPr>
      </w:pPr>
      <w:r>
        <w:rPr>
          <w:color w:val="auto"/>
        </w:rPr>
        <w:t>相关法律法规对供应商报价有规定的，从其规定。</w:t>
      </w:r>
    </w:p>
    <w:p w14:paraId="42044459">
      <w:pPr>
        <w:pStyle w:val="17"/>
        <w:numPr>
          <w:ilvl w:val="0"/>
          <w:numId w:val="63"/>
        </w:numPr>
        <w:ind w:left="0" w:leftChars="0" w:firstLine="480" w:firstLineChars="0"/>
        <w:rPr>
          <w:b w:val="0"/>
          <w:color w:val="auto"/>
        </w:rPr>
      </w:pPr>
      <w:r>
        <w:rPr>
          <w:color w:val="auto"/>
        </w:rPr>
        <w:t>询价小组启动异常低价投标（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6C3FCD6F">
      <w:pPr>
        <w:pStyle w:val="17"/>
        <w:rPr>
          <w:color w:val="auto"/>
        </w:rPr>
      </w:pPr>
      <w:r>
        <w:rPr>
          <w:color w:val="auto"/>
        </w:rPr>
        <w:t>询价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询价小组应当将其作为无效投标（响应）处理。 </w:t>
      </w:r>
    </w:p>
    <w:p w14:paraId="72E59E42">
      <w:pPr>
        <w:pStyle w:val="17"/>
        <w:rPr>
          <w:color w:val="auto"/>
        </w:rPr>
      </w:pPr>
      <w:r>
        <w:rPr>
          <w:color w:val="auto"/>
        </w:rPr>
        <w:t>采购人、采购代理机构应当为询价小组在评审现场及时获取同类项目中标（成交）价格、类似产品市场价格水平、行业人工费用标准、国家有关部门指导行业协会发布的行业平均成本等相关信息资料提供便利。询价小组借助互联网等渠道查询相关信息的，应当严格遵守评审工作纪律，不得实施影响评审公正的行为。 </w:t>
      </w:r>
    </w:p>
    <w:p w14:paraId="6902B361">
      <w:pPr>
        <w:pStyle w:val="17"/>
        <w:rPr>
          <w:color w:val="auto"/>
        </w:rPr>
      </w:pPr>
      <w:r>
        <w:rPr>
          <w:color w:val="auto"/>
        </w:rPr>
        <w:t>异常低价投标（响应）审查的启动原因、审查意见和审查结果应当在评审报告中记录，并随供应商提供的相关书面说明及证明材料，以及询价小组有关互联网浏览、查询历史一并归档。 </w:t>
      </w:r>
    </w:p>
    <w:p w14:paraId="7A41F4AC">
      <w:pPr>
        <w:pStyle w:val="3"/>
        <w:numPr>
          <w:ilvl w:val="0"/>
          <w:numId w:val="57"/>
        </w:numPr>
        <w:ind w:left="0" w:leftChars="0" w:firstLine="0" w:firstLineChars="0"/>
        <w:rPr>
          <w:b w:val="0"/>
          <w:color w:val="auto"/>
        </w:rPr>
      </w:pPr>
      <w:r>
        <w:rPr>
          <w:color w:val="auto"/>
        </w:rPr>
        <w:t>评定成交的标准与确定</w:t>
      </w:r>
      <w:bookmarkStart w:id="550" w:name="_Toc127161460"/>
      <w:bookmarkStart w:id="551" w:name="_Toc226337242"/>
      <w:bookmarkStart w:id="552" w:name="_Toc150480784"/>
      <w:bookmarkStart w:id="553" w:name="_Toc150774751"/>
      <w:bookmarkStart w:id="554" w:name="_Toc150774646"/>
      <w:bookmarkStart w:id="555" w:name="_Toc164229241"/>
      <w:bookmarkStart w:id="556" w:name="_Toc142311048"/>
      <w:bookmarkStart w:id="557" w:name="_Toc195842911"/>
      <w:bookmarkStart w:id="558" w:name="_Toc264969236"/>
      <w:bookmarkStart w:id="559" w:name="_Toc164229387"/>
      <w:bookmarkStart w:id="560" w:name="_Toc226965819"/>
      <w:bookmarkStart w:id="561" w:name="_Toc151193644"/>
      <w:bookmarkStart w:id="562" w:name="_Toc305158814"/>
      <w:bookmarkStart w:id="563" w:name="_Toc164351640"/>
      <w:bookmarkStart w:id="564" w:name="_Toc127151546"/>
      <w:bookmarkStart w:id="565" w:name="_Toc164608660"/>
      <w:bookmarkStart w:id="566" w:name="_Toc164608815"/>
      <w:bookmarkStart w:id="567" w:name="_Toc127151747"/>
      <w:bookmarkStart w:id="568" w:name="_Toc151193934"/>
      <w:bookmarkStart w:id="569" w:name="_Toc520356170"/>
      <w:bookmarkStart w:id="570" w:name="_Toc151193788"/>
      <w:bookmarkStart w:id="571" w:name="_Toc151193716"/>
      <w:bookmarkStart w:id="572" w:name="_Toc265228384"/>
      <w:bookmarkStart w:id="573" w:name="_Toc226309790"/>
      <w:bookmarkStart w:id="574" w:name="_Toc226965736"/>
      <w:bookmarkStart w:id="575" w:name="_Toc151193860"/>
      <w:bookmarkStart w:id="576" w:name="_Toc151190173"/>
      <w:bookmarkStart w:id="577" w:name="_Toc149720839"/>
      <w:bookmarkStart w:id="578" w:name="_Ref467307010"/>
      <w:bookmarkStart w:id="579" w:name="_Toc150509297"/>
      <w:bookmarkStart w:id="580" w:name="_Toc305158888"/>
      <w:r>
        <w:rPr>
          <w:color w:val="auto"/>
        </w:rPr>
        <w:t>成交候选人名单</w:t>
      </w:r>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p>
    <w:p w14:paraId="0695540B">
      <w:pPr>
        <w:pStyle w:val="17"/>
        <w:numPr>
          <w:ilvl w:val="0"/>
          <w:numId w:val="65"/>
        </w:numPr>
        <w:ind w:left="0" w:leftChars="0" w:firstLine="480" w:firstLineChars="0"/>
        <w:rPr>
          <w:b w:val="0"/>
          <w:color w:val="auto"/>
        </w:rPr>
      </w:pPr>
      <w:r>
        <w:rPr>
          <w:color w:val="auto"/>
        </w:rPr>
        <w:t>询价小组应当从质量和服务均能满足询价通知书实质性响应要求的供应商中，按照报价（如有按本章节进行算术修正或政策调整的，以修正或调整后的最后报价计算）由低到高的顺序推荐成交候选供应商，并编写评审报告。当不同供应商的报价相同时，按照平台显示的响应文件解密的先后顺序确定成交候选供应商。</w:t>
      </w:r>
    </w:p>
    <w:p w14:paraId="5BB1AABB">
      <w:pPr>
        <w:pStyle w:val="17"/>
        <w:numPr>
          <w:ilvl w:val="0"/>
          <w:numId w:val="65"/>
        </w:numPr>
        <w:ind w:left="0" w:leftChars="0" w:firstLine="480" w:firstLineChars="0"/>
        <w:rPr>
          <w:b w:val="0"/>
          <w:color w:val="auto"/>
        </w:rPr>
      </w:pPr>
      <w:r>
        <w:rPr>
          <w:color w:val="auto"/>
        </w:rPr>
        <w:t>询价小组要对评审结果进行复核，特别是对排名第一的、响应文件被认定为无效的情形进行重点复核。</w:t>
      </w:r>
    </w:p>
    <w:p w14:paraId="471BB472">
      <w:pPr>
        <w:pStyle w:val="3"/>
        <w:numPr>
          <w:ilvl w:val="0"/>
          <w:numId w:val="57"/>
        </w:numPr>
        <w:ind w:left="0" w:leftChars="0" w:firstLine="0" w:firstLineChars="0"/>
        <w:rPr>
          <w:b w:val="0"/>
          <w:color w:val="auto"/>
        </w:rPr>
      </w:pPr>
      <w:r>
        <w:rPr>
          <w:color w:val="auto"/>
        </w:rPr>
        <w:t>报告违法行为</w:t>
      </w:r>
    </w:p>
    <w:p w14:paraId="18CACB84">
      <w:pPr>
        <w:pStyle w:val="17"/>
        <w:rPr>
          <w:color w:val="auto"/>
        </w:rPr>
      </w:pPr>
      <w:r>
        <w:rPr>
          <w:color w:val="auto"/>
        </w:rPr>
        <w:t>5.1询价小组在评审过程中发现供应商有行贿、提供虚假材料或者串通等违法行为时，有向采购人、采购代理机构或者有关部门报告的职责。</w:t>
      </w:r>
      <w:r>
        <w:rPr>
          <w:color w:val="auto"/>
        </w:rPr>
        <w:br w:type="page"/>
      </w:r>
    </w:p>
    <w:p w14:paraId="053081F8">
      <w:pPr>
        <w:pStyle w:val="2"/>
        <w:numPr>
          <w:ilvl w:val="0"/>
          <w:numId w:val="8"/>
        </w:numPr>
        <w:ind w:left="0" w:leftChars="0" w:firstLine="0" w:firstLineChars="0"/>
        <w:jc w:val="center"/>
        <w:rPr>
          <w:rFonts w:ascii="Times New Roman" w:hAnsi="Times New Roman" w:eastAsia="黑体" w:cs="Times New Roman"/>
          <w:color w:val="auto"/>
          <w:kern w:val="44"/>
          <w:sz w:val="44"/>
          <w:szCs w:val="44"/>
          <w:lang w:val="en-US" w:eastAsia="zh-CN" w:bidi="ar-SA"/>
        </w:rPr>
      </w:pPr>
      <w:bookmarkStart w:id="581" w:name="_Toc1141"/>
      <w:r>
        <w:rPr>
          <w:rFonts w:ascii="Times New Roman" w:hAnsi="Times New Roman" w:eastAsia="黑体" w:cs="Times New Roman"/>
          <w:color w:val="auto"/>
          <w:kern w:val="44"/>
          <w:sz w:val="44"/>
          <w:szCs w:val="44"/>
          <w:lang w:val="en-US" w:eastAsia="zh-CN" w:bidi="ar-SA"/>
        </w:rPr>
        <w:t>采购需求</w:t>
      </w:r>
      <w:bookmarkEnd w:id="581"/>
    </w:p>
    <w:p w14:paraId="396F5BB2">
      <w:pPr>
        <w:pStyle w:val="3"/>
        <w:numPr>
          <w:ilvl w:val="0"/>
          <w:numId w:val="66"/>
        </w:numPr>
        <w:topLinePunct w:val="0"/>
        <w:ind w:left="0" w:leftChars="0" w:firstLine="0" w:firstLineChars="0"/>
        <w:rPr>
          <w:b w:val="0"/>
          <w:color w:val="auto"/>
        </w:rPr>
      </w:pPr>
      <w:r>
        <w:rPr>
          <w:color w:val="auto"/>
        </w:rPr>
        <w:t>项目概况</w:t>
      </w:r>
    </w:p>
    <w:p w14:paraId="2695B3A5">
      <w:pPr>
        <w:pStyle w:val="17"/>
        <w:numPr>
          <w:ilvl w:val="0"/>
          <w:numId w:val="67"/>
        </w:numPr>
        <w:ind w:left="0" w:leftChars="0" w:firstLine="480" w:firstLineChars="0"/>
        <w:rPr>
          <w:b w:val="0"/>
          <w:color w:val="auto"/>
        </w:rPr>
      </w:pPr>
      <w:r>
        <w:rPr>
          <w:color w:val="auto"/>
        </w:rPr>
        <w:t xml:space="preserve">项目名称： </w:t>
      </w:r>
      <w:r>
        <w:rPr>
          <w:rFonts w:hint="eastAsia"/>
          <w:color w:val="auto"/>
        </w:rPr>
        <w:t>常州市第二十四中学等校安防设备采购及安装</w:t>
      </w:r>
    </w:p>
    <w:p w14:paraId="716B4824">
      <w:pPr>
        <w:pStyle w:val="17"/>
        <w:numPr>
          <w:ilvl w:val="0"/>
          <w:numId w:val="0"/>
        </w:numPr>
        <w:ind w:left="480" w:leftChars="0"/>
        <w:rPr>
          <w:rFonts w:hint="eastAsia"/>
          <w:b w:val="0"/>
          <w:color w:val="auto"/>
          <w:highlight w:val="none"/>
          <w:lang w:val="en-US" w:eastAsia="zh-CN"/>
        </w:rPr>
      </w:pPr>
      <w:r>
        <w:rPr>
          <w:rFonts w:hint="eastAsia"/>
          <w:color w:val="auto"/>
          <w:lang w:val="en-US" w:eastAsia="zh-CN"/>
        </w:rPr>
        <w:t>2.</w:t>
      </w:r>
      <w:r>
        <w:rPr>
          <w:color w:val="auto"/>
        </w:rPr>
        <w:t>项目预算金额：</w:t>
      </w:r>
      <w:r>
        <w:rPr>
          <w:color w:val="auto"/>
          <w:u w:val="single"/>
        </w:rPr>
        <w:t xml:space="preserve">  </w:t>
      </w:r>
      <w:r>
        <w:rPr>
          <w:rFonts w:hint="eastAsia"/>
          <w:color w:val="auto"/>
          <w:u w:val="single"/>
          <w:lang w:val="en-US" w:eastAsia="zh-CN"/>
        </w:rPr>
        <w:t>101.24</w:t>
      </w:r>
      <w:r>
        <w:rPr>
          <w:color w:val="auto"/>
          <w:u w:val="single"/>
        </w:rPr>
        <w:t xml:space="preserve">   </w:t>
      </w:r>
      <w:r>
        <w:rPr>
          <w:color w:val="auto"/>
        </w:rPr>
        <w:t>万元</w:t>
      </w:r>
    </w:p>
    <w:tbl>
      <w:tblPr>
        <w:tblStyle w:val="43"/>
        <w:tblW w:w="928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30"/>
        <w:gridCol w:w="3600"/>
        <w:gridCol w:w="1691"/>
        <w:gridCol w:w="1831"/>
        <w:gridCol w:w="1531"/>
      </w:tblGrid>
      <w:tr w14:paraId="0F535B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6AA0F">
            <w:pPr>
              <w:keepNext w:val="0"/>
              <w:keepLines w:val="0"/>
              <w:pageBreakBefore w:val="0"/>
              <w:widowControl/>
              <w:suppressLineNumbers w:val="0"/>
              <w:wordWrap/>
              <w:topLinePunct w:val="0"/>
              <w:bidi w:val="0"/>
              <w:spacing w:beforeAutospacing="0" w:afterAutospacing="0" w:line="360" w:lineRule="auto"/>
              <w:ind w:left="0" w:leftChars="0" w:right="0" w:rightChars="0"/>
              <w:jc w:val="center"/>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包号</w:t>
            </w:r>
          </w:p>
        </w:tc>
        <w:tc>
          <w:tcPr>
            <w:tcW w:w="3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670ED">
            <w:pPr>
              <w:keepNext w:val="0"/>
              <w:keepLines w:val="0"/>
              <w:pageBreakBefore w:val="0"/>
              <w:widowControl/>
              <w:suppressLineNumbers w:val="0"/>
              <w:wordWrap/>
              <w:topLinePunct w:val="0"/>
              <w:bidi w:val="0"/>
              <w:spacing w:beforeAutospacing="0" w:afterAutospacing="0" w:line="360" w:lineRule="auto"/>
              <w:ind w:left="0" w:leftChars="0" w:right="0" w:rightChars="0"/>
              <w:jc w:val="center"/>
              <w:textAlignment w:val="center"/>
              <w:rPr>
                <w:rFonts w:hint="default" w:ascii="宋体" w:hAnsi="宋体" w:eastAsia="宋体" w:cs="宋体"/>
                <w:i w:val="0"/>
                <w:iCs w:val="0"/>
                <w:color w:val="auto"/>
                <w:kern w:val="0"/>
                <w:sz w:val="21"/>
                <w:szCs w:val="21"/>
                <w:u w:val="none"/>
                <w:lang w:val="en-US" w:eastAsia="zh-CN" w:bidi="ar"/>
              </w:rPr>
            </w:pPr>
            <w:r>
              <w:rPr>
                <w:bCs/>
                <w:color w:val="auto"/>
                <w:szCs w:val="21"/>
              </w:rPr>
              <w:t>标的名称</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9EB3E">
            <w:pPr>
              <w:pageBreakBefore w:val="0"/>
              <w:wordWrap/>
              <w:topLinePunct w:val="0"/>
              <w:bidi w:val="0"/>
              <w:spacing w:beforeAutospacing="0" w:afterAutospacing="0" w:line="360" w:lineRule="auto"/>
              <w:ind w:left="0" w:leftChars="0" w:right="0" w:rightChars="0"/>
              <w:jc w:val="center"/>
              <w:rPr>
                <w:bCs/>
                <w:color w:val="auto"/>
                <w:szCs w:val="21"/>
              </w:rPr>
            </w:pPr>
            <w:r>
              <w:rPr>
                <w:bCs/>
                <w:color w:val="auto"/>
                <w:szCs w:val="21"/>
              </w:rPr>
              <w:t>采购包预算金额</w:t>
            </w:r>
          </w:p>
          <w:p w14:paraId="6600FC0D">
            <w:pPr>
              <w:keepNext w:val="0"/>
              <w:keepLines w:val="0"/>
              <w:pageBreakBefore w:val="0"/>
              <w:widowControl/>
              <w:suppressLineNumbers w:val="0"/>
              <w:wordWrap/>
              <w:topLinePunct w:val="0"/>
              <w:bidi w:val="0"/>
              <w:spacing w:beforeAutospacing="0" w:afterAutospacing="0" w:line="360" w:lineRule="auto"/>
              <w:ind w:left="0" w:leftChars="0" w:right="0" w:rightChars="0"/>
              <w:jc w:val="center"/>
              <w:textAlignment w:val="center"/>
              <w:rPr>
                <w:rFonts w:hint="default" w:ascii="宋体" w:hAnsi="宋体" w:eastAsia="宋体" w:cs="宋体"/>
                <w:i w:val="0"/>
                <w:iCs w:val="0"/>
                <w:color w:val="auto"/>
                <w:kern w:val="0"/>
                <w:sz w:val="21"/>
                <w:szCs w:val="21"/>
                <w:u w:val="none"/>
                <w:lang w:val="en-US" w:eastAsia="zh-CN" w:bidi="ar"/>
              </w:rPr>
            </w:pPr>
            <w:r>
              <w:rPr>
                <w:bCs/>
                <w:color w:val="auto"/>
                <w:szCs w:val="21"/>
              </w:rPr>
              <w:t>（万元）</w:t>
            </w:r>
          </w:p>
        </w:tc>
        <w:tc>
          <w:tcPr>
            <w:tcW w:w="18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1471D">
            <w:pPr>
              <w:keepNext w:val="0"/>
              <w:keepLines w:val="0"/>
              <w:pageBreakBefore w:val="0"/>
              <w:widowControl/>
              <w:suppressLineNumbers w:val="0"/>
              <w:wordWrap/>
              <w:topLinePunct w:val="0"/>
              <w:bidi w:val="0"/>
              <w:spacing w:beforeAutospacing="0" w:afterAutospacing="0" w:line="360" w:lineRule="auto"/>
              <w:ind w:left="0" w:leftChars="0" w:right="0" w:rightChars="0"/>
              <w:jc w:val="center"/>
              <w:textAlignment w:val="center"/>
              <w:rPr>
                <w:rFonts w:hint="eastAsia" w:ascii="宋体" w:hAnsi="宋体" w:eastAsia="宋体" w:cs="宋体"/>
                <w:i w:val="0"/>
                <w:iCs w:val="0"/>
                <w:color w:val="auto"/>
                <w:kern w:val="0"/>
                <w:sz w:val="21"/>
                <w:szCs w:val="21"/>
                <w:u w:val="none"/>
                <w:lang w:val="en-US" w:eastAsia="zh-CN" w:bidi="ar"/>
              </w:rPr>
            </w:pPr>
            <w:r>
              <w:rPr>
                <w:bCs/>
                <w:color w:val="auto"/>
                <w:szCs w:val="21"/>
              </w:rPr>
              <w:t>采购包</w:t>
            </w:r>
            <w:r>
              <w:rPr>
                <w:rFonts w:hint="eastAsia" w:ascii="宋体" w:hAnsi="宋体" w:eastAsia="宋体" w:cs="宋体"/>
                <w:i w:val="0"/>
                <w:iCs w:val="0"/>
                <w:color w:val="auto"/>
                <w:kern w:val="0"/>
                <w:sz w:val="21"/>
                <w:szCs w:val="21"/>
                <w:u w:val="none"/>
                <w:lang w:val="en-US" w:eastAsia="zh-CN" w:bidi="ar"/>
              </w:rPr>
              <w:t>最高限额</w:t>
            </w:r>
          </w:p>
          <w:p w14:paraId="00BC53AF">
            <w:pPr>
              <w:keepNext w:val="0"/>
              <w:keepLines w:val="0"/>
              <w:pageBreakBefore w:val="0"/>
              <w:widowControl/>
              <w:suppressLineNumbers w:val="0"/>
              <w:wordWrap/>
              <w:topLinePunct w:val="0"/>
              <w:bidi w:val="0"/>
              <w:spacing w:beforeAutospacing="0" w:afterAutospacing="0" w:line="360" w:lineRule="auto"/>
              <w:ind w:left="0" w:leftChars="0" w:right="0" w:rightChars="0"/>
              <w:jc w:val="center"/>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（万元）</w:t>
            </w:r>
          </w:p>
        </w:tc>
        <w:tc>
          <w:tcPr>
            <w:tcW w:w="1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B580E">
            <w:pPr>
              <w:keepNext w:val="0"/>
              <w:keepLines w:val="0"/>
              <w:pageBreakBefore w:val="0"/>
              <w:widowControl/>
              <w:suppressLineNumbers w:val="0"/>
              <w:wordWrap/>
              <w:topLinePunct w:val="0"/>
              <w:bidi w:val="0"/>
              <w:spacing w:beforeAutospacing="0" w:afterAutospacing="0" w:line="360" w:lineRule="auto"/>
              <w:ind w:left="0" w:leftChars="0" w:right="0" w:rightChars="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简要技术需求或服务要求</w:t>
            </w:r>
          </w:p>
        </w:tc>
      </w:tr>
      <w:tr w14:paraId="5D7FF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30" w:type="dxa"/>
            <w:vMerge w:val="restart"/>
            <w:tcBorders>
              <w:top w:val="single" w:color="000000" w:sz="4" w:space="0"/>
              <w:left w:val="single" w:color="000000" w:sz="4" w:space="0"/>
              <w:right w:val="single" w:color="000000" w:sz="4" w:space="0"/>
            </w:tcBorders>
            <w:shd w:val="clear" w:color="auto" w:fill="auto"/>
            <w:vAlign w:val="center"/>
          </w:tcPr>
          <w:p w14:paraId="733AEFB0">
            <w:pPr>
              <w:keepNext w:val="0"/>
              <w:keepLines w:val="0"/>
              <w:pageBreakBefore w:val="0"/>
              <w:widowControl/>
              <w:suppressLineNumbers w:val="0"/>
              <w:wordWrap/>
              <w:topLinePunct w:val="0"/>
              <w:bidi w:val="0"/>
              <w:spacing w:beforeAutospacing="0" w:afterAutospacing="0" w:line="360" w:lineRule="auto"/>
              <w:ind w:left="0" w:leftChars="0" w:right="0" w:rightChars="0"/>
              <w:jc w:val="center"/>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p>
        </w:tc>
        <w:tc>
          <w:tcPr>
            <w:tcW w:w="3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57F3A">
            <w:pPr>
              <w:keepNext w:val="0"/>
              <w:keepLines w:val="0"/>
              <w:pageBreakBefore w:val="0"/>
              <w:widowControl/>
              <w:suppressLineNumbers w:val="0"/>
              <w:wordWrap/>
              <w:topLinePunct w:val="0"/>
              <w:bidi w:val="0"/>
              <w:spacing w:beforeAutospacing="0" w:afterAutospacing="0" w:line="360" w:lineRule="auto"/>
              <w:ind w:left="0" w:leftChars="0" w:right="0" w:rightChars="0"/>
              <w:jc w:val="center"/>
              <w:textAlignment w:val="center"/>
              <w:rPr>
                <w:rFonts w:hint="default" w:ascii="宋体" w:hAnsi="宋体" w:eastAsia="宋体" w:cs="宋体"/>
                <w:i w:val="0"/>
                <w:iCs w:val="0"/>
                <w:color w:val="auto"/>
                <w:sz w:val="21"/>
                <w:szCs w:val="21"/>
                <w:u w:val="none"/>
                <w:lang w:val="en-US"/>
              </w:rPr>
            </w:pPr>
            <w:r>
              <w:rPr>
                <w:rFonts w:hint="eastAsia" w:ascii="宋体" w:hAnsi="宋体" w:cs="宋体"/>
                <w:i w:val="0"/>
                <w:iCs w:val="0"/>
                <w:color w:val="auto"/>
                <w:kern w:val="0"/>
                <w:sz w:val="21"/>
                <w:szCs w:val="21"/>
                <w:u w:val="none"/>
                <w:lang w:val="en-US" w:eastAsia="zh-CN" w:bidi="ar"/>
              </w:rPr>
              <w:t>常州市</w:t>
            </w:r>
            <w:r>
              <w:rPr>
                <w:rFonts w:hint="eastAsia" w:ascii="宋体" w:hAnsi="宋体" w:eastAsia="宋体" w:cs="宋体"/>
                <w:i w:val="0"/>
                <w:iCs w:val="0"/>
                <w:color w:val="auto"/>
                <w:kern w:val="0"/>
                <w:sz w:val="21"/>
                <w:szCs w:val="21"/>
                <w:u w:val="none"/>
                <w:lang w:val="en-US" w:eastAsia="zh-CN" w:bidi="ar"/>
              </w:rPr>
              <w:t>北郊高中校园部分安防设备更换</w:t>
            </w:r>
            <w:r>
              <w:rPr>
                <w:rFonts w:hint="eastAsia" w:ascii="宋体" w:hAnsi="宋体" w:cs="宋体"/>
                <w:i w:val="0"/>
                <w:iCs w:val="0"/>
                <w:color w:val="auto"/>
                <w:kern w:val="0"/>
                <w:sz w:val="21"/>
                <w:szCs w:val="21"/>
                <w:u w:val="none"/>
                <w:lang w:val="en-US" w:eastAsia="zh-CN" w:bidi="ar"/>
              </w:rPr>
              <w:t>采购</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F9ECE">
            <w:pPr>
              <w:keepNext w:val="0"/>
              <w:keepLines w:val="0"/>
              <w:pageBreakBefore w:val="0"/>
              <w:widowControl/>
              <w:suppressLineNumbers w:val="0"/>
              <w:wordWrap/>
              <w:topLinePunct w:val="0"/>
              <w:bidi w:val="0"/>
              <w:spacing w:beforeAutospacing="0" w:afterAutospacing="0" w:line="360" w:lineRule="auto"/>
              <w:ind w:left="0" w:leftChars="0" w:right="0" w:right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17.5</w:t>
            </w:r>
          </w:p>
        </w:tc>
        <w:tc>
          <w:tcPr>
            <w:tcW w:w="18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D4FE4">
            <w:pPr>
              <w:keepNext w:val="0"/>
              <w:keepLines w:val="0"/>
              <w:pageBreakBefore w:val="0"/>
              <w:widowControl/>
              <w:suppressLineNumbers w:val="0"/>
              <w:wordWrap/>
              <w:topLinePunct w:val="0"/>
              <w:bidi w:val="0"/>
              <w:spacing w:beforeAutospacing="0" w:afterAutospacing="0" w:line="360" w:lineRule="auto"/>
              <w:ind w:left="0" w:leftChars="0" w:right="0" w:rightChars="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17.5</w:t>
            </w:r>
          </w:p>
        </w:tc>
        <w:tc>
          <w:tcPr>
            <w:tcW w:w="1531" w:type="dxa"/>
            <w:vMerge w:val="restart"/>
            <w:tcBorders>
              <w:top w:val="single" w:color="000000" w:sz="4" w:space="0"/>
              <w:left w:val="single" w:color="000000" w:sz="4" w:space="0"/>
              <w:right w:val="single" w:color="000000" w:sz="4" w:space="0"/>
            </w:tcBorders>
            <w:shd w:val="clear" w:color="auto" w:fill="auto"/>
            <w:noWrap/>
            <w:vAlign w:val="center"/>
          </w:tcPr>
          <w:p w14:paraId="0818603A">
            <w:pPr>
              <w:keepNext w:val="0"/>
              <w:keepLines w:val="0"/>
              <w:pageBreakBefore w:val="0"/>
              <w:widowControl/>
              <w:suppressLineNumbers w:val="0"/>
              <w:wordWrap/>
              <w:topLinePunct w:val="0"/>
              <w:bidi w:val="0"/>
              <w:spacing w:beforeAutospacing="0" w:afterAutospacing="0" w:line="360" w:lineRule="auto"/>
              <w:ind w:left="0" w:leftChars="0" w:right="0" w:rightChars="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color w:val="auto"/>
                <w:kern w:val="0"/>
                <w:sz w:val="21"/>
                <w:szCs w:val="21"/>
              </w:rPr>
              <w:t>详见“第四章 采购需求”</w:t>
            </w:r>
          </w:p>
        </w:tc>
      </w:tr>
      <w:tr w14:paraId="6539ED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30" w:type="dxa"/>
            <w:vMerge w:val="continue"/>
            <w:tcBorders>
              <w:left w:val="single" w:color="000000" w:sz="4" w:space="0"/>
              <w:right w:val="single" w:color="000000" w:sz="4" w:space="0"/>
            </w:tcBorders>
            <w:shd w:val="clear" w:color="auto" w:fill="auto"/>
            <w:vAlign w:val="center"/>
          </w:tcPr>
          <w:p w14:paraId="378FA7F8">
            <w:pPr>
              <w:keepNext w:val="0"/>
              <w:keepLines w:val="0"/>
              <w:pageBreakBefore w:val="0"/>
              <w:widowControl/>
              <w:suppressLineNumbers w:val="0"/>
              <w:wordWrap/>
              <w:topLinePunct w:val="0"/>
              <w:bidi w:val="0"/>
              <w:spacing w:beforeAutospacing="0" w:afterAutospacing="0" w:line="360" w:lineRule="auto"/>
              <w:ind w:left="0" w:leftChars="0" w:right="0" w:rightChars="0"/>
              <w:jc w:val="center"/>
              <w:textAlignment w:val="center"/>
              <w:rPr>
                <w:rFonts w:hint="eastAsia" w:ascii="宋体" w:hAnsi="宋体" w:eastAsia="宋体" w:cs="宋体"/>
                <w:i w:val="0"/>
                <w:iCs w:val="0"/>
                <w:color w:val="auto"/>
                <w:kern w:val="0"/>
                <w:sz w:val="21"/>
                <w:szCs w:val="21"/>
                <w:u w:val="none"/>
                <w:lang w:val="en-US" w:eastAsia="zh-CN" w:bidi="ar"/>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D10B0">
            <w:pPr>
              <w:keepNext w:val="0"/>
              <w:keepLines w:val="0"/>
              <w:pageBreakBefore w:val="0"/>
              <w:widowControl/>
              <w:suppressLineNumbers w:val="0"/>
              <w:wordWrap/>
              <w:topLinePunct w:val="0"/>
              <w:bidi w:val="0"/>
              <w:spacing w:beforeAutospacing="0" w:afterAutospacing="0" w:line="360" w:lineRule="auto"/>
              <w:ind w:left="0" w:leftChars="0" w:right="0" w:rightChars="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cs="宋体"/>
                <w:i w:val="0"/>
                <w:iCs w:val="0"/>
                <w:color w:val="auto"/>
                <w:kern w:val="0"/>
                <w:sz w:val="21"/>
                <w:szCs w:val="21"/>
                <w:u w:val="none"/>
                <w:lang w:val="en-US" w:eastAsia="zh-CN" w:bidi="ar"/>
              </w:rPr>
              <w:t>常州市第</w:t>
            </w:r>
            <w:r>
              <w:rPr>
                <w:rFonts w:hint="eastAsia" w:ascii="宋体" w:hAnsi="宋体" w:eastAsia="宋体" w:cs="宋体"/>
                <w:i w:val="0"/>
                <w:iCs w:val="0"/>
                <w:color w:val="auto"/>
                <w:kern w:val="0"/>
                <w:sz w:val="21"/>
                <w:szCs w:val="21"/>
                <w:u w:val="none"/>
                <w:lang w:val="en-US" w:eastAsia="zh-CN" w:bidi="ar"/>
              </w:rPr>
              <w:t>二十四中</w:t>
            </w:r>
            <w:r>
              <w:rPr>
                <w:rFonts w:hint="eastAsia" w:ascii="宋体" w:hAnsi="宋体" w:cs="宋体"/>
                <w:i w:val="0"/>
                <w:iCs w:val="0"/>
                <w:color w:val="auto"/>
                <w:kern w:val="0"/>
                <w:sz w:val="21"/>
                <w:szCs w:val="21"/>
                <w:u w:val="none"/>
                <w:lang w:val="en-US" w:eastAsia="zh-CN" w:bidi="ar"/>
              </w:rPr>
              <w:t>学校</w:t>
            </w:r>
            <w:r>
              <w:rPr>
                <w:rFonts w:hint="eastAsia" w:ascii="宋体" w:hAnsi="宋体" w:eastAsia="宋体" w:cs="宋体"/>
                <w:i w:val="0"/>
                <w:iCs w:val="0"/>
                <w:color w:val="auto"/>
                <w:kern w:val="0"/>
                <w:sz w:val="21"/>
                <w:szCs w:val="21"/>
                <w:u w:val="none"/>
                <w:lang w:val="en-US" w:eastAsia="zh-CN" w:bidi="ar"/>
              </w:rPr>
              <w:t>园增设监控</w:t>
            </w:r>
            <w:r>
              <w:rPr>
                <w:rFonts w:hint="eastAsia" w:ascii="宋体" w:hAnsi="宋体" w:cs="宋体"/>
                <w:i w:val="0"/>
                <w:iCs w:val="0"/>
                <w:color w:val="auto"/>
                <w:kern w:val="0"/>
                <w:sz w:val="21"/>
                <w:szCs w:val="21"/>
                <w:u w:val="none"/>
                <w:lang w:val="en-US" w:eastAsia="zh-CN" w:bidi="ar"/>
              </w:rPr>
              <w:t>设备采购</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327B5">
            <w:pPr>
              <w:keepNext w:val="0"/>
              <w:keepLines w:val="0"/>
              <w:pageBreakBefore w:val="0"/>
              <w:widowControl/>
              <w:suppressLineNumbers w:val="0"/>
              <w:wordWrap/>
              <w:topLinePunct w:val="0"/>
              <w:bidi w:val="0"/>
              <w:spacing w:beforeAutospacing="0" w:afterAutospacing="0" w:line="360" w:lineRule="auto"/>
              <w:ind w:left="0" w:leftChars="0" w:right="0" w:rightChars="0"/>
              <w:jc w:val="center"/>
              <w:textAlignment w:val="center"/>
              <w:rPr>
                <w:rFonts w:hint="default"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23.46</w:t>
            </w:r>
          </w:p>
        </w:tc>
        <w:tc>
          <w:tcPr>
            <w:tcW w:w="18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30FEA">
            <w:pPr>
              <w:keepNext w:val="0"/>
              <w:keepLines w:val="0"/>
              <w:pageBreakBefore w:val="0"/>
              <w:widowControl/>
              <w:suppressLineNumbers w:val="0"/>
              <w:wordWrap/>
              <w:topLinePunct w:val="0"/>
              <w:bidi w:val="0"/>
              <w:spacing w:beforeAutospacing="0" w:afterAutospacing="0" w:line="360" w:lineRule="auto"/>
              <w:ind w:left="0" w:leftChars="0" w:right="0" w:rightChars="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23.46</w:t>
            </w:r>
          </w:p>
        </w:tc>
        <w:tc>
          <w:tcPr>
            <w:tcW w:w="1531" w:type="dxa"/>
            <w:vMerge w:val="continue"/>
            <w:tcBorders>
              <w:left w:val="single" w:color="000000" w:sz="4" w:space="0"/>
              <w:right w:val="single" w:color="000000" w:sz="4" w:space="0"/>
            </w:tcBorders>
            <w:shd w:val="clear" w:color="auto" w:fill="auto"/>
            <w:noWrap/>
            <w:vAlign w:val="center"/>
          </w:tcPr>
          <w:p w14:paraId="25F2C814">
            <w:pPr>
              <w:keepNext w:val="0"/>
              <w:keepLines w:val="0"/>
              <w:pageBreakBefore w:val="0"/>
              <w:widowControl/>
              <w:suppressLineNumbers w:val="0"/>
              <w:wordWrap/>
              <w:topLinePunct w:val="0"/>
              <w:bidi w:val="0"/>
              <w:spacing w:beforeAutospacing="0" w:afterAutospacing="0" w:line="360" w:lineRule="auto"/>
              <w:ind w:left="0" w:leftChars="0" w:right="0" w:rightChars="0"/>
              <w:jc w:val="center"/>
              <w:textAlignment w:val="center"/>
              <w:rPr>
                <w:rFonts w:hint="eastAsia" w:ascii="宋体" w:hAnsi="宋体" w:eastAsia="宋体" w:cs="宋体"/>
                <w:i w:val="0"/>
                <w:iCs w:val="0"/>
                <w:color w:val="auto"/>
                <w:kern w:val="0"/>
                <w:sz w:val="21"/>
                <w:szCs w:val="21"/>
                <w:u w:val="none"/>
                <w:lang w:val="en-US" w:eastAsia="zh-CN" w:bidi="ar"/>
              </w:rPr>
            </w:pPr>
          </w:p>
        </w:tc>
      </w:tr>
      <w:tr w14:paraId="030775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30" w:type="dxa"/>
            <w:vMerge w:val="continue"/>
            <w:tcBorders>
              <w:left w:val="single" w:color="000000" w:sz="4" w:space="0"/>
              <w:right w:val="single" w:color="000000" w:sz="4" w:space="0"/>
            </w:tcBorders>
            <w:shd w:val="clear" w:color="auto" w:fill="auto"/>
            <w:vAlign w:val="center"/>
          </w:tcPr>
          <w:p w14:paraId="3B1E3FDE">
            <w:pPr>
              <w:keepNext w:val="0"/>
              <w:keepLines w:val="0"/>
              <w:pageBreakBefore w:val="0"/>
              <w:widowControl/>
              <w:suppressLineNumbers w:val="0"/>
              <w:wordWrap/>
              <w:topLinePunct w:val="0"/>
              <w:bidi w:val="0"/>
              <w:spacing w:beforeAutospacing="0" w:afterAutospacing="0" w:line="360" w:lineRule="auto"/>
              <w:ind w:left="0" w:leftChars="0" w:right="0" w:rightChars="0"/>
              <w:jc w:val="center"/>
              <w:textAlignment w:val="center"/>
              <w:rPr>
                <w:rFonts w:hint="default" w:ascii="宋体" w:hAnsi="宋体" w:eastAsia="宋体" w:cs="宋体"/>
                <w:i w:val="0"/>
                <w:iCs w:val="0"/>
                <w:color w:val="auto"/>
                <w:kern w:val="0"/>
                <w:sz w:val="21"/>
                <w:szCs w:val="21"/>
                <w:u w:val="none"/>
                <w:lang w:val="en-US" w:eastAsia="zh-CN" w:bidi="ar"/>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AB94E">
            <w:pPr>
              <w:keepNext w:val="0"/>
              <w:keepLines w:val="0"/>
              <w:pageBreakBefore w:val="0"/>
              <w:widowControl/>
              <w:suppressLineNumbers w:val="0"/>
              <w:wordWrap/>
              <w:topLinePunct w:val="0"/>
              <w:bidi w:val="0"/>
              <w:spacing w:beforeAutospacing="0" w:afterAutospacing="0" w:line="360" w:lineRule="auto"/>
              <w:ind w:left="0" w:leftChars="0" w:right="0" w:rightChars="0"/>
              <w:jc w:val="center"/>
              <w:textAlignment w:val="center"/>
              <w:rPr>
                <w:rFonts w:hint="default" w:ascii="宋体" w:hAnsi="宋体" w:eastAsia="宋体" w:cs="宋体"/>
                <w:i w:val="0"/>
                <w:iCs w:val="0"/>
                <w:color w:val="auto"/>
                <w:sz w:val="21"/>
                <w:szCs w:val="21"/>
                <w:u w:val="none"/>
                <w:lang w:val="en-US"/>
              </w:rPr>
            </w:pPr>
            <w:r>
              <w:rPr>
                <w:rFonts w:hint="eastAsia" w:ascii="宋体" w:hAnsi="宋体" w:cs="宋体"/>
                <w:i w:val="0"/>
                <w:iCs w:val="0"/>
                <w:color w:val="auto"/>
                <w:kern w:val="0"/>
                <w:sz w:val="21"/>
                <w:szCs w:val="21"/>
                <w:u w:val="none"/>
                <w:lang w:val="en-US" w:eastAsia="zh-CN" w:bidi="ar"/>
              </w:rPr>
              <w:t>常州市</w:t>
            </w:r>
            <w:r>
              <w:rPr>
                <w:rFonts w:hint="eastAsia" w:ascii="宋体" w:hAnsi="宋体" w:eastAsia="宋体" w:cs="宋体"/>
                <w:i w:val="0"/>
                <w:iCs w:val="0"/>
                <w:color w:val="auto"/>
                <w:kern w:val="0"/>
                <w:sz w:val="21"/>
                <w:szCs w:val="21"/>
                <w:u w:val="none"/>
                <w:lang w:val="en-US" w:eastAsia="zh-CN" w:bidi="ar"/>
              </w:rPr>
              <w:t>田</w:t>
            </w:r>
            <w:r>
              <w:rPr>
                <w:rFonts w:hint="eastAsia" w:ascii="宋体" w:hAnsi="宋体" w:cs="宋体"/>
                <w:i w:val="0"/>
                <w:iCs w:val="0"/>
                <w:color w:val="auto"/>
                <w:kern w:val="0"/>
                <w:sz w:val="21"/>
                <w:szCs w:val="21"/>
                <w:u w:val="none"/>
                <w:lang w:val="en-US" w:eastAsia="zh-CN" w:bidi="ar"/>
              </w:rPr>
              <w:t>家炳</w:t>
            </w:r>
            <w:r>
              <w:rPr>
                <w:rFonts w:hint="eastAsia" w:ascii="宋体" w:hAnsi="宋体" w:eastAsia="宋体" w:cs="宋体"/>
                <w:i w:val="0"/>
                <w:iCs w:val="0"/>
                <w:color w:val="auto"/>
                <w:kern w:val="0"/>
                <w:sz w:val="21"/>
                <w:szCs w:val="21"/>
                <w:u w:val="none"/>
                <w:lang w:val="en-US" w:eastAsia="zh-CN" w:bidi="ar"/>
              </w:rPr>
              <w:t>高中安防设备更新</w:t>
            </w:r>
            <w:r>
              <w:rPr>
                <w:rFonts w:hint="eastAsia" w:ascii="宋体" w:hAnsi="宋体" w:cs="宋体"/>
                <w:i w:val="0"/>
                <w:iCs w:val="0"/>
                <w:color w:val="auto"/>
                <w:kern w:val="0"/>
                <w:sz w:val="21"/>
                <w:szCs w:val="21"/>
                <w:u w:val="none"/>
                <w:lang w:val="en-US" w:eastAsia="zh-CN" w:bidi="ar"/>
              </w:rPr>
              <w:t>采购</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982CD">
            <w:pPr>
              <w:keepNext w:val="0"/>
              <w:keepLines w:val="0"/>
              <w:pageBreakBefore w:val="0"/>
              <w:widowControl/>
              <w:suppressLineNumbers w:val="0"/>
              <w:wordWrap/>
              <w:topLinePunct w:val="0"/>
              <w:bidi w:val="0"/>
              <w:spacing w:beforeAutospacing="0" w:afterAutospacing="0" w:line="360" w:lineRule="auto"/>
              <w:ind w:left="0" w:leftChars="0" w:right="0" w:rightChars="0"/>
              <w:jc w:val="center"/>
              <w:textAlignment w:val="center"/>
              <w:rPr>
                <w:rFonts w:hint="default" w:ascii="宋体" w:hAnsi="宋体" w:eastAsia="宋体" w:cs="宋体"/>
                <w:i w:val="0"/>
                <w:iCs w:val="0"/>
                <w:color w:val="auto"/>
                <w:sz w:val="21"/>
                <w:szCs w:val="21"/>
                <w:u w:val="none"/>
                <w:lang w:val="en-US"/>
              </w:rPr>
            </w:pPr>
            <w:r>
              <w:rPr>
                <w:rFonts w:hint="eastAsia" w:ascii="宋体" w:hAnsi="宋体" w:cs="宋体"/>
                <w:i w:val="0"/>
                <w:iCs w:val="0"/>
                <w:color w:val="auto"/>
                <w:kern w:val="0"/>
                <w:sz w:val="21"/>
                <w:szCs w:val="21"/>
                <w:u w:val="none"/>
                <w:lang w:val="en-US" w:eastAsia="zh-CN" w:bidi="ar"/>
              </w:rPr>
              <w:t>22.2</w:t>
            </w:r>
          </w:p>
        </w:tc>
        <w:tc>
          <w:tcPr>
            <w:tcW w:w="18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E20E6">
            <w:pPr>
              <w:keepNext w:val="0"/>
              <w:keepLines w:val="0"/>
              <w:pageBreakBefore w:val="0"/>
              <w:widowControl/>
              <w:suppressLineNumbers w:val="0"/>
              <w:wordWrap/>
              <w:topLinePunct w:val="0"/>
              <w:bidi w:val="0"/>
              <w:spacing w:beforeAutospacing="0" w:afterAutospacing="0" w:line="360" w:lineRule="auto"/>
              <w:ind w:left="0" w:leftChars="0" w:right="0" w:rightChars="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cs="宋体"/>
                <w:i w:val="0"/>
                <w:iCs w:val="0"/>
                <w:color w:val="auto"/>
                <w:kern w:val="0"/>
                <w:sz w:val="21"/>
                <w:szCs w:val="21"/>
                <w:u w:val="none"/>
                <w:lang w:val="en-US" w:eastAsia="zh-CN" w:bidi="ar"/>
              </w:rPr>
              <w:t>22.2</w:t>
            </w:r>
          </w:p>
        </w:tc>
        <w:tc>
          <w:tcPr>
            <w:tcW w:w="1531" w:type="dxa"/>
            <w:vMerge w:val="continue"/>
            <w:tcBorders>
              <w:left w:val="single" w:color="000000" w:sz="4" w:space="0"/>
              <w:right w:val="single" w:color="000000" w:sz="4" w:space="0"/>
            </w:tcBorders>
            <w:shd w:val="clear" w:color="auto" w:fill="auto"/>
            <w:noWrap/>
            <w:vAlign w:val="center"/>
          </w:tcPr>
          <w:p w14:paraId="3BA5AA43">
            <w:pPr>
              <w:keepNext w:val="0"/>
              <w:keepLines w:val="0"/>
              <w:pageBreakBefore w:val="0"/>
              <w:widowControl/>
              <w:suppressLineNumbers w:val="0"/>
              <w:wordWrap/>
              <w:topLinePunct w:val="0"/>
              <w:bidi w:val="0"/>
              <w:spacing w:beforeAutospacing="0" w:afterAutospacing="0" w:line="360" w:lineRule="auto"/>
              <w:ind w:left="0" w:leftChars="0" w:right="0" w:rightChars="0"/>
              <w:jc w:val="center"/>
              <w:textAlignment w:val="center"/>
              <w:rPr>
                <w:rFonts w:hint="eastAsia" w:ascii="宋体" w:hAnsi="宋体" w:eastAsia="宋体" w:cs="宋体"/>
                <w:i w:val="0"/>
                <w:iCs w:val="0"/>
                <w:color w:val="auto"/>
                <w:kern w:val="0"/>
                <w:sz w:val="21"/>
                <w:szCs w:val="21"/>
                <w:u w:val="none"/>
                <w:lang w:val="en-US" w:eastAsia="zh-CN" w:bidi="ar"/>
              </w:rPr>
            </w:pPr>
          </w:p>
        </w:tc>
      </w:tr>
      <w:tr w14:paraId="3E4F73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30" w:type="dxa"/>
            <w:vMerge w:val="continue"/>
            <w:tcBorders>
              <w:left w:val="single" w:color="000000" w:sz="4" w:space="0"/>
              <w:right w:val="single" w:color="000000" w:sz="4" w:space="0"/>
            </w:tcBorders>
            <w:shd w:val="clear" w:color="auto" w:fill="auto"/>
            <w:vAlign w:val="center"/>
          </w:tcPr>
          <w:p w14:paraId="1F794AB1">
            <w:pPr>
              <w:keepNext w:val="0"/>
              <w:keepLines w:val="0"/>
              <w:pageBreakBefore w:val="0"/>
              <w:widowControl/>
              <w:suppressLineNumbers w:val="0"/>
              <w:wordWrap/>
              <w:topLinePunct w:val="0"/>
              <w:bidi w:val="0"/>
              <w:spacing w:beforeAutospacing="0" w:afterAutospacing="0" w:line="360" w:lineRule="auto"/>
              <w:ind w:left="0" w:leftChars="0" w:right="0" w:rightChars="0"/>
              <w:jc w:val="center"/>
              <w:textAlignment w:val="center"/>
              <w:rPr>
                <w:rFonts w:hint="default" w:ascii="宋体" w:hAnsi="宋体" w:eastAsia="宋体" w:cs="宋体"/>
                <w:i w:val="0"/>
                <w:iCs w:val="0"/>
                <w:color w:val="auto"/>
                <w:kern w:val="0"/>
                <w:sz w:val="21"/>
                <w:szCs w:val="21"/>
                <w:u w:val="none"/>
                <w:lang w:val="en-US" w:eastAsia="zh-CN" w:bidi="ar"/>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9D12B">
            <w:pPr>
              <w:keepNext w:val="0"/>
              <w:keepLines w:val="0"/>
              <w:pageBreakBefore w:val="0"/>
              <w:widowControl/>
              <w:suppressLineNumbers w:val="0"/>
              <w:wordWrap/>
              <w:topLinePunct w:val="0"/>
              <w:bidi w:val="0"/>
              <w:spacing w:beforeAutospacing="0" w:afterAutospacing="0" w:line="360" w:lineRule="auto"/>
              <w:ind w:left="0" w:leftChars="0" w:right="0" w:rightChars="0"/>
              <w:jc w:val="center"/>
              <w:textAlignment w:val="center"/>
              <w:rPr>
                <w:rFonts w:hint="default" w:ascii="宋体" w:hAnsi="宋体" w:eastAsia="宋体" w:cs="宋体"/>
                <w:i w:val="0"/>
                <w:iCs w:val="0"/>
                <w:color w:val="auto"/>
                <w:sz w:val="21"/>
                <w:szCs w:val="21"/>
                <w:u w:val="none"/>
                <w:lang w:val="en-US"/>
              </w:rPr>
            </w:pPr>
            <w:r>
              <w:rPr>
                <w:rFonts w:hint="eastAsia" w:ascii="宋体" w:hAnsi="宋体" w:cs="宋体"/>
                <w:i w:val="0"/>
                <w:iCs w:val="0"/>
                <w:color w:val="auto"/>
                <w:kern w:val="0"/>
                <w:sz w:val="21"/>
                <w:szCs w:val="21"/>
                <w:u w:val="none"/>
                <w:lang w:val="en-US" w:eastAsia="zh-CN" w:bidi="ar"/>
              </w:rPr>
              <w:t>常州市实验</w:t>
            </w:r>
            <w:r>
              <w:rPr>
                <w:rFonts w:hint="eastAsia" w:ascii="宋体" w:hAnsi="宋体" w:eastAsia="宋体" w:cs="宋体"/>
                <w:i w:val="0"/>
                <w:iCs w:val="0"/>
                <w:color w:val="auto"/>
                <w:kern w:val="0"/>
                <w:sz w:val="21"/>
                <w:szCs w:val="21"/>
                <w:u w:val="none"/>
                <w:lang w:val="en-US" w:eastAsia="zh-CN" w:bidi="ar"/>
              </w:rPr>
              <w:t>初中监控</w:t>
            </w:r>
            <w:r>
              <w:rPr>
                <w:rFonts w:hint="eastAsia" w:ascii="宋体" w:hAnsi="宋体" w:cs="宋体"/>
                <w:i w:val="0"/>
                <w:iCs w:val="0"/>
                <w:color w:val="auto"/>
                <w:kern w:val="0"/>
                <w:sz w:val="21"/>
                <w:szCs w:val="21"/>
                <w:u w:val="none"/>
                <w:lang w:val="en-US" w:eastAsia="zh-CN" w:bidi="ar"/>
              </w:rPr>
              <w:t>设备采购</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E315A">
            <w:pPr>
              <w:keepNext w:val="0"/>
              <w:keepLines w:val="0"/>
              <w:pageBreakBefore w:val="0"/>
              <w:widowControl/>
              <w:suppressLineNumbers w:val="0"/>
              <w:wordWrap/>
              <w:topLinePunct w:val="0"/>
              <w:bidi w:val="0"/>
              <w:spacing w:beforeAutospacing="0" w:afterAutospacing="0" w:line="360" w:lineRule="auto"/>
              <w:ind w:left="0" w:leftChars="0" w:right="0" w:rightChars="0"/>
              <w:jc w:val="center"/>
              <w:textAlignment w:val="center"/>
              <w:rPr>
                <w:rFonts w:hint="default" w:ascii="宋体" w:hAnsi="宋体" w:eastAsia="宋体" w:cs="宋体"/>
                <w:i w:val="0"/>
                <w:iCs w:val="0"/>
                <w:color w:val="auto"/>
                <w:sz w:val="21"/>
                <w:szCs w:val="21"/>
                <w:u w:val="none"/>
                <w:lang w:val="en-US"/>
              </w:rPr>
            </w:pPr>
            <w:r>
              <w:rPr>
                <w:rFonts w:hint="eastAsia" w:ascii="宋体" w:hAnsi="宋体" w:cs="宋体"/>
                <w:i w:val="0"/>
                <w:iCs w:val="0"/>
                <w:color w:val="auto"/>
                <w:kern w:val="0"/>
                <w:sz w:val="21"/>
                <w:szCs w:val="21"/>
                <w:u w:val="none"/>
                <w:lang w:val="en-US" w:eastAsia="zh-CN" w:bidi="ar"/>
              </w:rPr>
              <w:t>17.78</w:t>
            </w:r>
          </w:p>
        </w:tc>
        <w:tc>
          <w:tcPr>
            <w:tcW w:w="18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2E888">
            <w:pPr>
              <w:keepNext w:val="0"/>
              <w:keepLines w:val="0"/>
              <w:pageBreakBefore w:val="0"/>
              <w:widowControl/>
              <w:suppressLineNumbers w:val="0"/>
              <w:wordWrap/>
              <w:topLinePunct w:val="0"/>
              <w:bidi w:val="0"/>
              <w:spacing w:beforeAutospacing="0" w:afterAutospacing="0" w:line="360" w:lineRule="auto"/>
              <w:ind w:left="0" w:leftChars="0" w:right="0" w:rightChars="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cs="宋体"/>
                <w:i w:val="0"/>
                <w:iCs w:val="0"/>
                <w:color w:val="auto"/>
                <w:kern w:val="0"/>
                <w:sz w:val="21"/>
                <w:szCs w:val="21"/>
                <w:u w:val="none"/>
                <w:lang w:val="en-US" w:eastAsia="zh-CN" w:bidi="ar"/>
              </w:rPr>
              <w:t>17.78</w:t>
            </w:r>
          </w:p>
        </w:tc>
        <w:tc>
          <w:tcPr>
            <w:tcW w:w="1531" w:type="dxa"/>
            <w:vMerge w:val="continue"/>
            <w:tcBorders>
              <w:left w:val="single" w:color="000000" w:sz="4" w:space="0"/>
              <w:right w:val="single" w:color="000000" w:sz="4" w:space="0"/>
            </w:tcBorders>
            <w:shd w:val="clear" w:color="auto" w:fill="auto"/>
            <w:noWrap/>
            <w:vAlign w:val="center"/>
          </w:tcPr>
          <w:p w14:paraId="08B9B5A7">
            <w:pPr>
              <w:keepNext w:val="0"/>
              <w:keepLines w:val="0"/>
              <w:pageBreakBefore w:val="0"/>
              <w:widowControl/>
              <w:suppressLineNumbers w:val="0"/>
              <w:wordWrap/>
              <w:topLinePunct w:val="0"/>
              <w:bidi w:val="0"/>
              <w:spacing w:beforeAutospacing="0" w:afterAutospacing="0" w:line="360" w:lineRule="auto"/>
              <w:ind w:left="0" w:leftChars="0" w:right="0" w:rightChars="0"/>
              <w:jc w:val="center"/>
              <w:textAlignment w:val="center"/>
              <w:rPr>
                <w:rFonts w:hint="eastAsia" w:ascii="宋体" w:hAnsi="宋体" w:eastAsia="宋体" w:cs="宋体"/>
                <w:i w:val="0"/>
                <w:iCs w:val="0"/>
                <w:color w:val="auto"/>
                <w:kern w:val="0"/>
                <w:sz w:val="21"/>
                <w:szCs w:val="21"/>
                <w:u w:val="none"/>
                <w:lang w:val="en-US" w:eastAsia="zh-CN" w:bidi="ar"/>
              </w:rPr>
            </w:pPr>
          </w:p>
        </w:tc>
      </w:tr>
      <w:tr w14:paraId="2E578F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30" w:type="dxa"/>
            <w:vMerge w:val="continue"/>
            <w:tcBorders>
              <w:left w:val="single" w:color="000000" w:sz="4" w:space="0"/>
              <w:bottom w:val="single" w:color="000000" w:sz="4" w:space="0"/>
              <w:right w:val="single" w:color="000000" w:sz="4" w:space="0"/>
            </w:tcBorders>
            <w:shd w:val="clear" w:color="auto" w:fill="auto"/>
            <w:vAlign w:val="center"/>
          </w:tcPr>
          <w:p w14:paraId="203E395E">
            <w:pPr>
              <w:keepNext w:val="0"/>
              <w:keepLines w:val="0"/>
              <w:pageBreakBefore w:val="0"/>
              <w:widowControl/>
              <w:suppressLineNumbers w:val="0"/>
              <w:wordWrap/>
              <w:topLinePunct w:val="0"/>
              <w:bidi w:val="0"/>
              <w:spacing w:beforeAutospacing="0" w:afterAutospacing="0" w:line="360" w:lineRule="auto"/>
              <w:ind w:left="0" w:leftChars="0" w:right="0" w:rightChars="0"/>
              <w:jc w:val="center"/>
              <w:textAlignment w:val="center"/>
              <w:rPr>
                <w:rFonts w:hint="default" w:ascii="宋体" w:hAnsi="宋体" w:eastAsia="宋体" w:cs="宋体"/>
                <w:i w:val="0"/>
                <w:iCs w:val="0"/>
                <w:color w:val="auto"/>
                <w:kern w:val="0"/>
                <w:sz w:val="21"/>
                <w:szCs w:val="21"/>
                <w:u w:val="none"/>
                <w:lang w:val="en-US" w:eastAsia="zh-CN" w:bidi="ar"/>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2CAA7">
            <w:pPr>
              <w:keepNext w:val="0"/>
              <w:keepLines w:val="0"/>
              <w:pageBreakBefore w:val="0"/>
              <w:widowControl/>
              <w:suppressLineNumbers w:val="0"/>
              <w:wordWrap/>
              <w:topLinePunct w:val="0"/>
              <w:bidi w:val="0"/>
              <w:spacing w:beforeAutospacing="0" w:afterAutospacing="0" w:line="360" w:lineRule="auto"/>
              <w:ind w:left="0" w:leftChars="0" w:right="0" w:rightChars="0"/>
              <w:jc w:val="center"/>
              <w:textAlignment w:val="center"/>
              <w:rPr>
                <w:rFonts w:hint="default" w:ascii="宋体" w:hAnsi="宋体" w:eastAsia="宋体" w:cs="宋体"/>
                <w:i w:val="0"/>
                <w:iCs w:val="0"/>
                <w:color w:val="auto"/>
                <w:sz w:val="21"/>
                <w:szCs w:val="21"/>
                <w:u w:val="none"/>
                <w:lang w:val="en-US"/>
              </w:rPr>
            </w:pPr>
            <w:r>
              <w:rPr>
                <w:rFonts w:hint="eastAsia" w:ascii="宋体" w:hAnsi="宋体" w:cs="宋体"/>
                <w:i w:val="0"/>
                <w:iCs w:val="0"/>
                <w:color w:val="auto"/>
                <w:kern w:val="0"/>
                <w:sz w:val="21"/>
                <w:szCs w:val="21"/>
                <w:u w:val="none"/>
                <w:lang w:val="en-US" w:eastAsia="zh-CN" w:bidi="ar"/>
              </w:rPr>
              <w:t>常州市</w:t>
            </w:r>
            <w:r>
              <w:rPr>
                <w:rFonts w:hint="eastAsia" w:ascii="宋体" w:hAnsi="宋体" w:eastAsia="宋体" w:cs="宋体"/>
                <w:i w:val="0"/>
                <w:iCs w:val="0"/>
                <w:color w:val="auto"/>
                <w:kern w:val="0"/>
                <w:sz w:val="21"/>
                <w:szCs w:val="21"/>
                <w:u w:val="none"/>
                <w:lang w:val="en-US" w:eastAsia="zh-CN" w:bidi="ar"/>
              </w:rPr>
              <w:t>花园中学校园局部监控更补</w:t>
            </w:r>
            <w:r>
              <w:rPr>
                <w:rFonts w:hint="eastAsia" w:ascii="宋体" w:hAnsi="宋体" w:cs="宋体"/>
                <w:i w:val="0"/>
                <w:iCs w:val="0"/>
                <w:color w:val="auto"/>
                <w:kern w:val="0"/>
                <w:sz w:val="21"/>
                <w:szCs w:val="21"/>
                <w:u w:val="none"/>
                <w:lang w:val="en-US" w:eastAsia="zh-CN" w:bidi="ar"/>
              </w:rPr>
              <w:t>采购</w:t>
            </w:r>
          </w:p>
        </w:tc>
        <w:tc>
          <w:tcPr>
            <w:tcW w:w="1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CA247">
            <w:pPr>
              <w:keepNext w:val="0"/>
              <w:keepLines w:val="0"/>
              <w:pageBreakBefore w:val="0"/>
              <w:widowControl/>
              <w:suppressLineNumbers w:val="0"/>
              <w:wordWrap/>
              <w:topLinePunct w:val="0"/>
              <w:bidi w:val="0"/>
              <w:spacing w:beforeAutospacing="0" w:afterAutospacing="0" w:line="360" w:lineRule="auto"/>
              <w:ind w:left="0" w:leftChars="0" w:right="0" w:rightChars="0"/>
              <w:jc w:val="center"/>
              <w:textAlignment w:val="center"/>
              <w:rPr>
                <w:rFonts w:hint="default" w:ascii="宋体" w:hAnsi="宋体" w:eastAsia="宋体" w:cs="宋体"/>
                <w:i w:val="0"/>
                <w:iCs w:val="0"/>
                <w:color w:val="auto"/>
                <w:sz w:val="21"/>
                <w:szCs w:val="21"/>
                <w:u w:val="none"/>
                <w:lang w:val="en-US"/>
              </w:rPr>
            </w:pPr>
            <w:r>
              <w:rPr>
                <w:rFonts w:hint="eastAsia" w:ascii="宋体" w:hAnsi="宋体" w:cs="宋体"/>
                <w:i w:val="0"/>
                <w:iCs w:val="0"/>
                <w:color w:val="auto"/>
                <w:kern w:val="0"/>
                <w:sz w:val="21"/>
                <w:szCs w:val="21"/>
                <w:u w:val="none"/>
                <w:lang w:val="en-US" w:eastAsia="zh-CN" w:bidi="ar"/>
              </w:rPr>
              <w:t>20.3</w:t>
            </w:r>
          </w:p>
        </w:tc>
        <w:tc>
          <w:tcPr>
            <w:tcW w:w="18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BF320">
            <w:pPr>
              <w:keepNext w:val="0"/>
              <w:keepLines w:val="0"/>
              <w:pageBreakBefore w:val="0"/>
              <w:widowControl/>
              <w:suppressLineNumbers w:val="0"/>
              <w:wordWrap/>
              <w:topLinePunct w:val="0"/>
              <w:bidi w:val="0"/>
              <w:spacing w:beforeAutospacing="0" w:afterAutospacing="0" w:line="360" w:lineRule="auto"/>
              <w:ind w:left="0" w:leftChars="0" w:right="0" w:rightChars="0"/>
              <w:jc w:val="center"/>
              <w:textAlignment w:val="center"/>
              <w:rPr>
                <w:rFonts w:hint="default" w:ascii="宋体" w:hAnsi="宋体" w:eastAsia="宋体" w:cs="宋体"/>
                <w:i w:val="0"/>
                <w:iCs w:val="0"/>
                <w:color w:val="auto"/>
                <w:kern w:val="2"/>
                <w:sz w:val="21"/>
                <w:szCs w:val="21"/>
                <w:u w:val="none"/>
                <w:lang w:val="en-US" w:eastAsia="zh-CN" w:bidi="ar-SA"/>
              </w:rPr>
            </w:pPr>
            <w:r>
              <w:rPr>
                <w:rFonts w:hint="eastAsia" w:ascii="宋体" w:hAnsi="宋体" w:cs="宋体"/>
                <w:i w:val="0"/>
                <w:iCs w:val="0"/>
                <w:color w:val="auto"/>
                <w:kern w:val="0"/>
                <w:sz w:val="21"/>
                <w:szCs w:val="21"/>
                <w:u w:val="none"/>
                <w:lang w:val="en-US" w:eastAsia="zh-CN" w:bidi="ar"/>
              </w:rPr>
              <w:t>20.3</w:t>
            </w:r>
          </w:p>
        </w:tc>
        <w:tc>
          <w:tcPr>
            <w:tcW w:w="1531" w:type="dxa"/>
            <w:vMerge w:val="continue"/>
            <w:tcBorders>
              <w:left w:val="single" w:color="000000" w:sz="4" w:space="0"/>
              <w:bottom w:val="single" w:color="000000" w:sz="4" w:space="0"/>
              <w:right w:val="single" w:color="000000" w:sz="4" w:space="0"/>
            </w:tcBorders>
            <w:shd w:val="clear" w:color="auto" w:fill="auto"/>
            <w:noWrap/>
            <w:vAlign w:val="center"/>
          </w:tcPr>
          <w:p w14:paraId="4AEA8A17">
            <w:pPr>
              <w:keepNext w:val="0"/>
              <w:keepLines w:val="0"/>
              <w:pageBreakBefore w:val="0"/>
              <w:widowControl/>
              <w:suppressLineNumbers w:val="0"/>
              <w:wordWrap/>
              <w:topLinePunct w:val="0"/>
              <w:bidi w:val="0"/>
              <w:spacing w:beforeAutospacing="0" w:afterAutospacing="0" w:line="360" w:lineRule="auto"/>
              <w:ind w:left="0" w:leftChars="0" w:right="0" w:rightChars="0"/>
              <w:jc w:val="center"/>
              <w:textAlignment w:val="center"/>
              <w:rPr>
                <w:rFonts w:hint="eastAsia" w:ascii="宋体" w:hAnsi="宋体" w:eastAsia="宋体" w:cs="宋体"/>
                <w:i w:val="0"/>
                <w:iCs w:val="0"/>
                <w:color w:val="auto"/>
                <w:kern w:val="0"/>
                <w:sz w:val="21"/>
                <w:szCs w:val="21"/>
                <w:u w:val="none"/>
                <w:lang w:val="en-US" w:eastAsia="zh-CN" w:bidi="ar"/>
              </w:rPr>
            </w:pPr>
          </w:p>
        </w:tc>
      </w:tr>
    </w:tbl>
    <w:p w14:paraId="226EA6AB">
      <w:pPr>
        <w:rPr>
          <w:rFonts w:hint="eastAsia"/>
          <w:lang w:val="en-US" w:eastAsia="zh-CN"/>
        </w:rPr>
      </w:pPr>
    </w:p>
    <w:p w14:paraId="5C5B367F">
      <w:pPr>
        <w:pStyle w:val="17"/>
        <w:numPr>
          <w:ilvl w:val="0"/>
          <w:numId w:val="0"/>
        </w:numPr>
        <w:ind w:left="480" w:leftChars="0"/>
        <w:rPr>
          <w:rFonts w:hint="default"/>
          <w:b w:val="0"/>
          <w:color w:val="auto"/>
          <w:highlight w:val="none"/>
          <w:lang w:val="en-US" w:eastAsia="zh-CN"/>
        </w:rPr>
      </w:pPr>
      <w:r>
        <w:rPr>
          <w:rFonts w:hint="eastAsia"/>
          <w:b w:val="0"/>
          <w:color w:val="auto"/>
          <w:highlight w:val="none"/>
          <w:lang w:val="en-US" w:eastAsia="zh-CN"/>
        </w:rPr>
        <w:t>3.本次采购的安防设备要求与现有安防系统兼容。本次采购的安防设备应实现被学校现有安防管理软件纳管。</w:t>
      </w:r>
    </w:p>
    <w:p w14:paraId="59906112">
      <w:pPr>
        <w:pStyle w:val="17"/>
        <w:numPr>
          <w:ilvl w:val="0"/>
          <w:numId w:val="0"/>
        </w:numPr>
        <w:ind w:left="480" w:leftChars="0"/>
        <w:rPr>
          <w:b w:val="0"/>
          <w:color w:val="auto"/>
          <w:highlight w:val="none"/>
        </w:rPr>
      </w:pPr>
      <w:r>
        <w:rPr>
          <w:rFonts w:hint="eastAsia"/>
          <w:b w:val="0"/>
          <w:color w:val="auto"/>
          <w:highlight w:val="none"/>
          <w:lang w:val="en-US" w:eastAsia="zh-CN"/>
        </w:rPr>
        <w:t>4.</w:t>
      </w:r>
      <w:r>
        <w:rPr>
          <w:b w:val="0"/>
          <w:color w:val="auto"/>
          <w:highlight w:val="none"/>
        </w:rPr>
        <w:t>本项目为包干制，供应商报价为完成本项目的总报价（含供货、安装集成及其他费用），不再另外收取任何费用。</w:t>
      </w:r>
    </w:p>
    <w:p w14:paraId="17C4D1E1">
      <w:pPr>
        <w:pStyle w:val="17"/>
        <w:numPr>
          <w:ilvl w:val="0"/>
          <w:numId w:val="0"/>
        </w:numPr>
        <w:ind w:left="480" w:leftChars="0"/>
        <w:rPr>
          <w:color w:val="auto"/>
          <w:highlight w:val="none"/>
        </w:rPr>
      </w:pPr>
      <w:r>
        <w:rPr>
          <w:rFonts w:hint="eastAsia"/>
          <w:color w:val="auto"/>
          <w:highlight w:val="none"/>
          <w:lang w:val="en-US" w:eastAsia="zh-CN"/>
        </w:rPr>
        <w:t>5.</w:t>
      </w:r>
      <w:r>
        <w:rPr>
          <w:color w:val="auto"/>
          <w:highlight w:val="none"/>
        </w:rPr>
        <w:t>询价通知书中带★号指标和条款为实质性要求和条件。</w:t>
      </w:r>
    </w:p>
    <w:p w14:paraId="0748F726">
      <w:pPr>
        <w:pStyle w:val="17"/>
        <w:numPr>
          <w:ilvl w:val="0"/>
          <w:numId w:val="0"/>
        </w:numPr>
        <w:ind w:left="480" w:leftChars="0"/>
        <w:rPr>
          <w:rFonts w:hint="eastAsia"/>
          <w:color w:val="auto"/>
          <w:highlight w:val="none"/>
          <w:lang w:val="en-US" w:eastAsia="zh-CN"/>
        </w:rPr>
      </w:pPr>
      <w:r>
        <w:rPr>
          <w:rFonts w:hint="eastAsia"/>
          <w:color w:val="auto"/>
          <w:highlight w:val="none"/>
          <w:lang w:val="en-US" w:eastAsia="zh-CN"/>
        </w:rPr>
        <w:t>6.其他：五个学校现有安防设备品牌包括海康威视、大华、宇视。</w:t>
      </w:r>
    </w:p>
    <w:p w14:paraId="30BC79AA"/>
    <w:p w14:paraId="12EAD88F">
      <w:pPr>
        <w:pStyle w:val="3"/>
        <w:numPr>
          <w:ilvl w:val="0"/>
          <w:numId w:val="66"/>
        </w:numPr>
        <w:topLinePunct w:val="0"/>
        <w:ind w:left="0" w:leftChars="0" w:firstLine="0" w:firstLineChars="0"/>
        <w:rPr>
          <w:b w:val="0"/>
          <w:color w:val="auto"/>
        </w:rPr>
      </w:pPr>
      <w:r>
        <w:rPr>
          <w:color w:val="auto"/>
        </w:rPr>
        <w:t>政府采购中实施本国产品标准及相关政策</w:t>
      </w:r>
    </w:p>
    <w:p w14:paraId="12D1D801">
      <w:pPr>
        <w:pStyle w:val="17"/>
        <w:numPr>
          <w:ilvl w:val="0"/>
          <w:numId w:val="68"/>
        </w:numPr>
        <w:ind w:left="0" w:leftChars="0" w:firstLine="480" w:firstLineChars="0"/>
        <w:rPr>
          <w:b w:val="0"/>
          <w:color w:val="auto"/>
        </w:rPr>
      </w:pPr>
      <w:r>
        <w:rPr>
          <w:b w:val="0"/>
          <w:color w:val="auto"/>
        </w:rPr>
        <w:t>本项目对采购本国产品给予政策支持，具体内容见</w:t>
      </w:r>
      <w:r>
        <w:rPr>
          <w:rFonts w:hint="eastAsia"/>
          <w:b w:val="0"/>
          <w:color w:val="auto"/>
          <w:lang w:val="en-US" w:eastAsia="zh-CN"/>
        </w:rPr>
        <w:t>询价</w:t>
      </w:r>
      <w:r>
        <w:rPr>
          <w:b w:val="0"/>
          <w:color w:val="auto"/>
        </w:rPr>
        <w:t>文件“</w:t>
      </w:r>
      <w:r>
        <w:rPr>
          <w:rFonts w:hint="eastAsia"/>
          <w:b w:val="0"/>
          <w:color w:val="auto"/>
        </w:rPr>
        <w:t>第三章《评审程序和评定成交的标准》</w:t>
      </w:r>
      <w:r>
        <w:rPr>
          <w:b w:val="0"/>
          <w:color w:val="auto"/>
        </w:rPr>
        <w:t>”。</w:t>
      </w:r>
    </w:p>
    <w:p w14:paraId="26961CD2">
      <w:pPr>
        <w:pStyle w:val="17"/>
        <w:numPr>
          <w:ilvl w:val="0"/>
          <w:numId w:val="68"/>
        </w:numPr>
        <w:ind w:left="0" w:leftChars="0" w:firstLine="480" w:firstLineChars="0"/>
        <w:rPr>
          <w:b w:val="0"/>
          <w:color w:val="auto"/>
        </w:rPr>
      </w:pPr>
      <w:r>
        <w:rPr>
          <w:b w:val="0"/>
          <w:color w:val="auto"/>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F884877">
      <w:pPr>
        <w:pStyle w:val="17"/>
        <w:numPr>
          <w:ilvl w:val="0"/>
          <w:numId w:val="68"/>
        </w:numPr>
        <w:ind w:left="0" w:leftChars="0" w:firstLine="480" w:firstLineChars="0"/>
        <w:rPr>
          <w:b w:val="0"/>
          <w:color w:val="auto"/>
        </w:rPr>
      </w:pPr>
      <w:r>
        <w:rPr>
          <w:b w:val="0"/>
          <w:color w:val="auto"/>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DD7F6CB">
      <w:pPr>
        <w:pStyle w:val="3"/>
        <w:numPr>
          <w:ilvl w:val="0"/>
          <w:numId w:val="66"/>
        </w:numPr>
        <w:topLinePunct w:val="0"/>
        <w:ind w:left="0" w:leftChars="0" w:firstLine="0" w:firstLineChars="0"/>
        <w:rPr>
          <w:b w:val="0"/>
          <w:color w:val="auto"/>
        </w:rPr>
      </w:pPr>
      <w:r>
        <w:rPr>
          <w:color w:val="auto"/>
        </w:rPr>
        <w:t>商务要求</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1685"/>
        <w:gridCol w:w="7027"/>
      </w:tblGrid>
      <w:tr w14:paraId="15907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310" w:type="pct"/>
            <w:tcBorders>
              <w:top w:val="single" w:color="auto" w:sz="4" w:space="0"/>
              <w:left w:val="single" w:color="auto" w:sz="4" w:space="0"/>
              <w:bottom w:val="single" w:color="auto" w:sz="4" w:space="0"/>
              <w:right w:val="single" w:color="auto" w:sz="4" w:space="0"/>
            </w:tcBorders>
            <w:noWrap w:val="0"/>
            <w:vAlign w:val="center"/>
          </w:tcPr>
          <w:p w14:paraId="0BFCA3D7">
            <w:pPr>
              <w:spacing w:line="400" w:lineRule="exact"/>
              <w:jc w:val="center"/>
              <w:rPr>
                <w:rFonts w:ascii="宋体" w:hAnsi="宋体"/>
                <w:color w:val="auto"/>
                <w:szCs w:val="21"/>
              </w:rPr>
            </w:pPr>
            <w:r>
              <w:rPr>
                <w:rFonts w:hint="eastAsia" w:ascii="宋体" w:hAnsi="宋体"/>
                <w:color w:val="auto"/>
                <w:szCs w:val="21"/>
              </w:rPr>
              <w:t>序号</w:t>
            </w:r>
          </w:p>
        </w:tc>
        <w:tc>
          <w:tcPr>
            <w:tcW w:w="907" w:type="pct"/>
            <w:tcBorders>
              <w:top w:val="single" w:color="auto" w:sz="4" w:space="0"/>
              <w:left w:val="single" w:color="auto" w:sz="4" w:space="0"/>
              <w:bottom w:val="single" w:color="auto" w:sz="4" w:space="0"/>
              <w:right w:val="single" w:color="auto" w:sz="4" w:space="0"/>
            </w:tcBorders>
            <w:noWrap w:val="0"/>
            <w:vAlign w:val="center"/>
          </w:tcPr>
          <w:p w14:paraId="35F69456">
            <w:pPr>
              <w:spacing w:line="400" w:lineRule="exact"/>
              <w:jc w:val="center"/>
              <w:rPr>
                <w:rFonts w:hint="eastAsia" w:ascii="宋体" w:hAnsi="宋体"/>
                <w:color w:val="auto"/>
                <w:szCs w:val="21"/>
              </w:rPr>
            </w:pPr>
            <w:r>
              <w:rPr>
                <w:rFonts w:hint="eastAsia" w:ascii="宋体" w:hAnsi="宋体"/>
                <w:color w:val="auto"/>
                <w:szCs w:val="21"/>
              </w:rPr>
              <w:t>条款名称</w:t>
            </w:r>
          </w:p>
        </w:tc>
        <w:tc>
          <w:tcPr>
            <w:tcW w:w="3782" w:type="pct"/>
            <w:tcBorders>
              <w:top w:val="single" w:color="auto" w:sz="4" w:space="0"/>
              <w:left w:val="single" w:color="auto" w:sz="4" w:space="0"/>
              <w:bottom w:val="single" w:color="auto" w:sz="4" w:space="0"/>
              <w:right w:val="single" w:color="auto" w:sz="4" w:space="0"/>
            </w:tcBorders>
            <w:noWrap w:val="0"/>
            <w:vAlign w:val="center"/>
          </w:tcPr>
          <w:p w14:paraId="21CD3657">
            <w:pPr>
              <w:spacing w:line="400" w:lineRule="exact"/>
              <w:jc w:val="center"/>
              <w:rPr>
                <w:rFonts w:hint="eastAsia" w:ascii="宋体" w:hAnsi="宋体"/>
                <w:color w:val="auto"/>
                <w:szCs w:val="21"/>
              </w:rPr>
            </w:pPr>
            <w:r>
              <w:rPr>
                <w:rFonts w:hint="eastAsia" w:ascii="宋体" w:hAnsi="宋体"/>
                <w:color w:val="auto"/>
                <w:szCs w:val="21"/>
              </w:rPr>
              <w:t>具体要求</w:t>
            </w:r>
          </w:p>
        </w:tc>
      </w:tr>
      <w:tr w14:paraId="13356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310" w:type="pct"/>
            <w:tcBorders>
              <w:top w:val="single" w:color="auto" w:sz="4" w:space="0"/>
              <w:left w:val="single" w:color="auto" w:sz="4" w:space="0"/>
              <w:bottom w:val="single" w:color="auto" w:sz="4" w:space="0"/>
              <w:right w:val="single" w:color="auto" w:sz="4" w:space="0"/>
            </w:tcBorders>
            <w:noWrap w:val="0"/>
            <w:vAlign w:val="center"/>
          </w:tcPr>
          <w:p w14:paraId="0A29EC19">
            <w:pPr>
              <w:spacing w:line="400" w:lineRule="exact"/>
              <w:jc w:val="center"/>
              <w:rPr>
                <w:rFonts w:hint="eastAsia" w:ascii="宋体" w:hAnsi="宋体"/>
                <w:color w:val="auto"/>
                <w:szCs w:val="21"/>
              </w:rPr>
            </w:pPr>
            <w:r>
              <w:rPr>
                <w:rFonts w:hint="eastAsia" w:ascii="宋体" w:hAnsi="宋体"/>
                <w:color w:val="auto"/>
                <w:szCs w:val="21"/>
              </w:rPr>
              <w:t>1</w:t>
            </w:r>
          </w:p>
        </w:tc>
        <w:tc>
          <w:tcPr>
            <w:tcW w:w="907" w:type="pct"/>
            <w:tcBorders>
              <w:top w:val="single" w:color="auto" w:sz="4" w:space="0"/>
              <w:left w:val="single" w:color="auto" w:sz="4" w:space="0"/>
              <w:bottom w:val="single" w:color="auto" w:sz="4" w:space="0"/>
              <w:right w:val="single" w:color="auto" w:sz="4" w:space="0"/>
            </w:tcBorders>
            <w:noWrap w:val="0"/>
            <w:vAlign w:val="center"/>
          </w:tcPr>
          <w:p w14:paraId="61DF6A79">
            <w:pPr>
              <w:spacing w:line="400" w:lineRule="exact"/>
              <w:jc w:val="center"/>
              <w:rPr>
                <w:rFonts w:hint="eastAsia" w:ascii="宋体" w:hAnsi="宋体"/>
                <w:color w:val="auto"/>
                <w:szCs w:val="21"/>
              </w:rPr>
            </w:pPr>
            <w:r>
              <w:rPr>
                <w:rFonts w:hint="eastAsia" w:ascii="宋体" w:hAnsi="宋体"/>
                <w:color w:val="auto"/>
                <w:szCs w:val="21"/>
              </w:rPr>
              <w:t>合同主体</w:t>
            </w:r>
          </w:p>
          <w:p w14:paraId="52EA27EE">
            <w:pPr>
              <w:spacing w:line="400" w:lineRule="exact"/>
              <w:jc w:val="center"/>
              <w:rPr>
                <w:rFonts w:hint="eastAsia" w:ascii="宋体" w:hAnsi="宋体"/>
                <w:color w:val="auto"/>
                <w:szCs w:val="21"/>
              </w:rPr>
            </w:pPr>
            <w:r>
              <w:rPr>
                <w:rFonts w:hint="eastAsia" w:ascii="宋体" w:hAnsi="宋体"/>
                <w:color w:val="auto"/>
                <w:szCs w:val="21"/>
              </w:rPr>
              <w:t>与付款单位</w:t>
            </w:r>
          </w:p>
        </w:tc>
        <w:tc>
          <w:tcPr>
            <w:tcW w:w="3782" w:type="pct"/>
            <w:tcBorders>
              <w:top w:val="single" w:color="auto" w:sz="4" w:space="0"/>
              <w:left w:val="single" w:color="auto" w:sz="4" w:space="0"/>
              <w:bottom w:val="single" w:color="auto" w:sz="4" w:space="0"/>
              <w:right w:val="single" w:color="auto" w:sz="4" w:space="0"/>
            </w:tcBorders>
            <w:noWrap w:val="0"/>
            <w:vAlign w:val="center"/>
          </w:tcPr>
          <w:p w14:paraId="1463262F">
            <w:pPr>
              <w:spacing w:line="400" w:lineRule="exact"/>
              <w:rPr>
                <w:rFonts w:hint="default" w:ascii="宋体" w:hAnsi="宋体" w:eastAsia="宋体"/>
                <w:color w:val="auto"/>
                <w:szCs w:val="21"/>
                <w:lang w:val="en-US" w:eastAsia="zh-CN"/>
              </w:rPr>
            </w:pPr>
            <w:r>
              <w:rPr>
                <w:rFonts w:hint="eastAsia" w:ascii="宋体" w:hAnsi="宋体"/>
                <w:color w:val="auto"/>
                <w:szCs w:val="21"/>
              </w:rPr>
              <w:t>本项目合同主体与付款单位为：</w:t>
            </w:r>
            <w:r>
              <w:rPr>
                <w:rFonts w:hint="eastAsia" w:ascii="宋体" w:hAnsi="宋体"/>
                <w:szCs w:val="21"/>
                <w:lang w:val="en-US" w:eastAsia="zh-CN"/>
              </w:rPr>
              <w:t>常州市北郊高级中学、常州市田家炳高级中学、常州市第二十四中学校、常州市实验初级中学、常州市花园中学</w:t>
            </w:r>
          </w:p>
        </w:tc>
      </w:tr>
      <w:tr w14:paraId="213D4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310" w:type="pct"/>
            <w:tcBorders>
              <w:top w:val="single" w:color="auto" w:sz="4" w:space="0"/>
              <w:left w:val="single" w:color="auto" w:sz="4" w:space="0"/>
              <w:bottom w:val="single" w:color="auto" w:sz="4" w:space="0"/>
              <w:right w:val="single" w:color="auto" w:sz="4" w:space="0"/>
            </w:tcBorders>
            <w:noWrap w:val="0"/>
            <w:vAlign w:val="center"/>
          </w:tcPr>
          <w:p w14:paraId="31116B42">
            <w:pPr>
              <w:spacing w:line="400" w:lineRule="exact"/>
              <w:jc w:val="center"/>
              <w:rPr>
                <w:rFonts w:hint="eastAsia" w:ascii="宋体" w:hAnsi="宋体"/>
                <w:color w:val="auto"/>
                <w:szCs w:val="21"/>
              </w:rPr>
            </w:pPr>
            <w:r>
              <w:rPr>
                <w:rFonts w:ascii="宋体" w:hAnsi="宋体"/>
                <w:color w:val="auto"/>
                <w:szCs w:val="21"/>
              </w:rPr>
              <w:t>2</w:t>
            </w:r>
          </w:p>
        </w:tc>
        <w:tc>
          <w:tcPr>
            <w:tcW w:w="907" w:type="pct"/>
            <w:tcBorders>
              <w:top w:val="single" w:color="auto" w:sz="4" w:space="0"/>
              <w:left w:val="single" w:color="auto" w:sz="4" w:space="0"/>
              <w:bottom w:val="single" w:color="auto" w:sz="4" w:space="0"/>
              <w:right w:val="single" w:color="auto" w:sz="4" w:space="0"/>
            </w:tcBorders>
            <w:noWrap w:val="0"/>
            <w:vAlign w:val="center"/>
          </w:tcPr>
          <w:p w14:paraId="1409B79F">
            <w:pPr>
              <w:spacing w:line="400" w:lineRule="exact"/>
              <w:jc w:val="center"/>
              <w:rPr>
                <w:rFonts w:hint="eastAsia" w:ascii="宋体" w:hAnsi="宋体"/>
                <w:color w:val="auto"/>
                <w:szCs w:val="21"/>
              </w:rPr>
            </w:pPr>
            <w:r>
              <w:rPr>
                <w:rFonts w:hint="eastAsia" w:ascii="宋体" w:hAnsi="宋体"/>
                <w:color w:val="auto"/>
                <w:szCs w:val="21"/>
              </w:rPr>
              <w:t>项目质保要求</w:t>
            </w:r>
          </w:p>
        </w:tc>
        <w:tc>
          <w:tcPr>
            <w:tcW w:w="3782" w:type="pct"/>
            <w:tcBorders>
              <w:top w:val="single" w:color="auto" w:sz="4" w:space="0"/>
              <w:left w:val="single" w:color="auto" w:sz="4" w:space="0"/>
              <w:bottom w:val="single" w:color="auto" w:sz="4" w:space="0"/>
              <w:right w:val="single" w:color="auto" w:sz="4" w:space="0"/>
            </w:tcBorders>
            <w:noWrap w:val="0"/>
            <w:vAlign w:val="center"/>
          </w:tcPr>
          <w:p w14:paraId="2254CE79">
            <w:pPr>
              <w:numPr>
                <w:ilvl w:val="0"/>
                <w:numId w:val="0"/>
              </w:numPr>
              <w:spacing w:line="400" w:lineRule="exact"/>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kern w:val="2"/>
                <w:sz w:val="21"/>
                <w:szCs w:val="21"/>
                <w:lang w:val="en-US" w:eastAsia="zh-CN" w:bidi="ar-SA"/>
              </w:rPr>
              <w:t>1.</w:t>
            </w:r>
            <w:r>
              <w:rPr>
                <w:rFonts w:hint="eastAsia" w:asciiTheme="minorEastAsia" w:hAnsiTheme="minorEastAsia" w:eastAsiaTheme="minorEastAsia" w:cstheme="minorEastAsia"/>
                <w:color w:val="auto"/>
                <w:sz w:val="21"/>
                <w:szCs w:val="21"/>
              </w:rPr>
              <w:t>项目免费质保期：</w:t>
            </w:r>
            <w:r>
              <w:rPr>
                <w:rFonts w:hint="eastAsia" w:ascii="宋体" w:hAnsi="宋体" w:eastAsia="宋体" w:cs="宋体"/>
                <w:b w:val="0"/>
                <w:bCs w:val="0"/>
                <w:color w:val="auto"/>
                <w:lang w:val="en-US" w:eastAsia="zh-CN"/>
              </w:rPr>
              <w:t>自验收合格之日起六年（其中</w:t>
            </w:r>
            <w:r>
              <w:rPr>
                <w:rFonts w:hint="eastAsia" w:ascii="宋体" w:hAnsi="宋体" w:cs="宋体"/>
                <w:b w:val="0"/>
                <w:bCs w:val="0"/>
                <w:color w:val="auto"/>
                <w:lang w:val="en-US" w:eastAsia="zh-CN"/>
              </w:rPr>
              <w:t>至少</w:t>
            </w:r>
            <w:r>
              <w:rPr>
                <w:rFonts w:hint="eastAsia" w:ascii="宋体" w:hAnsi="宋体" w:eastAsia="宋体" w:cs="宋体"/>
                <w:b w:val="0"/>
                <w:bCs w:val="0"/>
                <w:color w:val="auto"/>
                <w:lang w:val="en-US" w:eastAsia="zh-CN"/>
              </w:rPr>
              <w:t>前三年为原厂质保）</w:t>
            </w:r>
            <w:r>
              <w:rPr>
                <w:rFonts w:hint="eastAsia" w:asciiTheme="minorEastAsia" w:hAnsiTheme="minorEastAsia" w:eastAsiaTheme="minorEastAsia" w:cstheme="minorEastAsia"/>
                <w:color w:val="auto"/>
                <w:lang w:eastAsia="zh-CN"/>
              </w:rPr>
              <w:t>，</w:t>
            </w:r>
            <w:r>
              <w:rPr>
                <w:rFonts w:hint="eastAsia" w:asciiTheme="minorEastAsia" w:hAnsiTheme="minorEastAsia" w:eastAsiaTheme="minorEastAsia" w:cstheme="minorEastAsia"/>
                <w:color w:val="auto"/>
              </w:rPr>
              <w:t>签订合同前</w:t>
            </w:r>
            <w:r>
              <w:rPr>
                <w:rFonts w:hint="eastAsia" w:asciiTheme="minorEastAsia" w:hAnsiTheme="minorEastAsia" w:eastAsiaTheme="minorEastAsia" w:cstheme="minorEastAsia"/>
                <w:color w:val="auto"/>
                <w:lang w:val="en-US" w:eastAsia="zh-CN"/>
              </w:rPr>
              <w:t>应将下列材料送达采购人（</w:t>
            </w:r>
            <w:r>
              <w:rPr>
                <w:rFonts w:hint="eastAsia" w:asciiTheme="minorEastAsia" w:hAnsiTheme="minorEastAsia" w:eastAsiaTheme="minorEastAsia" w:cstheme="minorEastAsia"/>
                <w:color w:val="auto"/>
              </w:rPr>
              <w:t>联系方式</w:t>
            </w:r>
            <w:r>
              <w:rPr>
                <w:rFonts w:hint="eastAsia" w:asciiTheme="minorEastAsia" w:hAnsiTheme="minorEastAsia" w:eastAsiaTheme="minorEastAsia" w:cstheme="minorEastAsia"/>
                <w:color w:val="auto"/>
                <w:lang w:val="en-US" w:eastAsia="zh-CN"/>
              </w:rPr>
              <w:t>见采购文件第一章）：（1）</w:t>
            </w:r>
            <w:r>
              <w:rPr>
                <w:rFonts w:hint="eastAsia" w:asciiTheme="minorEastAsia" w:hAnsiTheme="minorEastAsia" w:eastAsiaTheme="minorEastAsia" w:cstheme="minorEastAsia"/>
                <w:b/>
                <w:bCs/>
                <w:color w:val="auto"/>
                <w:lang w:val="en-US" w:eastAsia="zh-CN"/>
              </w:rPr>
              <w:t>提供所投产品</w:t>
            </w:r>
            <w:r>
              <w:rPr>
                <w:rFonts w:hint="eastAsia" w:asciiTheme="minorEastAsia" w:hAnsiTheme="minorEastAsia" w:eastAsiaTheme="minorEastAsia" w:cstheme="minorEastAsia"/>
                <w:b/>
                <w:bCs/>
                <w:color w:val="FF0000"/>
                <w:sz w:val="21"/>
                <w:szCs w:val="21"/>
                <w:highlight w:val="none"/>
                <w:lang w:val="en-US" w:eastAsia="zh-CN"/>
              </w:rPr>
              <w:t>（除护线管、线槽、桥架）</w:t>
            </w:r>
            <w:r>
              <w:rPr>
                <w:rFonts w:hint="eastAsia" w:asciiTheme="minorEastAsia" w:hAnsiTheme="minorEastAsia" w:eastAsiaTheme="minorEastAsia" w:cstheme="minorEastAsia"/>
                <w:b/>
                <w:bCs/>
                <w:color w:val="auto"/>
                <w:sz w:val="21"/>
                <w:szCs w:val="21"/>
                <w:highlight w:val="none"/>
                <w:lang w:val="en-US" w:eastAsia="zh-CN"/>
              </w:rPr>
              <w:t>原厂</w:t>
            </w:r>
            <w:r>
              <w:rPr>
                <w:rFonts w:hint="eastAsia" w:asciiTheme="minorEastAsia" w:hAnsiTheme="minorEastAsia" w:eastAsiaTheme="minorEastAsia" w:cstheme="minorEastAsia"/>
                <w:b/>
                <w:bCs/>
                <w:color w:val="auto"/>
                <w:sz w:val="21"/>
                <w:szCs w:val="21"/>
                <w:highlight w:val="none"/>
              </w:rPr>
              <w:t>质保函原件</w:t>
            </w:r>
            <w:r>
              <w:rPr>
                <w:rFonts w:hint="eastAsia" w:asciiTheme="minorEastAsia" w:hAnsiTheme="minorEastAsia" w:eastAsiaTheme="minorEastAsia" w:cstheme="minorEastAsia"/>
                <w:b/>
                <w:bCs/>
                <w:color w:val="auto"/>
                <w:highlight w:val="none"/>
              </w:rPr>
              <w:t>(加盖原厂鲜章</w:t>
            </w:r>
            <w:r>
              <w:rPr>
                <w:rFonts w:hint="eastAsia" w:asciiTheme="minorEastAsia" w:hAnsiTheme="minorEastAsia" w:eastAsiaTheme="minorEastAsia" w:cstheme="minorEastAsia"/>
                <w:b/>
                <w:bCs/>
                <w:color w:val="auto"/>
                <w:highlight w:val="none"/>
                <w:lang w:eastAsia="zh-CN"/>
              </w:rPr>
              <w:t>，</w:t>
            </w:r>
            <w:r>
              <w:rPr>
                <w:rFonts w:hint="eastAsia" w:asciiTheme="minorEastAsia" w:hAnsiTheme="minorEastAsia" w:eastAsiaTheme="minorEastAsia" w:cstheme="minorEastAsia"/>
                <w:b/>
                <w:bCs/>
                <w:color w:val="auto"/>
                <w:highlight w:val="none"/>
                <w:lang w:val="en-US" w:eastAsia="zh-CN"/>
              </w:rPr>
              <w:t>同时应</w:t>
            </w:r>
            <w:r>
              <w:rPr>
                <w:rFonts w:hint="eastAsia" w:asciiTheme="minorEastAsia" w:hAnsiTheme="minorEastAsia" w:eastAsiaTheme="minorEastAsia" w:cstheme="minorEastAsia"/>
                <w:b/>
                <w:bCs/>
                <w:color w:val="auto"/>
                <w:highlight w:val="none"/>
                <w:lang w:eastAsia="zh-CN"/>
              </w:rPr>
              <w:t>提供原厂联系人</w:t>
            </w:r>
            <w:r>
              <w:rPr>
                <w:rFonts w:hint="eastAsia" w:asciiTheme="minorEastAsia" w:hAnsiTheme="minorEastAsia" w:eastAsiaTheme="minorEastAsia" w:cstheme="minorEastAsia"/>
                <w:b/>
                <w:bCs/>
                <w:color w:val="auto"/>
                <w:highlight w:val="none"/>
                <w:lang w:val="en-US" w:eastAsia="zh-CN"/>
              </w:rPr>
              <w:t>姓名</w:t>
            </w:r>
            <w:r>
              <w:rPr>
                <w:rFonts w:hint="eastAsia" w:asciiTheme="minorEastAsia" w:hAnsiTheme="minorEastAsia" w:eastAsiaTheme="minorEastAsia" w:cstheme="minorEastAsia"/>
                <w:b/>
                <w:bCs/>
                <w:color w:val="auto"/>
                <w:highlight w:val="none"/>
                <w:lang w:eastAsia="zh-CN"/>
              </w:rPr>
              <w:t>和联系电话</w:t>
            </w:r>
            <w:r>
              <w:rPr>
                <w:rFonts w:hint="eastAsia" w:asciiTheme="minorEastAsia" w:hAnsiTheme="minorEastAsia" w:eastAsiaTheme="minorEastAsia" w:cstheme="minorEastAsia"/>
                <w:b/>
                <w:bCs/>
                <w:color w:val="auto"/>
                <w:highlight w:val="none"/>
              </w:rPr>
              <w:t>)。</w:t>
            </w:r>
            <w:r>
              <w:rPr>
                <w:rFonts w:hint="eastAsia" w:asciiTheme="minorEastAsia" w:hAnsiTheme="minorEastAsia" w:eastAsiaTheme="minorEastAsia" w:cstheme="minorEastAsia"/>
                <w:color w:val="auto"/>
                <w:lang w:eastAsia="zh-CN"/>
              </w:rPr>
              <w:t>（</w:t>
            </w:r>
            <w:r>
              <w:rPr>
                <w:rFonts w:hint="eastAsia" w:asciiTheme="minorEastAsia" w:hAnsiTheme="minorEastAsia" w:eastAsiaTheme="minorEastAsia" w:cstheme="minorEastAsia"/>
                <w:color w:val="auto"/>
                <w:lang w:val="en-US" w:eastAsia="zh-CN"/>
              </w:rPr>
              <w:t>2）</w:t>
            </w:r>
            <w:r>
              <w:rPr>
                <w:rFonts w:hint="eastAsia" w:asciiTheme="minorEastAsia" w:hAnsiTheme="minorEastAsia" w:eastAsiaTheme="minorEastAsia" w:cstheme="minorEastAsia"/>
                <w:color w:val="auto"/>
                <w:sz w:val="21"/>
                <w:szCs w:val="21"/>
              </w:rPr>
              <w:t>国家相关标准另有规定的从其规定</w:t>
            </w:r>
            <w:r>
              <w:rPr>
                <w:rFonts w:hint="eastAsia" w:asciiTheme="minorEastAsia" w:hAnsiTheme="minorEastAsia" w:eastAsiaTheme="minorEastAsia" w:cstheme="minorEastAsia"/>
                <w:color w:val="auto"/>
                <w:sz w:val="21"/>
                <w:szCs w:val="21"/>
                <w:lang w:eastAsia="zh-CN"/>
              </w:rPr>
              <w:t>。</w:t>
            </w:r>
          </w:p>
          <w:p w14:paraId="044C0FC5">
            <w:pPr>
              <w:numPr>
                <w:ilvl w:val="0"/>
                <w:numId w:val="0"/>
              </w:numPr>
              <w:spacing w:line="40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若在合同签订前核查发现供应商未按要求提供材料，或所提供材料存在以下情形之一的，视为不具备履约能力，采购人应及时报相关部门处置。</w:t>
            </w:r>
          </w:p>
          <w:p w14:paraId="455D871A">
            <w:pPr>
              <w:numPr>
                <w:ilvl w:val="0"/>
                <w:numId w:val="0"/>
              </w:numPr>
              <w:spacing w:line="40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① 材料形式有瑕疵，但内容真实、可补正的，采购人书面通知供应商在法定签订合同截止时间前一次性补正，逾期未补正或补正仍不符合要求的。</w:t>
            </w:r>
          </w:p>
          <w:p w14:paraId="202984AE">
            <w:pPr>
              <w:spacing w:line="400" w:lineRule="exact"/>
              <w:rPr>
                <w:rFonts w:hint="eastAsia" w:asciiTheme="minorEastAsia" w:hAnsiTheme="minorEastAsia" w:eastAsiaTheme="minorEastAsia" w:cstheme="minorEastAsia"/>
                <w:color w:val="auto"/>
                <w:highlight w:val="none"/>
              </w:rPr>
            </w:pPr>
            <w:r>
              <w:rPr>
                <w:rFonts w:hint="eastAsia" w:ascii="宋体" w:hAnsi="宋体" w:eastAsia="宋体" w:cs="宋体"/>
                <w:b/>
                <w:bCs/>
                <w:color w:val="auto"/>
                <w:sz w:val="21"/>
                <w:szCs w:val="21"/>
                <w:highlight w:val="none"/>
                <w:lang w:eastAsia="zh-CN"/>
              </w:rPr>
              <w:t>② 所投产品确系原厂生产，但因制造商内部流程原因暂无法提供质保函或原厂证明（如企业审批延迟），且能提供有效佐证（如邮件、系统截图、代理协议等）的，经采购人书面同意在法定签订合同截止时间前提交，逾期仍未提交的。</w:t>
            </w:r>
          </w:p>
          <w:p w14:paraId="237A7519">
            <w:pP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 质保条款：</w:t>
            </w:r>
          </w:p>
          <w:p w14:paraId="1D101A44">
            <w:pP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（1）项目质保期内所有产品第一个月出现故障整机更换；</w:t>
            </w:r>
          </w:p>
          <w:p w14:paraId="7A4D3098">
            <w:pP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（2）原厂质保期内提供免费返厂维修服务；</w:t>
            </w:r>
          </w:p>
          <w:p w14:paraId="46B9B06F">
            <w:pP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（3）项目质保期内提供设备定期巡检、维护等服务（提供每月一次电话回访，每学期至少一次免费巡检服务，发现问题及时解决）；</w:t>
            </w:r>
          </w:p>
          <w:p w14:paraId="4F3897D0">
            <w:pPr>
              <w:spacing w:line="400" w:lineRule="exact"/>
              <w:rPr>
                <w:rFonts w:hint="eastAsia" w:ascii="宋体" w:hAnsi="宋体"/>
                <w:color w:val="auto"/>
                <w:szCs w:val="21"/>
              </w:rPr>
            </w:pPr>
            <w:r>
              <w:rPr>
                <w:rFonts w:hint="eastAsia" w:asciiTheme="minorEastAsia" w:hAnsiTheme="minorEastAsia" w:eastAsiaTheme="minorEastAsia" w:cstheme="minorEastAsia"/>
                <w:color w:val="auto"/>
                <w:sz w:val="21"/>
                <w:szCs w:val="21"/>
              </w:rPr>
              <w:t>（4）项目质保期后提供设备零件成本价维修服务。</w:t>
            </w:r>
          </w:p>
        </w:tc>
      </w:tr>
      <w:tr w14:paraId="75F78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jc w:val="center"/>
        </w:trPr>
        <w:tc>
          <w:tcPr>
            <w:tcW w:w="310" w:type="pct"/>
            <w:tcBorders>
              <w:top w:val="single" w:color="auto" w:sz="4" w:space="0"/>
              <w:left w:val="single" w:color="auto" w:sz="4" w:space="0"/>
              <w:bottom w:val="single" w:color="auto" w:sz="4" w:space="0"/>
              <w:right w:val="single" w:color="auto" w:sz="4" w:space="0"/>
            </w:tcBorders>
            <w:noWrap w:val="0"/>
            <w:vAlign w:val="center"/>
          </w:tcPr>
          <w:p w14:paraId="2EC2DBC7">
            <w:pPr>
              <w:spacing w:line="400" w:lineRule="exact"/>
              <w:jc w:val="center"/>
              <w:rPr>
                <w:rFonts w:hint="eastAsia" w:ascii="宋体" w:hAnsi="宋体"/>
                <w:color w:val="auto"/>
                <w:szCs w:val="21"/>
              </w:rPr>
            </w:pPr>
            <w:r>
              <w:rPr>
                <w:rFonts w:hint="eastAsia" w:ascii="宋体" w:hAnsi="宋体"/>
                <w:color w:val="auto"/>
                <w:szCs w:val="21"/>
              </w:rPr>
              <w:t>3</w:t>
            </w:r>
          </w:p>
        </w:tc>
        <w:tc>
          <w:tcPr>
            <w:tcW w:w="907" w:type="pct"/>
            <w:tcBorders>
              <w:top w:val="single" w:color="auto" w:sz="4" w:space="0"/>
              <w:left w:val="single" w:color="auto" w:sz="4" w:space="0"/>
              <w:bottom w:val="single" w:color="auto" w:sz="4" w:space="0"/>
              <w:right w:val="single" w:color="auto" w:sz="4" w:space="0"/>
            </w:tcBorders>
            <w:noWrap w:val="0"/>
            <w:vAlign w:val="center"/>
          </w:tcPr>
          <w:p w14:paraId="2066198B">
            <w:pPr>
              <w:spacing w:line="400" w:lineRule="exact"/>
              <w:jc w:val="center"/>
              <w:rPr>
                <w:rFonts w:hint="eastAsia" w:ascii="宋体" w:hAnsi="宋体"/>
                <w:color w:val="auto"/>
                <w:szCs w:val="21"/>
              </w:rPr>
            </w:pPr>
            <w:r>
              <w:rPr>
                <w:rFonts w:hint="eastAsia" w:ascii="宋体" w:hAnsi="宋体"/>
                <w:color w:val="auto"/>
                <w:szCs w:val="21"/>
              </w:rPr>
              <w:t>合同签订</w:t>
            </w:r>
          </w:p>
        </w:tc>
        <w:tc>
          <w:tcPr>
            <w:tcW w:w="3782" w:type="pct"/>
            <w:tcBorders>
              <w:top w:val="single" w:color="auto" w:sz="4" w:space="0"/>
              <w:left w:val="single" w:color="auto" w:sz="4" w:space="0"/>
              <w:bottom w:val="single" w:color="auto" w:sz="4" w:space="0"/>
              <w:right w:val="single" w:color="auto" w:sz="4" w:space="0"/>
            </w:tcBorders>
            <w:noWrap w:val="0"/>
            <w:vAlign w:val="center"/>
          </w:tcPr>
          <w:p w14:paraId="639A55C4">
            <w:pPr>
              <w:spacing w:line="400" w:lineRule="exact"/>
              <w:rPr>
                <w:rFonts w:hint="eastAsia" w:ascii="宋体" w:hAnsi="宋体"/>
                <w:color w:val="auto"/>
                <w:szCs w:val="21"/>
              </w:rPr>
            </w:pPr>
            <w:r>
              <w:rPr>
                <w:rFonts w:hint="eastAsia" w:asciiTheme="minorEastAsia" w:hAnsiTheme="minorEastAsia" w:eastAsiaTheme="minorEastAsia" w:cstheme="minorEastAsia"/>
                <w:color w:val="auto"/>
                <w:sz w:val="21"/>
                <w:szCs w:val="21"/>
                <w:lang w:val="en-US" w:eastAsia="zh-CN"/>
              </w:rPr>
              <w:t>成交供应商</w:t>
            </w:r>
            <w:r>
              <w:rPr>
                <w:rFonts w:hint="eastAsia" w:asciiTheme="minorEastAsia" w:hAnsiTheme="minorEastAsia" w:eastAsiaTheme="minorEastAsia" w:cstheme="minorEastAsia"/>
                <w:color w:val="auto"/>
                <w:sz w:val="21"/>
                <w:szCs w:val="21"/>
              </w:rPr>
              <w:t>应当在</w:t>
            </w:r>
            <w:r>
              <w:rPr>
                <w:rFonts w:hint="eastAsia" w:asciiTheme="minorEastAsia" w:hAnsiTheme="minorEastAsia" w:eastAsiaTheme="minorEastAsia" w:cstheme="minorEastAsia"/>
                <w:color w:val="auto"/>
                <w:sz w:val="21"/>
                <w:szCs w:val="21"/>
                <w:lang w:val="en-US" w:eastAsia="zh-CN"/>
              </w:rPr>
              <w:t>成交</w:t>
            </w:r>
            <w:r>
              <w:rPr>
                <w:rFonts w:hint="eastAsia" w:asciiTheme="minorEastAsia" w:hAnsiTheme="minorEastAsia" w:eastAsiaTheme="minorEastAsia" w:cstheme="minorEastAsia"/>
                <w:color w:val="auto"/>
                <w:sz w:val="21"/>
                <w:szCs w:val="21"/>
              </w:rPr>
              <w:t>通知书发出之日起三十日内完成合同签订。</w:t>
            </w:r>
          </w:p>
        </w:tc>
      </w:tr>
      <w:tr w14:paraId="54237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10" w:type="pct"/>
            <w:tcBorders>
              <w:top w:val="single" w:color="auto" w:sz="4" w:space="0"/>
              <w:left w:val="single" w:color="auto" w:sz="4" w:space="0"/>
              <w:bottom w:val="single" w:color="auto" w:sz="4" w:space="0"/>
              <w:right w:val="single" w:color="auto" w:sz="4" w:space="0"/>
            </w:tcBorders>
            <w:noWrap w:val="0"/>
            <w:vAlign w:val="center"/>
          </w:tcPr>
          <w:p w14:paraId="5687C99B">
            <w:pPr>
              <w:spacing w:line="400" w:lineRule="exact"/>
              <w:jc w:val="center"/>
              <w:rPr>
                <w:rFonts w:hint="eastAsia" w:ascii="宋体" w:hAnsi="宋体"/>
                <w:color w:val="auto"/>
                <w:szCs w:val="21"/>
              </w:rPr>
            </w:pPr>
            <w:r>
              <w:rPr>
                <w:rFonts w:hint="eastAsia" w:ascii="宋体" w:hAnsi="宋体"/>
                <w:color w:val="auto"/>
                <w:szCs w:val="21"/>
              </w:rPr>
              <w:t>4</w:t>
            </w:r>
          </w:p>
        </w:tc>
        <w:tc>
          <w:tcPr>
            <w:tcW w:w="907" w:type="pct"/>
            <w:tcBorders>
              <w:top w:val="single" w:color="auto" w:sz="4" w:space="0"/>
              <w:left w:val="single" w:color="auto" w:sz="4" w:space="0"/>
              <w:bottom w:val="single" w:color="auto" w:sz="4" w:space="0"/>
              <w:right w:val="single" w:color="auto" w:sz="4" w:space="0"/>
            </w:tcBorders>
            <w:noWrap w:val="0"/>
            <w:vAlign w:val="center"/>
          </w:tcPr>
          <w:p w14:paraId="04AAAD47">
            <w:pPr>
              <w:spacing w:line="400" w:lineRule="exact"/>
              <w:jc w:val="center"/>
              <w:rPr>
                <w:rFonts w:hint="eastAsia" w:ascii="宋体" w:hAnsi="宋体"/>
                <w:color w:val="auto"/>
                <w:szCs w:val="21"/>
              </w:rPr>
            </w:pPr>
            <w:r>
              <w:rPr>
                <w:rFonts w:hint="eastAsia" w:ascii="宋体" w:hAnsi="宋体"/>
                <w:color w:val="auto"/>
                <w:szCs w:val="21"/>
              </w:rPr>
              <w:t>工期要求</w:t>
            </w:r>
          </w:p>
        </w:tc>
        <w:tc>
          <w:tcPr>
            <w:tcW w:w="3782" w:type="pct"/>
            <w:tcBorders>
              <w:top w:val="single" w:color="auto" w:sz="4" w:space="0"/>
              <w:left w:val="single" w:color="auto" w:sz="4" w:space="0"/>
              <w:bottom w:val="single" w:color="auto" w:sz="4" w:space="0"/>
              <w:right w:val="single" w:color="auto" w:sz="4" w:space="0"/>
            </w:tcBorders>
            <w:noWrap w:val="0"/>
            <w:vAlign w:val="center"/>
          </w:tcPr>
          <w:p w14:paraId="14A5338D">
            <w:pPr>
              <w:spacing w:line="400" w:lineRule="exact"/>
              <w:rPr>
                <w:rFonts w:hint="eastAsia" w:ascii="宋体" w:hAnsi="宋体"/>
                <w:color w:val="auto"/>
                <w:szCs w:val="21"/>
              </w:rPr>
            </w:pPr>
            <w:r>
              <w:rPr>
                <w:rFonts w:hint="eastAsia" w:asciiTheme="minorEastAsia" w:hAnsiTheme="minorEastAsia" w:eastAsiaTheme="minorEastAsia" w:cstheme="minorEastAsia"/>
                <w:color w:val="FF0000"/>
                <w:sz w:val="21"/>
                <w:szCs w:val="21"/>
              </w:rPr>
              <w:t>自合同签订生效之日</w:t>
            </w:r>
            <w:r>
              <w:rPr>
                <w:rFonts w:hint="eastAsia" w:asciiTheme="minorEastAsia" w:hAnsiTheme="minorEastAsia" w:eastAsiaTheme="minorEastAsia" w:cstheme="minorEastAsia"/>
                <w:color w:val="FF0000"/>
                <w:sz w:val="21"/>
                <w:szCs w:val="21"/>
                <w:lang w:val="en-US" w:eastAsia="zh-CN"/>
              </w:rPr>
              <w:t>起、截止</w:t>
            </w:r>
            <w:r>
              <w:rPr>
                <w:rFonts w:hint="eastAsia" w:asciiTheme="minorEastAsia" w:hAnsiTheme="minorEastAsia" w:eastAsiaTheme="minorEastAsia" w:cstheme="minorEastAsia"/>
                <w:color w:val="FF0000"/>
                <w:sz w:val="21"/>
                <w:szCs w:val="21"/>
              </w:rPr>
              <w:t>202</w:t>
            </w:r>
            <w:r>
              <w:rPr>
                <w:rFonts w:hint="eastAsia" w:asciiTheme="minorEastAsia" w:hAnsiTheme="minorEastAsia" w:eastAsiaTheme="minorEastAsia" w:cstheme="minorEastAsia"/>
                <w:color w:val="FF0000"/>
                <w:sz w:val="21"/>
                <w:szCs w:val="21"/>
                <w:lang w:val="en-US" w:eastAsia="zh-CN"/>
              </w:rPr>
              <w:t>6</w:t>
            </w:r>
            <w:r>
              <w:rPr>
                <w:rFonts w:hint="eastAsia" w:asciiTheme="minorEastAsia" w:hAnsiTheme="minorEastAsia" w:eastAsiaTheme="minorEastAsia" w:cstheme="minorEastAsia"/>
                <w:color w:val="FF0000"/>
                <w:sz w:val="21"/>
                <w:szCs w:val="21"/>
              </w:rPr>
              <w:t xml:space="preserve">年 </w:t>
            </w:r>
            <w:r>
              <w:rPr>
                <w:rFonts w:hint="eastAsia" w:asciiTheme="minorEastAsia" w:hAnsiTheme="minorEastAsia" w:eastAsiaTheme="minorEastAsia" w:cstheme="minorEastAsia"/>
                <w:color w:val="FF0000"/>
                <w:sz w:val="21"/>
                <w:szCs w:val="21"/>
                <w:lang w:val="en-US" w:eastAsia="zh-CN"/>
              </w:rPr>
              <w:t>7</w:t>
            </w:r>
            <w:r>
              <w:rPr>
                <w:rFonts w:hint="eastAsia" w:asciiTheme="minorEastAsia" w:hAnsiTheme="minorEastAsia" w:eastAsiaTheme="minorEastAsia" w:cstheme="minorEastAsia"/>
                <w:color w:val="FF0000"/>
                <w:sz w:val="21"/>
                <w:szCs w:val="21"/>
              </w:rPr>
              <w:t xml:space="preserve">月 </w:t>
            </w:r>
            <w:r>
              <w:rPr>
                <w:rFonts w:hint="eastAsia" w:asciiTheme="minorEastAsia" w:hAnsiTheme="minorEastAsia" w:eastAsiaTheme="minorEastAsia" w:cstheme="minorEastAsia"/>
                <w:color w:val="FF0000"/>
                <w:sz w:val="21"/>
                <w:szCs w:val="21"/>
                <w:lang w:val="en-US" w:eastAsia="zh-CN"/>
              </w:rPr>
              <w:t>30</w:t>
            </w:r>
            <w:r>
              <w:rPr>
                <w:rFonts w:hint="eastAsia" w:asciiTheme="minorEastAsia" w:hAnsiTheme="minorEastAsia" w:eastAsiaTheme="minorEastAsia" w:cstheme="minorEastAsia"/>
                <w:color w:val="FF0000"/>
                <w:sz w:val="21"/>
                <w:szCs w:val="21"/>
              </w:rPr>
              <w:t xml:space="preserve"> 日前完成设备安装</w:t>
            </w:r>
            <w:r>
              <w:rPr>
                <w:rFonts w:hint="eastAsia" w:asciiTheme="minorEastAsia" w:hAnsiTheme="minorEastAsia" w:eastAsiaTheme="minorEastAsia" w:cstheme="minorEastAsia"/>
                <w:color w:val="FF0000"/>
                <w:sz w:val="21"/>
                <w:szCs w:val="21"/>
                <w:lang w:val="en-US" w:eastAsia="zh-CN"/>
              </w:rPr>
              <w:t>和调试。</w:t>
            </w:r>
            <w:r>
              <w:rPr>
                <w:rFonts w:hint="eastAsia" w:asciiTheme="minorEastAsia" w:hAnsiTheme="minorEastAsia" w:eastAsiaTheme="minorEastAsia" w:cstheme="minorEastAsia"/>
                <w:color w:val="auto"/>
                <w:sz w:val="21"/>
                <w:szCs w:val="21"/>
                <w:lang w:val="en-US" w:eastAsia="zh-CN"/>
              </w:rPr>
              <w:t>安装</w:t>
            </w:r>
            <w:r>
              <w:rPr>
                <w:rFonts w:hint="eastAsia" w:asciiTheme="minorEastAsia" w:hAnsiTheme="minorEastAsia" w:eastAsiaTheme="minorEastAsia" w:cstheme="minorEastAsia"/>
                <w:color w:val="auto"/>
                <w:sz w:val="21"/>
                <w:szCs w:val="21"/>
              </w:rPr>
              <w:t>调试完</w:t>
            </w:r>
            <w:r>
              <w:rPr>
                <w:rFonts w:hint="eastAsia" w:asciiTheme="minorEastAsia" w:hAnsiTheme="minorEastAsia" w:eastAsiaTheme="minorEastAsia" w:cstheme="minorEastAsia"/>
                <w:color w:val="auto"/>
                <w:sz w:val="21"/>
                <w:szCs w:val="21"/>
                <w:lang w:val="en-US" w:eastAsia="zh-CN"/>
              </w:rPr>
              <w:t>进行为期不少于一个月的</w:t>
            </w:r>
            <w:r>
              <w:rPr>
                <w:rFonts w:hint="eastAsia" w:asciiTheme="minorEastAsia" w:hAnsiTheme="minorEastAsia" w:eastAsiaTheme="minorEastAsia" w:cstheme="minorEastAsia"/>
                <w:color w:val="auto"/>
                <w:sz w:val="21"/>
                <w:szCs w:val="21"/>
              </w:rPr>
              <w:t>试运行时间</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试运行</w:t>
            </w:r>
            <w:r>
              <w:rPr>
                <w:rFonts w:hint="eastAsia" w:asciiTheme="minorEastAsia" w:hAnsiTheme="minorEastAsia" w:eastAsiaTheme="minorEastAsia" w:cstheme="minorEastAsia"/>
                <w:color w:val="auto"/>
                <w:sz w:val="21"/>
                <w:szCs w:val="21"/>
                <w:lang w:val="en-US" w:eastAsia="zh-CN"/>
              </w:rPr>
              <w:t>各项功能</w:t>
            </w:r>
            <w:r>
              <w:rPr>
                <w:rFonts w:hint="eastAsia" w:asciiTheme="minorEastAsia" w:hAnsiTheme="minorEastAsia" w:eastAsiaTheme="minorEastAsia" w:cstheme="minorEastAsia"/>
                <w:color w:val="auto"/>
                <w:sz w:val="21"/>
                <w:szCs w:val="21"/>
              </w:rPr>
              <w:t>正常后提请验收。因采购方或其他承包商原因导致工期延误的，经书面确认后工期顺延，不追究供应商责任。</w:t>
            </w:r>
          </w:p>
        </w:tc>
      </w:tr>
      <w:tr w14:paraId="5B618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 w:hRule="atLeast"/>
          <w:jc w:val="center"/>
        </w:trPr>
        <w:tc>
          <w:tcPr>
            <w:tcW w:w="310" w:type="pct"/>
            <w:tcBorders>
              <w:top w:val="single" w:color="auto" w:sz="4" w:space="0"/>
              <w:left w:val="single" w:color="auto" w:sz="4" w:space="0"/>
              <w:bottom w:val="single" w:color="auto" w:sz="4" w:space="0"/>
              <w:right w:val="single" w:color="auto" w:sz="4" w:space="0"/>
            </w:tcBorders>
            <w:noWrap w:val="0"/>
            <w:vAlign w:val="center"/>
          </w:tcPr>
          <w:p w14:paraId="2006FF56">
            <w:pPr>
              <w:spacing w:line="400" w:lineRule="exact"/>
              <w:jc w:val="center"/>
              <w:rPr>
                <w:rFonts w:hint="eastAsia" w:ascii="宋体" w:hAnsi="宋体"/>
                <w:color w:val="auto"/>
                <w:szCs w:val="21"/>
              </w:rPr>
            </w:pPr>
            <w:r>
              <w:rPr>
                <w:rFonts w:hint="eastAsia" w:ascii="宋体" w:hAnsi="宋体"/>
                <w:color w:val="auto"/>
                <w:szCs w:val="21"/>
              </w:rPr>
              <w:t>5</w:t>
            </w:r>
          </w:p>
        </w:tc>
        <w:tc>
          <w:tcPr>
            <w:tcW w:w="907" w:type="pct"/>
            <w:tcBorders>
              <w:top w:val="single" w:color="auto" w:sz="4" w:space="0"/>
              <w:left w:val="single" w:color="auto" w:sz="4" w:space="0"/>
              <w:bottom w:val="single" w:color="auto" w:sz="4" w:space="0"/>
              <w:right w:val="single" w:color="auto" w:sz="4" w:space="0"/>
            </w:tcBorders>
            <w:noWrap w:val="0"/>
            <w:vAlign w:val="center"/>
          </w:tcPr>
          <w:p w14:paraId="4E6202D7">
            <w:pPr>
              <w:spacing w:line="400" w:lineRule="exact"/>
              <w:jc w:val="center"/>
              <w:rPr>
                <w:rFonts w:hint="eastAsia" w:ascii="宋体" w:hAnsi="宋体"/>
                <w:color w:val="auto"/>
                <w:szCs w:val="21"/>
              </w:rPr>
            </w:pPr>
            <w:r>
              <w:rPr>
                <w:rFonts w:hint="eastAsia" w:ascii="宋体" w:hAnsi="宋体"/>
                <w:color w:val="auto"/>
                <w:szCs w:val="21"/>
              </w:rPr>
              <w:t>交货地点</w:t>
            </w:r>
          </w:p>
        </w:tc>
        <w:tc>
          <w:tcPr>
            <w:tcW w:w="3782" w:type="pct"/>
            <w:tcBorders>
              <w:top w:val="single" w:color="auto" w:sz="4" w:space="0"/>
              <w:left w:val="single" w:color="auto" w:sz="4" w:space="0"/>
              <w:bottom w:val="single" w:color="auto" w:sz="4" w:space="0"/>
              <w:right w:val="single" w:color="auto" w:sz="4" w:space="0"/>
            </w:tcBorders>
            <w:noWrap w:val="0"/>
            <w:vAlign w:val="center"/>
          </w:tcPr>
          <w:p w14:paraId="459B0DA9">
            <w:pPr>
              <w:spacing w:line="400" w:lineRule="exact"/>
              <w:ind w:right="590" w:rightChars="281"/>
              <w:jc w:val="left"/>
              <w:rPr>
                <w:rFonts w:hint="eastAsia" w:ascii="宋体" w:hAnsi="宋体" w:cs="宋体"/>
                <w:color w:val="auto"/>
                <w:szCs w:val="21"/>
              </w:rPr>
            </w:pPr>
            <w:r>
              <w:rPr>
                <w:rFonts w:hint="eastAsia" w:ascii="宋体" w:hAnsi="宋体" w:cs="宋体"/>
                <w:color w:val="auto"/>
                <w:szCs w:val="21"/>
              </w:rPr>
              <w:t>1. 成交供应商负责将货物运到采购人指定地点，由成交供应商负责办理运输和装卸等，费用由成交供应商负责。</w:t>
            </w:r>
          </w:p>
          <w:p w14:paraId="48A4F178">
            <w:pPr>
              <w:spacing w:line="400" w:lineRule="exact"/>
              <w:ind w:right="590" w:rightChars="281"/>
              <w:jc w:val="left"/>
              <w:rPr>
                <w:rFonts w:hint="eastAsia" w:ascii="宋体" w:hAnsi="宋体" w:cs="宋体"/>
                <w:color w:val="auto"/>
                <w:szCs w:val="21"/>
              </w:rPr>
            </w:pPr>
            <w:r>
              <w:rPr>
                <w:rFonts w:hint="eastAsia" w:ascii="宋体" w:hAnsi="宋体" w:cs="宋体"/>
                <w:color w:val="auto"/>
                <w:szCs w:val="21"/>
              </w:rPr>
              <w:t>2. 由采购人按国家相关标准及询价文件验收条款组织验收，检验不合格或不符合质量要求，成交供应商除无条件退货、返工外，还应承担采购人的一切损失。</w:t>
            </w:r>
          </w:p>
          <w:p w14:paraId="6203A0F7">
            <w:pPr>
              <w:spacing w:line="400" w:lineRule="exact"/>
              <w:ind w:right="590" w:rightChars="281"/>
              <w:jc w:val="left"/>
              <w:rPr>
                <w:rFonts w:hint="eastAsia" w:ascii="宋体" w:hAnsi="宋体" w:cs="宋体"/>
                <w:color w:val="auto"/>
                <w:kern w:val="0"/>
                <w:szCs w:val="21"/>
              </w:rPr>
            </w:pPr>
            <w:r>
              <w:rPr>
                <w:rFonts w:hint="eastAsia" w:ascii="宋体" w:hAnsi="宋体" w:cs="宋体"/>
                <w:color w:val="auto"/>
                <w:szCs w:val="21"/>
              </w:rPr>
              <w:t>3. 成交</w:t>
            </w:r>
            <w:r>
              <w:rPr>
                <w:rFonts w:hint="eastAsia" w:ascii="宋体" w:hAnsi="宋体" w:cs="宋体"/>
                <w:color w:val="auto"/>
                <w:kern w:val="0"/>
                <w:szCs w:val="21"/>
              </w:rPr>
              <w:t>供应商所提供的货物开箱后，如采购人发现有任何质量问题（如外观损伤、功能不齐全、无法正常使用等），</w:t>
            </w:r>
            <w:r>
              <w:rPr>
                <w:rFonts w:hint="eastAsia" w:ascii="宋体" w:hAnsi="宋体" w:cs="宋体"/>
                <w:color w:val="auto"/>
                <w:szCs w:val="21"/>
              </w:rPr>
              <w:t>成交</w:t>
            </w:r>
            <w:r>
              <w:rPr>
                <w:rFonts w:hint="eastAsia" w:ascii="宋体" w:hAnsi="宋体" w:cs="宋体"/>
                <w:color w:val="auto"/>
                <w:kern w:val="0"/>
                <w:szCs w:val="21"/>
              </w:rPr>
              <w:t>供应商必须立即以同样型号的设备在采购人商定的时间内更换，确保其使用。</w:t>
            </w:r>
          </w:p>
          <w:p w14:paraId="35CDF84A">
            <w:pPr>
              <w:spacing w:line="400" w:lineRule="exact"/>
              <w:ind w:right="590" w:rightChars="281"/>
              <w:jc w:val="left"/>
              <w:rPr>
                <w:rFonts w:hint="eastAsia" w:ascii="宋体" w:hAnsi="宋体"/>
                <w:color w:val="auto"/>
                <w:szCs w:val="21"/>
              </w:rPr>
            </w:pPr>
            <w:r>
              <w:rPr>
                <w:rFonts w:hint="eastAsia" w:ascii="宋体" w:hAnsi="宋体" w:cs="宋体"/>
                <w:color w:val="auto"/>
                <w:kern w:val="0"/>
                <w:szCs w:val="21"/>
              </w:rPr>
              <w:t>4. 如因不可抗力无法在规定时间内提供</w:t>
            </w:r>
            <w:r>
              <w:rPr>
                <w:rFonts w:hint="eastAsia" w:ascii="宋体" w:hAnsi="宋体" w:cs="宋体"/>
                <w:color w:val="auto"/>
                <w:szCs w:val="21"/>
              </w:rPr>
              <w:t>成交</w:t>
            </w:r>
            <w:r>
              <w:rPr>
                <w:rFonts w:hint="eastAsia" w:ascii="宋体" w:hAnsi="宋体" w:cs="宋体"/>
                <w:color w:val="auto"/>
                <w:kern w:val="0"/>
                <w:szCs w:val="21"/>
              </w:rPr>
              <w:t>货物，</w:t>
            </w:r>
            <w:r>
              <w:rPr>
                <w:rFonts w:hint="eastAsia" w:ascii="宋体" w:hAnsi="宋体" w:cs="宋体"/>
                <w:color w:val="auto"/>
                <w:szCs w:val="21"/>
              </w:rPr>
              <w:t>成交</w:t>
            </w:r>
            <w:r>
              <w:rPr>
                <w:rFonts w:hint="eastAsia" w:ascii="宋体" w:hAnsi="宋体" w:cs="宋体"/>
                <w:color w:val="auto"/>
                <w:kern w:val="0"/>
                <w:szCs w:val="21"/>
              </w:rPr>
              <w:t>供应商应提前15天书面告知采购人，并提供性能规格不低于</w:t>
            </w:r>
            <w:r>
              <w:rPr>
                <w:rFonts w:hint="eastAsia" w:ascii="宋体" w:hAnsi="宋体" w:cs="宋体"/>
                <w:color w:val="auto"/>
                <w:kern w:val="0"/>
                <w:szCs w:val="21"/>
                <w:lang w:eastAsia="zh-CN"/>
              </w:rPr>
              <w:t>成交</w:t>
            </w:r>
            <w:r>
              <w:rPr>
                <w:rFonts w:hint="eastAsia" w:ascii="宋体" w:hAnsi="宋体" w:cs="宋体"/>
                <w:color w:val="auto"/>
                <w:kern w:val="0"/>
                <w:szCs w:val="21"/>
              </w:rPr>
              <w:t>货物的替代型号。</w:t>
            </w:r>
          </w:p>
        </w:tc>
      </w:tr>
      <w:tr w14:paraId="735A6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310" w:type="pct"/>
            <w:tcBorders>
              <w:top w:val="single" w:color="auto" w:sz="4" w:space="0"/>
              <w:left w:val="single" w:color="auto" w:sz="4" w:space="0"/>
              <w:bottom w:val="single" w:color="auto" w:sz="4" w:space="0"/>
              <w:right w:val="single" w:color="auto" w:sz="4" w:space="0"/>
            </w:tcBorders>
            <w:noWrap w:val="0"/>
            <w:vAlign w:val="center"/>
          </w:tcPr>
          <w:p w14:paraId="6C1BD84D">
            <w:pPr>
              <w:spacing w:line="400" w:lineRule="exact"/>
              <w:jc w:val="center"/>
              <w:rPr>
                <w:rFonts w:hint="eastAsia" w:ascii="宋体" w:hAnsi="宋体"/>
                <w:color w:val="auto"/>
                <w:szCs w:val="21"/>
              </w:rPr>
            </w:pPr>
            <w:r>
              <w:rPr>
                <w:rFonts w:hint="eastAsia" w:ascii="宋体" w:hAnsi="宋体"/>
                <w:color w:val="auto"/>
                <w:szCs w:val="21"/>
              </w:rPr>
              <w:t>6</w:t>
            </w:r>
          </w:p>
        </w:tc>
        <w:tc>
          <w:tcPr>
            <w:tcW w:w="907" w:type="pct"/>
            <w:tcBorders>
              <w:top w:val="single" w:color="auto" w:sz="4" w:space="0"/>
              <w:left w:val="single" w:color="auto" w:sz="4" w:space="0"/>
              <w:bottom w:val="single" w:color="auto" w:sz="4" w:space="0"/>
              <w:right w:val="single" w:color="auto" w:sz="4" w:space="0"/>
            </w:tcBorders>
            <w:noWrap w:val="0"/>
            <w:vAlign w:val="center"/>
          </w:tcPr>
          <w:p w14:paraId="6C81A284">
            <w:pPr>
              <w:spacing w:line="400" w:lineRule="exact"/>
              <w:jc w:val="center"/>
              <w:rPr>
                <w:rFonts w:hint="eastAsia" w:ascii="宋体" w:hAnsi="宋体"/>
                <w:color w:val="auto"/>
                <w:szCs w:val="21"/>
              </w:rPr>
            </w:pPr>
            <w:r>
              <w:rPr>
                <w:rFonts w:hint="eastAsia" w:ascii="宋体" w:hAnsi="宋体"/>
                <w:color w:val="auto"/>
                <w:szCs w:val="21"/>
              </w:rPr>
              <w:t>售后服务</w:t>
            </w:r>
          </w:p>
        </w:tc>
        <w:tc>
          <w:tcPr>
            <w:tcW w:w="3782" w:type="pct"/>
            <w:tcBorders>
              <w:top w:val="single" w:color="auto" w:sz="4" w:space="0"/>
              <w:left w:val="single" w:color="auto" w:sz="4" w:space="0"/>
              <w:bottom w:val="single" w:color="auto" w:sz="4" w:space="0"/>
              <w:right w:val="single" w:color="auto" w:sz="4" w:space="0"/>
            </w:tcBorders>
            <w:noWrap w:val="0"/>
            <w:vAlign w:val="center"/>
          </w:tcPr>
          <w:p w14:paraId="2AC10BBF">
            <w:pPr>
              <w:spacing w:line="400" w:lineRule="exact"/>
              <w:jc w:val="left"/>
              <w:rPr>
                <w:rFonts w:hint="eastAsia" w:ascii="宋体" w:hAnsi="宋体"/>
                <w:color w:val="auto"/>
                <w:szCs w:val="21"/>
              </w:rPr>
            </w:pPr>
            <w:r>
              <w:rPr>
                <w:rFonts w:hint="eastAsia" w:ascii="宋体" w:hAnsi="宋体" w:cs="宋体"/>
                <w:color w:val="auto"/>
                <w:szCs w:val="21"/>
              </w:rPr>
              <w:t>成交供应商接到保修请求，</w:t>
            </w:r>
            <w:r>
              <w:rPr>
                <w:rFonts w:hint="eastAsia" w:ascii="宋体" w:hAnsi="宋体" w:cs="宋体"/>
                <w:color w:val="auto"/>
                <w:kern w:val="0"/>
                <w:szCs w:val="21"/>
              </w:rPr>
              <w:t>提供7*24小时技术热线支持服务，</w:t>
            </w:r>
            <w:r>
              <w:rPr>
                <w:rFonts w:hint="eastAsia" w:ascii="宋体" w:hAnsi="宋体" w:cs="宋体"/>
                <w:color w:val="auto"/>
                <w:szCs w:val="21"/>
              </w:rPr>
              <w:t>维修应在1小时内响应，2小时内维修人员到达现场，必要时应向采购人提供应急备用设备。质保期后，成交供应商提供终身服务，</w:t>
            </w:r>
            <w:r>
              <w:rPr>
                <w:rFonts w:hint="eastAsia" w:ascii="宋体" w:hAnsi="宋体" w:cs="宋体"/>
                <w:color w:val="auto"/>
                <w:kern w:val="0"/>
                <w:szCs w:val="21"/>
              </w:rPr>
              <w:t>在设备的设计使用寿命周期内，</w:t>
            </w:r>
            <w:r>
              <w:rPr>
                <w:rFonts w:hint="eastAsia" w:ascii="宋体" w:hAnsi="宋体" w:cs="宋体"/>
                <w:color w:val="auto"/>
                <w:szCs w:val="21"/>
              </w:rPr>
              <w:t>成交</w:t>
            </w:r>
            <w:r>
              <w:rPr>
                <w:rFonts w:hint="eastAsia" w:ascii="宋体" w:hAnsi="宋体" w:cs="宋体"/>
                <w:color w:val="auto"/>
                <w:kern w:val="0"/>
                <w:szCs w:val="21"/>
              </w:rPr>
              <w:t>供应商应能保证采购人更换到原厂正宗的备件材料，确保设备的正常使用。</w:t>
            </w:r>
          </w:p>
        </w:tc>
      </w:tr>
      <w:tr w14:paraId="62C36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 w:hRule="atLeast"/>
          <w:jc w:val="center"/>
        </w:trPr>
        <w:tc>
          <w:tcPr>
            <w:tcW w:w="310" w:type="pct"/>
            <w:tcBorders>
              <w:top w:val="single" w:color="auto" w:sz="4" w:space="0"/>
              <w:left w:val="single" w:color="auto" w:sz="4" w:space="0"/>
              <w:bottom w:val="single" w:color="auto" w:sz="4" w:space="0"/>
              <w:right w:val="single" w:color="auto" w:sz="4" w:space="0"/>
            </w:tcBorders>
            <w:noWrap w:val="0"/>
            <w:vAlign w:val="center"/>
          </w:tcPr>
          <w:p w14:paraId="0BCB28DA">
            <w:pPr>
              <w:spacing w:line="400" w:lineRule="exact"/>
              <w:jc w:val="center"/>
              <w:rPr>
                <w:rFonts w:hint="eastAsia" w:ascii="宋体" w:hAnsi="宋体"/>
                <w:color w:val="auto"/>
                <w:szCs w:val="21"/>
              </w:rPr>
            </w:pPr>
            <w:r>
              <w:rPr>
                <w:rFonts w:hint="eastAsia" w:ascii="宋体" w:hAnsi="宋体"/>
                <w:color w:val="auto"/>
                <w:szCs w:val="21"/>
              </w:rPr>
              <w:t>7</w:t>
            </w:r>
          </w:p>
        </w:tc>
        <w:tc>
          <w:tcPr>
            <w:tcW w:w="907" w:type="pct"/>
            <w:tcBorders>
              <w:top w:val="single" w:color="auto" w:sz="4" w:space="0"/>
              <w:left w:val="single" w:color="auto" w:sz="4" w:space="0"/>
              <w:bottom w:val="single" w:color="auto" w:sz="4" w:space="0"/>
              <w:right w:val="single" w:color="auto" w:sz="4" w:space="0"/>
            </w:tcBorders>
            <w:noWrap w:val="0"/>
            <w:vAlign w:val="center"/>
          </w:tcPr>
          <w:p w14:paraId="0E4D1C4B">
            <w:pPr>
              <w:spacing w:line="400" w:lineRule="exact"/>
              <w:jc w:val="center"/>
              <w:rPr>
                <w:rFonts w:hint="eastAsia" w:ascii="宋体" w:hAnsi="宋体"/>
                <w:color w:val="auto"/>
                <w:szCs w:val="21"/>
              </w:rPr>
            </w:pPr>
            <w:r>
              <w:rPr>
                <w:rFonts w:hint="eastAsia" w:ascii="宋体" w:hAnsi="宋体"/>
                <w:color w:val="auto"/>
                <w:szCs w:val="21"/>
              </w:rPr>
              <w:t>培训要求</w:t>
            </w:r>
          </w:p>
        </w:tc>
        <w:tc>
          <w:tcPr>
            <w:tcW w:w="3782" w:type="pct"/>
            <w:tcBorders>
              <w:top w:val="single" w:color="auto" w:sz="4" w:space="0"/>
              <w:left w:val="single" w:color="auto" w:sz="4" w:space="0"/>
              <w:bottom w:val="single" w:color="auto" w:sz="4" w:space="0"/>
              <w:right w:val="single" w:color="auto" w:sz="4" w:space="0"/>
            </w:tcBorders>
            <w:noWrap w:val="0"/>
            <w:vAlign w:val="center"/>
          </w:tcPr>
          <w:p w14:paraId="79F51990">
            <w:pPr>
              <w:spacing w:line="400" w:lineRule="exact"/>
              <w:rPr>
                <w:rFonts w:hint="eastAsia" w:ascii="宋体" w:hAnsi="宋体"/>
                <w:color w:val="auto"/>
                <w:szCs w:val="21"/>
              </w:rPr>
            </w:pPr>
            <w:r>
              <w:rPr>
                <w:rFonts w:hint="eastAsia" w:ascii="宋体" w:hAnsi="宋体" w:cs="宋体"/>
                <w:color w:val="auto"/>
                <w:szCs w:val="21"/>
              </w:rPr>
              <w:t>成交</w:t>
            </w:r>
            <w:r>
              <w:rPr>
                <w:rFonts w:hint="eastAsia" w:ascii="宋体" w:hAnsi="宋体" w:cs="宋体"/>
                <w:color w:val="auto"/>
                <w:kern w:val="0"/>
                <w:szCs w:val="21"/>
                <w:lang w:val="zh-CN"/>
              </w:rPr>
              <w:t>供应商应为需方提供免费培训服务，并指派专人负责与需方联系售后服务事宜。主要培训内容为货物的基本结构、性能、主要部件的构造及处理，日常使用操作、保养与管理、常见故障的排除、紧急情况的处理等，如需方未使用过同类型货物，</w:t>
            </w:r>
            <w:r>
              <w:rPr>
                <w:rFonts w:hint="eastAsia" w:ascii="宋体" w:hAnsi="宋体" w:cs="宋体"/>
                <w:color w:val="auto"/>
                <w:szCs w:val="21"/>
              </w:rPr>
              <w:t>成交</w:t>
            </w:r>
            <w:r>
              <w:rPr>
                <w:rFonts w:hint="eastAsia" w:ascii="宋体" w:hAnsi="宋体" w:cs="宋体"/>
                <w:color w:val="auto"/>
                <w:kern w:val="0"/>
                <w:szCs w:val="21"/>
                <w:lang w:val="zh-CN"/>
              </w:rPr>
              <w:t>供应商还需就货物的功能对</w:t>
            </w:r>
            <w:r>
              <w:rPr>
                <w:rFonts w:hint="eastAsia" w:ascii="宋体" w:hAnsi="宋体" w:cs="宋体"/>
                <w:color w:val="auto"/>
                <w:szCs w:val="21"/>
              </w:rPr>
              <w:t>成交</w:t>
            </w:r>
            <w:r>
              <w:rPr>
                <w:rFonts w:hint="eastAsia" w:ascii="宋体" w:hAnsi="宋体" w:cs="宋体"/>
                <w:color w:val="auto"/>
                <w:kern w:val="0"/>
                <w:szCs w:val="21"/>
                <w:lang w:val="zh-CN"/>
              </w:rPr>
              <w:t>供应商人员进行相应的技术培训，培训地点主要在货物安装现场或由</w:t>
            </w:r>
            <w:r>
              <w:rPr>
                <w:rFonts w:hint="eastAsia" w:ascii="宋体" w:hAnsi="宋体" w:cs="宋体"/>
                <w:color w:val="auto"/>
                <w:kern w:val="0"/>
                <w:szCs w:val="21"/>
              </w:rPr>
              <w:t>成交</w:t>
            </w:r>
            <w:r>
              <w:rPr>
                <w:rFonts w:hint="eastAsia" w:ascii="宋体" w:hAnsi="宋体" w:cs="宋体"/>
                <w:color w:val="auto"/>
                <w:kern w:val="0"/>
                <w:szCs w:val="21"/>
                <w:lang w:val="zh-CN"/>
              </w:rPr>
              <w:t>供应商安排。</w:t>
            </w:r>
          </w:p>
        </w:tc>
      </w:tr>
      <w:tr w14:paraId="47D81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310" w:type="pct"/>
            <w:tcBorders>
              <w:top w:val="single" w:color="auto" w:sz="4" w:space="0"/>
              <w:left w:val="single" w:color="auto" w:sz="4" w:space="0"/>
              <w:bottom w:val="single" w:color="auto" w:sz="4" w:space="0"/>
              <w:right w:val="single" w:color="auto" w:sz="4" w:space="0"/>
            </w:tcBorders>
            <w:noWrap w:val="0"/>
            <w:vAlign w:val="center"/>
          </w:tcPr>
          <w:p w14:paraId="7CBC9105">
            <w:pPr>
              <w:spacing w:line="400" w:lineRule="exact"/>
              <w:jc w:val="center"/>
              <w:rPr>
                <w:rFonts w:hint="eastAsia" w:ascii="宋体" w:hAnsi="宋体"/>
                <w:color w:val="auto"/>
                <w:szCs w:val="21"/>
              </w:rPr>
            </w:pPr>
            <w:r>
              <w:rPr>
                <w:rFonts w:hint="eastAsia" w:ascii="宋体" w:hAnsi="宋体"/>
                <w:color w:val="auto"/>
                <w:szCs w:val="21"/>
              </w:rPr>
              <w:t>8</w:t>
            </w:r>
          </w:p>
        </w:tc>
        <w:tc>
          <w:tcPr>
            <w:tcW w:w="907" w:type="pct"/>
            <w:tcBorders>
              <w:top w:val="single" w:color="auto" w:sz="4" w:space="0"/>
              <w:left w:val="single" w:color="auto" w:sz="4" w:space="0"/>
              <w:bottom w:val="single" w:color="auto" w:sz="4" w:space="0"/>
              <w:right w:val="single" w:color="auto" w:sz="4" w:space="0"/>
            </w:tcBorders>
            <w:noWrap w:val="0"/>
            <w:vAlign w:val="center"/>
          </w:tcPr>
          <w:p w14:paraId="2BE0A75B">
            <w:pPr>
              <w:spacing w:line="400" w:lineRule="exact"/>
              <w:jc w:val="center"/>
              <w:rPr>
                <w:rFonts w:hint="eastAsia" w:ascii="宋体" w:hAnsi="宋体"/>
                <w:color w:val="auto"/>
                <w:szCs w:val="21"/>
              </w:rPr>
            </w:pPr>
            <w:r>
              <w:rPr>
                <w:rFonts w:hint="eastAsia" w:ascii="宋体" w:hAnsi="宋体"/>
                <w:color w:val="auto"/>
                <w:szCs w:val="21"/>
              </w:rPr>
              <w:t>验收标准与要求</w:t>
            </w:r>
          </w:p>
        </w:tc>
        <w:tc>
          <w:tcPr>
            <w:tcW w:w="3782" w:type="pct"/>
            <w:tcBorders>
              <w:top w:val="single" w:color="auto" w:sz="4" w:space="0"/>
              <w:left w:val="single" w:color="auto" w:sz="4" w:space="0"/>
              <w:bottom w:val="single" w:color="auto" w:sz="4" w:space="0"/>
              <w:right w:val="single" w:color="auto" w:sz="4" w:space="0"/>
            </w:tcBorders>
            <w:noWrap w:val="0"/>
            <w:vAlign w:val="center"/>
          </w:tcPr>
          <w:p w14:paraId="62ED1C5E">
            <w:pPr>
              <w:spacing w:line="400" w:lineRule="exact"/>
              <w:rPr>
                <w:rFonts w:ascii="宋体" w:hAnsi="宋体"/>
                <w:color w:val="auto"/>
                <w:szCs w:val="21"/>
              </w:rPr>
            </w:pPr>
            <w:r>
              <w:rPr>
                <w:rFonts w:hint="eastAsia" w:ascii="宋体" w:hAnsi="宋体"/>
                <w:color w:val="auto"/>
                <w:szCs w:val="21"/>
              </w:rPr>
              <w:t>1.</w:t>
            </w:r>
            <w:r>
              <w:rPr>
                <w:rFonts w:hint="eastAsia" w:ascii="宋体" w:hAnsi="宋体"/>
                <w:color w:val="auto"/>
                <w:szCs w:val="21"/>
                <w:lang w:val="en-US" w:eastAsia="zh-CN"/>
              </w:rPr>
              <w:t>项目</w:t>
            </w:r>
            <w:r>
              <w:rPr>
                <w:rFonts w:hint="eastAsia" w:ascii="宋体" w:hAnsi="宋体" w:cs="Times New Roman"/>
                <w:color w:val="auto"/>
                <w:szCs w:val="21"/>
                <w:lang w:val="en-US" w:eastAsia="zh-CN"/>
              </w:rPr>
              <w:t>安装调整完毕并平稳运行1个月后进行验收。</w:t>
            </w:r>
            <w:r>
              <w:rPr>
                <w:rFonts w:hint="eastAsia" w:ascii="宋体" w:hAnsi="宋体"/>
                <w:color w:val="auto"/>
                <w:szCs w:val="21"/>
              </w:rPr>
              <w:t>项目验收按《常州市教育技术装备验收规范》、常州市教育局装备项目化建设指南（2021版）《信息化工程项目验收要求》等执行。</w:t>
            </w:r>
          </w:p>
          <w:p w14:paraId="3D7FC864">
            <w:pPr>
              <w:spacing w:line="400" w:lineRule="exact"/>
              <w:rPr>
                <w:rFonts w:ascii="宋体" w:hAnsi="宋体"/>
                <w:color w:val="auto"/>
                <w:szCs w:val="21"/>
              </w:rPr>
            </w:pPr>
            <w:r>
              <w:rPr>
                <w:rFonts w:ascii="宋体" w:hAnsi="宋体"/>
                <w:color w:val="auto"/>
                <w:szCs w:val="21"/>
              </w:rPr>
              <w:t>2</w:t>
            </w:r>
            <w:r>
              <w:rPr>
                <w:rFonts w:hint="eastAsia" w:ascii="宋体" w:hAnsi="宋体"/>
                <w:color w:val="auto"/>
                <w:szCs w:val="21"/>
              </w:rPr>
              <w:t>.项目实施完成，成交供应商应完成文档整理并申请验收，竣工文档是验收的必要条件。</w:t>
            </w:r>
          </w:p>
          <w:p w14:paraId="7867CEEC">
            <w:pPr>
              <w:spacing w:line="400" w:lineRule="exact"/>
              <w:rPr>
                <w:rFonts w:ascii="宋体" w:hAnsi="宋体"/>
                <w:color w:val="auto"/>
                <w:szCs w:val="21"/>
              </w:rPr>
            </w:pPr>
            <w:r>
              <w:rPr>
                <w:rFonts w:ascii="宋体" w:hAnsi="宋体"/>
                <w:color w:val="auto"/>
                <w:szCs w:val="21"/>
              </w:rPr>
              <w:t>3</w:t>
            </w:r>
            <w:r>
              <w:rPr>
                <w:rFonts w:hint="eastAsia" w:ascii="宋体" w:hAnsi="宋体"/>
                <w:color w:val="auto"/>
                <w:szCs w:val="21"/>
              </w:rPr>
              <w:t>.所供货物必须是全新的，原装正品，完全符合国家规定的质量标准。因产品质量或安装不当导致验收不合格，应及时处理直至验收合格，期间产生的一切费用由</w:t>
            </w:r>
            <w:r>
              <w:rPr>
                <w:rFonts w:hint="eastAsia" w:ascii="宋体" w:hAnsi="宋体"/>
                <w:color w:val="auto"/>
                <w:szCs w:val="21"/>
                <w:lang w:eastAsia="zh-CN"/>
              </w:rPr>
              <w:t>成交</w:t>
            </w:r>
            <w:r>
              <w:rPr>
                <w:rFonts w:hint="eastAsia" w:ascii="宋体" w:hAnsi="宋体"/>
                <w:color w:val="auto"/>
                <w:szCs w:val="21"/>
              </w:rPr>
              <w:t>方承担。</w:t>
            </w:r>
          </w:p>
          <w:p w14:paraId="72858A10">
            <w:pPr>
              <w:spacing w:line="400" w:lineRule="exact"/>
              <w:rPr>
                <w:rFonts w:hint="eastAsia" w:ascii="宋体" w:hAnsi="宋体"/>
                <w:color w:val="auto"/>
                <w:szCs w:val="21"/>
              </w:rPr>
            </w:pPr>
            <w:r>
              <w:rPr>
                <w:rFonts w:ascii="宋体" w:hAnsi="宋体"/>
                <w:color w:val="auto"/>
                <w:szCs w:val="21"/>
              </w:rPr>
              <w:t>4</w:t>
            </w:r>
            <w:r>
              <w:rPr>
                <w:rFonts w:hint="eastAsia" w:ascii="宋体" w:hAnsi="宋体"/>
                <w:color w:val="auto"/>
                <w:szCs w:val="21"/>
              </w:rPr>
              <w:t>.本项目由采购人决定是否邀请第三方进行联合验收。</w:t>
            </w:r>
          </w:p>
          <w:p w14:paraId="3274CE4F">
            <w:pPr>
              <w:spacing w:line="400" w:lineRule="exact"/>
              <w:rPr>
                <w:rFonts w:ascii="宋体" w:hAnsi="宋体"/>
                <w:color w:val="auto"/>
                <w:szCs w:val="21"/>
              </w:rPr>
            </w:pPr>
            <w:r>
              <w:rPr>
                <w:rFonts w:hint="eastAsia" w:ascii="宋体" w:hAnsi="宋体"/>
                <w:color w:val="auto"/>
                <w:szCs w:val="21"/>
                <w:lang w:val="en-US" w:eastAsia="zh-CN"/>
              </w:rPr>
              <w:t>5.</w:t>
            </w:r>
            <w:r>
              <w:rPr>
                <w:rFonts w:hint="eastAsia" w:ascii="宋体" w:hAnsi="宋体"/>
                <w:color w:val="auto"/>
                <w:szCs w:val="21"/>
              </w:rPr>
              <w:t>若验收不合格，则由中标供应商承担所有验收产生的检测费用。项目验收不通过导致的后续验收的专家费，由责任方承担。</w:t>
            </w:r>
          </w:p>
          <w:p w14:paraId="520C84BF">
            <w:pPr>
              <w:spacing w:line="400" w:lineRule="exact"/>
              <w:rPr>
                <w:rFonts w:hint="eastAsia" w:ascii="宋体" w:hAnsi="宋体"/>
                <w:color w:val="auto"/>
                <w:szCs w:val="21"/>
              </w:rPr>
            </w:pPr>
            <w:r>
              <w:rPr>
                <w:rFonts w:hint="eastAsia" w:ascii="宋体" w:hAnsi="宋体"/>
                <w:color w:val="auto"/>
                <w:szCs w:val="21"/>
                <w:lang w:val="en-US" w:eastAsia="zh-CN"/>
              </w:rPr>
              <w:t>6</w:t>
            </w:r>
            <w:r>
              <w:rPr>
                <w:rFonts w:hint="eastAsia" w:ascii="宋体" w:hAnsi="宋体"/>
                <w:color w:val="auto"/>
                <w:szCs w:val="21"/>
              </w:rPr>
              <w:t>.如有部分设备需抽样送检，相关费用由</w:t>
            </w:r>
            <w:r>
              <w:rPr>
                <w:rFonts w:hint="eastAsia" w:ascii="宋体" w:hAnsi="宋体"/>
                <w:color w:val="auto"/>
                <w:szCs w:val="21"/>
                <w:lang w:val="en-US" w:eastAsia="zh-CN"/>
              </w:rPr>
              <w:t>责任方</w:t>
            </w:r>
            <w:r>
              <w:rPr>
                <w:rFonts w:hint="eastAsia" w:ascii="宋体" w:hAnsi="宋体"/>
                <w:color w:val="auto"/>
                <w:szCs w:val="21"/>
              </w:rPr>
              <w:t>承担。</w:t>
            </w:r>
          </w:p>
          <w:p w14:paraId="40D19984">
            <w:pPr>
              <w:spacing w:line="420" w:lineRule="exact"/>
              <w:rPr>
                <w:rFonts w:hint="eastAsia" w:ascii="宋体" w:hAnsi="宋体" w:eastAsia="宋体" w:cs="Times New Roman"/>
                <w:color w:val="auto"/>
                <w:szCs w:val="21"/>
                <w:lang w:eastAsia="zh-CN"/>
              </w:rPr>
            </w:pPr>
            <w:r>
              <w:rPr>
                <w:rFonts w:hint="eastAsia" w:ascii="宋体" w:hAnsi="宋体" w:cs="宋体"/>
                <w:color w:val="auto"/>
                <w:kern w:val="0"/>
                <w:szCs w:val="21"/>
                <w:highlight w:val="none"/>
                <w:lang w:val="en-US" w:eastAsia="zh-CN"/>
              </w:rPr>
              <w:t>7.</w:t>
            </w:r>
            <w:r>
              <w:rPr>
                <w:rFonts w:hint="eastAsia" w:ascii="宋体" w:hAnsi="宋体" w:eastAsia="宋体" w:cs="Times New Roman"/>
                <w:color w:val="auto"/>
                <w:szCs w:val="21"/>
                <w:lang w:eastAsia="zh-CN"/>
              </w:rPr>
              <w:t>按照关于印发《江苏省政府采购履约验收管理办法》的通知（苏财规〔2024〕7号）进行验收，详见验收要求。</w:t>
            </w:r>
          </w:p>
          <w:p w14:paraId="2104B0C6">
            <w:pPr>
              <w:spacing w:line="400" w:lineRule="exact"/>
              <w:rPr>
                <w:rFonts w:hint="eastAsia" w:ascii="宋体" w:hAnsi="宋体"/>
                <w:color w:val="auto"/>
                <w:szCs w:val="21"/>
              </w:rPr>
            </w:pPr>
            <w:r>
              <w:rPr>
                <w:rFonts w:hint="eastAsia" w:ascii="宋体" w:hAnsi="宋体"/>
                <w:color w:val="auto"/>
                <w:szCs w:val="21"/>
                <w:lang w:val="en-US" w:eastAsia="zh-CN"/>
              </w:rPr>
              <w:t>8.</w:t>
            </w:r>
            <w:r>
              <w:rPr>
                <w:rFonts w:hint="eastAsia" w:ascii="宋体" w:hAnsi="宋体"/>
                <w:color w:val="auto"/>
                <w:szCs w:val="21"/>
              </w:rPr>
              <w:t>保险要求（若有，根据项目实际情况填写相关要求）</w:t>
            </w:r>
          </w:p>
          <w:p w14:paraId="61DE7EF3">
            <w:pPr>
              <w:spacing w:line="400" w:lineRule="exact"/>
              <w:rPr>
                <w:rFonts w:hint="eastAsia" w:ascii="宋体" w:hAnsi="宋体"/>
                <w:color w:val="auto"/>
                <w:szCs w:val="21"/>
              </w:rPr>
            </w:pPr>
            <w:r>
              <w:rPr>
                <w:rFonts w:hint="eastAsia" w:asciiTheme="minorEastAsia" w:hAnsiTheme="minorEastAsia" w:eastAsiaTheme="minorEastAsia" w:cstheme="minorEastAsia"/>
                <w:highlight w:val="yellow"/>
                <w:lang w:val="en-US" w:eastAsia="zh-CN"/>
              </w:rPr>
              <w:t>9.响应供应商承诺所投摄像机能被学校</w:t>
            </w:r>
            <w:r>
              <w:rPr>
                <w:rFonts w:hint="eastAsia" w:asciiTheme="minorEastAsia" w:hAnsiTheme="minorEastAsia" w:eastAsiaTheme="minorEastAsia" w:cstheme="minorEastAsia"/>
                <w:b/>
                <w:bCs/>
                <w:highlight w:val="yellow"/>
                <w:lang w:val="en-US" w:eastAsia="zh-CN"/>
              </w:rPr>
              <w:t>现有安防管理软件</w:t>
            </w:r>
            <w:r>
              <w:rPr>
                <w:rFonts w:hint="eastAsia" w:asciiTheme="minorEastAsia" w:hAnsiTheme="minorEastAsia" w:eastAsiaTheme="minorEastAsia" w:cstheme="minorEastAsia"/>
                <w:highlight w:val="yellow"/>
                <w:lang w:val="en-US" w:eastAsia="zh-CN"/>
              </w:rPr>
              <w:t>纳管，提供摄像机接入学校现有安防管理系统的授权。</w:t>
            </w:r>
          </w:p>
        </w:tc>
      </w:tr>
      <w:tr w14:paraId="61A01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310" w:type="pct"/>
            <w:tcBorders>
              <w:top w:val="single" w:color="auto" w:sz="4" w:space="0"/>
              <w:left w:val="single" w:color="auto" w:sz="4" w:space="0"/>
              <w:bottom w:val="single" w:color="auto" w:sz="4" w:space="0"/>
              <w:right w:val="single" w:color="auto" w:sz="4" w:space="0"/>
            </w:tcBorders>
            <w:noWrap w:val="0"/>
            <w:vAlign w:val="center"/>
          </w:tcPr>
          <w:p w14:paraId="35DC5471">
            <w:pPr>
              <w:spacing w:line="400" w:lineRule="exact"/>
              <w:jc w:val="center"/>
              <w:rPr>
                <w:rFonts w:hint="eastAsia" w:ascii="宋体" w:hAnsi="宋体"/>
                <w:color w:val="auto"/>
                <w:szCs w:val="21"/>
              </w:rPr>
            </w:pPr>
            <w:r>
              <w:rPr>
                <w:rFonts w:hint="eastAsia" w:ascii="宋体" w:hAnsi="宋体"/>
                <w:color w:val="auto"/>
                <w:szCs w:val="21"/>
              </w:rPr>
              <w:t>9</w:t>
            </w:r>
          </w:p>
        </w:tc>
        <w:tc>
          <w:tcPr>
            <w:tcW w:w="907" w:type="pct"/>
            <w:tcBorders>
              <w:top w:val="single" w:color="auto" w:sz="4" w:space="0"/>
              <w:left w:val="single" w:color="auto" w:sz="4" w:space="0"/>
              <w:bottom w:val="single" w:color="auto" w:sz="4" w:space="0"/>
              <w:right w:val="single" w:color="auto" w:sz="4" w:space="0"/>
            </w:tcBorders>
            <w:noWrap w:val="0"/>
            <w:vAlign w:val="center"/>
          </w:tcPr>
          <w:p w14:paraId="06573DC4">
            <w:pPr>
              <w:widowControl/>
              <w:spacing w:line="400" w:lineRule="exact"/>
              <w:jc w:val="center"/>
              <w:rPr>
                <w:rFonts w:hint="eastAsia" w:ascii="宋体" w:hAnsi="宋体"/>
                <w:color w:val="auto"/>
                <w:sz w:val="21"/>
                <w:szCs w:val="21"/>
                <w:highlight w:val="none"/>
              </w:rPr>
            </w:pPr>
            <w:r>
              <w:rPr>
                <w:rFonts w:hint="eastAsia" w:ascii="宋体" w:hAnsi="宋体" w:cs="宋体"/>
                <w:color w:val="auto"/>
                <w:sz w:val="21"/>
                <w:szCs w:val="21"/>
                <w:highlight w:val="none"/>
              </w:rPr>
              <w:t>付款方式</w:t>
            </w:r>
          </w:p>
        </w:tc>
        <w:tc>
          <w:tcPr>
            <w:tcW w:w="3782" w:type="pct"/>
            <w:tcBorders>
              <w:top w:val="single" w:color="auto" w:sz="4" w:space="0"/>
              <w:left w:val="single" w:color="auto" w:sz="4" w:space="0"/>
              <w:bottom w:val="single" w:color="auto" w:sz="4" w:space="0"/>
              <w:right w:val="single" w:color="auto" w:sz="4" w:space="0"/>
            </w:tcBorders>
            <w:noWrap w:val="0"/>
            <w:vAlign w:val="center"/>
          </w:tcPr>
          <w:p w14:paraId="260E1F57">
            <w:pPr>
              <w:spacing w:line="400" w:lineRule="exact"/>
              <w:rPr>
                <w:rFonts w:hint="eastAsia" w:ascii="宋体" w:hAnsi="宋体" w:cs="宋体"/>
                <w:color w:val="auto"/>
                <w:sz w:val="21"/>
                <w:szCs w:val="21"/>
                <w:highlight w:val="none"/>
              </w:rPr>
            </w:pPr>
            <w:r>
              <w:rPr>
                <w:rFonts w:hint="eastAsia" w:ascii="宋体" w:hAnsi="宋体" w:cs="宋体"/>
                <w:b w:val="0"/>
                <w:bCs w:val="0"/>
                <w:color w:val="auto"/>
                <w:kern w:val="0"/>
                <w:sz w:val="21"/>
                <w:szCs w:val="21"/>
                <w:highlight w:val="none"/>
                <w:lang w:bidi="ar"/>
              </w:rPr>
              <w:t>项目验收合格后，一次性付清。</w:t>
            </w:r>
          </w:p>
        </w:tc>
      </w:tr>
      <w:tr w14:paraId="5331B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310" w:type="pct"/>
            <w:tcBorders>
              <w:top w:val="single" w:color="auto" w:sz="4" w:space="0"/>
              <w:left w:val="single" w:color="auto" w:sz="4" w:space="0"/>
              <w:bottom w:val="single" w:color="auto" w:sz="4" w:space="0"/>
              <w:right w:val="single" w:color="auto" w:sz="4" w:space="0"/>
            </w:tcBorders>
            <w:noWrap w:val="0"/>
            <w:vAlign w:val="center"/>
          </w:tcPr>
          <w:p w14:paraId="0B02E89D">
            <w:pPr>
              <w:spacing w:line="400" w:lineRule="exact"/>
              <w:jc w:val="center"/>
              <w:rPr>
                <w:rFonts w:hint="eastAsia" w:ascii="宋体" w:hAnsi="宋体"/>
                <w:color w:val="auto"/>
                <w:szCs w:val="21"/>
              </w:rPr>
            </w:pPr>
            <w:r>
              <w:rPr>
                <w:rFonts w:hint="eastAsia" w:ascii="宋体" w:hAnsi="宋体"/>
                <w:color w:val="auto"/>
                <w:szCs w:val="21"/>
              </w:rPr>
              <w:t>10</w:t>
            </w:r>
          </w:p>
        </w:tc>
        <w:tc>
          <w:tcPr>
            <w:tcW w:w="907" w:type="pct"/>
            <w:tcBorders>
              <w:top w:val="single" w:color="auto" w:sz="4" w:space="0"/>
              <w:left w:val="single" w:color="auto" w:sz="4" w:space="0"/>
              <w:bottom w:val="single" w:color="auto" w:sz="4" w:space="0"/>
              <w:right w:val="single" w:color="auto" w:sz="4" w:space="0"/>
            </w:tcBorders>
            <w:noWrap w:val="0"/>
            <w:vAlign w:val="center"/>
          </w:tcPr>
          <w:p w14:paraId="0EC3FFC6">
            <w:pPr>
              <w:widowControl/>
              <w:numPr>
                <w:ilvl w:val="0"/>
                <w:numId w:val="0"/>
              </w:numPr>
              <w:spacing w:line="400" w:lineRule="exact"/>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其他要求</w:t>
            </w:r>
          </w:p>
        </w:tc>
        <w:tc>
          <w:tcPr>
            <w:tcW w:w="3782" w:type="pct"/>
            <w:tcBorders>
              <w:top w:val="single" w:color="auto" w:sz="4" w:space="0"/>
              <w:left w:val="single" w:color="auto" w:sz="4" w:space="0"/>
              <w:bottom w:val="single" w:color="auto" w:sz="4" w:space="0"/>
              <w:right w:val="single" w:color="auto" w:sz="4" w:space="0"/>
            </w:tcBorders>
            <w:noWrap w:val="0"/>
            <w:vAlign w:val="center"/>
          </w:tcPr>
          <w:p w14:paraId="55417341">
            <w:pPr>
              <w:widowControl/>
              <w:numPr>
                <w:ilvl w:val="0"/>
                <w:numId w:val="0"/>
              </w:numP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kern w:val="2"/>
                <w:sz w:val="21"/>
                <w:szCs w:val="21"/>
                <w:lang w:val="en-US" w:eastAsia="zh-CN" w:bidi="ar-SA"/>
              </w:rPr>
              <w:t>1.</w:t>
            </w:r>
            <w:r>
              <w:rPr>
                <w:rFonts w:hint="eastAsia" w:asciiTheme="minorEastAsia" w:hAnsiTheme="minorEastAsia" w:eastAsiaTheme="minorEastAsia" w:cstheme="minorEastAsia"/>
                <w:color w:val="auto"/>
                <w:sz w:val="21"/>
                <w:szCs w:val="21"/>
              </w:rPr>
              <w:t>本项目为包干制（含各类人工、材料、脚手架、登高设备、安全设备、必备工具、测试等），</w:t>
            </w:r>
            <w:r>
              <w:rPr>
                <w:rFonts w:hint="eastAsia" w:asciiTheme="minorEastAsia" w:hAnsiTheme="minorEastAsia" w:eastAsiaTheme="minorEastAsia" w:cstheme="minorEastAsia"/>
                <w:color w:val="auto"/>
                <w:sz w:val="21"/>
                <w:szCs w:val="21"/>
                <w:lang w:val="en-US" w:eastAsia="zh-CN"/>
              </w:rPr>
              <w:t>响应</w:t>
            </w:r>
            <w:r>
              <w:rPr>
                <w:rFonts w:hint="eastAsia" w:asciiTheme="minorEastAsia" w:hAnsiTheme="minorEastAsia" w:eastAsiaTheme="minorEastAsia" w:cstheme="minorEastAsia"/>
                <w:color w:val="auto"/>
                <w:sz w:val="21"/>
                <w:szCs w:val="21"/>
              </w:rPr>
              <w:t>报价为完成本项目的总报价，不再另外收取任何费用。</w:t>
            </w:r>
          </w:p>
          <w:p w14:paraId="337730D5">
            <w:pPr>
              <w:widowControl/>
              <w:numPr>
                <w:ilvl w:val="0"/>
                <w:numId w:val="0"/>
              </w:num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凡采购文件要求提供第三方检测报告的，供应商所提交的检测报告须由具备有效CMA资质的检测机构出具，且检测项目、检测方法及依据标准必须在该机构最新版《资质认定能力附表》范围内。检测报告依据的标准应符合采购文件约定的标准，包括相关国家标准、行业标准、地方标准、国际通用标准（ISO</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IEC</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ITU</w:t>
            </w:r>
            <w:r>
              <w:rPr>
                <w:rFonts w:hint="eastAsia" w:ascii="宋体" w:hAnsi="宋体" w:eastAsia="宋体" w:cs="宋体"/>
                <w:color w:val="auto"/>
                <w:sz w:val="21"/>
                <w:szCs w:val="21"/>
                <w:highlight w:val="none"/>
              </w:rPr>
              <w:t>）等。</w:t>
            </w:r>
            <w:r>
              <w:rPr>
                <w:rFonts w:hint="eastAsia" w:ascii="宋体" w:hAnsi="宋体" w:eastAsia="宋体" w:cs="宋体"/>
                <w:b/>
                <w:bCs/>
                <w:color w:val="auto"/>
                <w:sz w:val="21"/>
                <w:szCs w:val="21"/>
                <w:highlight w:val="none"/>
                <w:lang w:val="en-US" w:eastAsia="zh-CN"/>
              </w:rPr>
              <w:t>响应</w:t>
            </w:r>
            <w:r>
              <w:rPr>
                <w:rFonts w:hint="eastAsia" w:ascii="宋体" w:hAnsi="宋体" w:eastAsia="宋体" w:cs="宋体"/>
                <w:b/>
                <w:bCs/>
                <w:color w:val="auto"/>
                <w:sz w:val="21"/>
                <w:szCs w:val="21"/>
                <w:highlight w:val="none"/>
              </w:rPr>
              <w:t>时须同步提供：① 检测报告原件扫描件加盖公章；② 检测机构有效CMA资质证书</w:t>
            </w:r>
            <w:r>
              <w:rPr>
                <w:rFonts w:hint="eastAsia" w:ascii="宋体" w:hAnsi="宋体" w:cs="宋体"/>
                <w:b/>
                <w:bCs/>
                <w:color w:val="auto"/>
                <w:sz w:val="21"/>
                <w:szCs w:val="21"/>
                <w:highlight w:val="none"/>
                <w:lang w:val="en-US" w:eastAsia="zh-CN"/>
              </w:rPr>
              <w:t>扫描件加盖公章；</w:t>
            </w:r>
            <w:r>
              <w:rPr>
                <w:rFonts w:hint="eastAsia" w:ascii="微软雅黑" w:hAnsi="微软雅黑" w:eastAsia="微软雅黑" w:cs="微软雅黑"/>
                <w:b/>
                <w:bCs/>
                <w:color w:val="auto"/>
                <w:sz w:val="21"/>
                <w:szCs w:val="21"/>
                <w:highlight w:val="none"/>
                <w:lang w:val="en-US" w:eastAsia="zh-CN"/>
              </w:rPr>
              <w:t>③</w:t>
            </w:r>
            <w:r>
              <w:rPr>
                <w:rFonts w:hint="eastAsia" w:ascii="宋体" w:hAnsi="宋体" w:cs="宋体"/>
                <w:b/>
                <w:bCs/>
                <w:color w:val="auto"/>
                <w:sz w:val="21"/>
                <w:szCs w:val="21"/>
                <w:highlight w:val="none"/>
                <w:lang w:val="en-US" w:eastAsia="zh-CN"/>
              </w:rPr>
              <w:t>检测机构</w:t>
            </w:r>
            <w:r>
              <w:rPr>
                <w:rFonts w:hint="eastAsia" w:ascii="宋体" w:hAnsi="宋体" w:eastAsia="宋体" w:cs="宋体"/>
                <w:b/>
                <w:bCs/>
                <w:color w:val="auto"/>
                <w:sz w:val="21"/>
                <w:szCs w:val="21"/>
                <w:highlight w:val="none"/>
              </w:rPr>
              <w:t>与所涉检测项目</w:t>
            </w:r>
            <w:r>
              <w:rPr>
                <w:rFonts w:hint="eastAsia" w:ascii="宋体" w:hAnsi="宋体" w:cs="宋体"/>
                <w:b/>
                <w:bCs/>
                <w:color w:val="auto"/>
                <w:sz w:val="21"/>
                <w:szCs w:val="21"/>
                <w:highlight w:val="none"/>
                <w:lang w:val="en-US" w:eastAsia="zh-CN"/>
              </w:rPr>
              <w:t>的检测能力证明：检测机构</w:t>
            </w:r>
            <w:r>
              <w:rPr>
                <w:rFonts w:hint="eastAsia" w:ascii="宋体" w:hAnsi="宋体" w:eastAsia="宋体" w:cs="宋体"/>
                <w:b/>
                <w:bCs/>
                <w:color w:val="auto"/>
                <w:sz w:val="21"/>
                <w:szCs w:val="21"/>
                <w:highlight w:val="none"/>
              </w:rPr>
              <w:t>对应《资质认定能力附表》所在页的扫描件</w:t>
            </w:r>
            <w:r>
              <w:rPr>
                <w:rFonts w:hint="eastAsia" w:ascii="宋体" w:hAnsi="宋体" w:eastAsia="宋体" w:cs="宋体"/>
                <w:b/>
                <w:bCs/>
                <w:color w:val="auto"/>
                <w:sz w:val="21"/>
                <w:szCs w:val="21"/>
                <w:highlight w:val="none"/>
                <w:lang w:eastAsia="zh-CN"/>
              </w:rPr>
              <w:t>、</w:t>
            </w:r>
            <w:r>
              <w:rPr>
                <w:rFonts w:hint="eastAsia" w:ascii="宋体" w:hAnsi="宋体" w:cs="宋体"/>
                <w:b/>
                <w:bCs/>
                <w:color w:val="auto"/>
                <w:sz w:val="21"/>
                <w:szCs w:val="21"/>
                <w:highlight w:val="none"/>
                <w:lang w:val="en-US" w:eastAsia="zh-CN"/>
              </w:rPr>
              <w:t>或全国市场监督管理总局网站（全国认证认可信息服务平台）对应截图</w:t>
            </w:r>
            <w:r>
              <w:rPr>
                <w:rFonts w:hint="eastAsia" w:ascii="宋体" w:hAnsi="宋体" w:eastAsia="宋体" w:cs="宋体"/>
                <w:b/>
                <w:bCs/>
                <w:color w:val="auto"/>
                <w:sz w:val="21"/>
                <w:szCs w:val="21"/>
                <w:highlight w:val="none"/>
              </w:rPr>
              <w:t>并加盖投标</w:t>
            </w:r>
            <w:r>
              <w:rPr>
                <w:rFonts w:hint="eastAsia" w:ascii="宋体" w:hAnsi="宋体" w:cs="宋体"/>
                <w:b/>
                <w:bCs/>
                <w:color w:val="auto"/>
                <w:sz w:val="21"/>
                <w:szCs w:val="21"/>
                <w:highlight w:val="none"/>
                <w:lang w:eastAsia="zh-CN"/>
              </w:rPr>
              <w:t>（</w:t>
            </w:r>
            <w:r>
              <w:rPr>
                <w:rFonts w:hint="eastAsia" w:ascii="宋体" w:hAnsi="宋体" w:cs="宋体"/>
                <w:b/>
                <w:bCs/>
                <w:color w:val="auto"/>
                <w:sz w:val="21"/>
                <w:szCs w:val="21"/>
                <w:highlight w:val="none"/>
                <w:lang w:val="en-US" w:eastAsia="zh-CN"/>
              </w:rPr>
              <w:t>响应</w:t>
            </w:r>
            <w:r>
              <w:rPr>
                <w:rFonts w:hint="eastAsia" w:ascii="宋体" w:hAnsi="宋体" w:cs="宋体"/>
                <w:b/>
                <w:bCs/>
                <w:color w:val="auto"/>
                <w:sz w:val="21"/>
                <w:szCs w:val="21"/>
                <w:highlight w:val="none"/>
                <w:lang w:eastAsia="zh-CN"/>
              </w:rPr>
              <w:t>）</w:t>
            </w:r>
            <w:r>
              <w:rPr>
                <w:rFonts w:hint="eastAsia" w:ascii="宋体" w:hAnsi="宋体" w:eastAsia="宋体" w:cs="宋体"/>
                <w:b/>
                <w:bCs/>
                <w:color w:val="auto"/>
                <w:sz w:val="21"/>
                <w:szCs w:val="21"/>
                <w:highlight w:val="none"/>
              </w:rPr>
              <w:t>人公章</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或省级</w:t>
            </w:r>
            <w:r>
              <w:rPr>
                <w:rFonts w:hint="eastAsia" w:ascii="宋体" w:hAnsi="宋体" w:cs="宋体"/>
                <w:b/>
                <w:bCs/>
                <w:color w:val="auto"/>
                <w:sz w:val="21"/>
                <w:szCs w:val="21"/>
                <w:highlight w:val="none"/>
                <w:lang w:val="en-US" w:eastAsia="zh-CN"/>
              </w:rPr>
              <w:t>市场监督管理局网站对应截图</w:t>
            </w:r>
            <w:r>
              <w:rPr>
                <w:rFonts w:hint="eastAsia" w:ascii="宋体" w:hAnsi="宋体" w:eastAsia="宋体" w:cs="宋体"/>
                <w:b/>
                <w:bCs/>
                <w:color w:val="auto"/>
                <w:sz w:val="21"/>
                <w:szCs w:val="21"/>
                <w:highlight w:val="none"/>
              </w:rPr>
              <w:t>并加盖</w:t>
            </w:r>
            <w:r>
              <w:rPr>
                <w:rFonts w:hint="eastAsia" w:ascii="宋体" w:hAnsi="宋体" w:eastAsia="宋体" w:cs="宋体"/>
                <w:b/>
                <w:bCs/>
                <w:color w:val="auto"/>
                <w:sz w:val="21"/>
                <w:szCs w:val="21"/>
                <w:highlight w:val="none"/>
                <w:lang w:val="en-US" w:eastAsia="zh-CN"/>
              </w:rPr>
              <w:t>响应供应商</w:t>
            </w:r>
            <w:r>
              <w:rPr>
                <w:rFonts w:hint="eastAsia" w:ascii="宋体" w:hAnsi="宋体" w:eastAsia="宋体" w:cs="宋体"/>
                <w:b/>
                <w:bCs/>
                <w:color w:val="auto"/>
                <w:sz w:val="21"/>
                <w:szCs w:val="21"/>
                <w:highlight w:val="none"/>
              </w:rPr>
              <w:t>公章。</w:t>
            </w:r>
            <w:r>
              <w:rPr>
                <w:rFonts w:hint="eastAsia" w:ascii="微软雅黑" w:hAnsi="微软雅黑" w:eastAsia="微软雅黑" w:cs="微软雅黑"/>
                <w:b/>
                <w:bCs/>
                <w:color w:val="auto"/>
                <w:sz w:val="21"/>
                <w:szCs w:val="21"/>
                <w:highlight w:val="none"/>
                <w:lang w:val="en-US" w:eastAsia="zh-CN"/>
              </w:rPr>
              <w:t>④检</w:t>
            </w:r>
            <w:r>
              <w:rPr>
                <w:rFonts w:hint="eastAsia" w:ascii="宋体" w:hAnsi="宋体" w:eastAsia="宋体" w:cs="宋体"/>
                <w:b/>
                <w:bCs/>
                <w:color w:val="auto"/>
                <w:sz w:val="21"/>
                <w:szCs w:val="21"/>
                <w:highlight w:val="none"/>
              </w:rPr>
              <w:t>测报告含CMA认定标志页面。</w:t>
            </w:r>
          </w:p>
          <w:p w14:paraId="67DE9DDD">
            <w:pPr>
              <w:widowControl/>
              <w:numPr>
                <w:ilvl w:val="0"/>
                <w:numId w:val="0"/>
              </w:num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未按要求提供上述</w:t>
            </w:r>
            <w:r>
              <w:rPr>
                <w:rFonts w:hint="eastAsia" w:ascii="宋体" w:hAnsi="宋体" w:cs="宋体"/>
                <w:color w:val="auto"/>
                <w:sz w:val="21"/>
                <w:szCs w:val="21"/>
                <w:highlight w:val="none"/>
                <w:lang w:val="en-US" w:eastAsia="zh-CN"/>
              </w:rPr>
              <w:t>材料</w:t>
            </w:r>
            <w:r>
              <w:rPr>
                <w:rFonts w:hint="eastAsia" w:ascii="宋体" w:hAnsi="宋体" w:eastAsia="宋体" w:cs="宋体"/>
                <w:color w:val="auto"/>
                <w:sz w:val="21"/>
                <w:szCs w:val="21"/>
                <w:highlight w:val="none"/>
              </w:rPr>
              <w:t>的，</w:t>
            </w:r>
            <w:r>
              <w:rPr>
                <w:rFonts w:hint="eastAsia" w:ascii="宋体" w:hAnsi="宋体" w:cs="宋体"/>
                <w:color w:val="auto"/>
                <w:sz w:val="21"/>
                <w:szCs w:val="21"/>
                <w:highlight w:val="none"/>
                <w:lang w:val="en-US" w:eastAsia="zh-CN"/>
              </w:rPr>
              <w:t>相关</w:t>
            </w:r>
            <w:r>
              <w:rPr>
                <w:rFonts w:hint="eastAsia" w:ascii="宋体" w:hAnsi="宋体" w:eastAsia="宋体" w:cs="宋体"/>
                <w:color w:val="auto"/>
                <w:sz w:val="21"/>
                <w:szCs w:val="21"/>
                <w:highlight w:val="none"/>
              </w:rPr>
              <w:t>检测报告视为无效佐证材料。</w:t>
            </w:r>
          </w:p>
          <w:p w14:paraId="2A19E33B">
            <w:pPr>
              <w:widowControl/>
              <w:numPr>
                <w:ilvl w:val="0"/>
                <w:numId w:val="0"/>
              </w:numPr>
              <w:spacing w:line="400" w:lineRule="exact"/>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rPr>
              <w:t>供应商</w:t>
            </w:r>
            <w:r>
              <w:rPr>
                <w:rFonts w:hint="eastAsia" w:ascii="宋体" w:hAnsi="宋体" w:cs="宋体"/>
                <w:b/>
                <w:bCs/>
                <w:color w:val="FF0000"/>
                <w:sz w:val="21"/>
                <w:szCs w:val="21"/>
                <w:highlight w:val="none"/>
                <w:lang w:val="en-US" w:eastAsia="zh-CN"/>
              </w:rPr>
              <w:t>响应时应提供</w:t>
            </w:r>
            <w:r>
              <w:rPr>
                <w:rFonts w:hint="eastAsia" w:ascii="宋体" w:hAnsi="宋体" w:eastAsia="宋体" w:cs="宋体"/>
                <w:b/>
                <w:bCs/>
                <w:color w:val="FF0000"/>
                <w:sz w:val="21"/>
                <w:szCs w:val="21"/>
                <w:highlight w:val="none"/>
              </w:rPr>
              <w:t>关于检测报告合规性的承诺函（实质性格式）</w:t>
            </w:r>
          </w:p>
          <w:p w14:paraId="345D7329">
            <w:pPr>
              <w:widowControl/>
              <w:numPr>
                <w:ilvl w:val="0"/>
                <w:numId w:val="0"/>
              </w:numPr>
              <w:spacing w:line="40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3.成交</w:t>
            </w:r>
            <w:r>
              <w:rPr>
                <w:rFonts w:hint="eastAsia" w:ascii="宋体" w:hAnsi="宋体" w:eastAsia="宋体" w:cs="宋体"/>
                <w:b/>
                <w:bCs/>
                <w:color w:val="auto"/>
                <w:sz w:val="21"/>
                <w:szCs w:val="21"/>
                <w:highlight w:val="none"/>
              </w:rPr>
              <w:t>公告发布后五个工作日内</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成交</w:t>
            </w:r>
            <w:r>
              <w:rPr>
                <w:rFonts w:hint="eastAsia" w:ascii="宋体" w:hAnsi="宋体" w:eastAsia="宋体" w:cs="宋体"/>
                <w:color w:val="auto"/>
                <w:sz w:val="21"/>
                <w:szCs w:val="21"/>
                <w:highlight w:val="none"/>
              </w:rPr>
              <w:t>候选供应商应将下列材料送</w:t>
            </w:r>
            <w:r>
              <w:rPr>
                <w:rFonts w:hint="eastAsia" w:ascii="宋体" w:hAnsi="宋体" w:cs="宋体"/>
                <w:color w:val="auto"/>
                <w:sz w:val="21"/>
                <w:szCs w:val="21"/>
                <w:highlight w:val="none"/>
                <w:lang w:val="en-US" w:eastAsia="zh-CN"/>
              </w:rPr>
              <w:t>达</w:t>
            </w:r>
            <w:r>
              <w:rPr>
                <w:rFonts w:hint="eastAsia" w:ascii="宋体" w:hAnsi="宋体" w:eastAsia="宋体" w:cs="宋体"/>
                <w:color w:val="auto"/>
                <w:sz w:val="21"/>
                <w:szCs w:val="21"/>
                <w:highlight w:val="none"/>
              </w:rPr>
              <w:t>采购人：采购文件中要求投标</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响应</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时提供的</w:t>
            </w:r>
            <w:r>
              <w:rPr>
                <w:rFonts w:hint="eastAsia" w:ascii="宋体" w:hAnsi="宋体" w:cs="宋体"/>
                <w:b/>
                <w:bCs/>
                <w:color w:val="auto"/>
                <w:sz w:val="21"/>
                <w:szCs w:val="21"/>
                <w:highlight w:val="none"/>
                <w:lang w:val="en-US" w:eastAsia="zh-CN"/>
              </w:rPr>
              <w:t>全文</w:t>
            </w:r>
            <w:r>
              <w:rPr>
                <w:rFonts w:hint="eastAsia" w:ascii="宋体" w:hAnsi="宋体" w:eastAsia="宋体" w:cs="宋体"/>
                <w:b/>
                <w:bCs/>
                <w:color w:val="auto"/>
                <w:sz w:val="21"/>
                <w:szCs w:val="21"/>
                <w:highlight w:val="none"/>
              </w:rPr>
              <w:t>检测报告</w:t>
            </w:r>
            <w:r>
              <w:rPr>
                <w:rFonts w:hint="eastAsia" w:ascii="宋体" w:hAnsi="宋体" w:eastAsia="宋体" w:cs="宋体"/>
                <w:color w:val="auto"/>
                <w:sz w:val="21"/>
                <w:szCs w:val="21"/>
                <w:highlight w:val="none"/>
              </w:rPr>
              <w:t>及相关证明材料复印件并</w:t>
            </w:r>
            <w:r>
              <w:rPr>
                <w:rFonts w:hint="eastAsia" w:ascii="宋体" w:hAnsi="宋体" w:eastAsia="宋体" w:cs="宋体"/>
                <w:b/>
                <w:bCs/>
                <w:color w:val="auto"/>
                <w:sz w:val="21"/>
                <w:szCs w:val="21"/>
                <w:highlight w:val="none"/>
              </w:rPr>
              <w:t>加盖所投品牌原厂鲜章（同时应提供原厂联系人姓名和联系电话）</w:t>
            </w:r>
            <w:r>
              <w:rPr>
                <w:rFonts w:hint="eastAsia" w:ascii="宋体" w:hAnsi="宋体" w:eastAsia="宋体" w:cs="宋体"/>
                <w:color w:val="auto"/>
                <w:sz w:val="21"/>
                <w:szCs w:val="21"/>
                <w:highlight w:val="none"/>
              </w:rPr>
              <w:t>。若提交的材料不符合要求的，应在三个工作日内进行补正。采购人按以下流程进行核查：</w:t>
            </w:r>
            <w:r>
              <w:rPr>
                <w:rFonts w:hint="eastAsia" w:ascii="宋体" w:hAnsi="宋体" w:eastAsia="宋体" w:cs="宋体"/>
                <w:color w:val="auto"/>
                <w:sz w:val="21"/>
                <w:szCs w:val="21"/>
                <w:highlight w:val="none"/>
              </w:rPr>
              <w:tab/>
            </w:r>
          </w:p>
          <w:p w14:paraId="63E4BBE5">
            <w:pPr>
              <w:widowControl/>
              <w:numPr>
                <w:ilvl w:val="1"/>
                <w:numId w:val="0"/>
              </w:numPr>
              <w:spacing w:line="400" w:lineRule="exact"/>
              <w:rPr>
                <w:rFonts w:hint="eastAsia" w:ascii="宋体" w:hAnsi="宋体" w:eastAsia="宋体" w:cs="宋体"/>
                <w:color w:val="auto"/>
                <w:sz w:val="21"/>
                <w:szCs w:val="21"/>
                <w:highlight w:val="none"/>
              </w:rPr>
            </w:pPr>
            <w:r>
              <w:rPr>
                <w:rFonts w:hint="default" w:ascii="宋体" w:hAnsi="宋体" w:eastAsia="宋体" w:cs="宋体"/>
                <w:color w:val="auto"/>
                <w:kern w:val="2"/>
                <w:sz w:val="21"/>
                <w:szCs w:val="21"/>
                <w:lang w:val="en-US" w:eastAsia="zh-CN" w:bidi="ar-SA"/>
              </w:rPr>
              <w:t>(1)</w:t>
            </w:r>
            <w:r>
              <w:rPr>
                <w:rFonts w:hint="eastAsia" w:ascii="宋体" w:hAnsi="宋体" w:eastAsia="宋体" w:cs="宋体"/>
                <w:color w:val="auto"/>
                <w:sz w:val="21"/>
                <w:szCs w:val="21"/>
                <w:highlight w:val="none"/>
              </w:rPr>
              <w:t>查询。登录全国认证认可信息公共服务平台或省级监管服务平台（如苏检通），查询的内容包括但不限于以下内容：检测机构的CMA资质证书及与检测项目相对应的检测能力范围、检测报告编号等。</w:t>
            </w:r>
          </w:p>
          <w:p w14:paraId="1DF2042B">
            <w:pPr>
              <w:widowControl/>
              <w:numPr>
                <w:ilvl w:val="1"/>
                <w:numId w:val="0"/>
              </w:numPr>
              <w:spacing w:line="400" w:lineRule="exact"/>
              <w:rPr>
                <w:rFonts w:hint="eastAsia" w:ascii="宋体" w:hAnsi="宋体" w:eastAsia="宋体" w:cs="宋体"/>
                <w:color w:val="auto"/>
                <w:sz w:val="21"/>
                <w:szCs w:val="21"/>
                <w:highlight w:val="none"/>
              </w:rPr>
            </w:pPr>
            <w:r>
              <w:rPr>
                <w:rFonts w:hint="default" w:ascii="宋体" w:hAnsi="宋体" w:eastAsia="宋体" w:cs="宋体"/>
                <w:color w:val="auto"/>
                <w:kern w:val="2"/>
                <w:sz w:val="21"/>
                <w:szCs w:val="21"/>
                <w:lang w:val="en-US" w:eastAsia="zh-CN" w:bidi="ar-SA"/>
              </w:rPr>
              <w:t>(2)</w:t>
            </w:r>
            <w:r>
              <w:rPr>
                <w:rFonts w:hint="eastAsia" w:ascii="宋体" w:hAnsi="宋体" w:eastAsia="宋体" w:cs="宋体"/>
                <w:color w:val="auto"/>
                <w:sz w:val="21"/>
                <w:szCs w:val="21"/>
                <w:highlight w:val="none"/>
              </w:rPr>
              <w:t>验证。扫描检测报告首页或封面带有 CMA 标志二维码、电话咨询发证机关，或提请本地市场监管部门协助验证。</w:t>
            </w:r>
          </w:p>
          <w:p w14:paraId="558A3412">
            <w:pPr>
              <w:widowControl/>
              <w:numPr>
                <w:ilvl w:val="1"/>
                <w:numId w:val="0"/>
              </w:numPr>
              <w:spacing w:line="400" w:lineRule="exact"/>
              <w:rPr>
                <w:rFonts w:hint="eastAsia" w:ascii="宋体" w:hAnsi="宋体" w:eastAsia="宋体" w:cs="宋体"/>
                <w:color w:val="auto"/>
                <w:sz w:val="21"/>
                <w:szCs w:val="21"/>
                <w:highlight w:val="none"/>
              </w:rPr>
            </w:pPr>
            <w:r>
              <w:rPr>
                <w:rFonts w:hint="default" w:ascii="宋体" w:hAnsi="宋体" w:eastAsia="宋体" w:cs="宋体"/>
                <w:color w:val="auto"/>
                <w:kern w:val="2"/>
                <w:sz w:val="21"/>
                <w:szCs w:val="21"/>
                <w:lang w:val="en-US" w:eastAsia="zh-CN" w:bidi="ar-SA"/>
              </w:rPr>
              <w:t>(3)</w:t>
            </w:r>
            <w:r>
              <w:rPr>
                <w:rFonts w:hint="eastAsia" w:ascii="宋体" w:hAnsi="宋体" w:eastAsia="宋体" w:cs="宋体"/>
                <w:color w:val="auto"/>
                <w:sz w:val="21"/>
                <w:szCs w:val="21"/>
                <w:highlight w:val="none"/>
              </w:rPr>
              <w:t>协查。当采购人发现检测报告超出检测机构检测能力范围，或怀疑假检测报告真实性，及时向本地市场监管部门提供线索并请求协查，并</w:t>
            </w:r>
            <w:r>
              <w:rPr>
                <w:rFonts w:hint="eastAsia" w:ascii="宋体" w:hAnsi="宋体" w:cs="宋体"/>
                <w:color w:val="auto"/>
                <w:sz w:val="21"/>
                <w:szCs w:val="21"/>
                <w:highlight w:val="none"/>
                <w:lang w:val="en-US" w:eastAsia="zh-CN"/>
              </w:rPr>
              <w:t>获</w:t>
            </w:r>
            <w:r>
              <w:rPr>
                <w:rFonts w:hint="eastAsia" w:ascii="宋体" w:hAnsi="宋体" w:eastAsia="宋体" w:cs="宋体"/>
                <w:color w:val="auto"/>
                <w:sz w:val="21"/>
                <w:szCs w:val="21"/>
                <w:highlight w:val="none"/>
              </w:rPr>
              <w:t>得协查结果。</w:t>
            </w:r>
          </w:p>
          <w:p w14:paraId="2DCFFAEC">
            <w:pPr>
              <w:widowControl/>
              <w:numPr>
                <w:ilvl w:val="0"/>
                <w:numId w:val="0"/>
              </w:num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如发现以下情况 ，采购人应及时报相关部门处置。（1）证书已过期、被撤销，或无法提供任何佐证</w:t>
            </w:r>
            <w:r>
              <w:rPr>
                <w:rFonts w:hint="eastAsia" w:ascii="宋体" w:hAnsi="宋体" w:cs="宋体"/>
                <w:color w:val="auto"/>
                <w:sz w:val="21"/>
                <w:szCs w:val="21"/>
                <w:highlight w:val="none"/>
                <w:lang w:val="en-US" w:eastAsia="zh-CN"/>
              </w:rPr>
              <w:t>的</w:t>
            </w:r>
            <w:r>
              <w:rPr>
                <w:rFonts w:hint="eastAsia" w:ascii="宋体" w:hAnsi="宋体" w:eastAsia="宋体" w:cs="宋体"/>
                <w:color w:val="auto"/>
                <w:sz w:val="21"/>
                <w:szCs w:val="21"/>
                <w:highlight w:val="none"/>
              </w:rPr>
              <w:t>。（2）逾期未补正或补正仍不符合要求的；（3）材料内容不实、伪造、或所投产品与投标</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响应</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不符（如品牌、型号、技术参数等虚假）。</w:t>
            </w:r>
          </w:p>
          <w:p w14:paraId="38068851">
            <w:pPr>
              <w:widowControl/>
              <w:numPr>
                <w:ilvl w:val="0"/>
                <w:numId w:val="0"/>
              </w:num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补正内容不能超出</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rPr>
              <w:t>文件所提供材料的范围。检验检测机构已注销，但检测机构有效期内出具的有效检测报告应认定为有效。</w:t>
            </w:r>
          </w:p>
          <w:p w14:paraId="14C0A506">
            <w:pPr>
              <w:widowControl/>
              <w:numPr>
                <w:ilvl w:val="0"/>
                <w:numId w:val="0"/>
              </w:numPr>
              <w:spacing w:line="400" w:lineRule="exact"/>
              <w:rPr>
                <w:rFonts w:hint="eastAsia" w:ascii="宋体" w:hAnsi="宋体" w:eastAsia="宋体" w:cs="宋体"/>
                <w:b w:val="0"/>
                <w:bCs w:val="0"/>
                <w:color w:val="auto"/>
                <w:lang w:val="en-US" w:eastAsia="zh-CN"/>
              </w:rPr>
            </w:pPr>
            <w:r>
              <w:rPr>
                <w:rFonts w:hint="eastAsia" w:asciiTheme="minorEastAsia" w:hAnsiTheme="minorEastAsia" w:eastAsiaTheme="minorEastAsia" w:cstheme="minorEastAsia"/>
                <w:color w:val="auto"/>
                <w:sz w:val="21"/>
                <w:szCs w:val="21"/>
                <w:highlight w:val="none"/>
                <w:lang w:val="en-US" w:eastAsia="zh-CN"/>
              </w:rPr>
              <w:t>4.成交</w:t>
            </w:r>
            <w:r>
              <w:rPr>
                <w:rFonts w:hint="eastAsia" w:asciiTheme="minorEastAsia" w:hAnsiTheme="minorEastAsia" w:eastAsiaTheme="minorEastAsia" w:cstheme="minorEastAsia"/>
                <w:color w:val="auto"/>
                <w:sz w:val="21"/>
                <w:szCs w:val="21"/>
                <w:highlight w:val="none"/>
                <w:lang w:eastAsia="zh-CN"/>
              </w:rPr>
              <w:t>供应商</w:t>
            </w:r>
            <w:r>
              <w:rPr>
                <w:rFonts w:hint="eastAsia" w:asciiTheme="minorEastAsia" w:hAnsiTheme="minorEastAsia" w:eastAsiaTheme="minorEastAsia" w:cstheme="minorEastAsia"/>
                <w:color w:val="auto"/>
                <w:sz w:val="21"/>
                <w:szCs w:val="21"/>
                <w:highlight w:val="none"/>
              </w:rPr>
              <w:t>应将电子响应文件打印成纸质稿（编制页码打印并胶装），一式两份，分别递交至代理机构和采购人处（邮寄或当面送达)。未及时提供纸质响应文件将可能影响合同签订，由此造成的后果及损失供应商自行负责。</w:t>
            </w:r>
          </w:p>
        </w:tc>
      </w:tr>
    </w:tbl>
    <w:p w14:paraId="6F3B915B">
      <w:pPr>
        <w:pStyle w:val="97"/>
        <w:spacing w:line="360" w:lineRule="auto"/>
        <w:ind w:firstLine="0" w:firstLineChars="0"/>
        <w:contextualSpacing/>
        <w:rPr>
          <w:rFonts w:ascii="Times New Roman" w:hAnsi="Times New Roman"/>
          <w:b/>
          <w:color w:val="auto"/>
          <w:sz w:val="24"/>
          <w:szCs w:val="24"/>
        </w:rPr>
      </w:pPr>
    </w:p>
    <w:p w14:paraId="078E3FBF">
      <w:pPr>
        <w:pStyle w:val="3"/>
        <w:numPr>
          <w:ilvl w:val="0"/>
          <w:numId w:val="66"/>
        </w:numPr>
        <w:topLinePunct w:val="0"/>
        <w:ind w:left="0" w:leftChars="0" w:firstLine="0" w:firstLineChars="0"/>
        <w:rPr>
          <w:b w:val="0"/>
          <w:color w:val="auto"/>
        </w:rPr>
      </w:pPr>
      <w:r>
        <w:rPr>
          <w:color w:val="auto"/>
        </w:rPr>
        <w:t>采购清单及技术参数</w:t>
      </w:r>
    </w:p>
    <w:p w14:paraId="38F2C3E2">
      <w:pPr>
        <w:pStyle w:val="4"/>
        <w:numPr>
          <w:ilvl w:val="0"/>
          <w:numId w:val="69"/>
        </w:numPr>
        <w:ind w:left="0" w:leftChars="0" w:firstLine="0" w:firstLineChars="0"/>
        <w:rPr>
          <w:b w:val="0"/>
          <w:color w:val="auto"/>
        </w:rPr>
      </w:pPr>
      <w:r>
        <w:rPr>
          <w:color w:val="auto"/>
        </w:rPr>
        <w:t>基本要求</w:t>
      </w:r>
    </w:p>
    <w:p w14:paraId="3D1A4242">
      <w:pPr>
        <w:pStyle w:val="6"/>
        <w:numPr>
          <w:ilvl w:val="0"/>
          <w:numId w:val="70"/>
        </w:numPr>
        <w:ind w:left="0" w:leftChars="0" w:firstLine="0" w:firstLineChars="0"/>
        <w:rPr>
          <w:rFonts w:hint="eastAsia" w:ascii="Times New Roman" w:hAnsi="Times New Roman" w:cs="Times New Roman"/>
          <w:color w:val="auto"/>
          <w:lang w:val="en-US" w:eastAsia="zh-CN"/>
        </w:rPr>
      </w:pPr>
      <w:r>
        <w:rPr>
          <w:rFonts w:hint="eastAsia" w:ascii="Times New Roman" w:hAnsi="Times New Roman" w:cs="Times New Roman"/>
          <w:color w:val="auto"/>
          <w:lang w:val="en-US" w:eastAsia="zh-CN"/>
        </w:rPr>
        <w:t>常州市第二十四中学基本要求</w:t>
      </w:r>
    </w:p>
    <w:tbl>
      <w:tblPr>
        <w:tblStyle w:val="43"/>
        <w:tblW w:w="853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76"/>
        <w:gridCol w:w="4449"/>
        <w:gridCol w:w="1662"/>
        <w:gridCol w:w="1350"/>
      </w:tblGrid>
      <w:tr w14:paraId="3D021E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60" w:hRule="atLeast"/>
          <w:jc w:val="center"/>
        </w:trPr>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20798">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b/>
                <w:bCs/>
                <w:i w:val="0"/>
                <w:iCs w:val="0"/>
                <w:color w:val="auto"/>
                <w:kern w:val="0"/>
                <w:sz w:val="21"/>
                <w:szCs w:val="21"/>
                <w:u w:val="none"/>
                <w:lang w:val="en-US" w:eastAsia="zh-CN" w:bidi="ar"/>
              </w:rPr>
              <w:t>序号</w:t>
            </w:r>
          </w:p>
        </w:tc>
        <w:tc>
          <w:tcPr>
            <w:tcW w:w="4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BE829">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b/>
                <w:bCs/>
                <w:i w:val="0"/>
                <w:iCs w:val="0"/>
                <w:color w:val="auto"/>
                <w:kern w:val="0"/>
                <w:sz w:val="21"/>
                <w:szCs w:val="21"/>
                <w:u w:val="none"/>
                <w:lang w:val="en-US" w:eastAsia="zh-CN" w:bidi="ar"/>
              </w:rPr>
              <w:t>设备名称</w:t>
            </w:r>
          </w:p>
        </w:tc>
        <w:tc>
          <w:tcPr>
            <w:tcW w:w="1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54737">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b/>
                <w:bCs/>
                <w:i w:val="0"/>
                <w:iCs w:val="0"/>
                <w:color w:val="auto"/>
                <w:kern w:val="0"/>
                <w:sz w:val="21"/>
                <w:szCs w:val="21"/>
                <w:u w:val="none"/>
                <w:lang w:val="en-US" w:eastAsia="zh-CN" w:bidi="ar"/>
              </w:rPr>
              <w:t>单位</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15F9A">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b/>
                <w:bCs/>
                <w:i w:val="0"/>
                <w:iCs w:val="0"/>
                <w:color w:val="auto"/>
                <w:kern w:val="0"/>
                <w:sz w:val="21"/>
                <w:szCs w:val="21"/>
                <w:u w:val="none"/>
                <w:lang w:val="en-US" w:eastAsia="zh-CN" w:bidi="ar"/>
              </w:rPr>
              <w:t>数量</w:t>
            </w:r>
          </w:p>
        </w:tc>
      </w:tr>
      <w:tr w14:paraId="2865AC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10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566EE">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1</w:t>
            </w:r>
          </w:p>
        </w:tc>
        <w:tc>
          <w:tcPr>
            <w:tcW w:w="4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5764B">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半球型摄像机</w:t>
            </w:r>
          </w:p>
        </w:tc>
        <w:tc>
          <w:tcPr>
            <w:tcW w:w="1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8149E">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台</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A3A01">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17</w:t>
            </w:r>
          </w:p>
        </w:tc>
      </w:tr>
      <w:tr w14:paraId="661972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10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F33AA">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2</w:t>
            </w:r>
          </w:p>
        </w:tc>
        <w:tc>
          <w:tcPr>
            <w:tcW w:w="4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9A4AE">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枪机</w:t>
            </w:r>
          </w:p>
        </w:tc>
        <w:tc>
          <w:tcPr>
            <w:tcW w:w="1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5954A">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台</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025A5">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65</w:t>
            </w:r>
          </w:p>
        </w:tc>
      </w:tr>
      <w:tr w14:paraId="0ACADC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10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718D2">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3</w:t>
            </w:r>
          </w:p>
        </w:tc>
        <w:tc>
          <w:tcPr>
            <w:tcW w:w="4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5E9DC">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筒机支架</w:t>
            </w:r>
          </w:p>
        </w:tc>
        <w:tc>
          <w:tcPr>
            <w:tcW w:w="1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86142">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个</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8FA45">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65</w:t>
            </w:r>
          </w:p>
        </w:tc>
      </w:tr>
      <w:tr w14:paraId="146197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10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5D815">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4</w:t>
            </w:r>
          </w:p>
        </w:tc>
        <w:tc>
          <w:tcPr>
            <w:tcW w:w="4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A6B59">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电梯半球</w:t>
            </w:r>
          </w:p>
        </w:tc>
        <w:tc>
          <w:tcPr>
            <w:tcW w:w="1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56E40">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台</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DACA0">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1</w:t>
            </w:r>
          </w:p>
        </w:tc>
      </w:tr>
      <w:tr w14:paraId="3B9459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10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47866">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5</w:t>
            </w:r>
          </w:p>
        </w:tc>
        <w:tc>
          <w:tcPr>
            <w:tcW w:w="4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70B18">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智能球型摄像机</w:t>
            </w:r>
          </w:p>
        </w:tc>
        <w:tc>
          <w:tcPr>
            <w:tcW w:w="1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0D915">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台</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BA5C0">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4</w:t>
            </w:r>
          </w:p>
        </w:tc>
      </w:tr>
      <w:tr w14:paraId="2E625C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10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ADE37">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6</w:t>
            </w:r>
          </w:p>
        </w:tc>
        <w:tc>
          <w:tcPr>
            <w:tcW w:w="4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53B6F">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电梯网桥</w:t>
            </w:r>
          </w:p>
        </w:tc>
        <w:tc>
          <w:tcPr>
            <w:tcW w:w="1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A7233">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台</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B78DC">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1</w:t>
            </w:r>
          </w:p>
        </w:tc>
      </w:tr>
      <w:tr w14:paraId="7CA028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jc w:val="center"/>
        </w:trPr>
        <w:tc>
          <w:tcPr>
            <w:tcW w:w="10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96AB4">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7</w:t>
            </w:r>
          </w:p>
        </w:tc>
        <w:tc>
          <w:tcPr>
            <w:tcW w:w="4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59230">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8电口POE千兆交换机</w:t>
            </w:r>
          </w:p>
        </w:tc>
        <w:tc>
          <w:tcPr>
            <w:tcW w:w="1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6735E">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台</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7CC5A">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5</w:t>
            </w:r>
          </w:p>
        </w:tc>
      </w:tr>
      <w:tr w14:paraId="396E5F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10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63CD1">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8</w:t>
            </w:r>
          </w:p>
        </w:tc>
        <w:tc>
          <w:tcPr>
            <w:tcW w:w="4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BE842">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24口POE交换机</w:t>
            </w:r>
          </w:p>
        </w:tc>
        <w:tc>
          <w:tcPr>
            <w:tcW w:w="1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5FA5E">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台</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26247">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4</w:t>
            </w:r>
          </w:p>
        </w:tc>
      </w:tr>
      <w:tr w14:paraId="6060D1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10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E5864">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9</w:t>
            </w:r>
          </w:p>
        </w:tc>
        <w:tc>
          <w:tcPr>
            <w:tcW w:w="4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B0F06">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千兆光模块</w:t>
            </w:r>
          </w:p>
        </w:tc>
        <w:tc>
          <w:tcPr>
            <w:tcW w:w="1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1C7D1">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个</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05E36">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18</w:t>
            </w:r>
          </w:p>
        </w:tc>
      </w:tr>
      <w:tr w14:paraId="3E7C23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jc w:val="center"/>
        </w:trPr>
        <w:tc>
          <w:tcPr>
            <w:tcW w:w="10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529AF">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10</w:t>
            </w:r>
          </w:p>
        </w:tc>
        <w:tc>
          <w:tcPr>
            <w:tcW w:w="4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03144">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3米单模双芯光纤跳线</w:t>
            </w:r>
          </w:p>
        </w:tc>
        <w:tc>
          <w:tcPr>
            <w:tcW w:w="1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E8B0F">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对</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37780">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18</w:t>
            </w:r>
          </w:p>
        </w:tc>
      </w:tr>
      <w:tr w14:paraId="2E4423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10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F10A7">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11</w:t>
            </w:r>
          </w:p>
        </w:tc>
        <w:tc>
          <w:tcPr>
            <w:tcW w:w="4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C7750">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六类4对非屏蔽双绞线</w:t>
            </w:r>
          </w:p>
        </w:tc>
        <w:tc>
          <w:tcPr>
            <w:tcW w:w="1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1F88F">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米</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EAAE0">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6000</w:t>
            </w:r>
          </w:p>
        </w:tc>
      </w:tr>
      <w:tr w14:paraId="0AC23C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10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4888A">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12</w:t>
            </w:r>
          </w:p>
        </w:tc>
        <w:tc>
          <w:tcPr>
            <w:tcW w:w="4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0FAA3">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PVC25管</w:t>
            </w:r>
          </w:p>
        </w:tc>
        <w:tc>
          <w:tcPr>
            <w:tcW w:w="1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20958">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米</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FC5F3">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400</w:t>
            </w:r>
          </w:p>
        </w:tc>
      </w:tr>
      <w:tr w14:paraId="3794AC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10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417FC">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13</w:t>
            </w:r>
          </w:p>
        </w:tc>
        <w:tc>
          <w:tcPr>
            <w:tcW w:w="4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FBEA7">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48盘位存储</w:t>
            </w:r>
          </w:p>
        </w:tc>
        <w:tc>
          <w:tcPr>
            <w:tcW w:w="1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E457F">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台</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B72C3">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1</w:t>
            </w:r>
          </w:p>
        </w:tc>
      </w:tr>
      <w:tr w14:paraId="6CFF6A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10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7C1B0">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14</w:t>
            </w:r>
          </w:p>
        </w:tc>
        <w:tc>
          <w:tcPr>
            <w:tcW w:w="4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0D4E0">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8T企业硬盘</w:t>
            </w:r>
          </w:p>
        </w:tc>
        <w:tc>
          <w:tcPr>
            <w:tcW w:w="1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FD985">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块</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EEBDB">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20</w:t>
            </w:r>
          </w:p>
        </w:tc>
      </w:tr>
    </w:tbl>
    <w:p w14:paraId="7A65ED09">
      <w:pPr>
        <w:pStyle w:val="97"/>
        <w:pageBreakBefore w:val="0"/>
        <w:widowControl w:val="0"/>
        <w:numPr>
          <w:ilvl w:val="0"/>
          <w:numId w:val="0"/>
        </w:numPr>
        <w:wordWrap/>
        <w:topLinePunct w:val="0"/>
        <w:bidi w:val="0"/>
        <w:spacing w:beforeAutospacing="0" w:afterAutospacing="0" w:line="400" w:lineRule="exact"/>
        <w:ind w:left="0" w:leftChars="0" w:right="0" w:rightChars="0"/>
        <w:contextualSpacing/>
        <w:jc w:val="both"/>
        <w:rPr>
          <w:rFonts w:hint="eastAsia" w:asciiTheme="minorEastAsia" w:hAnsiTheme="minorEastAsia" w:eastAsiaTheme="minorEastAsia" w:cstheme="minorEastAsia"/>
          <w:b w:val="0"/>
          <w:bCs/>
          <w:color w:val="auto"/>
          <w:sz w:val="21"/>
          <w:szCs w:val="21"/>
          <w:lang w:val="en-US" w:eastAsia="zh-CN"/>
        </w:rPr>
      </w:pPr>
    </w:p>
    <w:p w14:paraId="5E6C67C8">
      <w:pPr>
        <w:pStyle w:val="6"/>
        <w:numPr>
          <w:ilvl w:val="0"/>
          <w:numId w:val="70"/>
        </w:numPr>
        <w:ind w:left="0" w:leftChars="0" w:firstLine="0" w:firstLineChars="0"/>
        <w:rPr>
          <w:rFonts w:hint="eastAsia" w:ascii="Times New Roman" w:hAnsi="Times New Roman" w:cs="Times New Roman"/>
          <w:color w:val="auto"/>
          <w:lang w:val="en-US" w:eastAsia="zh-CN"/>
        </w:rPr>
      </w:pPr>
      <w:r>
        <w:rPr>
          <w:rFonts w:hint="eastAsia" w:ascii="Times New Roman" w:hAnsi="Times New Roman" w:cs="Times New Roman"/>
          <w:color w:val="auto"/>
          <w:lang w:val="en-US" w:eastAsia="zh-CN"/>
        </w:rPr>
        <w:t>常州市北郊高级中学基本要求</w:t>
      </w:r>
    </w:p>
    <w:tbl>
      <w:tblPr>
        <w:tblStyle w:val="43"/>
        <w:tblW w:w="842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11"/>
        <w:gridCol w:w="4036"/>
        <w:gridCol w:w="1923"/>
        <w:gridCol w:w="1457"/>
      </w:tblGrid>
      <w:tr w14:paraId="3BE499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10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30F65">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序号</w:t>
            </w:r>
          </w:p>
        </w:tc>
        <w:tc>
          <w:tcPr>
            <w:tcW w:w="40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30A98">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设备名称</w:t>
            </w:r>
          </w:p>
        </w:tc>
        <w:tc>
          <w:tcPr>
            <w:tcW w:w="19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07E5A">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数量</w:t>
            </w:r>
          </w:p>
        </w:tc>
        <w:tc>
          <w:tcPr>
            <w:tcW w:w="1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3A030">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单位</w:t>
            </w:r>
          </w:p>
        </w:tc>
      </w:tr>
      <w:tr w14:paraId="74F130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jc w:val="center"/>
        </w:trPr>
        <w:tc>
          <w:tcPr>
            <w:tcW w:w="101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07A002">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1</w:t>
            </w:r>
          </w:p>
        </w:tc>
        <w:tc>
          <w:tcPr>
            <w:tcW w:w="40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E49998">
            <w:pPr>
              <w:keepNext w:val="0"/>
              <w:keepLines w:val="0"/>
              <w:pageBreakBefore w:val="0"/>
              <w:widowControl/>
              <w:suppressLineNumbers w:val="0"/>
              <w:wordWrap/>
              <w:topLinePunct w:val="0"/>
              <w:bidi w:val="0"/>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六类4对非屏蔽双绞线</w:t>
            </w:r>
          </w:p>
        </w:tc>
        <w:tc>
          <w:tcPr>
            <w:tcW w:w="192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CDA096">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lang w:val="en-US"/>
              </w:rPr>
            </w:pPr>
            <w:r>
              <w:rPr>
                <w:rFonts w:hint="eastAsia" w:asciiTheme="minorEastAsia" w:hAnsiTheme="minorEastAsia" w:eastAsiaTheme="minorEastAsia" w:cstheme="minorEastAsia"/>
                <w:i w:val="0"/>
                <w:iCs w:val="0"/>
                <w:color w:val="auto"/>
                <w:kern w:val="0"/>
                <w:sz w:val="21"/>
                <w:szCs w:val="21"/>
                <w:u w:val="none"/>
                <w:lang w:val="en-US" w:eastAsia="zh-CN" w:bidi="ar"/>
              </w:rPr>
              <w:t>12200</w:t>
            </w:r>
          </w:p>
        </w:tc>
        <w:tc>
          <w:tcPr>
            <w:tcW w:w="145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16F7CE3">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米</w:t>
            </w:r>
          </w:p>
        </w:tc>
      </w:tr>
      <w:tr w14:paraId="531332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jc w:val="center"/>
        </w:trPr>
        <w:tc>
          <w:tcPr>
            <w:tcW w:w="101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3FAC74">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2</w:t>
            </w:r>
          </w:p>
        </w:tc>
        <w:tc>
          <w:tcPr>
            <w:tcW w:w="40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7A0E12">
            <w:pPr>
              <w:keepNext w:val="0"/>
              <w:keepLines w:val="0"/>
              <w:pageBreakBefore w:val="0"/>
              <w:widowControl/>
              <w:suppressLineNumbers w:val="0"/>
              <w:wordWrap/>
              <w:topLinePunct w:val="0"/>
              <w:bidi w:val="0"/>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1.2M,22U线缆管理机柜,600mm*600mm</w:t>
            </w:r>
          </w:p>
        </w:tc>
        <w:tc>
          <w:tcPr>
            <w:tcW w:w="192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A96361">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3</w:t>
            </w:r>
          </w:p>
        </w:tc>
        <w:tc>
          <w:tcPr>
            <w:tcW w:w="145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8E5056B">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台</w:t>
            </w:r>
          </w:p>
        </w:tc>
      </w:tr>
      <w:tr w14:paraId="68742C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101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7BAB65D">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3</w:t>
            </w:r>
          </w:p>
        </w:tc>
        <w:tc>
          <w:tcPr>
            <w:tcW w:w="40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48487D">
            <w:pPr>
              <w:keepNext w:val="0"/>
              <w:keepLines w:val="0"/>
              <w:pageBreakBefore w:val="0"/>
              <w:widowControl/>
              <w:suppressLineNumbers w:val="0"/>
              <w:wordWrap/>
              <w:topLinePunct w:val="0"/>
              <w:bidi w:val="0"/>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PVC护线管</w:t>
            </w:r>
          </w:p>
        </w:tc>
        <w:tc>
          <w:tcPr>
            <w:tcW w:w="192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5105ED">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lang w:val="en-US"/>
              </w:rPr>
            </w:pPr>
            <w:r>
              <w:rPr>
                <w:rFonts w:hint="eastAsia" w:asciiTheme="minorEastAsia" w:hAnsiTheme="minorEastAsia" w:eastAsiaTheme="minorEastAsia" w:cstheme="minorEastAsia"/>
                <w:i w:val="0"/>
                <w:iCs w:val="0"/>
                <w:color w:val="auto"/>
                <w:kern w:val="0"/>
                <w:sz w:val="21"/>
                <w:szCs w:val="21"/>
                <w:u w:val="none"/>
                <w:lang w:val="en-US" w:eastAsia="zh-CN" w:bidi="ar"/>
              </w:rPr>
              <w:t>1300</w:t>
            </w:r>
          </w:p>
        </w:tc>
        <w:tc>
          <w:tcPr>
            <w:tcW w:w="145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EA0D276">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米</w:t>
            </w:r>
          </w:p>
        </w:tc>
      </w:tr>
      <w:tr w14:paraId="18351B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101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4FD0F6">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4</w:t>
            </w:r>
          </w:p>
        </w:tc>
        <w:tc>
          <w:tcPr>
            <w:tcW w:w="40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914B84">
            <w:pPr>
              <w:keepNext w:val="0"/>
              <w:keepLines w:val="0"/>
              <w:pageBreakBefore w:val="0"/>
              <w:widowControl/>
              <w:suppressLineNumbers w:val="0"/>
              <w:wordWrap/>
              <w:topLinePunct w:val="0"/>
              <w:bidi w:val="0"/>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水平桥架</w:t>
            </w:r>
          </w:p>
        </w:tc>
        <w:tc>
          <w:tcPr>
            <w:tcW w:w="192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6ACE58">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lang w:val="en-US"/>
              </w:rPr>
            </w:pPr>
            <w:r>
              <w:rPr>
                <w:rFonts w:hint="eastAsia" w:asciiTheme="minorEastAsia" w:hAnsiTheme="minorEastAsia" w:eastAsiaTheme="minorEastAsia" w:cstheme="minorEastAsia"/>
                <w:i w:val="0"/>
                <w:iCs w:val="0"/>
                <w:color w:val="auto"/>
                <w:kern w:val="0"/>
                <w:sz w:val="21"/>
                <w:szCs w:val="21"/>
                <w:u w:val="none"/>
                <w:lang w:val="en-US" w:eastAsia="zh-CN" w:bidi="ar"/>
              </w:rPr>
              <w:t>420</w:t>
            </w:r>
          </w:p>
        </w:tc>
        <w:tc>
          <w:tcPr>
            <w:tcW w:w="145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34EC02">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米</w:t>
            </w:r>
          </w:p>
        </w:tc>
      </w:tr>
      <w:tr w14:paraId="54A2C8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101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D8A2AA">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5</w:t>
            </w:r>
          </w:p>
        </w:tc>
        <w:tc>
          <w:tcPr>
            <w:tcW w:w="40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229A5A">
            <w:pPr>
              <w:keepNext w:val="0"/>
              <w:keepLines w:val="0"/>
              <w:pageBreakBefore w:val="0"/>
              <w:widowControl/>
              <w:suppressLineNumbers w:val="0"/>
              <w:wordWrap/>
              <w:topLinePunct w:val="0"/>
              <w:bidi w:val="0"/>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垂直桥架</w:t>
            </w:r>
          </w:p>
        </w:tc>
        <w:tc>
          <w:tcPr>
            <w:tcW w:w="192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31B04D">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lang w:val="en-US"/>
              </w:rPr>
            </w:pPr>
            <w:r>
              <w:rPr>
                <w:rFonts w:hint="eastAsia" w:asciiTheme="minorEastAsia" w:hAnsiTheme="minorEastAsia" w:eastAsiaTheme="minorEastAsia" w:cstheme="minorEastAsia"/>
                <w:i w:val="0"/>
                <w:iCs w:val="0"/>
                <w:color w:val="auto"/>
                <w:kern w:val="0"/>
                <w:sz w:val="21"/>
                <w:szCs w:val="21"/>
                <w:u w:val="none"/>
                <w:lang w:val="en-US" w:eastAsia="zh-CN" w:bidi="ar"/>
              </w:rPr>
              <w:t>36</w:t>
            </w:r>
          </w:p>
        </w:tc>
        <w:tc>
          <w:tcPr>
            <w:tcW w:w="145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82A6E5A">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米</w:t>
            </w:r>
          </w:p>
        </w:tc>
      </w:tr>
      <w:tr w14:paraId="7855D0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101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F82750">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6</w:t>
            </w:r>
          </w:p>
        </w:tc>
        <w:tc>
          <w:tcPr>
            <w:tcW w:w="40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862EC7">
            <w:pPr>
              <w:keepNext w:val="0"/>
              <w:keepLines w:val="0"/>
              <w:pageBreakBefore w:val="0"/>
              <w:widowControl/>
              <w:suppressLineNumbers w:val="0"/>
              <w:wordWrap/>
              <w:topLinePunct w:val="0"/>
              <w:bidi w:val="0"/>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监控电源线</w:t>
            </w:r>
          </w:p>
        </w:tc>
        <w:tc>
          <w:tcPr>
            <w:tcW w:w="192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0BFF10">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lang w:val="en-US"/>
              </w:rPr>
            </w:pPr>
            <w:r>
              <w:rPr>
                <w:rFonts w:hint="eastAsia" w:asciiTheme="minorEastAsia" w:hAnsiTheme="minorEastAsia" w:eastAsiaTheme="minorEastAsia" w:cstheme="minorEastAsia"/>
                <w:i w:val="0"/>
                <w:iCs w:val="0"/>
                <w:color w:val="auto"/>
                <w:kern w:val="0"/>
                <w:sz w:val="21"/>
                <w:szCs w:val="21"/>
                <w:u w:val="none"/>
                <w:lang w:val="en-US" w:eastAsia="zh-CN" w:bidi="ar"/>
              </w:rPr>
              <w:t>1200</w:t>
            </w:r>
          </w:p>
        </w:tc>
        <w:tc>
          <w:tcPr>
            <w:tcW w:w="145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2746726">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米</w:t>
            </w:r>
          </w:p>
        </w:tc>
      </w:tr>
      <w:tr w14:paraId="6156D4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101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EB9C066">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7</w:t>
            </w:r>
          </w:p>
        </w:tc>
        <w:tc>
          <w:tcPr>
            <w:tcW w:w="40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21956DC">
            <w:pPr>
              <w:keepNext w:val="0"/>
              <w:keepLines w:val="0"/>
              <w:pageBreakBefore w:val="0"/>
              <w:widowControl/>
              <w:suppressLineNumbers w:val="0"/>
              <w:wordWrap/>
              <w:topLinePunct w:val="0"/>
              <w:bidi w:val="0"/>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六类非屏蔽模块</w:t>
            </w:r>
          </w:p>
        </w:tc>
        <w:tc>
          <w:tcPr>
            <w:tcW w:w="192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2FD0E0">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5</w:t>
            </w:r>
          </w:p>
        </w:tc>
        <w:tc>
          <w:tcPr>
            <w:tcW w:w="145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602FBF">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个</w:t>
            </w:r>
          </w:p>
        </w:tc>
      </w:tr>
      <w:tr w14:paraId="7F64A3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101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1E4874">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8</w:t>
            </w:r>
          </w:p>
        </w:tc>
        <w:tc>
          <w:tcPr>
            <w:tcW w:w="40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4A22598">
            <w:pPr>
              <w:keepNext w:val="0"/>
              <w:keepLines w:val="0"/>
              <w:pageBreakBefore w:val="0"/>
              <w:widowControl/>
              <w:suppressLineNumbers w:val="0"/>
              <w:wordWrap/>
              <w:topLinePunct w:val="0"/>
              <w:bidi w:val="0"/>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86型单口面板</w:t>
            </w:r>
          </w:p>
        </w:tc>
        <w:tc>
          <w:tcPr>
            <w:tcW w:w="192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29BBA2D">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3.00</w:t>
            </w:r>
          </w:p>
        </w:tc>
        <w:tc>
          <w:tcPr>
            <w:tcW w:w="145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28E3C37">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个</w:t>
            </w:r>
          </w:p>
        </w:tc>
      </w:tr>
      <w:tr w14:paraId="590451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101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580919E">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9</w:t>
            </w:r>
          </w:p>
        </w:tc>
        <w:tc>
          <w:tcPr>
            <w:tcW w:w="40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014ABB">
            <w:pPr>
              <w:keepNext w:val="0"/>
              <w:keepLines w:val="0"/>
              <w:pageBreakBefore w:val="0"/>
              <w:widowControl/>
              <w:suppressLineNumbers w:val="0"/>
              <w:wordWrap/>
              <w:topLinePunct w:val="0"/>
              <w:bidi w:val="0"/>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86型双口面板</w:t>
            </w:r>
          </w:p>
        </w:tc>
        <w:tc>
          <w:tcPr>
            <w:tcW w:w="192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31FB42">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1.00</w:t>
            </w:r>
          </w:p>
        </w:tc>
        <w:tc>
          <w:tcPr>
            <w:tcW w:w="145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E6D7C5">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个</w:t>
            </w:r>
          </w:p>
        </w:tc>
      </w:tr>
      <w:tr w14:paraId="258DD5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101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19B4B52">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10</w:t>
            </w:r>
          </w:p>
        </w:tc>
        <w:tc>
          <w:tcPr>
            <w:tcW w:w="40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3237C2">
            <w:pPr>
              <w:keepNext w:val="0"/>
              <w:keepLines w:val="0"/>
              <w:pageBreakBefore w:val="0"/>
              <w:widowControl/>
              <w:suppressLineNumbers w:val="0"/>
              <w:wordWrap/>
              <w:topLinePunct w:val="0"/>
              <w:bidi w:val="0"/>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8芯室内单模光缆</w:t>
            </w:r>
          </w:p>
        </w:tc>
        <w:tc>
          <w:tcPr>
            <w:tcW w:w="192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FD49669">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lang w:val="en-US"/>
              </w:rPr>
            </w:pPr>
            <w:r>
              <w:rPr>
                <w:rFonts w:hint="eastAsia" w:asciiTheme="minorEastAsia" w:hAnsiTheme="minorEastAsia" w:eastAsiaTheme="minorEastAsia" w:cstheme="minorEastAsia"/>
                <w:i w:val="0"/>
                <w:iCs w:val="0"/>
                <w:color w:val="auto"/>
                <w:kern w:val="0"/>
                <w:sz w:val="21"/>
                <w:szCs w:val="21"/>
                <w:u w:val="none"/>
                <w:lang w:val="en-US" w:eastAsia="zh-CN" w:bidi="ar"/>
              </w:rPr>
              <w:t>150</w:t>
            </w:r>
          </w:p>
        </w:tc>
        <w:tc>
          <w:tcPr>
            <w:tcW w:w="145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CEA3492">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米</w:t>
            </w:r>
          </w:p>
        </w:tc>
      </w:tr>
      <w:tr w14:paraId="388711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101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60939A2">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11</w:t>
            </w:r>
          </w:p>
        </w:tc>
        <w:tc>
          <w:tcPr>
            <w:tcW w:w="40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7D21853">
            <w:pPr>
              <w:keepNext w:val="0"/>
              <w:keepLines w:val="0"/>
              <w:pageBreakBefore w:val="0"/>
              <w:widowControl/>
              <w:suppressLineNumbers w:val="0"/>
              <w:wordWrap/>
              <w:topLinePunct w:val="0"/>
              <w:bidi w:val="0"/>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光纤熔接</w:t>
            </w:r>
          </w:p>
        </w:tc>
        <w:tc>
          <w:tcPr>
            <w:tcW w:w="192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B6ED9D">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lang w:val="en-US"/>
              </w:rPr>
            </w:pPr>
            <w:r>
              <w:rPr>
                <w:rFonts w:hint="eastAsia" w:asciiTheme="minorEastAsia" w:hAnsiTheme="minorEastAsia" w:eastAsiaTheme="minorEastAsia" w:cstheme="minorEastAsia"/>
                <w:i w:val="0"/>
                <w:iCs w:val="0"/>
                <w:color w:val="auto"/>
                <w:kern w:val="0"/>
                <w:sz w:val="21"/>
                <w:szCs w:val="21"/>
                <w:u w:val="none"/>
                <w:lang w:val="en-US" w:eastAsia="zh-CN" w:bidi="ar"/>
              </w:rPr>
              <w:t>16</w:t>
            </w:r>
          </w:p>
        </w:tc>
        <w:tc>
          <w:tcPr>
            <w:tcW w:w="145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D5EA4F1">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芯</w:t>
            </w:r>
          </w:p>
        </w:tc>
      </w:tr>
      <w:tr w14:paraId="7246B8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101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68794EC">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12</w:t>
            </w:r>
          </w:p>
        </w:tc>
        <w:tc>
          <w:tcPr>
            <w:tcW w:w="40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DC8829D">
            <w:pPr>
              <w:keepNext w:val="0"/>
              <w:keepLines w:val="0"/>
              <w:pageBreakBefore w:val="0"/>
              <w:widowControl/>
              <w:suppressLineNumbers w:val="0"/>
              <w:wordWrap/>
              <w:topLinePunct w:val="0"/>
              <w:bidi w:val="0"/>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光纤终端</w:t>
            </w:r>
          </w:p>
        </w:tc>
        <w:tc>
          <w:tcPr>
            <w:tcW w:w="192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BAA847E">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2</w:t>
            </w:r>
          </w:p>
        </w:tc>
        <w:tc>
          <w:tcPr>
            <w:tcW w:w="145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B83C7C">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个</w:t>
            </w:r>
          </w:p>
        </w:tc>
      </w:tr>
      <w:tr w14:paraId="26B84D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101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5210CB1">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13</w:t>
            </w:r>
          </w:p>
        </w:tc>
        <w:tc>
          <w:tcPr>
            <w:tcW w:w="4036"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5F6202A2">
            <w:pPr>
              <w:pStyle w:val="18"/>
              <w:pageBreakBefore w:val="0"/>
              <w:wordWrap/>
              <w:topLinePunct w:val="0"/>
              <w:bidi w:val="0"/>
              <w:spacing w:beforeAutospacing="0" w:afterAutospacing="0" w:line="400" w:lineRule="exact"/>
              <w:ind w:left="0" w:leftChars="0" w:right="0" w:rightChars="0" w:firstLine="0" w:firstLineChars="0"/>
              <w:jc w:val="both"/>
              <w:rPr>
                <w:rFonts w:hint="eastAsia" w:asciiTheme="minorEastAsia" w:hAnsiTheme="minorEastAsia" w:eastAsiaTheme="minorEastAsia" w:cstheme="minorEastAsia"/>
                <w:color w:val="auto"/>
                <w:kern w:val="2"/>
                <w:sz w:val="21"/>
                <w:szCs w:val="21"/>
                <w:vertAlign w:val="baseli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防油污摄像机</w:t>
            </w:r>
          </w:p>
        </w:tc>
        <w:tc>
          <w:tcPr>
            <w:tcW w:w="1923"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37B0197D">
            <w:pPr>
              <w:pStyle w:val="18"/>
              <w:pageBreakBefore w:val="0"/>
              <w:wordWrap/>
              <w:topLinePunct w:val="0"/>
              <w:bidi w:val="0"/>
              <w:spacing w:beforeAutospacing="0" w:afterAutospacing="0" w:line="400" w:lineRule="exact"/>
              <w:ind w:left="0" w:leftChars="0" w:right="0" w:rightChars="0" w:firstLine="0" w:firstLineChars="0"/>
              <w:jc w:val="center"/>
              <w:rPr>
                <w:rFonts w:hint="eastAsia" w:asciiTheme="minorEastAsia" w:hAnsiTheme="minorEastAsia" w:eastAsiaTheme="minorEastAsia" w:cstheme="minorEastAsia"/>
                <w:color w:val="auto"/>
                <w:kern w:val="2"/>
                <w:sz w:val="21"/>
                <w:szCs w:val="21"/>
                <w:vertAlign w:val="baseline"/>
                <w:lang w:val="en-US" w:eastAsia="zh-CN" w:bidi="ar-SA"/>
              </w:rPr>
            </w:pPr>
            <w:r>
              <w:rPr>
                <w:rFonts w:hint="eastAsia" w:asciiTheme="minorEastAsia" w:hAnsiTheme="minorEastAsia" w:eastAsiaTheme="minorEastAsia" w:cstheme="minorEastAsia"/>
                <w:color w:val="auto"/>
                <w:sz w:val="21"/>
                <w:szCs w:val="21"/>
                <w:vertAlign w:val="baseline"/>
                <w:lang w:val="en-US" w:eastAsia="zh-CN"/>
              </w:rPr>
              <w:t>40</w:t>
            </w:r>
          </w:p>
        </w:tc>
        <w:tc>
          <w:tcPr>
            <w:tcW w:w="1457"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372C6E7D">
            <w:pPr>
              <w:pStyle w:val="18"/>
              <w:pageBreakBefore w:val="0"/>
              <w:wordWrap/>
              <w:topLinePunct w:val="0"/>
              <w:bidi w:val="0"/>
              <w:spacing w:beforeAutospacing="0" w:afterAutospacing="0" w:line="400" w:lineRule="exact"/>
              <w:ind w:left="0" w:leftChars="0" w:right="0" w:rightChars="0" w:firstLine="0" w:firstLineChars="0"/>
              <w:jc w:val="center"/>
              <w:rPr>
                <w:rFonts w:hint="eastAsia" w:asciiTheme="minorEastAsia" w:hAnsiTheme="minorEastAsia" w:eastAsiaTheme="minorEastAsia" w:cstheme="minorEastAsia"/>
                <w:color w:val="auto"/>
                <w:kern w:val="2"/>
                <w:sz w:val="21"/>
                <w:szCs w:val="21"/>
                <w:vertAlign w:val="baseline"/>
                <w:lang w:val="en-US" w:eastAsia="zh-CN" w:bidi="ar-SA"/>
              </w:rPr>
            </w:pPr>
            <w:r>
              <w:rPr>
                <w:rFonts w:hint="eastAsia" w:asciiTheme="minorEastAsia" w:hAnsiTheme="minorEastAsia" w:eastAsiaTheme="minorEastAsia" w:cstheme="minorEastAsia"/>
                <w:color w:val="auto"/>
                <w:sz w:val="21"/>
                <w:szCs w:val="21"/>
                <w:vertAlign w:val="baseline"/>
                <w:lang w:val="en-US" w:eastAsia="zh-CN"/>
              </w:rPr>
              <w:t>台</w:t>
            </w:r>
          </w:p>
        </w:tc>
      </w:tr>
      <w:tr w14:paraId="1C2F0F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101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A4B2BFA">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14</w:t>
            </w:r>
          </w:p>
        </w:tc>
        <w:tc>
          <w:tcPr>
            <w:tcW w:w="4036"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78B85AA7">
            <w:pPr>
              <w:pStyle w:val="18"/>
              <w:pageBreakBefore w:val="0"/>
              <w:wordWrap/>
              <w:topLinePunct w:val="0"/>
              <w:bidi w:val="0"/>
              <w:spacing w:beforeAutospacing="0" w:afterAutospacing="0" w:line="400" w:lineRule="exact"/>
              <w:ind w:left="0" w:leftChars="0" w:right="0" w:rightChars="0" w:firstLine="0" w:firstLineChars="0"/>
              <w:jc w:val="both"/>
              <w:rPr>
                <w:rFonts w:hint="eastAsia" w:asciiTheme="minorEastAsia" w:hAnsiTheme="minorEastAsia" w:eastAsiaTheme="minorEastAsia" w:cstheme="minorEastAsia"/>
                <w:color w:val="auto"/>
                <w:kern w:val="2"/>
                <w:sz w:val="21"/>
                <w:szCs w:val="21"/>
                <w:vertAlign w:val="baseli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防油污摄像机支架</w:t>
            </w:r>
          </w:p>
        </w:tc>
        <w:tc>
          <w:tcPr>
            <w:tcW w:w="1923"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549FA8AC">
            <w:pPr>
              <w:pStyle w:val="18"/>
              <w:pageBreakBefore w:val="0"/>
              <w:wordWrap/>
              <w:topLinePunct w:val="0"/>
              <w:bidi w:val="0"/>
              <w:spacing w:beforeAutospacing="0" w:afterAutospacing="0" w:line="400" w:lineRule="exact"/>
              <w:ind w:left="0" w:leftChars="0" w:right="0" w:rightChars="0" w:firstLine="0" w:firstLineChars="0"/>
              <w:jc w:val="center"/>
              <w:rPr>
                <w:rFonts w:hint="eastAsia" w:asciiTheme="minorEastAsia" w:hAnsiTheme="minorEastAsia" w:eastAsiaTheme="minorEastAsia" w:cstheme="minorEastAsia"/>
                <w:color w:val="auto"/>
                <w:kern w:val="2"/>
                <w:sz w:val="21"/>
                <w:szCs w:val="21"/>
                <w:vertAlign w:val="baseline"/>
                <w:lang w:val="en-US" w:eastAsia="zh-CN" w:bidi="ar-SA"/>
              </w:rPr>
            </w:pPr>
            <w:r>
              <w:rPr>
                <w:rFonts w:hint="eastAsia" w:asciiTheme="minorEastAsia" w:hAnsiTheme="minorEastAsia" w:eastAsiaTheme="minorEastAsia" w:cstheme="minorEastAsia"/>
                <w:color w:val="auto"/>
                <w:sz w:val="21"/>
                <w:szCs w:val="21"/>
                <w:vertAlign w:val="baseline"/>
                <w:lang w:val="en-US" w:eastAsia="zh-CN"/>
              </w:rPr>
              <w:t>40</w:t>
            </w:r>
          </w:p>
        </w:tc>
        <w:tc>
          <w:tcPr>
            <w:tcW w:w="1457"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1B9B3AD2">
            <w:pPr>
              <w:pStyle w:val="18"/>
              <w:pageBreakBefore w:val="0"/>
              <w:wordWrap/>
              <w:topLinePunct w:val="0"/>
              <w:bidi w:val="0"/>
              <w:spacing w:beforeAutospacing="0" w:afterAutospacing="0" w:line="400" w:lineRule="exact"/>
              <w:ind w:left="0" w:leftChars="0" w:right="0" w:rightChars="0" w:firstLine="0" w:firstLineChars="0"/>
              <w:jc w:val="center"/>
              <w:rPr>
                <w:rFonts w:hint="eastAsia" w:asciiTheme="minorEastAsia" w:hAnsiTheme="minorEastAsia" w:eastAsiaTheme="minorEastAsia" w:cstheme="minorEastAsia"/>
                <w:color w:val="auto"/>
                <w:kern w:val="2"/>
                <w:sz w:val="21"/>
                <w:szCs w:val="21"/>
                <w:vertAlign w:val="baseline"/>
                <w:lang w:val="en-US" w:eastAsia="zh-CN" w:bidi="ar-SA"/>
              </w:rPr>
            </w:pPr>
            <w:r>
              <w:rPr>
                <w:rFonts w:hint="eastAsia" w:asciiTheme="minorEastAsia" w:hAnsiTheme="minorEastAsia" w:eastAsiaTheme="minorEastAsia" w:cstheme="minorEastAsia"/>
                <w:color w:val="auto"/>
                <w:sz w:val="21"/>
                <w:szCs w:val="21"/>
                <w:vertAlign w:val="baseline"/>
                <w:lang w:val="en-US" w:eastAsia="zh-CN"/>
              </w:rPr>
              <w:t>台</w:t>
            </w:r>
          </w:p>
        </w:tc>
      </w:tr>
      <w:tr w14:paraId="08C45B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101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905A448">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15</w:t>
            </w:r>
          </w:p>
        </w:tc>
        <w:tc>
          <w:tcPr>
            <w:tcW w:w="4036"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67DA4218">
            <w:pPr>
              <w:pStyle w:val="18"/>
              <w:pageBreakBefore w:val="0"/>
              <w:wordWrap/>
              <w:topLinePunct w:val="0"/>
              <w:bidi w:val="0"/>
              <w:spacing w:beforeAutospacing="0" w:afterAutospacing="0" w:line="400" w:lineRule="exact"/>
              <w:ind w:left="0" w:leftChars="0" w:right="0" w:rightChars="0" w:firstLine="0" w:firstLineChars="0"/>
              <w:jc w:val="both"/>
              <w:rPr>
                <w:rFonts w:hint="eastAsia" w:asciiTheme="minorEastAsia" w:hAnsiTheme="minorEastAsia" w:eastAsiaTheme="minorEastAsia" w:cstheme="minorEastAsia"/>
                <w:color w:val="auto"/>
                <w:kern w:val="2"/>
                <w:sz w:val="21"/>
                <w:szCs w:val="21"/>
                <w:vertAlign w:val="baseli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高清网络电梯专用摄像机</w:t>
            </w:r>
          </w:p>
        </w:tc>
        <w:tc>
          <w:tcPr>
            <w:tcW w:w="1923"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28E3FF07">
            <w:pPr>
              <w:pStyle w:val="18"/>
              <w:pageBreakBefore w:val="0"/>
              <w:wordWrap/>
              <w:topLinePunct w:val="0"/>
              <w:bidi w:val="0"/>
              <w:spacing w:beforeAutospacing="0" w:afterAutospacing="0" w:line="400" w:lineRule="exact"/>
              <w:ind w:left="0" w:leftChars="0" w:right="0" w:rightChars="0" w:firstLine="0" w:firstLineChars="0"/>
              <w:jc w:val="center"/>
              <w:rPr>
                <w:rFonts w:hint="eastAsia" w:asciiTheme="minorEastAsia" w:hAnsiTheme="minorEastAsia" w:eastAsiaTheme="minorEastAsia" w:cstheme="minorEastAsia"/>
                <w:color w:val="auto"/>
                <w:kern w:val="2"/>
                <w:sz w:val="21"/>
                <w:szCs w:val="21"/>
                <w:vertAlign w:val="baseline"/>
                <w:lang w:val="en-US" w:eastAsia="zh-CN" w:bidi="ar-SA"/>
              </w:rPr>
            </w:pPr>
            <w:r>
              <w:rPr>
                <w:rFonts w:hint="eastAsia" w:asciiTheme="minorEastAsia" w:hAnsiTheme="minorEastAsia" w:eastAsiaTheme="minorEastAsia" w:cstheme="minorEastAsia"/>
                <w:color w:val="auto"/>
                <w:sz w:val="21"/>
                <w:szCs w:val="21"/>
                <w:vertAlign w:val="baseline"/>
                <w:lang w:val="en-US" w:eastAsia="zh-CN"/>
              </w:rPr>
              <w:t>3</w:t>
            </w:r>
          </w:p>
        </w:tc>
        <w:tc>
          <w:tcPr>
            <w:tcW w:w="1457"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03896C15">
            <w:pPr>
              <w:pStyle w:val="18"/>
              <w:pageBreakBefore w:val="0"/>
              <w:wordWrap/>
              <w:topLinePunct w:val="0"/>
              <w:bidi w:val="0"/>
              <w:spacing w:beforeAutospacing="0" w:afterAutospacing="0" w:line="400" w:lineRule="exact"/>
              <w:ind w:left="0" w:leftChars="0" w:right="0" w:rightChars="0" w:firstLine="0" w:firstLineChars="0"/>
              <w:jc w:val="center"/>
              <w:rPr>
                <w:rFonts w:hint="eastAsia" w:asciiTheme="minorEastAsia" w:hAnsiTheme="minorEastAsia" w:eastAsiaTheme="minorEastAsia" w:cstheme="minorEastAsia"/>
                <w:color w:val="auto"/>
                <w:kern w:val="2"/>
                <w:sz w:val="21"/>
                <w:szCs w:val="21"/>
                <w:vertAlign w:val="baseline"/>
                <w:lang w:val="en-US" w:eastAsia="zh-CN" w:bidi="ar-SA"/>
              </w:rPr>
            </w:pPr>
            <w:r>
              <w:rPr>
                <w:rFonts w:hint="eastAsia" w:asciiTheme="minorEastAsia" w:hAnsiTheme="minorEastAsia" w:eastAsiaTheme="minorEastAsia" w:cstheme="minorEastAsia"/>
                <w:color w:val="auto"/>
                <w:sz w:val="21"/>
                <w:szCs w:val="21"/>
                <w:vertAlign w:val="baseline"/>
                <w:lang w:val="en-US" w:eastAsia="zh-CN"/>
              </w:rPr>
              <w:t>台</w:t>
            </w:r>
          </w:p>
        </w:tc>
      </w:tr>
      <w:tr w14:paraId="6A5F10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101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3EFF2C">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16</w:t>
            </w:r>
          </w:p>
        </w:tc>
        <w:tc>
          <w:tcPr>
            <w:tcW w:w="40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530533C">
            <w:pPr>
              <w:keepNext w:val="0"/>
              <w:keepLines w:val="0"/>
              <w:pageBreakBefore w:val="0"/>
              <w:widowControl/>
              <w:suppressLineNumbers w:val="0"/>
              <w:wordWrap/>
              <w:topLinePunct w:val="0"/>
              <w:bidi w:val="0"/>
              <w:spacing w:beforeAutospacing="0" w:afterAutospacing="0" w:line="400" w:lineRule="exact"/>
              <w:ind w:left="0" w:leftChars="0" w:right="0" w:rightChars="0"/>
              <w:jc w:val="both"/>
              <w:textAlignment w:val="bottom"/>
              <w:rPr>
                <w:rFonts w:hint="eastAsia" w:asciiTheme="minorEastAsia" w:hAnsiTheme="minorEastAsia" w:eastAsiaTheme="minorEastAsia" w:cstheme="minorEastAsia"/>
                <w:i w:val="0"/>
                <w:iCs w:val="0"/>
                <w:color w:val="auto"/>
                <w:kern w:val="2"/>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无线网桥</w:t>
            </w:r>
          </w:p>
        </w:tc>
        <w:tc>
          <w:tcPr>
            <w:tcW w:w="192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B7DD5E">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2"/>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3</w:t>
            </w:r>
          </w:p>
        </w:tc>
        <w:tc>
          <w:tcPr>
            <w:tcW w:w="145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0A6DCF">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2"/>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对</w:t>
            </w:r>
          </w:p>
        </w:tc>
      </w:tr>
      <w:tr w14:paraId="160F2C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101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95553B4">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17</w:t>
            </w:r>
          </w:p>
        </w:tc>
        <w:tc>
          <w:tcPr>
            <w:tcW w:w="40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A07341B">
            <w:pPr>
              <w:keepNext w:val="0"/>
              <w:keepLines w:val="0"/>
              <w:pageBreakBefore w:val="0"/>
              <w:widowControl/>
              <w:suppressLineNumbers w:val="0"/>
              <w:wordWrap/>
              <w:topLinePunct w:val="0"/>
              <w:bidi w:val="0"/>
              <w:spacing w:beforeAutospacing="0" w:afterAutospacing="0" w:line="400" w:lineRule="exact"/>
              <w:ind w:left="0" w:leftChars="0" w:right="0" w:rightChars="0"/>
              <w:jc w:val="both"/>
              <w:textAlignment w:val="bottom"/>
              <w:rPr>
                <w:rFonts w:hint="eastAsia" w:asciiTheme="minorEastAsia" w:hAnsiTheme="minorEastAsia" w:eastAsiaTheme="minorEastAsia" w:cstheme="minorEastAsia"/>
                <w:i w:val="0"/>
                <w:iCs w:val="0"/>
                <w:color w:val="auto"/>
                <w:kern w:val="2"/>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智能球型摄像机</w:t>
            </w:r>
          </w:p>
        </w:tc>
        <w:tc>
          <w:tcPr>
            <w:tcW w:w="192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41A8A1F">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2"/>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10</w:t>
            </w:r>
          </w:p>
        </w:tc>
        <w:tc>
          <w:tcPr>
            <w:tcW w:w="145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D9D7238">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2"/>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台</w:t>
            </w:r>
          </w:p>
        </w:tc>
      </w:tr>
      <w:tr w14:paraId="1E3093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101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759E706">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default"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18</w:t>
            </w:r>
          </w:p>
        </w:tc>
        <w:tc>
          <w:tcPr>
            <w:tcW w:w="40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A2C4F5A">
            <w:pPr>
              <w:keepNext w:val="0"/>
              <w:keepLines w:val="0"/>
              <w:pageBreakBefore w:val="0"/>
              <w:widowControl/>
              <w:suppressLineNumbers w:val="0"/>
              <w:wordWrap/>
              <w:topLinePunct w:val="0"/>
              <w:bidi w:val="0"/>
              <w:spacing w:beforeAutospacing="0" w:afterAutospacing="0" w:line="400" w:lineRule="exact"/>
              <w:ind w:left="0" w:leftChars="0" w:right="0" w:rightChars="0"/>
              <w:jc w:val="both"/>
              <w:textAlignment w:val="bottom"/>
              <w:rPr>
                <w:rFonts w:hint="eastAsia" w:asciiTheme="minorEastAsia" w:hAnsiTheme="minorEastAsia" w:eastAsiaTheme="minorEastAsia" w:cstheme="minorEastAsia"/>
                <w:i w:val="0"/>
                <w:iCs w:val="0"/>
                <w:color w:val="auto"/>
                <w:kern w:val="2"/>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高清网络摄像机</w:t>
            </w:r>
          </w:p>
        </w:tc>
        <w:tc>
          <w:tcPr>
            <w:tcW w:w="192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D8FE543">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2"/>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20</w:t>
            </w:r>
          </w:p>
        </w:tc>
        <w:tc>
          <w:tcPr>
            <w:tcW w:w="145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1B96741">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2"/>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台</w:t>
            </w:r>
          </w:p>
        </w:tc>
      </w:tr>
      <w:tr w14:paraId="0FBD75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101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D1514E3">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default"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19</w:t>
            </w:r>
          </w:p>
        </w:tc>
        <w:tc>
          <w:tcPr>
            <w:tcW w:w="40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CE18F0">
            <w:pPr>
              <w:keepNext w:val="0"/>
              <w:keepLines w:val="0"/>
              <w:pageBreakBefore w:val="0"/>
              <w:widowControl/>
              <w:suppressLineNumbers w:val="0"/>
              <w:wordWrap/>
              <w:topLinePunct w:val="0"/>
              <w:bidi w:val="0"/>
              <w:spacing w:beforeAutospacing="0" w:afterAutospacing="0" w:line="400" w:lineRule="exact"/>
              <w:ind w:left="0" w:leftChars="0" w:right="0" w:rightChars="0"/>
              <w:jc w:val="both"/>
              <w:textAlignment w:val="bottom"/>
              <w:rPr>
                <w:rFonts w:hint="eastAsia" w:asciiTheme="minorEastAsia" w:hAnsiTheme="minorEastAsia" w:eastAsiaTheme="minorEastAsia" w:cstheme="minorEastAsia"/>
                <w:i w:val="0"/>
                <w:iCs w:val="0"/>
                <w:color w:val="auto"/>
                <w:kern w:val="2"/>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高清网络摄像机支架</w:t>
            </w:r>
          </w:p>
        </w:tc>
        <w:tc>
          <w:tcPr>
            <w:tcW w:w="192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D4C6803">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2"/>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20</w:t>
            </w:r>
          </w:p>
        </w:tc>
        <w:tc>
          <w:tcPr>
            <w:tcW w:w="145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3F2356">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2"/>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台</w:t>
            </w:r>
          </w:p>
        </w:tc>
      </w:tr>
      <w:tr w14:paraId="5A4B21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101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9BEE8C">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20</w:t>
            </w:r>
          </w:p>
        </w:tc>
        <w:tc>
          <w:tcPr>
            <w:tcW w:w="40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78CC58D">
            <w:pPr>
              <w:keepNext w:val="0"/>
              <w:keepLines w:val="0"/>
              <w:pageBreakBefore w:val="0"/>
              <w:widowControl/>
              <w:suppressLineNumbers w:val="0"/>
              <w:wordWrap/>
              <w:topLinePunct w:val="0"/>
              <w:bidi w:val="0"/>
              <w:spacing w:beforeAutospacing="0" w:afterAutospacing="0" w:line="400" w:lineRule="exact"/>
              <w:ind w:left="0" w:leftChars="0" w:right="0" w:rightChars="0"/>
              <w:jc w:val="both"/>
              <w:textAlignment w:val="bottom"/>
              <w:rPr>
                <w:rFonts w:hint="eastAsia" w:asciiTheme="minorEastAsia" w:hAnsiTheme="minorEastAsia" w:eastAsiaTheme="minorEastAsia" w:cstheme="minorEastAsia"/>
                <w:i w:val="0"/>
                <w:iCs w:val="0"/>
                <w:color w:val="auto"/>
                <w:kern w:val="2"/>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24电口千兆POE交换机</w:t>
            </w:r>
          </w:p>
        </w:tc>
        <w:tc>
          <w:tcPr>
            <w:tcW w:w="192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52F6DA">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2"/>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3</w:t>
            </w:r>
          </w:p>
        </w:tc>
        <w:tc>
          <w:tcPr>
            <w:tcW w:w="145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9005DB">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2"/>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台</w:t>
            </w:r>
          </w:p>
        </w:tc>
      </w:tr>
      <w:tr w14:paraId="37B180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101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8BD3E2">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21</w:t>
            </w:r>
          </w:p>
        </w:tc>
        <w:tc>
          <w:tcPr>
            <w:tcW w:w="40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1B16AA">
            <w:pPr>
              <w:keepNext w:val="0"/>
              <w:keepLines w:val="0"/>
              <w:pageBreakBefore w:val="0"/>
              <w:widowControl/>
              <w:suppressLineNumbers w:val="0"/>
              <w:wordWrap/>
              <w:topLinePunct w:val="0"/>
              <w:bidi w:val="0"/>
              <w:spacing w:beforeAutospacing="0" w:afterAutospacing="0" w:line="400" w:lineRule="exact"/>
              <w:ind w:left="0" w:leftChars="0" w:right="0" w:rightChars="0"/>
              <w:jc w:val="both"/>
              <w:textAlignment w:val="bottom"/>
              <w:rPr>
                <w:rFonts w:hint="eastAsia" w:asciiTheme="minorEastAsia" w:hAnsiTheme="minorEastAsia" w:eastAsiaTheme="minorEastAsia" w:cstheme="minorEastAsia"/>
                <w:i w:val="0"/>
                <w:iCs w:val="0"/>
                <w:color w:val="auto"/>
                <w:kern w:val="2"/>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8电口POE千兆交换机</w:t>
            </w:r>
          </w:p>
        </w:tc>
        <w:tc>
          <w:tcPr>
            <w:tcW w:w="192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F6C778C">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2"/>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4</w:t>
            </w:r>
          </w:p>
        </w:tc>
        <w:tc>
          <w:tcPr>
            <w:tcW w:w="145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359F782">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2"/>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台</w:t>
            </w:r>
          </w:p>
        </w:tc>
      </w:tr>
      <w:tr w14:paraId="70757C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101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8CB4CBC">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22</w:t>
            </w:r>
          </w:p>
        </w:tc>
        <w:tc>
          <w:tcPr>
            <w:tcW w:w="40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E828C98">
            <w:pPr>
              <w:keepNext w:val="0"/>
              <w:keepLines w:val="0"/>
              <w:pageBreakBefore w:val="0"/>
              <w:widowControl/>
              <w:suppressLineNumbers w:val="0"/>
              <w:wordWrap/>
              <w:topLinePunct w:val="0"/>
              <w:bidi w:val="0"/>
              <w:spacing w:beforeAutospacing="0" w:afterAutospacing="0" w:line="400" w:lineRule="exact"/>
              <w:ind w:left="0" w:leftChars="0" w:right="0" w:rightChars="0"/>
              <w:jc w:val="both"/>
              <w:textAlignment w:val="bottom"/>
              <w:rPr>
                <w:rFonts w:hint="eastAsia" w:asciiTheme="minorEastAsia" w:hAnsiTheme="minorEastAsia" w:eastAsiaTheme="minorEastAsia" w:cstheme="minorEastAsia"/>
                <w:i w:val="0"/>
                <w:iCs w:val="0"/>
                <w:color w:val="auto"/>
                <w:kern w:val="2"/>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24口千兆交换机</w:t>
            </w:r>
          </w:p>
        </w:tc>
        <w:tc>
          <w:tcPr>
            <w:tcW w:w="192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58A8C2">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2"/>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2</w:t>
            </w:r>
          </w:p>
        </w:tc>
        <w:tc>
          <w:tcPr>
            <w:tcW w:w="145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AF57A56">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2"/>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台</w:t>
            </w:r>
          </w:p>
        </w:tc>
      </w:tr>
      <w:tr w14:paraId="0A3B85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101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BED222C">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23</w:t>
            </w:r>
          </w:p>
        </w:tc>
        <w:tc>
          <w:tcPr>
            <w:tcW w:w="40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AB35D2C">
            <w:pPr>
              <w:keepNext w:val="0"/>
              <w:keepLines w:val="0"/>
              <w:pageBreakBefore w:val="0"/>
              <w:widowControl/>
              <w:suppressLineNumbers w:val="0"/>
              <w:wordWrap/>
              <w:topLinePunct w:val="0"/>
              <w:bidi w:val="0"/>
              <w:spacing w:beforeAutospacing="0" w:afterAutospacing="0" w:line="400" w:lineRule="exact"/>
              <w:ind w:left="0" w:leftChars="0" w:right="0" w:rightChars="0"/>
              <w:jc w:val="both"/>
              <w:textAlignment w:val="bottom"/>
              <w:rPr>
                <w:rFonts w:hint="eastAsia" w:asciiTheme="minorEastAsia" w:hAnsiTheme="minorEastAsia" w:eastAsiaTheme="minorEastAsia" w:cstheme="minorEastAsia"/>
                <w:i w:val="0"/>
                <w:iCs w:val="0"/>
                <w:color w:val="auto"/>
                <w:kern w:val="2"/>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千兆光模块</w:t>
            </w:r>
          </w:p>
        </w:tc>
        <w:tc>
          <w:tcPr>
            <w:tcW w:w="192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AC121D9">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2"/>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8</w:t>
            </w:r>
          </w:p>
        </w:tc>
        <w:tc>
          <w:tcPr>
            <w:tcW w:w="145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D21AC1D">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2"/>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个</w:t>
            </w:r>
          </w:p>
        </w:tc>
      </w:tr>
      <w:tr w14:paraId="0B0C1A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jc w:val="center"/>
        </w:trPr>
        <w:tc>
          <w:tcPr>
            <w:tcW w:w="101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F44487C">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24</w:t>
            </w:r>
          </w:p>
        </w:tc>
        <w:tc>
          <w:tcPr>
            <w:tcW w:w="40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B0275C">
            <w:pPr>
              <w:keepNext w:val="0"/>
              <w:keepLines w:val="0"/>
              <w:pageBreakBefore w:val="0"/>
              <w:widowControl/>
              <w:suppressLineNumbers w:val="0"/>
              <w:wordWrap/>
              <w:topLinePunct w:val="0"/>
              <w:bidi w:val="0"/>
              <w:spacing w:beforeAutospacing="0" w:afterAutospacing="0" w:line="400" w:lineRule="exact"/>
              <w:ind w:left="0" w:leftChars="0" w:right="0" w:rightChars="0"/>
              <w:jc w:val="both"/>
              <w:textAlignment w:val="bottom"/>
              <w:rPr>
                <w:rFonts w:hint="eastAsia" w:asciiTheme="minorEastAsia" w:hAnsiTheme="minorEastAsia" w:eastAsiaTheme="minorEastAsia" w:cstheme="minorEastAsia"/>
                <w:i w:val="0"/>
                <w:iCs w:val="0"/>
                <w:color w:val="auto"/>
                <w:kern w:val="2"/>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尾纤</w:t>
            </w:r>
          </w:p>
        </w:tc>
        <w:tc>
          <w:tcPr>
            <w:tcW w:w="192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17F8FA">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2"/>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16</w:t>
            </w:r>
          </w:p>
        </w:tc>
        <w:tc>
          <w:tcPr>
            <w:tcW w:w="145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8FC72D">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2"/>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根</w:t>
            </w:r>
          </w:p>
        </w:tc>
      </w:tr>
    </w:tbl>
    <w:p w14:paraId="3FA0DD74">
      <w:pPr>
        <w:pStyle w:val="97"/>
        <w:pageBreakBefore w:val="0"/>
        <w:widowControl w:val="0"/>
        <w:numPr>
          <w:ilvl w:val="0"/>
          <w:numId w:val="0"/>
        </w:numPr>
        <w:wordWrap/>
        <w:topLinePunct w:val="0"/>
        <w:bidi w:val="0"/>
        <w:spacing w:beforeAutospacing="0" w:afterAutospacing="0" w:line="400" w:lineRule="exact"/>
        <w:ind w:left="0" w:leftChars="0" w:right="0" w:rightChars="0"/>
        <w:contextualSpacing/>
        <w:jc w:val="both"/>
        <w:rPr>
          <w:rFonts w:hint="eastAsia" w:asciiTheme="minorEastAsia" w:hAnsiTheme="minorEastAsia" w:eastAsiaTheme="minorEastAsia" w:cstheme="minorEastAsia"/>
          <w:b w:val="0"/>
          <w:bCs/>
          <w:color w:val="auto"/>
          <w:sz w:val="21"/>
          <w:szCs w:val="21"/>
          <w:lang w:val="en-US" w:eastAsia="zh-CN"/>
        </w:rPr>
      </w:pPr>
    </w:p>
    <w:p w14:paraId="593C8314">
      <w:pPr>
        <w:pStyle w:val="6"/>
        <w:numPr>
          <w:ilvl w:val="0"/>
          <w:numId w:val="70"/>
        </w:numPr>
        <w:ind w:left="0" w:leftChars="0" w:firstLine="0" w:firstLineChars="0"/>
        <w:rPr>
          <w:rFonts w:hint="eastAsia" w:ascii="Times New Roman" w:hAnsi="Times New Roman" w:cs="Times New Roman"/>
          <w:color w:val="auto"/>
          <w:lang w:val="en-US" w:eastAsia="zh-CN"/>
        </w:rPr>
      </w:pPr>
      <w:r>
        <w:rPr>
          <w:rFonts w:hint="eastAsia" w:ascii="Times New Roman" w:hAnsi="Times New Roman" w:cs="Times New Roman"/>
          <w:color w:val="auto"/>
          <w:lang w:val="en-US" w:eastAsia="zh-CN"/>
        </w:rPr>
        <w:t>常州市田家炳高级中学基本要求</w:t>
      </w:r>
    </w:p>
    <w:tbl>
      <w:tblPr>
        <w:tblStyle w:val="43"/>
        <w:tblW w:w="85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960"/>
        <w:gridCol w:w="4927"/>
        <w:gridCol w:w="1425"/>
        <w:gridCol w:w="1225"/>
      </w:tblGrid>
      <w:tr w14:paraId="373AB6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15" w:hRule="atLeast"/>
          <w:jc w:val="center"/>
        </w:trPr>
        <w:tc>
          <w:tcPr>
            <w:tcW w:w="960" w:type="dxa"/>
            <w:tcBorders>
              <w:tl2br w:val="nil"/>
              <w:tr2bl w:val="nil"/>
            </w:tcBorders>
            <w:shd w:val="clear" w:color="auto" w:fill="auto"/>
            <w:noWrap/>
            <w:vAlign w:val="center"/>
          </w:tcPr>
          <w:p w14:paraId="51F17859">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b/>
                <w:bCs/>
                <w:i w:val="0"/>
                <w:iCs w:val="0"/>
                <w:color w:val="auto"/>
                <w:kern w:val="2"/>
                <w:sz w:val="21"/>
                <w:szCs w:val="21"/>
                <w:u w:val="none"/>
                <w:lang w:val="en-US" w:eastAsia="zh-CN" w:bidi="ar-SA"/>
              </w:rPr>
            </w:pPr>
            <w:r>
              <w:rPr>
                <w:rFonts w:hint="eastAsia" w:asciiTheme="minorEastAsia" w:hAnsiTheme="minorEastAsia" w:eastAsiaTheme="minorEastAsia" w:cstheme="minorEastAsia"/>
                <w:b/>
                <w:bCs/>
                <w:i w:val="0"/>
                <w:iCs w:val="0"/>
                <w:color w:val="auto"/>
                <w:kern w:val="0"/>
                <w:sz w:val="21"/>
                <w:szCs w:val="21"/>
                <w:u w:val="none"/>
                <w:lang w:val="en-US" w:eastAsia="zh-CN" w:bidi="ar"/>
              </w:rPr>
              <w:t>序号</w:t>
            </w:r>
          </w:p>
        </w:tc>
        <w:tc>
          <w:tcPr>
            <w:tcW w:w="4927" w:type="dxa"/>
            <w:tcBorders>
              <w:tl2br w:val="nil"/>
              <w:tr2bl w:val="nil"/>
            </w:tcBorders>
            <w:shd w:val="clear" w:color="auto" w:fill="auto"/>
            <w:noWrap/>
            <w:vAlign w:val="center"/>
          </w:tcPr>
          <w:p w14:paraId="2AF4FAEA">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b/>
                <w:bCs/>
                <w:i w:val="0"/>
                <w:iCs w:val="0"/>
                <w:color w:val="auto"/>
                <w:kern w:val="2"/>
                <w:sz w:val="21"/>
                <w:szCs w:val="21"/>
                <w:u w:val="none"/>
                <w:lang w:val="en-US" w:eastAsia="zh-CN" w:bidi="ar-SA"/>
              </w:rPr>
            </w:pPr>
            <w:r>
              <w:rPr>
                <w:rFonts w:hint="eastAsia" w:asciiTheme="minorEastAsia" w:hAnsiTheme="minorEastAsia" w:eastAsiaTheme="minorEastAsia" w:cstheme="minorEastAsia"/>
                <w:b/>
                <w:bCs/>
                <w:i w:val="0"/>
                <w:iCs w:val="0"/>
                <w:color w:val="auto"/>
                <w:kern w:val="0"/>
                <w:sz w:val="21"/>
                <w:szCs w:val="21"/>
                <w:u w:val="none"/>
                <w:lang w:val="en-US" w:eastAsia="zh-CN" w:bidi="ar"/>
              </w:rPr>
              <w:t>设备名称</w:t>
            </w:r>
          </w:p>
        </w:tc>
        <w:tc>
          <w:tcPr>
            <w:tcW w:w="1425" w:type="dxa"/>
            <w:tcBorders>
              <w:tl2br w:val="nil"/>
              <w:tr2bl w:val="nil"/>
            </w:tcBorders>
            <w:shd w:val="clear" w:color="auto" w:fill="auto"/>
            <w:noWrap/>
            <w:vAlign w:val="center"/>
          </w:tcPr>
          <w:p w14:paraId="076CFA9C">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b/>
                <w:bCs/>
                <w:i w:val="0"/>
                <w:iCs w:val="0"/>
                <w:color w:val="auto"/>
                <w:kern w:val="2"/>
                <w:sz w:val="21"/>
                <w:szCs w:val="21"/>
                <w:u w:val="none"/>
                <w:lang w:val="en-US" w:eastAsia="zh-CN" w:bidi="ar-SA"/>
              </w:rPr>
            </w:pPr>
            <w:r>
              <w:rPr>
                <w:rFonts w:hint="eastAsia" w:asciiTheme="minorEastAsia" w:hAnsiTheme="minorEastAsia" w:eastAsiaTheme="minorEastAsia" w:cstheme="minorEastAsia"/>
                <w:b/>
                <w:bCs/>
                <w:i w:val="0"/>
                <w:iCs w:val="0"/>
                <w:color w:val="auto"/>
                <w:kern w:val="0"/>
                <w:sz w:val="21"/>
                <w:szCs w:val="21"/>
                <w:u w:val="none"/>
                <w:lang w:val="en-US" w:eastAsia="zh-CN" w:bidi="ar"/>
              </w:rPr>
              <w:t>单位</w:t>
            </w:r>
          </w:p>
        </w:tc>
        <w:tc>
          <w:tcPr>
            <w:tcW w:w="1225" w:type="dxa"/>
            <w:tcBorders>
              <w:tl2br w:val="nil"/>
              <w:tr2bl w:val="nil"/>
            </w:tcBorders>
            <w:shd w:val="clear" w:color="auto" w:fill="auto"/>
            <w:noWrap/>
            <w:vAlign w:val="center"/>
          </w:tcPr>
          <w:p w14:paraId="035F73FE">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b/>
                <w:bCs/>
                <w:i w:val="0"/>
                <w:iCs w:val="0"/>
                <w:color w:val="auto"/>
                <w:kern w:val="2"/>
                <w:sz w:val="21"/>
                <w:szCs w:val="21"/>
                <w:u w:val="none"/>
                <w:lang w:val="en-US" w:eastAsia="zh-CN" w:bidi="ar-SA"/>
              </w:rPr>
            </w:pPr>
            <w:r>
              <w:rPr>
                <w:rFonts w:hint="eastAsia" w:asciiTheme="minorEastAsia" w:hAnsiTheme="minorEastAsia" w:eastAsiaTheme="minorEastAsia" w:cstheme="minorEastAsia"/>
                <w:b/>
                <w:bCs/>
                <w:i w:val="0"/>
                <w:iCs w:val="0"/>
                <w:color w:val="auto"/>
                <w:kern w:val="0"/>
                <w:sz w:val="21"/>
                <w:szCs w:val="21"/>
                <w:u w:val="none"/>
                <w:lang w:val="en-US" w:eastAsia="zh-CN" w:bidi="ar"/>
              </w:rPr>
              <w:t>数量</w:t>
            </w:r>
          </w:p>
        </w:tc>
      </w:tr>
      <w:tr w14:paraId="7A9F01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55" w:hRule="atLeast"/>
          <w:jc w:val="center"/>
        </w:trPr>
        <w:tc>
          <w:tcPr>
            <w:tcW w:w="960" w:type="dxa"/>
            <w:tcBorders>
              <w:tl2br w:val="nil"/>
              <w:tr2bl w:val="nil"/>
            </w:tcBorders>
            <w:shd w:val="clear" w:color="auto" w:fill="auto"/>
            <w:noWrap/>
            <w:vAlign w:val="bottom"/>
          </w:tcPr>
          <w:p w14:paraId="4D5193B9">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1</w:t>
            </w:r>
          </w:p>
        </w:tc>
        <w:tc>
          <w:tcPr>
            <w:tcW w:w="4927" w:type="dxa"/>
            <w:tcBorders>
              <w:tl2br w:val="nil"/>
              <w:tr2bl w:val="nil"/>
            </w:tcBorders>
            <w:shd w:val="clear" w:color="auto" w:fill="auto"/>
            <w:noWrap/>
            <w:vAlign w:val="bottom"/>
          </w:tcPr>
          <w:p w14:paraId="6825273E">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枪机</w:t>
            </w:r>
          </w:p>
        </w:tc>
        <w:tc>
          <w:tcPr>
            <w:tcW w:w="1425" w:type="dxa"/>
            <w:tcBorders>
              <w:tl2br w:val="nil"/>
              <w:tr2bl w:val="nil"/>
            </w:tcBorders>
            <w:shd w:val="clear" w:color="auto" w:fill="auto"/>
            <w:noWrap/>
            <w:vAlign w:val="bottom"/>
          </w:tcPr>
          <w:p w14:paraId="25489AF6">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44.00</w:t>
            </w:r>
          </w:p>
        </w:tc>
        <w:tc>
          <w:tcPr>
            <w:tcW w:w="1225" w:type="dxa"/>
            <w:tcBorders>
              <w:tl2br w:val="nil"/>
              <w:tr2bl w:val="nil"/>
            </w:tcBorders>
            <w:shd w:val="clear" w:color="auto" w:fill="auto"/>
            <w:noWrap/>
            <w:vAlign w:val="bottom"/>
          </w:tcPr>
          <w:p w14:paraId="431A0112">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台</w:t>
            </w:r>
          </w:p>
        </w:tc>
      </w:tr>
      <w:tr w14:paraId="41D524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55" w:hRule="atLeast"/>
          <w:jc w:val="center"/>
        </w:trPr>
        <w:tc>
          <w:tcPr>
            <w:tcW w:w="960" w:type="dxa"/>
            <w:tcBorders>
              <w:tl2br w:val="nil"/>
              <w:tr2bl w:val="nil"/>
            </w:tcBorders>
            <w:shd w:val="clear" w:color="auto" w:fill="auto"/>
            <w:noWrap/>
            <w:vAlign w:val="bottom"/>
          </w:tcPr>
          <w:p w14:paraId="6CAC560B">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2</w:t>
            </w:r>
          </w:p>
        </w:tc>
        <w:tc>
          <w:tcPr>
            <w:tcW w:w="4927" w:type="dxa"/>
            <w:tcBorders>
              <w:tl2br w:val="nil"/>
              <w:tr2bl w:val="nil"/>
            </w:tcBorders>
            <w:shd w:val="clear" w:color="auto" w:fill="auto"/>
            <w:noWrap/>
            <w:vAlign w:val="bottom"/>
          </w:tcPr>
          <w:p w14:paraId="3473F109">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球机</w:t>
            </w:r>
          </w:p>
        </w:tc>
        <w:tc>
          <w:tcPr>
            <w:tcW w:w="1425" w:type="dxa"/>
            <w:tcBorders>
              <w:tl2br w:val="nil"/>
              <w:tr2bl w:val="nil"/>
            </w:tcBorders>
            <w:shd w:val="clear" w:color="auto" w:fill="auto"/>
            <w:noWrap/>
            <w:vAlign w:val="bottom"/>
          </w:tcPr>
          <w:p w14:paraId="1DC50B73">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7.00</w:t>
            </w:r>
          </w:p>
        </w:tc>
        <w:tc>
          <w:tcPr>
            <w:tcW w:w="1225" w:type="dxa"/>
            <w:tcBorders>
              <w:tl2br w:val="nil"/>
              <w:tr2bl w:val="nil"/>
            </w:tcBorders>
            <w:shd w:val="clear" w:color="auto" w:fill="auto"/>
            <w:noWrap/>
            <w:vAlign w:val="bottom"/>
          </w:tcPr>
          <w:p w14:paraId="6EA0AB12">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台</w:t>
            </w:r>
          </w:p>
        </w:tc>
      </w:tr>
      <w:tr w14:paraId="2407F8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55" w:hRule="atLeast"/>
          <w:jc w:val="center"/>
        </w:trPr>
        <w:tc>
          <w:tcPr>
            <w:tcW w:w="960" w:type="dxa"/>
            <w:tcBorders>
              <w:tl2br w:val="nil"/>
              <w:tr2bl w:val="nil"/>
            </w:tcBorders>
            <w:shd w:val="clear" w:color="auto" w:fill="auto"/>
            <w:noWrap/>
            <w:vAlign w:val="bottom"/>
          </w:tcPr>
          <w:p w14:paraId="6A671801">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3</w:t>
            </w:r>
          </w:p>
        </w:tc>
        <w:tc>
          <w:tcPr>
            <w:tcW w:w="4927" w:type="dxa"/>
            <w:tcBorders>
              <w:tl2br w:val="nil"/>
              <w:tr2bl w:val="nil"/>
            </w:tcBorders>
            <w:shd w:val="clear" w:color="auto" w:fill="auto"/>
            <w:noWrap/>
            <w:vAlign w:val="bottom"/>
          </w:tcPr>
          <w:p w14:paraId="05984D2A">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半球支架</w:t>
            </w:r>
          </w:p>
        </w:tc>
        <w:tc>
          <w:tcPr>
            <w:tcW w:w="1425" w:type="dxa"/>
            <w:tcBorders>
              <w:tl2br w:val="nil"/>
              <w:tr2bl w:val="nil"/>
            </w:tcBorders>
            <w:shd w:val="clear" w:color="auto" w:fill="auto"/>
            <w:noWrap/>
            <w:vAlign w:val="bottom"/>
          </w:tcPr>
          <w:p w14:paraId="4D37C31A">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5.00</w:t>
            </w:r>
          </w:p>
        </w:tc>
        <w:tc>
          <w:tcPr>
            <w:tcW w:w="1225" w:type="dxa"/>
            <w:tcBorders>
              <w:tl2br w:val="nil"/>
              <w:tr2bl w:val="nil"/>
            </w:tcBorders>
            <w:shd w:val="clear" w:color="auto" w:fill="auto"/>
            <w:noWrap/>
            <w:vAlign w:val="bottom"/>
          </w:tcPr>
          <w:p w14:paraId="478D306E">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个</w:t>
            </w:r>
          </w:p>
        </w:tc>
      </w:tr>
      <w:tr w14:paraId="1C8905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55" w:hRule="atLeast"/>
          <w:jc w:val="center"/>
        </w:trPr>
        <w:tc>
          <w:tcPr>
            <w:tcW w:w="960" w:type="dxa"/>
            <w:tcBorders>
              <w:tl2br w:val="nil"/>
              <w:tr2bl w:val="nil"/>
            </w:tcBorders>
            <w:shd w:val="clear" w:color="auto" w:fill="auto"/>
            <w:noWrap/>
            <w:vAlign w:val="bottom"/>
          </w:tcPr>
          <w:p w14:paraId="617980B1">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4</w:t>
            </w:r>
          </w:p>
        </w:tc>
        <w:tc>
          <w:tcPr>
            <w:tcW w:w="4927" w:type="dxa"/>
            <w:tcBorders>
              <w:tl2br w:val="nil"/>
              <w:tr2bl w:val="nil"/>
            </w:tcBorders>
            <w:shd w:val="clear" w:color="auto" w:fill="auto"/>
            <w:noWrap/>
            <w:vAlign w:val="bottom"/>
          </w:tcPr>
          <w:p w14:paraId="01C984C6">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球机支架</w:t>
            </w:r>
          </w:p>
        </w:tc>
        <w:tc>
          <w:tcPr>
            <w:tcW w:w="1425" w:type="dxa"/>
            <w:tcBorders>
              <w:tl2br w:val="nil"/>
              <w:tr2bl w:val="nil"/>
            </w:tcBorders>
            <w:shd w:val="clear" w:color="auto" w:fill="auto"/>
            <w:noWrap/>
            <w:vAlign w:val="bottom"/>
          </w:tcPr>
          <w:p w14:paraId="4EE73672">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7.00</w:t>
            </w:r>
          </w:p>
        </w:tc>
        <w:tc>
          <w:tcPr>
            <w:tcW w:w="1225" w:type="dxa"/>
            <w:tcBorders>
              <w:tl2br w:val="nil"/>
              <w:tr2bl w:val="nil"/>
            </w:tcBorders>
            <w:shd w:val="clear" w:color="auto" w:fill="auto"/>
            <w:noWrap/>
            <w:vAlign w:val="bottom"/>
          </w:tcPr>
          <w:p w14:paraId="36A4E17B">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个</w:t>
            </w:r>
          </w:p>
        </w:tc>
      </w:tr>
      <w:tr w14:paraId="00F5A9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55" w:hRule="atLeast"/>
          <w:jc w:val="center"/>
        </w:trPr>
        <w:tc>
          <w:tcPr>
            <w:tcW w:w="960" w:type="dxa"/>
            <w:tcBorders>
              <w:tl2br w:val="nil"/>
              <w:tr2bl w:val="nil"/>
            </w:tcBorders>
            <w:shd w:val="clear" w:color="auto" w:fill="auto"/>
            <w:noWrap/>
            <w:vAlign w:val="bottom"/>
          </w:tcPr>
          <w:p w14:paraId="0DD25765">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5</w:t>
            </w:r>
          </w:p>
        </w:tc>
        <w:tc>
          <w:tcPr>
            <w:tcW w:w="4927" w:type="dxa"/>
            <w:tcBorders>
              <w:tl2br w:val="nil"/>
              <w:tr2bl w:val="nil"/>
            </w:tcBorders>
            <w:shd w:val="clear" w:color="auto" w:fill="auto"/>
            <w:noWrap/>
            <w:vAlign w:val="bottom"/>
          </w:tcPr>
          <w:p w14:paraId="09681343">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半球型摄像机</w:t>
            </w:r>
          </w:p>
        </w:tc>
        <w:tc>
          <w:tcPr>
            <w:tcW w:w="1425" w:type="dxa"/>
            <w:tcBorders>
              <w:tl2br w:val="nil"/>
              <w:tr2bl w:val="nil"/>
            </w:tcBorders>
            <w:shd w:val="clear" w:color="auto" w:fill="auto"/>
            <w:noWrap/>
            <w:vAlign w:val="bottom"/>
          </w:tcPr>
          <w:p w14:paraId="05A45C3D">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5.00</w:t>
            </w:r>
          </w:p>
        </w:tc>
        <w:tc>
          <w:tcPr>
            <w:tcW w:w="1225" w:type="dxa"/>
            <w:tcBorders>
              <w:tl2br w:val="nil"/>
              <w:tr2bl w:val="nil"/>
            </w:tcBorders>
            <w:shd w:val="clear" w:color="auto" w:fill="auto"/>
            <w:noWrap/>
            <w:vAlign w:val="bottom"/>
          </w:tcPr>
          <w:p w14:paraId="03AF50D3">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台</w:t>
            </w:r>
          </w:p>
        </w:tc>
      </w:tr>
      <w:tr w14:paraId="510DE8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55" w:hRule="atLeast"/>
          <w:jc w:val="center"/>
        </w:trPr>
        <w:tc>
          <w:tcPr>
            <w:tcW w:w="960" w:type="dxa"/>
            <w:tcBorders>
              <w:tl2br w:val="nil"/>
              <w:tr2bl w:val="nil"/>
            </w:tcBorders>
            <w:shd w:val="clear" w:color="auto" w:fill="auto"/>
            <w:noWrap/>
            <w:vAlign w:val="bottom"/>
          </w:tcPr>
          <w:p w14:paraId="678FA115">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6</w:t>
            </w:r>
          </w:p>
        </w:tc>
        <w:tc>
          <w:tcPr>
            <w:tcW w:w="4927" w:type="dxa"/>
            <w:tcBorders>
              <w:tl2br w:val="nil"/>
              <w:tr2bl w:val="nil"/>
            </w:tcBorders>
            <w:shd w:val="clear" w:color="auto" w:fill="auto"/>
            <w:noWrap/>
            <w:vAlign w:val="bottom"/>
          </w:tcPr>
          <w:p w14:paraId="76FEDD74">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筒机支架</w:t>
            </w:r>
          </w:p>
        </w:tc>
        <w:tc>
          <w:tcPr>
            <w:tcW w:w="1425" w:type="dxa"/>
            <w:tcBorders>
              <w:tl2br w:val="nil"/>
              <w:tr2bl w:val="nil"/>
            </w:tcBorders>
            <w:shd w:val="clear" w:color="auto" w:fill="auto"/>
            <w:noWrap/>
            <w:vAlign w:val="bottom"/>
          </w:tcPr>
          <w:p w14:paraId="460CB59A">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10.00</w:t>
            </w:r>
          </w:p>
        </w:tc>
        <w:tc>
          <w:tcPr>
            <w:tcW w:w="1225" w:type="dxa"/>
            <w:tcBorders>
              <w:tl2br w:val="nil"/>
              <w:tr2bl w:val="nil"/>
            </w:tcBorders>
            <w:shd w:val="clear" w:color="auto" w:fill="auto"/>
            <w:noWrap/>
            <w:vAlign w:val="bottom"/>
          </w:tcPr>
          <w:p w14:paraId="0FE4A024">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个</w:t>
            </w:r>
          </w:p>
        </w:tc>
      </w:tr>
      <w:tr w14:paraId="50545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55" w:hRule="atLeast"/>
          <w:jc w:val="center"/>
        </w:trPr>
        <w:tc>
          <w:tcPr>
            <w:tcW w:w="960" w:type="dxa"/>
            <w:tcBorders>
              <w:tl2br w:val="nil"/>
              <w:tr2bl w:val="nil"/>
            </w:tcBorders>
            <w:shd w:val="clear" w:color="auto" w:fill="auto"/>
            <w:noWrap/>
            <w:vAlign w:val="bottom"/>
          </w:tcPr>
          <w:p w14:paraId="2A255D59">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7</w:t>
            </w:r>
          </w:p>
        </w:tc>
        <w:tc>
          <w:tcPr>
            <w:tcW w:w="4927" w:type="dxa"/>
            <w:tcBorders>
              <w:tl2br w:val="nil"/>
              <w:tr2bl w:val="nil"/>
            </w:tcBorders>
            <w:shd w:val="clear" w:color="auto" w:fill="auto"/>
            <w:noWrap/>
            <w:vAlign w:val="bottom"/>
          </w:tcPr>
          <w:p w14:paraId="59E1BCDB">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48盘位存储</w:t>
            </w:r>
          </w:p>
        </w:tc>
        <w:tc>
          <w:tcPr>
            <w:tcW w:w="1425" w:type="dxa"/>
            <w:tcBorders>
              <w:tl2br w:val="nil"/>
              <w:tr2bl w:val="nil"/>
            </w:tcBorders>
            <w:shd w:val="clear" w:color="auto" w:fill="auto"/>
            <w:noWrap/>
            <w:vAlign w:val="bottom"/>
          </w:tcPr>
          <w:p w14:paraId="4E9C017B">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1.00</w:t>
            </w:r>
          </w:p>
        </w:tc>
        <w:tc>
          <w:tcPr>
            <w:tcW w:w="1225" w:type="dxa"/>
            <w:tcBorders>
              <w:tl2br w:val="nil"/>
              <w:tr2bl w:val="nil"/>
            </w:tcBorders>
            <w:shd w:val="clear" w:color="auto" w:fill="auto"/>
            <w:noWrap/>
            <w:vAlign w:val="bottom"/>
          </w:tcPr>
          <w:p w14:paraId="480E212E">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台</w:t>
            </w:r>
          </w:p>
        </w:tc>
      </w:tr>
      <w:tr w14:paraId="66D46A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55" w:hRule="atLeast"/>
          <w:jc w:val="center"/>
        </w:trPr>
        <w:tc>
          <w:tcPr>
            <w:tcW w:w="960" w:type="dxa"/>
            <w:tcBorders>
              <w:tl2br w:val="nil"/>
              <w:tr2bl w:val="nil"/>
            </w:tcBorders>
            <w:shd w:val="clear" w:color="auto" w:fill="auto"/>
            <w:noWrap/>
            <w:vAlign w:val="bottom"/>
          </w:tcPr>
          <w:p w14:paraId="4376B9E5">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8</w:t>
            </w:r>
          </w:p>
        </w:tc>
        <w:tc>
          <w:tcPr>
            <w:tcW w:w="4927" w:type="dxa"/>
            <w:tcBorders>
              <w:tl2br w:val="nil"/>
              <w:tr2bl w:val="nil"/>
            </w:tcBorders>
            <w:shd w:val="clear" w:color="auto" w:fill="auto"/>
            <w:noWrap/>
            <w:vAlign w:val="bottom"/>
          </w:tcPr>
          <w:p w14:paraId="20CBCBCC">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千兆光模块</w:t>
            </w:r>
          </w:p>
        </w:tc>
        <w:tc>
          <w:tcPr>
            <w:tcW w:w="1425" w:type="dxa"/>
            <w:tcBorders>
              <w:tl2br w:val="nil"/>
              <w:tr2bl w:val="nil"/>
            </w:tcBorders>
            <w:shd w:val="clear" w:color="auto" w:fill="auto"/>
            <w:noWrap/>
            <w:vAlign w:val="bottom"/>
          </w:tcPr>
          <w:p w14:paraId="428C4340">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6.00</w:t>
            </w:r>
          </w:p>
        </w:tc>
        <w:tc>
          <w:tcPr>
            <w:tcW w:w="1225" w:type="dxa"/>
            <w:tcBorders>
              <w:tl2br w:val="nil"/>
              <w:tr2bl w:val="nil"/>
            </w:tcBorders>
            <w:shd w:val="clear" w:color="auto" w:fill="auto"/>
            <w:noWrap/>
            <w:vAlign w:val="bottom"/>
          </w:tcPr>
          <w:p w14:paraId="17E95557">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个</w:t>
            </w:r>
          </w:p>
        </w:tc>
      </w:tr>
      <w:tr w14:paraId="6FA6CB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55" w:hRule="atLeast"/>
          <w:jc w:val="center"/>
        </w:trPr>
        <w:tc>
          <w:tcPr>
            <w:tcW w:w="960" w:type="dxa"/>
            <w:tcBorders>
              <w:tl2br w:val="nil"/>
              <w:tr2bl w:val="nil"/>
            </w:tcBorders>
            <w:shd w:val="clear" w:color="auto" w:fill="auto"/>
            <w:noWrap/>
            <w:vAlign w:val="bottom"/>
          </w:tcPr>
          <w:p w14:paraId="05E76967">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9</w:t>
            </w:r>
          </w:p>
        </w:tc>
        <w:tc>
          <w:tcPr>
            <w:tcW w:w="4927" w:type="dxa"/>
            <w:tcBorders>
              <w:tl2br w:val="nil"/>
              <w:tr2bl w:val="nil"/>
            </w:tcBorders>
            <w:shd w:val="clear" w:color="auto" w:fill="auto"/>
            <w:noWrap/>
            <w:vAlign w:val="bottom"/>
          </w:tcPr>
          <w:p w14:paraId="3FC62F5C">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3米单模双芯光纤跳线</w:t>
            </w:r>
          </w:p>
        </w:tc>
        <w:tc>
          <w:tcPr>
            <w:tcW w:w="1425" w:type="dxa"/>
            <w:tcBorders>
              <w:tl2br w:val="nil"/>
              <w:tr2bl w:val="nil"/>
            </w:tcBorders>
            <w:shd w:val="clear" w:color="auto" w:fill="auto"/>
            <w:noWrap/>
            <w:vAlign w:val="bottom"/>
          </w:tcPr>
          <w:p w14:paraId="08CFFCBF">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6.00</w:t>
            </w:r>
          </w:p>
        </w:tc>
        <w:tc>
          <w:tcPr>
            <w:tcW w:w="1225" w:type="dxa"/>
            <w:tcBorders>
              <w:tl2br w:val="nil"/>
              <w:tr2bl w:val="nil"/>
            </w:tcBorders>
            <w:shd w:val="clear" w:color="auto" w:fill="auto"/>
            <w:noWrap/>
            <w:vAlign w:val="bottom"/>
          </w:tcPr>
          <w:p w14:paraId="02FD86C2">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对</w:t>
            </w:r>
          </w:p>
        </w:tc>
      </w:tr>
      <w:tr w14:paraId="5785A0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jc w:val="center"/>
        </w:trPr>
        <w:tc>
          <w:tcPr>
            <w:tcW w:w="960" w:type="dxa"/>
            <w:tcBorders>
              <w:tl2br w:val="nil"/>
              <w:tr2bl w:val="nil"/>
            </w:tcBorders>
            <w:shd w:val="clear" w:color="auto" w:fill="auto"/>
            <w:noWrap/>
            <w:vAlign w:val="bottom"/>
          </w:tcPr>
          <w:p w14:paraId="56FED1A5">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lang w:val="en-US"/>
              </w:rPr>
            </w:pPr>
            <w:r>
              <w:rPr>
                <w:rFonts w:hint="eastAsia" w:asciiTheme="minorEastAsia" w:hAnsiTheme="minorEastAsia" w:eastAsiaTheme="minorEastAsia" w:cstheme="minorEastAsia"/>
                <w:i w:val="0"/>
                <w:iCs w:val="0"/>
                <w:color w:val="auto"/>
                <w:kern w:val="0"/>
                <w:sz w:val="21"/>
                <w:szCs w:val="21"/>
                <w:u w:val="none"/>
                <w:lang w:val="en-US" w:eastAsia="zh-CN" w:bidi="ar"/>
              </w:rPr>
              <w:t>10</w:t>
            </w:r>
          </w:p>
        </w:tc>
        <w:tc>
          <w:tcPr>
            <w:tcW w:w="4927" w:type="dxa"/>
            <w:tcBorders>
              <w:tl2br w:val="nil"/>
              <w:tr2bl w:val="nil"/>
            </w:tcBorders>
            <w:shd w:val="clear" w:color="auto" w:fill="auto"/>
            <w:noWrap/>
            <w:vAlign w:val="bottom"/>
          </w:tcPr>
          <w:p w14:paraId="5DE253A0">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PVC护线管</w:t>
            </w:r>
          </w:p>
        </w:tc>
        <w:tc>
          <w:tcPr>
            <w:tcW w:w="1425" w:type="dxa"/>
            <w:tcBorders>
              <w:tl2br w:val="nil"/>
              <w:tr2bl w:val="nil"/>
            </w:tcBorders>
            <w:shd w:val="clear" w:color="auto" w:fill="auto"/>
            <w:noWrap/>
            <w:vAlign w:val="bottom"/>
          </w:tcPr>
          <w:p w14:paraId="6E20E704">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100.00</w:t>
            </w:r>
          </w:p>
        </w:tc>
        <w:tc>
          <w:tcPr>
            <w:tcW w:w="1225" w:type="dxa"/>
            <w:tcBorders>
              <w:tl2br w:val="nil"/>
              <w:tr2bl w:val="nil"/>
            </w:tcBorders>
            <w:shd w:val="clear" w:color="auto" w:fill="auto"/>
            <w:noWrap/>
            <w:vAlign w:val="bottom"/>
          </w:tcPr>
          <w:p w14:paraId="5799F78A">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米</w:t>
            </w:r>
          </w:p>
        </w:tc>
      </w:tr>
      <w:tr w14:paraId="371D8D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55" w:hRule="atLeast"/>
          <w:jc w:val="center"/>
        </w:trPr>
        <w:tc>
          <w:tcPr>
            <w:tcW w:w="960" w:type="dxa"/>
            <w:tcBorders>
              <w:tl2br w:val="nil"/>
              <w:tr2bl w:val="nil"/>
            </w:tcBorders>
            <w:shd w:val="clear" w:color="auto" w:fill="auto"/>
            <w:noWrap/>
            <w:vAlign w:val="bottom"/>
          </w:tcPr>
          <w:p w14:paraId="74A62DC4">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lang w:val="en-US"/>
              </w:rPr>
            </w:pPr>
            <w:r>
              <w:rPr>
                <w:rFonts w:hint="eastAsia" w:asciiTheme="minorEastAsia" w:hAnsiTheme="minorEastAsia" w:eastAsiaTheme="minorEastAsia" w:cstheme="minorEastAsia"/>
                <w:i w:val="0"/>
                <w:iCs w:val="0"/>
                <w:color w:val="auto"/>
                <w:kern w:val="0"/>
                <w:sz w:val="21"/>
                <w:szCs w:val="21"/>
                <w:u w:val="none"/>
                <w:lang w:val="en-US" w:eastAsia="zh-CN" w:bidi="ar"/>
              </w:rPr>
              <w:t>11</w:t>
            </w:r>
          </w:p>
        </w:tc>
        <w:tc>
          <w:tcPr>
            <w:tcW w:w="4927" w:type="dxa"/>
            <w:tcBorders>
              <w:tl2br w:val="nil"/>
              <w:tr2bl w:val="nil"/>
            </w:tcBorders>
            <w:shd w:val="clear" w:color="auto" w:fill="auto"/>
            <w:noWrap/>
            <w:vAlign w:val="bottom"/>
          </w:tcPr>
          <w:p w14:paraId="5691B1FF">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线槽</w:t>
            </w:r>
          </w:p>
        </w:tc>
        <w:tc>
          <w:tcPr>
            <w:tcW w:w="1425" w:type="dxa"/>
            <w:tcBorders>
              <w:tl2br w:val="nil"/>
              <w:tr2bl w:val="nil"/>
            </w:tcBorders>
            <w:shd w:val="clear" w:color="auto" w:fill="auto"/>
            <w:noWrap/>
            <w:vAlign w:val="bottom"/>
          </w:tcPr>
          <w:p w14:paraId="4B2616C4">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40.00</w:t>
            </w:r>
          </w:p>
        </w:tc>
        <w:tc>
          <w:tcPr>
            <w:tcW w:w="1225" w:type="dxa"/>
            <w:tcBorders>
              <w:tl2br w:val="nil"/>
              <w:tr2bl w:val="nil"/>
            </w:tcBorders>
            <w:shd w:val="clear" w:color="auto" w:fill="auto"/>
            <w:noWrap/>
            <w:vAlign w:val="bottom"/>
          </w:tcPr>
          <w:p w14:paraId="00750DD5">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米</w:t>
            </w:r>
          </w:p>
        </w:tc>
      </w:tr>
      <w:tr w14:paraId="075EF2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55" w:hRule="atLeast"/>
          <w:jc w:val="center"/>
        </w:trPr>
        <w:tc>
          <w:tcPr>
            <w:tcW w:w="960" w:type="dxa"/>
            <w:tcBorders>
              <w:tl2br w:val="nil"/>
              <w:tr2bl w:val="nil"/>
            </w:tcBorders>
            <w:shd w:val="clear" w:color="auto" w:fill="auto"/>
            <w:noWrap/>
            <w:vAlign w:val="bottom"/>
          </w:tcPr>
          <w:p w14:paraId="5D97AD55">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lang w:val="en-US"/>
              </w:rPr>
            </w:pPr>
            <w:r>
              <w:rPr>
                <w:rFonts w:hint="eastAsia" w:asciiTheme="minorEastAsia" w:hAnsiTheme="minorEastAsia" w:eastAsiaTheme="minorEastAsia" w:cstheme="minorEastAsia"/>
                <w:i w:val="0"/>
                <w:iCs w:val="0"/>
                <w:color w:val="auto"/>
                <w:kern w:val="0"/>
                <w:sz w:val="21"/>
                <w:szCs w:val="21"/>
                <w:u w:val="none"/>
                <w:lang w:val="en-US" w:eastAsia="zh-CN" w:bidi="ar"/>
              </w:rPr>
              <w:t>12</w:t>
            </w:r>
          </w:p>
        </w:tc>
        <w:tc>
          <w:tcPr>
            <w:tcW w:w="4927" w:type="dxa"/>
            <w:tcBorders>
              <w:tl2br w:val="nil"/>
              <w:tr2bl w:val="nil"/>
            </w:tcBorders>
            <w:shd w:val="clear" w:color="auto" w:fill="auto"/>
            <w:noWrap/>
            <w:vAlign w:val="bottom"/>
          </w:tcPr>
          <w:p w14:paraId="4FEA16A4">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球机电源线</w:t>
            </w:r>
          </w:p>
        </w:tc>
        <w:tc>
          <w:tcPr>
            <w:tcW w:w="1425" w:type="dxa"/>
            <w:tcBorders>
              <w:tl2br w:val="nil"/>
              <w:tr2bl w:val="nil"/>
            </w:tcBorders>
            <w:shd w:val="clear" w:color="auto" w:fill="auto"/>
            <w:noWrap/>
            <w:vAlign w:val="bottom"/>
          </w:tcPr>
          <w:p w14:paraId="7A4BCB63">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500.00</w:t>
            </w:r>
          </w:p>
        </w:tc>
        <w:tc>
          <w:tcPr>
            <w:tcW w:w="1225" w:type="dxa"/>
            <w:tcBorders>
              <w:tl2br w:val="nil"/>
              <w:tr2bl w:val="nil"/>
            </w:tcBorders>
            <w:shd w:val="clear" w:color="auto" w:fill="auto"/>
            <w:noWrap/>
            <w:vAlign w:val="bottom"/>
          </w:tcPr>
          <w:p w14:paraId="29633423">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米</w:t>
            </w:r>
          </w:p>
        </w:tc>
      </w:tr>
      <w:tr w14:paraId="12D3CB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55" w:hRule="atLeast"/>
          <w:jc w:val="center"/>
        </w:trPr>
        <w:tc>
          <w:tcPr>
            <w:tcW w:w="960" w:type="dxa"/>
            <w:tcBorders>
              <w:tl2br w:val="nil"/>
              <w:tr2bl w:val="nil"/>
            </w:tcBorders>
            <w:shd w:val="clear" w:color="auto" w:fill="auto"/>
            <w:noWrap/>
            <w:vAlign w:val="bottom"/>
          </w:tcPr>
          <w:p w14:paraId="786D5109">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lang w:val="en-US"/>
              </w:rPr>
            </w:pPr>
            <w:r>
              <w:rPr>
                <w:rFonts w:hint="eastAsia" w:asciiTheme="minorEastAsia" w:hAnsiTheme="minorEastAsia" w:eastAsiaTheme="minorEastAsia" w:cstheme="minorEastAsia"/>
                <w:i w:val="0"/>
                <w:iCs w:val="0"/>
                <w:color w:val="auto"/>
                <w:kern w:val="0"/>
                <w:sz w:val="21"/>
                <w:szCs w:val="21"/>
                <w:u w:val="none"/>
                <w:lang w:val="en-US" w:eastAsia="zh-CN" w:bidi="ar"/>
              </w:rPr>
              <w:t>13</w:t>
            </w:r>
          </w:p>
        </w:tc>
        <w:tc>
          <w:tcPr>
            <w:tcW w:w="4927" w:type="dxa"/>
            <w:tcBorders>
              <w:tl2br w:val="nil"/>
              <w:tr2bl w:val="nil"/>
            </w:tcBorders>
            <w:shd w:val="clear" w:color="auto" w:fill="auto"/>
            <w:noWrap/>
            <w:vAlign w:val="bottom"/>
          </w:tcPr>
          <w:p w14:paraId="3FC02AFA">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8T企业硬盘</w:t>
            </w:r>
          </w:p>
        </w:tc>
        <w:tc>
          <w:tcPr>
            <w:tcW w:w="1425" w:type="dxa"/>
            <w:tcBorders>
              <w:tl2br w:val="nil"/>
              <w:tr2bl w:val="nil"/>
            </w:tcBorders>
            <w:shd w:val="clear" w:color="auto" w:fill="auto"/>
            <w:noWrap/>
            <w:vAlign w:val="bottom"/>
          </w:tcPr>
          <w:p w14:paraId="2E5FBB08">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30.00</w:t>
            </w:r>
          </w:p>
        </w:tc>
        <w:tc>
          <w:tcPr>
            <w:tcW w:w="1225" w:type="dxa"/>
            <w:tcBorders>
              <w:tl2br w:val="nil"/>
              <w:tr2bl w:val="nil"/>
            </w:tcBorders>
            <w:shd w:val="clear" w:color="auto" w:fill="auto"/>
            <w:noWrap/>
            <w:vAlign w:val="bottom"/>
          </w:tcPr>
          <w:p w14:paraId="17248172">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块</w:t>
            </w:r>
          </w:p>
        </w:tc>
      </w:tr>
      <w:tr w14:paraId="211902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55" w:hRule="atLeast"/>
          <w:jc w:val="center"/>
        </w:trPr>
        <w:tc>
          <w:tcPr>
            <w:tcW w:w="960" w:type="dxa"/>
            <w:tcBorders>
              <w:tl2br w:val="nil"/>
              <w:tr2bl w:val="nil"/>
            </w:tcBorders>
            <w:shd w:val="clear" w:color="auto" w:fill="auto"/>
            <w:noWrap/>
            <w:vAlign w:val="bottom"/>
          </w:tcPr>
          <w:p w14:paraId="28B8C33B">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lang w:val="en-US"/>
              </w:rPr>
            </w:pPr>
            <w:r>
              <w:rPr>
                <w:rFonts w:hint="eastAsia" w:asciiTheme="minorEastAsia" w:hAnsiTheme="minorEastAsia" w:eastAsiaTheme="minorEastAsia" w:cstheme="minorEastAsia"/>
                <w:i w:val="0"/>
                <w:iCs w:val="0"/>
                <w:color w:val="auto"/>
                <w:kern w:val="0"/>
                <w:sz w:val="21"/>
                <w:szCs w:val="21"/>
                <w:u w:val="none"/>
                <w:lang w:val="en-US" w:eastAsia="zh-CN" w:bidi="ar"/>
              </w:rPr>
              <w:t>14</w:t>
            </w:r>
          </w:p>
        </w:tc>
        <w:tc>
          <w:tcPr>
            <w:tcW w:w="4927" w:type="dxa"/>
            <w:tcBorders>
              <w:tl2br w:val="nil"/>
              <w:tr2bl w:val="nil"/>
            </w:tcBorders>
            <w:shd w:val="clear" w:color="auto" w:fill="auto"/>
            <w:noWrap/>
            <w:vAlign w:val="bottom"/>
          </w:tcPr>
          <w:p w14:paraId="378B834F">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24口POE交换机</w:t>
            </w:r>
          </w:p>
        </w:tc>
        <w:tc>
          <w:tcPr>
            <w:tcW w:w="1425" w:type="dxa"/>
            <w:tcBorders>
              <w:tl2br w:val="nil"/>
              <w:tr2bl w:val="nil"/>
            </w:tcBorders>
            <w:shd w:val="clear" w:color="auto" w:fill="auto"/>
            <w:noWrap/>
            <w:vAlign w:val="bottom"/>
          </w:tcPr>
          <w:p w14:paraId="11FA012E">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1.00</w:t>
            </w:r>
          </w:p>
        </w:tc>
        <w:tc>
          <w:tcPr>
            <w:tcW w:w="1225" w:type="dxa"/>
            <w:tcBorders>
              <w:tl2br w:val="nil"/>
              <w:tr2bl w:val="nil"/>
            </w:tcBorders>
            <w:shd w:val="clear" w:color="auto" w:fill="auto"/>
            <w:noWrap/>
            <w:vAlign w:val="bottom"/>
          </w:tcPr>
          <w:p w14:paraId="625CA693">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台</w:t>
            </w:r>
          </w:p>
        </w:tc>
      </w:tr>
      <w:tr w14:paraId="6A6F3E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55" w:hRule="atLeast"/>
          <w:jc w:val="center"/>
        </w:trPr>
        <w:tc>
          <w:tcPr>
            <w:tcW w:w="960" w:type="dxa"/>
            <w:tcBorders>
              <w:tl2br w:val="nil"/>
              <w:tr2bl w:val="nil"/>
            </w:tcBorders>
            <w:shd w:val="clear" w:color="auto" w:fill="auto"/>
            <w:noWrap/>
            <w:vAlign w:val="bottom"/>
          </w:tcPr>
          <w:p w14:paraId="62E2CB8F">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lang w:val="en-US"/>
              </w:rPr>
            </w:pPr>
            <w:r>
              <w:rPr>
                <w:rFonts w:hint="eastAsia" w:asciiTheme="minorEastAsia" w:hAnsiTheme="minorEastAsia" w:eastAsiaTheme="minorEastAsia" w:cstheme="minorEastAsia"/>
                <w:i w:val="0"/>
                <w:iCs w:val="0"/>
                <w:color w:val="auto"/>
                <w:kern w:val="0"/>
                <w:sz w:val="21"/>
                <w:szCs w:val="21"/>
                <w:u w:val="none"/>
                <w:lang w:val="en-US" w:eastAsia="zh-CN" w:bidi="ar"/>
              </w:rPr>
              <w:t>15</w:t>
            </w:r>
          </w:p>
        </w:tc>
        <w:tc>
          <w:tcPr>
            <w:tcW w:w="4927" w:type="dxa"/>
            <w:tcBorders>
              <w:tl2br w:val="nil"/>
              <w:tr2bl w:val="nil"/>
            </w:tcBorders>
            <w:shd w:val="clear" w:color="auto" w:fill="auto"/>
            <w:noWrap/>
            <w:vAlign w:val="bottom"/>
          </w:tcPr>
          <w:p w14:paraId="2C9AB588">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防水六类4对非屏蔽双绞线</w:t>
            </w:r>
          </w:p>
        </w:tc>
        <w:tc>
          <w:tcPr>
            <w:tcW w:w="1425" w:type="dxa"/>
            <w:tcBorders>
              <w:tl2br w:val="nil"/>
              <w:tr2bl w:val="nil"/>
            </w:tcBorders>
            <w:shd w:val="clear" w:color="auto" w:fill="auto"/>
            <w:noWrap/>
            <w:vAlign w:val="bottom"/>
          </w:tcPr>
          <w:p w14:paraId="0A207007">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1600.00</w:t>
            </w:r>
          </w:p>
        </w:tc>
        <w:tc>
          <w:tcPr>
            <w:tcW w:w="1225" w:type="dxa"/>
            <w:tcBorders>
              <w:tl2br w:val="nil"/>
              <w:tr2bl w:val="nil"/>
            </w:tcBorders>
            <w:shd w:val="clear" w:color="auto" w:fill="auto"/>
            <w:noWrap/>
            <w:vAlign w:val="bottom"/>
          </w:tcPr>
          <w:p w14:paraId="52209BF9">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米</w:t>
            </w:r>
          </w:p>
        </w:tc>
      </w:tr>
      <w:tr w14:paraId="020409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55" w:hRule="atLeast"/>
          <w:jc w:val="center"/>
        </w:trPr>
        <w:tc>
          <w:tcPr>
            <w:tcW w:w="960" w:type="dxa"/>
            <w:tcBorders>
              <w:tl2br w:val="nil"/>
              <w:tr2bl w:val="nil"/>
            </w:tcBorders>
            <w:shd w:val="clear" w:color="auto" w:fill="auto"/>
            <w:noWrap/>
            <w:vAlign w:val="bottom"/>
          </w:tcPr>
          <w:p w14:paraId="2B3DB995">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lang w:val="en-US"/>
              </w:rPr>
            </w:pPr>
            <w:r>
              <w:rPr>
                <w:rFonts w:hint="eastAsia" w:asciiTheme="minorEastAsia" w:hAnsiTheme="minorEastAsia" w:eastAsiaTheme="minorEastAsia" w:cstheme="minorEastAsia"/>
                <w:i w:val="0"/>
                <w:iCs w:val="0"/>
                <w:color w:val="auto"/>
                <w:kern w:val="0"/>
                <w:sz w:val="21"/>
                <w:szCs w:val="21"/>
                <w:u w:val="none"/>
                <w:lang w:val="en-US" w:eastAsia="zh-CN" w:bidi="ar"/>
              </w:rPr>
              <w:t>16</w:t>
            </w:r>
          </w:p>
        </w:tc>
        <w:tc>
          <w:tcPr>
            <w:tcW w:w="4927" w:type="dxa"/>
            <w:tcBorders>
              <w:tl2br w:val="nil"/>
              <w:tr2bl w:val="nil"/>
            </w:tcBorders>
            <w:shd w:val="clear" w:color="auto" w:fill="auto"/>
            <w:noWrap/>
            <w:vAlign w:val="bottom"/>
          </w:tcPr>
          <w:p w14:paraId="3A78D2DF">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8电口POE千兆交换机</w:t>
            </w:r>
          </w:p>
        </w:tc>
        <w:tc>
          <w:tcPr>
            <w:tcW w:w="1425" w:type="dxa"/>
            <w:tcBorders>
              <w:tl2br w:val="nil"/>
              <w:tr2bl w:val="nil"/>
            </w:tcBorders>
            <w:shd w:val="clear" w:color="auto" w:fill="auto"/>
            <w:noWrap/>
            <w:vAlign w:val="bottom"/>
          </w:tcPr>
          <w:p w14:paraId="339993A3">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2.00</w:t>
            </w:r>
          </w:p>
        </w:tc>
        <w:tc>
          <w:tcPr>
            <w:tcW w:w="1225" w:type="dxa"/>
            <w:tcBorders>
              <w:tl2br w:val="nil"/>
              <w:tr2bl w:val="nil"/>
            </w:tcBorders>
            <w:shd w:val="clear" w:color="auto" w:fill="auto"/>
            <w:noWrap/>
            <w:vAlign w:val="bottom"/>
          </w:tcPr>
          <w:p w14:paraId="04789951">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台</w:t>
            </w:r>
          </w:p>
        </w:tc>
      </w:tr>
      <w:tr w14:paraId="143224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55" w:hRule="atLeast"/>
          <w:jc w:val="center"/>
        </w:trPr>
        <w:tc>
          <w:tcPr>
            <w:tcW w:w="960" w:type="dxa"/>
            <w:tcBorders>
              <w:tl2br w:val="nil"/>
              <w:tr2bl w:val="nil"/>
            </w:tcBorders>
            <w:shd w:val="clear" w:color="auto" w:fill="auto"/>
            <w:noWrap/>
            <w:vAlign w:val="bottom"/>
          </w:tcPr>
          <w:p w14:paraId="5ED7B90A">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lang w:val="en-US"/>
              </w:rPr>
            </w:pPr>
            <w:r>
              <w:rPr>
                <w:rFonts w:hint="eastAsia" w:asciiTheme="minorEastAsia" w:hAnsiTheme="minorEastAsia" w:eastAsiaTheme="minorEastAsia" w:cstheme="minorEastAsia"/>
                <w:i w:val="0"/>
                <w:iCs w:val="0"/>
                <w:color w:val="auto"/>
                <w:kern w:val="0"/>
                <w:sz w:val="21"/>
                <w:szCs w:val="21"/>
                <w:u w:val="none"/>
                <w:lang w:val="en-US" w:eastAsia="zh-CN" w:bidi="ar"/>
              </w:rPr>
              <w:t>17</w:t>
            </w:r>
          </w:p>
        </w:tc>
        <w:tc>
          <w:tcPr>
            <w:tcW w:w="4927" w:type="dxa"/>
            <w:tcBorders>
              <w:tl2br w:val="nil"/>
              <w:tr2bl w:val="nil"/>
            </w:tcBorders>
            <w:shd w:val="clear" w:color="auto" w:fill="auto"/>
            <w:noWrap/>
            <w:vAlign w:val="bottom"/>
          </w:tcPr>
          <w:p w14:paraId="4F811CC2">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六类4对非屏蔽双绞线</w:t>
            </w:r>
          </w:p>
        </w:tc>
        <w:tc>
          <w:tcPr>
            <w:tcW w:w="1425" w:type="dxa"/>
            <w:tcBorders>
              <w:tl2br w:val="nil"/>
              <w:tr2bl w:val="nil"/>
            </w:tcBorders>
            <w:shd w:val="clear" w:color="auto" w:fill="auto"/>
            <w:noWrap/>
            <w:vAlign w:val="bottom"/>
          </w:tcPr>
          <w:p w14:paraId="2AF3EF6A">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800.00</w:t>
            </w:r>
          </w:p>
        </w:tc>
        <w:tc>
          <w:tcPr>
            <w:tcW w:w="1225" w:type="dxa"/>
            <w:tcBorders>
              <w:tl2br w:val="nil"/>
              <w:tr2bl w:val="nil"/>
            </w:tcBorders>
            <w:shd w:val="clear" w:color="auto" w:fill="auto"/>
            <w:noWrap/>
            <w:vAlign w:val="bottom"/>
          </w:tcPr>
          <w:p w14:paraId="0512ADDC">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米</w:t>
            </w:r>
          </w:p>
        </w:tc>
      </w:tr>
    </w:tbl>
    <w:p w14:paraId="32E15CD2">
      <w:pPr>
        <w:pStyle w:val="97"/>
        <w:pageBreakBefore w:val="0"/>
        <w:widowControl w:val="0"/>
        <w:numPr>
          <w:ilvl w:val="0"/>
          <w:numId w:val="0"/>
        </w:numPr>
        <w:wordWrap/>
        <w:topLinePunct w:val="0"/>
        <w:bidi w:val="0"/>
        <w:spacing w:beforeAutospacing="0" w:afterAutospacing="0" w:line="400" w:lineRule="exact"/>
        <w:ind w:left="0" w:leftChars="0" w:right="0" w:rightChars="0"/>
        <w:contextualSpacing/>
        <w:jc w:val="both"/>
        <w:rPr>
          <w:rFonts w:hint="eastAsia" w:asciiTheme="minorEastAsia" w:hAnsiTheme="minorEastAsia" w:eastAsiaTheme="minorEastAsia" w:cstheme="minorEastAsia"/>
          <w:b w:val="0"/>
          <w:bCs/>
          <w:color w:val="auto"/>
          <w:sz w:val="21"/>
          <w:szCs w:val="21"/>
          <w:lang w:val="en-US" w:eastAsia="zh-CN"/>
        </w:rPr>
      </w:pPr>
    </w:p>
    <w:p w14:paraId="380C4F2D">
      <w:pPr>
        <w:pStyle w:val="6"/>
        <w:numPr>
          <w:ilvl w:val="0"/>
          <w:numId w:val="70"/>
        </w:numPr>
        <w:ind w:left="0" w:leftChars="0" w:firstLine="0" w:firstLineChars="0"/>
        <w:rPr>
          <w:rFonts w:hint="eastAsia" w:ascii="Times New Roman" w:hAnsi="Times New Roman" w:cs="Times New Roman"/>
          <w:color w:val="auto"/>
          <w:lang w:val="en-US" w:eastAsia="zh-CN"/>
        </w:rPr>
      </w:pPr>
      <w:r>
        <w:rPr>
          <w:rFonts w:hint="eastAsia" w:ascii="Times New Roman" w:hAnsi="Times New Roman" w:cs="Times New Roman"/>
          <w:color w:val="auto"/>
          <w:lang w:val="en-US" w:eastAsia="zh-CN"/>
        </w:rPr>
        <w:t>常州市实验初级中学基本要求</w:t>
      </w:r>
    </w:p>
    <w:tbl>
      <w:tblPr>
        <w:tblStyle w:val="43"/>
        <w:tblW w:w="855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67"/>
        <w:gridCol w:w="5095"/>
        <w:gridCol w:w="988"/>
        <w:gridCol w:w="1400"/>
      </w:tblGrid>
      <w:tr w14:paraId="3D69DD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5B6F7">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b/>
                <w:bCs/>
                <w:i w:val="0"/>
                <w:iCs w:val="0"/>
                <w:color w:val="auto"/>
                <w:kern w:val="0"/>
                <w:sz w:val="21"/>
                <w:szCs w:val="21"/>
                <w:u w:val="none"/>
                <w:lang w:val="en-US" w:eastAsia="zh-CN" w:bidi="ar"/>
              </w:rPr>
              <w:t>序号</w:t>
            </w:r>
          </w:p>
        </w:tc>
        <w:tc>
          <w:tcPr>
            <w:tcW w:w="5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FB12F">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b/>
                <w:bCs/>
                <w:i w:val="0"/>
                <w:iCs w:val="0"/>
                <w:color w:val="auto"/>
                <w:kern w:val="0"/>
                <w:sz w:val="21"/>
                <w:szCs w:val="21"/>
                <w:u w:val="none"/>
                <w:lang w:val="en-US" w:eastAsia="zh-CN" w:bidi="ar"/>
              </w:rPr>
              <w:t>设备名称</w:t>
            </w:r>
          </w:p>
        </w:tc>
        <w:tc>
          <w:tcPr>
            <w:tcW w:w="9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C1DB3">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b/>
                <w:bCs/>
                <w:i w:val="0"/>
                <w:iCs w:val="0"/>
                <w:color w:val="auto"/>
                <w:kern w:val="0"/>
                <w:sz w:val="21"/>
                <w:szCs w:val="21"/>
                <w:u w:val="none"/>
                <w:lang w:val="en-US" w:eastAsia="zh-CN" w:bidi="ar"/>
              </w:rPr>
              <w:t>数量</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5FA1C">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b/>
                <w:bCs/>
                <w:i w:val="0"/>
                <w:iCs w:val="0"/>
                <w:color w:val="auto"/>
                <w:kern w:val="0"/>
                <w:sz w:val="21"/>
                <w:szCs w:val="21"/>
                <w:u w:val="none"/>
                <w:lang w:val="en-US" w:eastAsia="zh-CN" w:bidi="ar"/>
              </w:rPr>
              <w:t>单位</w:t>
            </w:r>
          </w:p>
        </w:tc>
      </w:tr>
      <w:tr w14:paraId="238461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C6214">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b/>
                <w:bCs/>
                <w:i w:val="0"/>
                <w:iCs w:val="0"/>
                <w:color w:val="auto"/>
                <w:kern w:val="0"/>
                <w:sz w:val="21"/>
                <w:szCs w:val="21"/>
                <w:u w:val="none"/>
                <w:lang w:val="en-US" w:eastAsia="zh-CN" w:bidi="ar"/>
              </w:rPr>
              <w:t>一</w:t>
            </w:r>
          </w:p>
        </w:tc>
        <w:tc>
          <w:tcPr>
            <w:tcW w:w="5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087A4">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b/>
                <w:bCs/>
                <w:i w:val="0"/>
                <w:iCs w:val="0"/>
                <w:color w:val="auto"/>
                <w:kern w:val="0"/>
                <w:sz w:val="21"/>
                <w:szCs w:val="21"/>
                <w:u w:val="none"/>
                <w:lang w:val="en-US" w:eastAsia="zh-CN" w:bidi="ar"/>
              </w:rPr>
              <w:t>视频监控增补</w:t>
            </w:r>
          </w:p>
        </w:tc>
        <w:tc>
          <w:tcPr>
            <w:tcW w:w="9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DBFBA">
            <w:pPr>
              <w:keepNext w:val="0"/>
              <w:keepLines w:val="0"/>
              <w:pageBreakBefore w:val="0"/>
              <w:kinsoku/>
              <w:wordWrap/>
              <w:overflowPunct/>
              <w:topLinePunct w:val="0"/>
              <w:autoSpaceDE/>
              <w:autoSpaceDN/>
              <w:bidi w:val="0"/>
              <w:adjustRightInd/>
              <w:snapToGrid/>
              <w:spacing w:beforeAutospacing="0" w:afterAutospacing="0" w:line="400" w:lineRule="exact"/>
              <w:ind w:left="0" w:leftChars="0" w:right="0" w:rightChars="0"/>
              <w:jc w:val="center"/>
              <w:rPr>
                <w:rFonts w:hint="eastAsia" w:asciiTheme="minorEastAsia" w:hAnsiTheme="minorEastAsia" w:eastAsiaTheme="minorEastAsia" w:cstheme="minorEastAsia"/>
                <w:i w:val="0"/>
                <w:iCs w:val="0"/>
                <w:color w:val="auto"/>
                <w:sz w:val="21"/>
                <w:szCs w:val="21"/>
                <w:u w:val="none"/>
              </w:rPr>
            </w:pP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5CE43">
            <w:pPr>
              <w:keepNext w:val="0"/>
              <w:keepLines w:val="0"/>
              <w:pageBreakBefore w:val="0"/>
              <w:kinsoku/>
              <w:wordWrap/>
              <w:overflowPunct/>
              <w:topLinePunct w:val="0"/>
              <w:autoSpaceDE/>
              <w:autoSpaceDN/>
              <w:bidi w:val="0"/>
              <w:adjustRightInd/>
              <w:snapToGrid/>
              <w:spacing w:beforeAutospacing="0" w:afterAutospacing="0" w:line="400" w:lineRule="exact"/>
              <w:ind w:left="0" w:leftChars="0" w:right="0" w:rightChars="0"/>
              <w:jc w:val="center"/>
              <w:rPr>
                <w:rFonts w:hint="eastAsia" w:asciiTheme="minorEastAsia" w:hAnsiTheme="minorEastAsia" w:eastAsiaTheme="minorEastAsia" w:cstheme="minorEastAsia"/>
                <w:i w:val="0"/>
                <w:iCs w:val="0"/>
                <w:color w:val="auto"/>
                <w:sz w:val="21"/>
                <w:szCs w:val="21"/>
                <w:u w:val="none"/>
              </w:rPr>
            </w:pPr>
          </w:p>
        </w:tc>
      </w:tr>
      <w:tr w14:paraId="24D0F3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C9384">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1</w:t>
            </w:r>
          </w:p>
        </w:tc>
        <w:tc>
          <w:tcPr>
            <w:tcW w:w="5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257A2">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400万筒形网络摄像机</w:t>
            </w:r>
          </w:p>
        </w:tc>
        <w:tc>
          <w:tcPr>
            <w:tcW w:w="9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250E6">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lang w:val="en-US"/>
              </w:rPr>
            </w:pPr>
            <w:r>
              <w:rPr>
                <w:rFonts w:hint="eastAsia" w:asciiTheme="minorEastAsia" w:hAnsiTheme="minorEastAsia" w:eastAsiaTheme="minorEastAsia" w:cstheme="minorEastAsia"/>
                <w:i w:val="0"/>
                <w:iCs w:val="0"/>
                <w:color w:val="auto"/>
                <w:kern w:val="0"/>
                <w:sz w:val="21"/>
                <w:szCs w:val="21"/>
                <w:u w:val="none"/>
                <w:lang w:val="en-US" w:eastAsia="zh-CN" w:bidi="ar"/>
              </w:rPr>
              <w:t>54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44AAC">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台</w:t>
            </w:r>
          </w:p>
        </w:tc>
      </w:tr>
      <w:tr w14:paraId="360424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F3CE7">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2</w:t>
            </w:r>
          </w:p>
        </w:tc>
        <w:tc>
          <w:tcPr>
            <w:tcW w:w="5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290EF">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摄像机支架</w:t>
            </w:r>
          </w:p>
        </w:tc>
        <w:tc>
          <w:tcPr>
            <w:tcW w:w="9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00F2F">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lang w:val="en-US"/>
              </w:rPr>
            </w:pPr>
            <w:r>
              <w:rPr>
                <w:rFonts w:hint="eastAsia" w:asciiTheme="minorEastAsia" w:hAnsiTheme="minorEastAsia" w:eastAsiaTheme="minorEastAsia" w:cstheme="minorEastAsia"/>
                <w:i w:val="0"/>
                <w:iCs w:val="0"/>
                <w:color w:val="auto"/>
                <w:kern w:val="0"/>
                <w:sz w:val="21"/>
                <w:szCs w:val="21"/>
                <w:u w:val="none"/>
                <w:lang w:val="en-US" w:eastAsia="zh-CN" w:bidi="ar"/>
              </w:rPr>
              <w:t>54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6C9C5">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套</w:t>
            </w:r>
          </w:p>
        </w:tc>
      </w:tr>
      <w:tr w14:paraId="2D4EC6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E8D00">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b/>
                <w:bCs/>
                <w:i w:val="0"/>
                <w:iCs w:val="0"/>
                <w:color w:val="auto"/>
                <w:kern w:val="0"/>
                <w:sz w:val="21"/>
                <w:szCs w:val="21"/>
                <w:u w:val="none"/>
                <w:lang w:val="en-US" w:eastAsia="zh-CN" w:bidi="ar"/>
              </w:rPr>
              <w:t>二</w:t>
            </w:r>
          </w:p>
        </w:tc>
        <w:tc>
          <w:tcPr>
            <w:tcW w:w="5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B4E6F">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b/>
                <w:bCs/>
                <w:i w:val="0"/>
                <w:iCs w:val="0"/>
                <w:color w:val="auto"/>
                <w:sz w:val="21"/>
                <w:szCs w:val="21"/>
                <w:u w:val="none"/>
                <w:lang w:val="en-US"/>
              </w:rPr>
            </w:pPr>
            <w:r>
              <w:rPr>
                <w:rFonts w:hint="eastAsia" w:asciiTheme="minorEastAsia" w:hAnsiTheme="minorEastAsia" w:eastAsiaTheme="minorEastAsia" w:cstheme="minorEastAsia"/>
                <w:b/>
                <w:bCs/>
                <w:i w:val="0"/>
                <w:iCs w:val="0"/>
                <w:color w:val="auto"/>
                <w:kern w:val="0"/>
                <w:sz w:val="21"/>
                <w:szCs w:val="21"/>
                <w:u w:val="none"/>
                <w:lang w:val="en-US" w:eastAsia="zh-CN" w:bidi="ar"/>
              </w:rPr>
              <w:t>存储增加</w:t>
            </w:r>
          </w:p>
        </w:tc>
        <w:tc>
          <w:tcPr>
            <w:tcW w:w="9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7E147">
            <w:pPr>
              <w:keepNext w:val="0"/>
              <w:keepLines w:val="0"/>
              <w:pageBreakBefore w:val="0"/>
              <w:kinsoku/>
              <w:wordWrap/>
              <w:overflowPunct/>
              <w:topLinePunct w:val="0"/>
              <w:autoSpaceDE/>
              <w:autoSpaceDN/>
              <w:bidi w:val="0"/>
              <w:adjustRightInd/>
              <w:snapToGrid/>
              <w:spacing w:beforeAutospacing="0" w:afterAutospacing="0" w:line="400" w:lineRule="exact"/>
              <w:ind w:left="0" w:leftChars="0" w:right="0" w:rightChars="0"/>
              <w:jc w:val="center"/>
              <w:rPr>
                <w:rFonts w:hint="eastAsia" w:asciiTheme="minorEastAsia" w:hAnsiTheme="minorEastAsia" w:eastAsiaTheme="minorEastAsia" w:cstheme="minorEastAsia"/>
                <w:i w:val="0"/>
                <w:iCs w:val="0"/>
                <w:color w:val="auto"/>
                <w:sz w:val="21"/>
                <w:szCs w:val="21"/>
                <w:u w:val="none"/>
              </w:rPr>
            </w:pP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06B9B">
            <w:pPr>
              <w:keepNext w:val="0"/>
              <w:keepLines w:val="0"/>
              <w:pageBreakBefore w:val="0"/>
              <w:kinsoku/>
              <w:wordWrap/>
              <w:overflowPunct/>
              <w:topLinePunct w:val="0"/>
              <w:autoSpaceDE/>
              <w:autoSpaceDN/>
              <w:bidi w:val="0"/>
              <w:adjustRightInd/>
              <w:snapToGrid/>
              <w:spacing w:beforeAutospacing="0" w:afterAutospacing="0" w:line="400" w:lineRule="exact"/>
              <w:ind w:left="0" w:leftChars="0" w:right="0" w:rightChars="0"/>
              <w:jc w:val="center"/>
              <w:rPr>
                <w:rFonts w:hint="eastAsia" w:asciiTheme="minorEastAsia" w:hAnsiTheme="minorEastAsia" w:eastAsiaTheme="minorEastAsia" w:cstheme="minorEastAsia"/>
                <w:i w:val="0"/>
                <w:iCs w:val="0"/>
                <w:color w:val="auto"/>
                <w:sz w:val="21"/>
                <w:szCs w:val="21"/>
                <w:u w:val="none"/>
              </w:rPr>
            </w:pPr>
          </w:p>
        </w:tc>
      </w:tr>
      <w:tr w14:paraId="322F8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C9381">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1</w:t>
            </w:r>
          </w:p>
        </w:tc>
        <w:tc>
          <w:tcPr>
            <w:tcW w:w="5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E085F">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16T企业级安防硬盘</w:t>
            </w:r>
          </w:p>
        </w:tc>
        <w:tc>
          <w:tcPr>
            <w:tcW w:w="9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FA2ED">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lang w:val="en-US"/>
              </w:rPr>
            </w:pPr>
            <w:r>
              <w:rPr>
                <w:rFonts w:hint="eastAsia" w:asciiTheme="minorEastAsia" w:hAnsiTheme="minorEastAsia" w:eastAsiaTheme="minorEastAsia" w:cstheme="minorEastAsia"/>
                <w:i w:val="0"/>
                <w:iCs w:val="0"/>
                <w:color w:val="auto"/>
                <w:kern w:val="0"/>
                <w:sz w:val="21"/>
                <w:szCs w:val="21"/>
                <w:u w:val="none"/>
                <w:lang w:val="en-US" w:eastAsia="zh-CN" w:bidi="ar"/>
              </w:rPr>
              <w:t>16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42476">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块</w:t>
            </w:r>
          </w:p>
        </w:tc>
      </w:tr>
      <w:tr w14:paraId="408A53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29367">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b/>
                <w:bCs/>
                <w:i w:val="0"/>
                <w:iCs w:val="0"/>
                <w:color w:val="auto"/>
                <w:kern w:val="0"/>
                <w:sz w:val="21"/>
                <w:szCs w:val="21"/>
                <w:u w:val="none"/>
                <w:lang w:val="en-US" w:eastAsia="zh-CN" w:bidi="ar"/>
              </w:rPr>
              <w:t>三</w:t>
            </w:r>
          </w:p>
        </w:tc>
        <w:tc>
          <w:tcPr>
            <w:tcW w:w="5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7446E">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b/>
                <w:bCs/>
                <w:i w:val="0"/>
                <w:iCs w:val="0"/>
                <w:color w:val="auto"/>
                <w:kern w:val="0"/>
                <w:sz w:val="21"/>
                <w:szCs w:val="21"/>
                <w:u w:val="none"/>
                <w:lang w:val="en-US" w:eastAsia="zh-CN" w:bidi="ar"/>
              </w:rPr>
              <w:t>管线敷设</w:t>
            </w:r>
          </w:p>
        </w:tc>
        <w:tc>
          <w:tcPr>
            <w:tcW w:w="9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05185">
            <w:pPr>
              <w:keepNext w:val="0"/>
              <w:keepLines w:val="0"/>
              <w:pageBreakBefore w:val="0"/>
              <w:kinsoku/>
              <w:wordWrap/>
              <w:overflowPunct/>
              <w:topLinePunct w:val="0"/>
              <w:autoSpaceDE/>
              <w:autoSpaceDN/>
              <w:bidi w:val="0"/>
              <w:adjustRightInd/>
              <w:snapToGrid/>
              <w:spacing w:beforeAutospacing="0" w:afterAutospacing="0" w:line="400" w:lineRule="exact"/>
              <w:ind w:left="0" w:leftChars="0" w:right="0" w:rightChars="0"/>
              <w:rPr>
                <w:rFonts w:hint="eastAsia" w:asciiTheme="minorEastAsia" w:hAnsiTheme="minorEastAsia" w:eastAsiaTheme="minorEastAsia" w:cstheme="minorEastAsia"/>
                <w:i w:val="0"/>
                <w:iCs w:val="0"/>
                <w:color w:val="auto"/>
                <w:sz w:val="21"/>
                <w:szCs w:val="21"/>
                <w:u w:val="none"/>
              </w:rPr>
            </w:pP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A6744">
            <w:pPr>
              <w:keepNext w:val="0"/>
              <w:keepLines w:val="0"/>
              <w:pageBreakBefore w:val="0"/>
              <w:kinsoku/>
              <w:wordWrap/>
              <w:overflowPunct/>
              <w:topLinePunct w:val="0"/>
              <w:autoSpaceDE/>
              <w:autoSpaceDN/>
              <w:bidi w:val="0"/>
              <w:adjustRightInd/>
              <w:snapToGrid/>
              <w:spacing w:beforeAutospacing="0" w:afterAutospacing="0" w:line="400" w:lineRule="exact"/>
              <w:ind w:left="0" w:leftChars="0" w:right="0" w:rightChars="0"/>
              <w:rPr>
                <w:rFonts w:hint="eastAsia" w:asciiTheme="minorEastAsia" w:hAnsiTheme="minorEastAsia" w:eastAsiaTheme="minorEastAsia" w:cstheme="minorEastAsia"/>
                <w:i w:val="0"/>
                <w:iCs w:val="0"/>
                <w:color w:val="auto"/>
                <w:sz w:val="21"/>
                <w:szCs w:val="21"/>
                <w:u w:val="none"/>
              </w:rPr>
            </w:pPr>
          </w:p>
        </w:tc>
      </w:tr>
      <w:tr w14:paraId="54E6D3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88370">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1</w:t>
            </w:r>
          </w:p>
        </w:tc>
        <w:tc>
          <w:tcPr>
            <w:tcW w:w="5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7E721">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护线管</w:t>
            </w:r>
          </w:p>
        </w:tc>
        <w:tc>
          <w:tcPr>
            <w:tcW w:w="9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0C666">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600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5C839">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米</w:t>
            </w:r>
          </w:p>
        </w:tc>
      </w:tr>
      <w:tr w14:paraId="72ED01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D5789">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2</w:t>
            </w:r>
          </w:p>
        </w:tc>
        <w:tc>
          <w:tcPr>
            <w:tcW w:w="5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9AC6D">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六类4对非屏蔽双绞线</w:t>
            </w:r>
          </w:p>
        </w:tc>
        <w:tc>
          <w:tcPr>
            <w:tcW w:w="9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3D006">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lang w:val="en-US"/>
              </w:rPr>
            </w:pPr>
            <w:r>
              <w:rPr>
                <w:rFonts w:hint="eastAsia" w:asciiTheme="minorEastAsia" w:hAnsiTheme="minorEastAsia" w:eastAsiaTheme="minorEastAsia" w:cstheme="minorEastAsia"/>
                <w:i w:val="0"/>
                <w:iCs w:val="0"/>
                <w:color w:val="auto"/>
                <w:kern w:val="0"/>
                <w:sz w:val="21"/>
                <w:szCs w:val="21"/>
                <w:u w:val="none"/>
                <w:lang w:val="en-US" w:eastAsia="zh-CN" w:bidi="ar"/>
              </w:rPr>
              <w:t>4000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3645F">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米</w:t>
            </w:r>
          </w:p>
        </w:tc>
      </w:tr>
      <w:tr w14:paraId="7667F8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A8E09">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b/>
                <w:bCs/>
                <w:i w:val="0"/>
                <w:iCs w:val="0"/>
                <w:color w:val="auto"/>
                <w:kern w:val="0"/>
                <w:sz w:val="21"/>
                <w:szCs w:val="21"/>
                <w:u w:val="none"/>
                <w:lang w:val="en-US" w:eastAsia="zh-CN" w:bidi="ar"/>
              </w:rPr>
              <w:t>四</w:t>
            </w:r>
          </w:p>
        </w:tc>
        <w:tc>
          <w:tcPr>
            <w:tcW w:w="5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4F3DC">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b/>
                <w:bCs/>
                <w:i w:val="0"/>
                <w:iCs w:val="0"/>
                <w:color w:val="auto"/>
                <w:kern w:val="0"/>
                <w:sz w:val="21"/>
                <w:szCs w:val="21"/>
                <w:u w:val="none"/>
                <w:lang w:val="en-US" w:eastAsia="zh-CN" w:bidi="ar"/>
              </w:rPr>
              <w:t>网络传输</w:t>
            </w:r>
          </w:p>
        </w:tc>
        <w:tc>
          <w:tcPr>
            <w:tcW w:w="9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AC2D4">
            <w:pPr>
              <w:keepNext w:val="0"/>
              <w:keepLines w:val="0"/>
              <w:pageBreakBefore w:val="0"/>
              <w:kinsoku/>
              <w:wordWrap/>
              <w:overflowPunct/>
              <w:topLinePunct w:val="0"/>
              <w:autoSpaceDE/>
              <w:autoSpaceDN/>
              <w:bidi w:val="0"/>
              <w:adjustRightInd/>
              <w:snapToGrid/>
              <w:spacing w:beforeAutospacing="0" w:afterAutospacing="0" w:line="400" w:lineRule="exact"/>
              <w:ind w:left="0" w:leftChars="0" w:right="0" w:rightChars="0"/>
              <w:jc w:val="center"/>
              <w:rPr>
                <w:rFonts w:hint="eastAsia" w:asciiTheme="minorEastAsia" w:hAnsiTheme="minorEastAsia" w:eastAsiaTheme="minorEastAsia" w:cstheme="minorEastAsia"/>
                <w:i w:val="0"/>
                <w:iCs w:val="0"/>
                <w:color w:val="auto"/>
                <w:sz w:val="21"/>
                <w:szCs w:val="21"/>
                <w:u w:val="none"/>
              </w:rPr>
            </w:pP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2DC61">
            <w:pPr>
              <w:keepNext w:val="0"/>
              <w:keepLines w:val="0"/>
              <w:pageBreakBefore w:val="0"/>
              <w:kinsoku/>
              <w:wordWrap/>
              <w:overflowPunct/>
              <w:topLinePunct w:val="0"/>
              <w:autoSpaceDE/>
              <w:autoSpaceDN/>
              <w:bidi w:val="0"/>
              <w:adjustRightInd/>
              <w:snapToGrid/>
              <w:spacing w:beforeAutospacing="0" w:afterAutospacing="0" w:line="400" w:lineRule="exact"/>
              <w:ind w:left="0" w:leftChars="0" w:right="0" w:rightChars="0"/>
              <w:jc w:val="center"/>
              <w:rPr>
                <w:rFonts w:hint="eastAsia" w:asciiTheme="minorEastAsia" w:hAnsiTheme="minorEastAsia" w:eastAsiaTheme="minorEastAsia" w:cstheme="minorEastAsia"/>
                <w:i w:val="0"/>
                <w:iCs w:val="0"/>
                <w:color w:val="auto"/>
                <w:sz w:val="21"/>
                <w:szCs w:val="21"/>
                <w:u w:val="none"/>
              </w:rPr>
            </w:pPr>
          </w:p>
        </w:tc>
      </w:tr>
      <w:tr w14:paraId="07199E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EB556">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1</w:t>
            </w:r>
          </w:p>
        </w:tc>
        <w:tc>
          <w:tcPr>
            <w:tcW w:w="5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A582B">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24电口千兆POE交换机</w:t>
            </w:r>
          </w:p>
        </w:tc>
        <w:tc>
          <w:tcPr>
            <w:tcW w:w="9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1AD26">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39543">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台</w:t>
            </w:r>
          </w:p>
        </w:tc>
      </w:tr>
      <w:tr w14:paraId="1DFC54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BF5D0">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2</w:t>
            </w:r>
          </w:p>
        </w:tc>
        <w:tc>
          <w:tcPr>
            <w:tcW w:w="5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47180">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8电口千兆POE交换机</w:t>
            </w:r>
          </w:p>
        </w:tc>
        <w:tc>
          <w:tcPr>
            <w:tcW w:w="9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AF9CF">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F058F">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台</w:t>
            </w:r>
          </w:p>
        </w:tc>
      </w:tr>
      <w:tr w14:paraId="4BE99D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D3A8A">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3</w:t>
            </w:r>
          </w:p>
        </w:tc>
        <w:tc>
          <w:tcPr>
            <w:tcW w:w="5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F3392">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千兆光模块</w:t>
            </w:r>
          </w:p>
        </w:tc>
        <w:tc>
          <w:tcPr>
            <w:tcW w:w="9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2453C">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lang w:val="en-US"/>
              </w:rPr>
            </w:pPr>
            <w:r>
              <w:rPr>
                <w:rFonts w:hint="eastAsia" w:asciiTheme="minorEastAsia" w:hAnsiTheme="minorEastAsia" w:eastAsiaTheme="minorEastAsia" w:cstheme="minorEastAsia"/>
                <w:i w:val="0"/>
                <w:iCs w:val="0"/>
                <w:color w:val="auto"/>
                <w:kern w:val="0"/>
                <w:sz w:val="21"/>
                <w:szCs w:val="21"/>
                <w:u w:val="none"/>
                <w:lang w:val="en-US" w:eastAsia="zh-CN" w:bidi="ar"/>
              </w:rPr>
              <w:t>16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8D5D0">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个</w:t>
            </w:r>
          </w:p>
        </w:tc>
      </w:tr>
      <w:tr w14:paraId="351CB9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25DE2">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4</w:t>
            </w:r>
          </w:p>
        </w:tc>
        <w:tc>
          <w:tcPr>
            <w:tcW w:w="5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7E610">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3米单模双芯光纤跳线</w:t>
            </w:r>
          </w:p>
        </w:tc>
        <w:tc>
          <w:tcPr>
            <w:tcW w:w="9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79B2F">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12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4E67A">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对</w:t>
            </w:r>
          </w:p>
        </w:tc>
      </w:tr>
    </w:tbl>
    <w:p w14:paraId="58401993">
      <w:pPr>
        <w:pStyle w:val="97"/>
        <w:pageBreakBefore w:val="0"/>
        <w:widowControl w:val="0"/>
        <w:numPr>
          <w:ilvl w:val="0"/>
          <w:numId w:val="0"/>
        </w:numPr>
        <w:wordWrap/>
        <w:topLinePunct w:val="0"/>
        <w:bidi w:val="0"/>
        <w:spacing w:beforeAutospacing="0" w:afterAutospacing="0" w:line="400" w:lineRule="exact"/>
        <w:ind w:left="0" w:leftChars="0" w:right="0" w:rightChars="0"/>
        <w:contextualSpacing/>
        <w:jc w:val="both"/>
        <w:rPr>
          <w:rFonts w:hint="eastAsia" w:asciiTheme="minorEastAsia" w:hAnsiTheme="minorEastAsia" w:eastAsiaTheme="minorEastAsia" w:cstheme="minorEastAsia"/>
          <w:b w:val="0"/>
          <w:bCs/>
          <w:color w:val="auto"/>
          <w:sz w:val="21"/>
          <w:szCs w:val="21"/>
          <w:lang w:val="en-US" w:eastAsia="zh-CN"/>
        </w:rPr>
      </w:pPr>
    </w:p>
    <w:p w14:paraId="097813C9">
      <w:pPr>
        <w:pStyle w:val="6"/>
        <w:numPr>
          <w:ilvl w:val="0"/>
          <w:numId w:val="70"/>
        </w:numPr>
        <w:ind w:left="0" w:leftChars="0" w:firstLine="0" w:firstLineChars="0"/>
        <w:rPr>
          <w:rFonts w:hint="eastAsia" w:ascii="Times New Roman" w:hAnsi="Times New Roman" w:cs="Times New Roman"/>
          <w:color w:val="auto"/>
          <w:lang w:val="en-US" w:eastAsia="zh-CN"/>
        </w:rPr>
      </w:pPr>
      <w:r>
        <w:rPr>
          <w:rFonts w:hint="eastAsia" w:ascii="Times New Roman" w:hAnsi="Times New Roman" w:cs="Times New Roman"/>
          <w:color w:val="auto"/>
          <w:lang w:val="en-US" w:eastAsia="zh-CN"/>
        </w:rPr>
        <w:t>常州市花园中学基本要求</w:t>
      </w:r>
    </w:p>
    <w:tbl>
      <w:tblPr>
        <w:tblStyle w:val="43"/>
        <w:tblW w:w="855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69"/>
        <w:gridCol w:w="4956"/>
        <w:gridCol w:w="1437"/>
        <w:gridCol w:w="1088"/>
      </w:tblGrid>
      <w:tr w14:paraId="4C459E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10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C2958">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b/>
                <w:bCs/>
                <w:i w:val="0"/>
                <w:iCs w:val="0"/>
                <w:color w:val="auto"/>
                <w:kern w:val="0"/>
                <w:sz w:val="21"/>
                <w:szCs w:val="21"/>
                <w:u w:val="none"/>
                <w:lang w:val="en-US" w:eastAsia="zh-CN" w:bidi="ar"/>
              </w:rPr>
              <w:t>序号</w:t>
            </w:r>
          </w:p>
        </w:tc>
        <w:tc>
          <w:tcPr>
            <w:tcW w:w="4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E9E53">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b/>
                <w:bCs/>
                <w:i w:val="0"/>
                <w:iCs w:val="0"/>
                <w:color w:val="auto"/>
                <w:kern w:val="0"/>
                <w:sz w:val="21"/>
                <w:szCs w:val="21"/>
                <w:u w:val="none"/>
                <w:lang w:val="en-US" w:eastAsia="zh-CN" w:bidi="ar"/>
              </w:rPr>
              <w:t>设备名称</w:t>
            </w:r>
          </w:p>
        </w:tc>
        <w:tc>
          <w:tcPr>
            <w:tcW w:w="1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485E7">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b/>
                <w:bCs/>
                <w:i w:val="0"/>
                <w:iCs w:val="0"/>
                <w:color w:val="auto"/>
                <w:kern w:val="0"/>
                <w:sz w:val="21"/>
                <w:szCs w:val="21"/>
                <w:u w:val="none"/>
                <w:lang w:val="en-US" w:eastAsia="zh-CN" w:bidi="ar"/>
              </w:rPr>
              <w:t>单位</w:t>
            </w:r>
          </w:p>
        </w:tc>
        <w:tc>
          <w:tcPr>
            <w:tcW w:w="10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2FFA0">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b/>
                <w:bCs/>
                <w:i w:val="0"/>
                <w:iCs w:val="0"/>
                <w:color w:val="auto"/>
                <w:kern w:val="0"/>
                <w:sz w:val="21"/>
                <w:szCs w:val="21"/>
                <w:u w:val="none"/>
                <w:lang w:val="en-US" w:eastAsia="zh-CN" w:bidi="ar"/>
              </w:rPr>
              <w:t>数量</w:t>
            </w:r>
          </w:p>
        </w:tc>
      </w:tr>
      <w:tr w14:paraId="65BC3B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1069" w:type="dxa"/>
            <w:tcBorders>
              <w:top w:val="nil"/>
              <w:left w:val="single" w:color="000000" w:sz="4" w:space="0"/>
              <w:bottom w:val="single" w:color="000000" w:sz="4" w:space="0"/>
              <w:right w:val="single" w:color="000000" w:sz="4" w:space="0"/>
            </w:tcBorders>
            <w:shd w:val="clear" w:color="auto" w:fill="auto"/>
            <w:noWrap/>
            <w:vAlign w:val="center"/>
          </w:tcPr>
          <w:p w14:paraId="552829AD">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1</w:t>
            </w:r>
          </w:p>
        </w:tc>
        <w:tc>
          <w:tcPr>
            <w:tcW w:w="4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38F51">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六类4对非屏蔽双绞线</w:t>
            </w:r>
          </w:p>
        </w:tc>
        <w:tc>
          <w:tcPr>
            <w:tcW w:w="1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36FDF">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米</w:t>
            </w:r>
          </w:p>
        </w:tc>
        <w:tc>
          <w:tcPr>
            <w:tcW w:w="10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511C0">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1800</w:t>
            </w:r>
          </w:p>
        </w:tc>
      </w:tr>
      <w:tr w14:paraId="7C2812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1069" w:type="dxa"/>
            <w:tcBorders>
              <w:top w:val="nil"/>
              <w:left w:val="single" w:color="000000" w:sz="4" w:space="0"/>
              <w:bottom w:val="single" w:color="000000" w:sz="4" w:space="0"/>
              <w:right w:val="single" w:color="000000" w:sz="4" w:space="0"/>
            </w:tcBorders>
            <w:shd w:val="clear" w:color="auto" w:fill="auto"/>
            <w:noWrap/>
            <w:vAlign w:val="center"/>
          </w:tcPr>
          <w:p w14:paraId="4D092FEC">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2</w:t>
            </w:r>
          </w:p>
        </w:tc>
        <w:tc>
          <w:tcPr>
            <w:tcW w:w="4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6EF60">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PVC护线管</w:t>
            </w:r>
          </w:p>
        </w:tc>
        <w:tc>
          <w:tcPr>
            <w:tcW w:w="1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7BFE2">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米</w:t>
            </w:r>
          </w:p>
        </w:tc>
        <w:tc>
          <w:tcPr>
            <w:tcW w:w="10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BD5FA">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200</w:t>
            </w:r>
          </w:p>
        </w:tc>
      </w:tr>
      <w:tr w14:paraId="791AEC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jc w:val="center"/>
        </w:trPr>
        <w:tc>
          <w:tcPr>
            <w:tcW w:w="1069" w:type="dxa"/>
            <w:tcBorders>
              <w:top w:val="nil"/>
              <w:left w:val="single" w:color="000000" w:sz="4" w:space="0"/>
              <w:bottom w:val="single" w:color="000000" w:sz="4" w:space="0"/>
              <w:right w:val="single" w:color="000000" w:sz="4" w:space="0"/>
            </w:tcBorders>
            <w:shd w:val="clear" w:color="auto" w:fill="auto"/>
            <w:noWrap/>
            <w:vAlign w:val="center"/>
          </w:tcPr>
          <w:p w14:paraId="59542426">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3</w:t>
            </w:r>
          </w:p>
        </w:tc>
        <w:tc>
          <w:tcPr>
            <w:tcW w:w="4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73B5D">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高清网络摄像机</w:t>
            </w:r>
          </w:p>
        </w:tc>
        <w:tc>
          <w:tcPr>
            <w:tcW w:w="1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2B600">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台</w:t>
            </w:r>
          </w:p>
        </w:tc>
        <w:tc>
          <w:tcPr>
            <w:tcW w:w="10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3E729">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47</w:t>
            </w:r>
          </w:p>
        </w:tc>
      </w:tr>
      <w:tr w14:paraId="284DC0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1069" w:type="dxa"/>
            <w:tcBorders>
              <w:top w:val="nil"/>
              <w:left w:val="single" w:color="000000" w:sz="4" w:space="0"/>
              <w:bottom w:val="single" w:color="000000" w:sz="4" w:space="0"/>
              <w:right w:val="single" w:color="000000" w:sz="4" w:space="0"/>
            </w:tcBorders>
            <w:shd w:val="clear" w:color="auto" w:fill="auto"/>
            <w:noWrap/>
            <w:vAlign w:val="center"/>
          </w:tcPr>
          <w:p w14:paraId="366FD5ED">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4</w:t>
            </w:r>
          </w:p>
        </w:tc>
        <w:tc>
          <w:tcPr>
            <w:tcW w:w="4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70DE4">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筒机支架</w:t>
            </w:r>
          </w:p>
        </w:tc>
        <w:tc>
          <w:tcPr>
            <w:tcW w:w="1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248B2">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个</w:t>
            </w:r>
          </w:p>
        </w:tc>
        <w:tc>
          <w:tcPr>
            <w:tcW w:w="10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5A3F2">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27</w:t>
            </w:r>
          </w:p>
        </w:tc>
      </w:tr>
      <w:tr w14:paraId="2C9413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1069" w:type="dxa"/>
            <w:tcBorders>
              <w:top w:val="nil"/>
              <w:left w:val="single" w:color="000000" w:sz="4" w:space="0"/>
              <w:bottom w:val="single" w:color="000000" w:sz="4" w:space="0"/>
              <w:right w:val="single" w:color="000000" w:sz="4" w:space="0"/>
            </w:tcBorders>
            <w:shd w:val="clear" w:color="auto" w:fill="auto"/>
            <w:noWrap/>
            <w:vAlign w:val="center"/>
          </w:tcPr>
          <w:p w14:paraId="7ACF1B0B">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5</w:t>
            </w:r>
          </w:p>
        </w:tc>
        <w:tc>
          <w:tcPr>
            <w:tcW w:w="4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DFCAD">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24电口千兆POE交换机</w:t>
            </w:r>
          </w:p>
        </w:tc>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4906E">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台</w:t>
            </w:r>
          </w:p>
        </w:tc>
        <w:tc>
          <w:tcPr>
            <w:tcW w:w="10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0E9DA">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1</w:t>
            </w:r>
          </w:p>
        </w:tc>
      </w:tr>
      <w:tr w14:paraId="6F2BEC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1069" w:type="dxa"/>
            <w:tcBorders>
              <w:top w:val="nil"/>
              <w:left w:val="single" w:color="000000" w:sz="4" w:space="0"/>
              <w:bottom w:val="single" w:color="000000" w:sz="4" w:space="0"/>
              <w:right w:val="single" w:color="000000" w:sz="4" w:space="0"/>
            </w:tcBorders>
            <w:shd w:val="clear" w:color="auto" w:fill="auto"/>
            <w:noWrap/>
            <w:vAlign w:val="center"/>
          </w:tcPr>
          <w:p w14:paraId="1B81D7E8">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6</w:t>
            </w:r>
          </w:p>
        </w:tc>
        <w:tc>
          <w:tcPr>
            <w:tcW w:w="4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4E3F0">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8电口POE千兆交换机</w:t>
            </w:r>
          </w:p>
        </w:tc>
        <w:tc>
          <w:tcPr>
            <w:tcW w:w="1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38724">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台</w:t>
            </w:r>
          </w:p>
        </w:tc>
        <w:tc>
          <w:tcPr>
            <w:tcW w:w="10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CAFB4">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3</w:t>
            </w:r>
          </w:p>
        </w:tc>
      </w:tr>
      <w:tr w14:paraId="4E5392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069" w:type="dxa"/>
            <w:tcBorders>
              <w:top w:val="nil"/>
              <w:left w:val="single" w:color="000000" w:sz="4" w:space="0"/>
              <w:bottom w:val="single" w:color="000000" w:sz="4" w:space="0"/>
              <w:right w:val="single" w:color="000000" w:sz="4" w:space="0"/>
            </w:tcBorders>
            <w:shd w:val="clear" w:color="auto" w:fill="auto"/>
            <w:noWrap/>
            <w:vAlign w:val="center"/>
          </w:tcPr>
          <w:p w14:paraId="514627E1">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7</w:t>
            </w:r>
          </w:p>
        </w:tc>
        <w:tc>
          <w:tcPr>
            <w:tcW w:w="4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45A98">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千兆光模块</w:t>
            </w:r>
          </w:p>
        </w:tc>
        <w:tc>
          <w:tcPr>
            <w:tcW w:w="1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4FD4E">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个</w:t>
            </w:r>
          </w:p>
        </w:tc>
        <w:tc>
          <w:tcPr>
            <w:tcW w:w="10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60BCD">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6</w:t>
            </w:r>
          </w:p>
        </w:tc>
      </w:tr>
      <w:tr w14:paraId="61BB1F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1069" w:type="dxa"/>
            <w:tcBorders>
              <w:top w:val="nil"/>
              <w:left w:val="single" w:color="000000" w:sz="4" w:space="0"/>
              <w:bottom w:val="single" w:color="000000" w:sz="4" w:space="0"/>
              <w:right w:val="single" w:color="000000" w:sz="4" w:space="0"/>
            </w:tcBorders>
            <w:shd w:val="clear" w:color="auto" w:fill="auto"/>
            <w:noWrap/>
            <w:vAlign w:val="center"/>
          </w:tcPr>
          <w:p w14:paraId="15E0769E">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8</w:t>
            </w:r>
          </w:p>
        </w:tc>
        <w:tc>
          <w:tcPr>
            <w:tcW w:w="4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BBADB">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3米单模双芯光纤跳线</w:t>
            </w:r>
          </w:p>
        </w:tc>
        <w:tc>
          <w:tcPr>
            <w:tcW w:w="1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064F8">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对</w:t>
            </w:r>
          </w:p>
        </w:tc>
        <w:tc>
          <w:tcPr>
            <w:tcW w:w="10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EFD18">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6</w:t>
            </w:r>
          </w:p>
        </w:tc>
      </w:tr>
      <w:tr w14:paraId="7BC81B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1069" w:type="dxa"/>
            <w:tcBorders>
              <w:top w:val="nil"/>
              <w:left w:val="single" w:color="000000" w:sz="4" w:space="0"/>
              <w:bottom w:val="single" w:color="000000" w:sz="4" w:space="0"/>
              <w:right w:val="single" w:color="000000" w:sz="4" w:space="0"/>
            </w:tcBorders>
            <w:shd w:val="clear" w:color="auto" w:fill="auto"/>
            <w:noWrap/>
            <w:vAlign w:val="center"/>
          </w:tcPr>
          <w:p w14:paraId="698DE9D8">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9</w:t>
            </w:r>
          </w:p>
        </w:tc>
        <w:tc>
          <w:tcPr>
            <w:tcW w:w="4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36BC4">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48盘位存储</w:t>
            </w:r>
          </w:p>
        </w:tc>
        <w:tc>
          <w:tcPr>
            <w:tcW w:w="1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24792">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台</w:t>
            </w:r>
          </w:p>
        </w:tc>
        <w:tc>
          <w:tcPr>
            <w:tcW w:w="10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D6B52">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1</w:t>
            </w:r>
          </w:p>
        </w:tc>
      </w:tr>
      <w:tr w14:paraId="09459B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1069" w:type="dxa"/>
            <w:tcBorders>
              <w:top w:val="nil"/>
              <w:left w:val="single" w:color="000000" w:sz="4" w:space="0"/>
              <w:bottom w:val="single" w:color="000000" w:sz="4" w:space="0"/>
              <w:right w:val="single" w:color="000000" w:sz="4" w:space="0"/>
            </w:tcBorders>
            <w:shd w:val="clear" w:color="auto" w:fill="auto"/>
            <w:noWrap/>
            <w:vAlign w:val="center"/>
          </w:tcPr>
          <w:p w14:paraId="2ECA9D8E">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10</w:t>
            </w:r>
          </w:p>
        </w:tc>
        <w:tc>
          <w:tcPr>
            <w:tcW w:w="4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0CF9D">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8T企业硬盘</w:t>
            </w:r>
          </w:p>
        </w:tc>
        <w:tc>
          <w:tcPr>
            <w:tcW w:w="1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60FCF">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块</w:t>
            </w:r>
          </w:p>
        </w:tc>
        <w:tc>
          <w:tcPr>
            <w:tcW w:w="10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90AE0">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30</w:t>
            </w:r>
          </w:p>
        </w:tc>
      </w:tr>
    </w:tbl>
    <w:p w14:paraId="1ADC28A0">
      <w:pPr>
        <w:pStyle w:val="5"/>
      </w:pPr>
    </w:p>
    <w:p w14:paraId="025C0EAC">
      <w:pPr>
        <w:pStyle w:val="4"/>
        <w:numPr>
          <w:ilvl w:val="0"/>
          <w:numId w:val="69"/>
        </w:numPr>
        <w:ind w:left="0" w:leftChars="0" w:firstLine="0" w:firstLineChars="0"/>
        <w:rPr>
          <w:b w:val="0"/>
          <w:color w:val="auto"/>
        </w:rPr>
      </w:pPr>
      <w:r>
        <w:rPr>
          <w:color w:val="auto"/>
        </w:rPr>
        <w:t>服务内容及要求/货物技术要求</w:t>
      </w:r>
    </w:p>
    <w:p w14:paraId="474BFBF3">
      <w:pPr>
        <w:pStyle w:val="6"/>
        <w:numPr>
          <w:ilvl w:val="0"/>
          <w:numId w:val="71"/>
        </w:numPr>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t>常州市第二十四中学</w:t>
      </w:r>
    </w:p>
    <w:tbl>
      <w:tblPr>
        <w:tblStyle w:val="43"/>
        <w:tblpPr w:leftFromText="180" w:rightFromText="180" w:vertAnchor="text" w:horzAnchor="page" w:tblpXSpec="center" w:tblpY="400"/>
        <w:tblOverlap w:val="never"/>
        <w:tblW w:w="909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11"/>
        <w:gridCol w:w="1351"/>
        <w:gridCol w:w="7028"/>
      </w:tblGrid>
      <w:tr w14:paraId="085666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23CDE">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b/>
                <w:bCs/>
                <w:i w:val="0"/>
                <w:iCs w:val="0"/>
                <w:color w:val="auto"/>
                <w:kern w:val="0"/>
                <w:sz w:val="21"/>
                <w:szCs w:val="21"/>
                <w:u w:val="none"/>
                <w:lang w:val="en-US" w:eastAsia="zh-CN" w:bidi="ar"/>
              </w:rPr>
              <w:t>序号</w:t>
            </w:r>
          </w:p>
        </w:tc>
        <w:tc>
          <w:tcPr>
            <w:tcW w:w="13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0E1B7">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b/>
                <w:bCs/>
                <w:i w:val="0"/>
                <w:iCs w:val="0"/>
                <w:color w:val="auto"/>
                <w:kern w:val="0"/>
                <w:sz w:val="21"/>
                <w:szCs w:val="21"/>
                <w:u w:val="none"/>
                <w:lang w:val="en-US" w:eastAsia="zh-CN" w:bidi="ar"/>
              </w:rPr>
              <w:t>设备名称</w:t>
            </w:r>
          </w:p>
        </w:tc>
        <w:tc>
          <w:tcPr>
            <w:tcW w:w="7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68FA6">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b/>
                <w:bCs/>
                <w:i w:val="0"/>
                <w:iCs w:val="0"/>
                <w:color w:val="auto"/>
                <w:kern w:val="0"/>
                <w:sz w:val="21"/>
                <w:szCs w:val="21"/>
                <w:u w:val="none"/>
                <w:lang w:val="en-US" w:eastAsia="zh-CN" w:bidi="ar"/>
              </w:rPr>
              <w:t>参数</w:t>
            </w:r>
          </w:p>
        </w:tc>
      </w:tr>
      <w:tr w14:paraId="1A04AF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F083B">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1</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8F7F8">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半球型摄像机</w:t>
            </w:r>
          </w:p>
        </w:tc>
        <w:tc>
          <w:tcPr>
            <w:tcW w:w="7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89CDB">
            <w:pPr>
              <w:keepNext w:val="0"/>
              <w:keepLines w:val="0"/>
              <w:pageBreakBefore w:val="0"/>
              <w:widowControl/>
              <w:numPr>
                <w:ilvl w:val="0"/>
                <w:numId w:val="0"/>
              </w:numPr>
              <w:kinsoku/>
              <w:wordWrap/>
              <w:overflowPunct/>
              <w:topLinePunct w:val="0"/>
              <w:autoSpaceDE/>
              <w:autoSpaceDN/>
              <w:bidi w:val="0"/>
              <w:adjustRightInd/>
              <w:snapToGrid/>
              <w:spacing w:line="400" w:lineRule="exact"/>
              <w:ind w:left="0"/>
              <w:jc w:val="left"/>
              <w:textAlignment w:val="auto"/>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color w:val="auto"/>
                <w:kern w:val="0"/>
                <w:sz w:val="21"/>
                <w:szCs w:val="21"/>
                <w:highlight w:val="none"/>
                <w:lang w:val="en-US" w:eastAsia="zh-CN"/>
              </w:rPr>
              <w:t>1.</w:t>
            </w:r>
            <w:r>
              <w:rPr>
                <w:rFonts w:hint="eastAsia" w:ascii="宋体" w:hAnsi="宋体" w:eastAsia="宋体" w:cs="宋体"/>
                <w:b w:val="0"/>
                <w:bCs w:val="0"/>
                <w:color w:val="auto"/>
                <w:kern w:val="0"/>
                <w:sz w:val="21"/>
                <w:szCs w:val="21"/>
                <w:highlight w:val="none"/>
              </w:rPr>
              <w:t>传感器：≥1/</w:t>
            </w:r>
            <w:r>
              <w:rPr>
                <w:rFonts w:hint="eastAsia" w:ascii="宋体" w:hAnsi="宋体" w:eastAsia="宋体" w:cs="宋体"/>
                <w:b w:val="0"/>
                <w:bCs w:val="0"/>
                <w:color w:val="auto"/>
                <w:kern w:val="0"/>
                <w:sz w:val="21"/>
                <w:szCs w:val="21"/>
                <w:highlight w:val="none"/>
                <w:lang w:val="en-US" w:eastAsia="zh-CN"/>
              </w:rPr>
              <w:t>3</w:t>
            </w:r>
            <w:r>
              <w:rPr>
                <w:rFonts w:hint="eastAsia" w:ascii="宋体" w:hAnsi="宋体" w:eastAsia="宋体" w:cs="宋体"/>
                <w:b w:val="0"/>
                <w:bCs w:val="0"/>
                <w:color w:val="auto"/>
                <w:kern w:val="0"/>
                <w:sz w:val="21"/>
                <w:szCs w:val="21"/>
                <w:highlight w:val="none"/>
              </w:rPr>
              <w:t>英寸CMOS传感器。</w:t>
            </w:r>
            <w:r>
              <w:rPr>
                <w:rFonts w:hint="eastAsia" w:ascii="宋体" w:hAnsi="宋体" w:eastAsia="宋体" w:cs="宋体"/>
                <w:b w:val="0"/>
                <w:bCs w:val="0"/>
                <w:i w:val="0"/>
                <w:iCs w:val="0"/>
                <w:color w:val="auto"/>
                <w:kern w:val="0"/>
                <w:sz w:val="21"/>
                <w:szCs w:val="21"/>
                <w:highlight w:val="none"/>
                <w:u w:val="none"/>
                <w:lang w:val="en-US" w:eastAsia="zh-CN" w:bidi="ar"/>
              </w:rPr>
              <w:t>提供原厂公开技术文档（白皮书、彩页、官网规格页截图及链接地址）</w:t>
            </w:r>
          </w:p>
          <w:p w14:paraId="043378C6">
            <w:pPr>
              <w:keepNext w:val="0"/>
              <w:keepLines w:val="0"/>
              <w:pageBreakBefore w:val="0"/>
              <w:widowControl/>
              <w:numPr>
                <w:ilvl w:val="0"/>
                <w:numId w:val="0"/>
              </w:numPr>
              <w:kinsoku/>
              <w:wordWrap/>
              <w:overflowPunct/>
              <w:topLinePunct w:val="0"/>
              <w:autoSpaceDE/>
              <w:autoSpaceDN/>
              <w:bidi w:val="0"/>
              <w:adjustRightInd/>
              <w:snapToGrid/>
              <w:spacing w:line="400" w:lineRule="exact"/>
              <w:ind w:left="0"/>
              <w:jc w:val="left"/>
              <w:textAlignment w:val="auto"/>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color w:val="auto"/>
                <w:kern w:val="0"/>
                <w:sz w:val="21"/>
                <w:szCs w:val="21"/>
                <w:highlight w:val="none"/>
              </w:rPr>
              <w:t>★</w:t>
            </w:r>
            <w:r>
              <w:rPr>
                <w:rFonts w:hint="eastAsia" w:ascii="宋体" w:hAnsi="宋体" w:eastAsia="宋体" w:cs="宋体"/>
                <w:b w:val="0"/>
                <w:bCs w:val="0"/>
                <w:color w:val="auto"/>
                <w:kern w:val="0"/>
                <w:sz w:val="21"/>
                <w:szCs w:val="21"/>
                <w:highlight w:val="none"/>
                <w:lang w:val="en-US" w:eastAsia="zh-CN"/>
              </w:rPr>
              <w:t>2.</w:t>
            </w:r>
            <w:r>
              <w:rPr>
                <w:rFonts w:hint="eastAsia" w:ascii="宋体" w:hAnsi="宋体" w:eastAsia="宋体" w:cs="宋体"/>
                <w:b w:val="0"/>
                <w:bCs w:val="0"/>
                <w:i w:val="0"/>
                <w:iCs w:val="0"/>
                <w:color w:val="auto"/>
                <w:kern w:val="0"/>
                <w:sz w:val="21"/>
                <w:szCs w:val="21"/>
                <w:highlight w:val="none"/>
                <w:u w:val="none"/>
                <w:lang w:val="en-US" w:eastAsia="zh-CN" w:bidi="ar"/>
              </w:rPr>
              <w:t>像素≥400万或最大分辨率≥2560×1440。提供所投产品的检测报告原件关键页扫描件（依据标准GA/T 1127-2013等现行国家标准）。</w:t>
            </w:r>
          </w:p>
          <w:p w14:paraId="04BD8BC5">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★3.具备H.265、H.264、MJPEG视频编码格式，音频编码：G.711、AAC。提供原厂公开技术文档（白皮书、彩页、官网规格页截图及链接地址）。</w:t>
            </w:r>
          </w:p>
          <w:p w14:paraId="3F1E9368">
            <w:pPr>
              <w:keepNext w:val="0"/>
              <w:keepLines w:val="0"/>
              <w:pageBreakBefore w:val="0"/>
              <w:widowControl/>
              <w:numPr>
                <w:ilvl w:val="0"/>
                <w:numId w:val="0"/>
              </w:numPr>
              <w:kinsoku/>
              <w:wordWrap/>
              <w:overflowPunct/>
              <w:topLinePunct w:val="0"/>
              <w:autoSpaceDE/>
              <w:autoSpaceDN/>
              <w:bidi w:val="0"/>
              <w:adjustRightInd/>
              <w:snapToGrid/>
              <w:spacing w:line="400" w:lineRule="exact"/>
              <w:ind w:left="0"/>
              <w:jc w:val="left"/>
              <w:textAlignment w:val="auto"/>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★4.具备最低照度彩色不劣于0.005Lux，黑白不劣于0.0005Lux。提供第三方机构出具的具有CMA标志的检测报告（依据标准</w:t>
            </w:r>
            <w:r>
              <w:rPr>
                <w:rFonts w:hint="eastAsia" w:ascii="宋体" w:hAnsi="宋体" w:eastAsia="宋体" w:cs="宋体"/>
                <w:b w:val="0"/>
                <w:bCs w:val="0"/>
                <w:i w:val="0"/>
                <w:iCs w:val="0"/>
                <w:color w:val="auto"/>
                <w:kern w:val="0"/>
                <w:sz w:val="21"/>
                <w:szCs w:val="21"/>
                <w:highlight w:val="none"/>
                <w:u w:val="none"/>
                <w:lang w:val="en-US" w:eastAsia="zh-CN" w:bidi="ar"/>
              </w:rPr>
              <w:t>GA/T 1127-2013或</w:t>
            </w:r>
            <w:r>
              <w:rPr>
                <w:rFonts w:hint="eastAsia" w:ascii="宋体" w:hAnsi="宋体" w:eastAsia="宋体" w:cs="宋体"/>
                <w:b w:val="0"/>
                <w:bCs w:val="0"/>
                <w:i w:val="0"/>
                <w:iCs w:val="0"/>
                <w:color w:val="auto"/>
                <w:sz w:val="21"/>
                <w:szCs w:val="21"/>
                <w:highlight w:val="none"/>
                <w:u w:val="none"/>
                <w:lang w:val="en-US" w:eastAsia="zh-CN" w:bidi="ar"/>
              </w:rPr>
              <w:t>GB 16796-2022</w:t>
            </w:r>
            <w:r>
              <w:rPr>
                <w:rFonts w:hint="eastAsia" w:ascii="宋体" w:hAnsi="宋体" w:eastAsia="宋体" w:cs="宋体"/>
                <w:b w:val="0"/>
                <w:bCs w:val="0"/>
                <w:color w:val="auto"/>
                <w:sz w:val="21"/>
                <w:szCs w:val="21"/>
                <w:highlight w:val="none"/>
                <w:u w:val="none"/>
                <w:lang w:bidi="ar"/>
              </w:rPr>
              <w:t>或GB/T 15211-2013</w:t>
            </w:r>
            <w:r>
              <w:rPr>
                <w:rFonts w:hint="eastAsia" w:ascii="宋体" w:hAnsi="宋体" w:eastAsia="宋体" w:cs="宋体"/>
                <w:b w:val="0"/>
                <w:bCs w:val="0"/>
                <w:i w:val="0"/>
                <w:iCs w:val="0"/>
                <w:color w:val="auto"/>
                <w:sz w:val="21"/>
                <w:szCs w:val="21"/>
                <w:highlight w:val="none"/>
                <w:u w:val="none"/>
                <w:lang w:val="en-US" w:eastAsia="zh-CN" w:bidi="ar"/>
              </w:rPr>
              <w:t>等现行国家标准）</w:t>
            </w:r>
            <w:r>
              <w:rPr>
                <w:rFonts w:hint="eastAsia" w:ascii="宋体" w:hAnsi="宋体" w:eastAsia="宋体" w:cs="宋体"/>
                <w:b w:val="0"/>
                <w:bCs w:val="0"/>
                <w:color w:val="auto"/>
                <w:sz w:val="21"/>
                <w:szCs w:val="21"/>
                <w:highlight w:val="none"/>
                <w:u w:val="none"/>
                <w:lang w:val="en-US" w:eastAsia="zh-CN" w:bidi="ar"/>
              </w:rPr>
              <w:t>。</w:t>
            </w:r>
            <w:r>
              <w:rPr>
                <w:rFonts w:hint="eastAsia" w:ascii="宋体" w:hAnsi="宋体" w:eastAsia="宋体" w:cs="宋体"/>
                <w:b w:val="0"/>
                <w:bCs w:val="0"/>
                <w:color w:val="auto"/>
                <w:kern w:val="0"/>
                <w:sz w:val="21"/>
                <w:szCs w:val="21"/>
                <w:highlight w:val="none"/>
              </w:rPr>
              <w:br w:type="textWrapping"/>
            </w:r>
            <w:r>
              <w:rPr>
                <w:rFonts w:hint="eastAsia" w:ascii="宋体" w:hAnsi="宋体" w:eastAsia="宋体" w:cs="宋体"/>
                <w:b w:val="0"/>
                <w:bCs w:val="0"/>
                <w:color w:val="auto"/>
                <w:kern w:val="0"/>
                <w:sz w:val="21"/>
                <w:szCs w:val="21"/>
                <w:highlight w:val="none"/>
                <w:lang w:val="en-US" w:eastAsia="zh-CN"/>
              </w:rPr>
              <w:t>5.</w:t>
            </w:r>
            <w:r>
              <w:rPr>
                <w:rFonts w:hint="eastAsia" w:ascii="宋体" w:hAnsi="宋体" w:eastAsia="宋体" w:cs="宋体"/>
                <w:b w:val="0"/>
                <w:bCs w:val="0"/>
                <w:i w:val="0"/>
                <w:iCs w:val="0"/>
                <w:color w:val="auto"/>
                <w:kern w:val="0"/>
                <w:sz w:val="21"/>
                <w:szCs w:val="21"/>
                <w:highlight w:val="none"/>
                <w:u w:val="none"/>
                <w:lang w:val="en-US" w:eastAsia="zh-CN" w:bidi="ar"/>
              </w:rPr>
              <w:t>具备智能红外功能，智能红外补光距离（识别距离）≥50米。提供所投产品的检测报告原件关键页扫描件（依据标准GA/T 1127-2013等现行国家标准）。</w:t>
            </w:r>
          </w:p>
          <w:p w14:paraId="1FD05513">
            <w:pPr>
              <w:keepNext w:val="0"/>
              <w:keepLines w:val="0"/>
              <w:pageBreakBefore w:val="0"/>
              <w:widowControl/>
              <w:numPr>
                <w:ilvl w:val="0"/>
                <w:numId w:val="0"/>
              </w:numPr>
              <w:kinsoku/>
              <w:wordWrap/>
              <w:overflowPunct/>
              <w:topLinePunct w:val="0"/>
              <w:autoSpaceDE/>
              <w:autoSpaceDN/>
              <w:bidi w:val="0"/>
              <w:adjustRightInd/>
              <w:snapToGrid/>
              <w:spacing w:line="400" w:lineRule="exact"/>
              <w:ind w:left="0"/>
              <w:jc w:val="left"/>
              <w:textAlignment w:val="auto"/>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color w:val="auto"/>
                <w:kern w:val="0"/>
                <w:sz w:val="21"/>
                <w:szCs w:val="21"/>
                <w:highlight w:val="none"/>
              </w:rPr>
              <w:t>★</w:t>
            </w:r>
            <w:r>
              <w:rPr>
                <w:rFonts w:hint="eastAsia" w:ascii="宋体" w:hAnsi="宋体" w:eastAsia="宋体" w:cs="宋体"/>
                <w:b w:val="0"/>
                <w:bCs w:val="0"/>
                <w:color w:val="auto"/>
                <w:kern w:val="0"/>
                <w:sz w:val="21"/>
                <w:szCs w:val="21"/>
                <w:highlight w:val="none"/>
                <w:lang w:val="en-US" w:eastAsia="zh-CN"/>
              </w:rPr>
              <w:t>6.</w:t>
            </w:r>
            <w:r>
              <w:rPr>
                <w:rFonts w:hint="eastAsia" w:ascii="宋体" w:hAnsi="宋体" w:eastAsia="宋体" w:cs="宋体"/>
                <w:i w:val="0"/>
                <w:iCs w:val="0"/>
                <w:color w:val="auto"/>
                <w:kern w:val="0"/>
                <w:sz w:val="21"/>
                <w:szCs w:val="21"/>
                <w:highlight w:val="none"/>
                <w:u w:val="none"/>
                <w:lang w:val="en-US" w:eastAsia="zh-CN" w:bidi="ar"/>
              </w:rPr>
              <w:t>支持物品遗留；物品搬移</w:t>
            </w:r>
            <w:r>
              <w:rPr>
                <w:rFonts w:hint="eastAsia" w:ascii="宋体" w:hAnsi="宋体" w:eastAsia="宋体" w:cs="宋体"/>
                <w:b w:val="0"/>
                <w:bCs w:val="0"/>
                <w:color w:val="auto"/>
                <w:kern w:val="0"/>
                <w:sz w:val="21"/>
                <w:szCs w:val="21"/>
                <w:highlight w:val="none"/>
              </w:rPr>
              <w:t>。</w:t>
            </w:r>
            <w:r>
              <w:rPr>
                <w:rFonts w:hint="eastAsia" w:ascii="宋体" w:hAnsi="宋体" w:eastAsia="宋体" w:cs="宋体"/>
                <w:b w:val="0"/>
                <w:bCs w:val="0"/>
                <w:i w:val="0"/>
                <w:iCs w:val="0"/>
                <w:color w:val="auto"/>
                <w:kern w:val="0"/>
                <w:sz w:val="21"/>
                <w:szCs w:val="21"/>
                <w:highlight w:val="none"/>
                <w:u w:val="none"/>
                <w:lang w:val="en-US" w:eastAsia="zh-CN" w:bidi="ar"/>
              </w:rPr>
              <w:t>提供原厂公开技术文档（白皮书、彩页、官网规格页截图及链接地址）</w:t>
            </w:r>
          </w:p>
          <w:p w14:paraId="636EE04A">
            <w:pPr>
              <w:keepNext w:val="0"/>
              <w:keepLines w:val="0"/>
              <w:pageBreakBefore w:val="0"/>
              <w:widowControl/>
              <w:numPr>
                <w:ilvl w:val="0"/>
                <w:numId w:val="0"/>
              </w:numPr>
              <w:kinsoku/>
              <w:wordWrap/>
              <w:overflowPunct/>
              <w:topLinePunct w:val="0"/>
              <w:autoSpaceDE/>
              <w:autoSpaceDN/>
              <w:bidi w:val="0"/>
              <w:adjustRightInd/>
              <w:snapToGrid/>
              <w:spacing w:line="400" w:lineRule="exact"/>
              <w:ind w:left="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7.走廊模式：90°/270°。</w:t>
            </w:r>
          </w:p>
          <w:p w14:paraId="1B411186">
            <w:pPr>
              <w:keepNext w:val="0"/>
              <w:keepLines w:val="0"/>
              <w:pageBreakBefore w:val="0"/>
              <w:widowControl/>
              <w:numPr>
                <w:ilvl w:val="0"/>
                <w:numId w:val="0"/>
              </w:numPr>
              <w:kinsoku/>
              <w:wordWrap/>
              <w:overflowPunct/>
              <w:topLinePunct w:val="0"/>
              <w:autoSpaceDE/>
              <w:autoSpaceDN/>
              <w:bidi w:val="0"/>
              <w:adjustRightInd/>
              <w:snapToGrid/>
              <w:spacing w:line="400" w:lineRule="exact"/>
              <w:ind w:left="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★8.内置MIC。提供承诺函或提供承诺函或提供原厂公开技术文档（白皮书、彩页、官网规格页截图及链接地址均可）。</w:t>
            </w:r>
          </w:p>
          <w:p w14:paraId="700BA61E">
            <w:pPr>
              <w:keepNext w:val="0"/>
              <w:keepLines w:val="0"/>
              <w:pageBreakBefore w:val="0"/>
              <w:widowControl/>
              <w:numPr>
                <w:ilvl w:val="0"/>
                <w:numId w:val="0"/>
              </w:numPr>
              <w:kinsoku/>
              <w:wordWrap/>
              <w:overflowPunct/>
              <w:topLinePunct w:val="0"/>
              <w:autoSpaceDE/>
              <w:autoSpaceDN/>
              <w:bidi w:val="0"/>
              <w:adjustRightInd/>
              <w:snapToGrid/>
              <w:spacing w:line="400" w:lineRule="exact"/>
              <w:ind w:left="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9.报警事件：无SD卡；SD卡空间不足；SD卡出错；网络断开；IP冲突；非法访问；动态检测；视频遮挡；绊线入侵；区域入侵；徘徊检测；人员聚集；音频异常侦测；电压检测；外部报警；安全异常。</w:t>
            </w:r>
          </w:p>
          <w:p w14:paraId="388B6115">
            <w:pPr>
              <w:keepNext w:val="0"/>
              <w:keepLines w:val="0"/>
              <w:pageBreakBefore w:val="0"/>
              <w:widowControl/>
              <w:numPr>
                <w:ilvl w:val="0"/>
                <w:numId w:val="0"/>
              </w:numPr>
              <w:kinsoku/>
              <w:wordWrap/>
              <w:overflowPunct/>
              <w:topLinePunct w:val="0"/>
              <w:autoSpaceDE/>
              <w:autoSpaceDN/>
              <w:bidi w:val="0"/>
              <w:adjustRightInd/>
              <w:snapToGrid/>
              <w:spacing w:line="400" w:lineRule="exact"/>
              <w:ind w:left="0"/>
              <w:jc w:val="left"/>
              <w:textAlignment w:val="auto"/>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lang w:val="en-US" w:eastAsia="zh-CN"/>
              </w:rPr>
              <w:t>10.</w:t>
            </w:r>
            <w:r>
              <w:rPr>
                <w:rFonts w:hint="eastAsia" w:ascii="宋体" w:hAnsi="宋体" w:eastAsia="宋体" w:cs="宋体"/>
                <w:b w:val="0"/>
                <w:bCs w:val="0"/>
                <w:i w:val="0"/>
                <w:iCs w:val="0"/>
                <w:color w:val="auto"/>
                <w:kern w:val="0"/>
                <w:sz w:val="21"/>
                <w:szCs w:val="21"/>
                <w:highlight w:val="none"/>
                <w:u w:val="none"/>
                <w:lang w:val="en-US" w:eastAsia="zh-CN" w:bidi="ar"/>
              </w:rPr>
              <w:t>宽动态能力综合得分≥80。提供所投产品</w:t>
            </w:r>
            <w:r>
              <w:rPr>
                <w:rFonts w:hint="eastAsia" w:ascii="宋体" w:hAnsi="宋体" w:eastAsia="宋体" w:cs="宋体"/>
                <w:b w:val="0"/>
                <w:bCs w:val="0"/>
                <w:color w:val="auto"/>
                <w:sz w:val="21"/>
                <w:szCs w:val="21"/>
                <w:highlight w:val="none"/>
                <w:u w:val="none"/>
                <w:lang w:bidi="ar"/>
              </w:rPr>
              <w:t>由具备有效CMA资质的检测机构出具的封面盖有CMA专用印章的检测报告原件关键页扫描件(</w:t>
            </w:r>
            <w:r>
              <w:rPr>
                <w:rFonts w:hint="eastAsia" w:ascii="宋体" w:hAnsi="宋体" w:eastAsia="宋体" w:cs="宋体"/>
                <w:b w:val="0"/>
                <w:bCs w:val="0"/>
                <w:i w:val="0"/>
                <w:iCs w:val="0"/>
                <w:color w:val="auto"/>
                <w:kern w:val="0"/>
                <w:sz w:val="21"/>
                <w:szCs w:val="21"/>
                <w:highlight w:val="none"/>
                <w:u w:val="none"/>
                <w:lang w:val="en-US" w:eastAsia="zh-CN" w:bidi="ar"/>
              </w:rPr>
              <w:t>依据标准GA/T 1127-2013等现行国家标准</w:t>
            </w:r>
            <w:r>
              <w:rPr>
                <w:rFonts w:hint="eastAsia" w:ascii="宋体" w:hAnsi="宋体" w:eastAsia="宋体" w:cs="宋体"/>
                <w:b w:val="0"/>
                <w:bCs w:val="0"/>
                <w:color w:val="auto"/>
                <w:sz w:val="21"/>
                <w:szCs w:val="21"/>
                <w:highlight w:val="none"/>
                <w:u w:val="none"/>
                <w:lang w:bidi="ar"/>
              </w:rPr>
              <w:t>）</w:t>
            </w:r>
            <w:r>
              <w:rPr>
                <w:rFonts w:hint="eastAsia" w:ascii="宋体" w:hAnsi="宋体" w:eastAsia="宋体" w:cs="宋体"/>
                <w:b w:val="0"/>
                <w:bCs w:val="0"/>
                <w:i w:val="0"/>
                <w:iCs w:val="0"/>
                <w:color w:val="auto"/>
                <w:kern w:val="0"/>
                <w:sz w:val="21"/>
                <w:szCs w:val="21"/>
                <w:highlight w:val="none"/>
                <w:u w:val="none"/>
                <w:lang w:val="en-US" w:eastAsia="zh-CN" w:bidi="ar"/>
              </w:rPr>
              <w:t>。</w:t>
            </w:r>
            <w:r>
              <w:rPr>
                <w:rFonts w:hint="eastAsia" w:ascii="宋体" w:hAnsi="宋体" w:eastAsia="宋体" w:cs="宋体"/>
                <w:b w:val="0"/>
                <w:bCs w:val="0"/>
                <w:color w:val="auto"/>
                <w:kern w:val="0"/>
                <w:sz w:val="21"/>
                <w:szCs w:val="21"/>
                <w:highlight w:val="none"/>
              </w:rPr>
              <w:br w:type="textWrapping"/>
            </w:r>
            <w:r>
              <w:rPr>
                <w:rFonts w:hint="eastAsia" w:ascii="宋体" w:hAnsi="宋体" w:eastAsia="宋体" w:cs="宋体"/>
                <w:b w:val="0"/>
                <w:bCs w:val="0"/>
                <w:color w:val="auto"/>
                <w:kern w:val="0"/>
                <w:sz w:val="21"/>
                <w:szCs w:val="21"/>
                <w:highlight w:val="none"/>
                <w:lang w:val="en-US" w:eastAsia="zh-CN"/>
              </w:rPr>
              <w:t>11.</w:t>
            </w:r>
            <w:r>
              <w:rPr>
                <w:rFonts w:hint="eastAsia" w:ascii="宋体" w:hAnsi="宋体" w:eastAsia="宋体" w:cs="宋体"/>
                <w:b w:val="0"/>
                <w:bCs w:val="0"/>
                <w:color w:val="auto"/>
                <w:kern w:val="0"/>
                <w:sz w:val="21"/>
                <w:szCs w:val="21"/>
                <w:highlight w:val="none"/>
              </w:rPr>
              <w:t>防护等级：IP</w:t>
            </w:r>
            <w:r>
              <w:rPr>
                <w:rFonts w:hint="eastAsia" w:ascii="宋体" w:hAnsi="宋体" w:eastAsia="宋体" w:cs="宋体"/>
                <w:b w:val="0"/>
                <w:bCs w:val="0"/>
                <w:color w:val="auto"/>
                <w:kern w:val="0"/>
                <w:sz w:val="21"/>
                <w:szCs w:val="21"/>
                <w:highlight w:val="none"/>
                <w:lang w:val="en-US" w:eastAsia="zh-CN"/>
              </w:rPr>
              <w:t>66</w:t>
            </w:r>
            <w:r>
              <w:rPr>
                <w:rFonts w:hint="eastAsia" w:ascii="宋体" w:hAnsi="宋体" w:eastAsia="宋体" w:cs="宋体"/>
                <w:b w:val="0"/>
                <w:bCs w:val="0"/>
                <w:color w:val="auto"/>
                <w:kern w:val="0"/>
                <w:sz w:val="21"/>
                <w:szCs w:val="21"/>
                <w:highlight w:val="none"/>
              </w:rPr>
              <w:t>。</w:t>
            </w:r>
            <w:r>
              <w:rPr>
                <w:rFonts w:hint="eastAsia" w:ascii="宋体" w:hAnsi="宋体" w:eastAsia="宋体" w:cs="宋体"/>
                <w:b w:val="0"/>
                <w:bCs w:val="0"/>
                <w:i w:val="0"/>
                <w:iCs w:val="0"/>
                <w:color w:val="auto"/>
                <w:kern w:val="0"/>
                <w:sz w:val="21"/>
                <w:szCs w:val="21"/>
                <w:highlight w:val="none"/>
                <w:u w:val="none"/>
                <w:lang w:val="en-US" w:eastAsia="zh-CN" w:bidi="ar"/>
              </w:rPr>
              <w:t>提供所投产品的检测报告原件关键页扫描件（依据GB/T 15211-2013或GA/T 1127-2013或GB/T4208-2017标准）等相关现行国家标准）。</w:t>
            </w:r>
            <w:r>
              <w:rPr>
                <w:rFonts w:hint="eastAsia" w:ascii="宋体" w:hAnsi="宋体" w:eastAsia="宋体" w:cs="宋体"/>
                <w:b w:val="0"/>
                <w:bCs w:val="0"/>
                <w:color w:val="auto"/>
                <w:kern w:val="0"/>
                <w:sz w:val="21"/>
                <w:szCs w:val="21"/>
                <w:highlight w:val="none"/>
              </w:rPr>
              <w:br w:type="textWrapping"/>
            </w:r>
            <w:r>
              <w:rPr>
                <w:rFonts w:hint="eastAsia" w:ascii="宋体" w:hAnsi="宋体" w:eastAsia="宋体" w:cs="宋体"/>
                <w:b w:val="0"/>
                <w:bCs w:val="0"/>
                <w:color w:val="auto"/>
                <w:kern w:val="0"/>
                <w:sz w:val="21"/>
                <w:szCs w:val="21"/>
                <w:highlight w:val="none"/>
              </w:rPr>
              <w:t>★</w:t>
            </w:r>
            <w:r>
              <w:rPr>
                <w:rFonts w:hint="eastAsia" w:ascii="宋体" w:hAnsi="宋体" w:eastAsia="宋体" w:cs="宋体"/>
                <w:b w:val="0"/>
                <w:bCs w:val="0"/>
                <w:color w:val="auto"/>
                <w:kern w:val="0"/>
                <w:sz w:val="21"/>
                <w:szCs w:val="21"/>
                <w:highlight w:val="none"/>
                <w:lang w:val="en-US" w:eastAsia="zh-CN"/>
              </w:rPr>
              <w:t>12.</w:t>
            </w:r>
            <w:r>
              <w:rPr>
                <w:rFonts w:hint="eastAsia" w:ascii="宋体" w:hAnsi="宋体" w:eastAsia="宋体" w:cs="宋体"/>
                <w:b w:val="0"/>
                <w:bCs w:val="0"/>
                <w:color w:val="auto"/>
                <w:kern w:val="0"/>
                <w:sz w:val="21"/>
                <w:szCs w:val="21"/>
                <w:highlight w:val="none"/>
              </w:rPr>
              <w:t>具备POE供电功能。</w:t>
            </w:r>
            <w:r>
              <w:rPr>
                <w:rFonts w:hint="eastAsia" w:ascii="宋体" w:hAnsi="宋体" w:eastAsia="宋体" w:cs="宋体"/>
                <w:b w:val="0"/>
                <w:bCs w:val="0"/>
                <w:i w:val="0"/>
                <w:iCs w:val="0"/>
                <w:color w:val="auto"/>
                <w:kern w:val="0"/>
                <w:sz w:val="21"/>
                <w:szCs w:val="21"/>
                <w:highlight w:val="none"/>
                <w:u w:val="none"/>
                <w:lang w:val="en-US" w:eastAsia="zh-CN" w:bidi="ar"/>
              </w:rPr>
              <w:t>提供原厂公开技术文档（白皮书、彩页、官网规格页截图及链接地址均可）。</w:t>
            </w:r>
          </w:p>
          <w:p w14:paraId="27BE10D7">
            <w:pPr>
              <w:pStyle w:val="15"/>
              <w:keepNext w:val="0"/>
              <w:keepLines w:val="0"/>
              <w:pageBreakBefore w:val="0"/>
              <w:kinsoku/>
              <w:wordWrap/>
              <w:overflowPunct/>
              <w:topLinePunct w:val="0"/>
              <w:autoSpaceDE/>
              <w:autoSpaceDN/>
              <w:bidi w:val="0"/>
              <w:adjustRightInd/>
              <w:snapToGrid/>
              <w:spacing w:line="400" w:lineRule="exact"/>
              <w:ind w:left="0"/>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color w:val="auto"/>
                <w:sz w:val="21"/>
                <w:szCs w:val="21"/>
                <w:highlight w:val="none"/>
                <w:lang w:bidi="ar"/>
              </w:rPr>
              <w:t>★</w:t>
            </w:r>
            <w:r>
              <w:rPr>
                <w:rFonts w:hint="eastAsia" w:ascii="宋体" w:hAnsi="宋体" w:eastAsia="宋体" w:cs="宋体"/>
                <w:b w:val="0"/>
                <w:bCs w:val="0"/>
                <w:color w:val="auto"/>
                <w:sz w:val="21"/>
                <w:szCs w:val="21"/>
                <w:highlight w:val="none"/>
                <w:lang w:val="en-US" w:eastAsia="zh-CN" w:bidi="ar"/>
              </w:rPr>
              <w:t>13.</w:t>
            </w:r>
            <w:r>
              <w:rPr>
                <w:rFonts w:hint="eastAsia" w:ascii="宋体" w:hAnsi="宋体" w:eastAsia="宋体" w:cs="宋体"/>
                <w:b w:val="0"/>
                <w:bCs w:val="0"/>
                <w:i w:val="0"/>
                <w:iCs w:val="0"/>
                <w:color w:val="auto"/>
                <w:kern w:val="0"/>
                <w:sz w:val="21"/>
                <w:szCs w:val="21"/>
                <w:highlight w:val="none"/>
                <w:u w:val="none"/>
                <w:lang w:val="en-US" w:eastAsia="zh-CN" w:bidi="ar"/>
              </w:rPr>
              <w:t>提供SD或TF卡槽。承诺可通过加装安全加密卡对接公安视频数据加密平台、实现安全升级以符合GB35114A级标准对前端面摄像机基于数字证书的双向身份认证功能，提供承诺函（格式自拟）。</w:t>
            </w:r>
          </w:p>
          <w:p w14:paraId="14D94EF3">
            <w:pPr>
              <w:keepNext w:val="0"/>
              <w:keepLines w:val="0"/>
              <w:pageBreakBefore w:val="0"/>
              <w:widowControl/>
              <w:numPr>
                <w:ilvl w:val="0"/>
                <w:numId w:val="0"/>
              </w:numPr>
              <w:kinsoku/>
              <w:wordWrap/>
              <w:overflowPunct/>
              <w:topLinePunct w:val="0"/>
              <w:autoSpaceDE/>
              <w:autoSpaceDN/>
              <w:bidi w:val="0"/>
              <w:adjustRightInd/>
              <w:snapToGrid/>
              <w:spacing w:line="400" w:lineRule="exact"/>
              <w:ind w:left="0"/>
              <w:jc w:val="left"/>
              <w:textAlignment w:val="auto"/>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lang w:val="en-US" w:eastAsia="zh-CN"/>
              </w:rPr>
              <w:t>14.</w:t>
            </w:r>
            <w:r>
              <w:rPr>
                <w:rFonts w:hint="eastAsia" w:ascii="宋体" w:hAnsi="宋体" w:eastAsia="宋体" w:cs="宋体"/>
                <w:b w:val="0"/>
                <w:bCs w:val="0"/>
                <w:color w:val="auto"/>
                <w:kern w:val="0"/>
                <w:sz w:val="21"/>
                <w:szCs w:val="21"/>
                <w:highlight w:val="none"/>
              </w:rPr>
              <w:t>接口：RJ45百兆以太网电口、音频输入/输出、报警输入/输出。</w:t>
            </w:r>
          </w:p>
          <w:p w14:paraId="1DB60903">
            <w:pPr>
              <w:pStyle w:val="18"/>
              <w:keepNext w:val="0"/>
              <w:keepLines w:val="0"/>
              <w:pageBreakBefore w:val="0"/>
              <w:kinsoku/>
              <w:wordWrap/>
              <w:overflowPunct/>
              <w:topLinePunct w:val="0"/>
              <w:autoSpaceDE/>
              <w:autoSpaceDN/>
              <w:bidi w:val="0"/>
              <w:adjustRightInd/>
              <w:snapToGrid/>
              <w:spacing w:line="400" w:lineRule="exact"/>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15.支持DC12V电源返送。</w:t>
            </w:r>
          </w:p>
          <w:p w14:paraId="41DE86C5">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color w:val="auto"/>
                <w:sz w:val="21"/>
                <w:szCs w:val="21"/>
                <w:highlight w:val="none"/>
              </w:rPr>
            </w:pPr>
            <w:r>
              <w:rPr>
                <w:rFonts w:hint="eastAsia" w:ascii="宋体" w:hAnsi="宋体" w:eastAsia="宋体" w:cs="宋体"/>
                <w:b w:val="0"/>
                <w:bCs w:val="0"/>
                <w:i w:val="0"/>
                <w:iCs w:val="0"/>
                <w:color w:val="auto"/>
                <w:sz w:val="21"/>
                <w:szCs w:val="21"/>
                <w:highlight w:val="none"/>
                <w:u w:val="none"/>
                <w:lang w:val="en-US" w:eastAsia="zh-CN" w:bidi="ar"/>
              </w:rPr>
              <w:t>★16.符合GB/T 28181、Onvif、IPv4/IPv6协议标准。提供所投产品原厂公开技术文档（白皮书、彩页、官网规格页截图及链接地址）或提供承诺函（格式自拟）</w:t>
            </w:r>
            <w:r>
              <w:rPr>
                <w:rFonts w:hint="eastAsia" w:ascii="宋体" w:hAnsi="宋体" w:eastAsia="宋体" w:cs="宋体"/>
                <w:b w:val="0"/>
                <w:bCs w:val="0"/>
                <w:color w:val="auto"/>
                <w:sz w:val="21"/>
                <w:szCs w:val="21"/>
                <w:highlight w:val="none"/>
                <w:u w:val="none"/>
                <w:lang w:val="en-US" w:eastAsia="zh-CN" w:bidi="ar"/>
              </w:rPr>
              <w:t>。</w:t>
            </w:r>
          </w:p>
          <w:p w14:paraId="7E381607">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宋体" w:hAnsi="宋体" w:eastAsia="宋体" w:cs="宋体"/>
                <w:b w:val="0"/>
                <w:bCs w:val="0"/>
                <w:color w:val="auto"/>
                <w:sz w:val="21"/>
                <w:szCs w:val="21"/>
                <w:highlight w:val="none"/>
                <w:lang w:val="en-US" w:eastAsia="zh-CN"/>
              </w:rPr>
              <w:t>注：</w:t>
            </w:r>
            <w:r>
              <w:rPr>
                <w:rFonts w:hint="eastAsia" w:ascii="宋体" w:hAnsi="宋体" w:eastAsia="宋体" w:cs="宋体"/>
                <w:b w:val="0"/>
                <w:bCs w:val="0"/>
                <w:i w:val="0"/>
                <w:iCs w:val="0"/>
                <w:color w:val="auto"/>
                <w:kern w:val="0"/>
                <w:sz w:val="21"/>
                <w:szCs w:val="21"/>
                <w:highlight w:val="none"/>
                <w:u w:val="none"/>
                <w:lang w:val="en-US" w:eastAsia="zh-CN" w:bidi="ar"/>
              </w:rPr>
              <w:t>提供检测报告的，按第四章商务要求（其他要求的第2条）中明确的要求、提供相关佐证材料。</w:t>
            </w:r>
          </w:p>
        </w:tc>
      </w:tr>
      <w:tr w14:paraId="4E3733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A9EC3">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2</w:t>
            </w:r>
          </w:p>
        </w:tc>
        <w:tc>
          <w:tcPr>
            <w:tcW w:w="13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001B0">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枪机</w:t>
            </w:r>
          </w:p>
        </w:tc>
        <w:tc>
          <w:tcPr>
            <w:tcW w:w="7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B381D">
            <w:pPr>
              <w:pStyle w:val="15"/>
              <w:keepNext w:val="0"/>
              <w:keepLines w:val="0"/>
              <w:pageBreakBefore w:val="0"/>
              <w:kinsoku/>
              <w:wordWrap/>
              <w:overflowPunct/>
              <w:topLinePunct w:val="0"/>
              <w:autoSpaceDE/>
              <w:autoSpaceDN/>
              <w:bidi w:val="0"/>
              <w:adjustRightInd/>
              <w:snapToGrid/>
              <w:spacing w:line="400" w:lineRule="exact"/>
              <w:ind w:left="0"/>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1.传感器：≥1/1.8英寸CMOS传感器。提供原厂公开技术文档（白皮书、彩页、官网规格页截图及链接地址）。</w:t>
            </w:r>
          </w:p>
          <w:p w14:paraId="6A7BCF31">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★2.像素≥400万或最大分辨率≥2560×1440。提供所投产品</w:t>
            </w:r>
            <w:r>
              <w:rPr>
                <w:rFonts w:hint="eastAsia" w:ascii="宋体" w:hAnsi="宋体" w:eastAsia="宋体" w:cs="宋体"/>
                <w:b w:val="0"/>
                <w:bCs w:val="0"/>
                <w:color w:val="auto"/>
                <w:sz w:val="21"/>
                <w:szCs w:val="21"/>
                <w:highlight w:val="none"/>
                <w:u w:val="none"/>
                <w:lang w:bidi="ar"/>
              </w:rPr>
              <w:t>由具备有效CMA资质的检测机构出具的封面盖有CMA专用印章的检测报告原件关键页扫描件(</w:t>
            </w:r>
            <w:r>
              <w:rPr>
                <w:rFonts w:hint="eastAsia" w:ascii="宋体" w:hAnsi="宋体" w:eastAsia="宋体" w:cs="宋体"/>
                <w:b w:val="0"/>
                <w:bCs w:val="0"/>
                <w:i w:val="0"/>
                <w:iCs w:val="0"/>
                <w:color w:val="auto"/>
                <w:kern w:val="0"/>
                <w:sz w:val="21"/>
                <w:szCs w:val="21"/>
                <w:highlight w:val="none"/>
                <w:u w:val="none"/>
                <w:lang w:val="en-US" w:eastAsia="zh-CN" w:bidi="ar"/>
              </w:rPr>
              <w:t>依据标准GA/T 1127-2013等现行国家标准</w:t>
            </w:r>
            <w:r>
              <w:rPr>
                <w:rFonts w:hint="eastAsia" w:ascii="宋体" w:hAnsi="宋体" w:eastAsia="宋体" w:cs="宋体"/>
                <w:b w:val="0"/>
                <w:bCs w:val="0"/>
                <w:color w:val="auto"/>
                <w:sz w:val="21"/>
                <w:szCs w:val="21"/>
                <w:highlight w:val="none"/>
                <w:u w:val="none"/>
                <w:lang w:bidi="ar"/>
              </w:rPr>
              <w:t>）</w:t>
            </w:r>
            <w:r>
              <w:rPr>
                <w:rFonts w:hint="eastAsia" w:ascii="宋体" w:hAnsi="宋体" w:eastAsia="宋体" w:cs="宋体"/>
                <w:b w:val="0"/>
                <w:bCs w:val="0"/>
                <w:i w:val="0"/>
                <w:iCs w:val="0"/>
                <w:color w:val="auto"/>
                <w:kern w:val="0"/>
                <w:sz w:val="21"/>
                <w:szCs w:val="21"/>
                <w:highlight w:val="none"/>
                <w:u w:val="none"/>
                <w:lang w:val="en-US" w:eastAsia="zh-CN" w:bidi="ar"/>
              </w:rPr>
              <w:t>。</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★3.具备最低照度彩色不劣于0.001Lux，黑白不劣于0.0001Lux。提供第三方机构出具的具有CMA标志的检测报告（依据标准</w:t>
            </w:r>
            <w:r>
              <w:rPr>
                <w:rFonts w:hint="eastAsia" w:ascii="宋体" w:hAnsi="宋体" w:eastAsia="宋体" w:cs="宋体"/>
                <w:b w:val="0"/>
                <w:bCs w:val="0"/>
                <w:i w:val="0"/>
                <w:iCs w:val="0"/>
                <w:color w:val="auto"/>
                <w:kern w:val="0"/>
                <w:sz w:val="21"/>
                <w:szCs w:val="21"/>
                <w:highlight w:val="none"/>
                <w:u w:val="none"/>
                <w:lang w:val="en-US" w:eastAsia="zh-CN" w:bidi="ar"/>
              </w:rPr>
              <w:t>GA/T 1127-2013或</w:t>
            </w:r>
            <w:r>
              <w:rPr>
                <w:rFonts w:hint="eastAsia" w:ascii="宋体" w:hAnsi="宋体" w:eastAsia="宋体" w:cs="宋体"/>
                <w:b w:val="0"/>
                <w:bCs w:val="0"/>
                <w:i w:val="0"/>
                <w:iCs w:val="0"/>
                <w:color w:val="auto"/>
                <w:sz w:val="21"/>
                <w:szCs w:val="21"/>
                <w:highlight w:val="none"/>
                <w:u w:val="none"/>
                <w:lang w:val="en-US" w:eastAsia="zh-CN" w:bidi="ar"/>
              </w:rPr>
              <w:t>GB 16796-2022</w:t>
            </w:r>
            <w:r>
              <w:rPr>
                <w:rFonts w:hint="eastAsia" w:ascii="宋体" w:hAnsi="宋体" w:eastAsia="宋体" w:cs="宋体"/>
                <w:b w:val="0"/>
                <w:bCs w:val="0"/>
                <w:color w:val="auto"/>
                <w:sz w:val="21"/>
                <w:szCs w:val="21"/>
                <w:highlight w:val="none"/>
                <w:u w:val="none"/>
                <w:lang w:bidi="ar"/>
              </w:rPr>
              <w:t>或GB/T 15211-2013</w:t>
            </w:r>
            <w:r>
              <w:rPr>
                <w:rFonts w:hint="eastAsia" w:ascii="宋体" w:hAnsi="宋体" w:eastAsia="宋体" w:cs="宋体"/>
                <w:b w:val="0"/>
                <w:bCs w:val="0"/>
                <w:i w:val="0"/>
                <w:iCs w:val="0"/>
                <w:color w:val="auto"/>
                <w:sz w:val="21"/>
                <w:szCs w:val="21"/>
                <w:highlight w:val="none"/>
                <w:u w:val="none"/>
                <w:lang w:val="en-US" w:eastAsia="zh-CN" w:bidi="ar"/>
              </w:rPr>
              <w:t>等现行国家标准）</w:t>
            </w:r>
            <w:r>
              <w:rPr>
                <w:rFonts w:hint="eastAsia" w:ascii="宋体" w:hAnsi="宋体" w:eastAsia="宋体" w:cs="宋体"/>
                <w:b w:val="0"/>
                <w:bCs w:val="0"/>
                <w:color w:val="auto"/>
                <w:sz w:val="21"/>
                <w:szCs w:val="21"/>
                <w:highlight w:val="none"/>
                <w:u w:val="none"/>
                <w:lang w:val="en-US" w:eastAsia="zh-CN" w:bidi="ar"/>
              </w:rPr>
              <w:t>。</w:t>
            </w:r>
          </w:p>
          <w:p w14:paraId="645DA2CD">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4.具备滤光片切换功能，摄像机可在彩色/黑白模式下自动切换滤光片。</w:t>
            </w:r>
          </w:p>
          <w:p w14:paraId="398B32BB">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5.镜头可选：定焦；镜头光圈≥F1.0。</w:t>
            </w:r>
          </w:p>
          <w:p w14:paraId="2CA353EE">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6.智能红外补光距离（识别距离）≥50米。提供所投产品</w:t>
            </w:r>
            <w:r>
              <w:rPr>
                <w:rFonts w:hint="eastAsia" w:ascii="宋体" w:hAnsi="宋体" w:eastAsia="宋体" w:cs="宋体"/>
                <w:b w:val="0"/>
                <w:bCs w:val="0"/>
                <w:color w:val="auto"/>
                <w:sz w:val="21"/>
                <w:szCs w:val="21"/>
                <w:highlight w:val="none"/>
                <w:u w:val="none"/>
                <w:lang w:bidi="ar"/>
              </w:rPr>
              <w:t>由具备有效CMA资质的检测机构出具的封面盖有CMA专用印章的检测报告原件关键页扫描件(</w:t>
            </w:r>
            <w:r>
              <w:rPr>
                <w:rFonts w:hint="eastAsia" w:ascii="宋体" w:hAnsi="宋体" w:eastAsia="宋体" w:cs="宋体"/>
                <w:b w:val="0"/>
                <w:bCs w:val="0"/>
                <w:i w:val="0"/>
                <w:iCs w:val="0"/>
                <w:color w:val="auto"/>
                <w:kern w:val="0"/>
                <w:sz w:val="21"/>
                <w:szCs w:val="21"/>
                <w:highlight w:val="none"/>
                <w:u w:val="none"/>
                <w:lang w:val="en-US" w:eastAsia="zh-CN" w:bidi="ar"/>
              </w:rPr>
              <w:t>依据标准GA/T 1127-2013等现行国家标准</w:t>
            </w:r>
            <w:r>
              <w:rPr>
                <w:rFonts w:hint="eastAsia" w:ascii="宋体" w:hAnsi="宋体" w:eastAsia="宋体" w:cs="宋体"/>
                <w:b w:val="0"/>
                <w:bCs w:val="0"/>
                <w:color w:val="auto"/>
                <w:sz w:val="21"/>
                <w:szCs w:val="21"/>
                <w:highlight w:val="none"/>
                <w:u w:val="none"/>
                <w:lang w:bidi="ar"/>
              </w:rPr>
              <w:t>）</w:t>
            </w:r>
            <w:r>
              <w:rPr>
                <w:rFonts w:hint="eastAsia" w:ascii="宋体" w:hAnsi="宋体" w:eastAsia="宋体" w:cs="宋体"/>
                <w:b w:val="0"/>
                <w:bCs w:val="0"/>
                <w:i w:val="0"/>
                <w:iCs w:val="0"/>
                <w:color w:val="auto"/>
                <w:kern w:val="0"/>
                <w:sz w:val="21"/>
                <w:szCs w:val="21"/>
                <w:highlight w:val="none"/>
                <w:u w:val="none"/>
                <w:lang w:val="en-US" w:eastAsia="zh-CN" w:bidi="ar"/>
              </w:rPr>
              <w:t>。</w:t>
            </w:r>
          </w:p>
          <w:p w14:paraId="08E20628">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★7.宽动态能力综合得分≥80。提供所投产品</w:t>
            </w:r>
            <w:r>
              <w:rPr>
                <w:rFonts w:hint="eastAsia" w:ascii="宋体" w:hAnsi="宋体" w:eastAsia="宋体" w:cs="宋体"/>
                <w:b w:val="0"/>
                <w:bCs w:val="0"/>
                <w:color w:val="auto"/>
                <w:sz w:val="21"/>
                <w:szCs w:val="21"/>
                <w:highlight w:val="none"/>
                <w:u w:val="none"/>
                <w:lang w:bidi="ar"/>
              </w:rPr>
              <w:t>由具备有效CMA资质的检测机构出具的封面盖有CMA专用印章的检测报告原件关键页扫描件(</w:t>
            </w:r>
            <w:r>
              <w:rPr>
                <w:rFonts w:hint="eastAsia" w:ascii="宋体" w:hAnsi="宋体" w:eastAsia="宋体" w:cs="宋体"/>
                <w:b w:val="0"/>
                <w:bCs w:val="0"/>
                <w:i w:val="0"/>
                <w:iCs w:val="0"/>
                <w:color w:val="auto"/>
                <w:kern w:val="0"/>
                <w:sz w:val="21"/>
                <w:szCs w:val="21"/>
                <w:highlight w:val="none"/>
                <w:u w:val="none"/>
                <w:lang w:val="en-US" w:eastAsia="zh-CN" w:bidi="ar"/>
              </w:rPr>
              <w:t>依据标准GA/T 1127-2013等现行国家标准</w:t>
            </w:r>
            <w:r>
              <w:rPr>
                <w:rFonts w:hint="eastAsia" w:ascii="宋体" w:hAnsi="宋体" w:eastAsia="宋体" w:cs="宋体"/>
                <w:b w:val="0"/>
                <w:bCs w:val="0"/>
                <w:color w:val="auto"/>
                <w:sz w:val="21"/>
                <w:szCs w:val="21"/>
                <w:highlight w:val="none"/>
                <w:u w:val="none"/>
                <w:lang w:bidi="ar"/>
              </w:rPr>
              <w:t>）</w:t>
            </w:r>
            <w:r>
              <w:rPr>
                <w:rFonts w:hint="eastAsia" w:ascii="宋体" w:hAnsi="宋体" w:eastAsia="宋体" w:cs="宋体"/>
                <w:b w:val="0"/>
                <w:bCs w:val="0"/>
                <w:i w:val="0"/>
                <w:iCs w:val="0"/>
                <w:color w:val="auto"/>
                <w:kern w:val="0"/>
                <w:sz w:val="21"/>
                <w:szCs w:val="21"/>
                <w:highlight w:val="none"/>
                <w:u w:val="none"/>
                <w:lang w:val="en-US" w:eastAsia="zh-CN" w:bidi="ar"/>
              </w:rPr>
              <w:t>。</w:t>
            </w:r>
          </w:p>
          <w:p w14:paraId="53355998">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★8.具备H.265、H.264、MJPEG视频编码格式，音频编码：G.711、AAC。提供原厂公开技术文档（白皮书、彩页、官网规格页截图及链接地址）。</w:t>
            </w:r>
          </w:p>
          <w:p w14:paraId="43945EFF">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9.具备背光补偿、强光抑制、自动增益、感兴趣区域、移动侦测等功能。提供所投产品的检测报告原件关键页扫描件（依据标准GB 16796-2022或GA/T 1127-2013等现行国家标准）。</w:t>
            </w:r>
          </w:p>
          <w:p w14:paraId="07BF76E5">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★10.具备绊线或越界入侵、区域入侵、徘徊、人员聚集、停车、物品遗留或搬移（移除）等行为分析功能，具备联动抓拍或录像、报警。提供所投产品原厂技术白皮书。</w:t>
            </w:r>
          </w:p>
          <w:p w14:paraId="1870889E">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11.具备场景自适应功能，可根据监控场景自动调节曝光模式。</w:t>
            </w:r>
          </w:p>
          <w:p w14:paraId="49E27E3A">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12.摄像机在视频遮挡、存储器满、非法访问、网络断开、IP冲突时可给出报警提示；具备断网续传功能。</w:t>
            </w:r>
          </w:p>
          <w:p w14:paraId="0F16FE25">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13.具备数据直存功能，即直接将视频存储数据发送到存储设备（当中心服务器故障时、不影响正在进行的存储业务）。</w:t>
            </w:r>
          </w:p>
          <w:p w14:paraId="37FDCC31">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14.接口：RJ45百兆或千兆以太网电口，音频输入：≥1路，音频输出：≥1路，报警输入：≥2路，报警输出：≥2路。</w:t>
            </w:r>
          </w:p>
          <w:p w14:paraId="00DE345C">
            <w:pPr>
              <w:pStyle w:val="15"/>
              <w:keepNext w:val="0"/>
              <w:keepLines w:val="0"/>
              <w:pageBreakBefore w:val="0"/>
              <w:kinsoku/>
              <w:wordWrap/>
              <w:overflowPunct/>
              <w:topLinePunct w:val="0"/>
              <w:autoSpaceDE/>
              <w:autoSpaceDN/>
              <w:bidi w:val="0"/>
              <w:adjustRightInd/>
              <w:snapToGrid/>
              <w:spacing w:line="400" w:lineRule="exact"/>
              <w:ind w:left="0"/>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15.提供SD或TF卡槽。承诺可通过加装安全加密卡对接公安视频数据加密平台、实现安全升级以符合GB35114A级标准对前端面摄像机基于数字证书的双向身份认证功能，提供承诺函（格式自拟）。</w:t>
            </w:r>
          </w:p>
          <w:p w14:paraId="63258735">
            <w:pPr>
              <w:pStyle w:val="15"/>
              <w:keepNext w:val="0"/>
              <w:keepLines w:val="0"/>
              <w:pageBreakBefore w:val="0"/>
              <w:kinsoku/>
              <w:wordWrap/>
              <w:overflowPunct/>
              <w:topLinePunct w:val="0"/>
              <w:autoSpaceDE/>
              <w:autoSpaceDN/>
              <w:bidi w:val="0"/>
              <w:adjustRightInd/>
              <w:snapToGrid/>
              <w:spacing w:line="400" w:lineRule="exact"/>
              <w:ind w:left="0"/>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★16.符合GB/T 28181现行协议标准。提供所投产品原厂公开技术文档（白皮书、彩页、官网规格页截图及链接地址）或提供承诺函（格式自拟）。</w:t>
            </w:r>
          </w:p>
          <w:p w14:paraId="76F0C490">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17.Onvif、IPv4/6现行协议标准。提供原厂公开技术文档（白皮书、彩页、官网规格页截图及链接地址）。</w:t>
            </w:r>
          </w:p>
          <w:p w14:paraId="557760FF">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18.工作温度：-40℃~+60℃。工作湿度：≤95%。</w:t>
            </w:r>
          </w:p>
          <w:p w14:paraId="4FDE77EC">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★19.浪涌（冲击）抗扰度测试、防浪涌。</w:t>
            </w:r>
            <w:r>
              <w:rPr>
                <w:rFonts w:hint="eastAsia" w:ascii="宋体" w:hAnsi="宋体" w:eastAsia="宋体" w:cs="宋体"/>
                <w:b w:val="0"/>
                <w:bCs w:val="0"/>
                <w:color w:val="auto"/>
                <w:sz w:val="21"/>
                <w:szCs w:val="21"/>
                <w:highlight w:val="none"/>
                <w:lang w:val="en-US" w:eastAsia="zh-CN" w:bidi="ar"/>
              </w:rPr>
              <w:t>承诺</w:t>
            </w:r>
            <w:r>
              <w:rPr>
                <w:rFonts w:hint="eastAsia" w:ascii="宋体" w:hAnsi="宋体" w:eastAsia="宋体" w:cs="宋体"/>
                <w:b w:val="0"/>
                <w:bCs w:val="0"/>
                <w:color w:val="auto"/>
                <w:sz w:val="21"/>
                <w:szCs w:val="21"/>
                <w:highlight w:val="none"/>
                <w:lang w:bidi="ar"/>
              </w:rPr>
              <w:t>符合</w:t>
            </w:r>
            <w:r>
              <w:rPr>
                <w:rFonts w:hint="eastAsia" w:ascii="宋体" w:hAnsi="宋体" w:eastAsia="宋体" w:cs="宋体"/>
                <w:b w:val="0"/>
                <w:bCs w:val="0"/>
                <w:i w:val="0"/>
                <w:iCs w:val="0"/>
                <w:color w:val="auto"/>
                <w:kern w:val="0"/>
                <w:sz w:val="21"/>
                <w:szCs w:val="21"/>
                <w:highlight w:val="none"/>
                <w:u w:val="none"/>
                <w:lang w:val="en-US" w:eastAsia="zh-CN" w:bidi="ar"/>
              </w:rPr>
              <w:t>GA/T 1127-2013或</w:t>
            </w:r>
            <w:r>
              <w:rPr>
                <w:rFonts w:hint="eastAsia" w:ascii="宋体" w:hAnsi="宋体" w:eastAsia="宋体" w:cs="宋体"/>
                <w:b w:val="0"/>
                <w:bCs w:val="0"/>
                <w:color w:val="auto"/>
                <w:sz w:val="21"/>
                <w:szCs w:val="21"/>
                <w:highlight w:val="none"/>
                <w:lang w:bidi="ar"/>
              </w:rPr>
              <w:t>GB/T 17626.5-</w:t>
            </w:r>
            <w:r>
              <w:rPr>
                <w:rFonts w:hint="eastAsia" w:ascii="宋体" w:hAnsi="宋体" w:eastAsia="宋体" w:cs="宋体"/>
                <w:b w:val="0"/>
                <w:bCs w:val="0"/>
                <w:color w:val="auto"/>
                <w:sz w:val="21"/>
                <w:szCs w:val="21"/>
                <w:highlight w:val="none"/>
                <w:lang w:val="en-US" w:eastAsia="zh-CN" w:bidi="ar"/>
              </w:rPr>
              <w:t>2008/</w:t>
            </w:r>
            <w:r>
              <w:rPr>
                <w:rFonts w:hint="eastAsia" w:ascii="宋体" w:hAnsi="宋体" w:eastAsia="宋体" w:cs="宋体"/>
                <w:b w:val="0"/>
                <w:bCs w:val="0"/>
                <w:color w:val="auto"/>
                <w:sz w:val="21"/>
                <w:szCs w:val="21"/>
                <w:highlight w:val="none"/>
                <w:lang w:bidi="ar"/>
              </w:rPr>
              <w:t>2019</w:t>
            </w:r>
            <w:r>
              <w:rPr>
                <w:rFonts w:hint="eastAsia" w:ascii="宋体" w:hAnsi="宋体" w:eastAsia="宋体" w:cs="宋体"/>
                <w:b w:val="0"/>
                <w:bCs w:val="0"/>
                <w:color w:val="auto"/>
                <w:sz w:val="21"/>
                <w:szCs w:val="21"/>
                <w:highlight w:val="none"/>
                <w:lang w:val="en-US" w:eastAsia="zh-CN" w:bidi="ar"/>
              </w:rPr>
              <w:t>对摄像机的</w:t>
            </w:r>
            <w:r>
              <w:rPr>
                <w:rFonts w:hint="eastAsia" w:ascii="宋体" w:hAnsi="宋体" w:eastAsia="宋体" w:cs="宋体"/>
                <w:b w:val="0"/>
                <w:bCs w:val="0"/>
                <w:i w:val="0"/>
                <w:iCs w:val="0"/>
                <w:color w:val="auto"/>
                <w:kern w:val="0"/>
                <w:sz w:val="21"/>
                <w:szCs w:val="21"/>
                <w:highlight w:val="none"/>
                <w:u w:val="none"/>
                <w:lang w:val="en-US" w:eastAsia="zh-CN" w:bidi="ar"/>
              </w:rPr>
              <w:t>防浪涌</w:t>
            </w:r>
            <w:r>
              <w:rPr>
                <w:rFonts w:hint="eastAsia" w:ascii="宋体" w:hAnsi="宋体" w:eastAsia="宋体" w:cs="宋体"/>
                <w:b w:val="0"/>
                <w:bCs w:val="0"/>
                <w:color w:val="auto"/>
                <w:sz w:val="21"/>
                <w:szCs w:val="21"/>
                <w:highlight w:val="none"/>
                <w:lang w:val="en-US" w:eastAsia="zh-CN" w:bidi="ar"/>
              </w:rPr>
              <w:t>要求</w:t>
            </w:r>
            <w:r>
              <w:rPr>
                <w:rFonts w:hint="eastAsia" w:ascii="宋体" w:hAnsi="宋体" w:eastAsia="宋体" w:cs="宋体"/>
                <w:b w:val="0"/>
                <w:bCs w:val="0"/>
                <w:color w:val="auto"/>
                <w:sz w:val="21"/>
                <w:szCs w:val="21"/>
                <w:highlight w:val="none"/>
                <w:lang w:eastAsia="zh-CN" w:bidi="ar"/>
              </w:rPr>
              <w:t>。</w:t>
            </w:r>
          </w:p>
          <w:p w14:paraId="322DD657">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20.稳定性：摄像机在正常工作条件下，具备连续168小时正常工作。</w:t>
            </w:r>
          </w:p>
          <w:p w14:paraId="67DE7CAC">
            <w:pPr>
              <w:pStyle w:val="15"/>
              <w:keepNext w:val="0"/>
              <w:keepLines w:val="0"/>
              <w:pageBreakBefore w:val="0"/>
              <w:kinsoku/>
              <w:wordWrap/>
              <w:overflowPunct/>
              <w:topLinePunct w:val="0"/>
              <w:autoSpaceDE/>
              <w:autoSpaceDN/>
              <w:bidi w:val="0"/>
              <w:adjustRightInd/>
              <w:snapToGrid/>
              <w:spacing w:line="400" w:lineRule="exact"/>
              <w:ind w:left="0"/>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★21.防护等级：≥IP67。提供所投产品的检测报告原件关键页扫描件（依据GB/T 15211-2013或GA/T 1127-2013或</w:t>
            </w:r>
            <w:r>
              <w:rPr>
                <w:rFonts w:hint="eastAsia" w:ascii="宋体" w:hAnsi="宋体" w:eastAsia="宋体" w:cs="宋体"/>
                <w:b w:val="0"/>
                <w:bCs w:val="0"/>
                <w:color w:val="auto"/>
                <w:sz w:val="21"/>
                <w:szCs w:val="21"/>
                <w:highlight w:val="none"/>
              </w:rPr>
              <w:t>GB/T4208-2017标准</w:t>
            </w:r>
            <w:r>
              <w:rPr>
                <w:rFonts w:hint="eastAsia" w:ascii="宋体" w:hAnsi="宋体" w:eastAsia="宋体" w:cs="宋体"/>
                <w:b w:val="0"/>
                <w:bCs w:val="0"/>
                <w:i w:val="0"/>
                <w:iCs w:val="0"/>
                <w:color w:val="auto"/>
                <w:kern w:val="0"/>
                <w:sz w:val="21"/>
                <w:szCs w:val="21"/>
                <w:highlight w:val="none"/>
                <w:u w:val="none"/>
                <w:lang w:val="en-US" w:eastAsia="zh-CN" w:bidi="ar"/>
              </w:rPr>
              <w:t>）等相关现行国家标准）。</w:t>
            </w:r>
          </w:p>
          <w:p w14:paraId="4D783032">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★22.具备POE供电功能。提供原厂公开技术文档（白皮书、彩页、官网规格页截图及链接地址均可）。</w:t>
            </w:r>
          </w:p>
          <w:p w14:paraId="22FE6229">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u w:val="none"/>
                <w:lang w:val="en-US" w:eastAsia="zh-CN" w:bidi="ar"/>
              </w:rPr>
              <w:t>★23.符合GB/T 28181、Onvif、IPv4/IPv6协议标准。提供所投产品原厂公开技术文档（白皮书、彩页、官网规格页截图及链接地址）或提供承诺函（格式自拟）</w:t>
            </w:r>
            <w:r>
              <w:rPr>
                <w:rFonts w:hint="eastAsia" w:ascii="宋体" w:hAnsi="宋体" w:eastAsia="宋体" w:cs="宋体"/>
                <w:b w:val="0"/>
                <w:bCs w:val="0"/>
                <w:color w:val="auto"/>
                <w:sz w:val="21"/>
                <w:szCs w:val="21"/>
                <w:highlight w:val="none"/>
                <w:u w:val="none"/>
                <w:lang w:val="en-US" w:eastAsia="zh-CN" w:bidi="ar"/>
              </w:rPr>
              <w:t>。</w:t>
            </w:r>
          </w:p>
          <w:p w14:paraId="07DC3B51">
            <w:pPr>
              <w:pStyle w:val="18"/>
              <w:ind w:left="0" w:leftChars="0" w:firstLine="0" w:firstLineChars="0"/>
              <w:rPr>
                <w:rFonts w:hint="eastAsia"/>
                <w:color w:val="auto"/>
                <w:lang w:val="en-US" w:eastAsia="zh-CN"/>
              </w:rPr>
            </w:pPr>
          </w:p>
          <w:p w14:paraId="4AF3247D">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宋体" w:hAnsi="宋体" w:eastAsia="宋体" w:cs="宋体"/>
                <w:b w:val="0"/>
                <w:bCs w:val="0"/>
                <w:color w:val="auto"/>
                <w:sz w:val="21"/>
                <w:szCs w:val="21"/>
                <w:highlight w:val="none"/>
                <w:lang w:val="en-US" w:eastAsia="zh-CN"/>
              </w:rPr>
              <w:t>注：</w:t>
            </w:r>
            <w:r>
              <w:rPr>
                <w:rFonts w:hint="eastAsia" w:ascii="宋体" w:hAnsi="宋体" w:eastAsia="宋体" w:cs="宋体"/>
                <w:b w:val="0"/>
                <w:bCs w:val="0"/>
                <w:i w:val="0"/>
                <w:iCs w:val="0"/>
                <w:color w:val="auto"/>
                <w:kern w:val="0"/>
                <w:sz w:val="21"/>
                <w:szCs w:val="21"/>
                <w:highlight w:val="none"/>
                <w:u w:val="none"/>
                <w:lang w:val="en-US" w:eastAsia="zh-CN" w:bidi="ar"/>
              </w:rPr>
              <w:t>提供检测报告的，按第四章商务要求（其他要求的第2条）中明确的要求、提供相关佐证材料。</w:t>
            </w:r>
          </w:p>
        </w:tc>
      </w:tr>
      <w:tr w14:paraId="34B1AA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10448">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3</w:t>
            </w:r>
          </w:p>
        </w:tc>
        <w:tc>
          <w:tcPr>
            <w:tcW w:w="13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646F8">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筒机支架</w:t>
            </w:r>
          </w:p>
        </w:tc>
        <w:tc>
          <w:tcPr>
            <w:tcW w:w="7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11106">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宋体" w:hAnsi="宋体" w:eastAsia="宋体" w:cs="宋体"/>
                <w:i w:val="0"/>
                <w:iCs w:val="0"/>
                <w:color w:val="auto"/>
                <w:kern w:val="0"/>
                <w:sz w:val="21"/>
                <w:szCs w:val="21"/>
                <w:highlight w:val="none"/>
                <w:u w:val="none"/>
                <w:lang w:val="en-US" w:eastAsia="zh-CN" w:bidi="ar"/>
              </w:rPr>
              <w:t>材质铝合金或白钢支架，满足吊装/壁装多种场景。</w:t>
            </w:r>
          </w:p>
        </w:tc>
      </w:tr>
      <w:tr w14:paraId="3F4EFD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60" w:hRule="atLeast"/>
          <w:jc w:val="center"/>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6F221">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4</w:t>
            </w:r>
          </w:p>
        </w:tc>
        <w:tc>
          <w:tcPr>
            <w:tcW w:w="13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7EF76">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电梯半球</w:t>
            </w:r>
          </w:p>
        </w:tc>
        <w:tc>
          <w:tcPr>
            <w:tcW w:w="7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39BEF">
            <w:pPr>
              <w:keepNext w:val="0"/>
              <w:keepLines w:val="0"/>
              <w:pageBreakBefore w:val="0"/>
              <w:widowControl/>
              <w:numPr>
                <w:ilvl w:val="0"/>
                <w:numId w:val="0"/>
              </w:numPr>
              <w:kinsoku/>
              <w:wordWrap/>
              <w:overflowPunct/>
              <w:topLinePunct w:val="0"/>
              <w:autoSpaceDE/>
              <w:autoSpaceDN/>
              <w:bidi w:val="0"/>
              <w:adjustRightInd/>
              <w:snapToGrid/>
              <w:spacing w:line="400" w:lineRule="exact"/>
              <w:ind w:left="0"/>
              <w:jc w:val="left"/>
              <w:textAlignment w:val="auto"/>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color w:val="auto"/>
                <w:kern w:val="0"/>
                <w:sz w:val="21"/>
                <w:szCs w:val="21"/>
                <w:highlight w:val="none"/>
                <w:lang w:val="en-US" w:eastAsia="zh-CN"/>
              </w:rPr>
              <w:t>1.</w:t>
            </w:r>
            <w:r>
              <w:rPr>
                <w:rFonts w:hint="eastAsia" w:ascii="宋体" w:hAnsi="宋体" w:eastAsia="宋体" w:cs="宋体"/>
                <w:b w:val="0"/>
                <w:bCs w:val="0"/>
                <w:color w:val="auto"/>
                <w:kern w:val="0"/>
                <w:sz w:val="21"/>
                <w:szCs w:val="21"/>
                <w:highlight w:val="none"/>
              </w:rPr>
              <w:t>传感器：≥1/</w:t>
            </w:r>
            <w:r>
              <w:rPr>
                <w:rFonts w:hint="eastAsia" w:ascii="宋体" w:hAnsi="宋体" w:eastAsia="宋体" w:cs="宋体"/>
                <w:b w:val="0"/>
                <w:bCs w:val="0"/>
                <w:color w:val="auto"/>
                <w:kern w:val="0"/>
                <w:sz w:val="21"/>
                <w:szCs w:val="21"/>
                <w:highlight w:val="none"/>
                <w:lang w:val="en-US" w:eastAsia="zh-CN"/>
              </w:rPr>
              <w:t>3</w:t>
            </w:r>
            <w:r>
              <w:rPr>
                <w:rFonts w:hint="eastAsia" w:ascii="宋体" w:hAnsi="宋体" w:eastAsia="宋体" w:cs="宋体"/>
                <w:b w:val="0"/>
                <w:bCs w:val="0"/>
                <w:color w:val="auto"/>
                <w:kern w:val="0"/>
                <w:sz w:val="21"/>
                <w:szCs w:val="21"/>
                <w:highlight w:val="none"/>
              </w:rPr>
              <w:t>英寸CMOS传感器。</w:t>
            </w:r>
            <w:r>
              <w:rPr>
                <w:rFonts w:hint="eastAsia" w:ascii="宋体" w:hAnsi="宋体" w:eastAsia="宋体" w:cs="宋体"/>
                <w:b w:val="0"/>
                <w:bCs w:val="0"/>
                <w:i w:val="0"/>
                <w:iCs w:val="0"/>
                <w:color w:val="auto"/>
                <w:kern w:val="0"/>
                <w:sz w:val="21"/>
                <w:szCs w:val="21"/>
                <w:highlight w:val="none"/>
                <w:u w:val="none"/>
                <w:lang w:val="en-US" w:eastAsia="zh-CN" w:bidi="ar"/>
              </w:rPr>
              <w:t>提供原厂公开技术文档（白皮书、彩页、官网规格页截图及链接地址）</w:t>
            </w:r>
          </w:p>
          <w:p w14:paraId="2971A586">
            <w:pPr>
              <w:keepNext w:val="0"/>
              <w:keepLines w:val="0"/>
              <w:pageBreakBefore w:val="0"/>
              <w:widowControl/>
              <w:numPr>
                <w:ilvl w:val="0"/>
                <w:numId w:val="0"/>
              </w:numPr>
              <w:kinsoku/>
              <w:wordWrap/>
              <w:overflowPunct/>
              <w:topLinePunct w:val="0"/>
              <w:autoSpaceDE/>
              <w:autoSpaceDN/>
              <w:bidi w:val="0"/>
              <w:adjustRightInd/>
              <w:snapToGrid/>
              <w:spacing w:line="400" w:lineRule="exact"/>
              <w:ind w:left="0"/>
              <w:jc w:val="left"/>
              <w:textAlignment w:val="auto"/>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color w:val="auto"/>
                <w:kern w:val="0"/>
                <w:sz w:val="21"/>
                <w:szCs w:val="21"/>
                <w:highlight w:val="none"/>
              </w:rPr>
              <w:t>★</w:t>
            </w:r>
            <w:r>
              <w:rPr>
                <w:rFonts w:hint="eastAsia" w:ascii="宋体" w:hAnsi="宋体" w:eastAsia="宋体" w:cs="宋体"/>
                <w:b w:val="0"/>
                <w:bCs w:val="0"/>
                <w:color w:val="auto"/>
                <w:kern w:val="0"/>
                <w:sz w:val="21"/>
                <w:szCs w:val="21"/>
                <w:highlight w:val="none"/>
                <w:lang w:val="en-US" w:eastAsia="zh-CN"/>
              </w:rPr>
              <w:t>2.</w:t>
            </w:r>
            <w:r>
              <w:rPr>
                <w:rFonts w:hint="eastAsia" w:ascii="宋体" w:hAnsi="宋体" w:eastAsia="宋体" w:cs="宋体"/>
                <w:b w:val="0"/>
                <w:bCs w:val="0"/>
                <w:i w:val="0"/>
                <w:iCs w:val="0"/>
                <w:color w:val="auto"/>
                <w:kern w:val="0"/>
                <w:sz w:val="21"/>
                <w:szCs w:val="21"/>
                <w:highlight w:val="none"/>
                <w:u w:val="none"/>
                <w:lang w:val="en-US" w:eastAsia="zh-CN" w:bidi="ar"/>
              </w:rPr>
              <w:t>像素≥400万或最大分辨率≥2560×1440。提供所投产品的检测报告原件关键页扫描件（依据标准GA/T 1127-2013等现行国家标准）。</w:t>
            </w:r>
          </w:p>
          <w:p w14:paraId="37524E21">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★3.具备H.265、H.264、MJPEG视频编码格式，音频编码：G.711、AAC。提供原厂公开技术文档（白皮书、彩页、官网规格页截图及链接地址）。</w:t>
            </w:r>
          </w:p>
          <w:p w14:paraId="7575F11B">
            <w:pPr>
              <w:keepNext w:val="0"/>
              <w:keepLines w:val="0"/>
              <w:pageBreakBefore w:val="0"/>
              <w:widowControl/>
              <w:numPr>
                <w:ilvl w:val="0"/>
                <w:numId w:val="0"/>
              </w:numPr>
              <w:kinsoku/>
              <w:wordWrap/>
              <w:overflowPunct/>
              <w:topLinePunct w:val="0"/>
              <w:autoSpaceDE/>
              <w:autoSpaceDN/>
              <w:bidi w:val="0"/>
              <w:adjustRightInd/>
              <w:snapToGrid/>
              <w:spacing w:line="400" w:lineRule="exact"/>
              <w:ind w:left="0"/>
              <w:jc w:val="left"/>
              <w:textAlignment w:val="auto"/>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★4.具备最低照度彩色不劣于0.005Lux，黑白不劣于0.0005Lux。提供第三方机构出具的具有CMA标志的检测报告（依据标准</w:t>
            </w:r>
            <w:r>
              <w:rPr>
                <w:rFonts w:hint="eastAsia" w:ascii="宋体" w:hAnsi="宋体" w:eastAsia="宋体" w:cs="宋体"/>
                <w:b w:val="0"/>
                <w:bCs w:val="0"/>
                <w:i w:val="0"/>
                <w:iCs w:val="0"/>
                <w:color w:val="auto"/>
                <w:kern w:val="0"/>
                <w:sz w:val="21"/>
                <w:szCs w:val="21"/>
                <w:highlight w:val="none"/>
                <w:u w:val="none"/>
                <w:lang w:val="en-US" w:eastAsia="zh-CN" w:bidi="ar"/>
              </w:rPr>
              <w:t>GA/T 1127-2013或</w:t>
            </w:r>
            <w:r>
              <w:rPr>
                <w:rFonts w:hint="eastAsia" w:ascii="宋体" w:hAnsi="宋体" w:eastAsia="宋体" w:cs="宋体"/>
                <w:b w:val="0"/>
                <w:bCs w:val="0"/>
                <w:i w:val="0"/>
                <w:iCs w:val="0"/>
                <w:color w:val="auto"/>
                <w:sz w:val="21"/>
                <w:szCs w:val="21"/>
                <w:highlight w:val="none"/>
                <w:u w:val="none"/>
                <w:lang w:val="en-US" w:eastAsia="zh-CN" w:bidi="ar"/>
              </w:rPr>
              <w:t>GB 16796-2022</w:t>
            </w:r>
            <w:r>
              <w:rPr>
                <w:rFonts w:hint="eastAsia" w:ascii="宋体" w:hAnsi="宋体" w:eastAsia="宋体" w:cs="宋体"/>
                <w:b w:val="0"/>
                <w:bCs w:val="0"/>
                <w:color w:val="auto"/>
                <w:sz w:val="21"/>
                <w:szCs w:val="21"/>
                <w:highlight w:val="none"/>
                <w:u w:val="none"/>
                <w:lang w:bidi="ar"/>
              </w:rPr>
              <w:t>或GB/T 15211-2013</w:t>
            </w:r>
            <w:r>
              <w:rPr>
                <w:rFonts w:hint="eastAsia" w:ascii="宋体" w:hAnsi="宋体" w:eastAsia="宋体" w:cs="宋体"/>
                <w:b w:val="0"/>
                <w:bCs w:val="0"/>
                <w:i w:val="0"/>
                <w:iCs w:val="0"/>
                <w:color w:val="auto"/>
                <w:sz w:val="21"/>
                <w:szCs w:val="21"/>
                <w:highlight w:val="none"/>
                <w:u w:val="none"/>
                <w:lang w:val="en-US" w:eastAsia="zh-CN" w:bidi="ar"/>
              </w:rPr>
              <w:t>等现行国家标准）</w:t>
            </w:r>
            <w:r>
              <w:rPr>
                <w:rFonts w:hint="eastAsia" w:ascii="宋体" w:hAnsi="宋体" w:eastAsia="宋体" w:cs="宋体"/>
                <w:b w:val="0"/>
                <w:bCs w:val="0"/>
                <w:color w:val="auto"/>
                <w:sz w:val="21"/>
                <w:szCs w:val="21"/>
                <w:highlight w:val="none"/>
                <w:u w:val="none"/>
                <w:lang w:val="en-US" w:eastAsia="zh-CN" w:bidi="ar"/>
              </w:rPr>
              <w:t>。</w:t>
            </w:r>
            <w:r>
              <w:rPr>
                <w:rFonts w:hint="eastAsia" w:ascii="宋体" w:hAnsi="宋体" w:eastAsia="宋体" w:cs="宋体"/>
                <w:b w:val="0"/>
                <w:bCs w:val="0"/>
                <w:color w:val="auto"/>
                <w:kern w:val="0"/>
                <w:sz w:val="21"/>
                <w:szCs w:val="21"/>
                <w:highlight w:val="none"/>
              </w:rPr>
              <w:br w:type="textWrapping"/>
            </w:r>
            <w:r>
              <w:rPr>
                <w:rFonts w:hint="eastAsia" w:ascii="宋体" w:hAnsi="宋体" w:eastAsia="宋体" w:cs="宋体"/>
                <w:b w:val="0"/>
                <w:bCs w:val="0"/>
                <w:color w:val="auto"/>
                <w:kern w:val="0"/>
                <w:sz w:val="21"/>
                <w:szCs w:val="21"/>
                <w:highlight w:val="none"/>
                <w:lang w:val="en-US" w:eastAsia="zh-CN"/>
              </w:rPr>
              <w:t>5.</w:t>
            </w:r>
            <w:r>
              <w:rPr>
                <w:rFonts w:hint="eastAsia" w:ascii="宋体" w:hAnsi="宋体" w:eastAsia="宋体" w:cs="宋体"/>
                <w:b w:val="0"/>
                <w:bCs w:val="0"/>
                <w:i w:val="0"/>
                <w:iCs w:val="0"/>
                <w:color w:val="auto"/>
                <w:kern w:val="0"/>
                <w:sz w:val="21"/>
                <w:szCs w:val="21"/>
                <w:highlight w:val="none"/>
                <w:u w:val="none"/>
                <w:lang w:val="en-US" w:eastAsia="zh-CN" w:bidi="ar"/>
              </w:rPr>
              <w:t>具备智能红外功能，智能红外补光距离（识别距离）≥10米。提供所投产品的检测报告原件关键页扫描件（依据标准GA/T 1127-2013等现行国家标准）。</w:t>
            </w:r>
          </w:p>
          <w:p w14:paraId="47A07572">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b w:val="0"/>
                <w:bCs w:val="0"/>
                <w:color w:val="auto"/>
                <w:kern w:val="0"/>
                <w:sz w:val="21"/>
                <w:szCs w:val="21"/>
                <w:highlight w:val="none"/>
                <w:lang w:val="en-US" w:eastAsia="zh-CN"/>
              </w:rPr>
              <w:t>6.</w:t>
            </w:r>
            <w:r>
              <w:rPr>
                <w:rFonts w:hint="eastAsia" w:ascii="宋体" w:hAnsi="宋体" w:eastAsia="宋体" w:cs="宋体"/>
                <w:i w:val="0"/>
                <w:iCs w:val="0"/>
                <w:color w:val="auto"/>
                <w:kern w:val="0"/>
                <w:sz w:val="21"/>
                <w:szCs w:val="21"/>
                <w:highlight w:val="none"/>
                <w:u w:val="none"/>
                <w:lang w:val="en-US" w:eastAsia="zh-CN" w:bidi="ar"/>
              </w:rPr>
              <w:t>视场角：水平：≥102°；垂直：≥54°；对角：≥121°。</w:t>
            </w:r>
          </w:p>
          <w:p w14:paraId="2F439BFC">
            <w:pPr>
              <w:keepNext w:val="0"/>
              <w:keepLines w:val="0"/>
              <w:pageBreakBefore w:val="0"/>
              <w:widowControl/>
              <w:numPr>
                <w:ilvl w:val="0"/>
                <w:numId w:val="0"/>
              </w:numPr>
              <w:kinsoku/>
              <w:wordWrap/>
              <w:overflowPunct/>
              <w:topLinePunct w:val="0"/>
              <w:autoSpaceDE/>
              <w:autoSpaceDN/>
              <w:bidi w:val="0"/>
              <w:adjustRightInd/>
              <w:snapToGrid/>
              <w:spacing w:line="400" w:lineRule="exact"/>
              <w:ind w:left="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★7.对电瓶车进入电梯触发检测、抓拍并联动声光报警。提供承诺函或提供原厂公开技术文档（白皮书、彩页、官网规格页截图及链接地址均可）。</w:t>
            </w:r>
          </w:p>
          <w:p w14:paraId="6795F631">
            <w:pPr>
              <w:pStyle w:val="18"/>
              <w:keepNext w:val="0"/>
              <w:keepLines w:val="0"/>
              <w:pageBreakBefore w:val="0"/>
              <w:kinsoku/>
              <w:wordWrap/>
              <w:overflowPunct/>
              <w:topLinePunct w:val="0"/>
              <w:autoSpaceDE/>
              <w:autoSpaceDN/>
              <w:bidi w:val="0"/>
              <w:adjustRightInd/>
              <w:snapToGrid/>
              <w:spacing w:line="400" w:lineRule="exact"/>
              <w:ind w:left="0" w:leftChars="0"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8.监控画面可正确显示当前楼层。</w:t>
            </w:r>
            <w:r>
              <w:rPr>
                <w:rFonts w:hint="eastAsia" w:ascii="宋体" w:hAnsi="宋体" w:eastAsia="宋体" w:cs="宋体"/>
                <w:b/>
                <w:bCs/>
                <w:color w:val="auto"/>
                <w:kern w:val="0"/>
                <w:sz w:val="21"/>
                <w:szCs w:val="21"/>
                <w:highlight w:val="none"/>
                <w:lang w:val="en-US" w:eastAsia="zh-CN" w:bidi="ar"/>
              </w:rPr>
              <w:t>提供原厂公开技术文档（白皮书、彩页、官网规格页截图及链接地址均可）。</w:t>
            </w:r>
          </w:p>
          <w:p w14:paraId="4CE0FD8A">
            <w:pPr>
              <w:keepNext w:val="0"/>
              <w:keepLines w:val="0"/>
              <w:pageBreakBefore w:val="0"/>
              <w:widowControl/>
              <w:numPr>
                <w:ilvl w:val="0"/>
                <w:numId w:val="0"/>
              </w:numPr>
              <w:kinsoku/>
              <w:wordWrap/>
              <w:overflowPunct/>
              <w:topLinePunct w:val="0"/>
              <w:autoSpaceDE/>
              <w:autoSpaceDN/>
              <w:bidi w:val="0"/>
              <w:adjustRightInd/>
              <w:snapToGrid/>
              <w:spacing w:line="400" w:lineRule="exact"/>
              <w:ind w:left="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★9.内置MIC和扬声器。提供承诺函或提供承诺函或提供原厂公开技术文档（白皮书、彩页、官网规格页截图及链接地址均可）。</w:t>
            </w:r>
          </w:p>
          <w:p w14:paraId="0D575A80">
            <w:pPr>
              <w:keepNext w:val="0"/>
              <w:keepLines w:val="0"/>
              <w:pageBreakBefore w:val="0"/>
              <w:widowControl/>
              <w:numPr>
                <w:ilvl w:val="0"/>
                <w:numId w:val="0"/>
              </w:numPr>
              <w:kinsoku/>
              <w:wordWrap/>
              <w:overflowPunct/>
              <w:topLinePunct w:val="0"/>
              <w:autoSpaceDE/>
              <w:autoSpaceDN/>
              <w:bidi w:val="0"/>
              <w:adjustRightInd/>
              <w:snapToGrid/>
              <w:spacing w:line="400" w:lineRule="exact"/>
              <w:ind w:left="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10.</w:t>
            </w:r>
            <w:r>
              <w:rPr>
                <w:rFonts w:hint="eastAsia" w:ascii="宋体" w:hAnsi="宋体" w:eastAsia="宋体" w:cs="宋体"/>
                <w:i w:val="0"/>
                <w:iCs w:val="0"/>
                <w:color w:val="auto"/>
                <w:kern w:val="0"/>
                <w:sz w:val="21"/>
                <w:szCs w:val="21"/>
                <w:highlight w:val="none"/>
                <w:u w:val="none"/>
                <w:lang w:val="en-US" w:eastAsia="zh-CN" w:bidi="ar"/>
              </w:rPr>
              <w:t>报警事件：无SD卡；SD卡空间不足；SD卡出错；网络断开；IP冲突；非法访问；动态检测；视频遮挡；场景变更；音频异常侦测；电压检测；外部报警；安全异常。</w:t>
            </w:r>
          </w:p>
          <w:p w14:paraId="060FDA61">
            <w:pPr>
              <w:keepNext w:val="0"/>
              <w:keepLines w:val="0"/>
              <w:pageBreakBefore w:val="0"/>
              <w:widowControl/>
              <w:numPr>
                <w:ilvl w:val="0"/>
                <w:numId w:val="0"/>
              </w:numPr>
              <w:kinsoku/>
              <w:wordWrap/>
              <w:overflowPunct/>
              <w:topLinePunct w:val="0"/>
              <w:autoSpaceDE/>
              <w:autoSpaceDN/>
              <w:bidi w:val="0"/>
              <w:adjustRightInd/>
              <w:snapToGrid/>
              <w:spacing w:line="400" w:lineRule="exact"/>
              <w:ind w:left="0"/>
              <w:jc w:val="left"/>
              <w:textAlignment w:val="auto"/>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lang w:val="en-US" w:eastAsia="zh-CN"/>
              </w:rPr>
              <w:t>11.</w:t>
            </w:r>
            <w:r>
              <w:rPr>
                <w:rFonts w:hint="eastAsia" w:ascii="宋体" w:hAnsi="宋体" w:eastAsia="宋体" w:cs="宋体"/>
                <w:b w:val="0"/>
                <w:bCs w:val="0"/>
                <w:i w:val="0"/>
                <w:iCs w:val="0"/>
                <w:color w:val="auto"/>
                <w:kern w:val="0"/>
                <w:sz w:val="21"/>
                <w:szCs w:val="21"/>
                <w:highlight w:val="none"/>
                <w:u w:val="none"/>
                <w:lang w:val="en-US" w:eastAsia="zh-CN" w:bidi="ar"/>
              </w:rPr>
              <w:t>宽动态能力综合得分≥80。提供所投产品</w:t>
            </w:r>
            <w:r>
              <w:rPr>
                <w:rFonts w:hint="eastAsia" w:ascii="宋体" w:hAnsi="宋体" w:eastAsia="宋体" w:cs="宋体"/>
                <w:b w:val="0"/>
                <w:bCs w:val="0"/>
                <w:color w:val="auto"/>
                <w:sz w:val="21"/>
                <w:szCs w:val="21"/>
                <w:highlight w:val="none"/>
                <w:u w:val="none"/>
                <w:lang w:bidi="ar"/>
              </w:rPr>
              <w:t>由具备有效CMA资质的检测机构出具的封面盖有CMA专用印章的检测报告原件关键页扫描件(</w:t>
            </w:r>
            <w:r>
              <w:rPr>
                <w:rFonts w:hint="eastAsia" w:ascii="宋体" w:hAnsi="宋体" w:eastAsia="宋体" w:cs="宋体"/>
                <w:b w:val="0"/>
                <w:bCs w:val="0"/>
                <w:i w:val="0"/>
                <w:iCs w:val="0"/>
                <w:color w:val="auto"/>
                <w:kern w:val="0"/>
                <w:sz w:val="21"/>
                <w:szCs w:val="21"/>
                <w:highlight w:val="none"/>
                <w:u w:val="none"/>
                <w:lang w:val="en-US" w:eastAsia="zh-CN" w:bidi="ar"/>
              </w:rPr>
              <w:t>依据标准GA/T 1127-2013等现行国家标准</w:t>
            </w:r>
            <w:r>
              <w:rPr>
                <w:rFonts w:hint="eastAsia" w:ascii="宋体" w:hAnsi="宋体" w:eastAsia="宋体" w:cs="宋体"/>
                <w:b w:val="0"/>
                <w:bCs w:val="0"/>
                <w:color w:val="auto"/>
                <w:sz w:val="21"/>
                <w:szCs w:val="21"/>
                <w:highlight w:val="none"/>
                <w:u w:val="none"/>
                <w:lang w:bidi="ar"/>
              </w:rPr>
              <w:t>）</w:t>
            </w:r>
            <w:r>
              <w:rPr>
                <w:rFonts w:hint="eastAsia" w:ascii="宋体" w:hAnsi="宋体" w:eastAsia="宋体" w:cs="宋体"/>
                <w:b w:val="0"/>
                <w:bCs w:val="0"/>
                <w:i w:val="0"/>
                <w:iCs w:val="0"/>
                <w:color w:val="auto"/>
                <w:kern w:val="0"/>
                <w:sz w:val="21"/>
                <w:szCs w:val="21"/>
                <w:highlight w:val="none"/>
                <w:u w:val="none"/>
                <w:lang w:val="en-US" w:eastAsia="zh-CN" w:bidi="ar"/>
              </w:rPr>
              <w:t>。</w:t>
            </w:r>
            <w:r>
              <w:rPr>
                <w:rFonts w:hint="eastAsia" w:ascii="宋体" w:hAnsi="宋体" w:eastAsia="宋体" w:cs="宋体"/>
                <w:b w:val="0"/>
                <w:bCs w:val="0"/>
                <w:color w:val="auto"/>
                <w:kern w:val="0"/>
                <w:sz w:val="21"/>
                <w:szCs w:val="21"/>
                <w:highlight w:val="none"/>
              </w:rPr>
              <w:br w:type="textWrapping"/>
            </w:r>
            <w:r>
              <w:rPr>
                <w:rFonts w:hint="eastAsia" w:ascii="宋体" w:hAnsi="宋体" w:eastAsia="宋体" w:cs="宋体"/>
                <w:b w:val="0"/>
                <w:bCs w:val="0"/>
                <w:color w:val="auto"/>
                <w:kern w:val="0"/>
                <w:sz w:val="21"/>
                <w:szCs w:val="21"/>
                <w:highlight w:val="none"/>
                <w:lang w:val="en-US" w:eastAsia="zh-CN"/>
              </w:rPr>
              <w:t>12.支持DC12V或</w:t>
            </w:r>
            <w:r>
              <w:rPr>
                <w:rFonts w:hint="eastAsia" w:ascii="宋体" w:hAnsi="宋体" w:eastAsia="宋体" w:cs="宋体"/>
                <w:b w:val="0"/>
                <w:bCs w:val="0"/>
                <w:color w:val="auto"/>
                <w:kern w:val="0"/>
                <w:sz w:val="21"/>
                <w:szCs w:val="21"/>
                <w:highlight w:val="none"/>
              </w:rPr>
              <w:t>POE供电功能。</w:t>
            </w:r>
          </w:p>
          <w:p w14:paraId="41F88243">
            <w:pPr>
              <w:pStyle w:val="15"/>
              <w:keepNext w:val="0"/>
              <w:keepLines w:val="0"/>
              <w:pageBreakBefore w:val="0"/>
              <w:kinsoku/>
              <w:wordWrap/>
              <w:overflowPunct/>
              <w:topLinePunct w:val="0"/>
              <w:autoSpaceDE/>
              <w:autoSpaceDN/>
              <w:bidi w:val="0"/>
              <w:adjustRightInd/>
              <w:snapToGrid/>
              <w:spacing w:line="400" w:lineRule="exact"/>
              <w:ind w:left="0"/>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color w:val="auto"/>
                <w:sz w:val="21"/>
                <w:szCs w:val="21"/>
                <w:highlight w:val="none"/>
                <w:lang w:val="en-US" w:eastAsia="zh-CN" w:bidi="ar"/>
              </w:rPr>
              <w:t>13.</w:t>
            </w:r>
            <w:r>
              <w:rPr>
                <w:rFonts w:hint="eastAsia" w:ascii="宋体" w:hAnsi="宋体" w:eastAsia="宋体" w:cs="宋体"/>
                <w:b w:val="0"/>
                <w:bCs w:val="0"/>
                <w:i w:val="0"/>
                <w:iCs w:val="0"/>
                <w:color w:val="auto"/>
                <w:kern w:val="0"/>
                <w:sz w:val="21"/>
                <w:szCs w:val="21"/>
                <w:highlight w:val="none"/>
                <w:u w:val="none"/>
                <w:lang w:val="en-US" w:eastAsia="zh-CN" w:bidi="ar"/>
              </w:rPr>
              <w:t>提供SD或TF卡槽。承诺可通过加装安全加密卡对接公安视频数据加密平台、实现安全升级以符合GB35114A级标准对前端面摄像机基于数字证书的双向身份认证功能，提供承诺函（格式自拟）。</w:t>
            </w:r>
          </w:p>
          <w:p w14:paraId="6FA7ABBA">
            <w:pPr>
              <w:keepNext w:val="0"/>
              <w:keepLines w:val="0"/>
              <w:pageBreakBefore w:val="0"/>
              <w:widowControl/>
              <w:numPr>
                <w:ilvl w:val="0"/>
                <w:numId w:val="0"/>
              </w:numPr>
              <w:kinsoku/>
              <w:wordWrap/>
              <w:overflowPunct/>
              <w:topLinePunct w:val="0"/>
              <w:autoSpaceDE/>
              <w:autoSpaceDN/>
              <w:bidi w:val="0"/>
              <w:adjustRightInd/>
              <w:snapToGrid/>
              <w:spacing w:line="400" w:lineRule="exact"/>
              <w:ind w:left="0"/>
              <w:jc w:val="left"/>
              <w:textAlignment w:val="auto"/>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lang w:val="en-US" w:eastAsia="zh-CN"/>
              </w:rPr>
              <w:t>14.</w:t>
            </w:r>
            <w:r>
              <w:rPr>
                <w:rFonts w:hint="eastAsia" w:ascii="宋体" w:hAnsi="宋体" w:eastAsia="宋体" w:cs="宋体"/>
                <w:b w:val="0"/>
                <w:bCs w:val="0"/>
                <w:color w:val="auto"/>
                <w:kern w:val="0"/>
                <w:sz w:val="21"/>
                <w:szCs w:val="21"/>
                <w:highlight w:val="none"/>
              </w:rPr>
              <w:t>接口：RJ45百兆以太网电口、音频输入/输出、报警输入/输出。</w:t>
            </w:r>
          </w:p>
          <w:p w14:paraId="2371374A">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color w:val="auto"/>
                <w:sz w:val="21"/>
                <w:szCs w:val="21"/>
                <w:highlight w:val="none"/>
              </w:rPr>
            </w:pPr>
            <w:r>
              <w:rPr>
                <w:rFonts w:hint="eastAsia" w:ascii="宋体" w:hAnsi="宋体" w:eastAsia="宋体" w:cs="宋体"/>
                <w:b w:val="0"/>
                <w:bCs w:val="0"/>
                <w:i w:val="0"/>
                <w:iCs w:val="0"/>
                <w:color w:val="auto"/>
                <w:sz w:val="21"/>
                <w:szCs w:val="21"/>
                <w:highlight w:val="none"/>
                <w:u w:val="none"/>
                <w:lang w:val="en-US" w:eastAsia="zh-CN" w:bidi="ar"/>
              </w:rPr>
              <w:t>★15.符合GB/T 28181、Onvif、IPv4/IPv6协议标准。提供所投产品原厂公开技术文档（白皮书、彩页、官网规格页截图及链接地址）或提供承诺函（格式自拟）</w:t>
            </w:r>
            <w:r>
              <w:rPr>
                <w:rFonts w:hint="eastAsia" w:ascii="宋体" w:hAnsi="宋体" w:eastAsia="宋体" w:cs="宋体"/>
                <w:b w:val="0"/>
                <w:bCs w:val="0"/>
                <w:color w:val="auto"/>
                <w:sz w:val="21"/>
                <w:szCs w:val="21"/>
                <w:highlight w:val="none"/>
                <w:u w:val="none"/>
                <w:lang w:val="en-US" w:eastAsia="zh-CN" w:bidi="ar"/>
              </w:rPr>
              <w:t>。</w:t>
            </w:r>
          </w:p>
          <w:p w14:paraId="47EE0077">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宋体" w:hAnsi="宋体" w:eastAsia="宋体" w:cs="宋体"/>
                <w:b w:val="0"/>
                <w:bCs w:val="0"/>
                <w:color w:val="auto"/>
                <w:sz w:val="21"/>
                <w:szCs w:val="21"/>
                <w:highlight w:val="none"/>
                <w:lang w:val="en-US" w:eastAsia="zh-CN"/>
              </w:rPr>
              <w:t>注：</w:t>
            </w:r>
            <w:r>
              <w:rPr>
                <w:rFonts w:hint="eastAsia" w:ascii="宋体" w:hAnsi="宋体" w:eastAsia="宋体" w:cs="宋体"/>
                <w:b w:val="0"/>
                <w:bCs w:val="0"/>
                <w:i w:val="0"/>
                <w:iCs w:val="0"/>
                <w:color w:val="auto"/>
                <w:kern w:val="0"/>
                <w:sz w:val="21"/>
                <w:szCs w:val="21"/>
                <w:highlight w:val="none"/>
                <w:u w:val="none"/>
                <w:lang w:val="en-US" w:eastAsia="zh-CN" w:bidi="ar"/>
              </w:rPr>
              <w:t>提供检测报告的，按第四章商务要求（其他要求的第2条）中明确的要求、提供相关佐证材料。</w:t>
            </w:r>
          </w:p>
        </w:tc>
      </w:tr>
      <w:tr w14:paraId="6E694D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jc w:val="center"/>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7EDF7">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5</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026BA">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智能球型摄像机</w:t>
            </w:r>
          </w:p>
        </w:tc>
        <w:tc>
          <w:tcPr>
            <w:tcW w:w="7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99D29">
            <w:pPr>
              <w:pStyle w:val="15"/>
              <w:keepNext w:val="0"/>
              <w:keepLines w:val="0"/>
              <w:pageBreakBefore w:val="0"/>
              <w:kinsoku/>
              <w:wordWrap/>
              <w:overflowPunct/>
              <w:topLinePunct w:val="0"/>
              <w:autoSpaceDE/>
              <w:autoSpaceDN/>
              <w:bidi w:val="0"/>
              <w:adjustRightInd/>
              <w:snapToGrid/>
              <w:spacing w:line="400" w:lineRule="exact"/>
              <w:ind w:left="0"/>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1.传感器：≥</w:t>
            </w:r>
            <w:r>
              <w:rPr>
                <w:rFonts w:hint="eastAsia" w:ascii="宋体" w:hAnsi="宋体" w:eastAsia="宋体" w:cs="宋体"/>
                <w:b w:val="0"/>
                <w:bCs w:val="0"/>
                <w:i w:val="0"/>
                <w:iCs w:val="0"/>
                <w:color w:val="auto"/>
                <w:sz w:val="21"/>
                <w:szCs w:val="21"/>
                <w:highlight w:val="none"/>
                <w:u w:val="none"/>
                <w:lang w:val="en-US" w:eastAsia="zh-CN" w:bidi="ar"/>
              </w:rPr>
              <w:t>1/2.7</w:t>
            </w:r>
            <w:r>
              <w:rPr>
                <w:rFonts w:hint="eastAsia" w:ascii="宋体" w:hAnsi="宋体" w:eastAsia="宋体" w:cs="宋体"/>
                <w:b w:val="0"/>
                <w:bCs w:val="0"/>
                <w:i w:val="0"/>
                <w:iCs w:val="0"/>
                <w:color w:val="auto"/>
                <w:kern w:val="0"/>
                <w:sz w:val="21"/>
                <w:szCs w:val="21"/>
                <w:highlight w:val="none"/>
                <w:u w:val="none"/>
                <w:lang w:val="en-US" w:eastAsia="zh-CN" w:bidi="ar"/>
              </w:rPr>
              <w:t>英寸CMOS传感器。提供原厂公开技术文档（白皮书、彩页、官网规格页截图及链接地址）。</w:t>
            </w:r>
          </w:p>
          <w:p w14:paraId="6952D9E3">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★2.采用≥400万像素或≥2560×1440。</w:t>
            </w:r>
            <w:r>
              <w:rPr>
                <w:rFonts w:hint="eastAsia" w:ascii="宋体" w:hAnsi="宋体" w:eastAsia="宋体" w:cs="宋体"/>
                <w:b w:val="0"/>
                <w:bCs w:val="0"/>
                <w:i w:val="0"/>
                <w:iCs w:val="0"/>
                <w:color w:val="auto"/>
                <w:kern w:val="0"/>
                <w:sz w:val="21"/>
                <w:szCs w:val="21"/>
                <w:highlight w:val="none"/>
                <w:u w:val="none"/>
                <w:lang w:val="en-US" w:eastAsia="zh-CN" w:bidi="ar"/>
              </w:rPr>
              <w:t>提供所投产品的检测报告原件关键页扫描件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（依据标准</w:t>
            </w:r>
            <w:r>
              <w:rPr>
                <w:rFonts w:hint="eastAsia" w:ascii="宋体" w:hAnsi="宋体" w:eastAsia="宋体" w:cs="宋体"/>
                <w:b w:val="0"/>
                <w:bCs w:val="0"/>
                <w:color w:val="auto"/>
                <w:sz w:val="21"/>
                <w:szCs w:val="21"/>
                <w:highlight w:val="none"/>
                <w:vertAlign w:val="baseline"/>
              </w:rPr>
              <w:t xml:space="preserve">GB/T 15211-2013 </w:t>
            </w:r>
            <w:r>
              <w:rPr>
                <w:rFonts w:hint="eastAsia" w:ascii="宋体" w:hAnsi="宋体" w:eastAsia="宋体" w:cs="宋体"/>
                <w:b w:val="0"/>
                <w:bCs w:val="0"/>
                <w:color w:val="auto"/>
                <w:sz w:val="21"/>
                <w:szCs w:val="21"/>
                <w:highlight w:val="none"/>
                <w:vertAlign w:val="baseline"/>
                <w:lang w:val="en-US" w:eastAsia="zh-CN"/>
              </w:rPr>
              <w:t>或</w:t>
            </w:r>
            <w:r>
              <w:rPr>
                <w:rFonts w:hint="eastAsia" w:ascii="宋体" w:hAnsi="宋体" w:eastAsia="宋体" w:cs="宋体"/>
                <w:b w:val="0"/>
                <w:bCs w:val="0"/>
                <w:i w:val="0"/>
                <w:iCs w:val="0"/>
                <w:color w:val="auto"/>
                <w:sz w:val="21"/>
                <w:szCs w:val="21"/>
                <w:highlight w:val="none"/>
                <w:u w:val="none"/>
                <w:lang w:val="en-US" w:eastAsia="zh-CN" w:bidi="ar"/>
              </w:rPr>
              <w:t>GA/T 645-2014或GB 16796-2022等现行国家标准）</w:t>
            </w:r>
            <w:r>
              <w:rPr>
                <w:rFonts w:hint="eastAsia" w:ascii="宋体" w:hAnsi="宋体" w:eastAsia="宋体" w:cs="宋体"/>
                <w:b w:val="0"/>
                <w:bCs w:val="0"/>
                <w:i w:val="0"/>
                <w:iCs w:val="0"/>
                <w:color w:val="auto"/>
                <w:kern w:val="0"/>
                <w:sz w:val="21"/>
                <w:szCs w:val="21"/>
                <w:highlight w:val="none"/>
                <w:u w:val="none"/>
                <w:lang w:val="en-US" w:eastAsia="zh-CN" w:bidi="ar"/>
              </w:rPr>
              <w:t>。</w:t>
            </w:r>
          </w:p>
          <w:p w14:paraId="0FDBFA5C">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★3.内置镜头、具备≥23倍光学变焦（镜头焦距最大值与最少值的比值≥23），智能红外补光距离（识别距离）≥150米。</w:t>
            </w:r>
            <w:r>
              <w:rPr>
                <w:rFonts w:hint="eastAsia" w:ascii="宋体" w:hAnsi="宋体" w:eastAsia="宋体" w:cs="宋体"/>
                <w:b w:val="0"/>
                <w:bCs w:val="0"/>
                <w:i w:val="0"/>
                <w:iCs w:val="0"/>
                <w:color w:val="auto"/>
                <w:kern w:val="0"/>
                <w:sz w:val="21"/>
                <w:szCs w:val="21"/>
                <w:highlight w:val="none"/>
                <w:u w:val="none"/>
                <w:lang w:val="en-US" w:eastAsia="zh-CN" w:bidi="ar"/>
              </w:rPr>
              <w:t>提供所投产品的检测报告原件关键页扫描件（依据标准</w:t>
            </w:r>
            <w:r>
              <w:rPr>
                <w:rFonts w:hint="eastAsia" w:ascii="宋体" w:hAnsi="宋体" w:eastAsia="宋体" w:cs="宋体"/>
                <w:b w:val="0"/>
                <w:bCs w:val="0"/>
                <w:i w:val="0"/>
                <w:iCs w:val="0"/>
                <w:color w:val="auto"/>
                <w:sz w:val="21"/>
                <w:szCs w:val="21"/>
                <w:highlight w:val="none"/>
                <w:u w:val="none"/>
                <w:lang w:val="en-US" w:eastAsia="zh-CN" w:bidi="ar"/>
              </w:rPr>
              <w:t>GA/T 645-2014</w:t>
            </w:r>
            <w:r>
              <w:rPr>
                <w:rFonts w:hint="eastAsia" w:ascii="宋体" w:hAnsi="宋体" w:eastAsia="宋体" w:cs="宋体"/>
                <w:b w:val="0"/>
                <w:bCs w:val="0"/>
                <w:i w:val="0"/>
                <w:iCs w:val="0"/>
                <w:color w:val="auto"/>
                <w:kern w:val="0"/>
                <w:sz w:val="21"/>
                <w:szCs w:val="21"/>
                <w:highlight w:val="none"/>
                <w:u w:val="none"/>
                <w:lang w:val="en-US" w:eastAsia="zh-CN" w:bidi="ar"/>
              </w:rPr>
              <w:t>等现行国家标准）。</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★4.具备H.265、H.264、MJPEG视频编码格式，音频编码：G.711、AAC。</w:t>
            </w:r>
            <w:r>
              <w:rPr>
                <w:rFonts w:hint="eastAsia" w:ascii="宋体" w:hAnsi="宋体" w:eastAsia="宋体" w:cs="宋体"/>
                <w:b w:val="0"/>
                <w:bCs w:val="0"/>
                <w:i w:val="0"/>
                <w:iCs w:val="0"/>
                <w:color w:val="auto"/>
                <w:kern w:val="0"/>
                <w:sz w:val="21"/>
                <w:szCs w:val="21"/>
                <w:highlight w:val="none"/>
                <w:u w:val="none"/>
                <w:lang w:val="en-US" w:eastAsia="zh-CN" w:bidi="ar"/>
              </w:rPr>
              <w:t>提供原厂公开技术文档（白皮书、彩页、官网规格页截图及链接地址）。</w:t>
            </w:r>
          </w:p>
          <w:p w14:paraId="674678BF">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★5.具备最低照度彩色不劣于0.0005Lux，黑白不劣于0.0001Lux。提供第三方机构出具的具有CMA标志的检测报告（依据标准GA/T 645-2014或GB 16796-2022</w:t>
            </w:r>
            <w:r>
              <w:rPr>
                <w:rFonts w:hint="eastAsia" w:ascii="宋体" w:hAnsi="宋体" w:eastAsia="宋体" w:cs="宋体"/>
                <w:b w:val="0"/>
                <w:bCs w:val="0"/>
                <w:color w:val="auto"/>
                <w:sz w:val="21"/>
                <w:szCs w:val="21"/>
                <w:highlight w:val="none"/>
                <w:u w:val="none"/>
                <w:lang w:bidi="ar"/>
              </w:rPr>
              <w:t>或GB/T 15211-2013</w:t>
            </w:r>
            <w:r>
              <w:rPr>
                <w:rFonts w:hint="eastAsia" w:ascii="宋体" w:hAnsi="宋体" w:eastAsia="宋体" w:cs="宋体"/>
                <w:b w:val="0"/>
                <w:bCs w:val="0"/>
                <w:i w:val="0"/>
                <w:iCs w:val="0"/>
                <w:color w:val="auto"/>
                <w:sz w:val="21"/>
                <w:szCs w:val="21"/>
                <w:highlight w:val="none"/>
                <w:u w:val="none"/>
                <w:lang w:val="en-US" w:eastAsia="zh-CN" w:bidi="ar"/>
              </w:rPr>
              <w:t>等现行国家标准）</w:t>
            </w:r>
            <w:r>
              <w:rPr>
                <w:rFonts w:hint="eastAsia" w:ascii="宋体" w:hAnsi="宋体" w:eastAsia="宋体" w:cs="宋体"/>
                <w:b w:val="0"/>
                <w:bCs w:val="0"/>
                <w:color w:val="auto"/>
                <w:sz w:val="21"/>
                <w:szCs w:val="21"/>
                <w:highlight w:val="none"/>
                <w:u w:val="none"/>
                <w:lang w:val="en-US" w:eastAsia="zh-CN" w:bidi="ar"/>
              </w:rPr>
              <w:t>。</w:t>
            </w:r>
          </w:p>
          <w:p w14:paraId="2C2FFC4E">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6.可对镜头前盖玻璃进行加热，去除玻璃上的冰状和水状附着物。提供第三方机构出具的具有CMA标志的检测报告（依据标准GA/T 645-2014或GB 16796-2022等现行国家标准）</w:t>
            </w:r>
            <w:r>
              <w:rPr>
                <w:rFonts w:hint="eastAsia" w:ascii="宋体" w:hAnsi="宋体" w:eastAsia="宋体" w:cs="宋体"/>
                <w:b w:val="0"/>
                <w:bCs w:val="0"/>
                <w:color w:val="auto"/>
                <w:sz w:val="21"/>
                <w:szCs w:val="21"/>
                <w:highlight w:val="none"/>
                <w:u w:val="none"/>
                <w:lang w:val="en-US" w:eastAsia="zh-CN" w:bidi="ar"/>
              </w:rPr>
              <w:t>。</w:t>
            </w:r>
          </w:p>
          <w:p w14:paraId="37BEF449">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7.云台键控速度：水平0.1°-200°/S，垂直0.1°-120°/S。；预置位≥30个。</w:t>
            </w:r>
          </w:p>
          <w:p w14:paraId="445E62AA">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8.旋转范围：水平方向：0°～360°连续旋转。垂直方向：-20°～90°自动翻转180°后连续监视。</w:t>
            </w:r>
          </w:p>
          <w:p w14:paraId="0F45F27C">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9.具备巡航、看守位、拉框放大等功能。</w:t>
            </w:r>
          </w:p>
          <w:p w14:paraId="739015A5">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10.具备定时启动、断电记忆功能。</w:t>
            </w:r>
          </w:p>
          <w:p w14:paraId="20CD1EB2">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★11.具备强光抑制、透雾功能。</w:t>
            </w:r>
            <w:r>
              <w:rPr>
                <w:rFonts w:hint="eastAsia" w:ascii="宋体" w:hAnsi="宋体" w:eastAsia="宋体" w:cs="宋体"/>
                <w:b w:val="0"/>
                <w:bCs w:val="0"/>
                <w:i w:val="0"/>
                <w:iCs w:val="0"/>
                <w:color w:val="auto"/>
                <w:kern w:val="0"/>
                <w:sz w:val="21"/>
                <w:szCs w:val="21"/>
                <w:highlight w:val="none"/>
                <w:u w:val="none"/>
                <w:lang w:val="en-US" w:eastAsia="zh-CN" w:bidi="ar"/>
              </w:rPr>
              <w:t>提供原厂公开技术文档（白皮书、彩页、官网规格页截图及链接地址）。</w:t>
            </w:r>
          </w:p>
          <w:p w14:paraId="37C4BB52">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★12.宽动态能力综合得分≥80。提供</w:t>
            </w:r>
            <w:r>
              <w:rPr>
                <w:rFonts w:hint="eastAsia" w:ascii="宋体" w:hAnsi="宋体" w:eastAsia="宋体" w:cs="宋体"/>
                <w:b w:val="0"/>
                <w:bCs w:val="0"/>
                <w:color w:val="auto"/>
                <w:sz w:val="21"/>
                <w:szCs w:val="21"/>
                <w:highlight w:val="none"/>
                <w:u w:val="none"/>
                <w:lang w:bidi="ar"/>
              </w:rPr>
              <w:t>由具备有效CMA资质的检测机构出具的封面盖有CMA专用印章的检测报告原件关键页扫描件(</w:t>
            </w:r>
            <w:r>
              <w:rPr>
                <w:rFonts w:hint="eastAsia" w:ascii="宋体" w:hAnsi="宋体" w:eastAsia="宋体" w:cs="宋体"/>
                <w:b w:val="0"/>
                <w:bCs w:val="0"/>
                <w:i w:val="0"/>
                <w:iCs w:val="0"/>
                <w:color w:val="auto"/>
                <w:kern w:val="0"/>
                <w:sz w:val="21"/>
                <w:szCs w:val="21"/>
                <w:highlight w:val="none"/>
                <w:u w:val="none"/>
                <w:lang w:val="en-US" w:eastAsia="zh-CN" w:bidi="ar"/>
              </w:rPr>
              <w:t>依据标准GA/T 1127-2013或</w:t>
            </w:r>
            <w:r>
              <w:rPr>
                <w:rFonts w:hint="eastAsia" w:ascii="宋体" w:hAnsi="宋体" w:eastAsia="宋体" w:cs="宋体"/>
                <w:b w:val="0"/>
                <w:bCs w:val="0"/>
                <w:i w:val="0"/>
                <w:iCs w:val="0"/>
                <w:color w:val="auto"/>
                <w:sz w:val="21"/>
                <w:szCs w:val="21"/>
                <w:highlight w:val="none"/>
                <w:u w:val="none"/>
                <w:lang w:val="en-US" w:eastAsia="zh-CN" w:bidi="ar"/>
              </w:rPr>
              <w:t>GA/T 645-2014</w:t>
            </w:r>
            <w:r>
              <w:rPr>
                <w:rFonts w:hint="eastAsia" w:ascii="宋体" w:hAnsi="宋体" w:eastAsia="宋体" w:cs="宋体"/>
                <w:b w:val="0"/>
                <w:bCs w:val="0"/>
                <w:i w:val="0"/>
                <w:iCs w:val="0"/>
                <w:color w:val="auto"/>
                <w:kern w:val="0"/>
                <w:sz w:val="21"/>
                <w:szCs w:val="21"/>
                <w:highlight w:val="none"/>
                <w:u w:val="none"/>
                <w:lang w:val="en-US" w:eastAsia="zh-CN" w:bidi="ar"/>
              </w:rPr>
              <w:t>等现行国家标准</w:t>
            </w:r>
            <w:r>
              <w:rPr>
                <w:rFonts w:hint="eastAsia" w:ascii="宋体" w:hAnsi="宋体" w:eastAsia="宋体" w:cs="宋体"/>
                <w:b w:val="0"/>
                <w:bCs w:val="0"/>
                <w:color w:val="auto"/>
                <w:sz w:val="21"/>
                <w:szCs w:val="21"/>
                <w:highlight w:val="none"/>
                <w:u w:val="none"/>
                <w:lang w:bidi="ar"/>
              </w:rPr>
              <w:t>）</w:t>
            </w:r>
            <w:r>
              <w:rPr>
                <w:rFonts w:hint="eastAsia" w:ascii="宋体" w:hAnsi="宋体" w:eastAsia="宋体" w:cs="宋体"/>
                <w:b w:val="0"/>
                <w:bCs w:val="0"/>
                <w:i w:val="0"/>
                <w:iCs w:val="0"/>
                <w:color w:val="auto"/>
                <w:kern w:val="0"/>
                <w:sz w:val="21"/>
                <w:szCs w:val="21"/>
                <w:highlight w:val="none"/>
                <w:u w:val="none"/>
                <w:lang w:val="en-US" w:eastAsia="zh-CN" w:bidi="ar"/>
              </w:rPr>
              <w:t>）。</w:t>
            </w:r>
          </w:p>
          <w:p w14:paraId="0728D378">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★13.具备绊线或越界入侵、区域入侵、徘徊、快速移动、人员聚集等智能行为分析功能，具备联动抓拍或录像、报警。</w:t>
            </w:r>
            <w:r>
              <w:rPr>
                <w:rFonts w:hint="eastAsia" w:ascii="宋体" w:hAnsi="宋体" w:eastAsia="宋体" w:cs="宋体"/>
                <w:b w:val="0"/>
                <w:bCs w:val="0"/>
                <w:i w:val="0"/>
                <w:iCs w:val="0"/>
                <w:color w:val="auto"/>
                <w:kern w:val="0"/>
                <w:sz w:val="21"/>
                <w:szCs w:val="21"/>
                <w:highlight w:val="none"/>
                <w:u w:val="none"/>
                <w:lang w:val="en-US" w:eastAsia="zh-CN" w:bidi="ar"/>
              </w:rPr>
              <w:t>提供原厂公开技术文档（白皮书、彩页、官网规格页截图及链接地址）。</w:t>
            </w:r>
          </w:p>
          <w:p w14:paraId="69A60C82">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14.具备数据直存功能，即直接将视频存储数据发送到存储设备（当中心服务器故障时，不影响正在进行的存储业务）。</w:t>
            </w:r>
          </w:p>
          <w:p w14:paraId="16FC615A">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15.接口：百兆及以上以太网电口、音频输入/输出、报警输入/输出。</w:t>
            </w:r>
          </w:p>
          <w:p w14:paraId="28F05051">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16.提供SD或TF卡槽。承诺可通过加装安全加密卡对接公安视频数据加密平台、实现安全升级以符合GB35114A级标准对前端面摄像机基于数字证书的双向身份认证功能，提供承诺函（格式自拟）。</w:t>
            </w:r>
          </w:p>
          <w:p w14:paraId="2B7FE36D">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★17.防护等级：≥IP67。提供所投产品的检测报告原件关键页扫描件（依据</w:t>
            </w:r>
            <w:r>
              <w:rPr>
                <w:rFonts w:hint="eastAsia" w:ascii="宋体" w:hAnsi="宋体" w:eastAsia="宋体" w:cs="宋体"/>
                <w:b w:val="0"/>
                <w:bCs w:val="0"/>
                <w:i w:val="0"/>
                <w:iCs w:val="0"/>
                <w:color w:val="auto"/>
                <w:kern w:val="0"/>
                <w:sz w:val="21"/>
                <w:szCs w:val="21"/>
                <w:highlight w:val="none"/>
                <w:u w:val="none"/>
                <w:lang w:val="en-US" w:eastAsia="zh-CN" w:bidi="ar"/>
              </w:rPr>
              <w:t>GA/T 645-2014或</w:t>
            </w:r>
            <w:r>
              <w:rPr>
                <w:rFonts w:hint="eastAsia" w:ascii="宋体" w:hAnsi="宋体" w:eastAsia="宋体" w:cs="宋体"/>
                <w:b w:val="0"/>
                <w:bCs w:val="0"/>
                <w:i w:val="0"/>
                <w:iCs w:val="0"/>
                <w:color w:val="auto"/>
                <w:sz w:val="21"/>
                <w:szCs w:val="21"/>
                <w:highlight w:val="none"/>
                <w:u w:val="none"/>
                <w:lang w:val="en-US" w:eastAsia="zh-CN" w:bidi="ar"/>
              </w:rPr>
              <w:t>GB/T 15211-2013或GA/T 1127-2013或GB/T4208-2017标准）等相关现行国家标准）。</w:t>
            </w:r>
          </w:p>
          <w:p w14:paraId="11D223C7">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★18.符合GB/T 28181、Onvif、IPv4/IPv6协议标准。提供所投产品原厂公开技术文档（白皮书、彩页、官网规格页截图及链接地址）或提供承诺函（格式自拟）</w:t>
            </w:r>
            <w:r>
              <w:rPr>
                <w:rFonts w:hint="eastAsia" w:ascii="宋体" w:hAnsi="宋体" w:eastAsia="宋体" w:cs="宋体"/>
                <w:b w:val="0"/>
                <w:bCs w:val="0"/>
                <w:color w:val="auto"/>
                <w:sz w:val="21"/>
                <w:szCs w:val="21"/>
                <w:highlight w:val="none"/>
                <w:u w:val="none"/>
                <w:lang w:val="en-US" w:eastAsia="zh-CN" w:bidi="ar"/>
              </w:rPr>
              <w:t>。</w:t>
            </w:r>
          </w:p>
          <w:p w14:paraId="0F967C44">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19.浪涌（冲击）抗扰度测试、防浪涌。承诺符合GA/T 1127-2013或GB/T 17626.5-2008/2019对摄像机的防浪涌要求。</w:t>
            </w:r>
          </w:p>
          <w:p w14:paraId="57174270">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20.具备单场景、多场景、全景及手动跟踪模式；具有一键跟踪控制按钮，具备一键智能跟踪功能。单场景跟踪模式：可在预设的单个场景内跟踪移动的人员或车辆。多场景跟踪模式：可在预设的多个场景内跟踪移动的人员或车辆，多个场景间可根据预设时间轮巡。全景跟踪模式：可对移动的人员或车辆进行360度全景跟踪。手动跟踪模式：可选定移动的人员或车辆，对该目标进行跟踪。</w:t>
            </w:r>
          </w:p>
          <w:p w14:paraId="359F3699">
            <w:pPr>
              <w:pStyle w:val="18"/>
              <w:keepNext w:val="0"/>
              <w:keepLines w:val="0"/>
              <w:pageBreakBefore w:val="0"/>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i w:val="0"/>
                <w:iCs w:val="0"/>
                <w:color w:val="auto"/>
                <w:sz w:val="21"/>
                <w:szCs w:val="21"/>
                <w:u w:val="none"/>
              </w:rPr>
            </w:pPr>
            <w:r>
              <w:rPr>
                <w:rFonts w:hint="eastAsia" w:ascii="宋体" w:hAnsi="宋体" w:eastAsia="宋体" w:cs="宋体"/>
                <w:b w:val="0"/>
                <w:bCs w:val="0"/>
                <w:color w:val="auto"/>
                <w:sz w:val="21"/>
                <w:szCs w:val="21"/>
                <w:highlight w:val="none"/>
                <w:lang w:val="en-US" w:eastAsia="zh-CN"/>
              </w:rPr>
              <w:t>注：</w:t>
            </w:r>
            <w:r>
              <w:rPr>
                <w:rFonts w:hint="eastAsia" w:ascii="宋体" w:hAnsi="宋体" w:eastAsia="宋体" w:cs="宋体"/>
                <w:b w:val="0"/>
                <w:bCs w:val="0"/>
                <w:i w:val="0"/>
                <w:iCs w:val="0"/>
                <w:color w:val="auto"/>
                <w:kern w:val="0"/>
                <w:sz w:val="21"/>
                <w:szCs w:val="21"/>
                <w:highlight w:val="none"/>
                <w:u w:val="none"/>
                <w:lang w:val="en-US" w:eastAsia="zh-CN" w:bidi="ar"/>
              </w:rPr>
              <w:t>提供检测报告的，按第四章商务要求（其他要求的第2条）中明确的要求、提供相关佐证材料。</w:t>
            </w:r>
          </w:p>
        </w:tc>
      </w:tr>
      <w:tr w14:paraId="5673EC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78E45">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6</w:t>
            </w:r>
          </w:p>
        </w:tc>
        <w:tc>
          <w:tcPr>
            <w:tcW w:w="13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3C043">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电梯网桥</w:t>
            </w:r>
          </w:p>
        </w:tc>
        <w:tc>
          <w:tcPr>
            <w:tcW w:w="7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AAFCA">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1.网桥网络接口：具备1个10/100Mbps自协商以太网上行口、1个10/100Mbps自协商以太网下行口。</w:t>
            </w:r>
          </w:p>
          <w:p w14:paraId="720FE6E2">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2.无线标准：不低于IEEE 802.11 b/g/n。</w:t>
            </w:r>
          </w:p>
          <w:p w14:paraId="7493BA56">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3.工作频率：2.4GHz - 2.484GHz。</w:t>
            </w:r>
          </w:p>
          <w:p w14:paraId="51EF7D8E">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4.无线传输距离：≥200m。</w:t>
            </w:r>
          </w:p>
          <w:p w14:paraId="272F2DDD">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5.整机最大无线传输速率≥300Mbps。</w:t>
            </w:r>
          </w:p>
          <w:p w14:paraId="0E19AFCF">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6.数码显示屏：支持，可显示工作模式和信道等信息。</w:t>
            </w:r>
          </w:p>
          <w:p w14:paraId="7E49EE22">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7.拨码开关：1个，可通过拨码调整网桥工作模式。</w:t>
            </w:r>
          </w:p>
          <w:p w14:paraId="17A61731">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宋体" w:hAnsi="宋体" w:eastAsia="宋体" w:cs="宋体"/>
                <w:i w:val="0"/>
                <w:iCs w:val="0"/>
                <w:color w:val="auto"/>
                <w:kern w:val="0"/>
                <w:sz w:val="21"/>
                <w:szCs w:val="21"/>
                <w:highlight w:val="none"/>
                <w:u w:val="none"/>
                <w:lang w:val="en-US" w:eastAsia="zh-CN" w:bidi="ar"/>
              </w:rPr>
              <w:t>8.工作温度：-20℃～+55℃。</w:t>
            </w:r>
          </w:p>
        </w:tc>
      </w:tr>
      <w:tr w14:paraId="4D3018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jc w:val="center"/>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4CF46">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7</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570C0">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8电口POE千兆交换机</w:t>
            </w:r>
          </w:p>
        </w:tc>
        <w:tc>
          <w:tcPr>
            <w:tcW w:w="7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B3A32">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★1.交换能力≥256Gbps ，包转发速率≥25Mpps，≥8个千兆电口，≥1个1G SPF千兆光口，提供官网截图或原厂白皮书或检测报告加盖公章。</w:t>
            </w:r>
          </w:p>
          <w:p w14:paraId="02A1BE9A">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★2.支持802.3at POE+功能 ；POE功率≥120W，提供原厂白皮书或者产品彩页或者官网截图（带链接）（实际供电需满足学校使用需求）。</w:t>
            </w:r>
          </w:p>
          <w:p w14:paraId="2DC8290A">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3.支持IPv4静态路由、RIP V1/V2、OSPF，支持IPv6静态路由、RIPng，支持 IPv4 和 IPv6 的三层路由和组播功能。</w:t>
            </w:r>
          </w:p>
          <w:p w14:paraId="06C06CFE">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4.支持基于端口的VLAN，支持基于协议的VLAN；支持基于MAC的VLAN。</w:t>
            </w:r>
          </w:p>
          <w:p w14:paraId="48E10F76">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5.支持最多8个端口聚合。</w:t>
            </w:r>
          </w:p>
          <w:p w14:paraId="7ED64044">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6.实现CPU保护功能，能限制非法报文对CPU的攻击，保护交换机在各种环境下稳定工作。</w:t>
            </w:r>
          </w:p>
          <w:p w14:paraId="6EFFC54B">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7.要求所投产品支持防雷等级≥10KV。</w:t>
            </w:r>
          </w:p>
          <w:p w14:paraId="5997BA34">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8.支持MAC地址≥16K。提供证明材料</w:t>
            </w:r>
          </w:p>
          <w:p w14:paraId="1431A5F6">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9.支持RIP、RIPng、OSPF、OSPFv3路由协议。</w:t>
            </w:r>
          </w:p>
          <w:p w14:paraId="390B7C47">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10.支持 ERPS 以太环保护协议（G.8032）。</w:t>
            </w:r>
          </w:p>
          <w:p w14:paraId="0D0C13F9">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宋体" w:hAnsi="宋体" w:eastAsia="宋体" w:cs="宋体"/>
                <w:b w:val="0"/>
                <w:bCs w:val="0"/>
                <w:color w:val="auto"/>
                <w:sz w:val="21"/>
                <w:szCs w:val="21"/>
                <w:highlight w:val="none"/>
                <w:lang w:val="en-US" w:eastAsia="zh-CN"/>
              </w:rPr>
              <w:t>★11.所投产品具备工业和信息化部颁发的进网许可证（CTA认证），提供证书扫描件和工信部网站查询的进网许可截图。</w:t>
            </w:r>
          </w:p>
        </w:tc>
      </w:tr>
      <w:tr w14:paraId="30F8EB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304D3">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8</w:t>
            </w:r>
          </w:p>
        </w:tc>
        <w:tc>
          <w:tcPr>
            <w:tcW w:w="13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C2A5B">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24口POE交换机</w:t>
            </w:r>
          </w:p>
        </w:tc>
        <w:tc>
          <w:tcPr>
            <w:tcW w:w="7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EFD26">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一、端口与性能（提供原厂公开技术文档（白皮书、彩页、官网规格页截图及链接地址均可））</w:t>
            </w:r>
          </w:p>
          <w:p w14:paraId="7F7F947B">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 端口配置：提供 ≥24 个 10/100/1000M 自适应以太网电口（RJ45），全部支持不低于 IEEE 802.3at（PoE+）；提供 ≥4 个 千兆SFP光口。</w:t>
            </w:r>
          </w:p>
          <w:p w14:paraId="4742CB19">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 交换性能：</w:t>
            </w:r>
          </w:p>
          <w:p w14:paraId="068F3581">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整机交换容量 ≥600 Gbps；整机包转发率 ≥ 120 Mpps。</w:t>
            </w:r>
          </w:p>
          <w:p w14:paraId="1BF222B6">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二、PoE供电能力（提供原厂公开技术文档（白皮书、彩页、官网规格页截图及链接地址均可））</w:t>
            </w:r>
          </w:p>
          <w:p w14:paraId="569B55A8">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 PoE标准与功率：至少支持 IEEE 802.3at（PoE+），同时可POE供电端口≥24个；整机可用PoE功率 ≥ 370W。（实际供电需满足学校使用需求）。</w:t>
            </w:r>
          </w:p>
          <w:p w14:paraId="78B22A4D">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三、三层路由与IPv6支持</w:t>
            </w:r>
          </w:p>
          <w:p w14:paraId="105C05D6">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 路由协议：支持以下IPv4/IPv6路由功能：静态路由；RIPv1/v2、RIPng；OSPFv2、OSPFv3；</w:t>
            </w:r>
          </w:p>
          <w:p w14:paraId="3DFD549F">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支持IPv4/IPv6双栈及组播转发。</w:t>
            </w:r>
          </w:p>
          <w:p w14:paraId="1CCC87D8">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四、VLAN、堆叠与链路聚合</w:t>
            </w:r>
          </w:p>
          <w:p w14:paraId="07C3DDD6">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 VLAN划分：支持基于端口、MAC地址、协议类型的VLAN。</w:t>
            </w:r>
          </w:p>
          <w:p w14:paraId="66BDAA11">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6. 高可用与聚合：支持多台设备虚拟化堆叠（物理或逻辑），实现统一管理；支持静态链路聚合及 LACP（IEEE 802.3ad）动态聚合。</w:t>
            </w:r>
          </w:p>
          <w:p w14:paraId="3D2B509B">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五、安全与终端管控</w:t>
            </w:r>
          </w:p>
          <w:p w14:paraId="6535A5AA">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7. 设备抗攻击能力：具备CPU保护机制，限制非法报文（如泛洪、畸形包）对主控CPU的冲击；支持ARP网关欺骗防御（如DAI、ARP Check）；支持ICMP泛洪、SYN Flood等DoS攻击防护策略。</w:t>
            </w:r>
          </w:p>
          <w:p w14:paraId="716E0346">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8. 表项容量：MAC地址表 ≥ 16K；ARP表项 ≥ 4K；IPv4 FIB表项 ≥ 1K。提供原厂公开技术文档（白皮书、彩页、官网规格页截图及链接地址均可）。</w:t>
            </w:r>
          </w:p>
          <w:p w14:paraId="2DB5AD90">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六、可靠性与环境适应性</w:t>
            </w:r>
          </w:p>
          <w:p w14:paraId="4E0C9980">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 端口防雷能力：所有业务电口具备 ≥6 kV（线-地）浪涌抗扰度，符合 IEC 61000-4-5 或 GB/T 17626.5 标准。</w:t>
            </w:r>
          </w:p>
          <w:p w14:paraId="6DD5009E">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10. 节能环保：支持 IEEE 802.3az（EEE）高效节能以太网，在端口空闲时自动进入低功耗模式，有流量时快速恢复。</w:t>
            </w:r>
          </w:p>
          <w:p w14:paraId="25EBB29A">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七、管理与运维</w:t>
            </w:r>
          </w:p>
          <w:p w14:paraId="69F129AF">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11. SDN与认证支持：支持SDN架构（如OpenFlow 1.3或等效开放API）；支持 IEEE 802.1X 端口认证，可对接主流RADIUS认证服务器。</w:t>
            </w:r>
          </w:p>
          <w:p w14:paraId="238DDED4">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12. 管理接口：支持 SNMP v1/v2c/v3、CLI（Console/Telnet/SSH）、Web GUI、Syslog、NTP、TFTP/FTP/SFTP 等标准管理协议。</w:t>
            </w:r>
          </w:p>
          <w:p w14:paraId="21FA3613">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八、合规与强制认证</w:t>
            </w:r>
          </w:p>
          <w:p w14:paraId="01D1CB94">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宋体" w:hAnsi="宋体" w:eastAsia="宋体" w:cs="宋体"/>
                <w:b w:val="0"/>
                <w:bCs w:val="0"/>
                <w:color w:val="auto"/>
                <w:sz w:val="21"/>
                <w:szCs w:val="21"/>
                <w:highlight w:val="none"/>
                <w:lang w:val="en-US" w:eastAsia="zh-CN"/>
              </w:rPr>
              <w:t>★13. 电信设备进网许可（CTA）：所投产品必须具备工业和信息化部核发的有效《电信设备进网许可证》。投标时须提供：进网许可证清晰扫描件；工信部官网查询结果截图，显示设备型号、生产企业、许可证编号及状态为“有效”。</w:t>
            </w:r>
          </w:p>
        </w:tc>
      </w:tr>
      <w:tr w14:paraId="0A9E01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jc w:val="center"/>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5C218">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9</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5EE27">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千兆光模块</w:t>
            </w:r>
          </w:p>
        </w:tc>
        <w:tc>
          <w:tcPr>
            <w:tcW w:w="7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06917">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宋体" w:hAnsi="宋体" w:eastAsia="宋体" w:cs="宋体"/>
                <w:i w:val="0"/>
                <w:iCs w:val="0"/>
                <w:color w:val="auto"/>
                <w:kern w:val="0"/>
                <w:sz w:val="21"/>
                <w:szCs w:val="21"/>
                <w:highlight w:val="none"/>
                <w:u w:val="none"/>
                <w:lang w:val="en-US" w:eastAsia="zh-CN" w:bidi="ar"/>
              </w:rPr>
              <w:t>光收发一体模块-SFP（1310nm、LC、10km），光模块序列号官网可查。</w:t>
            </w:r>
            <w:r>
              <w:rPr>
                <w:rFonts w:hint="eastAsia" w:ascii="宋体" w:hAnsi="宋体" w:eastAsia="宋体" w:cs="宋体"/>
                <w:b/>
                <w:bCs/>
                <w:i w:val="0"/>
                <w:iCs w:val="0"/>
                <w:color w:val="auto"/>
                <w:kern w:val="0"/>
                <w:sz w:val="21"/>
                <w:szCs w:val="21"/>
                <w:highlight w:val="none"/>
                <w:u w:val="none"/>
                <w:lang w:val="en-US" w:eastAsia="zh-CN" w:bidi="ar"/>
              </w:rPr>
              <w:t>光模块序列号官网或者400或邮件方式可查,提供官网查询截图（含链接地址）或400电话号码或邮件地址。</w:t>
            </w:r>
          </w:p>
        </w:tc>
      </w:tr>
      <w:tr w14:paraId="6132B4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90B35">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10</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97897">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3米单模双芯光纤跳线</w:t>
            </w:r>
          </w:p>
        </w:tc>
        <w:tc>
          <w:tcPr>
            <w:tcW w:w="7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83FC6">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1.G.652D单模光纤，双芯，LSZH护套，光缆的光学性能、机械性能、环境性能等符合现行国家或行业标准。</w:t>
            </w:r>
            <w:r>
              <w:rPr>
                <w:rFonts w:hint="eastAsia" w:ascii="宋体" w:hAnsi="宋体" w:eastAsia="宋体" w:cs="宋体"/>
                <w:b/>
                <w:bCs/>
                <w:i w:val="0"/>
                <w:iCs w:val="0"/>
                <w:color w:val="auto"/>
                <w:kern w:val="0"/>
                <w:sz w:val="21"/>
                <w:szCs w:val="21"/>
                <w:highlight w:val="none"/>
                <w:u w:val="none"/>
                <w:lang w:val="en-US" w:eastAsia="zh-CN" w:bidi="ar"/>
              </w:rPr>
              <w:t>提供所投产品的检测报告原件关键页扫描件（依据YD/T 1272.1-2018或YD/T 2152-2010或GB/T 9771-2020等现行国家或行业标准），检测报告中须体现检测依据以及是否通过检测的结论：需含光学性能、机械性能、环境性能检测项；提供检测报告的，按第四章商务要求（其他要求的第2条）中明确的要求、提供相关佐证材料。</w:t>
            </w:r>
          </w:p>
          <w:p w14:paraId="506B89C2">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宋体" w:hAnsi="宋体" w:eastAsia="宋体" w:cs="宋体"/>
                <w:i w:val="0"/>
                <w:iCs w:val="0"/>
                <w:color w:val="auto"/>
                <w:kern w:val="0"/>
                <w:sz w:val="21"/>
                <w:szCs w:val="21"/>
                <w:highlight w:val="none"/>
                <w:u w:val="none"/>
                <w:lang w:val="en-US" w:eastAsia="zh-CN" w:bidi="ar"/>
              </w:rPr>
              <w:t>2.长度规格≥3米。</w:t>
            </w:r>
          </w:p>
        </w:tc>
      </w:tr>
      <w:tr w14:paraId="717465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6959F">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11</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3B2E1">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六类4对非屏蔽双绞线</w:t>
            </w:r>
          </w:p>
        </w:tc>
        <w:tc>
          <w:tcPr>
            <w:tcW w:w="7028" w:type="dxa"/>
            <w:tcBorders>
              <w:top w:val="nil"/>
              <w:left w:val="single" w:color="000000" w:sz="4" w:space="0"/>
              <w:bottom w:val="single" w:color="000000" w:sz="4" w:space="0"/>
              <w:right w:val="single" w:color="000000" w:sz="4" w:space="0"/>
            </w:tcBorders>
            <w:shd w:val="clear" w:color="auto" w:fill="auto"/>
            <w:vAlign w:val="center"/>
          </w:tcPr>
          <w:p w14:paraId="191C850A">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★1.线规：6类电缆（250MHz），23AWG、导体材料为纯度不低于99.9%实心无氧铜（OFC），线芯：带十字芯骨架。</w:t>
            </w: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提供所投产品符合现行国家或行业标准的检测报告原件关键页扫描件或者提供所投产品生产企业的产品技术规格书；提供检测报告的，检测依据应符合相关标准并按第四章商务要求（其他要求的第2条）中明确的要求、提供相关佐证材料。</w:t>
            </w: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2.导体直径：≥0.57mm，绝缘材料：聚烯烃或聚全氟乙丙烯树脂(FEP)；外护套：LSZH低烟无卤阻燃聚烯烃。</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提供所投六类非屏蔽低烟无卤双绞线不少于以下技术参数的检测报告：单根导体直流电阻、近端串音衰减(NEXT)、近端串音衰减功率和（PSNEXT）、衰减远端串音比(ACR-F)、衰减远端串音比功率和(PSACR-F)、特性阻抗(Zm)、回波损耗（ReturnLoss）。</w:t>
            </w: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提供所投产品的检测报告原件扫描件（依据YD/T1019-2023等现行国家或行业标准），检测报告数量不作要求；按第四章商务要求（其他要求的第2条）中明确的要求、提供相关佐证材料。</w:t>
            </w: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★4.燃烧性能要求：所投六类非屏蔽低烟无卤双绞线至少达到单根电缆火焰垂直蔓延试验要求。</w:t>
            </w: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提供所投产品检测报告原件扫描件（符合GB/T18380.12-2022或IEC60332-1-2：2015标准中的单根电缆火焰垂直蔓延试验要求）；按第四章商务要求（其他要求的第2条）中明确的要求、提供相关佐证材料。</w:t>
            </w: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★5.烟密度：透光率应不小于50%。</w:t>
            </w: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提供所投产品的检测报告原件关键页扫描件（符合GB/T17651.2-2021或IEC61034-2:2019标准）；按第四章商务要求（其他要求的第2条）中明确的要求、提供相关佐证材料。</w:t>
            </w: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★6.提供承诺函，承诺所投产品符合YD/T1019-2023等现行国家或行业标准针对双绞多芯对称电缆的要求，格式自拟。</w:t>
            </w:r>
          </w:p>
        </w:tc>
      </w:tr>
      <w:tr w14:paraId="11D5D3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F8E16">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12</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62CBE">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PVC25管</w:t>
            </w:r>
          </w:p>
        </w:tc>
        <w:tc>
          <w:tcPr>
            <w:tcW w:w="7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A0516">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PVC25明敷，含管卡、接头等配套所需安装材料</w:t>
            </w:r>
          </w:p>
        </w:tc>
      </w:tr>
      <w:tr w14:paraId="0CE61D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85866">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13</w:t>
            </w:r>
          </w:p>
        </w:tc>
        <w:tc>
          <w:tcPr>
            <w:tcW w:w="13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646A8">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48盘位存储</w:t>
            </w:r>
          </w:p>
        </w:tc>
        <w:tc>
          <w:tcPr>
            <w:tcW w:w="7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3327D">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提供≥48块（根据项目需求确定数量）硬盘位专业存储设备1套（可通过多台设备集群扩展），满足校园安防存储不低于30天需求。</w:t>
            </w:r>
          </w:p>
          <w:p w14:paraId="7E4C4278">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一、基本配置与容量</w:t>
            </w:r>
          </w:p>
          <w:p w14:paraId="328446BB">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1.硬盘接口：单台设备提供 ≥N 个 3.5" 热插拔硬盘槽位，支持 SATA HDD / SSD 混合部署。</w:t>
            </w:r>
          </w:p>
          <w:p w14:paraId="4F801E33">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2.控制器与电源：采用单控制器架构；配置冗余交流电源模块，支持热插拔及在线更换。</w:t>
            </w:r>
          </w:p>
          <w:p w14:paraId="561A76FA">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二、网络与接口（</w:t>
            </w:r>
            <w:r>
              <w:rPr>
                <w:rFonts w:hint="eastAsia" w:ascii="宋体" w:hAnsi="宋体" w:eastAsia="宋体" w:cs="宋体"/>
                <w:b/>
                <w:bCs/>
                <w:color w:val="auto"/>
                <w:kern w:val="0"/>
                <w:sz w:val="21"/>
                <w:szCs w:val="21"/>
                <w:highlight w:val="none"/>
                <w:lang w:val="en-US" w:eastAsia="zh-CN" w:bidi="ar"/>
              </w:rPr>
              <w:t>提供原厂公开技术文档（白皮书、彩页、官网规格页截图及链接地址均可）</w:t>
            </w:r>
            <w:r>
              <w:rPr>
                <w:rFonts w:hint="eastAsia" w:ascii="宋体" w:hAnsi="宋体" w:eastAsia="宋体" w:cs="宋体"/>
                <w:color w:val="auto"/>
                <w:sz w:val="21"/>
                <w:szCs w:val="21"/>
                <w:highlight w:val="none"/>
                <w:lang w:val="en-US" w:eastAsia="zh-CN"/>
              </w:rPr>
              <w:t>）</w:t>
            </w:r>
          </w:p>
          <w:p w14:paraId="163FECDC">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3.网络接口：管理口：≥1 个 10/100/1000M 自适应电口（独立管理网段）；数据口：≥4 个 10/100/1000M 自适应电口，支持 IEEE 802.3ad 链路聚合（LACP），提升带宽与可靠性。</w:t>
            </w:r>
          </w:p>
          <w:p w14:paraId="7833613E">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4.扩展接口：提供 ≥1 个 eSATA 接口（用于外接扩展柜）；提供 ≥2 个 USB 3.0 接口；</w:t>
            </w:r>
          </w:p>
          <w:p w14:paraId="2B6EF409">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支持 PCI-E 3.0 插槽（用于加装万兆网卡、GPU加速卡等，如适用）。</w:t>
            </w:r>
          </w:p>
          <w:p w14:paraId="2E1DB6EA">
            <w:pPr>
              <w:keepNext w:val="0"/>
              <w:keepLines w:val="0"/>
              <w:pageBreakBefore w:val="0"/>
              <w:widowControl/>
              <w:numPr>
                <w:ilvl w:val="0"/>
                <w:numId w:val="72"/>
              </w:numPr>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性能与业务能力</w:t>
            </w:r>
          </w:p>
          <w:p w14:paraId="601190E6">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w:t>
            </w:r>
            <w:r>
              <w:rPr>
                <w:rFonts w:hint="eastAsia" w:ascii="宋体" w:hAnsi="宋体" w:eastAsia="宋体" w:cs="宋体"/>
                <w:color w:val="auto"/>
                <w:sz w:val="21"/>
                <w:szCs w:val="21"/>
                <w:highlight w:val="none"/>
                <w:lang w:val="en-US" w:eastAsia="zh-CN"/>
              </w:rPr>
              <w:t>5.音视频处理性能：最大并发 写入（存储+转发）带宽 ≥ 2048 Mbps；最大并发 回放带宽 ≥ 1024 Mbps。 注：性能指标应基于 H.264/H.265 主码流实测值，不含压缩比虚标。</w:t>
            </w:r>
            <w:r>
              <w:rPr>
                <w:rFonts w:hint="eastAsia" w:ascii="宋体" w:hAnsi="宋体" w:eastAsia="宋体" w:cs="宋体"/>
                <w:b/>
                <w:bCs/>
                <w:color w:val="auto"/>
                <w:kern w:val="0"/>
                <w:sz w:val="21"/>
                <w:szCs w:val="21"/>
                <w:highlight w:val="none"/>
                <w:lang w:val="en-US" w:eastAsia="zh-CN" w:bidi="ar"/>
              </w:rPr>
              <w:t>提供原厂公开技术文档（白皮书、彩页、官网规格页截图及链接地址均可）</w:t>
            </w:r>
            <w:r>
              <w:rPr>
                <w:rFonts w:hint="eastAsia" w:ascii="宋体" w:hAnsi="宋体" w:eastAsia="宋体" w:cs="宋体"/>
                <w:color w:val="auto"/>
                <w:sz w:val="21"/>
                <w:szCs w:val="21"/>
                <w:highlight w:val="none"/>
                <w:lang w:val="en-US" w:eastAsia="zh-CN"/>
              </w:rPr>
              <w:t>。</w:t>
            </w:r>
          </w:p>
          <w:p w14:paraId="61C642A3">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w:t>
            </w:r>
            <w:r>
              <w:rPr>
                <w:rFonts w:hint="eastAsia" w:ascii="宋体" w:hAnsi="宋体" w:eastAsia="宋体" w:cs="宋体"/>
                <w:color w:val="auto"/>
                <w:sz w:val="21"/>
                <w:szCs w:val="21"/>
                <w:highlight w:val="none"/>
                <w:lang w:val="en-US" w:eastAsia="zh-CN"/>
              </w:rPr>
              <w:t>6.直存与协议支持：支持 视频流与图片流直写存储（即前端IPC/NVR通过标准协议直接写入存储，无需中间服务器）；支持标准协议接入：ONVIF、GB/T 28181、RTSP、RTP、PSIA、SIP；支持 IPv4/IPv6 双栈网络。</w:t>
            </w:r>
            <w:r>
              <w:rPr>
                <w:rFonts w:hint="eastAsia" w:ascii="宋体" w:hAnsi="宋体" w:eastAsia="宋体" w:cs="宋体"/>
                <w:b/>
                <w:bCs/>
                <w:color w:val="auto"/>
                <w:kern w:val="0"/>
                <w:sz w:val="21"/>
                <w:szCs w:val="21"/>
                <w:highlight w:val="none"/>
                <w:lang w:val="en-US" w:eastAsia="zh-CN" w:bidi="ar"/>
              </w:rPr>
              <w:t>提供原厂公开技术文档（白皮书、彩页、官网规格页截图及链接地址均可）</w:t>
            </w:r>
            <w:r>
              <w:rPr>
                <w:rFonts w:hint="eastAsia" w:ascii="宋体" w:hAnsi="宋体" w:eastAsia="宋体" w:cs="宋体"/>
                <w:color w:val="auto"/>
                <w:sz w:val="21"/>
                <w:szCs w:val="21"/>
                <w:highlight w:val="none"/>
                <w:lang w:val="en-US" w:eastAsia="zh-CN"/>
              </w:rPr>
              <w:t>。</w:t>
            </w:r>
          </w:p>
          <w:p w14:paraId="27FBA1E1">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 音频支持：支持双音轨输入，可同时或分别播放左右声道；音频与视频同步存储，支持回放时音画同步。</w:t>
            </w:r>
          </w:p>
          <w:p w14:paraId="588C9DD4">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w:t>
            </w:r>
            <w:r>
              <w:rPr>
                <w:rFonts w:hint="eastAsia" w:ascii="宋体" w:hAnsi="宋体" w:eastAsia="宋体" w:cs="宋体"/>
                <w:color w:val="auto"/>
                <w:sz w:val="21"/>
                <w:szCs w:val="21"/>
                <w:highlight w:val="none"/>
                <w:lang w:val="en-US" w:eastAsia="zh-CN"/>
              </w:rPr>
              <w:t>四、数据保护与可靠性（本部分每一条参数均要</w:t>
            </w:r>
            <w:r>
              <w:rPr>
                <w:rFonts w:hint="eastAsia" w:ascii="宋体" w:hAnsi="宋体" w:eastAsia="宋体" w:cs="宋体"/>
                <w:b/>
                <w:bCs/>
                <w:color w:val="auto"/>
                <w:kern w:val="0"/>
                <w:sz w:val="21"/>
                <w:szCs w:val="21"/>
                <w:highlight w:val="none"/>
                <w:lang w:val="en-US" w:eastAsia="zh-CN" w:bidi="ar"/>
              </w:rPr>
              <w:t>提供原厂公开技术文档（白皮书、彩页、官网规格页截图及链接地址均可）</w:t>
            </w:r>
            <w:r>
              <w:rPr>
                <w:rFonts w:hint="eastAsia" w:ascii="宋体" w:hAnsi="宋体" w:eastAsia="宋体" w:cs="宋体"/>
                <w:color w:val="auto"/>
                <w:sz w:val="21"/>
                <w:szCs w:val="21"/>
                <w:highlight w:val="none"/>
                <w:lang w:val="en-US" w:eastAsia="zh-CN"/>
              </w:rPr>
              <w:t>。</w:t>
            </w:r>
          </w:p>
          <w:p w14:paraId="08AA889E">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 RAID 与热备：支持 RAID 0/1/3/5/6/10/50/60 及 JBOD 模式；支持 全局热备盘（Global Hot Spare）与局部热备盘（Dedicated Hot Spare），故障硬盘自动重建。</w:t>
            </w:r>
          </w:p>
          <w:p w14:paraId="281A83BD">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 数据可靠性技术：支持 纠删码（Erasure Coding）或同等数据冗余技术，在多盘故障场景下仍可保障数据可恢复性（适用于高可靠部署）。</w:t>
            </w:r>
          </w:p>
          <w:p w14:paraId="7E77A4F3">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 硬件与系统监控告警：设备应能对以下异常事件主动告警（至少支持平台推送）：IP/MAC 地址冲突；网口速率降级（如千兆降至百兆）；电源、风扇、电池故障；无硬盘、RAID 异常、存储空间满；录像丢帧、SSD 健康度预警；无热备盘、网络安全异常（如非法登录锁定）。</w:t>
            </w:r>
          </w:p>
          <w:p w14:paraId="3A5CB2E3">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五、硬件平台</w:t>
            </w:r>
          </w:p>
          <w:p w14:paraId="3548EFEB">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 计算平台：配置 64 位多核处理器；内存容量 ≥ 8 GB；系统运行于嵌入式 Linux 或国产化操作系统。</w:t>
            </w:r>
          </w:p>
          <w:p w14:paraId="5B600159">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六、合规与认证</w:t>
            </w:r>
          </w:p>
          <w:p w14:paraId="44603648">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 强制性认证：所投设备须具备以下有效期CCC 证书清晰扫描件和节能认证证书扫描件。</w:t>
            </w:r>
          </w:p>
          <w:p w14:paraId="42511B92">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宋体" w:hAnsi="宋体" w:eastAsia="宋体" w:cs="宋体"/>
                <w:b/>
                <w:bCs/>
                <w:i w:val="0"/>
                <w:iCs w:val="0"/>
                <w:color w:val="auto"/>
                <w:kern w:val="0"/>
                <w:sz w:val="21"/>
                <w:szCs w:val="21"/>
                <w:highlight w:val="none"/>
                <w:u w:val="none"/>
                <w:lang w:val="en-US" w:eastAsia="zh-CN" w:bidi="ar"/>
              </w:rPr>
              <w:t>★</w:t>
            </w:r>
            <w:r>
              <w:rPr>
                <w:rFonts w:hint="eastAsia" w:ascii="宋体" w:hAnsi="宋体" w:eastAsia="宋体" w:cs="宋体"/>
                <w:color w:val="auto"/>
                <w:kern w:val="0"/>
                <w:sz w:val="21"/>
                <w:szCs w:val="21"/>
                <w:highlight w:val="none"/>
                <w:lang w:val="en-US" w:eastAsia="zh-CN" w:bidi="ar"/>
              </w:rPr>
              <w:t>13</w:t>
            </w:r>
            <w:r>
              <w:rPr>
                <w:rFonts w:hint="eastAsia" w:ascii="宋体" w:hAnsi="宋体" w:eastAsia="宋体" w:cs="宋体"/>
                <w:color w:val="auto"/>
                <w:kern w:val="0"/>
                <w:sz w:val="21"/>
                <w:szCs w:val="21"/>
                <w:highlight w:val="none"/>
                <w:lang w:bidi="ar"/>
              </w:rPr>
              <w:t>、支持Onvif、RTSP协议接入，支持国标GB28181接入 。</w:t>
            </w:r>
            <w:r>
              <w:rPr>
                <w:rFonts w:hint="eastAsia" w:ascii="宋体" w:hAnsi="宋体" w:eastAsia="宋体" w:cs="宋体"/>
                <w:b/>
                <w:bCs/>
                <w:color w:val="auto"/>
                <w:kern w:val="0"/>
                <w:sz w:val="21"/>
                <w:szCs w:val="21"/>
                <w:highlight w:val="none"/>
                <w:lang w:val="en-US" w:eastAsia="zh-CN" w:bidi="ar"/>
              </w:rPr>
              <w:t>提供原厂公开技术文档（白皮书、彩页、官网规格页截图及链接地址均可）。</w:t>
            </w:r>
          </w:p>
        </w:tc>
      </w:tr>
      <w:tr w14:paraId="4FB19D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1C8BC">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14</w:t>
            </w:r>
          </w:p>
        </w:tc>
        <w:tc>
          <w:tcPr>
            <w:tcW w:w="13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1D61A">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8T企业硬盘</w:t>
            </w:r>
          </w:p>
        </w:tc>
        <w:tc>
          <w:tcPr>
            <w:tcW w:w="7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8C2FE">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宋体" w:hAnsi="宋体" w:eastAsia="宋体" w:cs="宋体"/>
                <w:i w:val="0"/>
                <w:iCs w:val="0"/>
                <w:color w:val="auto"/>
                <w:kern w:val="0"/>
                <w:sz w:val="21"/>
                <w:szCs w:val="21"/>
                <w:highlight w:val="none"/>
                <w:u w:val="none"/>
                <w:lang w:val="en-US" w:eastAsia="zh-CN" w:bidi="ar"/>
              </w:rPr>
              <w:t>企业级硬盘8TB；7200RPM；256M；SATA。</w:t>
            </w:r>
          </w:p>
        </w:tc>
      </w:tr>
    </w:tbl>
    <w:p w14:paraId="3F9BCB94">
      <w:pPr>
        <w:pStyle w:val="97"/>
        <w:pageBreakBefore w:val="0"/>
        <w:widowControl w:val="0"/>
        <w:numPr>
          <w:ilvl w:val="0"/>
          <w:numId w:val="0"/>
        </w:numPr>
        <w:wordWrap/>
        <w:topLinePunct w:val="0"/>
        <w:bidi w:val="0"/>
        <w:spacing w:beforeAutospacing="0" w:afterAutospacing="0" w:line="400" w:lineRule="exact"/>
        <w:ind w:left="0" w:leftChars="0" w:right="0" w:rightChars="0"/>
        <w:contextualSpacing/>
        <w:jc w:val="both"/>
        <w:rPr>
          <w:rFonts w:hint="eastAsia" w:asciiTheme="minorEastAsia" w:hAnsiTheme="minorEastAsia" w:eastAsiaTheme="minorEastAsia" w:cstheme="minorEastAsia"/>
          <w:b w:val="0"/>
          <w:bCs/>
          <w:color w:val="auto"/>
          <w:sz w:val="21"/>
          <w:szCs w:val="21"/>
          <w:lang w:val="en-US" w:eastAsia="zh-CN"/>
        </w:rPr>
      </w:pPr>
    </w:p>
    <w:p w14:paraId="6934652C">
      <w:pPr>
        <w:pStyle w:val="6"/>
        <w:numPr>
          <w:ilvl w:val="0"/>
          <w:numId w:val="71"/>
        </w:numPr>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t>常州市北郊高级中学</w:t>
      </w:r>
    </w:p>
    <w:tbl>
      <w:tblPr>
        <w:tblStyle w:val="44"/>
        <w:tblW w:w="0" w:type="auto"/>
        <w:tblInd w:w="-1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6"/>
        <w:gridCol w:w="1350"/>
        <w:gridCol w:w="7009"/>
      </w:tblGrid>
      <w:tr w14:paraId="3D015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shd w:val="clear" w:color="auto" w:fill="auto"/>
            <w:vAlign w:val="center"/>
          </w:tcPr>
          <w:p w14:paraId="6FF62D7B">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b/>
                <w:bCs/>
                <w:i w:val="0"/>
                <w:iCs w:val="0"/>
                <w:color w:val="auto"/>
                <w:kern w:val="2"/>
                <w:sz w:val="21"/>
                <w:szCs w:val="21"/>
                <w:u w:val="none"/>
                <w:lang w:val="en-US" w:eastAsia="zh-CN" w:bidi="ar-SA"/>
              </w:rPr>
            </w:pPr>
            <w:r>
              <w:rPr>
                <w:rFonts w:hint="eastAsia" w:asciiTheme="minorEastAsia" w:hAnsiTheme="minorEastAsia" w:eastAsiaTheme="minorEastAsia" w:cstheme="minorEastAsia"/>
                <w:b/>
                <w:bCs/>
                <w:i w:val="0"/>
                <w:iCs w:val="0"/>
                <w:color w:val="auto"/>
                <w:kern w:val="0"/>
                <w:sz w:val="21"/>
                <w:szCs w:val="21"/>
                <w:u w:val="none"/>
                <w:lang w:val="en-US" w:eastAsia="zh-CN" w:bidi="ar"/>
              </w:rPr>
              <w:t>序号</w:t>
            </w:r>
          </w:p>
        </w:tc>
        <w:tc>
          <w:tcPr>
            <w:tcW w:w="1350" w:type="dxa"/>
            <w:shd w:val="clear" w:color="auto" w:fill="auto"/>
            <w:vAlign w:val="center"/>
          </w:tcPr>
          <w:p w14:paraId="6E25FE8E">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b/>
                <w:bCs/>
                <w:i w:val="0"/>
                <w:iCs w:val="0"/>
                <w:color w:val="auto"/>
                <w:kern w:val="2"/>
                <w:sz w:val="21"/>
                <w:szCs w:val="21"/>
                <w:u w:val="none"/>
                <w:lang w:val="en-US" w:eastAsia="zh-CN" w:bidi="ar-SA"/>
              </w:rPr>
            </w:pPr>
            <w:r>
              <w:rPr>
                <w:rFonts w:hint="eastAsia" w:asciiTheme="minorEastAsia" w:hAnsiTheme="minorEastAsia" w:eastAsiaTheme="minorEastAsia" w:cstheme="minorEastAsia"/>
                <w:b/>
                <w:bCs/>
                <w:i w:val="0"/>
                <w:iCs w:val="0"/>
                <w:color w:val="auto"/>
                <w:kern w:val="0"/>
                <w:sz w:val="21"/>
                <w:szCs w:val="21"/>
                <w:u w:val="none"/>
                <w:lang w:val="en-US" w:eastAsia="zh-CN" w:bidi="ar"/>
              </w:rPr>
              <w:t>设备名称</w:t>
            </w:r>
          </w:p>
        </w:tc>
        <w:tc>
          <w:tcPr>
            <w:tcW w:w="7009" w:type="dxa"/>
            <w:shd w:val="clear" w:color="auto" w:fill="auto"/>
            <w:vAlign w:val="center"/>
          </w:tcPr>
          <w:p w14:paraId="50E4CD8E">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b/>
                <w:bCs/>
                <w:i w:val="0"/>
                <w:iCs w:val="0"/>
                <w:color w:val="auto"/>
                <w:kern w:val="2"/>
                <w:sz w:val="21"/>
                <w:szCs w:val="21"/>
                <w:u w:val="none"/>
                <w:lang w:val="en-US" w:eastAsia="zh-CN" w:bidi="ar-SA"/>
              </w:rPr>
            </w:pPr>
            <w:r>
              <w:rPr>
                <w:rFonts w:hint="eastAsia" w:asciiTheme="minorEastAsia" w:hAnsiTheme="minorEastAsia" w:eastAsiaTheme="minorEastAsia" w:cstheme="minorEastAsia"/>
                <w:b/>
                <w:bCs/>
                <w:i w:val="0"/>
                <w:iCs w:val="0"/>
                <w:color w:val="auto"/>
                <w:kern w:val="0"/>
                <w:sz w:val="21"/>
                <w:szCs w:val="21"/>
                <w:u w:val="none"/>
                <w:lang w:val="en-US" w:eastAsia="zh-CN" w:bidi="ar"/>
              </w:rPr>
              <w:t>参数</w:t>
            </w:r>
          </w:p>
        </w:tc>
      </w:tr>
      <w:tr w14:paraId="6FC69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vAlign w:val="center"/>
          </w:tcPr>
          <w:p w14:paraId="0BF65298">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i w:val="0"/>
                <w:iCs w:val="0"/>
                <w:color w:val="auto"/>
                <w:kern w:val="0"/>
                <w:sz w:val="21"/>
                <w:szCs w:val="21"/>
                <w:u w:val="none"/>
                <w:lang w:val="en-US" w:eastAsia="zh-CN" w:bidi="ar"/>
              </w:rPr>
              <w:t>1</w:t>
            </w:r>
          </w:p>
        </w:tc>
        <w:tc>
          <w:tcPr>
            <w:tcW w:w="1350" w:type="dxa"/>
            <w:vAlign w:val="center"/>
          </w:tcPr>
          <w:p w14:paraId="015EC6F4">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i w:val="0"/>
                <w:iCs w:val="0"/>
                <w:color w:val="auto"/>
                <w:kern w:val="0"/>
                <w:sz w:val="21"/>
                <w:szCs w:val="21"/>
                <w:u w:val="none"/>
                <w:lang w:val="en-US" w:eastAsia="zh-CN" w:bidi="ar"/>
              </w:rPr>
              <w:t>六类4对非屏蔽双绞线</w:t>
            </w:r>
          </w:p>
        </w:tc>
        <w:tc>
          <w:tcPr>
            <w:tcW w:w="7009" w:type="dxa"/>
          </w:tcPr>
          <w:p w14:paraId="5999F02B">
            <w:pPr>
              <w:keepNext w:val="0"/>
              <w:keepLines w:val="0"/>
              <w:pageBreakBefore w:val="0"/>
              <w:kinsoku/>
              <w:wordWrap/>
              <w:overflowPunct/>
              <w:topLinePunct w:val="0"/>
              <w:autoSpaceDE/>
              <w:autoSpaceDN/>
              <w:bidi w:val="0"/>
              <w:adjustRightInd/>
              <w:snapToGrid/>
              <w:spacing w:beforeAutospacing="0" w:afterAutospacing="0" w:line="400" w:lineRule="exact"/>
              <w:ind w:left="0" w:leftChars="0" w:right="0" w:rightChars="0"/>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★1.线规：6类电缆（250MHz），23AWG、导体材料为纯度不低于99.9%实心无氧铜（OFC），线芯：带十字芯骨架。</w:t>
            </w: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提供所投产品符合现行国家或行业标准的检测报告原件关键页扫描件或者提供所投产品生产企业的产品技术规格书；提供检测报告的，检测依据应符合相关标准并按第四章商务要求（其他要求的第2条）中明确的要求、提供相关佐证材料。</w:t>
            </w: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2.导体直径：≥0.57mm，绝缘材料：聚烯烃或聚全氟乙丙烯树脂(FEP)；外护套：LSZH低烟无卤阻燃聚烯烃。</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提供所投六类非屏蔽低烟无卤双绞线不少于以下技术参数的检测报告：单根导体直流电阻、近端串音衰减(NEXT)、近端串音衰减功率和（PSNEXT）、衰减远端串音比(ACR-F)、衰减远端串音比功率和(PSACR-F)、特性阻抗(Zm)、回波损耗（ReturnLoss）。</w:t>
            </w: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提供所投产品的检测报告原件扫描件（依据YD/T1019-2023等现行国家或行业标准），检测报告数量不作要求；按第四章商务要求（其他要求的第2条）中明确的要求、提供相关佐证材料。</w:t>
            </w: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★4.燃烧性能要求：所投六类非屏蔽低烟无卤双绞线至少达到单根电缆火焰垂直蔓延试验要求。</w:t>
            </w: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提供所投产品检测报告原件扫描件（符合GB/T18380.12-2022或IEC60332-1-2：2015标准中的单根电缆火焰垂直蔓延试验要求）；按第四章商务要求（其他要求的第2条）中明确的要求、提供相关佐证材料。</w:t>
            </w: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★5.烟密度：透光率应不小于50%。</w:t>
            </w: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提供所投产品的检测报告原件关键页扫描件（符合GB/T17651.2-2021或IEC61034-2:2019标准）；按第四章商务要求（其他要求的第2条）中明确的要求、提供相关佐证材料。</w:t>
            </w: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★6.提供承诺函，承诺所投产品符合YD/T1019-2023等现行国家或行业标准针对双绞多芯对称电缆的要求，格式自拟。</w:t>
            </w:r>
          </w:p>
        </w:tc>
      </w:tr>
      <w:tr w14:paraId="7A3C8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vAlign w:val="center"/>
          </w:tcPr>
          <w:p w14:paraId="7C3DAD2F">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i w:val="0"/>
                <w:iCs w:val="0"/>
                <w:color w:val="auto"/>
                <w:kern w:val="0"/>
                <w:sz w:val="21"/>
                <w:szCs w:val="21"/>
                <w:u w:val="none"/>
                <w:lang w:val="en-US" w:eastAsia="zh-CN" w:bidi="ar"/>
              </w:rPr>
              <w:t>2</w:t>
            </w:r>
          </w:p>
        </w:tc>
        <w:tc>
          <w:tcPr>
            <w:tcW w:w="1350" w:type="dxa"/>
            <w:vAlign w:val="center"/>
          </w:tcPr>
          <w:p w14:paraId="51970E38">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i w:val="0"/>
                <w:iCs w:val="0"/>
                <w:color w:val="auto"/>
                <w:kern w:val="0"/>
                <w:sz w:val="21"/>
                <w:szCs w:val="21"/>
                <w:u w:val="none"/>
                <w:lang w:val="en-US" w:eastAsia="zh-CN" w:bidi="ar"/>
              </w:rPr>
              <w:t>1.2M,22U线缆管理机柜</w:t>
            </w:r>
          </w:p>
        </w:tc>
        <w:tc>
          <w:tcPr>
            <w:tcW w:w="7009" w:type="dxa"/>
          </w:tcPr>
          <w:p w14:paraId="561964D8">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1.规格：宽600mm*深600mm*高1200mm 22U网络机柜。</w:t>
            </w:r>
          </w:p>
          <w:p w14:paraId="3FDEFEF1">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2.标准：符合现行国家或行业标准。</w:t>
            </w:r>
          </w:p>
          <w:p w14:paraId="3E4F830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3.结构：前门为带条形通风孔边框，不低于5mm厚无色透明钢化玻璃门，后门为高密度六角通风孔钢板门，快开式侧板,预留对地安装孔和接地柱，装≥2个风扇。</w:t>
            </w:r>
          </w:p>
          <w:p w14:paraId="31F989EC">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4.材料：优质冷轧钢板。</w:t>
            </w:r>
          </w:p>
          <w:p w14:paraId="359E78A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5.机柜表面处理：机柜的脱脂、防锈磷化、静电喷涂处理。</w:t>
            </w:r>
          </w:p>
          <w:p w14:paraId="2D45E7DA">
            <w:pPr>
              <w:keepNext w:val="0"/>
              <w:keepLines w:val="0"/>
              <w:pageBreakBefore w:val="0"/>
              <w:kinsoku/>
              <w:wordWrap/>
              <w:overflowPunct/>
              <w:topLinePunct w:val="0"/>
              <w:autoSpaceDE/>
              <w:autoSpaceDN/>
              <w:bidi w:val="0"/>
              <w:adjustRightInd/>
              <w:snapToGrid/>
              <w:spacing w:beforeAutospacing="0" w:afterAutospacing="0" w:line="400" w:lineRule="exact"/>
              <w:ind w:left="0" w:leftChars="0" w:right="0" w:rightChars="0"/>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6.含8位10A PDU。</w:t>
            </w:r>
          </w:p>
        </w:tc>
      </w:tr>
      <w:tr w14:paraId="33D9B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vAlign w:val="center"/>
          </w:tcPr>
          <w:p w14:paraId="023A425D">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i w:val="0"/>
                <w:iCs w:val="0"/>
                <w:color w:val="auto"/>
                <w:kern w:val="0"/>
                <w:sz w:val="21"/>
                <w:szCs w:val="21"/>
                <w:u w:val="none"/>
                <w:lang w:val="en-US" w:eastAsia="zh-CN" w:bidi="ar"/>
              </w:rPr>
              <w:t>3</w:t>
            </w:r>
          </w:p>
        </w:tc>
        <w:tc>
          <w:tcPr>
            <w:tcW w:w="1350" w:type="dxa"/>
            <w:vAlign w:val="center"/>
          </w:tcPr>
          <w:p w14:paraId="4DE3828F">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i w:val="0"/>
                <w:iCs w:val="0"/>
                <w:color w:val="auto"/>
                <w:kern w:val="0"/>
                <w:sz w:val="21"/>
                <w:szCs w:val="21"/>
                <w:u w:val="none"/>
                <w:lang w:val="en-US" w:eastAsia="zh-CN" w:bidi="ar"/>
              </w:rPr>
              <w:t>PVC护线管</w:t>
            </w:r>
          </w:p>
        </w:tc>
        <w:tc>
          <w:tcPr>
            <w:tcW w:w="7009" w:type="dxa"/>
          </w:tcPr>
          <w:p w14:paraId="7C57E622">
            <w:pPr>
              <w:keepNext w:val="0"/>
              <w:keepLines w:val="0"/>
              <w:pageBreakBefore w:val="0"/>
              <w:kinsoku/>
              <w:wordWrap/>
              <w:overflowPunct/>
              <w:topLinePunct w:val="0"/>
              <w:autoSpaceDE/>
              <w:autoSpaceDN/>
              <w:bidi w:val="0"/>
              <w:adjustRightInd/>
              <w:snapToGrid/>
              <w:spacing w:beforeAutospacing="0" w:afterAutospacing="0" w:line="400" w:lineRule="exact"/>
              <w:ind w:left="0" w:leftChars="0" w:right="0" w:rightChars="0"/>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PVC25护线管，明敷；含管卡、接头、弯头、软管、前端信息点位底盒及墙面开洞、桥架开孔等配套管路敷设材料及安装</w:t>
            </w:r>
          </w:p>
        </w:tc>
      </w:tr>
      <w:tr w14:paraId="7D170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vAlign w:val="center"/>
          </w:tcPr>
          <w:p w14:paraId="5BE25F77">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i w:val="0"/>
                <w:iCs w:val="0"/>
                <w:color w:val="auto"/>
                <w:kern w:val="0"/>
                <w:sz w:val="21"/>
                <w:szCs w:val="21"/>
                <w:u w:val="none"/>
                <w:lang w:val="en-US" w:eastAsia="zh-CN" w:bidi="ar"/>
              </w:rPr>
              <w:t>4</w:t>
            </w:r>
          </w:p>
        </w:tc>
        <w:tc>
          <w:tcPr>
            <w:tcW w:w="1350" w:type="dxa"/>
            <w:vAlign w:val="center"/>
          </w:tcPr>
          <w:p w14:paraId="2971488A">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i w:val="0"/>
                <w:iCs w:val="0"/>
                <w:color w:val="auto"/>
                <w:kern w:val="0"/>
                <w:sz w:val="21"/>
                <w:szCs w:val="21"/>
                <w:u w:val="none"/>
                <w:lang w:val="en-US" w:eastAsia="zh-CN" w:bidi="ar"/>
              </w:rPr>
              <w:t>水平桥架</w:t>
            </w:r>
          </w:p>
        </w:tc>
        <w:tc>
          <w:tcPr>
            <w:tcW w:w="7009" w:type="dxa"/>
          </w:tcPr>
          <w:p w14:paraId="1B7A4AE4">
            <w:pPr>
              <w:keepNext w:val="0"/>
              <w:keepLines w:val="0"/>
              <w:pageBreakBefore w:val="0"/>
              <w:kinsoku/>
              <w:wordWrap/>
              <w:overflowPunct/>
              <w:topLinePunct w:val="0"/>
              <w:autoSpaceDE/>
              <w:autoSpaceDN/>
              <w:bidi w:val="0"/>
              <w:adjustRightInd/>
              <w:snapToGrid/>
              <w:spacing w:beforeAutospacing="0" w:afterAutospacing="0" w:line="400" w:lineRule="exact"/>
              <w:ind w:left="0" w:leftChars="0" w:right="0" w:rightChars="0"/>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100*100弱电桥架；含支架，连接线及开孔封堵配套材料及安装</w:t>
            </w:r>
          </w:p>
        </w:tc>
      </w:tr>
      <w:tr w14:paraId="653FA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vAlign w:val="center"/>
          </w:tcPr>
          <w:p w14:paraId="1575A51E">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i w:val="0"/>
                <w:iCs w:val="0"/>
                <w:color w:val="auto"/>
                <w:kern w:val="0"/>
                <w:sz w:val="21"/>
                <w:szCs w:val="21"/>
                <w:u w:val="none"/>
                <w:lang w:val="en-US" w:eastAsia="zh-CN" w:bidi="ar"/>
              </w:rPr>
              <w:t>5</w:t>
            </w:r>
          </w:p>
        </w:tc>
        <w:tc>
          <w:tcPr>
            <w:tcW w:w="1350" w:type="dxa"/>
            <w:vAlign w:val="center"/>
          </w:tcPr>
          <w:p w14:paraId="797F8AAD">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i w:val="0"/>
                <w:iCs w:val="0"/>
                <w:color w:val="auto"/>
                <w:kern w:val="0"/>
                <w:sz w:val="21"/>
                <w:szCs w:val="21"/>
                <w:u w:val="none"/>
                <w:lang w:val="en-US" w:eastAsia="zh-CN" w:bidi="ar"/>
              </w:rPr>
              <w:t>垂直桥架</w:t>
            </w:r>
          </w:p>
        </w:tc>
        <w:tc>
          <w:tcPr>
            <w:tcW w:w="7009" w:type="dxa"/>
          </w:tcPr>
          <w:p w14:paraId="3CDF8828">
            <w:pPr>
              <w:keepNext w:val="0"/>
              <w:keepLines w:val="0"/>
              <w:pageBreakBefore w:val="0"/>
              <w:kinsoku/>
              <w:wordWrap/>
              <w:overflowPunct/>
              <w:topLinePunct w:val="0"/>
              <w:autoSpaceDE/>
              <w:autoSpaceDN/>
              <w:bidi w:val="0"/>
              <w:adjustRightInd/>
              <w:snapToGrid/>
              <w:spacing w:beforeAutospacing="0" w:afterAutospacing="0" w:line="400" w:lineRule="exact"/>
              <w:ind w:left="0" w:leftChars="0" w:right="0" w:rightChars="0"/>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200*100弱电桥架；含支架，连接线及开孔封堵配套材料及安装</w:t>
            </w:r>
          </w:p>
        </w:tc>
      </w:tr>
      <w:tr w14:paraId="100E8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vAlign w:val="center"/>
          </w:tcPr>
          <w:p w14:paraId="2A1CC26B">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i w:val="0"/>
                <w:iCs w:val="0"/>
                <w:color w:val="auto"/>
                <w:kern w:val="0"/>
                <w:sz w:val="21"/>
                <w:szCs w:val="21"/>
                <w:u w:val="none"/>
                <w:lang w:val="en-US" w:eastAsia="zh-CN" w:bidi="ar"/>
              </w:rPr>
              <w:t>6</w:t>
            </w:r>
          </w:p>
        </w:tc>
        <w:tc>
          <w:tcPr>
            <w:tcW w:w="1350" w:type="dxa"/>
            <w:vAlign w:val="center"/>
          </w:tcPr>
          <w:p w14:paraId="4B8D6381">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i w:val="0"/>
                <w:iCs w:val="0"/>
                <w:color w:val="auto"/>
                <w:kern w:val="0"/>
                <w:sz w:val="21"/>
                <w:szCs w:val="21"/>
                <w:u w:val="none"/>
                <w:lang w:val="en-US" w:eastAsia="zh-CN" w:bidi="ar"/>
              </w:rPr>
              <w:t>监控电源线</w:t>
            </w:r>
          </w:p>
        </w:tc>
        <w:tc>
          <w:tcPr>
            <w:tcW w:w="7009" w:type="dxa"/>
          </w:tcPr>
          <w:p w14:paraId="04C13B7E">
            <w:pPr>
              <w:keepNext w:val="0"/>
              <w:keepLines w:val="0"/>
              <w:pageBreakBefore w:val="0"/>
              <w:kinsoku/>
              <w:wordWrap/>
              <w:overflowPunct/>
              <w:topLinePunct w:val="0"/>
              <w:autoSpaceDE/>
              <w:autoSpaceDN/>
              <w:bidi w:val="0"/>
              <w:adjustRightInd/>
              <w:snapToGrid/>
              <w:spacing w:beforeAutospacing="0" w:afterAutospacing="0" w:line="400" w:lineRule="exact"/>
              <w:ind w:left="0" w:leftChars="0" w:right="0" w:rightChars="0"/>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Rvv2*1.5</w:t>
            </w:r>
          </w:p>
        </w:tc>
      </w:tr>
      <w:tr w14:paraId="4ECDF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vAlign w:val="center"/>
          </w:tcPr>
          <w:p w14:paraId="1A61CAE1">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i w:val="0"/>
                <w:iCs w:val="0"/>
                <w:color w:val="auto"/>
                <w:kern w:val="0"/>
                <w:sz w:val="21"/>
                <w:szCs w:val="21"/>
                <w:u w:val="none"/>
                <w:lang w:val="en-US" w:eastAsia="zh-CN" w:bidi="ar"/>
              </w:rPr>
              <w:t>7</w:t>
            </w:r>
          </w:p>
        </w:tc>
        <w:tc>
          <w:tcPr>
            <w:tcW w:w="1350" w:type="dxa"/>
            <w:vAlign w:val="center"/>
          </w:tcPr>
          <w:p w14:paraId="219198CA">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i w:val="0"/>
                <w:iCs w:val="0"/>
                <w:color w:val="auto"/>
                <w:kern w:val="0"/>
                <w:sz w:val="21"/>
                <w:szCs w:val="21"/>
                <w:u w:val="none"/>
                <w:lang w:val="en-US" w:eastAsia="zh-CN" w:bidi="ar"/>
              </w:rPr>
              <w:t>六类非屏蔽模块</w:t>
            </w:r>
          </w:p>
        </w:tc>
        <w:tc>
          <w:tcPr>
            <w:tcW w:w="7009" w:type="dxa"/>
          </w:tcPr>
          <w:p w14:paraId="055EC5CF">
            <w:pPr>
              <w:keepNext w:val="0"/>
              <w:keepLines w:val="0"/>
              <w:pageBreakBefore w:val="0"/>
              <w:widowControl/>
              <w:kinsoku/>
              <w:wordWrap/>
              <w:overflowPunct/>
              <w:topLinePunct w:val="0"/>
              <w:autoSpaceDE/>
              <w:autoSpaceDN/>
              <w:bidi w:val="0"/>
              <w:adjustRightInd/>
              <w:snapToGrid/>
              <w:spacing w:line="400" w:lineRule="exact"/>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1.主体采用耐冲击及耐燃ABS材料；</w:t>
            </w:r>
          </w:p>
          <w:p w14:paraId="4BB84267">
            <w:pPr>
              <w:keepNext w:val="0"/>
              <w:keepLines w:val="0"/>
              <w:pageBreakBefore w:val="0"/>
              <w:widowControl/>
              <w:kinsoku/>
              <w:wordWrap/>
              <w:overflowPunct/>
              <w:topLinePunct w:val="0"/>
              <w:autoSpaceDE/>
              <w:autoSpaceDN/>
              <w:bidi w:val="0"/>
              <w:adjustRightInd/>
              <w:snapToGrid/>
              <w:spacing w:line="400" w:lineRule="exact"/>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2.接触针为铜再覆上≥</w:t>
            </w:r>
            <w:r>
              <w:rPr>
                <w:rFonts w:hint="eastAsia" w:ascii="宋体" w:hAnsi="宋体" w:cs="宋体"/>
                <w:color w:val="auto"/>
                <w:highlight w:val="none"/>
              </w:rPr>
              <w:t>50</w:t>
            </w:r>
            <w:r>
              <w:rPr>
                <w:rFonts w:hint="eastAsia" w:ascii="Microsoft YaHei UI" w:hAnsi="Microsoft YaHei UI" w:eastAsia="Microsoft YaHei UI" w:cs="宋体"/>
                <w:color w:val="auto"/>
                <w:highlight w:val="none"/>
              </w:rPr>
              <w:t>µ</w:t>
            </w:r>
            <w:r>
              <w:rPr>
                <w:rFonts w:hint="eastAsia" w:ascii="宋体" w:hAnsi="宋体" w:eastAsia="宋体" w:cs="宋体"/>
                <w:b w:val="0"/>
                <w:bCs w:val="0"/>
                <w:color w:val="auto"/>
                <w:sz w:val="21"/>
                <w:szCs w:val="21"/>
                <w:highlight w:val="none"/>
              </w:rPr>
              <w:t>镀金；</w:t>
            </w:r>
          </w:p>
          <w:p w14:paraId="60BFCD16">
            <w:pPr>
              <w:keepNext w:val="0"/>
              <w:keepLines w:val="0"/>
              <w:pageBreakBefore w:val="0"/>
              <w:widowControl/>
              <w:kinsoku/>
              <w:wordWrap/>
              <w:overflowPunct/>
              <w:topLinePunct w:val="0"/>
              <w:autoSpaceDE/>
              <w:autoSpaceDN/>
              <w:bidi w:val="0"/>
              <w:adjustRightInd/>
              <w:snapToGrid/>
              <w:spacing w:line="400" w:lineRule="exact"/>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w:t>
            </w:r>
            <w:r>
              <w:rPr>
                <w:rFonts w:hint="eastAsia" w:ascii="宋体" w:hAnsi="宋体" w:eastAsia="宋体" w:cs="宋体"/>
                <w:b w:val="0"/>
                <w:bCs w:val="0"/>
                <w:color w:val="auto"/>
                <w:kern w:val="0"/>
                <w:sz w:val="21"/>
                <w:szCs w:val="21"/>
                <w:highlight w:val="none"/>
                <w:u w:val="none"/>
                <w:lang w:val="en-US" w:eastAsia="zh-CN"/>
              </w:rPr>
              <w:t>传输带宽</w:t>
            </w:r>
            <w:r>
              <w:rPr>
                <w:rFonts w:hint="eastAsia" w:ascii="宋体" w:hAnsi="宋体" w:eastAsia="宋体" w:cs="宋体"/>
                <w:b w:val="0"/>
                <w:bCs w:val="0"/>
                <w:i w:val="0"/>
                <w:iCs w:val="0"/>
                <w:color w:val="auto"/>
                <w:kern w:val="0"/>
                <w:sz w:val="21"/>
                <w:szCs w:val="21"/>
                <w:highlight w:val="none"/>
                <w:u w:val="none"/>
                <w:lang w:val="en-US" w:eastAsia="zh-CN" w:bidi="ar"/>
              </w:rPr>
              <w:t>支持250MHz</w:t>
            </w:r>
            <w:r>
              <w:rPr>
                <w:rFonts w:hint="eastAsia" w:ascii="宋体" w:hAnsi="宋体" w:eastAsia="宋体" w:cs="宋体"/>
                <w:b w:val="0"/>
                <w:bCs w:val="0"/>
                <w:color w:val="auto"/>
                <w:sz w:val="21"/>
                <w:szCs w:val="21"/>
                <w:highlight w:val="none"/>
              </w:rPr>
              <w:t>；</w:t>
            </w:r>
          </w:p>
          <w:p w14:paraId="4B26F244">
            <w:pPr>
              <w:keepNext w:val="0"/>
              <w:keepLines w:val="0"/>
              <w:pageBreakBefore w:val="0"/>
              <w:widowControl/>
              <w:kinsoku/>
              <w:wordWrap/>
              <w:overflowPunct/>
              <w:topLinePunct w:val="0"/>
              <w:autoSpaceDE/>
              <w:autoSpaceDN/>
              <w:bidi w:val="0"/>
              <w:adjustRightInd/>
              <w:snapToGrid/>
              <w:spacing w:line="400" w:lineRule="exact"/>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4.最小插拔寿命750次；</w:t>
            </w:r>
          </w:p>
          <w:p w14:paraId="0F3E49FA">
            <w:pPr>
              <w:keepNext w:val="0"/>
              <w:keepLines w:val="0"/>
              <w:pageBreakBefore w:val="0"/>
              <w:widowControl/>
              <w:kinsoku/>
              <w:wordWrap/>
              <w:overflowPunct/>
              <w:topLinePunct w:val="0"/>
              <w:autoSpaceDE/>
              <w:autoSpaceDN/>
              <w:bidi w:val="0"/>
              <w:adjustRightInd/>
              <w:snapToGrid/>
              <w:spacing w:line="400" w:lineRule="exact"/>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5.电介值承受功率:1000VAC RMS@60Hz/min；</w:t>
            </w:r>
          </w:p>
          <w:p w14:paraId="63F3F03E">
            <w:pPr>
              <w:keepNext w:val="0"/>
              <w:keepLines w:val="0"/>
              <w:pageBreakBefore w:val="0"/>
              <w:kinsoku/>
              <w:wordWrap/>
              <w:overflowPunct/>
              <w:topLinePunct w:val="0"/>
              <w:autoSpaceDE/>
              <w:autoSpaceDN/>
              <w:bidi w:val="0"/>
              <w:adjustRightInd/>
              <w:snapToGrid/>
              <w:spacing w:beforeAutospacing="0" w:afterAutospacing="0" w:line="400" w:lineRule="exact"/>
              <w:ind w:left="0" w:leftChars="0" w:right="0" w:rightChars="0"/>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w:t>
            </w:r>
            <w:r>
              <w:rPr>
                <w:rFonts w:hint="eastAsia" w:ascii="宋体" w:hAnsi="宋体" w:eastAsia="宋体" w:cs="宋体"/>
                <w:b w:val="0"/>
                <w:bCs w:val="0"/>
                <w:color w:val="auto"/>
                <w:sz w:val="21"/>
                <w:szCs w:val="21"/>
                <w:highlight w:val="none"/>
              </w:rPr>
              <w:t>6.与6类非屏蔽双绞线所组成的永久链路，其电气性能应符合GB</w:t>
            </w:r>
            <w:r>
              <w:rPr>
                <w:rFonts w:hint="eastAsia" w:ascii="宋体" w:hAnsi="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rPr>
              <w:t>T</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50312-2016</w:t>
            </w:r>
            <w:r>
              <w:rPr>
                <w:rFonts w:hint="eastAsia" w:ascii="宋体" w:hAnsi="宋体" w:eastAsia="宋体" w:cs="宋体"/>
                <w:b w:val="0"/>
                <w:bCs w:val="0"/>
                <w:color w:val="auto"/>
                <w:sz w:val="21"/>
                <w:szCs w:val="21"/>
                <w:highlight w:val="none"/>
                <w:lang w:val="en-US" w:eastAsia="zh-CN"/>
              </w:rPr>
              <w:t>或</w:t>
            </w:r>
            <w:r>
              <w:rPr>
                <w:rFonts w:hint="eastAsia" w:ascii="宋体" w:hAnsi="宋体" w:eastAsia="宋体" w:cs="宋体"/>
                <w:b w:val="0"/>
                <w:bCs w:val="0"/>
                <w:color w:val="auto"/>
                <w:sz w:val="21"/>
                <w:szCs w:val="21"/>
                <w:highlight w:val="none"/>
              </w:rPr>
              <w:t>ANSI/TIA-568.2-</w:t>
            </w:r>
            <w:r>
              <w:rPr>
                <w:rFonts w:hint="eastAsia" w:ascii="宋体" w:hAnsi="宋体" w:eastAsia="宋体" w:cs="宋体"/>
                <w:b w:val="0"/>
                <w:bCs w:val="0"/>
                <w:color w:val="auto"/>
                <w:sz w:val="21"/>
                <w:szCs w:val="21"/>
                <w:highlight w:val="none"/>
                <w:lang w:val="en-US" w:eastAsia="zh-CN"/>
              </w:rPr>
              <w:t>D:</w:t>
            </w:r>
            <w:r>
              <w:rPr>
                <w:rFonts w:hint="eastAsia" w:ascii="宋体" w:hAnsi="宋体" w:eastAsia="宋体" w:cs="宋体"/>
                <w:b w:val="0"/>
                <w:bCs w:val="0"/>
                <w:color w:val="auto"/>
                <w:sz w:val="21"/>
                <w:szCs w:val="21"/>
                <w:highlight w:val="none"/>
              </w:rPr>
              <w:t>20</w:t>
            </w:r>
            <w:r>
              <w:rPr>
                <w:rFonts w:hint="eastAsia" w:ascii="宋体" w:hAnsi="宋体" w:eastAsia="宋体" w:cs="宋体"/>
                <w:b w:val="0"/>
                <w:bCs w:val="0"/>
                <w:color w:val="auto"/>
                <w:sz w:val="21"/>
                <w:szCs w:val="21"/>
                <w:highlight w:val="none"/>
                <w:lang w:val="en-US" w:eastAsia="zh-CN"/>
              </w:rPr>
              <w:t>18</w:t>
            </w:r>
            <w:r>
              <w:rPr>
                <w:rFonts w:hint="eastAsia" w:ascii="宋体" w:hAnsi="宋体" w:eastAsia="宋体" w:cs="宋体"/>
                <w:b w:val="0"/>
                <w:bCs w:val="0"/>
                <w:color w:val="auto"/>
                <w:sz w:val="21"/>
                <w:szCs w:val="21"/>
                <w:highlight w:val="none"/>
              </w:rPr>
              <w:t>或TIA/EIA -568.2-</w:t>
            </w:r>
            <w:r>
              <w:rPr>
                <w:rFonts w:hint="eastAsia" w:ascii="宋体" w:hAnsi="宋体" w:eastAsia="宋体" w:cs="宋体"/>
                <w:b w:val="0"/>
                <w:bCs w:val="0"/>
                <w:color w:val="auto"/>
                <w:sz w:val="21"/>
                <w:szCs w:val="21"/>
                <w:highlight w:val="none"/>
                <w:lang w:val="en-US" w:eastAsia="zh-CN"/>
              </w:rPr>
              <w:t>D:</w:t>
            </w:r>
            <w:r>
              <w:rPr>
                <w:rFonts w:hint="eastAsia" w:ascii="宋体" w:hAnsi="宋体" w:eastAsia="宋体" w:cs="宋体"/>
                <w:b w:val="0"/>
                <w:bCs w:val="0"/>
                <w:color w:val="auto"/>
                <w:sz w:val="21"/>
                <w:szCs w:val="21"/>
                <w:highlight w:val="none"/>
              </w:rPr>
              <w:t>20</w:t>
            </w:r>
            <w:r>
              <w:rPr>
                <w:rFonts w:hint="eastAsia" w:ascii="宋体" w:hAnsi="宋体" w:eastAsia="宋体" w:cs="宋体"/>
                <w:b w:val="0"/>
                <w:bCs w:val="0"/>
                <w:color w:val="auto"/>
                <w:sz w:val="21"/>
                <w:szCs w:val="21"/>
                <w:highlight w:val="none"/>
                <w:lang w:val="en-US" w:eastAsia="zh-CN"/>
              </w:rPr>
              <w:t>18</w:t>
            </w:r>
            <w:r>
              <w:rPr>
                <w:rFonts w:hint="eastAsia" w:ascii="宋体" w:hAnsi="宋体" w:cs="宋体"/>
                <w:b w:val="0"/>
                <w:bCs w:val="0"/>
                <w:color w:val="auto"/>
                <w:sz w:val="21"/>
                <w:szCs w:val="21"/>
                <w:highlight w:val="none"/>
                <w:lang w:val="en-US" w:eastAsia="zh-CN"/>
              </w:rPr>
              <w:t>或ISO/IEC 11801-1</w:t>
            </w:r>
            <w:r>
              <w:rPr>
                <w:rFonts w:hint="eastAsia" w:ascii="宋体" w:hAnsi="宋体" w:eastAsia="宋体" w:cs="宋体"/>
                <w:b w:val="0"/>
                <w:bCs w:val="0"/>
                <w:color w:val="auto"/>
                <w:sz w:val="21"/>
                <w:szCs w:val="21"/>
                <w:highlight w:val="none"/>
                <w:lang w:val="en-US" w:eastAsia="zh-CN"/>
              </w:rPr>
              <w:t>现行国家或行业</w:t>
            </w:r>
            <w:r>
              <w:rPr>
                <w:rFonts w:hint="eastAsia" w:ascii="宋体" w:hAnsi="宋体" w:eastAsia="宋体" w:cs="宋体"/>
                <w:b w:val="0"/>
                <w:bCs w:val="0"/>
                <w:color w:val="auto"/>
                <w:sz w:val="21"/>
                <w:szCs w:val="21"/>
                <w:highlight w:val="none"/>
              </w:rPr>
              <w:t>标准的规定，提供</w:t>
            </w:r>
            <w:r>
              <w:rPr>
                <w:rFonts w:hint="eastAsia" w:ascii="宋体" w:hAnsi="宋体" w:cs="宋体"/>
                <w:color w:val="auto"/>
                <w:highlight w:val="none"/>
              </w:rPr>
              <w:t>有CMA标志的</w:t>
            </w:r>
            <w:r>
              <w:rPr>
                <w:rFonts w:hint="eastAsia" w:ascii="宋体" w:hAnsi="宋体" w:cs="宋体"/>
                <w:color w:val="auto"/>
                <w:highlight w:val="none"/>
                <w:lang w:val="en-US" w:eastAsia="zh-CN"/>
              </w:rPr>
              <w:t>第三检测机构出具的</w:t>
            </w:r>
            <w:r>
              <w:rPr>
                <w:rFonts w:hint="eastAsia" w:ascii="宋体" w:hAnsi="宋体" w:eastAsia="宋体" w:cs="宋体"/>
                <w:b w:val="0"/>
                <w:bCs w:val="0"/>
                <w:color w:val="auto"/>
                <w:sz w:val="21"/>
                <w:szCs w:val="21"/>
                <w:highlight w:val="none"/>
              </w:rPr>
              <w:t>检测报告</w:t>
            </w:r>
            <w:r>
              <w:rPr>
                <w:rFonts w:hint="eastAsia" w:ascii="宋体" w:hAnsi="宋体" w:eastAsia="宋体" w:cs="宋体"/>
                <w:b w:val="0"/>
                <w:bCs w:val="0"/>
                <w:color w:val="auto"/>
                <w:sz w:val="21"/>
                <w:szCs w:val="21"/>
                <w:highlight w:val="none"/>
                <w:lang w:val="en-US" w:eastAsia="zh-CN"/>
              </w:rPr>
              <w:t>扫描件</w:t>
            </w:r>
            <w:r>
              <w:rPr>
                <w:rFonts w:hint="eastAsia" w:ascii="宋体" w:hAnsi="宋体" w:eastAsia="宋体" w:cs="宋体"/>
                <w:b w:val="0"/>
                <w:bCs w:val="0"/>
                <w:color w:val="auto"/>
                <w:sz w:val="21"/>
                <w:szCs w:val="21"/>
                <w:highlight w:val="none"/>
                <w:lang w:eastAsia="zh-CN"/>
              </w:rPr>
              <w:t>。</w:t>
            </w:r>
          </w:p>
        </w:tc>
      </w:tr>
      <w:tr w14:paraId="0A66E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vAlign w:val="center"/>
          </w:tcPr>
          <w:p w14:paraId="27F26289">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i w:val="0"/>
                <w:iCs w:val="0"/>
                <w:color w:val="auto"/>
                <w:kern w:val="0"/>
                <w:sz w:val="21"/>
                <w:szCs w:val="21"/>
                <w:u w:val="none"/>
                <w:lang w:val="en-US" w:eastAsia="zh-CN" w:bidi="ar"/>
              </w:rPr>
              <w:t>8</w:t>
            </w:r>
          </w:p>
        </w:tc>
        <w:tc>
          <w:tcPr>
            <w:tcW w:w="1350" w:type="dxa"/>
            <w:vAlign w:val="center"/>
          </w:tcPr>
          <w:p w14:paraId="4191F126">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i w:val="0"/>
                <w:iCs w:val="0"/>
                <w:color w:val="auto"/>
                <w:kern w:val="0"/>
                <w:sz w:val="21"/>
                <w:szCs w:val="21"/>
                <w:u w:val="none"/>
                <w:lang w:val="en-US" w:eastAsia="zh-CN" w:bidi="ar"/>
              </w:rPr>
              <w:t>86型单口面板</w:t>
            </w:r>
          </w:p>
        </w:tc>
        <w:tc>
          <w:tcPr>
            <w:tcW w:w="7009" w:type="dxa"/>
          </w:tcPr>
          <w:p w14:paraId="57501B98">
            <w:pPr>
              <w:keepNext w:val="0"/>
              <w:keepLines w:val="0"/>
              <w:pageBreakBefore w:val="0"/>
              <w:kinsoku/>
              <w:wordWrap/>
              <w:overflowPunct/>
              <w:topLinePunct w:val="0"/>
              <w:autoSpaceDE/>
              <w:autoSpaceDN/>
              <w:bidi w:val="0"/>
              <w:adjustRightInd/>
              <w:snapToGrid/>
              <w:spacing w:beforeAutospacing="0" w:afterAutospacing="0" w:line="400" w:lineRule="exact"/>
              <w:ind w:left="0" w:leftChars="0" w:right="0" w:rightChars="0"/>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i w:val="0"/>
                <w:iCs w:val="0"/>
                <w:color w:val="auto"/>
                <w:kern w:val="0"/>
                <w:sz w:val="21"/>
                <w:szCs w:val="21"/>
                <w:u w:val="none"/>
                <w:lang w:val="en-US" w:eastAsia="zh-CN" w:bidi="ar"/>
              </w:rPr>
              <w:t>1.规格：86墙上单口面板。</w:t>
            </w:r>
            <w:r>
              <w:rPr>
                <w:rFonts w:hint="eastAsia" w:asciiTheme="minorEastAsia" w:hAnsiTheme="minorEastAsia" w:eastAsiaTheme="minorEastAsia" w:cstheme="minorEastAsia"/>
                <w:i w:val="0"/>
                <w:iCs w:val="0"/>
                <w:color w:val="auto"/>
                <w:kern w:val="0"/>
                <w:sz w:val="21"/>
                <w:szCs w:val="21"/>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u w:val="none"/>
                <w:lang w:val="en-US" w:eastAsia="zh-CN" w:bidi="ar"/>
              </w:rPr>
              <w:t>2.材料：ABS材质,乳白色，抗老化，低烟无卤。</w:t>
            </w:r>
            <w:r>
              <w:rPr>
                <w:rFonts w:hint="eastAsia" w:asciiTheme="minorEastAsia" w:hAnsiTheme="minorEastAsia" w:eastAsiaTheme="minorEastAsia" w:cstheme="minorEastAsia"/>
                <w:i w:val="0"/>
                <w:iCs w:val="0"/>
                <w:color w:val="auto"/>
                <w:kern w:val="0"/>
                <w:sz w:val="21"/>
                <w:szCs w:val="21"/>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u w:val="none"/>
                <w:lang w:val="en-US" w:eastAsia="zh-CN" w:bidi="ar"/>
              </w:rPr>
              <w:t>3.带防尘盖，带电话、电脑标记，带有透明标识系统。</w:t>
            </w:r>
            <w:r>
              <w:rPr>
                <w:rFonts w:hint="eastAsia" w:asciiTheme="minorEastAsia" w:hAnsiTheme="minorEastAsia" w:eastAsiaTheme="minorEastAsia" w:cstheme="minorEastAsia"/>
                <w:i w:val="0"/>
                <w:iCs w:val="0"/>
                <w:color w:val="auto"/>
                <w:kern w:val="0"/>
                <w:sz w:val="21"/>
                <w:szCs w:val="21"/>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w:t>
            </w:r>
            <w:r>
              <w:rPr>
                <w:rFonts w:hint="eastAsia" w:asciiTheme="minorEastAsia" w:hAnsiTheme="minorEastAsia" w:eastAsiaTheme="minorEastAsia" w:cstheme="minorEastAsia"/>
                <w:b/>
                <w:bCs/>
                <w:i w:val="0"/>
                <w:iCs w:val="0"/>
                <w:color w:val="auto"/>
                <w:kern w:val="0"/>
                <w:sz w:val="21"/>
                <w:szCs w:val="21"/>
                <w:u w:val="none"/>
                <w:lang w:val="en-US" w:eastAsia="zh-CN" w:bidi="ar"/>
              </w:rPr>
              <w:t>4.所投产品符合GB 20286-2006公共场所阻燃制品及组件燃烧性能要求和标识规定的不低于FV-1级要求。</w:t>
            </w: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提供检测报告，检测依据应符合相关标准（依据标准</w:t>
            </w:r>
            <w:r>
              <w:rPr>
                <w:rFonts w:hint="eastAsia" w:asciiTheme="minorEastAsia" w:hAnsiTheme="minorEastAsia" w:eastAsiaTheme="minorEastAsia" w:cstheme="minorEastAsia"/>
                <w:b/>
                <w:bCs/>
                <w:i w:val="0"/>
                <w:iCs w:val="0"/>
                <w:color w:val="auto"/>
                <w:kern w:val="0"/>
                <w:sz w:val="21"/>
                <w:szCs w:val="21"/>
                <w:u w:val="none"/>
                <w:lang w:val="en-US" w:eastAsia="zh-CN" w:bidi="ar"/>
              </w:rPr>
              <w:t>GB/T2408-2021，检测垂直燃烧试验的面板单体</w:t>
            </w: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）并按第四章商务要求（其他要求的第2条）中明确的要求、提供相关佐证材料。</w:t>
            </w:r>
          </w:p>
        </w:tc>
      </w:tr>
      <w:tr w14:paraId="0A8E8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vAlign w:val="center"/>
          </w:tcPr>
          <w:p w14:paraId="3EFEA437">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i w:val="0"/>
                <w:iCs w:val="0"/>
                <w:color w:val="auto"/>
                <w:kern w:val="0"/>
                <w:sz w:val="21"/>
                <w:szCs w:val="21"/>
                <w:u w:val="none"/>
                <w:lang w:val="en-US" w:eastAsia="zh-CN" w:bidi="ar"/>
              </w:rPr>
              <w:t>9</w:t>
            </w:r>
          </w:p>
        </w:tc>
        <w:tc>
          <w:tcPr>
            <w:tcW w:w="1350" w:type="dxa"/>
            <w:vAlign w:val="center"/>
          </w:tcPr>
          <w:p w14:paraId="5014C6B8">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i w:val="0"/>
                <w:iCs w:val="0"/>
                <w:color w:val="auto"/>
                <w:kern w:val="0"/>
                <w:sz w:val="21"/>
                <w:szCs w:val="21"/>
                <w:u w:val="none"/>
                <w:lang w:val="en-US" w:eastAsia="zh-CN" w:bidi="ar"/>
              </w:rPr>
              <w:t>86型双口面板</w:t>
            </w:r>
          </w:p>
        </w:tc>
        <w:tc>
          <w:tcPr>
            <w:tcW w:w="7009" w:type="dxa"/>
          </w:tcPr>
          <w:p w14:paraId="1B2418E8">
            <w:pPr>
              <w:keepNext w:val="0"/>
              <w:keepLines w:val="0"/>
              <w:pageBreakBefore w:val="0"/>
              <w:kinsoku/>
              <w:wordWrap/>
              <w:overflowPunct/>
              <w:topLinePunct w:val="0"/>
              <w:autoSpaceDE/>
              <w:autoSpaceDN/>
              <w:bidi w:val="0"/>
              <w:adjustRightInd/>
              <w:snapToGrid/>
              <w:spacing w:beforeAutospacing="0" w:afterAutospacing="0" w:line="400" w:lineRule="exact"/>
              <w:ind w:left="0" w:leftChars="0" w:right="0" w:rightChars="0"/>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i w:val="0"/>
                <w:iCs w:val="0"/>
                <w:color w:val="auto"/>
                <w:kern w:val="0"/>
                <w:sz w:val="21"/>
                <w:szCs w:val="21"/>
                <w:u w:val="none"/>
                <w:lang w:val="en-US" w:eastAsia="zh-CN" w:bidi="ar"/>
              </w:rPr>
              <w:t>1.规格：86墙上双口面板。</w:t>
            </w:r>
            <w:r>
              <w:rPr>
                <w:rFonts w:hint="eastAsia" w:asciiTheme="minorEastAsia" w:hAnsiTheme="minorEastAsia" w:eastAsiaTheme="minorEastAsia" w:cstheme="minorEastAsia"/>
                <w:i w:val="0"/>
                <w:iCs w:val="0"/>
                <w:color w:val="auto"/>
                <w:kern w:val="0"/>
                <w:sz w:val="21"/>
                <w:szCs w:val="21"/>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u w:val="none"/>
                <w:lang w:val="en-US" w:eastAsia="zh-CN" w:bidi="ar"/>
              </w:rPr>
              <w:t>2.材料：ABS材质,乳白色，抗老化，低烟无卤。</w:t>
            </w:r>
            <w:r>
              <w:rPr>
                <w:rFonts w:hint="eastAsia" w:asciiTheme="minorEastAsia" w:hAnsiTheme="minorEastAsia" w:eastAsiaTheme="minorEastAsia" w:cstheme="minorEastAsia"/>
                <w:i w:val="0"/>
                <w:iCs w:val="0"/>
                <w:color w:val="auto"/>
                <w:kern w:val="0"/>
                <w:sz w:val="21"/>
                <w:szCs w:val="21"/>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u w:val="none"/>
                <w:lang w:val="en-US" w:eastAsia="zh-CN" w:bidi="ar"/>
              </w:rPr>
              <w:t>3.带防尘盖，带电话、电脑标记，带有透明标识系统。</w:t>
            </w:r>
            <w:r>
              <w:rPr>
                <w:rFonts w:hint="eastAsia" w:asciiTheme="minorEastAsia" w:hAnsiTheme="minorEastAsia" w:eastAsiaTheme="minorEastAsia" w:cstheme="minorEastAsia"/>
                <w:i w:val="0"/>
                <w:iCs w:val="0"/>
                <w:color w:val="auto"/>
                <w:kern w:val="0"/>
                <w:sz w:val="21"/>
                <w:szCs w:val="21"/>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w:t>
            </w:r>
            <w:r>
              <w:rPr>
                <w:rFonts w:hint="eastAsia" w:asciiTheme="minorEastAsia" w:hAnsiTheme="minorEastAsia" w:eastAsiaTheme="minorEastAsia" w:cstheme="minorEastAsia"/>
                <w:b/>
                <w:bCs/>
                <w:i w:val="0"/>
                <w:iCs w:val="0"/>
                <w:color w:val="auto"/>
                <w:kern w:val="0"/>
                <w:sz w:val="21"/>
                <w:szCs w:val="21"/>
                <w:u w:val="none"/>
                <w:lang w:val="en-US" w:eastAsia="zh-CN" w:bidi="ar"/>
              </w:rPr>
              <w:t>4.所投产品符合GB 20286-2006公共场所阻燃制品及组件燃烧性能要求和标识规定的不低于FV-1级要求。</w:t>
            </w: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提供检测报告，检测依据应符合相关标准（依据标准</w:t>
            </w:r>
            <w:r>
              <w:rPr>
                <w:rFonts w:hint="eastAsia" w:asciiTheme="minorEastAsia" w:hAnsiTheme="minorEastAsia" w:eastAsiaTheme="minorEastAsia" w:cstheme="minorEastAsia"/>
                <w:b/>
                <w:bCs/>
                <w:i w:val="0"/>
                <w:iCs w:val="0"/>
                <w:color w:val="auto"/>
                <w:kern w:val="0"/>
                <w:sz w:val="21"/>
                <w:szCs w:val="21"/>
                <w:u w:val="none"/>
                <w:lang w:val="en-US" w:eastAsia="zh-CN" w:bidi="ar"/>
              </w:rPr>
              <w:t>GB/T2408-2021，检测垂直燃烧试验的面板单体</w:t>
            </w: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）并按第四章商务要求（其他要求的第2条）中明确的要求、提供相关佐证材料。</w:t>
            </w:r>
          </w:p>
        </w:tc>
      </w:tr>
      <w:tr w14:paraId="5B7CA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vAlign w:val="center"/>
          </w:tcPr>
          <w:p w14:paraId="7C5356BE">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i w:val="0"/>
                <w:iCs w:val="0"/>
                <w:color w:val="auto"/>
                <w:kern w:val="0"/>
                <w:sz w:val="21"/>
                <w:szCs w:val="21"/>
                <w:u w:val="none"/>
                <w:lang w:val="en-US" w:eastAsia="zh-CN" w:bidi="ar"/>
              </w:rPr>
              <w:t>10</w:t>
            </w:r>
          </w:p>
        </w:tc>
        <w:tc>
          <w:tcPr>
            <w:tcW w:w="1350" w:type="dxa"/>
            <w:vAlign w:val="center"/>
          </w:tcPr>
          <w:p w14:paraId="26F137B4">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i w:val="0"/>
                <w:iCs w:val="0"/>
                <w:color w:val="auto"/>
                <w:kern w:val="0"/>
                <w:sz w:val="21"/>
                <w:szCs w:val="21"/>
                <w:u w:val="none"/>
                <w:lang w:val="en-US" w:eastAsia="zh-CN" w:bidi="ar"/>
              </w:rPr>
              <w:t>8芯室内单模光缆</w:t>
            </w:r>
          </w:p>
        </w:tc>
        <w:tc>
          <w:tcPr>
            <w:tcW w:w="7009" w:type="dxa"/>
          </w:tcPr>
          <w:p w14:paraId="23170247">
            <w:pPr>
              <w:keepNext w:val="0"/>
              <w:keepLines w:val="0"/>
              <w:pageBreakBefore w:val="0"/>
              <w:numPr>
                <w:ilvl w:val="1"/>
                <w:numId w:val="0"/>
              </w:numPr>
              <w:kinsoku/>
              <w:wordWrap/>
              <w:overflowPunct/>
              <w:topLinePunct w:val="0"/>
              <w:autoSpaceDE/>
              <w:autoSpaceDN/>
              <w:bidi w:val="0"/>
              <w:adjustRightInd/>
              <w:snapToGrid/>
              <w:spacing w:line="400" w:lineRule="exact"/>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1.光纤类型：G.652.D/B1.3单模光纤（9/125μm），支持1310nm和1550nm窗口。</w:t>
            </w:r>
          </w:p>
          <w:p w14:paraId="3D1A321A">
            <w:pPr>
              <w:keepNext w:val="0"/>
              <w:keepLines w:val="0"/>
              <w:pageBreakBefore w:val="0"/>
              <w:numPr>
                <w:ilvl w:val="1"/>
                <w:numId w:val="0"/>
              </w:numPr>
              <w:kinsoku/>
              <w:wordWrap/>
              <w:overflowPunct/>
              <w:topLinePunct w:val="0"/>
              <w:autoSpaceDE/>
              <w:autoSpaceDN/>
              <w:bidi w:val="0"/>
              <w:adjustRightInd/>
              <w:snapToGrid/>
              <w:spacing w:line="400" w:lineRule="exact"/>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2.规格及结构：芯数范围</w:t>
            </w:r>
            <w:r>
              <w:rPr>
                <w:rFonts w:hint="eastAsia" w:ascii="宋体" w:hAnsi="宋体" w:eastAsia="宋体" w:cs="宋体"/>
                <w:b w:val="0"/>
                <w:bCs w:val="0"/>
                <w:color w:val="auto"/>
                <w:sz w:val="21"/>
                <w:szCs w:val="21"/>
                <w:highlight w:val="none"/>
                <w:lang w:val="en-US" w:eastAsia="zh-CN"/>
              </w:rPr>
              <w:t>8</w:t>
            </w:r>
            <w:r>
              <w:rPr>
                <w:rFonts w:hint="eastAsia" w:ascii="宋体" w:hAnsi="宋体" w:eastAsia="宋体" w:cs="宋体"/>
                <w:b w:val="0"/>
                <w:bCs w:val="0"/>
                <w:color w:val="auto"/>
                <w:sz w:val="21"/>
                <w:szCs w:val="21"/>
                <w:highlight w:val="none"/>
              </w:rPr>
              <w:t>芯</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单芯子缆分支光缆</w:t>
            </w:r>
            <w:r>
              <w:rPr>
                <w:rFonts w:hint="eastAsia" w:ascii="宋体" w:hAnsi="宋体" w:eastAsia="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rPr>
              <w:t>结构：</w:t>
            </w:r>
            <w:r>
              <w:rPr>
                <w:rFonts w:hint="eastAsia" w:ascii="宋体" w:hAnsi="宋体" w:cs="宋体"/>
                <w:color w:val="auto"/>
                <w:sz w:val="21"/>
                <w:szCs w:val="21"/>
                <w:highlight w:val="none"/>
                <w:lang w:val="en-US" w:eastAsia="zh-CN"/>
              </w:rPr>
              <w:t>铠装</w:t>
            </w:r>
            <w:r>
              <w:rPr>
                <w:rFonts w:hint="eastAsia" w:ascii="宋体" w:hAnsi="宋体" w:eastAsia="宋体" w:cs="宋体"/>
                <w:b w:val="0"/>
                <w:bCs w:val="0"/>
                <w:color w:val="auto"/>
                <w:sz w:val="21"/>
                <w:szCs w:val="21"/>
                <w:highlight w:val="none"/>
              </w:rPr>
              <w:t>。</w:t>
            </w:r>
          </w:p>
          <w:p w14:paraId="6F4827CE">
            <w:pPr>
              <w:keepNext w:val="0"/>
              <w:keepLines w:val="0"/>
              <w:pageBreakBefore w:val="0"/>
              <w:numPr>
                <w:ilvl w:val="1"/>
                <w:numId w:val="0"/>
              </w:numPr>
              <w:kinsoku/>
              <w:wordWrap/>
              <w:overflowPunct/>
              <w:topLinePunct w:val="0"/>
              <w:autoSpaceDE/>
              <w:autoSpaceDN/>
              <w:bidi w:val="0"/>
              <w:adjustRightInd/>
              <w:snapToGrid/>
              <w:spacing w:line="400" w:lineRule="exact"/>
              <w:jc w:val="left"/>
              <w:rPr>
                <w:rFonts w:hint="eastAsia" w:ascii="宋体" w:hAnsi="宋体" w:eastAsia="宋体" w:cs="宋体"/>
                <w:b w:val="0"/>
                <w:bCs w:val="0"/>
                <w:color w:val="auto"/>
                <w:sz w:val="21"/>
                <w:szCs w:val="21"/>
                <w:highlight w:val="none"/>
                <w:lang w:eastAsia="zh-CN"/>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w:t>
            </w:r>
            <w:r>
              <w:rPr>
                <w:rFonts w:hint="eastAsia" w:ascii="宋体" w:hAnsi="宋体" w:eastAsia="宋体" w:cs="宋体"/>
                <w:b w:val="0"/>
                <w:bCs w:val="0"/>
                <w:color w:val="auto"/>
                <w:sz w:val="21"/>
                <w:szCs w:val="21"/>
                <w:highlight w:val="none"/>
              </w:rPr>
              <w:t>3.提供所投产品以下技术参数的检测报告：光缆光纤特性 、光缆机械性能、</w:t>
            </w:r>
            <w:r>
              <w:rPr>
                <w:rFonts w:hint="eastAsia" w:ascii="宋体" w:hAnsi="宋体" w:cs="宋体"/>
                <w:b w:val="0"/>
                <w:bCs w:val="0"/>
                <w:color w:val="auto"/>
                <w:sz w:val="21"/>
                <w:szCs w:val="21"/>
                <w:highlight w:val="none"/>
                <w:lang w:val="en-US" w:eastAsia="zh-CN"/>
              </w:rPr>
              <w:t>光缆</w:t>
            </w:r>
            <w:r>
              <w:rPr>
                <w:rFonts w:hint="eastAsia" w:ascii="宋体" w:hAnsi="宋体" w:eastAsia="宋体" w:cs="宋体"/>
                <w:b w:val="0"/>
                <w:bCs w:val="0"/>
                <w:color w:val="auto"/>
                <w:sz w:val="21"/>
                <w:szCs w:val="21"/>
                <w:highlight w:val="none"/>
              </w:rPr>
              <w:t>衰减温度特性</w:t>
            </w:r>
            <w:r>
              <w:rPr>
                <w:rFonts w:hint="eastAsia" w:ascii="宋体" w:hAnsi="宋体" w:cs="宋体"/>
                <w:b w:val="0"/>
                <w:bCs w:val="0"/>
                <w:color w:val="auto"/>
                <w:sz w:val="21"/>
                <w:szCs w:val="21"/>
                <w:highlight w:val="none"/>
                <w:lang w:eastAsia="zh-CN"/>
              </w:rPr>
              <w:t>（</w:t>
            </w:r>
            <w:r>
              <w:rPr>
                <w:rFonts w:hint="eastAsia" w:ascii="宋体" w:hAnsi="宋体" w:cs="宋体"/>
                <w:b w:val="0"/>
                <w:bCs w:val="0"/>
                <w:color w:val="auto"/>
                <w:sz w:val="21"/>
                <w:szCs w:val="21"/>
                <w:highlight w:val="none"/>
                <w:lang w:val="en-US" w:eastAsia="zh-CN"/>
              </w:rPr>
              <w:t>光缆温度特性</w:t>
            </w:r>
            <w:r>
              <w:rPr>
                <w:rFonts w:hint="eastAsia" w:ascii="宋体" w:hAnsi="宋体" w:cs="宋体"/>
                <w:b w:val="0"/>
                <w:bCs w:val="0"/>
                <w:color w:val="auto"/>
                <w:sz w:val="21"/>
                <w:szCs w:val="21"/>
                <w:highlight w:val="none"/>
                <w:lang w:eastAsia="zh-CN"/>
              </w:rPr>
              <w:t>）</w:t>
            </w:r>
            <w:r>
              <w:rPr>
                <w:rFonts w:hint="eastAsia" w:ascii="宋体" w:hAnsi="宋体" w:cs="宋体"/>
                <w:b/>
                <w:bCs/>
                <w:color w:val="auto"/>
                <w:sz w:val="21"/>
                <w:szCs w:val="21"/>
                <w:highlight w:val="none"/>
                <w:lang w:val="en-US" w:eastAsia="zh-CN"/>
              </w:rPr>
              <w:t>或者</w:t>
            </w:r>
            <w:r>
              <w:rPr>
                <w:rFonts w:hint="eastAsia" w:ascii="宋体" w:hAnsi="宋体" w:cs="宋体"/>
                <w:b w:val="0"/>
                <w:bCs w:val="0"/>
                <w:color w:val="auto"/>
                <w:sz w:val="21"/>
                <w:szCs w:val="21"/>
                <w:highlight w:val="none"/>
                <w:lang w:val="en-US" w:eastAsia="zh-CN"/>
              </w:rPr>
              <w:t>衰减系数</w:t>
            </w:r>
            <w:r>
              <w:rPr>
                <w:rFonts w:hint="eastAsia" w:ascii="宋体" w:hAnsi="宋体" w:eastAsia="宋体" w:cs="宋体"/>
                <w:b w:val="0"/>
                <w:bCs w:val="0"/>
                <w:color w:val="auto"/>
                <w:sz w:val="21"/>
                <w:szCs w:val="21"/>
                <w:highlight w:val="none"/>
              </w:rPr>
              <w:t>、光缆护套性能等。提供所投</w:t>
            </w:r>
            <w:r>
              <w:rPr>
                <w:rFonts w:hint="eastAsia" w:ascii="宋体" w:hAnsi="宋体" w:eastAsia="宋体" w:cs="宋体"/>
                <w:i w:val="0"/>
                <w:iCs w:val="0"/>
                <w:color w:val="auto"/>
                <w:kern w:val="0"/>
                <w:sz w:val="21"/>
                <w:szCs w:val="21"/>
                <w:highlight w:val="none"/>
                <w:u w:val="none"/>
                <w:lang w:val="en-US" w:eastAsia="zh-CN" w:bidi="ar"/>
              </w:rPr>
              <w:t>室内单模光缆</w:t>
            </w:r>
            <w:r>
              <w:rPr>
                <w:rFonts w:hint="eastAsia" w:ascii="宋体" w:hAnsi="宋体" w:eastAsia="宋体" w:cs="宋体"/>
                <w:b w:val="0"/>
                <w:bCs w:val="0"/>
                <w:color w:val="auto"/>
                <w:sz w:val="21"/>
                <w:szCs w:val="21"/>
                <w:highlight w:val="none"/>
              </w:rPr>
              <w:t>产品第三方检测机构出具且具有</w:t>
            </w:r>
            <w:r>
              <w:rPr>
                <w:rFonts w:hint="eastAsia" w:ascii="宋体" w:hAnsi="宋体" w:eastAsia="宋体" w:cs="宋体"/>
                <w:b w:val="0"/>
                <w:bCs w:val="0"/>
                <w:color w:val="auto"/>
                <w:sz w:val="21"/>
                <w:szCs w:val="21"/>
                <w:highlight w:val="none"/>
                <w:lang w:eastAsia="zh-CN"/>
              </w:rPr>
              <w:t>CMA标志</w:t>
            </w:r>
            <w:r>
              <w:rPr>
                <w:rFonts w:hint="eastAsia" w:ascii="宋体" w:hAnsi="宋体" w:eastAsia="宋体" w:cs="宋体"/>
                <w:b w:val="0"/>
                <w:bCs w:val="0"/>
                <w:color w:val="auto"/>
                <w:sz w:val="21"/>
                <w:szCs w:val="21"/>
                <w:highlight w:val="none"/>
              </w:rPr>
              <w:t>的符合GB/T 9771.3-2020</w:t>
            </w:r>
            <w:r>
              <w:rPr>
                <w:rFonts w:hint="eastAsia" w:ascii="宋体" w:hAnsi="宋体" w:cs="宋体"/>
                <w:b w:val="0"/>
                <w:bCs w:val="0"/>
                <w:color w:val="auto"/>
                <w:sz w:val="21"/>
                <w:szCs w:val="21"/>
                <w:highlight w:val="none"/>
                <w:lang w:val="en-US" w:eastAsia="zh-CN"/>
              </w:rPr>
              <w:t>或YD/T1258.4-2019</w:t>
            </w:r>
            <w:r>
              <w:rPr>
                <w:rFonts w:hint="eastAsia" w:ascii="宋体" w:hAnsi="宋体" w:eastAsia="宋体" w:cs="宋体"/>
                <w:b w:val="0"/>
                <w:bCs w:val="0"/>
                <w:color w:val="auto"/>
                <w:sz w:val="21"/>
                <w:szCs w:val="21"/>
                <w:highlight w:val="none"/>
                <w:lang w:val="en-US" w:eastAsia="zh-CN"/>
              </w:rPr>
              <w:t>或（</w:t>
            </w:r>
            <w:r>
              <w:rPr>
                <w:rFonts w:hint="eastAsia" w:ascii="宋体" w:hAnsi="宋体" w:eastAsia="宋体" w:cs="宋体"/>
                <w:b w:val="0"/>
                <w:bCs w:val="0"/>
                <w:color w:val="auto"/>
                <w:sz w:val="21"/>
                <w:szCs w:val="21"/>
                <w:highlight w:val="none"/>
              </w:rPr>
              <w:t>ANSI/TIA-568-3.D-2016、ANSI/TIA-568-C.3-2008</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等现行国家或行业标准的全文</w:t>
            </w:r>
            <w:r>
              <w:rPr>
                <w:rFonts w:hint="eastAsia" w:ascii="宋体" w:hAnsi="宋体" w:eastAsia="宋体" w:cs="宋体"/>
                <w:b/>
                <w:bCs/>
                <w:color w:val="auto"/>
                <w:sz w:val="21"/>
                <w:szCs w:val="21"/>
                <w:highlight w:val="none"/>
                <w:lang w:eastAsia="zh-CN"/>
              </w:rPr>
              <w:t>检测报告</w:t>
            </w:r>
            <w:r>
              <w:rPr>
                <w:rFonts w:hint="eastAsia" w:ascii="宋体" w:hAnsi="宋体" w:eastAsia="宋体" w:cs="宋体"/>
                <w:b w:val="0"/>
                <w:bCs w:val="0"/>
                <w:color w:val="auto"/>
                <w:sz w:val="21"/>
                <w:szCs w:val="21"/>
                <w:highlight w:val="none"/>
              </w:rPr>
              <w:t>扫描件</w:t>
            </w:r>
            <w:r>
              <w:rPr>
                <w:rFonts w:hint="eastAsia" w:ascii="宋体" w:hAnsi="宋体" w:cs="宋体"/>
                <w:b/>
                <w:bCs/>
                <w:color w:val="auto"/>
                <w:sz w:val="21"/>
                <w:szCs w:val="21"/>
                <w:highlight w:val="none"/>
                <w:lang w:eastAsia="zh-CN"/>
              </w:rPr>
              <w:t>（</w:t>
            </w:r>
            <w:r>
              <w:rPr>
                <w:rFonts w:hint="eastAsia" w:ascii="宋体" w:hAnsi="宋体" w:cs="宋体"/>
                <w:b/>
                <w:bCs/>
                <w:color w:val="auto"/>
                <w:sz w:val="21"/>
                <w:szCs w:val="21"/>
                <w:highlight w:val="none"/>
                <w:lang w:val="en-US" w:eastAsia="zh-CN"/>
              </w:rPr>
              <w:t>芯数不限</w:t>
            </w:r>
            <w:r>
              <w:rPr>
                <w:rFonts w:hint="eastAsia" w:ascii="宋体" w:hAnsi="宋体" w:cs="宋体"/>
                <w:b/>
                <w:bCs/>
                <w:color w:val="auto"/>
                <w:sz w:val="21"/>
                <w:szCs w:val="21"/>
                <w:highlight w:val="none"/>
                <w:lang w:eastAsia="zh-CN"/>
              </w:rPr>
              <w:t>）</w:t>
            </w:r>
            <w:r>
              <w:rPr>
                <w:rFonts w:hint="eastAsia" w:ascii="宋体" w:hAnsi="宋体" w:eastAsia="宋体" w:cs="宋体"/>
                <w:b w:val="0"/>
                <w:bCs w:val="0"/>
                <w:color w:val="auto"/>
                <w:sz w:val="21"/>
                <w:szCs w:val="21"/>
                <w:highlight w:val="none"/>
              </w:rPr>
              <w:t>。检测报告中须体现检测依据以及是否通过检测的结论</w:t>
            </w:r>
            <w:r>
              <w:rPr>
                <w:rFonts w:hint="eastAsia" w:ascii="宋体" w:hAnsi="宋体" w:eastAsia="宋体" w:cs="宋体"/>
                <w:b w:val="0"/>
                <w:bCs w:val="0"/>
                <w:color w:val="auto"/>
                <w:sz w:val="21"/>
                <w:szCs w:val="21"/>
                <w:highlight w:val="none"/>
                <w:lang w:eastAsia="zh-CN"/>
              </w:rPr>
              <w:t>。</w:t>
            </w:r>
          </w:p>
          <w:p w14:paraId="6B659D20">
            <w:pPr>
              <w:keepNext w:val="0"/>
              <w:keepLines w:val="0"/>
              <w:pageBreakBefore w:val="0"/>
              <w:numPr>
                <w:ilvl w:val="1"/>
                <w:numId w:val="0"/>
              </w:numPr>
              <w:kinsoku/>
              <w:wordWrap/>
              <w:overflowPunct/>
              <w:topLinePunct w:val="0"/>
              <w:autoSpaceDE/>
              <w:autoSpaceDN/>
              <w:bidi w:val="0"/>
              <w:adjustRightInd/>
              <w:snapToGrid/>
              <w:spacing w:line="400" w:lineRule="exact"/>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4.护套材料：采用低烟无卤阻燃材料。</w:t>
            </w:r>
          </w:p>
          <w:p w14:paraId="32F47895">
            <w:pPr>
              <w:keepNext w:val="0"/>
              <w:keepLines w:val="0"/>
              <w:pageBreakBefore w:val="0"/>
              <w:numPr>
                <w:ilvl w:val="1"/>
                <w:numId w:val="0"/>
              </w:numPr>
              <w:kinsoku/>
              <w:wordWrap/>
              <w:overflowPunct/>
              <w:topLinePunct w:val="0"/>
              <w:autoSpaceDE/>
              <w:autoSpaceDN/>
              <w:bidi w:val="0"/>
              <w:adjustRightInd/>
              <w:snapToGrid/>
              <w:spacing w:line="400" w:lineRule="exact"/>
              <w:jc w:val="left"/>
              <w:rPr>
                <w:rFonts w:hint="eastAsia" w:ascii="宋体" w:hAnsi="宋体" w:eastAsia="宋体" w:cs="宋体"/>
                <w:b w:val="0"/>
                <w:bCs w:val="0"/>
                <w:color w:val="auto"/>
                <w:sz w:val="21"/>
                <w:szCs w:val="21"/>
                <w:highlight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w:t>
            </w:r>
            <w:r>
              <w:rPr>
                <w:rFonts w:hint="eastAsia" w:ascii="宋体" w:hAnsi="宋体" w:eastAsia="宋体" w:cs="宋体"/>
                <w:b w:val="0"/>
                <w:bCs w:val="0"/>
                <w:color w:val="auto"/>
                <w:sz w:val="21"/>
                <w:szCs w:val="21"/>
                <w:highlight w:val="none"/>
              </w:rPr>
              <w:t>5.燃烧性能要求：所投</w:t>
            </w:r>
            <w:r>
              <w:rPr>
                <w:rFonts w:hint="eastAsia" w:ascii="宋体" w:hAnsi="宋体" w:eastAsia="宋体" w:cs="宋体"/>
                <w:i w:val="0"/>
                <w:iCs w:val="0"/>
                <w:color w:val="auto"/>
                <w:kern w:val="0"/>
                <w:sz w:val="21"/>
                <w:szCs w:val="21"/>
                <w:highlight w:val="none"/>
                <w:u w:val="none"/>
                <w:lang w:val="en-US" w:eastAsia="zh-CN" w:bidi="ar"/>
              </w:rPr>
              <w:t>室内单模光缆</w:t>
            </w:r>
            <w:r>
              <w:rPr>
                <w:rFonts w:hint="eastAsia" w:ascii="宋体" w:hAnsi="宋体" w:eastAsia="宋体" w:cs="宋体"/>
                <w:b w:val="0"/>
                <w:bCs w:val="0"/>
                <w:color w:val="auto"/>
                <w:sz w:val="21"/>
                <w:szCs w:val="21"/>
                <w:highlight w:val="none"/>
              </w:rPr>
              <w:t>产品至少达到单根电缆火焰垂直蔓延试验要求。提供所投产品具有</w:t>
            </w:r>
            <w:r>
              <w:rPr>
                <w:rFonts w:hint="eastAsia" w:ascii="宋体" w:hAnsi="宋体" w:eastAsia="宋体" w:cs="宋体"/>
                <w:b w:val="0"/>
                <w:bCs w:val="0"/>
                <w:color w:val="auto"/>
                <w:sz w:val="21"/>
                <w:szCs w:val="21"/>
                <w:highlight w:val="none"/>
                <w:lang w:eastAsia="zh-CN"/>
              </w:rPr>
              <w:t>CMA标志</w:t>
            </w:r>
            <w:r>
              <w:rPr>
                <w:rFonts w:hint="eastAsia" w:ascii="宋体" w:hAnsi="宋体" w:eastAsia="宋体" w:cs="宋体"/>
                <w:b w:val="0"/>
                <w:bCs w:val="0"/>
                <w:color w:val="auto"/>
                <w:sz w:val="21"/>
                <w:szCs w:val="21"/>
                <w:highlight w:val="none"/>
              </w:rPr>
              <w:t>的、由第三方检测机构出具的、符合GB/T 18380.12-2022</w:t>
            </w:r>
            <w:r>
              <w:rPr>
                <w:rFonts w:hint="eastAsia" w:ascii="宋体" w:hAnsi="宋体" w:cs="宋体"/>
                <w:b w:val="0"/>
                <w:bCs w:val="0"/>
                <w:color w:val="auto"/>
                <w:sz w:val="21"/>
                <w:szCs w:val="21"/>
                <w:highlight w:val="none"/>
                <w:lang w:val="en-US" w:eastAsia="zh-CN"/>
              </w:rPr>
              <w:t>或</w:t>
            </w:r>
            <w:r>
              <w:rPr>
                <w:rFonts w:hint="eastAsia" w:ascii="宋体" w:hAnsi="宋体" w:eastAsia="宋体" w:cs="宋体"/>
                <w:b w:val="0"/>
                <w:bCs w:val="0"/>
                <w:color w:val="auto"/>
                <w:sz w:val="21"/>
                <w:szCs w:val="21"/>
                <w:highlight w:val="none"/>
              </w:rPr>
              <w:t>GB/T 18380.</w:t>
            </w:r>
            <w:r>
              <w:rPr>
                <w:rFonts w:hint="eastAsia" w:ascii="宋体" w:hAnsi="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2-20</w:t>
            </w:r>
            <w:r>
              <w:rPr>
                <w:rFonts w:hint="eastAsia" w:ascii="宋体" w:hAnsi="宋体" w:cs="宋体"/>
                <w:b w:val="0"/>
                <w:bCs w:val="0"/>
                <w:color w:val="auto"/>
                <w:sz w:val="21"/>
                <w:szCs w:val="21"/>
                <w:highlight w:val="none"/>
                <w:lang w:val="en-US" w:eastAsia="zh-CN"/>
              </w:rPr>
              <w:t>08</w:t>
            </w:r>
            <w:r>
              <w:rPr>
                <w:rFonts w:hint="eastAsia" w:ascii="宋体" w:hAnsi="宋体" w:eastAsia="宋体" w:cs="宋体"/>
                <w:b w:val="0"/>
                <w:bCs w:val="0"/>
                <w:color w:val="auto"/>
                <w:sz w:val="21"/>
                <w:szCs w:val="21"/>
                <w:highlight w:val="none"/>
              </w:rPr>
              <w:t>或IEC 60332-1-2：2015标准中的单根电缆火焰垂直蔓延试验的全文</w:t>
            </w:r>
            <w:r>
              <w:rPr>
                <w:rFonts w:hint="eastAsia" w:ascii="宋体" w:hAnsi="宋体" w:eastAsia="宋体" w:cs="宋体"/>
                <w:b/>
                <w:bCs/>
                <w:color w:val="auto"/>
                <w:sz w:val="21"/>
                <w:szCs w:val="21"/>
                <w:highlight w:val="none"/>
                <w:lang w:eastAsia="zh-CN"/>
              </w:rPr>
              <w:t>检测报告</w:t>
            </w:r>
            <w:r>
              <w:rPr>
                <w:rFonts w:hint="eastAsia" w:ascii="宋体" w:hAnsi="宋体" w:eastAsia="宋体" w:cs="宋体"/>
                <w:b w:val="0"/>
                <w:bCs w:val="0"/>
                <w:color w:val="auto"/>
                <w:sz w:val="21"/>
                <w:szCs w:val="21"/>
                <w:highlight w:val="none"/>
              </w:rPr>
              <w:t>扫描件。检测报告中须体现检测依据以及是否通过检测的结论。</w:t>
            </w:r>
          </w:p>
          <w:p w14:paraId="05EBB62C">
            <w:pPr>
              <w:keepNext w:val="0"/>
              <w:keepLines w:val="0"/>
              <w:pageBreakBefore w:val="0"/>
              <w:numPr>
                <w:ilvl w:val="1"/>
                <w:numId w:val="0"/>
              </w:numPr>
              <w:kinsoku/>
              <w:wordWrap/>
              <w:overflowPunct/>
              <w:topLinePunct w:val="0"/>
              <w:autoSpaceDE/>
              <w:autoSpaceDN/>
              <w:bidi w:val="0"/>
              <w:adjustRightInd/>
              <w:snapToGrid/>
              <w:spacing w:line="400" w:lineRule="exact"/>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6.烟密度：透光率应不小于50%。</w:t>
            </w:r>
          </w:p>
          <w:p w14:paraId="134A6FA5">
            <w:pPr>
              <w:keepNext w:val="0"/>
              <w:keepLines w:val="0"/>
              <w:pageBreakBefore w:val="0"/>
              <w:kinsoku/>
              <w:wordWrap/>
              <w:overflowPunct/>
              <w:topLinePunct w:val="0"/>
              <w:autoSpaceDE/>
              <w:autoSpaceDN/>
              <w:bidi w:val="0"/>
              <w:adjustRightInd/>
              <w:snapToGrid/>
              <w:spacing w:beforeAutospacing="0" w:afterAutospacing="0" w:line="400" w:lineRule="exact"/>
              <w:ind w:left="0" w:leftChars="0" w:right="0" w:rightChars="0"/>
              <w:rPr>
                <w:rFonts w:hint="eastAsia" w:asciiTheme="minorEastAsia" w:hAnsiTheme="minorEastAsia" w:eastAsiaTheme="minorEastAsia" w:cstheme="minorEastAsia"/>
                <w:color w:val="auto"/>
                <w:sz w:val="21"/>
                <w:szCs w:val="21"/>
                <w:vertAlign w:val="baseline"/>
                <w:lang w:val="en-US" w:eastAsia="zh-CN"/>
              </w:rPr>
            </w:pP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7</w:t>
            </w:r>
            <w:r>
              <w:rPr>
                <w:rFonts w:hint="eastAsia" w:ascii="宋体" w:hAnsi="宋体" w:eastAsia="宋体" w:cs="宋体"/>
                <w:b w:val="0"/>
                <w:bCs w:val="0"/>
                <w:color w:val="auto"/>
                <w:sz w:val="21"/>
                <w:szCs w:val="21"/>
                <w:highlight w:val="none"/>
              </w:rPr>
              <w:t>.提供承诺函，承诺所投产品符合GB/T 9771.3-2020或YD/T1258.4-2019</w:t>
            </w:r>
            <w:r>
              <w:rPr>
                <w:rFonts w:hint="eastAsia" w:ascii="宋体" w:hAnsi="宋体" w:eastAsia="宋体" w:cs="宋体"/>
                <w:b w:val="0"/>
                <w:bCs w:val="0"/>
                <w:color w:val="auto"/>
                <w:sz w:val="21"/>
                <w:szCs w:val="21"/>
                <w:highlight w:val="none"/>
                <w:lang w:val="en-US" w:eastAsia="zh-CN"/>
              </w:rPr>
              <w:t>或（</w:t>
            </w:r>
            <w:r>
              <w:rPr>
                <w:rFonts w:hint="eastAsia" w:ascii="宋体" w:hAnsi="宋体" w:eastAsia="宋体" w:cs="宋体"/>
                <w:b w:val="0"/>
                <w:bCs w:val="0"/>
                <w:color w:val="auto"/>
                <w:sz w:val="21"/>
                <w:szCs w:val="21"/>
                <w:highlight w:val="none"/>
              </w:rPr>
              <w:t>ANSI/TIA-568-3.D-2016、ANSI/TIA-568-C.3-2008</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等现行国家或行业标准针对室内光纤的要求，格式自拟。</w:t>
            </w:r>
          </w:p>
        </w:tc>
      </w:tr>
      <w:tr w14:paraId="20822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vAlign w:val="center"/>
          </w:tcPr>
          <w:p w14:paraId="4A13D143">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i w:val="0"/>
                <w:iCs w:val="0"/>
                <w:color w:val="auto"/>
                <w:kern w:val="0"/>
                <w:sz w:val="21"/>
                <w:szCs w:val="21"/>
                <w:u w:val="none"/>
                <w:lang w:val="en-US" w:eastAsia="zh-CN" w:bidi="ar"/>
              </w:rPr>
              <w:t>11</w:t>
            </w:r>
          </w:p>
        </w:tc>
        <w:tc>
          <w:tcPr>
            <w:tcW w:w="1350" w:type="dxa"/>
            <w:vAlign w:val="center"/>
          </w:tcPr>
          <w:p w14:paraId="1B110E37">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i w:val="0"/>
                <w:iCs w:val="0"/>
                <w:color w:val="auto"/>
                <w:kern w:val="0"/>
                <w:sz w:val="21"/>
                <w:szCs w:val="21"/>
                <w:u w:val="none"/>
                <w:lang w:val="en-US" w:eastAsia="zh-CN" w:bidi="ar"/>
              </w:rPr>
              <w:t>光纤熔接</w:t>
            </w:r>
          </w:p>
        </w:tc>
        <w:tc>
          <w:tcPr>
            <w:tcW w:w="7009" w:type="dxa"/>
          </w:tcPr>
          <w:p w14:paraId="2D6FC77D">
            <w:pPr>
              <w:keepNext w:val="0"/>
              <w:keepLines w:val="0"/>
              <w:pageBreakBefore w:val="0"/>
              <w:kinsoku/>
              <w:wordWrap/>
              <w:overflowPunct/>
              <w:topLinePunct w:val="0"/>
              <w:autoSpaceDE/>
              <w:autoSpaceDN/>
              <w:bidi w:val="0"/>
              <w:adjustRightInd/>
              <w:snapToGrid/>
              <w:spacing w:beforeAutospacing="0" w:afterAutospacing="0" w:line="400" w:lineRule="exact"/>
              <w:ind w:left="0" w:leftChars="0" w:right="0" w:rightChars="0"/>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i w:val="0"/>
                <w:iCs w:val="0"/>
                <w:color w:val="auto"/>
                <w:kern w:val="0"/>
                <w:sz w:val="21"/>
                <w:szCs w:val="21"/>
                <w:u w:val="none"/>
                <w:lang w:val="en-US" w:eastAsia="zh-CN" w:bidi="ar"/>
              </w:rPr>
              <w:t>定制，熔接后的特性指标应符合现行国家或行业标准。</w:t>
            </w:r>
          </w:p>
        </w:tc>
      </w:tr>
      <w:tr w14:paraId="59483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vAlign w:val="center"/>
          </w:tcPr>
          <w:p w14:paraId="7C08D8CA">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i w:val="0"/>
                <w:iCs w:val="0"/>
                <w:color w:val="auto"/>
                <w:kern w:val="0"/>
                <w:sz w:val="21"/>
                <w:szCs w:val="21"/>
                <w:u w:val="none"/>
                <w:lang w:val="en-US" w:eastAsia="zh-CN" w:bidi="ar"/>
              </w:rPr>
              <w:t>12</w:t>
            </w:r>
          </w:p>
        </w:tc>
        <w:tc>
          <w:tcPr>
            <w:tcW w:w="1350" w:type="dxa"/>
            <w:vAlign w:val="center"/>
          </w:tcPr>
          <w:p w14:paraId="596DBBF2">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i w:val="0"/>
                <w:iCs w:val="0"/>
                <w:color w:val="auto"/>
                <w:kern w:val="0"/>
                <w:sz w:val="21"/>
                <w:szCs w:val="21"/>
                <w:u w:val="none"/>
                <w:lang w:val="en-US" w:eastAsia="zh-CN" w:bidi="ar"/>
              </w:rPr>
              <w:t>光纤终端</w:t>
            </w:r>
          </w:p>
        </w:tc>
        <w:tc>
          <w:tcPr>
            <w:tcW w:w="7009" w:type="dxa"/>
          </w:tcPr>
          <w:p w14:paraId="5092A6A3">
            <w:pPr>
              <w:keepNext w:val="0"/>
              <w:keepLines w:val="0"/>
              <w:pageBreakBefore w:val="0"/>
              <w:kinsoku/>
              <w:wordWrap/>
              <w:overflowPunct/>
              <w:topLinePunct w:val="0"/>
              <w:autoSpaceDE/>
              <w:autoSpaceDN/>
              <w:bidi w:val="0"/>
              <w:adjustRightInd/>
              <w:snapToGrid/>
              <w:spacing w:beforeAutospacing="0" w:afterAutospacing="0" w:line="400" w:lineRule="exact"/>
              <w:ind w:left="0" w:leftChars="0" w:right="0" w:rightChars="0"/>
              <w:rPr>
                <w:rFonts w:hint="eastAsia" w:asciiTheme="minorEastAsia" w:hAnsiTheme="minorEastAsia" w:eastAsiaTheme="minorEastAsia" w:cstheme="minorEastAsia"/>
                <w:color w:val="auto"/>
                <w:sz w:val="21"/>
                <w:szCs w:val="21"/>
                <w:vertAlign w:val="baseline"/>
                <w:lang w:val="en-US" w:eastAsia="zh-CN"/>
              </w:rPr>
            </w:pPr>
            <w:r>
              <w:rPr>
                <w:rFonts w:hint="eastAsia" w:ascii="宋体" w:hAnsi="宋体" w:eastAsia="宋体" w:cs="宋体"/>
                <w:b w:val="0"/>
                <w:bCs w:val="0"/>
                <w:i w:val="0"/>
                <w:iCs w:val="0"/>
                <w:color w:val="auto"/>
                <w:kern w:val="0"/>
                <w:sz w:val="21"/>
                <w:szCs w:val="21"/>
                <w:highlight w:val="none"/>
                <w:u w:val="none"/>
                <w:lang w:val="en-US" w:eastAsia="zh-CN" w:bidi="ar"/>
              </w:rPr>
              <w:t>1.规格:</w:t>
            </w:r>
            <w:r>
              <w:rPr>
                <w:rFonts w:hint="eastAsia" w:ascii="宋体" w:hAnsi="宋体" w:cs="宋体"/>
                <w:b w:val="0"/>
                <w:bCs w:val="0"/>
                <w:i w:val="0"/>
                <w:iCs w:val="0"/>
                <w:color w:val="auto"/>
                <w:kern w:val="0"/>
                <w:sz w:val="21"/>
                <w:szCs w:val="21"/>
                <w:highlight w:val="none"/>
                <w:u w:val="none"/>
                <w:lang w:val="en-US" w:eastAsia="zh-CN" w:bidi="ar"/>
              </w:rPr>
              <w:t>八</w:t>
            </w:r>
            <w:r>
              <w:rPr>
                <w:rFonts w:hint="eastAsia" w:ascii="宋体" w:hAnsi="宋体" w:eastAsia="宋体" w:cs="宋体"/>
                <w:b w:val="0"/>
                <w:bCs w:val="0"/>
                <w:i w:val="0"/>
                <w:iCs w:val="0"/>
                <w:color w:val="auto"/>
                <w:kern w:val="0"/>
                <w:sz w:val="21"/>
                <w:szCs w:val="21"/>
                <w:highlight w:val="none"/>
                <w:u w:val="none"/>
                <w:lang w:val="en-US" w:eastAsia="zh-CN" w:bidi="ar"/>
              </w:rPr>
              <w:t>芯LC光纤终端盒。</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2.材料：材料采用厚度不小于1.2mm低碳钢表面磨砂金属粉末。</w:t>
            </w:r>
          </w:p>
        </w:tc>
      </w:tr>
      <w:tr w14:paraId="2EB53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vAlign w:val="center"/>
          </w:tcPr>
          <w:p w14:paraId="2361445D">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i w:val="0"/>
                <w:iCs w:val="0"/>
                <w:color w:val="auto"/>
                <w:kern w:val="0"/>
                <w:sz w:val="21"/>
                <w:szCs w:val="21"/>
                <w:u w:val="none"/>
                <w:lang w:val="en-US" w:eastAsia="zh-CN" w:bidi="ar"/>
              </w:rPr>
              <w:t>13</w:t>
            </w:r>
          </w:p>
        </w:tc>
        <w:tc>
          <w:tcPr>
            <w:tcW w:w="1350" w:type="dxa"/>
            <w:vAlign w:val="center"/>
          </w:tcPr>
          <w:p w14:paraId="05558320">
            <w:pPr>
              <w:pStyle w:val="18"/>
              <w:pageBreakBefore w:val="0"/>
              <w:wordWrap/>
              <w:topLinePunct w:val="0"/>
              <w:bidi w:val="0"/>
              <w:spacing w:beforeAutospacing="0" w:afterAutospacing="0" w:line="400" w:lineRule="exact"/>
              <w:ind w:left="0" w:leftChars="0" w:right="0" w:rightChars="0" w:firstLine="0" w:firstLineChars="0"/>
              <w:jc w:val="center"/>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i w:val="0"/>
                <w:iCs w:val="0"/>
                <w:color w:val="auto"/>
                <w:kern w:val="0"/>
                <w:sz w:val="21"/>
                <w:szCs w:val="21"/>
                <w:u w:val="none"/>
                <w:lang w:val="en-US" w:eastAsia="zh-CN" w:bidi="ar"/>
              </w:rPr>
              <w:t>防油污摄像机</w:t>
            </w:r>
          </w:p>
        </w:tc>
        <w:tc>
          <w:tcPr>
            <w:tcW w:w="7009" w:type="dxa"/>
          </w:tcPr>
          <w:p w14:paraId="371EE1C7">
            <w:pPr>
              <w:pStyle w:val="15"/>
              <w:keepNext w:val="0"/>
              <w:keepLines w:val="0"/>
              <w:pageBreakBefore w:val="0"/>
              <w:kinsoku/>
              <w:wordWrap/>
              <w:overflowPunct/>
              <w:topLinePunct w:val="0"/>
              <w:autoSpaceDE/>
              <w:autoSpaceDN/>
              <w:bidi w:val="0"/>
              <w:adjustRightInd/>
              <w:snapToGrid/>
              <w:spacing w:line="400" w:lineRule="exact"/>
              <w:ind w:left="0"/>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1.传感器：≥1/2.7英寸CMOS传感器。提供原厂公开技术文档（白皮书、彩页、官网规格页截图及链接地址）。</w:t>
            </w:r>
          </w:p>
          <w:p w14:paraId="621595D8">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★2.像素≥400万或最大分辨率≥2560×1440。提供所投产品</w:t>
            </w:r>
            <w:r>
              <w:rPr>
                <w:rFonts w:hint="eastAsia" w:ascii="宋体" w:hAnsi="宋体" w:eastAsia="宋体" w:cs="宋体"/>
                <w:b w:val="0"/>
                <w:bCs w:val="0"/>
                <w:color w:val="auto"/>
                <w:sz w:val="21"/>
                <w:szCs w:val="21"/>
                <w:highlight w:val="none"/>
                <w:u w:val="none"/>
                <w:lang w:bidi="ar"/>
              </w:rPr>
              <w:t>由具备有效CMA资质的检测机构出具的封面盖有CMA专用印章的检测报告原件关键页扫描件(</w:t>
            </w:r>
            <w:r>
              <w:rPr>
                <w:rFonts w:hint="eastAsia" w:ascii="宋体" w:hAnsi="宋体" w:eastAsia="宋体" w:cs="宋体"/>
                <w:b w:val="0"/>
                <w:bCs w:val="0"/>
                <w:i w:val="0"/>
                <w:iCs w:val="0"/>
                <w:color w:val="auto"/>
                <w:kern w:val="0"/>
                <w:sz w:val="21"/>
                <w:szCs w:val="21"/>
                <w:highlight w:val="none"/>
                <w:u w:val="none"/>
                <w:lang w:val="en-US" w:eastAsia="zh-CN" w:bidi="ar"/>
              </w:rPr>
              <w:t>依据标准GA/T 1127-2013等现行国家标准</w:t>
            </w:r>
            <w:r>
              <w:rPr>
                <w:rFonts w:hint="eastAsia" w:ascii="宋体" w:hAnsi="宋体" w:eastAsia="宋体" w:cs="宋体"/>
                <w:b w:val="0"/>
                <w:bCs w:val="0"/>
                <w:color w:val="auto"/>
                <w:sz w:val="21"/>
                <w:szCs w:val="21"/>
                <w:highlight w:val="none"/>
                <w:u w:val="none"/>
                <w:lang w:bidi="ar"/>
              </w:rPr>
              <w:t>）</w:t>
            </w:r>
            <w:r>
              <w:rPr>
                <w:rFonts w:hint="eastAsia" w:ascii="宋体" w:hAnsi="宋体" w:eastAsia="宋体" w:cs="宋体"/>
                <w:b w:val="0"/>
                <w:bCs w:val="0"/>
                <w:i w:val="0"/>
                <w:iCs w:val="0"/>
                <w:color w:val="auto"/>
                <w:kern w:val="0"/>
                <w:sz w:val="21"/>
                <w:szCs w:val="21"/>
                <w:highlight w:val="none"/>
                <w:u w:val="none"/>
                <w:lang w:val="en-US" w:eastAsia="zh-CN" w:bidi="ar"/>
              </w:rPr>
              <w:t>。</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★3.具备最低照度彩色不劣于0.005Lux，黑白不劣于0.001Lux。提供第三方机构出具的具有CMA标志的检测报告（依据标准</w:t>
            </w:r>
            <w:r>
              <w:rPr>
                <w:rFonts w:hint="eastAsia" w:ascii="宋体" w:hAnsi="宋体" w:eastAsia="宋体" w:cs="宋体"/>
                <w:b w:val="0"/>
                <w:bCs w:val="0"/>
                <w:i w:val="0"/>
                <w:iCs w:val="0"/>
                <w:color w:val="auto"/>
                <w:kern w:val="0"/>
                <w:sz w:val="21"/>
                <w:szCs w:val="21"/>
                <w:highlight w:val="none"/>
                <w:u w:val="none"/>
                <w:lang w:val="en-US" w:eastAsia="zh-CN" w:bidi="ar"/>
              </w:rPr>
              <w:t>GA/T 1127-2013或</w:t>
            </w:r>
            <w:r>
              <w:rPr>
                <w:rFonts w:hint="eastAsia" w:ascii="宋体" w:hAnsi="宋体" w:eastAsia="宋体" w:cs="宋体"/>
                <w:b w:val="0"/>
                <w:bCs w:val="0"/>
                <w:i w:val="0"/>
                <w:iCs w:val="0"/>
                <w:color w:val="auto"/>
                <w:sz w:val="21"/>
                <w:szCs w:val="21"/>
                <w:highlight w:val="none"/>
                <w:u w:val="none"/>
                <w:lang w:val="en-US" w:eastAsia="zh-CN" w:bidi="ar"/>
              </w:rPr>
              <w:t>GB 16796-2022</w:t>
            </w:r>
            <w:r>
              <w:rPr>
                <w:rFonts w:hint="eastAsia" w:ascii="宋体" w:hAnsi="宋体" w:eastAsia="宋体" w:cs="宋体"/>
                <w:b w:val="0"/>
                <w:bCs w:val="0"/>
                <w:color w:val="auto"/>
                <w:sz w:val="21"/>
                <w:szCs w:val="21"/>
                <w:highlight w:val="none"/>
                <w:u w:val="none"/>
                <w:lang w:bidi="ar"/>
              </w:rPr>
              <w:t>或GB/T 15211-2013</w:t>
            </w:r>
            <w:r>
              <w:rPr>
                <w:rFonts w:hint="eastAsia" w:ascii="宋体" w:hAnsi="宋体" w:eastAsia="宋体" w:cs="宋体"/>
                <w:b w:val="0"/>
                <w:bCs w:val="0"/>
                <w:i w:val="0"/>
                <w:iCs w:val="0"/>
                <w:color w:val="auto"/>
                <w:sz w:val="21"/>
                <w:szCs w:val="21"/>
                <w:highlight w:val="none"/>
                <w:u w:val="none"/>
                <w:lang w:val="en-US" w:eastAsia="zh-CN" w:bidi="ar"/>
              </w:rPr>
              <w:t>等现行国家标准）</w:t>
            </w:r>
            <w:r>
              <w:rPr>
                <w:rFonts w:hint="eastAsia" w:ascii="宋体" w:hAnsi="宋体" w:eastAsia="宋体" w:cs="宋体"/>
                <w:b w:val="0"/>
                <w:bCs w:val="0"/>
                <w:color w:val="auto"/>
                <w:sz w:val="21"/>
                <w:szCs w:val="21"/>
                <w:highlight w:val="none"/>
                <w:u w:val="none"/>
                <w:lang w:val="en-US" w:eastAsia="zh-CN" w:bidi="ar"/>
              </w:rPr>
              <w:t>。</w:t>
            </w:r>
          </w:p>
          <w:p w14:paraId="2C02BAE5">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4.具备滤光片切换功能，摄像机可在彩色/黑白模式下自动切换滤光片。</w:t>
            </w:r>
          </w:p>
          <w:p w14:paraId="1EDD136D">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5.镜头：定焦；镜头光圈≥F1.0。</w:t>
            </w:r>
          </w:p>
          <w:p w14:paraId="1651C5D3">
            <w:pPr>
              <w:pStyle w:val="15"/>
              <w:keepNext w:val="0"/>
              <w:keepLines w:val="0"/>
              <w:pageBreakBefore w:val="0"/>
              <w:kinsoku/>
              <w:wordWrap/>
              <w:overflowPunct/>
              <w:topLinePunct w:val="0"/>
              <w:autoSpaceDE/>
              <w:autoSpaceDN/>
              <w:bidi w:val="0"/>
              <w:adjustRightInd/>
              <w:snapToGrid/>
              <w:spacing w:line="400" w:lineRule="exact"/>
              <w:ind w:left="0"/>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6.</w:t>
            </w:r>
            <w:r>
              <w:rPr>
                <w:rFonts w:hint="eastAsia" w:ascii="宋体" w:hAnsi="宋体" w:eastAsia="宋体" w:cs="宋体"/>
                <w:color w:val="auto"/>
                <w:kern w:val="0"/>
                <w:sz w:val="21"/>
                <w:szCs w:val="21"/>
                <w:highlight w:val="none"/>
                <w:lang w:bidi="ar"/>
              </w:rPr>
              <w:t>内置红外灯和暖光灯，最大</w:t>
            </w:r>
            <w:r>
              <w:rPr>
                <w:rFonts w:hint="eastAsia" w:ascii="宋体" w:hAnsi="宋体" w:eastAsia="宋体" w:cs="宋体"/>
                <w:color w:val="auto"/>
                <w:kern w:val="0"/>
                <w:sz w:val="21"/>
                <w:szCs w:val="21"/>
                <w:highlight w:val="none"/>
                <w:lang w:val="en-US" w:eastAsia="zh-CN" w:bidi="ar"/>
              </w:rPr>
              <w:t>红外</w:t>
            </w:r>
            <w:r>
              <w:rPr>
                <w:rFonts w:hint="eastAsia" w:ascii="宋体" w:hAnsi="宋体" w:eastAsia="宋体" w:cs="宋体"/>
                <w:color w:val="auto"/>
                <w:kern w:val="0"/>
                <w:sz w:val="21"/>
                <w:szCs w:val="21"/>
                <w:highlight w:val="none"/>
                <w:lang w:bidi="ar"/>
              </w:rPr>
              <w:t>补光距离</w:t>
            </w:r>
            <w:r>
              <w:rPr>
                <w:rFonts w:hint="eastAsia" w:ascii="宋体" w:hAnsi="宋体" w:eastAsia="宋体" w:cs="宋体"/>
                <w:color w:val="auto"/>
                <w:kern w:val="0"/>
                <w:sz w:val="21"/>
                <w:szCs w:val="21"/>
                <w:highlight w:val="none"/>
                <w:lang w:val="en-US" w:eastAsia="zh-CN" w:bidi="ar"/>
              </w:rPr>
              <w:t>(识别距离)</w:t>
            </w:r>
            <w:r>
              <w:rPr>
                <w:rFonts w:hint="eastAsia" w:ascii="宋体" w:hAnsi="宋体" w:eastAsia="宋体" w:cs="宋体"/>
                <w:color w:val="auto"/>
                <w:kern w:val="0"/>
                <w:sz w:val="21"/>
                <w:szCs w:val="21"/>
                <w:highlight w:val="none"/>
                <w:lang w:bidi="ar"/>
              </w:rPr>
              <w:t>：≥80m</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暖光视频监控距离</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b w:val="0"/>
                <w:bCs w:val="0"/>
                <w:i w:val="0"/>
                <w:iCs w:val="0"/>
                <w:color w:val="auto"/>
                <w:kern w:val="0"/>
                <w:sz w:val="21"/>
                <w:szCs w:val="21"/>
                <w:highlight w:val="none"/>
                <w:u w:val="none"/>
                <w:lang w:val="en-US" w:eastAsia="zh-CN" w:bidi="ar"/>
              </w:rPr>
              <w:t>识别距离）：</w:t>
            </w:r>
            <w:r>
              <w:rPr>
                <w:rFonts w:hint="eastAsia" w:ascii="宋体" w:hAnsi="宋体" w:eastAsia="宋体" w:cs="宋体"/>
                <w:color w:val="auto"/>
                <w:kern w:val="0"/>
                <w:sz w:val="21"/>
                <w:szCs w:val="21"/>
                <w:highlight w:val="none"/>
                <w:lang w:bidi="ar"/>
              </w:rPr>
              <w:t>≥30m。</w:t>
            </w:r>
            <w:r>
              <w:rPr>
                <w:rFonts w:hint="eastAsia" w:ascii="宋体" w:hAnsi="宋体" w:eastAsia="宋体" w:cs="宋体"/>
                <w:b w:val="0"/>
                <w:bCs w:val="0"/>
                <w:i w:val="0"/>
                <w:iCs w:val="0"/>
                <w:color w:val="auto"/>
                <w:kern w:val="0"/>
                <w:sz w:val="21"/>
                <w:szCs w:val="21"/>
                <w:highlight w:val="none"/>
                <w:u w:val="none"/>
                <w:lang w:val="en-US" w:eastAsia="zh-CN" w:bidi="ar"/>
              </w:rPr>
              <w:t>提供原厂公开技术文档（白皮书、彩页、官网规格页截图及链接地址）。</w:t>
            </w:r>
          </w:p>
          <w:p w14:paraId="66F95170">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★7.宽动态能力综合得分≥80。提供所投产品</w:t>
            </w:r>
            <w:r>
              <w:rPr>
                <w:rFonts w:hint="eastAsia" w:ascii="宋体" w:hAnsi="宋体" w:eastAsia="宋体" w:cs="宋体"/>
                <w:b w:val="0"/>
                <w:bCs w:val="0"/>
                <w:color w:val="auto"/>
                <w:sz w:val="21"/>
                <w:szCs w:val="21"/>
                <w:highlight w:val="none"/>
                <w:u w:val="none"/>
                <w:lang w:bidi="ar"/>
              </w:rPr>
              <w:t>由具备有效CMA资质的检测机构出具的封面盖有CMA专用印章的检测报告原件关键页扫描件(</w:t>
            </w:r>
            <w:r>
              <w:rPr>
                <w:rFonts w:hint="eastAsia" w:ascii="宋体" w:hAnsi="宋体" w:eastAsia="宋体" w:cs="宋体"/>
                <w:b w:val="0"/>
                <w:bCs w:val="0"/>
                <w:i w:val="0"/>
                <w:iCs w:val="0"/>
                <w:color w:val="auto"/>
                <w:kern w:val="0"/>
                <w:sz w:val="21"/>
                <w:szCs w:val="21"/>
                <w:highlight w:val="none"/>
                <w:u w:val="none"/>
                <w:lang w:val="en-US" w:eastAsia="zh-CN" w:bidi="ar"/>
              </w:rPr>
              <w:t>依据标准GA/T 1127-2013等现行国家标准</w:t>
            </w:r>
            <w:r>
              <w:rPr>
                <w:rFonts w:hint="eastAsia" w:ascii="宋体" w:hAnsi="宋体" w:eastAsia="宋体" w:cs="宋体"/>
                <w:b w:val="0"/>
                <w:bCs w:val="0"/>
                <w:color w:val="auto"/>
                <w:sz w:val="21"/>
                <w:szCs w:val="21"/>
                <w:highlight w:val="none"/>
                <w:u w:val="none"/>
                <w:lang w:bidi="ar"/>
              </w:rPr>
              <w:t>）</w:t>
            </w:r>
            <w:r>
              <w:rPr>
                <w:rFonts w:hint="eastAsia" w:ascii="宋体" w:hAnsi="宋体" w:eastAsia="宋体" w:cs="宋体"/>
                <w:b w:val="0"/>
                <w:bCs w:val="0"/>
                <w:i w:val="0"/>
                <w:iCs w:val="0"/>
                <w:color w:val="auto"/>
                <w:kern w:val="0"/>
                <w:sz w:val="21"/>
                <w:szCs w:val="21"/>
                <w:highlight w:val="none"/>
                <w:u w:val="none"/>
                <w:lang w:val="en-US" w:eastAsia="zh-CN" w:bidi="ar"/>
              </w:rPr>
              <w:t>。</w:t>
            </w:r>
          </w:p>
          <w:p w14:paraId="1DAE3C86">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★8.具备H.265、H.264、MJPEG视频编码格式，音频编码：G.711、AAC。提供原厂公开技术文档（白皮书、彩页、官网规格页截图及链接地址）。</w:t>
            </w:r>
          </w:p>
          <w:p w14:paraId="04504E4D">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9.支持对老鼠、垃圾桶未盖、玩手机的目标、目标是否戴口罩、是否戴帽子、衣服颜色或是否穿工作服进行检测并触发报警。提供第三方机构出具的具有CMA标志的检测报告（GB/T 15211-2013或GA/T 1127-2013等现行国家标准）。</w:t>
            </w:r>
          </w:p>
          <w:p w14:paraId="55FCAEE5">
            <w:pPr>
              <w:pStyle w:val="18"/>
              <w:keepNext w:val="0"/>
              <w:keepLines w:val="0"/>
              <w:pageBreakBefore w:val="0"/>
              <w:kinsoku/>
              <w:wordWrap/>
              <w:overflowPunct/>
              <w:topLinePunct w:val="0"/>
              <w:autoSpaceDE/>
              <w:autoSpaceDN/>
              <w:bidi w:val="0"/>
              <w:adjustRightInd/>
              <w:snapToGrid/>
              <w:spacing w:line="400" w:lineRule="exact"/>
              <w:ind w:left="0" w:leftChars="0"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bidi="ar"/>
              </w:rPr>
              <w:t>10.</w:t>
            </w:r>
            <w:r>
              <w:rPr>
                <w:rFonts w:hint="eastAsia" w:ascii="宋体" w:hAnsi="宋体" w:eastAsia="宋体" w:cs="宋体"/>
                <w:color w:val="auto"/>
                <w:kern w:val="0"/>
                <w:sz w:val="21"/>
                <w:szCs w:val="21"/>
                <w:highlight w:val="none"/>
                <w:lang w:bidi="ar"/>
              </w:rPr>
              <w:t>报警事件：无SD卡</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SD卡空间不足</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SD卡出错</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网络断开</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IP冲突</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非法访问</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动态检测</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视频遮挡</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绊线入侵</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区域入侵</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快速移动</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物品遗留</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物品搬移</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徘徊检测</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人员聚集</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停车检测</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场景变更</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音频异常侦测</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外部报警</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人脸检测</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区域内人数统计</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滞留报警</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人数统计</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安全异常</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玩手机</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垃圾桶未盖</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传感器报警</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老鼠检测。</w:t>
            </w:r>
          </w:p>
          <w:p w14:paraId="19AA5B36">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11.具备数据直存功能，即直接将视频存储数据发送到存储设备（当中心服务器故障时、不影响正在进行的存储业务）。</w:t>
            </w:r>
          </w:p>
          <w:p w14:paraId="512FCD41">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12.接口：RJ45百兆或千兆以太网电口，音频输入：≥1路，音频输出：≥1路，报警输入：≥1路，报警输出：≥1路。</w:t>
            </w:r>
          </w:p>
          <w:p w14:paraId="7B9B61F1">
            <w:pPr>
              <w:pStyle w:val="15"/>
              <w:keepNext w:val="0"/>
              <w:keepLines w:val="0"/>
              <w:pageBreakBefore w:val="0"/>
              <w:kinsoku/>
              <w:wordWrap/>
              <w:overflowPunct/>
              <w:topLinePunct w:val="0"/>
              <w:autoSpaceDE/>
              <w:autoSpaceDN/>
              <w:bidi w:val="0"/>
              <w:adjustRightInd/>
              <w:snapToGrid/>
              <w:spacing w:line="400" w:lineRule="exact"/>
              <w:ind w:left="0"/>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13.提供SD或TF卡槽。承诺可通过加装安全加密卡对接公安视频数据加密平台、实现安全升级以符合GB35114A级标准对前端面摄像机基于数字证书的双向身份认证功能，提供承诺函（格式自拟）。</w:t>
            </w:r>
          </w:p>
          <w:p w14:paraId="174F4DD0">
            <w:pPr>
              <w:pStyle w:val="15"/>
              <w:keepNext w:val="0"/>
              <w:keepLines w:val="0"/>
              <w:pageBreakBefore w:val="0"/>
              <w:kinsoku/>
              <w:wordWrap/>
              <w:overflowPunct/>
              <w:topLinePunct w:val="0"/>
              <w:autoSpaceDE/>
              <w:autoSpaceDN/>
              <w:bidi w:val="0"/>
              <w:adjustRightInd/>
              <w:snapToGrid/>
              <w:spacing w:line="400" w:lineRule="exact"/>
              <w:ind w:left="0"/>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★14.符合GB/T 28181、Onvif、IPv4/6现行协议标准。提供所投产品原厂公开技术文档（白皮书、彩页、官网规格页截图及链接地址）或提供承诺函（格式自拟）。</w:t>
            </w:r>
          </w:p>
          <w:p w14:paraId="61535161">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★15.浪涌（冲击）抗扰度测试、防浪涌。</w:t>
            </w:r>
            <w:r>
              <w:rPr>
                <w:rFonts w:hint="eastAsia" w:ascii="宋体" w:hAnsi="宋体" w:eastAsia="宋体" w:cs="宋体"/>
                <w:b w:val="0"/>
                <w:bCs w:val="0"/>
                <w:color w:val="auto"/>
                <w:sz w:val="21"/>
                <w:szCs w:val="21"/>
                <w:highlight w:val="none"/>
                <w:lang w:val="en-US" w:eastAsia="zh-CN" w:bidi="ar"/>
              </w:rPr>
              <w:t>承诺</w:t>
            </w:r>
            <w:r>
              <w:rPr>
                <w:rFonts w:hint="eastAsia" w:ascii="宋体" w:hAnsi="宋体" w:eastAsia="宋体" w:cs="宋体"/>
                <w:b w:val="0"/>
                <w:bCs w:val="0"/>
                <w:color w:val="auto"/>
                <w:sz w:val="21"/>
                <w:szCs w:val="21"/>
                <w:highlight w:val="none"/>
                <w:lang w:bidi="ar"/>
              </w:rPr>
              <w:t>符合</w:t>
            </w:r>
            <w:r>
              <w:rPr>
                <w:rFonts w:hint="eastAsia" w:ascii="宋体" w:hAnsi="宋体" w:eastAsia="宋体" w:cs="宋体"/>
                <w:b w:val="0"/>
                <w:bCs w:val="0"/>
                <w:i w:val="0"/>
                <w:iCs w:val="0"/>
                <w:color w:val="auto"/>
                <w:kern w:val="0"/>
                <w:sz w:val="21"/>
                <w:szCs w:val="21"/>
                <w:highlight w:val="none"/>
                <w:u w:val="none"/>
                <w:lang w:val="en-US" w:eastAsia="zh-CN" w:bidi="ar"/>
              </w:rPr>
              <w:t>GA/T 1127-2013或</w:t>
            </w:r>
            <w:r>
              <w:rPr>
                <w:rFonts w:hint="eastAsia" w:ascii="宋体" w:hAnsi="宋体" w:eastAsia="宋体" w:cs="宋体"/>
                <w:b w:val="0"/>
                <w:bCs w:val="0"/>
                <w:color w:val="auto"/>
                <w:sz w:val="21"/>
                <w:szCs w:val="21"/>
                <w:highlight w:val="none"/>
                <w:lang w:bidi="ar"/>
              </w:rPr>
              <w:t>GB/T 17626.5-</w:t>
            </w:r>
            <w:r>
              <w:rPr>
                <w:rFonts w:hint="eastAsia" w:ascii="宋体" w:hAnsi="宋体" w:eastAsia="宋体" w:cs="宋体"/>
                <w:b w:val="0"/>
                <w:bCs w:val="0"/>
                <w:color w:val="auto"/>
                <w:sz w:val="21"/>
                <w:szCs w:val="21"/>
                <w:highlight w:val="none"/>
                <w:lang w:val="en-US" w:eastAsia="zh-CN" w:bidi="ar"/>
              </w:rPr>
              <w:t>2008/</w:t>
            </w:r>
            <w:r>
              <w:rPr>
                <w:rFonts w:hint="eastAsia" w:ascii="宋体" w:hAnsi="宋体" w:eastAsia="宋体" w:cs="宋体"/>
                <w:b w:val="0"/>
                <w:bCs w:val="0"/>
                <w:color w:val="auto"/>
                <w:sz w:val="21"/>
                <w:szCs w:val="21"/>
                <w:highlight w:val="none"/>
                <w:lang w:bidi="ar"/>
              </w:rPr>
              <w:t>2019</w:t>
            </w:r>
            <w:r>
              <w:rPr>
                <w:rFonts w:hint="eastAsia" w:ascii="宋体" w:hAnsi="宋体" w:eastAsia="宋体" w:cs="宋体"/>
                <w:b w:val="0"/>
                <w:bCs w:val="0"/>
                <w:color w:val="auto"/>
                <w:sz w:val="21"/>
                <w:szCs w:val="21"/>
                <w:highlight w:val="none"/>
                <w:lang w:val="en-US" w:eastAsia="zh-CN" w:bidi="ar"/>
              </w:rPr>
              <w:t>对摄像机的</w:t>
            </w:r>
            <w:r>
              <w:rPr>
                <w:rFonts w:hint="eastAsia" w:ascii="宋体" w:hAnsi="宋体" w:eastAsia="宋体" w:cs="宋体"/>
                <w:b w:val="0"/>
                <w:bCs w:val="0"/>
                <w:i w:val="0"/>
                <w:iCs w:val="0"/>
                <w:color w:val="auto"/>
                <w:kern w:val="0"/>
                <w:sz w:val="21"/>
                <w:szCs w:val="21"/>
                <w:highlight w:val="none"/>
                <w:u w:val="none"/>
                <w:lang w:val="en-US" w:eastAsia="zh-CN" w:bidi="ar"/>
              </w:rPr>
              <w:t>防浪涌</w:t>
            </w:r>
            <w:r>
              <w:rPr>
                <w:rFonts w:hint="eastAsia" w:ascii="宋体" w:hAnsi="宋体" w:eastAsia="宋体" w:cs="宋体"/>
                <w:b w:val="0"/>
                <w:bCs w:val="0"/>
                <w:color w:val="auto"/>
                <w:sz w:val="21"/>
                <w:szCs w:val="21"/>
                <w:highlight w:val="none"/>
                <w:lang w:val="en-US" w:eastAsia="zh-CN" w:bidi="ar"/>
              </w:rPr>
              <w:t>要求</w:t>
            </w:r>
            <w:r>
              <w:rPr>
                <w:rFonts w:hint="eastAsia" w:ascii="宋体" w:hAnsi="宋体" w:eastAsia="宋体" w:cs="宋体"/>
                <w:b w:val="0"/>
                <w:bCs w:val="0"/>
                <w:color w:val="auto"/>
                <w:sz w:val="21"/>
                <w:szCs w:val="21"/>
                <w:highlight w:val="none"/>
                <w:lang w:eastAsia="zh-CN" w:bidi="ar"/>
              </w:rPr>
              <w:t>。</w:t>
            </w:r>
          </w:p>
          <w:p w14:paraId="5138EBC3">
            <w:pPr>
              <w:pStyle w:val="15"/>
              <w:keepNext w:val="0"/>
              <w:keepLines w:val="0"/>
              <w:pageBreakBefore w:val="0"/>
              <w:kinsoku/>
              <w:wordWrap/>
              <w:overflowPunct/>
              <w:topLinePunct w:val="0"/>
              <w:autoSpaceDE/>
              <w:autoSpaceDN/>
              <w:bidi w:val="0"/>
              <w:adjustRightInd/>
              <w:snapToGrid/>
              <w:spacing w:line="400" w:lineRule="exact"/>
              <w:ind w:left="0"/>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16.防护等级：≥IP67。提供所投产品的检测报告原件关键页扫描件（依据GB/T 15211-2013或GA/T 1127-2013或</w:t>
            </w:r>
            <w:r>
              <w:rPr>
                <w:rFonts w:hint="eastAsia" w:ascii="宋体" w:hAnsi="宋体" w:eastAsia="宋体" w:cs="宋体"/>
                <w:b w:val="0"/>
                <w:bCs w:val="0"/>
                <w:color w:val="auto"/>
                <w:sz w:val="21"/>
                <w:szCs w:val="21"/>
                <w:highlight w:val="none"/>
              </w:rPr>
              <w:t>GB/T4208-2017标准</w:t>
            </w:r>
            <w:r>
              <w:rPr>
                <w:rFonts w:hint="eastAsia" w:ascii="宋体" w:hAnsi="宋体" w:eastAsia="宋体" w:cs="宋体"/>
                <w:b w:val="0"/>
                <w:bCs w:val="0"/>
                <w:i w:val="0"/>
                <w:iCs w:val="0"/>
                <w:color w:val="auto"/>
                <w:kern w:val="0"/>
                <w:sz w:val="21"/>
                <w:szCs w:val="21"/>
                <w:highlight w:val="none"/>
                <w:u w:val="none"/>
                <w:lang w:val="en-US" w:eastAsia="zh-CN" w:bidi="ar"/>
              </w:rPr>
              <w:t>）等相关现行国家标准）。</w:t>
            </w:r>
          </w:p>
          <w:p w14:paraId="364CA00D">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★17.具备POE供电功能。提供原厂公开技术文档（白皮书、彩页、官网规格页截图及链接地址均可）。</w:t>
            </w:r>
          </w:p>
          <w:p w14:paraId="68ABA7A9">
            <w:pPr>
              <w:keepNext w:val="0"/>
              <w:keepLines w:val="0"/>
              <w:pageBreakBefore w:val="0"/>
              <w:kinsoku/>
              <w:wordWrap/>
              <w:overflowPunct/>
              <w:topLinePunct w:val="0"/>
              <w:autoSpaceDE/>
              <w:autoSpaceDN/>
              <w:bidi w:val="0"/>
              <w:adjustRightInd/>
              <w:snapToGrid/>
              <w:spacing w:beforeAutospacing="0" w:afterAutospacing="0" w:line="400" w:lineRule="exact"/>
              <w:ind w:left="0" w:leftChars="0" w:right="0" w:rightChars="0"/>
              <w:rPr>
                <w:rFonts w:hint="eastAsia" w:asciiTheme="minorEastAsia" w:hAnsiTheme="minorEastAsia" w:eastAsiaTheme="minorEastAsia" w:cstheme="minorEastAsia"/>
                <w:color w:val="auto"/>
                <w:sz w:val="21"/>
                <w:szCs w:val="21"/>
                <w:vertAlign w:val="baseline"/>
                <w:lang w:val="en-US" w:eastAsia="zh-CN"/>
              </w:rPr>
            </w:pPr>
            <w:r>
              <w:rPr>
                <w:rFonts w:hint="eastAsia" w:ascii="宋体" w:hAnsi="宋体" w:eastAsia="宋体" w:cs="宋体"/>
                <w:b w:val="0"/>
                <w:bCs w:val="0"/>
                <w:color w:val="auto"/>
                <w:sz w:val="21"/>
                <w:szCs w:val="21"/>
                <w:highlight w:val="none"/>
                <w:lang w:val="en-US" w:eastAsia="zh-CN"/>
              </w:rPr>
              <w:t>注：</w:t>
            </w:r>
            <w:r>
              <w:rPr>
                <w:rFonts w:hint="eastAsia" w:ascii="宋体" w:hAnsi="宋体" w:eastAsia="宋体" w:cs="宋体"/>
                <w:b w:val="0"/>
                <w:bCs w:val="0"/>
                <w:i w:val="0"/>
                <w:iCs w:val="0"/>
                <w:color w:val="auto"/>
                <w:kern w:val="0"/>
                <w:sz w:val="21"/>
                <w:szCs w:val="21"/>
                <w:highlight w:val="none"/>
                <w:u w:val="none"/>
                <w:lang w:val="en-US" w:eastAsia="zh-CN" w:bidi="ar"/>
              </w:rPr>
              <w:t>提供检测报告的，按第四章商务要求（其他要求的第2条）中明确的要求、提供相关佐证材料。</w:t>
            </w:r>
          </w:p>
        </w:tc>
      </w:tr>
      <w:tr w14:paraId="539DC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vAlign w:val="center"/>
          </w:tcPr>
          <w:p w14:paraId="3B37754B">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i w:val="0"/>
                <w:iCs w:val="0"/>
                <w:color w:val="auto"/>
                <w:kern w:val="0"/>
                <w:sz w:val="21"/>
                <w:szCs w:val="21"/>
                <w:u w:val="none"/>
                <w:lang w:val="en-US" w:eastAsia="zh-CN" w:bidi="ar"/>
              </w:rPr>
              <w:t>14</w:t>
            </w:r>
          </w:p>
        </w:tc>
        <w:tc>
          <w:tcPr>
            <w:tcW w:w="1350" w:type="dxa"/>
            <w:vAlign w:val="center"/>
          </w:tcPr>
          <w:p w14:paraId="65E6A18E">
            <w:pPr>
              <w:pStyle w:val="18"/>
              <w:pageBreakBefore w:val="0"/>
              <w:wordWrap/>
              <w:topLinePunct w:val="0"/>
              <w:bidi w:val="0"/>
              <w:spacing w:beforeAutospacing="0" w:afterAutospacing="0" w:line="400" w:lineRule="exact"/>
              <w:ind w:left="0" w:leftChars="0" w:right="0" w:rightChars="0" w:firstLine="0" w:firstLineChars="0"/>
              <w:jc w:val="center"/>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i w:val="0"/>
                <w:iCs w:val="0"/>
                <w:color w:val="auto"/>
                <w:kern w:val="0"/>
                <w:sz w:val="21"/>
                <w:szCs w:val="21"/>
                <w:u w:val="none"/>
                <w:lang w:val="en-US" w:eastAsia="zh-CN" w:bidi="ar"/>
              </w:rPr>
              <w:t>防油污摄像机支架</w:t>
            </w:r>
          </w:p>
        </w:tc>
        <w:tc>
          <w:tcPr>
            <w:tcW w:w="7009" w:type="dxa"/>
          </w:tcPr>
          <w:p w14:paraId="0A45CA02">
            <w:pPr>
              <w:keepNext w:val="0"/>
              <w:keepLines w:val="0"/>
              <w:pageBreakBefore w:val="0"/>
              <w:kinsoku/>
              <w:wordWrap/>
              <w:overflowPunct/>
              <w:topLinePunct w:val="0"/>
              <w:autoSpaceDE/>
              <w:autoSpaceDN/>
              <w:bidi w:val="0"/>
              <w:adjustRightInd/>
              <w:snapToGrid/>
              <w:spacing w:beforeAutospacing="0" w:afterAutospacing="0" w:line="400" w:lineRule="exact"/>
              <w:ind w:left="0" w:leftChars="0" w:right="0" w:rightChars="0"/>
              <w:rPr>
                <w:rFonts w:hint="eastAsia" w:asciiTheme="minorEastAsia" w:hAnsiTheme="minorEastAsia" w:eastAsiaTheme="minorEastAsia" w:cstheme="minorEastAsia"/>
                <w:color w:val="auto"/>
                <w:sz w:val="21"/>
                <w:szCs w:val="21"/>
                <w:vertAlign w:val="baseline"/>
                <w:lang w:val="en-US" w:eastAsia="zh-CN"/>
              </w:rPr>
            </w:pPr>
            <w:r>
              <w:rPr>
                <w:rFonts w:hint="eastAsia" w:ascii="宋体" w:hAnsi="宋体" w:eastAsia="宋体" w:cs="宋体"/>
                <w:i w:val="0"/>
                <w:iCs w:val="0"/>
                <w:color w:val="auto"/>
                <w:kern w:val="0"/>
                <w:sz w:val="21"/>
                <w:szCs w:val="21"/>
                <w:highlight w:val="none"/>
                <w:u w:val="none"/>
                <w:lang w:val="en-US" w:eastAsia="zh-CN" w:bidi="ar"/>
              </w:rPr>
              <w:t>材质铝合金或白钢支架，满足吊装/壁装多种场景。</w:t>
            </w:r>
          </w:p>
        </w:tc>
      </w:tr>
      <w:tr w14:paraId="7BE44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vAlign w:val="center"/>
          </w:tcPr>
          <w:p w14:paraId="18A61382">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i w:val="0"/>
                <w:iCs w:val="0"/>
                <w:color w:val="auto"/>
                <w:kern w:val="0"/>
                <w:sz w:val="21"/>
                <w:szCs w:val="21"/>
                <w:u w:val="none"/>
                <w:lang w:val="en-US" w:eastAsia="zh-CN" w:bidi="ar"/>
              </w:rPr>
              <w:t>15</w:t>
            </w:r>
          </w:p>
        </w:tc>
        <w:tc>
          <w:tcPr>
            <w:tcW w:w="1350" w:type="dxa"/>
            <w:vAlign w:val="center"/>
          </w:tcPr>
          <w:p w14:paraId="7124A1BF">
            <w:pPr>
              <w:pStyle w:val="18"/>
              <w:pageBreakBefore w:val="0"/>
              <w:wordWrap/>
              <w:topLinePunct w:val="0"/>
              <w:bidi w:val="0"/>
              <w:spacing w:beforeAutospacing="0" w:afterAutospacing="0" w:line="400" w:lineRule="exact"/>
              <w:ind w:left="0" w:leftChars="0" w:right="0" w:rightChars="0" w:firstLine="0" w:firstLineChars="0"/>
              <w:jc w:val="center"/>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i w:val="0"/>
                <w:iCs w:val="0"/>
                <w:color w:val="auto"/>
                <w:kern w:val="0"/>
                <w:sz w:val="21"/>
                <w:szCs w:val="21"/>
                <w:u w:val="none"/>
                <w:lang w:val="en-US" w:eastAsia="zh-CN" w:bidi="ar"/>
              </w:rPr>
              <w:t>高清网络电梯专用摄像机</w:t>
            </w:r>
          </w:p>
        </w:tc>
        <w:tc>
          <w:tcPr>
            <w:tcW w:w="7009" w:type="dxa"/>
          </w:tcPr>
          <w:p w14:paraId="0AF6C5C6">
            <w:pPr>
              <w:keepNext w:val="0"/>
              <w:keepLines w:val="0"/>
              <w:pageBreakBefore w:val="0"/>
              <w:widowControl/>
              <w:numPr>
                <w:ilvl w:val="0"/>
                <w:numId w:val="0"/>
              </w:numPr>
              <w:kinsoku/>
              <w:wordWrap/>
              <w:overflowPunct/>
              <w:topLinePunct w:val="0"/>
              <w:autoSpaceDE/>
              <w:autoSpaceDN/>
              <w:bidi w:val="0"/>
              <w:adjustRightInd/>
              <w:snapToGrid/>
              <w:spacing w:line="400" w:lineRule="exact"/>
              <w:ind w:left="0"/>
              <w:jc w:val="left"/>
              <w:textAlignment w:val="auto"/>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color w:val="auto"/>
                <w:kern w:val="0"/>
                <w:sz w:val="21"/>
                <w:szCs w:val="21"/>
                <w:highlight w:val="none"/>
                <w:lang w:val="en-US" w:eastAsia="zh-CN"/>
              </w:rPr>
              <w:t>1.</w:t>
            </w:r>
            <w:r>
              <w:rPr>
                <w:rFonts w:hint="eastAsia" w:ascii="宋体" w:hAnsi="宋体" w:eastAsia="宋体" w:cs="宋体"/>
                <w:b w:val="0"/>
                <w:bCs w:val="0"/>
                <w:color w:val="auto"/>
                <w:kern w:val="0"/>
                <w:sz w:val="21"/>
                <w:szCs w:val="21"/>
                <w:highlight w:val="none"/>
              </w:rPr>
              <w:t>传感器：≥1/</w:t>
            </w:r>
            <w:r>
              <w:rPr>
                <w:rFonts w:hint="eastAsia" w:ascii="宋体" w:hAnsi="宋体" w:eastAsia="宋体" w:cs="宋体"/>
                <w:b w:val="0"/>
                <w:bCs w:val="0"/>
                <w:color w:val="auto"/>
                <w:kern w:val="0"/>
                <w:sz w:val="21"/>
                <w:szCs w:val="21"/>
                <w:highlight w:val="none"/>
                <w:lang w:val="en-US" w:eastAsia="zh-CN"/>
              </w:rPr>
              <w:t>3</w:t>
            </w:r>
            <w:r>
              <w:rPr>
                <w:rFonts w:hint="eastAsia" w:ascii="宋体" w:hAnsi="宋体" w:eastAsia="宋体" w:cs="宋体"/>
                <w:b w:val="0"/>
                <w:bCs w:val="0"/>
                <w:color w:val="auto"/>
                <w:kern w:val="0"/>
                <w:sz w:val="21"/>
                <w:szCs w:val="21"/>
                <w:highlight w:val="none"/>
              </w:rPr>
              <w:t>英寸CMOS传感器。</w:t>
            </w:r>
            <w:r>
              <w:rPr>
                <w:rFonts w:hint="eastAsia" w:ascii="宋体" w:hAnsi="宋体" w:eastAsia="宋体" w:cs="宋体"/>
                <w:b w:val="0"/>
                <w:bCs w:val="0"/>
                <w:i w:val="0"/>
                <w:iCs w:val="0"/>
                <w:color w:val="auto"/>
                <w:kern w:val="0"/>
                <w:sz w:val="21"/>
                <w:szCs w:val="21"/>
                <w:highlight w:val="none"/>
                <w:u w:val="none"/>
                <w:lang w:val="en-US" w:eastAsia="zh-CN" w:bidi="ar"/>
              </w:rPr>
              <w:t>提供原厂公开技术文档（白皮书、彩页、官网规格页截图及链接地址）</w:t>
            </w:r>
          </w:p>
          <w:p w14:paraId="2F545C12">
            <w:pPr>
              <w:keepNext w:val="0"/>
              <w:keepLines w:val="0"/>
              <w:pageBreakBefore w:val="0"/>
              <w:widowControl/>
              <w:numPr>
                <w:ilvl w:val="0"/>
                <w:numId w:val="0"/>
              </w:numPr>
              <w:kinsoku/>
              <w:wordWrap/>
              <w:overflowPunct/>
              <w:topLinePunct w:val="0"/>
              <w:autoSpaceDE/>
              <w:autoSpaceDN/>
              <w:bidi w:val="0"/>
              <w:adjustRightInd/>
              <w:snapToGrid/>
              <w:spacing w:line="400" w:lineRule="exact"/>
              <w:ind w:left="0"/>
              <w:jc w:val="left"/>
              <w:textAlignment w:val="auto"/>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color w:val="auto"/>
                <w:kern w:val="0"/>
                <w:sz w:val="21"/>
                <w:szCs w:val="21"/>
                <w:highlight w:val="none"/>
              </w:rPr>
              <w:t>★</w:t>
            </w:r>
            <w:r>
              <w:rPr>
                <w:rFonts w:hint="eastAsia" w:ascii="宋体" w:hAnsi="宋体" w:eastAsia="宋体" w:cs="宋体"/>
                <w:b w:val="0"/>
                <w:bCs w:val="0"/>
                <w:color w:val="auto"/>
                <w:kern w:val="0"/>
                <w:sz w:val="21"/>
                <w:szCs w:val="21"/>
                <w:highlight w:val="none"/>
                <w:lang w:val="en-US" w:eastAsia="zh-CN"/>
              </w:rPr>
              <w:t>2.</w:t>
            </w:r>
            <w:r>
              <w:rPr>
                <w:rFonts w:hint="eastAsia" w:ascii="宋体" w:hAnsi="宋体" w:eastAsia="宋体" w:cs="宋体"/>
                <w:b w:val="0"/>
                <w:bCs w:val="0"/>
                <w:i w:val="0"/>
                <w:iCs w:val="0"/>
                <w:color w:val="auto"/>
                <w:kern w:val="0"/>
                <w:sz w:val="21"/>
                <w:szCs w:val="21"/>
                <w:highlight w:val="none"/>
                <w:u w:val="none"/>
                <w:lang w:val="en-US" w:eastAsia="zh-CN" w:bidi="ar"/>
              </w:rPr>
              <w:t>像素≥400万或最大分辨率≥2560×1440。提供所投产品的检测报告原件关键页扫描件（依据标准GA/T 1127-2013等现行国家标准）。</w:t>
            </w:r>
          </w:p>
          <w:p w14:paraId="312FCAFC">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★3.具备H.265、H.264、MJPEG视频编码格式，音频编码：G.711、AAC。提供原厂公开技术文档（白皮书、彩页、官网规格页截图及链接地址）。</w:t>
            </w:r>
          </w:p>
          <w:p w14:paraId="675C0F76">
            <w:pPr>
              <w:keepNext w:val="0"/>
              <w:keepLines w:val="0"/>
              <w:pageBreakBefore w:val="0"/>
              <w:widowControl/>
              <w:numPr>
                <w:ilvl w:val="0"/>
                <w:numId w:val="0"/>
              </w:numPr>
              <w:kinsoku/>
              <w:wordWrap/>
              <w:overflowPunct/>
              <w:topLinePunct w:val="0"/>
              <w:autoSpaceDE/>
              <w:autoSpaceDN/>
              <w:bidi w:val="0"/>
              <w:adjustRightInd/>
              <w:snapToGrid/>
              <w:spacing w:line="400" w:lineRule="exact"/>
              <w:ind w:left="0"/>
              <w:jc w:val="left"/>
              <w:textAlignment w:val="auto"/>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★4.具备最低照度彩色不劣于0.005Lux，黑白不劣于0.0005Lux。提供第三方机构出具的具有CMA标志的检测报告（依据标准</w:t>
            </w:r>
            <w:r>
              <w:rPr>
                <w:rFonts w:hint="eastAsia" w:ascii="宋体" w:hAnsi="宋体" w:eastAsia="宋体" w:cs="宋体"/>
                <w:b w:val="0"/>
                <w:bCs w:val="0"/>
                <w:i w:val="0"/>
                <w:iCs w:val="0"/>
                <w:color w:val="auto"/>
                <w:kern w:val="0"/>
                <w:sz w:val="21"/>
                <w:szCs w:val="21"/>
                <w:highlight w:val="none"/>
                <w:u w:val="none"/>
                <w:lang w:val="en-US" w:eastAsia="zh-CN" w:bidi="ar"/>
              </w:rPr>
              <w:t>GA/T 1127-2013或</w:t>
            </w:r>
            <w:r>
              <w:rPr>
                <w:rFonts w:hint="eastAsia" w:ascii="宋体" w:hAnsi="宋体" w:eastAsia="宋体" w:cs="宋体"/>
                <w:b w:val="0"/>
                <w:bCs w:val="0"/>
                <w:i w:val="0"/>
                <w:iCs w:val="0"/>
                <w:color w:val="auto"/>
                <w:sz w:val="21"/>
                <w:szCs w:val="21"/>
                <w:highlight w:val="none"/>
                <w:u w:val="none"/>
                <w:lang w:val="en-US" w:eastAsia="zh-CN" w:bidi="ar"/>
              </w:rPr>
              <w:t>GB 16796-2022</w:t>
            </w:r>
            <w:r>
              <w:rPr>
                <w:rFonts w:hint="eastAsia" w:ascii="宋体" w:hAnsi="宋体" w:eastAsia="宋体" w:cs="宋体"/>
                <w:b w:val="0"/>
                <w:bCs w:val="0"/>
                <w:color w:val="auto"/>
                <w:sz w:val="21"/>
                <w:szCs w:val="21"/>
                <w:highlight w:val="none"/>
                <w:u w:val="none"/>
                <w:lang w:bidi="ar"/>
              </w:rPr>
              <w:t>或GB/T 15211-2013</w:t>
            </w:r>
            <w:r>
              <w:rPr>
                <w:rFonts w:hint="eastAsia" w:ascii="宋体" w:hAnsi="宋体" w:eastAsia="宋体" w:cs="宋体"/>
                <w:b w:val="0"/>
                <w:bCs w:val="0"/>
                <w:i w:val="0"/>
                <w:iCs w:val="0"/>
                <w:color w:val="auto"/>
                <w:sz w:val="21"/>
                <w:szCs w:val="21"/>
                <w:highlight w:val="none"/>
                <w:u w:val="none"/>
                <w:lang w:val="en-US" w:eastAsia="zh-CN" w:bidi="ar"/>
              </w:rPr>
              <w:t>等现行国家标准）</w:t>
            </w:r>
            <w:r>
              <w:rPr>
                <w:rFonts w:hint="eastAsia" w:ascii="宋体" w:hAnsi="宋体" w:eastAsia="宋体" w:cs="宋体"/>
                <w:b w:val="0"/>
                <w:bCs w:val="0"/>
                <w:color w:val="auto"/>
                <w:sz w:val="21"/>
                <w:szCs w:val="21"/>
                <w:highlight w:val="none"/>
                <w:u w:val="none"/>
                <w:lang w:val="en-US" w:eastAsia="zh-CN" w:bidi="ar"/>
              </w:rPr>
              <w:t>。</w:t>
            </w:r>
            <w:r>
              <w:rPr>
                <w:rFonts w:hint="eastAsia" w:ascii="宋体" w:hAnsi="宋体" w:eastAsia="宋体" w:cs="宋体"/>
                <w:b w:val="0"/>
                <w:bCs w:val="0"/>
                <w:color w:val="auto"/>
                <w:kern w:val="0"/>
                <w:sz w:val="21"/>
                <w:szCs w:val="21"/>
                <w:highlight w:val="none"/>
              </w:rPr>
              <w:br w:type="textWrapping"/>
            </w:r>
            <w:r>
              <w:rPr>
                <w:rFonts w:hint="eastAsia" w:ascii="宋体" w:hAnsi="宋体" w:eastAsia="宋体" w:cs="宋体"/>
                <w:b w:val="0"/>
                <w:bCs w:val="0"/>
                <w:color w:val="auto"/>
                <w:kern w:val="0"/>
                <w:sz w:val="21"/>
                <w:szCs w:val="21"/>
                <w:highlight w:val="none"/>
                <w:lang w:val="en-US" w:eastAsia="zh-CN"/>
              </w:rPr>
              <w:t>5.</w:t>
            </w:r>
            <w:r>
              <w:rPr>
                <w:rFonts w:hint="eastAsia" w:ascii="宋体" w:hAnsi="宋体" w:eastAsia="宋体" w:cs="宋体"/>
                <w:b w:val="0"/>
                <w:bCs w:val="0"/>
                <w:i w:val="0"/>
                <w:iCs w:val="0"/>
                <w:color w:val="auto"/>
                <w:kern w:val="0"/>
                <w:sz w:val="21"/>
                <w:szCs w:val="21"/>
                <w:highlight w:val="none"/>
                <w:u w:val="none"/>
                <w:lang w:val="en-US" w:eastAsia="zh-CN" w:bidi="ar"/>
              </w:rPr>
              <w:t>具备智能红外功能，智能红外补光距离（识别距离）≥10米。提供所投产品的检测报告原件关键页扫描件（依据标准GA/T 1127-2013等现行国家标准）。</w:t>
            </w:r>
          </w:p>
          <w:p w14:paraId="437D8DC8">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b w:val="0"/>
                <w:bCs w:val="0"/>
                <w:color w:val="auto"/>
                <w:kern w:val="0"/>
                <w:sz w:val="21"/>
                <w:szCs w:val="21"/>
                <w:highlight w:val="none"/>
                <w:lang w:val="en-US" w:eastAsia="zh-CN"/>
              </w:rPr>
              <w:t>6.</w:t>
            </w:r>
            <w:r>
              <w:rPr>
                <w:rFonts w:hint="eastAsia" w:ascii="宋体" w:hAnsi="宋体" w:eastAsia="宋体" w:cs="宋体"/>
                <w:i w:val="0"/>
                <w:iCs w:val="0"/>
                <w:color w:val="auto"/>
                <w:kern w:val="0"/>
                <w:sz w:val="21"/>
                <w:szCs w:val="21"/>
                <w:highlight w:val="none"/>
                <w:u w:val="none"/>
                <w:lang w:val="en-US" w:eastAsia="zh-CN" w:bidi="ar"/>
              </w:rPr>
              <w:t>视场角：水平：≥102°；垂直：≥54°；对角：≥121°。</w:t>
            </w:r>
          </w:p>
          <w:p w14:paraId="5CE7E8B4">
            <w:pPr>
              <w:keepNext w:val="0"/>
              <w:keepLines w:val="0"/>
              <w:pageBreakBefore w:val="0"/>
              <w:widowControl/>
              <w:numPr>
                <w:ilvl w:val="0"/>
                <w:numId w:val="0"/>
              </w:numPr>
              <w:kinsoku/>
              <w:wordWrap/>
              <w:overflowPunct/>
              <w:topLinePunct w:val="0"/>
              <w:autoSpaceDE/>
              <w:autoSpaceDN/>
              <w:bidi w:val="0"/>
              <w:adjustRightInd/>
              <w:snapToGrid/>
              <w:spacing w:line="400" w:lineRule="exact"/>
              <w:ind w:left="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★7.对电瓶车进入电梯触发检测、抓拍并联动声光报警。提供承诺函或提供原厂公开技术文档（白皮书、彩页、官网规格页截图及链接地址均可）。</w:t>
            </w:r>
          </w:p>
          <w:p w14:paraId="08CBF00D">
            <w:pPr>
              <w:pStyle w:val="18"/>
              <w:keepNext w:val="0"/>
              <w:keepLines w:val="0"/>
              <w:pageBreakBefore w:val="0"/>
              <w:kinsoku/>
              <w:wordWrap/>
              <w:overflowPunct/>
              <w:topLinePunct w:val="0"/>
              <w:autoSpaceDE/>
              <w:autoSpaceDN/>
              <w:bidi w:val="0"/>
              <w:adjustRightInd/>
              <w:snapToGrid/>
              <w:spacing w:line="400" w:lineRule="exact"/>
              <w:ind w:left="0" w:leftChars="0"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8.监控画面可正确显示当前楼层。</w:t>
            </w:r>
            <w:r>
              <w:rPr>
                <w:rFonts w:hint="eastAsia" w:ascii="宋体" w:hAnsi="宋体" w:eastAsia="宋体" w:cs="宋体"/>
                <w:b/>
                <w:bCs/>
                <w:color w:val="auto"/>
                <w:kern w:val="0"/>
                <w:sz w:val="21"/>
                <w:szCs w:val="21"/>
                <w:highlight w:val="none"/>
                <w:lang w:val="en-US" w:eastAsia="zh-CN" w:bidi="ar"/>
              </w:rPr>
              <w:t>提供原厂公开技术文档（白皮书、彩页、官网规格页截图及链接地址均可）。</w:t>
            </w:r>
          </w:p>
          <w:p w14:paraId="68DA090C">
            <w:pPr>
              <w:keepNext w:val="0"/>
              <w:keepLines w:val="0"/>
              <w:pageBreakBefore w:val="0"/>
              <w:widowControl/>
              <w:numPr>
                <w:ilvl w:val="0"/>
                <w:numId w:val="0"/>
              </w:numPr>
              <w:kinsoku/>
              <w:wordWrap/>
              <w:overflowPunct/>
              <w:topLinePunct w:val="0"/>
              <w:autoSpaceDE/>
              <w:autoSpaceDN/>
              <w:bidi w:val="0"/>
              <w:adjustRightInd/>
              <w:snapToGrid/>
              <w:spacing w:line="400" w:lineRule="exact"/>
              <w:ind w:left="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★9.内置MIC和扬声器。提供承诺函或提供承诺函或提供原厂公开技术文档（白皮书、彩页、官网规格页截图及链接地址均可）。</w:t>
            </w:r>
          </w:p>
          <w:p w14:paraId="35671593">
            <w:pPr>
              <w:keepNext w:val="0"/>
              <w:keepLines w:val="0"/>
              <w:pageBreakBefore w:val="0"/>
              <w:widowControl/>
              <w:numPr>
                <w:ilvl w:val="0"/>
                <w:numId w:val="0"/>
              </w:numPr>
              <w:kinsoku/>
              <w:wordWrap/>
              <w:overflowPunct/>
              <w:topLinePunct w:val="0"/>
              <w:autoSpaceDE/>
              <w:autoSpaceDN/>
              <w:bidi w:val="0"/>
              <w:adjustRightInd/>
              <w:snapToGrid/>
              <w:spacing w:line="400" w:lineRule="exact"/>
              <w:ind w:left="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10.</w:t>
            </w:r>
            <w:r>
              <w:rPr>
                <w:rFonts w:hint="eastAsia" w:ascii="宋体" w:hAnsi="宋体" w:eastAsia="宋体" w:cs="宋体"/>
                <w:i w:val="0"/>
                <w:iCs w:val="0"/>
                <w:color w:val="auto"/>
                <w:kern w:val="0"/>
                <w:sz w:val="21"/>
                <w:szCs w:val="21"/>
                <w:highlight w:val="none"/>
                <w:u w:val="none"/>
                <w:lang w:val="en-US" w:eastAsia="zh-CN" w:bidi="ar"/>
              </w:rPr>
              <w:t>报警事件：无SD卡；SD卡空间不足；SD卡出错；网络断开；IP冲突；非法访问；动态检测；视频遮挡；场景变更；音频异常侦测；电压检测；外部报警；安全异常。</w:t>
            </w:r>
          </w:p>
          <w:p w14:paraId="01783100">
            <w:pPr>
              <w:keepNext w:val="0"/>
              <w:keepLines w:val="0"/>
              <w:pageBreakBefore w:val="0"/>
              <w:widowControl/>
              <w:numPr>
                <w:ilvl w:val="0"/>
                <w:numId w:val="0"/>
              </w:numPr>
              <w:kinsoku/>
              <w:wordWrap/>
              <w:overflowPunct/>
              <w:topLinePunct w:val="0"/>
              <w:autoSpaceDE/>
              <w:autoSpaceDN/>
              <w:bidi w:val="0"/>
              <w:adjustRightInd/>
              <w:snapToGrid/>
              <w:spacing w:line="400" w:lineRule="exact"/>
              <w:ind w:left="0"/>
              <w:jc w:val="left"/>
              <w:textAlignment w:val="auto"/>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lang w:val="en-US" w:eastAsia="zh-CN"/>
              </w:rPr>
              <w:t>11.</w:t>
            </w:r>
            <w:r>
              <w:rPr>
                <w:rFonts w:hint="eastAsia" w:ascii="宋体" w:hAnsi="宋体" w:eastAsia="宋体" w:cs="宋体"/>
                <w:b w:val="0"/>
                <w:bCs w:val="0"/>
                <w:i w:val="0"/>
                <w:iCs w:val="0"/>
                <w:color w:val="auto"/>
                <w:kern w:val="0"/>
                <w:sz w:val="21"/>
                <w:szCs w:val="21"/>
                <w:highlight w:val="none"/>
                <w:u w:val="none"/>
                <w:lang w:val="en-US" w:eastAsia="zh-CN" w:bidi="ar"/>
              </w:rPr>
              <w:t>宽动态能力综合得分≥80。提供所投产品</w:t>
            </w:r>
            <w:r>
              <w:rPr>
                <w:rFonts w:hint="eastAsia" w:ascii="宋体" w:hAnsi="宋体" w:eastAsia="宋体" w:cs="宋体"/>
                <w:b w:val="0"/>
                <w:bCs w:val="0"/>
                <w:color w:val="auto"/>
                <w:sz w:val="21"/>
                <w:szCs w:val="21"/>
                <w:highlight w:val="none"/>
                <w:u w:val="none"/>
                <w:lang w:bidi="ar"/>
              </w:rPr>
              <w:t>由具备有效CMA资质的检测机构出具的封面盖有CMA专用印章的检测报告原件关键页扫描件(</w:t>
            </w:r>
            <w:r>
              <w:rPr>
                <w:rFonts w:hint="eastAsia" w:ascii="宋体" w:hAnsi="宋体" w:eastAsia="宋体" w:cs="宋体"/>
                <w:b w:val="0"/>
                <w:bCs w:val="0"/>
                <w:i w:val="0"/>
                <w:iCs w:val="0"/>
                <w:color w:val="auto"/>
                <w:kern w:val="0"/>
                <w:sz w:val="21"/>
                <w:szCs w:val="21"/>
                <w:highlight w:val="none"/>
                <w:u w:val="none"/>
                <w:lang w:val="en-US" w:eastAsia="zh-CN" w:bidi="ar"/>
              </w:rPr>
              <w:t>依据标准GA/T 1127-2013等现行国家标准</w:t>
            </w:r>
            <w:r>
              <w:rPr>
                <w:rFonts w:hint="eastAsia" w:ascii="宋体" w:hAnsi="宋体" w:eastAsia="宋体" w:cs="宋体"/>
                <w:b w:val="0"/>
                <w:bCs w:val="0"/>
                <w:color w:val="auto"/>
                <w:sz w:val="21"/>
                <w:szCs w:val="21"/>
                <w:highlight w:val="none"/>
                <w:u w:val="none"/>
                <w:lang w:bidi="ar"/>
              </w:rPr>
              <w:t>）</w:t>
            </w:r>
            <w:r>
              <w:rPr>
                <w:rFonts w:hint="eastAsia" w:ascii="宋体" w:hAnsi="宋体" w:eastAsia="宋体" w:cs="宋体"/>
                <w:b w:val="0"/>
                <w:bCs w:val="0"/>
                <w:i w:val="0"/>
                <w:iCs w:val="0"/>
                <w:color w:val="auto"/>
                <w:kern w:val="0"/>
                <w:sz w:val="21"/>
                <w:szCs w:val="21"/>
                <w:highlight w:val="none"/>
                <w:u w:val="none"/>
                <w:lang w:val="en-US" w:eastAsia="zh-CN" w:bidi="ar"/>
              </w:rPr>
              <w:t>。</w:t>
            </w:r>
            <w:r>
              <w:rPr>
                <w:rFonts w:hint="eastAsia" w:ascii="宋体" w:hAnsi="宋体" w:eastAsia="宋体" w:cs="宋体"/>
                <w:b w:val="0"/>
                <w:bCs w:val="0"/>
                <w:color w:val="auto"/>
                <w:kern w:val="0"/>
                <w:sz w:val="21"/>
                <w:szCs w:val="21"/>
                <w:highlight w:val="none"/>
              </w:rPr>
              <w:br w:type="textWrapping"/>
            </w:r>
            <w:r>
              <w:rPr>
                <w:rFonts w:hint="eastAsia" w:ascii="宋体" w:hAnsi="宋体" w:eastAsia="宋体" w:cs="宋体"/>
                <w:b w:val="0"/>
                <w:bCs w:val="0"/>
                <w:color w:val="auto"/>
                <w:kern w:val="0"/>
                <w:sz w:val="21"/>
                <w:szCs w:val="21"/>
                <w:highlight w:val="none"/>
                <w:lang w:val="en-US" w:eastAsia="zh-CN"/>
              </w:rPr>
              <w:t>12.支持DC12V或</w:t>
            </w:r>
            <w:r>
              <w:rPr>
                <w:rFonts w:hint="eastAsia" w:ascii="宋体" w:hAnsi="宋体" w:eastAsia="宋体" w:cs="宋体"/>
                <w:b w:val="0"/>
                <w:bCs w:val="0"/>
                <w:color w:val="auto"/>
                <w:kern w:val="0"/>
                <w:sz w:val="21"/>
                <w:szCs w:val="21"/>
                <w:highlight w:val="none"/>
              </w:rPr>
              <w:t>POE供电功能。</w:t>
            </w:r>
          </w:p>
          <w:p w14:paraId="15633BBF">
            <w:pPr>
              <w:pStyle w:val="15"/>
              <w:keepNext w:val="0"/>
              <w:keepLines w:val="0"/>
              <w:pageBreakBefore w:val="0"/>
              <w:kinsoku/>
              <w:wordWrap/>
              <w:overflowPunct/>
              <w:topLinePunct w:val="0"/>
              <w:autoSpaceDE/>
              <w:autoSpaceDN/>
              <w:bidi w:val="0"/>
              <w:adjustRightInd/>
              <w:snapToGrid/>
              <w:spacing w:line="400" w:lineRule="exact"/>
              <w:ind w:left="0"/>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color w:val="auto"/>
                <w:sz w:val="21"/>
                <w:szCs w:val="21"/>
                <w:highlight w:val="none"/>
                <w:lang w:val="en-US" w:eastAsia="zh-CN" w:bidi="ar"/>
              </w:rPr>
              <w:t>13.</w:t>
            </w:r>
            <w:r>
              <w:rPr>
                <w:rFonts w:hint="eastAsia" w:ascii="宋体" w:hAnsi="宋体" w:eastAsia="宋体" w:cs="宋体"/>
                <w:b w:val="0"/>
                <w:bCs w:val="0"/>
                <w:i w:val="0"/>
                <w:iCs w:val="0"/>
                <w:color w:val="auto"/>
                <w:kern w:val="0"/>
                <w:sz w:val="21"/>
                <w:szCs w:val="21"/>
                <w:highlight w:val="none"/>
                <w:u w:val="none"/>
                <w:lang w:val="en-US" w:eastAsia="zh-CN" w:bidi="ar"/>
              </w:rPr>
              <w:t>提供SD或TF卡槽。承诺可通过加装安全加密卡对接公安视频数据加密平台、实现安全升级以符合GB35114A级标准对前端面摄像机基于数字证书的双向身份认证功能，提供承诺函（格式自拟）。</w:t>
            </w:r>
          </w:p>
          <w:p w14:paraId="04684A51">
            <w:pPr>
              <w:keepNext w:val="0"/>
              <w:keepLines w:val="0"/>
              <w:pageBreakBefore w:val="0"/>
              <w:widowControl/>
              <w:numPr>
                <w:ilvl w:val="0"/>
                <w:numId w:val="0"/>
              </w:numPr>
              <w:kinsoku/>
              <w:wordWrap/>
              <w:overflowPunct/>
              <w:topLinePunct w:val="0"/>
              <w:autoSpaceDE/>
              <w:autoSpaceDN/>
              <w:bidi w:val="0"/>
              <w:adjustRightInd/>
              <w:snapToGrid/>
              <w:spacing w:line="400" w:lineRule="exact"/>
              <w:ind w:left="0"/>
              <w:jc w:val="left"/>
              <w:textAlignment w:val="auto"/>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lang w:val="en-US" w:eastAsia="zh-CN"/>
              </w:rPr>
              <w:t>14.</w:t>
            </w:r>
            <w:r>
              <w:rPr>
                <w:rFonts w:hint="eastAsia" w:ascii="宋体" w:hAnsi="宋体" w:eastAsia="宋体" w:cs="宋体"/>
                <w:b w:val="0"/>
                <w:bCs w:val="0"/>
                <w:color w:val="auto"/>
                <w:kern w:val="0"/>
                <w:sz w:val="21"/>
                <w:szCs w:val="21"/>
                <w:highlight w:val="none"/>
              </w:rPr>
              <w:t>接口：RJ45百兆以太网电口、音频输入/输出、报警输入/输出。</w:t>
            </w:r>
          </w:p>
          <w:p w14:paraId="467DE99E">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color w:val="auto"/>
                <w:sz w:val="21"/>
                <w:szCs w:val="21"/>
                <w:highlight w:val="none"/>
              </w:rPr>
            </w:pPr>
            <w:r>
              <w:rPr>
                <w:rFonts w:hint="eastAsia" w:ascii="宋体" w:hAnsi="宋体" w:eastAsia="宋体" w:cs="宋体"/>
                <w:b w:val="0"/>
                <w:bCs w:val="0"/>
                <w:i w:val="0"/>
                <w:iCs w:val="0"/>
                <w:color w:val="auto"/>
                <w:sz w:val="21"/>
                <w:szCs w:val="21"/>
                <w:highlight w:val="none"/>
                <w:u w:val="none"/>
                <w:lang w:val="en-US" w:eastAsia="zh-CN" w:bidi="ar"/>
              </w:rPr>
              <w:t>★15.符合GB/T 28181、Onvif、IPv4/IPv6协议标准。提供所投产品原厂公开技术文档（白皮书、彩页、官网规格页截图及链接地址）或提供承诺函（格式自拟）</w:t>
            </w:r>
            <w:r>
              <w:rPr>
                <w:rFonts w:hint="eastAsia" w:ascii="宋体" w:hAnsi="宋体" w:eastAsia="宋体" w:cs="宋体"/>
                <w:b w:val="0"/>
                <w:bCs w:val="0"/>
                <w:color w:val="auto"/>
                <w:sz w:val="21"/>
                <w:szCs w:val="21"/>
                <w:highlight w:val="none"/>
                <w:u w:val="none"/>
                <w:lang w:val="en-US" w:eastAsia="zh-CN" w:bidi="ar"/>
              </w:rPr>
              <w:t>。</w:t>
            </w:r>
          </w:p>
          <w:p w14:paraId="0178A621">
            <w:pPr>
              <w:keepNext w:val="0"/>
              <w:keepLines w:val="0"/>
              <w:pageBreakBefore w:val="0"/>
              <w:kinsoku/>
              <w:wordWrap/>
              <w:overflowPunct/>
              <w:topLinePunct w:val="0"/>
              <w:autoSpaceDE/>
              <w:autoSpaceDN/>
              <w:bidi w:val="0"/>
              <w:adjustRightInd/>
              <w:snapToGrid/>
              <w:spacing w:beforeAutospacing="0" w:afterAutospacing="0" w:line="400" w:lineRule="exact"/>
              <w:ind w:left="0" w:leftChars="0" w:right="0" w:rightChars="0"/>
              <w:rPr>
                <w:rFonts w:hint="eastAsia" w:asciiTheme="minorEastAsia" w:hAnsiTheme="minorEastAsia" w:eastAsiaTheme="minorEastAsia" w:cstheme="minorEastAsia"/>
                <w:color w:val="auto"/>
                <w:sz w:val="21"/>
                <w:szCs w:val="21"/>
                <w:vertAlign w:val="baseline"/>
                <w:lang w:val="en-US" w:eastAsia="zh-CN"/>
              </w:rPr>
            </w:pPr>
            <w:r>
              <w:rPr>
                <w:rFonts w:hint="eastAsia" w:ascii="宋体" w:hAnsi="宋体" w:eastAsia="宋体" w:cs="宋体"/>
                <w:b w:val="0"/>
                <w:bCs w:val="0"/>
                <w:color w:val="auto"/>
                <w:sz w:val="21"/>
                <w:szCs w:val="21"/>
                <w:highlight w:val="none"/>
                <w:lang w:val="en-US" w:eastAsia="zh-CN"/>
              </w:rPr>
              <w:t>注：</w:t>
            </w:r>
            <w:r>
              <w:rPr>
                <w:rFonts w:hint="eastAsia" w:ascii="宋体" w:hAnsi="宋体" w:eastAsia="宋体" w:cs="宋体"/>
                <w:b w:val="0"/>
                <w:bCs w:val="0"/>
                <w:i w:val="0"/>
                <w:iCs w:val="0"/>
                <w:color w:val="auto"/>
                <w:kern w:val="0"/>
                <w:sz w:val="21"/>
                <w:szCs w:val="21"/>
                <w:highlight w:val="none"/>
                <w:u w:val="none"/>
                <w:lang w:val="en-US" w:eastAsia="zh-CN" w:bidi="ar"/>
              </w:rPr>
              <w:t>提供检测报告的，按第四章商务要求（其他要求的第2条）中明确的要求、提供相关佐证材料。</w:t>
            </w:r>
          </w:p>
        </w:tc>
      </w:tr>
      <w:tr w14:paraId="6EB18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vAlign w:val="center"/>
          </w:tcPr>
          <w:p w14:paraId="18B85D32">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i w:val="0"/>
                <w:iCs w:val="0"/>
                <w:color w:val="auto"/>
                <w:kern w:val="0"/>
                <w:sz w:val="21"/>
                <w:szCs w:val="21"/>
                <w:u w:val="none"/>
                <w:lang w:val="en-US" w:eastAsia="zh-CN" w:bidi="ar"/>
              </w:rPr>
              <w:t>16</w:t>
            </w:r>
          </w:p>
        </w:tc>
        <w:tc>
          <w:tcPr>
            <w:tcW w:w="1350" w:type="dxa"/>
            <w:vAlign w:val="center"/>
          </w:tcPr>
          <w:p w14:paraId="42A8BCFA">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i w:val="0"/>
                <w:iCs w:val="0"/>
                <w:color w:val="auto"/>
                <w:kern w:val="0"/>
                <w:sz w:val="21"/>
                <w:szCs w:val="21"/>
                <w:u w:val="none"/>
                <w:lang w:val="en-US" w:eastAsia="zh-CN" w:bidi="ar"/>
              </w:rPr>
              <w:t>无线网桥</w:t>
            </w:r>
          </w:p>
        </w:tc>
        <w:tc>
          <w:tcPr>
            <w:tcW w:w="7009" w:type="dxa"/>
          </w:tcPr>
          <w:p w14:paraId="6893FF6A">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1.网桥网络接口：具备1个10/100Mbps自协商以太网上行口、1个10/100Mbps自协商以太网下行口。</w:t>
            </w:r>
          </w:p>
          <w:p w14:paraId="5245AB8C">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2.无线标准：不低于IEEE 802.11 b/g/n。</w:t>
            </w:r>
          </w:p>
          <w:p w14:paraId="3BB1FA62">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3.工作频率：2.4GHz - 2.484GHz。</w:t>
            </w:r>
          </w:p>
          <w:p w14:paraId="2F1159CF">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4.无线传输距离：≥200m。</w:t>
            </w:r>
          </w:p>
          <w:p w14:paraId="1B2A57D0">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5.整机最大无线传输速率≥300Mbps。</w:t>
            </w:r>
          </w:p>
          <w:p w14:paraId="6754E9B1">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6.数码显示屏：支持，可显示工作模式和信道等信息。</w:t>
            </w:r>
          </w:p>
          <w:p w14:paraId="02C90FD8">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7.拨码开关：1个，可通过拨码调整网桥工作模式。</w:t>
            </w:r>
          </w:p>
          <w:p w14:paraId="43968419">
            <w:pPr>
              <w:keepNext w:val="0"/>
              <w:keepLines w:val="0"/>
              <w:pageBreakBefore w:val="0"/>
              <w:kinsoku/>
              <w:wordWrap/>
              <w:overflowPunct/>
              <w:topLinePunct w:val="0"/>
              <w:autoSpaceDE/>
              <w:autoSpaceDN/>
              <w:bidi w:val="0"/>
              <w:adjustRightInd/>
              <w:snapToGrid/>
              <w:spacing w:beforeAutospacing="0" w:afterAutospacing="0" w:line="400" w:lineRule="exact"/>
              <w:ind w:left="0" w:leftChars="0" w:right="0" w:rightChars="0"/>
              <w:rPr>
                <w:rFonts w:hint="eastAsia" w:asciiTheme="minorEastAsia" w:hAnsiTheme="minorEastAsia" w:eastAsiaTheme="minorEastAsia" w:cstheme="minorEastAsia"/>
                <w:color w:val="auto"/>
                <w:sz w:val="21"/>
                <w:szCs w:val="21"/>
                <w:vertAlign w:val="baseline"/>
                <w:lang w:val="en-US" w:eastAsia="zh-CN"/>
              </w:rPr>
            </w:pPr>
            <w:r>
              <w:rPr>
                <w:rFonts w:hint="eastAsia" w:ascii="宋体" w:hAnsi="宋体" w:eastAsia="宋体" w:cs="宋体"/>
                <w:i w:val="0"/>
                <w:iCs w:val="0"/>
                <w:color w:val="auto"/>
                <w:kern w:val="0"/>
                <w:sz w:val="21"/>
                <w:szCs w:val="21"/>
                <w:highlight w:val="none"/>
                <w:u w:val="none"/>
                <w:lang w:val="en-US" w:eastAsia="zh-CN" w:bidi="ar"/>
              </w:rPr>
              <w:t>8.工作温度：-20℃～+55℃。</w:t>
            </w:r>
          </w:p>
        </w:tc>
      </w:tr>
      <w:tr w14:paraId="1C9B3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vAlign w:val="center"/>
          </w:tcPr>
          <w:p w14:paraId="126D4BA0">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i w:val="0"/>
                <w:iCs w:val="0"/>
                <w:color w:val="auto"/>
                <w:kern w:val="0"/>
                <w:sz w:val="21"/>
                <w:szCs w:val="21"/>
                <w:u w:val="none"/>
                <w:lang w:val="en-US" w:eastAsia="zh-CN" w:bidi="ar"/>
              </w:rPr>
              <w:t>17</w:t>
            </w:r>
          </w:p>
        </w:tc>
        <w:tc>
          <w:tcPr>
            <w:tcW w:w="1350" w:type="dxa"/>
            <w:vAlign w:val="center"/>
          </w:tcPr>
          <w:p w14:paraId="22BAE6DD">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i w:val="0"/>
                <w:iCs w:val="0"/>
                <w:color w:val="auto"/>
                <w:kern w:val="0"/>
                <w:sz w:val="21"/>
                <w:szCs w:val="21"/>
                <w:u w:val="none"/>
                <w:lang w:val="en-US" w:eastAsia="zh-CN" w:bidi="ar"/>
              </w:rPr>
              <w:t>智能球型摄像机</w:t>
            </w:r>
          </w:p>
        </w:tc>
        <w:tc>
          <w:tcPr>
            <w:tcW w:w="7009" w:type="dxa"/>
          </w:tcPr>
          <w:p w14:paraId="4AC58FDF">
            <w:pPr>
              <w:pStyle w:val="15"/>
              <w:keepNext w:val="0"/>
              <w:keepLines w:val="0"/>
              <w:pageBreakBefore w:val="0"/>
              <w:kinsoku/>
              <w:wordWrap/>
              <w:overflowPunct/>
              <w:topLinePunct w:val="0"/>
              <w:autoSpaceDE/>
              <w:autoSpaceDN/>
              <w:bidi w:val="0"/>
              <w:adjustRightInd/>
              <w:snapToGrid/>
              <w:spacing w:line="400" w:lineRule="exact"/>
              <w:ind w:left="0"/>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1.传感器：≥</w:t>
            </w:r>
            <w:r>
              <w:rPr>
                <w:rFonts w:hint="eastAsia" w:ascii="宋体" w:hAnsi="宋体" w:eastAsia="宋体" w:cs="宋体"/>
                <w:b w:val="0"/>
                <w:bCs w:val="0"/>
                <w:i w:val="0"/>
                <w:iCs w:val="0"/>
                <w:color w:val="auto"/>
                <w:sz w:val="21"/>
                <w:szCs w:val="21"/>
                <w:highlight w:val="none"/>
                <w:u w:val="none"/>
                <w:lang w:val="en-US" w:eastAsia="zh-CN" w:bidi="ar"/>
              </w:rPr>
              <w:t>1/2.7</w:t>
            </w:r>
            <w:r>
              <w:rPr>
                <w:rFonts w:hint="eastAsia" w:ascii="宋体" w:hAnsi="宋体" w:eastAsia="宋体" w:cs="宋体"/>
                <w:b w:val="0"/>
                <w:bCs w:val="0"/>
                <w:i w:val="0"/>
                <w:iCs w:val="0"/>
                <w:color w:val="auto"/>
                <w:kern w:val="0"/>
                <w:sz w:val="21"/>
                <w:szCs w:val="21"/>
                <w:highlight w:val="none"/>
                <w:u w:val="none"/>
                <w:lang w:val="en-US" w:eastAsia="zh-CN" w:bidi="ar"/>
              </w:rPr>
              <w:t>英寸CMOS传感器。提供原厂公开技术文档（白皮书、彩页、官网规格页截图及链接地址）。</w:t>
            </w:r>
          </w:p>
          <w:p w14:paraId="23161E2B">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★2.采用≥400万像素或≥2560×1440。</w:t>
            </w:r>
            <w:r>
              <w:rPr>
                <w:rFonts w:hint="eastAsia" w:ascii="宋体" w:hAnsi="宋体" w:eastAsia="宋体" w:cs="宋体"/>
                <w:b w:val="0"/>
                <w:bCs w:val="0"/>
                <w:i w:val="0"/>
                <w:iCs w:val="0"/>
                <w:color w:val="auto"/>
                <w:kern w:val="0"/>
                <w:sz w:val="21"/>
                <w:szCs w:val="21"/>
                <w:highlight w:val="none"/>
                <w:u w:val="none"/>
                <w:lang w:val="en-US" w:eastAsia="zh-CN" w:bidi="ar"/>
              </w:rPr>
              <w:t>提供所投产品的检测报告原件关键页扫描件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（依据标准</w:t>
            </w:r>
            <w:r>
              <w:rPr>
                <w:rFonts w:hint="eastAsia" w:ascii="宋体" w:hAnsi="宋体" w:eastAsia="宋体" w:cs="宋体"/>
                <w:b w:val="0"/>
                <w:bCs w:val="0"/>
                <w:color w:val="auto"/>
                <w:sz w:val="21"/>
                <w:szCs w:val="21"/>
                <w:highlight w:val="none"/>
                <w:vertAlign w:val="baseline"/>
              </w:rPr>
              <w:t xml:space="preserve">GB/T 15211-2013 </w:t>
            </w:r>
            <w:r>
              <w:rPr>
                <w:rFonts w:hint="eastAsia" w:ascii="宋体" w:hAnsi="宋体" w:eastAsia="宋体" w:cs="宋体"/>
                <w:b w:val="0"/>
                <w:bCs w:val="0"/>
                <w:color w:val="auto"/>
                <w:sz w:val="21"/>
                <w:szCs w:val="21"/>
                <w:highlight w:val="none"/>
                <w:vertAlign w:val="baseline"/>
                <w:lang w:val="en-US" w:eastAsia="zh-CN"/>
              </w:rPr>
              <w:t>或</w:t>
            </w:r>
            <w:r>
              <w:rPr>
                <w:rFonts w:hint="eastAsia" w:ascii="宋体" w:hAnsi="宋体" w:eastAsia="宋体" w:cs="宋体"/>
                <w:b w:val="0"/>
                <w:bCs w:val="0"/>
                <w:i w:val="0"/>
                <w:iCs w:val="0"/>
                <w:color w:val="auto"/>
                <w:sz w:val="21"/>
                <w:szCs w:val="21"/>
                <w:highlight w:val="none"/>
                <w:u w:val="none"/>
                <w:lang w:val="en-US" w:eastAsia="zh-CN" w:bidi="ar"/>
              </w:rPr>
              <w:t>GA/T 645-2014或GB 16796-2022等现行国家标准）</w:t>
            </w:r>
            <w:r>
              <w:rPr>
                <w:rFonts w:hint="eastAsia" w:ascii="宋体" w:hAnsi="宋体" w:eastAsia="宋体" w:cs="宋体"/>
                <w:b w:val="0"/>
                <w:bCs w:val="0"/>
                <w:i w:val="0"/>
                <w:iCs w:val="0"/>
                <w:color w:val="auto"/>
                <w:kern w:val="0"/>
                <w:sz w:val="21"/>
                <w:szCs w:val="21"/>
                <w:highlight w:val="none"/>
                <w:u w:val="none"/>
                <w:lang w:val="en-US" w:eastAsia="zh-CN" w:bidi="ar"/>
              </w:rPr>
              <w:t>。</w:t>
            </w:r>
          </w:p>
          <w:p w14:paraId="2B9915DE">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★3.内置镜头、具备≥23倍光学变焦（镜头焦距最大值与最少值的比值≥23），智能红外补光距离（识别距离）≥150米。</w:t>
            </w:r>
            <w:r>
              <w:rPr>
                <w:rFonts w:hint="eastAsia" w:ascii="宋体" w:hAnsi="宋体" w:eastAsia="宋体" w:cs="宋体"/>
                <w:b w:val="0"/>
                <w:bCs w:val="0"/>
                <w:i w:val="0"/>
                <w:iCs w:val="0"/>
                <w:color w:val="auto"/>
                <w:kern w:val="0"/>
                <w:sz w:val="21"/>
                <w:szCs w:val="21"/>
                <w:highlight w:val="none"/>
                <w:u w:val="none"/>
                <w:lang w:val="en-US" w:eastAsia="zh-CN" w:bidi="ar"/>
              </w:rPr>
              <w:t>提供所投产品的检测报告原件关键页扫描件（依据标准</w:t>
            </w:r>
            <w:r>
              <w:rPr>
                <w:rFonts w:hint="eastAsia" w:ascii="宋体" w:hAnsi="宋体" w:eastAsia="宋体" w:cs="宋体"/>
                <w:b w:val="0"/>
                <w:bCs w:val="0"/>
                <w:i w:val="0"/>
                <w:iCs w:val="0"/>
                <w:color w:val="auto"/>
                <w:sz w:val="21"/>
                <w:szCs w:val="21"/>
                <w:highlight w:val="none"/>
                <w:u w:val="none"/>
                <w:lang w:val="en-US" w:eastAsia="zh-CN" w:bidi="ar"/>
              </w:rPr>
              <w:t>GA/T 645-2014</w:t>
            </w:r>
            <w:r>
              <w:rPr>
                <w:rFonts w:hint="eastAsia" w:ascii="宋体" w:hAnsi="宋体" w:eastAsia="宋体" w:cs="宋体"/>
                <w:b w:val="0"/>
                <w:bCs w:val="0"/>
                <w:i w:val="0"/>
                <w:iCs w:val="0"/>
                <w:color w:val="auto"/>
                <w:kern w:val="0"/>
                <w:sz w:val="21"/>
                <w:szCs w:val="21"/>
                <w:highlight w:val="none"/>
                <w:u w:val="none"/>
                <w:lang w:val="en-US" w:eastAsia="zh-CN" w:bidi="ar"/>
              </w:rPr>
              <w:t>等现行国家标准）。</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★4.具备H.265、H.264、MJPEG视频编码格式，音频编码：G.711、AAC。</w:t>
            </w:r>
            <w:r>
              <w:rPr>
                <w:rFonts w:hint="eastAsia" w:ascii="宋体" w:hAnsi="宋体" w:eastAsia="宋体" w:cs="宋体"/>
                <w:b w:val="0"/>
                <w:bCs w:val="0"/>
                <w:i w:val="0"/>
                <w:iCs w:val="0"/>
                <w:color w:val="auto"/>
                <w:kern w:val="0"/>
                <w:sz w:val="21"/>
                <w:szCs w:val="21"/>
                <w:highlight w:val="none"/>
                <w:u w:val="none"/>
                <w:lang w:val="en-US" w:eastAsia="zh-CN" w:bidi="ar"/>
              </w:rPr>
              <w:t>提供原厂公开技术文档（白皮书、彩页、官网规格页截图及链接地址）。</w:t>
            </w:r>
          </w:p>
          <w:p w14:paraId="3010EED1">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★5.具备最低照度彩色不劣于0.0005Lux，黑白不劣于0.0001Lux。提供第三方机构出具的具有CMA标志的检测报告（依据标准GA/T 645-2014或GB 16796-2022</w:t>
            </w:r>
            <w:r>
              <w:rPr>
                <w:rFonts w:hint="eastAsia" w:ascii="宋体" w:hAnsi="宋体" w:eastAsia="宋体" w:cs="宋体"/>
                <w:b w:val="0"/>
                <w:bCs w:val="0"/>
                <w:color w:val="auto"/>
                <w:sz w:val="21"/>
                <w:szCs w:val="21"/>
                <w:highlight w:val="none"/>
                <w:u w:val="none"/>
                <w:lang w:bidi="ar"/>
              </w:rPr>
              <w:t>或GB/T 15211-2013</w:t>
            </w:r>
            <w:r>
              <w:rPr>
                <w:rFonts w:hint="eastAsia" w:ascii="宋体" w:hAnsi="宋体" w:eastAsia="宋体" w:cs="宋体"/>
                <w:b w:val="0"/>
                <w:bCs w:val="0"/>
                <w:i w:val="0"/>
                <w:iCs w:val="0"/>
                <w:color w:val="auto"/>
                <w:sz w:val="21"/>
                <w:szCs w:val="21"/>
                <w:highlight w:val="none"/>
                <w:u w:val="none"/>
                <w:lang w:val="en-US" w:eastAsia="zh-CN" w:bidi="ar"/>
              </w:rPr>
              <w:t>等现行国家标准）</w:t>
            </w:r>
            <w:r>
              <w:rPr>
                <w:rFonts w:hint="eastAsia" w:ascii="宋体" w:hAnsi="宋体" w:eastAsia="宋体" w:cs="宋体"/>
                <w:b w:val="0"/>
                <w:bCs w:val="0"/>
                <w:color w:val="auto"/>
                <w:sz w:val="21"/>
                <w:szCs w:val="21"/>
                <w:highlight w:val="none"/>
                <w:u w:val="none"/>
                <w:lang w:val="en-US" w:eastAsia="zh-CN" w:bidi="ar"/>
              </w:rPr>
              <w:t>。</w:t>
            </w:r>
          </w:p>
          <w:p w14:paraId="2B20E29C">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6.可对镜头前盖玻璃进行加热，去除玻璃上的冰状和水状附着物。提供第三方机构出具的具有CMA标志的检测报告（依据标准GA/T 645-2014或GB 16796-2022等现行国家标准）</w:t>
            </w:r>
            <w:r>
              <w:rPr>
                <w:rFonts w:hint="eastAsia" w:ascii="宋体" w:hAnsi="宋体" w:eastAsia="宋体" w:cs="宋体"/>
                <w:b w:val="0"/>
                <w:bCs w:val="0"/>
                <w:color w:val="auto"/>
                <w:sz w:val="21"/>
                <w:szCs w:val="21"/>
                <w:highlight w:val="none"/>
                <w:u w:val="none"/>
                <w:lang w:val="en-US" w:eastAsia="zh-CN" w:bidi="ar"/>
              </w:rPr>
              <w:t>。</w:t>
            </w:r>
          </w:p>
          <w:p w14:paraId="70E765A7">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7.云台键控速度：水平0.1°-200°/S，垂直0.1°-120°/S。；预置位≥30个。</w:t>
            </w:r>
          </w:p>
          <w:p w14:paraId="45DD9A09">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8.旋转范围：水平方向：0°～360°连续旋转。垂直方向：-20°～90°自动翻转180°后连续监视。</w:t>
            </w:r>
          </w:p>
          <w:p w14:paraId="79737176">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9.具备巡航、看守位、拉框放大等功能。</w:t>
            </w:r>
          </w:p>
          <w:p w14:paraId="2674C195">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10.具备定时启动、断电记忆功能。</w:t>
            </w:r>
          </w:p>
          <w:p w14:paraId="07B4581C">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★11.具备强光抑制、透雾功能。</w:t>
            </w:r>
            <w:r>
              <w:rPr>
                <w:rFonts w:hint="eastAsia" w:ascii="宋体" w:hAnsi="宋体" w:eastAsia="宋体" w:cs="宋体"/>
                <w:b w:val="0"/>
                <w:bCs w:val="0"/>
                <w:i w:val="0"/>
                <w:iCs w:val="0"/>
                <w:color w:val="auto"/>
                <w:kern w:val="0"/>
                <w:sz w:val="21"/>
                <w:szCs w:val="21"/>
                <w:highlight w:val="none"/>
                <w:u w:val="none"/>
                <w:lang w:val="en-US" w:eastAsia="zh-CN" w:bidi="ar"/>
              </w:rPr>
              <w:t>提供原厂公开技术文档（白皮书、彩页、官网规格页截图及链接地址）。</w:t>
            </w:r>
          </w:p>
          <w:p w14:paraId="6DB9E42C">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★12.宽动态能力综合得分≥80。提供</w:t>
            </w:r>
            <w:r>
              <w:rPr>
                <w:rFonts w:hint="eastAsia" w:ascii="宋体" w:hAnsi="宋体" w:eastAsia="宋体" w:cs="宋体"/>
                <w:b w:val="0"/>
                <w:bCs w:val="0"/>
                <w:color w:val="auto"/>
                <w:sz w:val="21"/>
                <w:szCs w:val="21"/>
                <w:highlight w:val="none"/>
                <w:u w:val="none"/>
                <w:lang w:bidi="ar"/>
              </w:rPr>
              <w:t>由具备有效CMA资质的检测机构出具的封面盖有CMA专用印章的检测报告原件关键页扫描件(</w:t>
            </w:r>
            <w:r>
              <w:rPr>
                <w:rFonts w:hint="eastAsia" w:ascii="宋体" w:hAnsi="宋体" w:eastAsia="宋体" w:cs="宋体"/>
                <w:b w:val="0"/>
                <w:bCs w:val="0"/>
                <w:i w:val="0"/>
                <w:iCs w:val="0"/>
                <w:color w:val="auto"/>
                <w:kern w:val="0"/>
                <w:sz w:val="21"/>
                <w:szCs w:val="21"/>
                <w:highlight w:val="none"/>
                <w:u w:val="none"/>
                <w:lang w:val="en-US" w:eastAsia="zh-CN" w:bidi="ar"/>
              </w:rPr>
              <w:t>依据标准GA/T 1127-2013或</w:t>
            </w:r>
            <w:r>
              <w:rPr>
                <w:rFonts w:hint="eastAsia" w:ascii="宋体" w:hAnsi="宋体" w:eastAsia="宋体" w:cs="宋体"/>
                <w:b w:val="0"/>
                <w:bCs w:val="0"/>
                <w:i w:val="0"/>
                <w:iCs w:val="0"/>
                <w:color w:val="auto"/>
                <w:sz w:val="21"/>
                <w:szCs w:val="21"/>
                <w:highlight w:val="none"/>
                <w:u w:val="none"/>
                <w:lang w:val="en-US" w:eastAsia="zh-CN" w:bidi="ar"/>
              </w:rPr>
              <w:t>GA/T 645-2014</w:t>
            </w:r>
            <w:r>
              <w:rPr>
                <w:rFonts w:hint="eastAsia" w:ascii="宋体" w:hAnsi="宋体" w:eastAsia="宋体" w:cs="宋体"/>
                <w:b w:val="0"/>
                <w:bCs w:val="0"/>
                <w:i w:val="0"/>
                <w:iCs w:val="0"/>
                <w:color w:val="auto"/>
                <w:kern w:val="0"/>
                <w:sz w:val="21"/>
                <w:szCs w:val="21"/>
                <w:highlight w:val="none"/>
                <w:u w:val="none"/>
                <w:lang w:val="en-US" w:eastAsia="zh-CN" w:bidi="ar"/>
              </w:rPr>
              <w:t>等现行国家标准</w:t>
            </w:r>
            <w:r>
              <w:rPr>
                <w:rFonts w:hint="eastAsia" w:ascii="宋体" w:hAnsi="宋体" w:eastAsia="宋体" w:cs="宋体"/>
                <w:b w:val="0"/>
                <w:bCs w:val="0"/>
                <w:color w:val="auto"/>
                <w:sz w:val="21"/>
                <w:szCs w:val="21"/>
                <w:highlight w:val="none"/>
                <w:u w:val="none"/>
                <w:lang w:bidi="ar"/>
              </w:rPr>
              <w:t>）</w:t>
            </w:r>
            <w:r>
              <w:rPr>
                <w:rFonts w:hint="eastAsia" w:ascii="宋体" w:hAnsi="宋体" w:eastAsia="宋体" w:cs="宋体"/>
                <w:b w:val="0"/>
                <w:bCs w:val="0"/>
                <w:i w:val="0"/>
                <w:iCs w:val="0"/>
                <w:color w:val="auto"/>
                <w:kern w:val="0"/>
                <w:sz w:val="21"/>
                <w:szCs w:val="21"/>
                <w:highlight w:val="none"/>
                <w:u w:val="none"/>
                <w:lang w:val="en-US" w:eastAsia="zh-CN" w:bidi="ar"/>
              </w:rPr>
              <w:t>）。</w:t>
            </w:r>
          </w:p>
          <w:p w14:paraId="4CA93630">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★13.具备绊线或越界入侵、区域入侵、徘徊、快速移动、人员聚集等智能行为分析功能，具备联动抓拍或录像、报警。</w:t>
            </w:r>
            <w:r>
              <w:rPr>
                <w:rFonts w:hint="eastAsia" w:ascii="宋体" w:hAnsi="宋体" w:eastAsia="宋体" w:cs="宋体"/>
                <w:b w:val="0"/>
                <w:bCs w:val="0"/>
                <w:i w:val="0"/>
                <w:iCs w:val="0"/>
                <w:color w:val="auto"/>
                <w:kern w:val="0"/>
                <w:sz w:val="21"/>
                <w:szCs w:val="21"/>
                <w:highlight w:val="none"/>
                <w:u w:val="none"/>
                <w:lang w:val="en-US" w:eastAsia="zh-CN" w:bidi="ar"/>
              </w:rPr>
              <w:t>提供原厂公开技术文档（白皮书、彩页、官网规格页截图及链接地址）。</w:t>
            </w:r>
          </w:p>
          <w:p w14:paraId="32CD003E">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14.具备数据直存功能，即直接将视频存储数据发送到存储设备（当中心服务器故障时，不影响正在进行的存储业务）。</w:t>
            </w:r>
          </w:p>
          <w:p w14:paraId="21F59538">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15.接口：百兆及以上以太网电口、音频输入/输出、报警输入/输出。</w:t>
            </w:r>
          </w:p>
          <w:p w14:paraId="5B1A95CA">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16.提供SD或TF卡槽。承诺可通过加装安全加密卡对接公安视频数据加密平台、实现安全升级以符合GB35114A级标准对前端面摄像机基于数字证书的双向身份认证功能，提供承诺函（格式自拟）。</w:t>
            </w:r>
          </w:p>
          <w:p w14:paraId="67723136">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★17.防护等级：≥IP67。提供所投产品的检测报告原件关键页扫描件（依据</w:t>
            </w:r>
            <w:r>
              <w:rPr>
                <w:rFonts w:hint="eastAsia" w:ascii="宋体" w:hAnsi="宋体" w:eastAsia="宋体" w:cs="宋体"/>
                <w:b w:val="0"/>
                <w:bCs w:val="0"/>
                <w:i w:val="0"/>
                <w:iCs w:val="0"/>
                <w:color w:val="auto"/>
                <w:kern w:val="0"/>
                <w:sz w:val="21"/>
                <w:szCs w:val="21"/>
                <w:highlight w:val="none"/>
                <w:u w:val="none"/>
                <w:lang w:val="en-US" w:eastAsia="zh-CN" w:bidi="ar"/>
              </w:rPr>
              <w:t>GA/T 645-2014或</w:t>
            </w:r>
            <w:r>
              <w:rPr>
                <w:rFonts w:hint="eastAsia" w:ascii="宋体" w:hAnsi="宋体" w:eastAsia="宋体" w:cs="宋体"/>
                <w:b w:val="0"/>
                <w:bCs w:val="0"/>
                <w:i w:val="0"/>
                <w:iCs w:val="0"/>
                <w:color w:val="auto"/>
                <w:sz w:val="21"/>
                <w:szCs w:val="21"/>
                <w:highlight w:val="none"/>
                <w:u w:val="none"/>
                <w:lang w:val="en-US" w:eastAsia="zh-CN" w:bidi="ar"/>
              </w:rPr>
              <w:t>GB/T 15211-2013或GA/T 1127-2013或GB/T4208-2017标准）等相关现行国家标准）。</w:t>
            </w:r>
          </w:p>
          <w:p w14:paraId="765FF085">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★18.符合GB/T 28181、Onvif、IPv4/IPv6协议标准。提供所投产品原厂公开技术文档（白皮书、彩页、官网规格页截图及链接地址）或提供承诺函（格式自拟）</w:t>
            </w:r>
            <w:r>
              <w:rPr>
                <w:rFonts w:hint="eastAsia" w:ascii="宋体" w:hAnsi="宋体" w:eastAsia="宋体" w:cs="宋体"/>
                <w:b w:val="0"/>
                <w:bCs w:val="0"/>
                <w:color w:val="auto"/>
                <w:sz w:val="21"/>
                <w:szCs w:val="21"/>
                <w:highlight w:val="none"/>
                <w:u w:val="none"/>
                <w:lang w:val="en-US" w:eastAsia="zh-CN" w:bidi="ar"/>
              </w:rPr>
              <w:t>。</w:t>
            </w:r>
          </w:p>
          <w:p w14:paraId="7DC89F77">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19.浪涌（冲击）抗扰度测试、防浪涌。承诺符合GA/T 1127-2013或GB/T 17626.5-2008/2019对摄像机的防浪涌要求。</w:t>
            </w:r>
          </w:p>
          <w:p w14:paraId="68035E02">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20.具备单场景、多场景、全景及手动跟踪模式；具有一键跟踪控制按钮，具备一键智能跟踪功能。单场景跟踪模式：可在预设的单个场景内跟踪移动的人员或车辆。多场景跟踪模式：可在预设的多个场景内跟踪移动的人员或车辆，多个场景间可根据预设时间轮巡。全景跟踪模式：可对移动的人员或车辆进行360度全景跟踪。手动跟踪模式：可选定移动的人员或车辆，对该目标进行跟踪。</w:t>
            </w:r>
          </w:p>
          <w:p w14:paraId="051C80E4">
            <w:pPr>
              <w:pStyle w:val="18"/>
              <w:keepNext w:val="0"/>
              <w:keepLines w:val="0"/>
              <w:pageBreakBefore w:val="0"/>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color w:val="auto"/>
                <w:sz w:val="21"/>
                <w:szCs w:val="21"/>
                <w:vertAlign w:val="baseline"/>
                <w:lang w:val="en-US" w:eastAsia="zh-CN"/>
              </w:rPr>
            </w:pPr>
            <w:r>
              <w:rPr>
                <w:rFonts w:hint="eastAsia" w:ascii="宋体" w:hAnsi="宋体" w:eastAsia="宋体" w:cs="宋体"/>
                <w:b w:val="0"/>
                <w:bCs w:val="0"/>
                <w:color w:val="auto"/>
                <w:sz w:val="21"/>
                <w:szCs w:val="21"/>
                <w:highlight w:val="none"/>
                <w:lang w:val="en-US" w:eastAsia="zh-CN"/>
              </w:rPr>
              <w:t>注：</w:t>
            </w:r>
            <w:r>
              <w:rPr>
                <w:rFonts w:hint="eastAsia" w:ascii="宋体" w:hAnsi="宋体" w:eastAsia="宋体" w:cs="宋体"/>
                <w:b w:val="0"/>
                <w:bCs w:val="0"/>
                <w:i w:val="0"/>
                <w:iCs w:val="0"/>
                <w:color w:val="auto"/>
                <w:kern w:val="0"/>
                <w:sz w:val="21"/>
                <w:szCs w:val="21"/>
                <w:highlight w:val="none"/>
                <w:u w:val="none"/>
                <w:lang w:val="en-US" w:eastAsia="zh-CN" w:bidi="ar"/>
              </w:rPr>
              <w:t>提供检测报告的，按第四章商务要求（其他要求的第2条）中明确的要求、提供相关佐证材料。</w:t>
            </w:r>
          </w:p>
        </w:tc>
      </w:tr>
      <w:tr w14:paraId="5945E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shd w:val="clear" w:color="auto" w:fill="auto"/>
            <w:vAlign w:val="center"/>
          </w:tcPr>
          <w:p w14:paraId="22BAA09D">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color w:val="auto"/>
                <w:kern w:val="2"/>
                <w:sz w:val="21"/>
                <w:szCs w:val="21"/>
                <w:vertAlign w:val="baseli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18</w:t>
            </w:r>
          </w:p>
        </w:tc>
        <w:tc>
          <w:tcPr>
            <w:tcW w:w="1350" w:type="dxa"/>
            <w:vAlign w:val="center"/>
          </w:tcPr>
          <w:p w14:paraId="3A580792">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i w:val="0"/>
                <w:iCs w:val="0"/>
                <w:color w:val="auto"/>
                <w:kern w:val="0"/>
                <w:sz w:val="21"/>
                <w:szCs w:val="21"/>
                <w:u w:val="none"/>
                <w:lang w:val="en-US" w:eastAsia="zh-CN" w:bidi="ar"/>
              </w:rPr>
              <w:t>高清网络摄像机</w:t>
            </w:r>
          </w:p>
        </w:tc>
        <w:tc>
          <w:tcPr>
            <w:tcW w:w="7009" w:type="dxa"/>
          </w:tcPr>
          <w:p w14:paraId="46DA2AE5">
            <w:pPr>
              <w:pStyle w:val="15"/>
              <w:keepNext w:val="0"/>
              <w:keepLines w:val="0"/>
              <w:pageBreakBefore w:val="0"/>
              <w:kinsoku/>
              <w:wordWrap/>
              <w:overflowPunct/>
              <w:topLinePunct w:val="0"/>
              <w:autoSpaceDE/>
              <w:autoSpaceDN/>
              <w:bidi w:val="0"/>
              <w:adjustRightInd/>
              <w:snapToGrid/>
              <w:spacing w:line="400" w:lineRule="exact"/>
              <w:ind w:left="0"/>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1.传感器：≥1/1.8英寸CMOS传感器。提供原厂公开技术文档（白皮书、彩页、官网规格页截图及链接地址）。</w:t>
            </w:r>
          </w:p>
          <w:p w14:paraId="7CD56FEC">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★2.像素≥400万或最大分辨率≥2560×1440。提供所投产品</w:t>
            </w:r>
            <w:r>
              <w:rPr>
                <w:rFonts w:hint="eastAsia" w:ascii="宋体" w:hAnsi="宋体" w:eastAsia="宋体" w:cs="宋体"/>
                <w:b w:val="0"/>
                <w:bCs w:val="0"/>
                <w:color w:val="auto"/>
                <w:sz w:val="21"/>
                <w:szCs w:val="21"/>
                <w:highlight w:val="none"/>
                <w:u w:val="none"/>
                <w:lang w:bidi="ar"/>
              </w:rPr>
              <w:t>由具备有效CMA资质的检测机构出具的封面盖有CMA专用印章的检测报告原件关键页扫描件(</w:t>
            </w:r>
            <w:r>
              <w:rPr>
                <w:rFonts w:hint="eastAsia" w:ascii="宋体" w:hAnsi="宋体" w:eastAsia="宋体" w:cs="宋体"/>
                <w:b w:val="0"/>
                <w:bCs w:val="0"/>
                <w:i w:val="0"/>
                <w:iCs w:val="0"/>
                <w:color w:val="auto"/>
                <w:kern w:val="0"/>
                <w:sz w:val="21"/>
                <w:szCs w:val="21"/>
                <w:highlight w:val="none"/>
                <w:u w:val="none"/>
                <w:lang w:val="en-US" w:eastAsia="zh-CN" w:bidi="ar"/>
              </w:rPr>
              <w:t>依据标准GA/T 1127-2013等现行国家标准</w:t>
            </w:r>
            <w:r>
              <w:rPr>
                <w:rFonts w:hint="eastAsia" w:ascii="宋体" w:hAnsi="宋体" w:eastAsia="宋体" w:cs="宋体"/>
                <w:b w:val="0"/>
                <w:bCs w:val="0"/>
                <w:color w:val="auto"/>
                <w:sz w:val="21"/>
                <w:szCs w:val="21"/>
                <w:highlight w:val="none"/>
                <w:u w:val="none"/>
                <w:lang w:bidi="ar"/>
              </w:rPr>
              <w:t>）</w:t>
            </w:r>
            <w:r>
              <w:rPr>
                <w:rFonts w:hint="eastAsia" w:ascii="宋体" w:hAnsi="宋体" w:eastAsia="宋体" w:cs="宋体"/>
                <w:b w:val="0"/>
                <w:bCs w:val="0"/>
                <w:i w:val="0"/>
                <w:iCs w:val="0"/>
                <w:color w:val="auto"/>
                <w:kern w:val="0"/>
                <w:sz w:val="21"/>
                <w:szCs w:val="21"/>
                <w:highlight w:val="none"/>
                <w:u w:val="none"/>
                <w:lang w:val="en-US" w:eastAsia="zh-CN" w:bidi="ar"/>
              </w:rPr>
              <w:t>。</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★3.具备最低照度彩色不劣于0.001Lux，黑白不劣于0.0001Lux。提供第三方机构出具的具有CMA标志的检测报告（依据标准</w:t>
            </w:r>
            <w:r>
              <w:rPr>
                <w:rFonts w:hint="eastAsia" w:ascii="宋体" w:hAnsi="宋体" w:eastAsia="宋体" w:cs="宋体"/>
                <w:b w:val="0"/>
                <w:bCs w:val="0"/>
                <w:i w:val="0"/>
                <w:iCs w:val="0"/>
                <w:color w:val="auto"/>
                <w:kern w:val="0"/>
                <w:sz w:val="21"/>
                <w:szCs w:val="21"/>
                <w:highlight w:val="none"/>
                <w:u w:val="none"/>
                <w:lang w:val="en-US" w:eastAsia="zh-CN" w:bidi="ar"/>
              </w:rPr>
              <w:t>GA/T 1127-2013或</w:t>
            </w:r>
            <w:r>
              <w:rPr>
                <w:rFonts w:hint="eastAsia" w:ascii="宋体" w:hAnsi="宋体" w:eastAsia="宋体" w:cs="宋体"/>
                <w:b w:val="0"/>
                <w:bCs w:val="0"/>
                <w:i w:val="0"/>
                <w:iCs w:val="0"/>
                <w:color w:val="auto"/>
                <w:sz w:val="21"/>
                <w:szCs w:val="21"/>
                <w:highlight w:val="none"/>
                <w:u w:val="none"/>
                <w:lang w:val="en-US" w:eastAsia="zh-CN" w:bidi="ar"/>
              </w:rPr>
              <w:t>GB 16796-2022</w:t>
            </w:r>
            <w:r>
              <w:rPr>
                <w:rFonts w:hint="eastAsia" w:ascii="宋体" w:hAnsi="宋体" w:eastAsia="宋体" w:cs="宋体"/>
                <w:b w:val="0"/>
                <w:bCs w:val="0"/>
                <w:color w:val="auto"/>
                <w:sz w:val="21"/>
                <w:szCs w:val="21"/>
                <w:highlight w:val="none"/>
                <w:u w:val="none"/>
                <w:lang w:bidi="ar"/>
              </w:rPr>
              <w:t>或GB/T 15211-2013</w:t>
            </w:r>
            <w:r>
              <w:rPr>
                <w:rFonts w:hint="eastAsia" w:ascii="宋体" w:hAnsi="宋体" w:eastAsia="宋体" w:cs="宋体"/>
                <w:b w:val="0"/>
                <w:bCs w:val="0"/>
                <w:i w:val="0"/>
                <w:iCs w:val="0"/>
                <w:color w:val="auto"/>
                <w:sz w:val="21"/>
                <w:szCs w:val="21"/>
                <w:highlight w:val="none"/>
                <w:u w:val="none"/>
                <w:lang w:val="en-US" w:eastAsia="zh-CN" w:bidi="ar"/>
              </w:rPr>
              <w:t>等现行国家标准）</w:t>
            </w:r>
            <w:r>
              <w:rPr>
                <w:rFonts w:hint="eastAsia" w:ascii="宋体" w:hAnsi="宋体" w:eastAsia="宋体" w:cs="宋体"/>
                <w:b w:val="0"/>
                <w:bCs w:val="0"/>
                <w:color w:val="auto"/>
                <w:sz w:val="21"/>
                <w:szCs w:val="21"/>
                <w:highlight w:val="none"/>
                <w:u w:val="none"/>
                <w:lang w:val="en-US" w:eastAsia="zh-CN" w:bidi="ar"/>
              </w:rPr>
              <w:t>。</w:t>
            </w:r>
          </w:p>
          <w:p w14:paraId="2BE5D33F">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4.具备滤光片切换功能，摄像机可在彩色/黑白模式下自动切换滤光片。</w:t>
            </w:r>
          </w:p>
          <w:p w14:paraId="31BD0DB7">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5.镜头可选：定焦；镜头光圈≥F1.0。</w:t>
            </w:r>
          </w:p>
          <w:p w14:paraId="4FB640FA">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6.智能红外补光距离（识别距离）≥50米。提供所投产品</w:t>
            </w:r>
            <w:r>
              <w:rPr>
                <w:rFonts w:hint="eastAsia" w:ascii="宋体" w:hAnsi="宋体" w:eastAsia="宋体" w:cs="宋体"/>
                <w:b w:val="0"/>
                <w:bCs w:val="0"/>
                <w:color w:val="auto"/>
                <w:sz w:val="21"/>
                <w:szCs w:val="21"/>
                <w:highlight w:val="none"/>
                <w:u w:val="none"/>
                <w:lang w:bidi="ar"/>
              </w:rPr>
              <w:t>由具备有效CMA资质的检测机构出具的封面盖有CMA专用印章的检测报告原件关键页扫描件(</w:t>
            </w:r>
            <w:r>
              <w:rPr>
                <w:rFonts w:hint="eastAsia" w:ascii="宋体" w:hAnsi="宋体" w:eastAsia="宋体" w:cs="宋体"/>
                <w:b w:val="0"/>
                <w:bCs w:val="0"/>
                <w:i w:val="0"/>
                <w:iCs w:val="0"/>
                <w:color w:val="auto"/>
                <w:kern w:val="0"/>
                <w:sz w:val="21"/>
                <w:szCs w:val="21"/>
                <w:highlight w:val="none"/>
                <w:u w:val="none"/>
                <w:lang w:val="en-US" w:eastAsia="zh-CN" w:bidi="ar"/>
              </w:rPr>
              <w:t>依据标准GA/T 1127-2013等现行国家标准</w:t>
            </w:r>
            <w:r>
              <w:rPr>
                <w:rFonts w:hint="eastAsia" w:ascii="宋体" w:hAnsi="宋体" w:eastAsia="宋体" w:cs="宋体"/>
                <w:b w:val="0"/>
                <w:bCs w:val="0"/>
                <w:color w:val="auto"/>
                <w:sz w:val="21"/>
                <w:szCs w:val="21"/>
                <w:highlight w:val="none"/>
                <w:u w:val="none"/>
                <w:lang w:bidi="ar"/>
              </w:rPr>
              <w:t>）</w:t>
            </w:r>
            <w:r>
              <w:rPr>
                <w:rFonts w:hint="eastAsia" w:ascii="宋体" w:hAnsi="宋体" w:eastAsia="宋体" w:cs="宋体"/>
                <w:b w:val="0"/>
                <w:bCs w:val="0"/>
                <w:i w:val="0"/>
                <w:iCs w:val="0"/>
                <w:color w:val="auto"/>
                <w:kern w:val="0"/>
                <w:sz w:val="21"/>
                <w:szCs w:val="21"/>
                <w:highlight w:val="none"/>
                <w:u w:val="none"/>
                <w:lang w:val="en-US" w:eastAsia="zh-CN" w:bidi="ar"/>
              </w:rPr>
              <w:t>。</w:t>
            </w:r>
          </w:p>
          <w:p w14:paraId="42F3881D">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★7.宽动态能力综合得分≥80。提供所投产品</w:t>
            </w:r>
            <w:r>
              <w:rPr>
                <w:rFonts w:hint="eastAsia" w:ascii="宋体" w:hAnsi="宋体" w:eastAsia="宋体" w:cs="宋体"/>
                <w:b w:val="0"/>
                <w:bCs w:val="0"/>
                <w:color w:val="auto"/>
                <w:sz w:val="21"/>
                <w:szCs w:val="21"/>
                <w:highlight w:val="none"/>
                <w:u w:val="none"/>
                <w:lang w:bidi="ar"/>
              </w:rPr>
              <w:t>由具备有效CMA资质的检测机构出具的封面盖有CMA专用印章的检测报告原件关键页扫描件(</w:t>
            </w:r>
            <w:r>
              <w:rPr>
                <w:rFonts w:hint="eastAsia" w:ascii="宋体" w:hAnsi="宋体" w:eastAsia="宋体" w:cs="宋体"/>
                <w:b w:val="0"/>
                <w:bCs w:val="0"/>
                <w:i w:val="0"/>
                <w:iCs w:val="0"/>
                <w:color w:val="auto"/>
                <w:kern w:val="0"/>
                <w:sz w:val="21"/>
                <w:szCs w:val="21"/>
                <w:highlight w:val="none"/>
                <w:u w:val="none"/>
                <w:lang w:val="en-US" w:eastAsia="zh-CN" w:bidi="ar"/>
              </w:rPr>
              <w:t>依据标准GA/T 1127-2013等现行国家标准</w:t>
            </w:r>
            <w:r>
              <w:rPr>
                <w:rFonts w:hint="eastAsia" w:ascii="宋体" w:hAnsi="宋体" w:eastAsia="宋体" w:cs="宋体"/>
                <w:b w:val="0"/>
                <w:bCs w:val="0"/>
                <w:color w:val="auto"/>
                <w:sz w:val="21"/>
                <w:szCs w:val="21"/>
                <w:highlight w:val="none"/>
                <w:u w:val="none"/>
                <w:lang w:bidi="ar"/>
              </w:rPr>
              <w:t>）</w:t>
            </w:r>
            <w:r>
              <w:rPr>
                <w:rFonts w:hint="eastAsia" w:ascii="宋体" w:hAnsi="宋体" w:eastAsia="宋体" w:cs="宋体"/>
                <w:b w:val="0"/>
                <w:bCs w:val="0"/>
                <w:i w:val="0"/>
                <w:iCs w:val="0"/>
                <w:color w:val="auto"/>
                <w:kern w:val="0"/>
                <w:sz w:val="21"/>
                <w:szCs w:val="21"/>
                <w:highlight w:val="none"/>
                <w:u w:val="none"/>
                <w:lang w:val="en-US" w:eastAsia="zh-CN" w:bidi="ar"/>
              </w:rPr>
              <w:t>。</w:t>
            </w:r>
          </w:p>
          <w:p w14:paraId="23DDFCF2">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★8.具备H.265、H.264、MJPEG视频编码格式，音频编码：G.711、AAC。提供原厂公开技术文档（白皮书、彩页、官网规格页截图及链接地址）。</w:t>
            </w:r>
          </w:p>
          <w:p w14:paraId="47685241">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9.具备背光补偿、强光抑制、自动增益、感兴趣区域、移动侦测等功能。提供所投产品的检测报告原件关键页扫描件（依据标准GB 16796-2022或GA/T 1127-2013等现行国家标准）。</w:t>
            </w:r>
          </w:p>
          <w:p w14:paraId="16151583">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★10.具备绊线或越界入侵、区域入侵、徘徊、人员聚集、停车、物品遗留或搬移（移除）等行为分析功能，具备联动抓拍或录像、报警。提供所投产品原厂技术白皮书。</w:t>
            </w:r>
          </w:p>
          <w:p w14:paraId="49AD6593">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11.具备场景自适应功能，可根据监控场景自动调节曝光模式。</w:t>
            </w:r>
          </w:p>
          <w:p w14:paraId="41E3A5EE">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12.摄像机在视频遮挡、存储器满、非法访问、网络断开、IP冲突时可给出报警提示；具备断网续传功能。</w:t>
            </w:r>
          </w:p>
          <w:p w14:paraId="5F4E1AA3">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13.具备数据直存功能，即直接将视频存储数据发送到存储设备（当中心服务器故障时、不影响正在进行的存储业务）。</w:t>
            </w:r>
          </w:p>
          <w:p w14:paraId="10A05071">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14.接口：RJ45百兆或千兆以太网电口，音频输入：≥1路，音频输出：≥1路，报警输入：≥2路，报警输出：≥2路。</w:t>
            </w:r>
          </w:p>
          <w:p w14:paraId="31A8B0F5">
            <w:pPr>
              <w:pStyle w:val="15"/>
              <w:keepNext w:val="0"/>
              <w:keepLines w:val="0"/>
              <w:pageBreakBefore w:val="0"/>
              <w:kinsoku/>
              <w:wordWrap/>
              <w:overflowPunct/>
              <w:topLinePunct w:val="0"/>
              <w:autoSpaceDE/>
              <w:autoSpaceDN/>
              <w:bidi w:val="0"/>
              <w:adjustRightInd/>
              <w:snapToGrid/>
              <w:spacing w:line="400" w:lineRule="exact"/>
              <w:ind w:left="0"/>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15.提供SD或TF卡槽。承诺可通过加装安全加密卡对接公安视频数据加密平台、实现安全升级以符合GB35114A级标准对前端面摄像机基于数字证书的双向身份认证功能，提供承诺函（格式自拟）。</w:t>
            </w:r>
          </w:p>
          <w:p w14:paraId="138BFFBD">
            <w:pPr>
              <w:pStyle w:val="15"/>
              <w:keepNext w:val="0"/>
              <w:keepLines w:val="0"/>
              <w:pageBreakBefore w:val="0"/>
              <w:kinsoku/>
              <w:wordWrap/>
              <w:overflowPunct/>
              <w:topLinePunct w:val="0"/>
              <w:autoSpaceDE/>
              <w:autoSpaceDN/>
              <w:bidi w:val="0"/>
              <w:adjustRightInd/>
              <w:snapToGrid/>
              <w:spacing w:line="400" w:lineRule="exact"/>
              <w:ind w:left="0"/>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★16.符合GB/T 28181现行协议标准。提供所投产品原厂公开技术文档（白皮书、彩页、官网规格页截图及链接地址）或提供承诺函（格式自拟）。</w:t>
            </w:r>
          </w:p>
          <w:p w14:paraId="4B2FCA8D">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17.Onvif、IPv4/6现行协议标准。提供原厂公开技术文档（白皮书、彩页、官网规格页截图及链接地址）。</w:t>
            </w:r>
          </w:p>
          <w:p w14:paraId="379421A5">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18.工作温度：-40℃~+60℃。工作湿度：≤95%。</w:t>
            </w:r>
          </w:p>
          <w:p w14:paraId="76D6F1AD">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★19.浪涌（冲击）抗扰度测试、防浪涌。</w:t>
            </w:r>
            <w:r>
              <w:rPr>
                <w:rFonts w:hint="eastAsia" w:ascii="宋体" w:hAnsi="宋体" w:eastAsia="宋体" w:cs="宋体"/>
                <w:b w:val="0"/>
                <w:bCs w:val="0"/>
                <w:color w:val="auto"/>
                <w:sz w:val="21"/>
                <w:szCs w:val="21"/>
                <w:highlight w:val="none"/>
                <w:lang w:val="en-US" w:eastAsia="zh-CN" w:bidi="ar"/>
              </w:rPr>
              <w:t>承诺</w:t>
            </w:r>
            <w:r>
              <w:rPr>
                <w:rFonts w:hint="eastAsia" w:ascii="宋体" w:hAnsi="宋体" w:eastAsia="宋体" w:cs="宋体"/>
                <w:b w:val="0"/>
                <w:bCs w:val="0"/>
                <w:color w:val="auto"/>
                <w:sz w:val="21"/>
                <w:szCs w:val="21"/>
                <w:highlight w:val="none"/>
                <w:lang w:bidi="ar"/>
              </w:rPr>
              <w:t>符合</w:t>
            </w:r>
            <w:r>
              <w:rPr>
                <w:rFonts w:hint="eastAsia" w:ascii="宋体" w:hAnsi="宋体" w:eastAsia="宋体" w:cs="宋体"/>
                <w:b w:val="0"/>
                <w:bCs w:val="0"/>
                <w:i w:val="0"/>
                <w:iCs w:val="0"/>
                <w:color w:val="auto"/>
                <w:kern w:val="0"/>
                <w:sz w:val="21"/>
                <w:szCs w:val="21"/>
                <w:highlight w:val="none"/>
                <w:u w:val="none"/>
                <w:lang w:val="en-US" w:eastAsia="zh-CN" w:bidi="ar"/>
              </w:rPr>
              <w:t>GA/T 1127-2013或</w:t>
            </w:r>
            <w:r>
              <w:rPr>
                <w:rFonts w:hint="eastAsia" w:ascii="宋体" w:hAnsi="宋体" w:eastAsia="宋体" w:cs="宋体"/>
                <w:b w:val="0"/>
                <w:bCs w:val="0"/>
                <w:color w:val="auto"/>
                <w:sz w:val="21"/>
                <w:szCs w:val="21"/>
                <w:highlight w:val="none"/>
                <w:lang w:bidi="ar"/>
              </w:rPr>
              <w:t>GB/T 17626.5-</w:t>
            </w:r>
            <w:r>
              <w:rPr>
                <w:rFonts w:hint="eastAsia" w:ascii="宋体" w:hAnsi="宋体" w:eastAsia="宋体" w:cs="宋体"/>
                <w:b w:val="0"/>
                <w:bCs w:val="0"/>
                <w:color w:val="auto"/>
                <w:sz w:val="21"/>
                <w:szCs w:val="21"/>
                <w:highlight w:val="none"/>
                <w:lang w:val="en-US" w:eastAsia="zh-CN" w:bidi="ar"/>
              </w:rPr>
              <w:t>2008/</w:t>
            </w:r>
            <w:r>
              <w:rPr>
                <w:rFonts w:hint="eastAsia" w:ascii="宋体" w:hAnsi="宋体" w:eastAsia="宋体" w:cs="宋体"/>
                <w:b w:val="0"/>
                <w:bCs w:val="0"/>
                <w:color w:val="auto"/>
                <w:sz w:val="21"/>
                <w:szCs w:val="21"/>
                <w:highlight w:val="none"/>
                <w:lang w:bidi="ar"/>
              </w:rPr>
              <w:t>2019</w:t>
            </w:r>
            <w:r>
              <w:rPr>
                <w:rFonts w:hint="eastAsia" w:ascii="宋体" w:hAnsi="宋体" w:eastAsia="宋体" w:cs="宋体"/>
                <w:b w:val="0"/>
                <w:bCs w:val="0"/>
                <w:color w:val="auto"/>
                <w:sz w:val="21"/>
                <w:szCs w:val="21"/>
                <w:highlight w:val="none"/>
                <w:lang w:val="en-US" w:eastAsia="zh-CN" w:bidi="ar"/>
              </w:rPr>
              <w:t>对摄像机的</w:t>
            </w:r>
            <w:r>
              <w:rPr>
                <w:rFonts w:hint="eastAsia" w:ascii="宋体" w:hAnsi="宋体" w:eastAsia="宋体" w:cs="宋体"/>
                <w:b w:val="0"/>
                <w:bCs w:val="0"/>
                <w:i w:val="0"/>
                <w:iCs w:val="0"/>
                <w:color w:val="auto"/>
                <w:kern w:val="0"/>
                <w:sz w:val="21"/>
                <w:szCs w:val="21"/>
                <w:highlight w:val="none"/>
                <w:u w:val="none"/>
                <w:lang w:val="en-US" w:eastAsia="zh-CN" w:bidi="ar"/>
              </w:rPr>
              <w:t>防浪涌</w:t>
            </w:r>
            <w:r>
              <w:rPr>
                <w:rFonts w:hint="eastAsia" w:ascii="宋体" w:hAnsi="宋体" w:eastAsia="宋体" w:cs="宋体"/>
                <w:b w:val="0"/>
                <w:bCs w:val="0"/>
                <w:color w:val="auto"/>
                <w:sz w:val="21"/>
                <w:szCs w:val="21"/>
                <w:highlight w:val="none"/>
                <w:lang w:val="en-US" w:eastAsia="zh-CN" w:bidi="ar"/>
              </w:rPr>
              <w:t>要求</w:t>
            </w:r>
            <w:r>
              <w:rPr>
                <w:rFonts w:hint="eastAsia" w:ascii="宋体" w:hAnsi="宋体" w:eastAsia="宋体" w:cs="宋体"/>
                <w:b w:val="0"/>
                <w:bCs w:val="0"/>
                <w:color w:val="auto"/>
                <w:sz w:val="21"/>
                <w:szCs w:val="21"/>
                <w:highlight w:val="none"/>
                <w:lang w:eastAsia="zh-CN" w:bidi="ar"/>
              </w:rPr>
              <w:t>。</w:t>
            </w:r>
          </w:p>
          <w:p w14:paraId="2257CB90">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20.稳定性：摄像机在正常工作条件下，具备连续168小时正常工作。</w:t>
            </w:r>
          </w:p>
          <w:p w14:paraId="5E906B96">
            <w:pPr>
              <w:pStyle w:val="15"/>
              <w:keepNext w:val="0"/>
              <w:keepLines w:val="0"/>
              <w:pageBreakBefore w:val="0"/>
              <w:kinsoku/>
              <w:wordWrap/>
              <w:overflowPunct/>
              <w:topLinePunct w:val="0"/>
              <w:autoSpaceDE/>
              <w:autoSpaceDN/>
              <w:bidi w:val="0"/>
              <w:adjustRightInd/>
              <w:snapToGrid/>
              <w:spacing w:line="400" w:lineRule="exact"/>
              <w:ind w:left="0"/>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★21.防护等级：≥IP67。提供所投产品的检测报告原件关键页扫描件（依据GB/T 15211-2013或GA/T 1127-2013或</w:t>
            </w:r>
            <w:r>
              <w:rPr>
                <w:rFonts w:hint="eastAsia" w:ascii="宋体" w:hAnsi="宋体" w:eastAsia="宋体" w:cs="宋体"/>
                <w:b w:val="0"/>
                <w:bCs w:val="0"/>
                <w:color w:val="auto"/>
                <w:sz w:val="21"/>
                <w:szCs w:val="21"/>
                <w:highlight w:val="none"/>
              </w:rPr>
              <w:t>GB/T4208-2017标准</w:t>
            </w:r>
            <w:r>
              <w:rPr>
                <w:rFonts w:hint="eastAsia" w:ascii="宋体" w:hAnsi="宋体" w:eastAsia="宋体" w:cs="宋体"/>
                <w:b w:val="0"/>
                <w:bCs w:val="0"/>
                <w:i w:val="0"/>
                <w:iCs w:val="0"/>
                <w:color w:val="auto"/>
                <w:kern w:val="0"/>
                <w:sz w:val="21"/>
                <w:szCs w:val="21"/>
                <w:highlight w:val="none"/>
                <w:u w:val="none"/>
                <w:lang w:val="en-US" w:eastAsia="zh-CN" w:bidi="ar"/>
              </w:rPr>
              <w:t>）等相关现行国家标准）。</w:t>
            </w:r>
          </w:p>
          <w:p w14:paraId="56B6699A">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★22.具备POE供电功能。提供原厂公开技术文档（白皮书、彩页、官网规格页截图及链接地址均可）。</w:t>
            </w:r>
          </w:p>
          <w:p w14:paraId="3FF93DF3">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u w:val="none"/>
                <w:lang w:val="en-US" w:eastAsia="zh-CN" w:bidi="ar"/>
              </w:rPr>
              <w:t>★23.符合GB/T 28181、Onvif、IPv4/IPv6协议标准。提供所投产品原厂公开技术文档（白皮书、彩页、官网规格页截图及链接地址）或提供承诺函（格式自拟）</w:t>
            </w:r>
            <w:r>
              <w:rPr>
                <w:rFonts w:hint="eastAsia" w:ascii="宋体" w:hAnsi="宋体" w:eastAsia="宋体" w:cs="宋体"/>
                <w:b w:val="0"/>
                <w:bCs w:val="0"/>
                <w:color w:val="auto"/>
                <w:sz w:val="21"/>
                <w:szCs w:val="21"/>
                <w:highlight w:val="none"/>
                <w:u w:val="none"/>
                <w:lang w:val="en-US" w:eastAsia="zh-CN" w:bidi="ar"/>
              </w:rPr>
              <w:t>。</w:t>
            </w:r>
          </w:p>
          <w:p w14:paraId="6A6215A3">
            <w:pPr>
              <w:pStyle w:val="18"/>
              <w:ind w:left="0" w:leftChars="0" w:firstLine="0" w:firstLineChars="0"/>
              <w:rPr>
                <w:rFonts w:hint="eastAsia"/>
                <w:color w:val="auto"/>
                <w:lang w:val="en-US" w:eastAsia="zh-CN"/>
              </w:rPr>
            </w:pPr>
          </w:p>
          <w:p w14:paraId="6AE7325E">
            <w:pPr>
              <w:keepNext w:val="0"/>
              <w:keepLines w:val="0"/>
              <w:pageBreakBefore w:val="0"/>
              <w:kinsoku/>
              <w:wordWrap/>
              <w:overflowPunct/>
              <w:topLinePunct w:val="0"/>
              <w:autoSpaceDE/>
              <w:autoSpaceDN/>
              <w:bidi w:val="0"/>
              <w:adjustRightInd/>
              <w:snapToGrid/>
              <w:spacing w:beforeAutospacing="0" w:afterAutospacing="0" w:line="400" w:lineRule="exact"/>
              <w:ind w:left="0" w:leftChars="0" w:right="0" w:rightChars="0"/>
              <w:rPr>
                <w:rFonts w:hint="eastAsia" w:asciiTheme="minorEastAsia" w:hAnsiTheme="minorEastAsia" w:eastAsiaTheme="minorEastAsia" w:cstheme="minorEastAsia"/>
                <w:color w:val="auto"/>
                <w:sz w:val="21"/>
                <w:szCs w:val="21"/>
                <w:vertAlign w:val="baseline"/>
                <w:lang w:val="en-US" w:eastAsia="zh-CN"/>
              </w:rPr>
            </w:pPr>
            <w:r>
              <w:rPr>
                <w:rFonts w:hint="eastAsia" w:ascii="宋体" w:hAnsi="宋体" w:eastAsia="宋体" w:cs="宋体"/>
                <w:b w:val="0"/>
                <w:bCs w:val="0"/>
                <w:color w:val="auto"/>
                <w:sz w:val="21"/>
                <w:szCs w:val="21"/>
                <w:highlight w:val="none"/>
                <w:lang w:val="en-US" w:eastAsia="zh-CN"/>
              </w:rPr>
              <w:t>注：</w:t>
            </w:r>
            <w:r>
              <w:rPr>
                <w:rFonts w:hint="eastAsia" w:ascii="宋体" w:hAnsi="宋体" w:eastAsia="宋体" w:cs="宋体"/>
                <w:b w:val="0"/>
                <w:bCs w:val="0"/>
                <w:i w:val="0"/>
                <w:iCs w:val="0"/>
                <w:color w:val="auto"/>
                <w:kern w:val="0"/>
                <w:sz w:val="21"/>
                <w:szCs w:val="21"/>
                <w:highlight w:val="none"/>
                <w:u w:val="none"/>
                <w:lang w:val="en-US" w:eastAsia="zh-CN" w:bidi="ar"/>
              </w:rPr>
              <w:t>提供检测报告的，按第四章商务要求（其他要求的第2条）中明确的要求、提供相关佐证材料。</w:t>
            </w:r>
          </w:p>
        </w:tc>
      </w:tr>
      <w:tr w14:paraId="33653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shd w:val="clear" w:color="auto" w:fill="auto"/>
            <w:vAlign w:val="center"/>
          </w:tcPr>
          <w:p w14:paraId="1030DCA7">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color w:val="auto"/>
                <w:kern w:val="2"/>
                <w:sz w:val="21"/>
                <w:szCs w:val="21"/>
                <w:vertAlign w:val="baseli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19</w:t>
            </w:r>
          </w:p>
        </w:tc>
        <w:tc>
          <w:tcPr>
            <w:tcW w:w="1350" w:type="dxa"/>
            <w:vAlign w:val="center"/>
          </w:tcPr>
          <w:p w14:paraId="7CBB20E8">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i w:val="0"/>
                <w:iCs w:val="0"/>
                <w:color w:val="auto"/>
                <w:kern w:val="0"/>
                <w:sz w:val="21"/>
                <w:szCs w:val="21"/>
                <w:u w:val="none"/>
                <w:lang w:val="en-US" w:eastAsia="zh-CN" w:bidi="ar"/>
              </w:rPr>
              <w:t>高清网络摄像机支架</w:t>
            </w:r>
          </w:p>
        </w:tc>
        <w:tc>
          <w:tcPr>
            <w:tcW w:w="7009" w:type="dxa"/>
            <w:vAlign w:val="center"/>
          </w:tcPr>
          <w:p w14:paraId="0689A44C">
            <w:pPr>
              <w:keepNext w:val="0"/>
              <w:keepLines w:val="0"/>
              <w:pageBreakBefore w:val="0"/>
              <w:kinsoku/>
              <w:wordWrap/>
              <w:overflowPunct/>
              <w:topLinePunct w:val="0"/>
              <w:autoSpaceDE/>
              <w:autoSpaceDN/>
              <w:bidi w:val="0"/>
              <w:adjustRightInd/>
              <w:snapToGrid/>
              <w:spacing w:beforeAutospacing="0" w:afterAutospacing="0" w:line="400" w:lineRule="exact"/>
              <w:ind w:left="0" w:leftChars="0" w:right="0" w:rightChars="0"/>
              <w:jc w:val="both"/>
              <w:rPr>
                <w:rFonts w:hint="eastAsia" w:asciiTheme="minorEastAsia" w:hAnsiTheme="minorEastAsia" w:eastAsiaTheme="minorEastAsia" w:cstheme="minorEastAsia"/>
                <w:color w:val="auto"/>
                <w:sz w:val="21"/>
                <w:szCs w:val="21"/>
                <w:vertAlign w:val="baseline"/>
                <w:lang w:val="en-US" w:eastAsia="zh-CN"/>
              </w:rPr>
            </w:pPr>
            <w:r>
              <w:rPr>
                <w:rFonts w:hint="eastAsia" w:ascii="宋体" w:hAnsi="宋体" w:eastAsia="宋体" w:cs="宋体"/>
                <w:i w:val="0"/>
                <w:iCs w:val="0"/>
                <w:color w:val="auto"/>
                <w:kern w:val="0"/>
                <w:sz w:val="21"/>
                <w:szCs w:val="21"/>
                <w:highlight w:val="none"/>
                <w:u w:val="none"/>
                <w:lang w:val="en-US" w:eastAsia="zh-CN" w:bidi="ar"/>
              </w:rPr>
              <w:t>材质铝合金或白钢支架，满足吊装/壁装多种场景。</w:t>
            </w:r>
          </w:p>
        </w:tc>
      </w:tr>
      <w:tr w14:paraId="4A9DF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shd w:val="clear" w:color="auto" w:fill="auto"/>
            <w:vAlign w:val="center"/>
          </w:tcPr>
          <w:p w14:paraId="7F63E433">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color w:val="auto"/>
                <w:kern w:val="2"/>
                <w:sz w:val="21"/>
                <w:szCs w:val="21"/>
                <w:vertAlign w:val="baseli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20</w:t>
            </w:r>
          </w:p>
        </w:tc>
        <w:tc>
          <w:tcPr>
            <w:tcW w:w="1350" w:type="dxa"/>
            <w:vAlign w:val="center"/>
          </w:tcPr>
          <w:p w14:paraId="12E7FBFA">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i w:val="0"/>
                <w:iCs w:val="0"/>
                <w:color w:val="auto"/>
                <w:kern w:val="0"/>
                <w:sz w:val="21"/>
                <w:szCs w:val="21"/>
                <w:u w:val="none"/>
                <w:lang w:val="en-US" w:eastAsia="zh-CN" w:bidi="ar"/>
              </w:rPr>
              <w:t>24电口千兆POE交换机</w:t>
            </w:r>
          </w:p>
        </w:tc>
        <w:tc>
          <w:tcPr>
            <w:tcW w:w="7009" w:type="dxa"/>
          </w:tcPr>
          <w:p w14:paraId="1F6D4A4A">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一、端口与性能（提供原厂公开技术文档（白皮书、彩页、官网规格页截图及链接地址均可））</w:t>
            </w:r>
          </w:p>
          <w:p w14:paraId="79D1CE67">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 端口配置：提供 ≥24 个 10/100/1000M 自适应以太网电口（RJ45），全部支持不低于 IEEE 802.3at（PoE+）；提供 ≥4 个 千兆SFP光口。</w:t>
            </w:r>
          </w:p>
          <w:p w14:paraId="05D39F67">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 交换性能：</w:t>
            </w:r>
          </w:p>
          <w:p w14:paraId="75C76426">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整机交换容量 ≥600 Gbps；整机包转发率 ≥ 120 Mpps。</w:t>
            </w:r>
          </w:p>
          <w:p w14:paraId="1840A8E3">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二、PoE供电能力（提供原厂公开技术文档（白皮书、彩页、官网规格页截图及链接地址均可））</w:t>
            </w:r>
          </w:p>
          <w:p w14:paraId="74039AD7">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 PoE标准与功率：至少支持 IEEE 802.3at（PoE+），同时可POE供电端口≥24个；整机可用PoE功率 ≥ 370W。（实际供电需满足学校使用需求）。</w:t>
            </w:r>
          </w:p>
          <w:p w14:paraId="5A932D57">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三、三层路由与IPv6支持</w:t>
            </w:r>
          </w:p>
          <w:p w14:paraId="6BCD4CF9">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 路由协议：支持以下IPv4/IPv6路由功能：静态路由；RIPv1/v2、RIPng；OSPFv2、OSPFv3；</w:t>
            </w:r>
          </w:p>
          <w:p w14:paraId="00C74659">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支持IPv4/IPv6双栈及组播转发。</w:t>
            </w:r>
          </w:p>
          <w:p w14:paraId="7E83E9F5">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四、VLAN、堆叠与链路聚合</w:t>
            </w:r>
          </w:p>
          <w:p w14:paraId="28C73403">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 VLAN划分：支持基于端口、MAC地址、协议类型的VLAN。</w:t>
            </w:r>
          </w:p>
          <w:p w14:paraId="0B11C8FF">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6. 高可用与聚合：支持多台设备虚拟化堆叠（物理或逻辑），实现统一管理；支持静态链路聚合及 LACP（IEEE 802.3ad）动态聚合。</w:t>
            </w:r>
          </w:p>
          <w:p w14:paraId="4661419C">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五、安全与终端管控</w:t>
            </w:r>
          </w:p>
          <w:p w14:paraId="06B8D5B6">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7. 设备抗攻击能力：具备CPU保护机制，限制非法报文（如泛洪、畸形包）对主控CPU的冲击；支持ARP网关欺骗防御（如DAI、ARP Check）；支持ICMP泛洪、SYN Flood等DoS攻击防护策略。</w:t>
            </w:r>
          </w:p>
          <w:p w14:paraId="07593174">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8. 表项容量：MAC地址表 ≥ 16K；ARP表项 ≥ 4K；IPv4 FIB表项 ≥ 1K。提供原厂公开技术文档（白皮书、彩页、官网规格页截图及链接地址均可）。</w:t>
            </w:r>
          </w:p>
          <w:p w14:paraId="1B60E0F0">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六、可靠性与环境适应性</w:t>
            </w:r>
          </w:p>
          <w:p w14:paraId="574D72E6">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 端口防雷能力：所有业务电口具备 ≥6 kV（线-地）浪涌抗扰度，符合 IEC 61000-4-5 或 GB/T 17626.5 标准。</w:t>
            </w:r>
          </w:p>
          <w:p w14:paraId="5D634FA3">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10. 节能环保：支持 IEEE 802.3az（EEE）高效节能以太网，在端口空闲时自动进入低功耗模式，有流量时快速恢复。</w:t>
            </w:r>
          </w:p>
          <w:p w14:paraId="50D54F41">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七、管理与运维</w:t>
            </w:r>
          </w:p>
          <w:p w14:paraId="74224577">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11. SDN与认证支持：支持SDN架构（如OpenFlow 1.3或等效开放API）；支持 IEEE 802.1X 端口认证，可对接主流RADIUS认证服务器。</w:t>
            </w:r>
          </w:p>
          <w:p w14:paraId="34ED92CE">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12. 管理接口：支持 SNMP v1/v2c/v3、CLI（Console/Telnet/SSH）、Web GUI、Syslog、NTP、TFTP/FTP/SFTP 等标准管理协议。</w:t>
            </w:r>
          </w:p>
          <w:p w14:paraId="737818C4">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八、合规与强制认证</w:t>
            </w:r>
          </w:p>
          <w:p w14:paraId="68F88E95">
            <w:pPr>
              <w:keepNext w:val="0"/>
              <w:keepLines w:val="0"/>
              <w:pageBreakBefore w:val="0"/>
              <w:kinsoku/>
              <w:wordWrap/>
              <w:overflowPunct/>
              <w:topLinePunct w:val="0"/>
              <w:autoSpaceDE/>
              <w:autoSpaceDN/>
              <w:bidi w:val="0"/>
              <w:adjustRightInd/>
              <w:snapToGrid/>
              <w:spacing w:beforeAutospacing="0" w:afterAutospacing="0" w:line="400" w:lineRule="exact"/>
              <w:ind w:left="0" w:leftChars="0" w:right="0" w:rightChars="0"/>
              <w:rPr>
                <w:rFonts w:hint="eastAsia" w:asciiTheme="minorEastAsia" w:hAnsiTheme="minorEastAsia" w:eastAsiaTheme="minorEastAsia" w:cstheme="minorEastAsia"/>
                <w:color w:val="auto"/>
                <w:sz w:val="21"/>
                <w:szCs w:val="21"/>
                <w:vertAlign w:val="baseline"/>
                <w:lang w:val="en-US" w:eastAsia="zh-CN"/>
              </w:rPr>
            </w:pPr>
            <w:r>
              <w:rPr>
                <w:rFonts w:hint="eastAsia" w:ascii="宋体" w:hAnsi="宋体" w:eastAsia="宋体" w:cs="宋体"/>
                <w:b w:val="0"/>
                <w:bCs w:val="0"/>
                <w:color w:val="auto"/>
                <w:sz w:val="21"/>
                <w:szCs w:val="21"/>
                <w:highlight w:val="none"/>
                <w:lang w:val="en-US" w:eastAsia="zh-CN"/>
              </w:rPr>
              <w:t>★13. 电信设备进网许可（CTA）：所投产品必须具备工业和信息化部核发的有效《电信设备进网许可证》。投标时须提供：进网许可证清晰扫描件；工信部官网查询结果截图，显示设备型号、生产企业、许可证编号及状态为“有效”。</w:t>
            </w:r>
          </w:p>
        </w:tc>
      </w:tr>
      <w:tr w14:paraId="1F9DE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shd w:val="clear" w:color="auto" w:fill="auto"/>
            <w:vAlign w:val="center"/>
          </w:tcPr>
          <w:p w14:paraId="66A3FCAE">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color w:val="auto"/>
                <w:kern w:val="2"/>
                <w:sz w:val="21"/>
                <w:szCs w:val="21"/>
                <w:vertAlign w:val="baseli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21</w:t>
            </w:r>
          </w:p>
        </w:tc>
        <w:tc>
          <w:tcPr>
            <w:tcW w:w="1350" w:type="dxa"/>
            <w:vAlign w:val="center"/>
          </w:tcPr>
          <w:p w14:paraId="586B8167">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i w:val="0"/>
                <w:iCs w:val="0"/>
                <w:color w:val="auto"/>
                <w:kern w:val="0"/>
                <w:sz w:val="21"/>
                <w:szCs w:val="21"/>
                <w:u w:val="none"/>
                <w:lang w:val="en-US" w:eastAsia="zh-CN" w:bidi="ar"/>
              </w:rPr>
              <w:t>8电口POE千兆交换机</w:t>
            </w:r>
          </w:p>
        </w:tc>
        <w:tc>
          <w:tcPr>
            <w:tcW w:w="7009" w:type="dxa"/>
          </w:tcPr>
          <w:p w14:paraId="3D5E78A6">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★1.交换能力≥256Gbps ，包转发速率≥25Mpps，≥8个千兆电口，≥1个1G SPF千兆光口，提供官网截图或原厂白皮书或检测报告加盖公章。</w:t>
            </w:r>
          </w:p>
          <w:p w14:paraId="78CF75A3">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★2.支持802.3at POE+功能 ；POE功率≥120W，提供原厂白皮书或者产品彩页或者官网截图（带链接）（实际供电需满足学校使用需求）。</w:t>
            </w:r>
          </w:p>
          <w:p w14:paraId="7686308E">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3.支持IPv4静态路由、RIP V1/V2、OSPF，支持IPv6静态路由、RIPng，支持 IPv4 和 IPv6 的三层路由和组播功能。</w:t>
            </w:r>
          </w:p>
          <w:p w14:paraId="35443582">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4.支持基于端口的VLAN，支持基于协议的VLAN；支持基于MAC的VLAN。</w:t>
            </w:r>
          </w:p>
          <w:p w14:paraId="0D6F1070">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5.支持最多8个端口聚合。</w:t>
            </w:r>
          </w:p>
          <w:p w14:paraId="29CE7DB2">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6.实现CPU保护功能，能限制非法报文对CPU的攻击，保护交换机在各种环境下稳定工作。</w:t>
            </w:r>
          </w:p>
          <w:p w14:paraId="07777EC0">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7.要求所投产品支持防雷等级≥10KV。</w:t>
            </w:r>
          </w:p>
          <w:p w14:paraId="0C54401E">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8.支持MAC地址≥16K。提供证明材料</w:t>
            </w:r>
          </w:p>
          <w:p w14:paraId="32F9D310">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9.支持RIP、RIPng、OSPF、OSPFv3路由协议。</w:t>
            </w:r>
          </w:p>
          <w:p w14:paraId="3559264B">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10.支持 ERPS 以太环保护协议（G.8032）。</w:t>
            </w:r>
          </w:p>
          <w:p w14:paraId="57DA3FB6">
            <w:pPr>
              <w:keepNext w:val="0"/>
              <w:keepLines w:val="0"/>
              <w:pageBreakBefore w:val="0"/>
              <w:kinsoku/>
              <w:wordWrap/>
              <w:overflowPunct/>
              <w:topLinePunct w:val="0"/>
              <w:autoSpaceDE/>
              <w:autoSpaceDN/>
              <w:bidi w:val="0"/>
              <w:adjustRightInd/>
              <w:snapToGrid/>
              <w:spacing w:beforeAutospacing="0" w:afterAutospacing="0" w:line="400" w:lineRule="exact"/>
              <w:ind w:left="0" w:leftChars="0" w:right="0" w:rightChars="0"/>
              <w:rPr>
                <w:rFonts w:hint="eastAsia" w:asciiTheme="minorEastAsia" w:hAnsiTheme="minorEastAsia" w:eastAsiaTheme="minorEastAsia" w:cstheme="minorEastAsia"/>
                <w:color w:val="auto"/>
                <w:sz w:val="21"/>
                <w:szCs w:val="21"/>
                <w:vertAlign w:val="baseline"/>
                <w:lang w:val="en-US" w:eastAsia="zh-CN"/>
              </w:rPr>
            </w:pPr>
            <w:r>
              <w:rPr>
                <w:rFonts w:hint="eastAsia" w:ascii="宋体" w:hAnsi="宋体" w:eastAsia="宋体" w:cs="宋体"/>
                <w:b w:val="0"/>
                <w:bCs w:val="0"/>
                <w:color w:val="auto"/>
                <w:sz w:val="21"/>
                <w:szCs w:val="21"/>
                <w:highlight w:val="none"/>
                <w:lang w:val="en-US" w:eastAsia="zh-CN"/>
              </w:rPr>
              <w:t>★11.所投产品具备工业和信息化部颁发的进网许可证（CTA认证），提供证书扫描件和工信部网站查询的进网许可截图。</w:t>
            </w:r>
          </w:p>
        </w:tc>
      </w:tr>
      <w:tr w14:paraId="24D89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shd w:val="clear" w:color="auto" w:fill="auto"/>
            <w:vAlign w:val="center"/>
          </w:tcPr>
          <w:p w14:paraId="62DA3913">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color w:val="auto"/>
                <w:kern w:val="2"/>
                <w:sz w:val="21"/>
                <w:szCs w:val="21"/>
                <w:vertAlign w:val="baseli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22</w:t>
            </w:r>
          </w:p>
        </w:tc>
        <w:tc>
          <w:tcPr>
            <w:tcW w:w="1350" w:type="dxa"/>
            <w:vAlign w:val="center"/>
          </w:tcPr>
          <w:p w14:paraId="477573EF">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i w:val="0"/>
                <w:iCs w:val="0"/>
                <w:color w:val="auto"/>
                <w:kern w:val="0"/>
                <w:sz w:val="21"/>
                <w:szCs w:val="21"/>
                <w:u w:val="none"/>
                <w:lang w:val="en-US" w:eastAsia="zh-CN" w:bidi="ar"/>
              </w:rPr>
              <w:t>24口千兆交换机</w:t>
            </w:r>
          </w:p>
        </w:tc>
        <w:tc>
          <w:tcPr>
            <w:tcW w:w="7009" w:type="dxa"/>
          </w:tcPr>
          <w:p w14:paraId="5BC7ECC0">
            <w:pPr>
              <w:pStyle w:val="18"/>
              <w:keepNext w:val="0"/>
              <w:keepLines w:val="0"/>
              <w:pageBreakBefore w:val="0"/>
              <w:kinsoku/>
              <w:wordWrap/>
              <w:overflowPunct/>
              <w:topLinePunct w:val="0"/>
              <w:autoSpaceDE/>
              <w:autoSpaceDN/>
              <w:bidi w:val="0"/>
              <w:adjustRightInd/>
              <w:snapToGrid/>
              <w:spacing w:line="360" w:lineRule="exact"/>
              <w:ind w:left="0" w:leftChars="0" w:firstLine="0" w:firstLineChars="0"/>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一、端口与性能</w:t>
            </w: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w:t>
            </w:r>
            <w:r>
              <w:rPr>
                <w:rFonts w:hint="eastAsia" w:asciiTheme="minorEastAsia" w:hAnsiTheme="minorEastAsia" w:eastAsiaTheme="minorEastAsia" w:cstheme="minorEastAsia"/>
                <w:b/>
                <w:bCs/>
                <w:color w:val="auto"/>
                <w:sz w:val="21"/>
                <w:szCs w:val="21"/>
                <w:highlight w:val="none"/>
                <w:lang w:val="en-US" w:eastAsia="zh-CN"/>
              </w:rPr>
              <w:t>提供原厂公开技术文档（白皮书、彩页、官网规格页截图及链接地址均可）</w:t>
            </w: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w:t>
            </w:r>
          </w:p>
          <w:p w14:paraId="4243E9D2">
            <w:pPr>
              <w:pStyle w:val="18"/>
              <w:keepNext w:val="0"/>
              <w:keepLines w:val="0"/>
              <w:pageBreakBefore w:val="0"/>
              <w:kinsoku/>
              <w:wordWrap/>
              <w:overflowPunct/>
              <w:topLinePunct w:val="0"/>
              <w:autoSpaceDE/>
              <w:autoSpaceDN/>
              <w:bidi w:val="0"/>
              <w:adjustRightInd/>
              <w:snapToGrid/>
              <w:spacing w:line="360" w:lineRule="exact"/>
              <w:ind w:left="0" w:leftChars="0" w:firstLine="0" w:firstLineChars="0"/>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 端口配置：</w:t>
            </w:r>
          </w:p>
          <w:p w14:paraId="554BB4EC">
            <w:pPr>
              <w:pStyle w:val="18"/>
              <w:keepNext w:val="0"/>
              <w:keepLines w:val="0"/>
              <w:pageBreakBefore w:val="0"/>
              <w:kinsoku/>
              <w:wordWrap/>
              <w:overflowPunct/>
              <w:topLinePunct w:val="0"/>
              <w:autoSpaceDE/>
              <w:autoSpaceDN/>
              <w:bidi w:val="0"/>
              <w:adjustRightInd/>
              <w:snapToGrid/>
              <w:spacing w:line="360" w:lineRule="exact"/>
              <w:ind w:left="0" w:leftChars="0" w:firstLine="0" w:firstLineChars="0"/>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提供 ≥ 24 个 10/100/1000M 自适应以太网电口（RJ45）；</w:t>
            </w:r>
          </w:p>
          <w:p w14:paraId="20A308E6">
            <w:pPr>
              <w:pStyle w:val="18"/>
              <w:keepNext w:val="0"/>
              <w:keepLines w:val="0"/>
              <w:pageBreakBefore w:val="0"/>
              <w:kinsoku/>
              <w:wordWrap/>
              <w:overflowPunct/>
              <w:topLinePunct w:val="0"/>
              <w:autoSpaceDE/>
              <w:autoSpaceDN/>
              <w:bidi w:val="0"/>
              <w:adjustRightInd/>
              <w:snapToGrid/>
              <w:spacing w:line="360" w:lineRule="exact"/>
              <w:ind w:left="0" w:leftChars="0" w:firstLine="0" w:firstLineChars="0"/>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提供 ≥ 4 个 光接口，支持 1G/2.5G/10G SFP/SFP+（Combo口或独立光口均可）。</w:t>
            </w:r>
          </w:p>
          <w:p w14:paraId="4A8917B0">
            <w:pPr>
              <w:pStyle w:val="18"/>
              <w:keepNext w:val="0"/>
              <w:keepLines w:val="0"/>
              <w:pageBreakBefore w:val="0"/>
              <w:kinsoku/>
              <w:wordWrap/>
              <w:overflowPunct/>
              <w:topLinePunct w:val="0"/>
              <w:autoSpaceDE/>
              <w:autoSpaceDN/>
              <w:bidi w:val="0"/>
              <w:adjustRightInd/>
              <w:snapToGrid/>
              <w:spacing w:line="360" w:lineRule="exact"/>
              <w:ind w:left="0" w:leftChars="0" w:firstLine="0" w:firstLineChars="0"/>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 交换性能：整机交换容量 ≥ 600 Gbps；整机包转发率 ≥ 120 Mpps。</w:t>
            </w:r>
          </w:p>
          <w:p w14:paraId="0AF8945C">
            <w:pPr>
              <w:pStyle w:val="18"/>
              <w:keepNext w:val="0"/>
              <w:keepLines w:val="0"/>
              <w:pageBreakBefore w:val="0"/>
              <w:kinsoku/>
              <w:wordWrap/>
              <w:overflowPunct/>
              <w:topLinePunct w:val="0"/>
              <w:autoSpaceDE/>
              <w:autoSpaceDN/>
              <w:bidi w:val="0"/>
              <w:adjustRightInd/>
              <w:snapToGrid/>
              <w:spacing w:line="360" w:lineRule="exact"/>
              <w:ind w:left="0" w:leftChars="0" w:firstLine="0" w:firstLineChars="0"/>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二、三层路由与IPv6支持</w:t>
            </w:r>
          </w:p>
          <w:p w14:paraId="1CC1664A">
            <w:pPr>
              <w:pStyle w:val="18"/>
              <w:keepNext w:val="0"/>
              <w:keepLines w:val="0"/>
              <w:pageBreakBefore w:val="0"/>
              <w:kinsoku/>
              <w:wordWrap/>
              <w:overflowPunct/>
              <w:topLinePunct w:val="0"/>
              <w:autoSpaceDE/>
              <w:autoSpaceDN/>
              <w:bidi w:val="0"/>
              <w:adjustRightInd/>
              <w:snapToGrid/>
              <w:spacing w:line="360" w:lineRule="exact"/>
              <w:ind w:left="0" w:leftChars="0" w:firstLine="0" w:firstLineChars="0"/>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 路由协议：支持以下IPv4/IPv6路由功能：静态路由；RIPv1/v2、RIPng；OSPFv2、OSPFv3；支持IPv4/IPv6双栈及组播转发。</w:t>
            </w:r>
          </w:p>
          <w:p w14:paraId="108927F7">
            <w:pPr>
              <w:pStyle w:val="18"/>
              <w:keepNext w:val="0"/>
              <w:keepLines w:val="0"/>
              <w:pageBreakBefore w:val="0"/>
              <w:kinsoku/>
              <w:wordWrap/>
              <w:overflowPunct/>
              <w:topLinePunct w:val="0"/>
              <w:autoSpaceDE/>
              <w:autoSpaceDN/>
              <w:bidi w:val="0"/>
              <w:adjustRightInd/>
              <w:snapToGrid/>
              <w:spacing w:line="360" w:lineRule="exact"/>
              <w:ind w:left="0" w:leftChars="0" w:firstLine="0" w:firstLineChars="0"/>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三、高可用与环网保护</w:t>
            </w:r>
          </w:p>
          <w:p w14:paraId="4650596C">
            <w:pPr>
              <w:pStyle w:val="18"/>
              <w:keepNext w:val="0"/>
              <w:keepLines w:val="0"/>
              <w:pageBreakBefore w:val="0"/>
              <w:kinsoku/>
              <w:wordWrap/>
              <w:overflowPunct/>
              <w:topLinePunct w:val="0"/>
              <w:autoSpaceDE/>
              <w:autoSpaceDN/>
              <w:bidi w:val="0"/>
              <w:adjustRightInd/>
              <w:snapToGrid/>
              <w:spacing w:line="360" w:lineRule="exact"/>
              <w:ind w:left="0" w:leftChars="0" w:firstLine="0" w:firstLineChars="0"/>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4. 生成树与堆叠：支持 IEEE 802.1D（STP）、802.1w（RSTP）、802.1s（MSTP），具备快速收敛能力；支持多台设备虚拟化堆叠（物理或逻辑），统一管理。</w:t>
            </w:r>
          </w:p>
          <w:p w14:paraId="2FFD5CA1">
            <w:pPr>
              <w:pStyle w:val="18"/>
              <w:keepNext w:val="0"/>
              <w:keepLines w:val="0"/>
              <w:pageBreakBefore w:val="0"/>
              <w:kinsoku/>
              <w:wordWrap/>
              <w:overflowPunct/>
              <w:topLinePunct w:val="0"/>
              <w:autoSpaceDE/>
              <w:autoSpaceDN/>
              <w:bidi w:val="0"/>
              <w:adjustRightInd/>
              <w:snapToGrid/>
              <w:spacing w:line="360" w:lineRule="exact"/>
              <w:ind w:left="0" w:leftChars="0" w:firstLine="0" w:firstLineChars="0"/>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 以太环网保护：支持 ITU-T G.8032（ERPS）以太环网保护协议。</w:t>
            </w:r>
          </w:p>
          <w:p w14:paraId="07F35C5D">
            <w:pPr>
              <w:pStyle w:val="18"/>
              <w:keepNext w:val="0"/>
              <w:keepLines w:val="0"/>
              <w:pageBreakBefore w:val="0"/>
              <w:kinsoku/>
              <w:wordWrap/>
              <w:overflowPunct/>
              <w:topLinePunct w:val="0"/>
              <w:autoSpaceDE/>
              <w:autoSpaceDN/>
              <w:bidi w:val="0"/>
              <w:adjustRightInd/>
              <w:snapToGrid/>
              <w:spacing w:line="360" w:lineRule="exact"/>
              <w:ind w:left="0" w:leftChars="0" w:firstLine="0" w:firstLineChars="0"/>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6. 链路与环路检测：支持标准链路连通性检测机制（如 IEEE 802.1ag CFM、Y.1731 或等效技术），可识别光纤单向故障；支持端口级环路检测，当检测到私接Hub/交换机形成环路时，可自动阻断端口或告警。</w:t>
            </w:r>
          </w:p>
          <w:p w14:paraId="4AE9638C">
            <w:pPr>
              <w:pStyle w:val="18"/>
              <w:keepNext w:val="0"/>
              <w:keepLines w:val="0"/>
              <w:pageBreakBefore w:val="0"/>
              <w:kinsoku/>
              <w:wordWrap/>
              <w:overflowPunct/>
              <w:topLinePunct w:val="0"/>
              <w:autoSpaceDE/>
              <w:autoSpaceDN/>
              <w:bidi w:val="0"/>
              <w:adjustRightInd/>
              <w:snapToGrid/>
              <w:spacing w:line="360" w:lineRule="exact"/>
              <w:ind w:left="0" w:leftChars="0" w:firstLine="0" w:firstLineChars="0"/>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四、VLAN与ACL策略</w:t>
            </w:r>
          </w:p>
          <w:p w14:paraId="0CE58F4B">
            <w:pPr>
              <w:pStyle w:val="18"/>
              <w:keepNext w:val="0"/>
              <w:keepLines w:val="0"/>
              <w:pageBreakBefore w:val="0"/>
              <w:kinsoku/>
              <w:wordWrap/>
              <w:overflowPunct/>
              <w:topLinePunct w:val="0"/>
              <w:autoSpaceDE/>
              <w:autoSpaceDN/>
              <w:bidi w:val="0"/>
              <w:adjustRightInd/>
              <w:snapToGrid/>
              <w:spacing w:line="360" w:lineRule="exact"/>
              <w:ind w:left="0" w:leftChars="0" w:firstLine="0" w:firstLineChars="0"/>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7. VLAN划分：支持基于端口、MAC地址、协议类型的VLAN。</w:t>
            </w:r>
          </w:p>
          <w:p w14:paraId="0FF03D22">
            <w:pPr>
              <w:pStyle w:val="18"/>
              <w:keepNext w:val="0"/>
              <w:keepLines w:val="0"/>
              <w:pageBreakBefore w:val="0"/>
              <w:kinsoku/>
              <w:wordWrap/>
              <w:overflowPunct/>
              <w:topLinePunct w:val="0"/>
              <w:autoSpaceDE/>
              <w:autoSpaceDN/>
              <w:bidi w:val="0"/>
              <w:adjustRightInd/>
              <w:snapToGrid/>
              <w:spacing w:line="360" w:lineRule="exact"/>
              <w:ind w:left="0" w:leftChars="0" w:firstLine="0" w:firstLineChars="0"/>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8. 访问控制（ACL）：支持基于L2/L3/L4的ACL；支持基于端口和VLAN的ACL；支持出方向（Egress）ACL，实现灵活数据包过滤。</w:t>
            </w:r>
          </w:p>
          <w:p w14:paraId="22B74530">
            <w:pPr>
              <w:pStyle w:val="18"/>
              <w:keepNext w:val="0"/>
              <w:keepLines w:val="0"/>
              <w:pageBreakBefore w:val="0"/>
              <w:kinsoku/>
              <w:wordWrap/>
              <w:overflowPunct/>
              <w:topLinePunct w:val="0"/>
              <w:autoSpaceDE/>
              <w:autoSpaceDN/>
              <w:bidi w:val="0"/>
              <w:adjustRightInd/>
              <w:snapToGrid/>
              <w:spacing w:line="360" w:lineRule="exact"/>
              <w:ind w:left="0" w:leftChars="0" w:firstLine="0" w:firstLineChars="0"/>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五、安全防护能力</w:t>
            </w:r>
          </w:p>
          <w:p w14:paraId="1E8DB835">
            <w:pPr>
              <w:pStyle w:val="18"/>
              <w:keepNext w:val="0"/>
              <w:keepLines w:val="0"/>
              <w:pageBreakBefore w:val="0"/>
              <w:kinsoku/>
              <w:wordWrap/>
              <w:overflowPunct/>
              <w:topLinePunct w:val="0"/>
              <w:autoSpaceDE/>
              <w:autoSpaceDN/>
              <w:bidi w:val="0"/>
              <w:adjustRightInd/>
              <w:snapToGrid/>
              <w:spacing w:line="360" w:lineRule="exact"/>
              <w:ind w:left="0" w:leftChars="0" w:firstLine="0" w:firstLineChars="0"/>
              <w:jc w:val="left"/>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9. 设备抗攻击：具备CPU保护机制，限制非法报文（如泛洪、畸形包）对主控CPU的冲击。</w:t>
            </w:r>
          </w:p>
          <w:p w14:paraId="4449B937">
            <w:pPr>
              <w:pStyle w:val="18"/>
              <w:keepNext w:val="0"/>
              <w:keepLines w:val="0"/>
              <w:pageBreakBefore w:val="0"/>
              <w:kinsoku/>
              <w:wordWrap/>
              <w:overflowPunct/>
              <w:topLinePunct w:val="0"/>
              <w:autoSpaceDE/>
              <w:autoSpaceDN/>
              <w:bidi w:val="0"/>
              <w:adjustRightInd/>
              <w:snapToGrid/>
              <w:spacing w:line="360" w:lineRule="exact"/>
              <w:ind w:left="0" w:leftChars="0" w:firstLine="0" w:firstLineChars="0"/>
              <w:jc w:val="left"/>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支持ARP网关欺骗防御（如DAI、ARP Check）；支持ICMP泛洪、SYN Flood等DoS攻击防护。</w:t>
            </w:r>
          </w:p>
          <w:p w14:paraId="142E30FE">
            <w:pPr>
              <w:pStyle w:val="18"/>
              <w:keepNext w:val="0"/>
              <w:keepLines w:val="0"/>
              <w:pageBreakBefore w:val="0"/>
              <w:kinsoku/>
              <w:wordWrap/>
              <w:overflowPunct/>
              <w:topLinePunct w:val="0"/>
              <w:autoSpaceDE/>
              <w:autoSpaceDN/>
              <w:bidi w:val="0"/>
              <w:adjustRightInd/>
              <w:snapToGrid/>
              <w:spacing w:line="360" w:lineRule="exact"/>
              <w:ind w:left="0" w:leftChars="0" w:firstLine="0" w:firstLineChars="0"/>
              <w:jc w:val="left"/>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10. 表项容量：MAC地址表 ≥ 16K；ARP表项 ≥ 1K；IPv4 FIB表项 ≥ 1K。</w:t>
            </w:r>
            <w:r>
              <w:rPr>
                <w:rFonts w:hint="eastAsia" w:asciiTheme="minorEastAsia" w:hAnsiTheme="minorEastAsia" w:eastAsiaTheme="minorEastAsia" w:cstheme="minorEastAsia"/>
                <w:b/>
                <w:bCs/>
                <w:color w:val="auto"/>
                <w:sz w:val="21"/>
                <w:szCs w:val="21"/>
                <w:highlight w:val="none"/>
                <w:lang w:val="en-US" w:eastAsia="zh-CN"/>
              </w:rPr>
              <w:t>提供原厂公开技术文档（白皮书、彩页、官网规格页截图及链接地址均可）</w:t>
            </w: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w:t>
            </w:r>
          </w:p>
          <w:p w14:paraId="6FB0D416">
            <w:pPr>
              <w:pStyle w:val="18"/>
              <w:keepNext w:val="0"/>
              <w:keepLines w:val="0"/>
              <w:pageBreakBefore w:val="0"/>
              <w:kinsoku/>
              <w:wordWrap/>
              <w:overflowPunct/>
              <w:topLinePunct w:val="0"/>
              <w:autoSpaceDE/>
              <w:autoSpaceDN/>
              <w:bidi w:val="0"/>
              <w:adjustRightInd/>
              <w:snapToGrid/>
              <w:spacing w:line="360" w:lineRule="exact"/>
              <w:ind w:left="0" w:leftChars="0" w:firstLine="0" w:firstLineChars="0"/>
              <w:jc w:val="left"/>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六、可靠性与环境适应性</w:t>
            </w:r>
          </w:p>
          <w:p w14:paraId="700DA2A1">
            <w:pPr>
              <w:pStyle w:val="18"/>
              <w:keepNext w:val="0"/>
              <w:keepLines w:val="0"/>
              <w:pageBreakBefore w:val="0"/>
              <w:kinsoku/>
              <w:wordWrap/>
              <w:overflowPunct/>
              <w:topLinePunct w:val="0"/>
              <w:autoSpaceDE/>
              <w:autoSpaceDN/>
              <w:bidi w:val="0"/>
              <w:adjustRightInd/>
              <w:snapToGrid/>
              <w:spacing w:line="360" w:lineRule="exact"/>
              <w:ind w:left="0" w:leftChars="0" w:firstLine="0" w:firstLineChars="0"/>
              <w:jc w:val="left"/>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11. 防雷能力：所有业务电口具备 ≥ 8 kV（线-地）浪涌抗扰度，符合 IEC 61000-4-5 或 GB/T 17626.5 标准。</w:t>
            </w:r>
          </w:p>
          <w:p w14:paraId="37CCF5A2">
            <w:pPr>
              <w:pStyle w:val="18"/>
              <w:keepNext w:val="0"/>
              <w:keepLines w:val="0"/>
              <w:pageBreakBefore w:val="0"/>
              <w:kinsoku/>
              <w:wordWrap/>
              <w:overflowPunct/>
              <w:topLinePunct w:val="0"/>
              <w:autoSpaceDE/>
              <w:autoSpaceDN/>
              <w:bidi w:val="0"/>
              <w:adjustRightInd/>
              <w:snapToGrid/>
              <w:spacing w:line="360" w:lineRule="exact"/>
              <w:ind w:left="0" w:leftChars="0" w:firstLine="0" w:firstLineChars="0"/>
              <w:jc w:val="left"/>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12. 节能环保：支持 IEEE 802.3az（EEE）高效节能以太网，在端口空闲时自动进入低功耗模式，有流量时快速恢复。</w:t>
            </w:r>
          </w:p>
          <w:p w14:paraId="55371A98">
            <w:pPr>
              <w:pStyle w:val="18"/>
              <w:keepNext w:val="0"/>
              <w:keepLines w:val="0"/>
              <w:pageBreakBefore w:val="0"/>
              <w:kinsoku/>
              <w:wordWrap/>
              <w:overflowPunct/>
              <w:topLinePunct w:val="0"/>
              <w:autoSpaceDE/>
              <w:autoSpaceDN/>
              <w:bidi w:val="0"/>
              <w:adjustRightInd/>
              <w:snapToGrid/>
              <w:spacing w:line="360" w:lineRule="exact"/>
              <w:ind w:left="0" w:leftChars="0" w:firstLine="0" w:firstLineChars="0"/>
              <w:jc w:val="left"/>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七、管理与运维</w:t>
            </w:r>
          </w:p>
          <w:p w14:paraId="153D3DAB">
            <w:pPr>
              <w:pStyle w:val="18"/>
              <w:keepNext w:val="0"/>
              <w:keepLines w:val="0"/>
              <w:pageBreakBefore w:val="0"/>
              <w:kinsoku/>
              <w:wordWrap/>
              <w:overflowPunct/>
              <w:topLinePunct w:val="0"/>
              <w:autoSpaceDE/>
              <w:autoSpaceDN/>
              <w:bidi w:val="0"/>
              <w:adjustRightInd/>
              <w:snapToGrid/>
              <w:spacing w:line="360" w:lineRule="exact"/>
              <w:ind w:left="0" w:leftChars="0" w:firstLine="0" w:firstLineChars="0"/>
              <w:jc w:val="left"/>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13. 管理接口：支持 SNMP v1/v2c/v3、CLI（Console/Telnet/SSH）、Web GUI、Syslog、NTP、TFTP/FTP/SFTP 等标准管理协议。</w:t>
            </w:r>
          </w:p>
          <w:p w14:paraId="7E04BF2A">
            <w:pPr>
              <w:pStyle w:val="18"/>
              <w:keepNext w:val="0"/>
              <w:keepLines w:val="0"/>
              <w:pageBreakBefore w:val="0"/>
              <w:kinsoku/>
              <w:wordWrap/>
              <w:overflowPunct/>
              <w:topLinePunct w:val="0"/>
              <w:autoSpaceDE/>
              <w:autoSpaceDN/>
              <w:bidi w:val="0"/>
              <w:adjustRightInd/>
              <w:snapToGrid/>
              <w:spacing w:line="360" w:lineRule="exact"/>
              <w:ind w:left="0" w:leftChars="0" w:firstLine="0" w:firstLineChars="0"/>
              <w:jc w:val="left"/>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八、合规与强制认证</w:t>
            </w:r>
          </w:p>
          <w:p w14:paraId="0F2E74CD">
            <w:pPr>
              <w:keepNext w:val="0"/>
              <w:keepLines w:val="0"/>
              <w:pageBreakBefore w:val="0"/>
              <w:kinsoku/>
              <w:wordWrap/>
              <w:overflowPunct/>
              <w:topLinePunct w:val="0"/>
              <w:autoSpaceDE/>
              <w:autoSpaceDN/>
              <w:bidi w:val="0"/>
              <w:adjustRightInd/>
              <w:snapToGrid/>
              <w:spacing w:beforeAutospacing="0" w:afterAutospacing="0" w:line="400" w:lineRule="exact"/>
              <w:ind w:left="0" w:leftChars="0" w:right="0" w:rightChars="0"/>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★14. 电信设备进网许可（CTA）：所投产品必须具备工业和信息化部核发的有效《电信设备进网许可证》。投标时须提供：进网许可证清晰扫描件；工信部官网查询结果截图，显示设备型号、生产企业、许可证编号及状态为“有效”。</w:t>
            </w:r>
          </w:p>
        </w:tc>
      </w:tr>
      <w:tr w14:paraId="4F205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shd w:val="clear" w:color="auto" w:fill="auto"/>
            <w:vAlign w:val="center"/>
          </w:tcPr>
          <w:p w14:paraId="67DF59E8">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color w:val="auto"/>
                <w:kern w:val="2"/>
                <w:sz w:val="21"/>
                <w:szCs w:val="21"/>
                <w:vertAlign w:val="baseli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23</w:t>
            </w:r>
          </w:p>
        </w:tc>
        <w:tc>
          <w:tcPr>
            <w:tcW w:w="1350" w:type="dxa"/>
            <w:vAlign w:val="center"/>
          </w:tcPr>
          <w:p w14:paraId="33798A88">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i w:val="0"/>
                <w:iCs w:val="0"/>
                <w:color w:val="auto"/>
                <w:kern w:val="0"/>
                <w:sz w:val="21"/>
                <w:szCs w:val="21"/>
                <w:u w:val="none"/>
                <w:lang w:val="en-US" w:eastAsia="zh-CN" w:bidi="ar"/>
              </w:rPr>
              <w:t>千兆光模块</w:t>
            </w:r>
          </w:p>
        </w:tc>
        <w:tc>
          <w:tcPr>
            <w:tcW w:w="7009" w:type="dxa"/>
          </w:tcPr>
          <w:p w14:paraId="2D3477C4">
            <w:pPr>
              <w:keepNext w:val="0"/>
              <w:keepLines w:val="0"/>
              <w:pageBreakBefore w:val="0"/>
              <w:kinsoku/>
              <w:wordWrap/>
              <w:overflowPunct/>
              <w:topLinePunct w:val="0"/>
              <w:autoSpaceDE/>
              <w:autoSpaceDN/>
              <w:bidi w:val="0"/>
              <w:adjustRightInd/>
              <w:snapToGrid/>
              <w:spacing w:beforeAutospacing="0" w:afterAutospacing="0" w:line="400" w:lineRule="exact"/>
              <w:ind w:left="0" w:leftChars="0" w:right="0" w:rightChars="0"/>
              <w:rPr>
                <w:rFonts w:hint="eastAsia" w:asciiTheme="minorEastAsia" w:hAnsiTheme="minorEastAsia" w:eastAsiaTheme="minorEastAsia" w:cstheme="minorEastAsia"/>
                <w:color w:val="auto"/>
                <w:sz w:val="21"/>
                <w:szCs w:val="21"/>
                <w:vertAlign w:val="baseline"/>
                <w:lang w:val="en-US" w:eastAsia="zh-CN"/>
              </w:rPr>
            </w:pPr>
            <w:r>
              <w:rPr>
                <w:rFonts w:hint="eastAsia" w:ascii="宋体" w:hAnsi="宋体" w:eastAsia="宋体" w:cs="宋体"/>
                <w:i w:val="0"/>
                <w:iCs w:val="0"/>
                <w:color w:val="auto"/>
                <w:kern w:val="0"/>
                <w:sz w:val="21"/>
                <w:szCs w:val="21"/>
                <w:highlight w:val="none"/>
                <w:u w:val="none"/>
                <w:lang w:val="en-US" w:eastAsia="zh-CN" w:bidi="ar"/>
              </w:rPr>
              <w:t>光收发一体模块-SFP（1310nm、LC、10km），光模块序列号官网可查。</w:t>
            </w:r>
            <w:r>
              <w:rPr>
                <w:rFonts w:hint="eastAsia" w:ascii="宋体" w:hAnsi="宋体" w:eastAsia="宋体" w:cs="宋体"/>
                <w:b/>
                <w:bCs/>
                <w:i w:val="0"/>
                <w:iCs w:val="0"/>
                <w:color w:val="auto"/>
                <w:kern w:val="0"/>
                <w:sz w:val="21"/>
                <w:szCs w:val="21"/>
                <w:highlight w:val="none"/>
                <w:u w:val="none"/>
                <w:lang w:val="en-US" w:eastAsia="zh-CN" w:bidi="ar"/>
              </w:rPr>
              <w:t>光模块序列号官网或者400或邮件方式可查,提供官网查询截图（含链接地址）或400电话号码或邮件地址。</w:t>
            </w:r>
          </w:p>
        </w:tc>
      </w:tr>
      <w:tr w14:paraId="3B545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shd w:val="clear" w:color="auto" w:fill="auto"/>
            <w:vAlign w:val="center"/>
          </w:tcPr>
          <w:p w14:paraId="4B5838C8">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color w:val="auto"/>
                <w:kern w:val="2"/>
                <w:sz w:val="21"/>
                <w:szCs w:val="21"/>
                <w:vertAlign w:val="baseli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24</w:t>
            </w:r>
          </w:p>
        </w:tc>
        <w:tc>
          <w:tcPr>
            <w:tcW w:w="1350" w:type="dxa"/>
            <w:vAlign w:val="center"/>
          </w:tcPr>
          <w:p w14:paraId="170C63CD">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i w:val="0"/>
                <w:iCs w:val="0"/>
                <w:color w:val="auto"/>
                <w:kern w:val="0"/>
                <w:sz w:val="21"/>
                <w:szCs w:val="21"/>
                <w:u w:val="none"/>
                <w:lang w:val="en-US" w:eastAsia="zh-CN" w:bidi="ar"/>
              </w:rPr>
              <w:t>尾纤</w:t>
            </w:r>
          </w:p>
        </w:tc>
        <w:tc>
          <w:tcPr>
            <w:tcW w:w="7009" w:type="dxa"/>
          </w:tcPr>
          <w:p w14:paraId="58DEFD9D">
            <w:pPr>
              <w:keepNext w:val="0"/>
              <w:keepLines w:val="0"/>
              <w:pageBreakBefore w:val="0"/>
              <w:kinsoku/>
              <w:wordWrap/>
              <w:overflowPunct/>
              <w:topLinePunct w:val="0"/>
              <w:autoSpaceDE/>
              <w:autoSpaceDN/>
              <w:bidi w:val="0"/>
              <w:adjustRightInd/>
              <w:snapToGrid/>
              <w:spacing w:beforeAutospacing="0" w:afterAutospacing="0" w:line="400" w:lineRule="exact"/>
              <w:ind w:left="0" w:leftChars="0" w:right="0" w:rightChars="0"/>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i w:val="0"/>
                <w:iCs w:val="0"/>
                <w:color w:val="auto"/>
                <w:kern w:val="0"/>
                <w:sz w:val="21"/>
                <w:szCs w:val="21"/>
                <w:u w:val="none"/>
                <w:lang w:val="en-US" w:eastAsia="zh-CN" w:bidi="ar"/>
              </w:rPr>
              <w:t>1.单工单模尾纤，1.5米，9/125，光纤尾纤用于光纤线路的灵活跳接或熔接，</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插入损耗低，回波损耗高，性能满足国家或行业规范标准要求。</w:t>
            </w: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提供原厂公开技术文档（白皮书、彩页、官网规格页截图及链接地址）或检测报告关键页扫描件。</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2.护套材料采用LSZH低烟无卤，具有良好的阻燃性能。</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3.技术规范：回拨损耗：单模＞50dB，插入损耗：最大值0.5dB，典型值0.2dB。</w:t>
            </w: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提供原厂公开技术文档（白皮书、彩页、官网规格页截图及链接地址）或检测报告关键页扫描件。</w:t>
            </w:r>
          </w:p>
        </w:tc>
      </w:tr>
    </w:tbl>
    <w:p w14:paraId="5B62F1C8">
      <w:pPr>
        <w:pStyle w:val="97"/>
        <w:pageBreakBefore w:val="0"/>
        <w:widowControl w:val="0"/>
        <w:numPr>
          <w:ilvl w:val="0"/>
          <w:numId w:val="0"/>
        </w:numPr>
        <w:wordWrap/>
        <w:topLinePunct w:val="0"/>
        <w:bidi w:val="0"/>
        <w:spacing w:beforeAutospacing="0" w:afterAutospacing="0" w:line="400" w:lineRule="exact"/>
        <w:ind w:left="0" w:leftChars="0" w:right="0" w:rightChars="0"/>
        <w:contextualSpacing/>
        <w:jc w:val="both"/>
        <w:rPr>
          <w:rFonts w:hint="eastAsia" w:asciiTheme="minorEastAsia" w:hAnsiTheme="minorEastAsia" w:eastAsiaTheme="minorEastAsia" w:cstheme="minorEastAsia"/>
          <w:b w:val="0"/>
          <w:bCs/>
          <w:color w:val="auto"/>
          <w:sz w:val="21"/>
          <w:szCs w:val="21"/>
          <w:lang w:val="en-US" w:eastAsia="zh-CN"/>
        </w:rPr>
      </w:pPr>
    </w:p>
    <w:p w14:paraId="5230FCC0">
      <w:pPr>
        <w:pStyle w:val="6"/>
        <w:numPr>
          <w:ilvl w:val="0"/>
          <w:numId w:val="71"/>
        </w:numPr>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t>常州市田家炳高级中学</w:t>
      </w:r>
    </w:p>
    <w:tbl>
      <w:tblPr>
        <w:tblStyle w:val="43"/>
        <w:tblW w:w="9082" w:type="dxa"/>
        <w:tblInd w:w="-18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764"/>
        <w:gridCol w:w="1322"/>
        <w:gridCol w:w="6996"/>
      </w:tblGrid>
      <w:tr w14:paraId="4475AF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15" w:hRule="atLeast"/>
        </w:trPr>
        <w:tc>
          <w:tcPr>
            <w:tcW w:w="764" w:type="dxa"/>
            <w:tcBorders>
              <w:tl2br w:val="nil"/>
              <w:tr2bl w:val="nil"/>
            </w:tcBorders>
            <w:shd w:val="clear" w:color="auto" w:fill="auto"/>
            <w:noWrap/>
            <w:vAlign w:val="center"/>
          </w:tcPr>
          <w:p w14:paraId="45077387">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b/>
                <w:bCs/>
                <w:i w:val="0"/>
                <w:iCs w:val="0"/>
                <w:color w:val="auto"/>
                <w:kern w:val="2"/>
                <w:sz w:val="21"/>
                <w:szCs w:val="21"/>
                <w:u w:val="none"/>
                <w:lang w:val="en-US" w:eastAsia="zh-CN" w:bidi="ar-SA"/>
              </w:rPr>
            </w:pPr>
            <w:r>
              <w:rPr>
                <w:rFonts w:hint="eastAsia" w:asciiTheme="minorEastAsia" w:hAnsiTheme="minorEastAsia" w:eastAsiaTheme="minorEastAsia" w:cstheme="minorEastAsia"/>
                <w:b/>
                <w:bCs/>
                <w:i w:val="0"/>
                <w:iCs w:val="0"/>
                <w:color w:val="auto"/>
                <w:kern w:val="0"/>
                <w:sz w:val="21"/>
                <w:szCs w:val="21"/>
                <w:u w:val="none"/>
                <w:lang w:val="en-US" w:eastAsia="zh-CN" w:bidi="ar"/>
              </w:rPr>
              <w:t>序号</w:t>
            </w:r>
          </w:p>
        </w:tc>
        <w:tc>
          <w:tcPr>
            <w:tcW w:w="1322" w:type="dxa"/>
            <w:tcBorders>
              <w:tl2br w:val="nil"/>
              <w:tr2bl w:val="nil"/>
            </w:tcBorders>
            <w:shd w:val="clear" w:color="auto" w:fill="auto"/>
            <w:noWrap/>
            <w:vAlign w:val="center"/>
          </w:tcPr>
          <w:p w14:paraId="2B0B342F">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b/>
                <w:bCs/>
                <w:i w:val="0"/>
                <w:iCs w:val="0"/>
                <w:color w:val="auto"/>
                <w:kern w:val="2"/>
                <w:sz w:val="21"/>
                <w:szCs w:val="21"/>
                <w:u w:val="none"/>
                <w:lang w:val="en-US" w:eastAsia="zh-CN" w:bidi="ar-SA"/>
              </w:rPr>
            </w:pPr>
            <w:r>
              <w:rPr>
                <w:rFonts w:hint="eastAsia" w:asciiTheme="minorEastAsia" w:hAnsiTheme="minorEastAsia" w:eastAsiaTheme="minorEastAsia" w:cstheme="minorEastAsia"/>
                <w:b/>
                <w:bCs/>
                <w:i w:val="0"/>
                <w:iCs w:val="0"/>
                <w:color w:val="auto"/>
                <w:kern w:val="0"/>
                <w:sz w:val="21"/>
                <w:szCs w:val="21"/>
                <w:u w:val="none"/>
                <w:lang w:val="en-US" w:eastAsia="zh-CN" w:bidi="ar"/>
              </w:rPr>
              <w:t>设备名称</w:t>
            </w:r>
          </w:p>
        </w:tc>
        <w:tc>
          <w:tcPr>
            <w:tcW w:w="6996" w:type="dxa"/>
            <w:tcBorders>
              <w:tl2br w:val="nil"/>
              <w:tr2bl w:val="nil"/>
            </w:tcBorders>
            <w:shd w:val="clear" w:color="auto" w:fill="auto"/>
            <w:noWrap/>
            <w:vAlign w:val="center"/>
          </w:tcPr>
          <w:p w14:paraId="26738E50">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b/>
                <w:bCs/>
                <w:i w:val="0"/>
                <w:iCs w:val="0"/>
                <w:color w:val="auto"/>
                <w:kern w:val="2"/>
                <w:sz w:val="21"/>
                <w:szCs w:val="21"/>
                <w:u w:val="none"/>
                <w:lang w:val="en-US" w:eastAsia="zh-CN" w:bidi="ar-SA"/>
              </w:rPr>
            </w:pPr>
            <w:r>
              <w:rPr>
                <w:rFonts w:hint="eastAsia" w:asciiTheme="minorEastAsia" w:hAnsiTheme="minorEastAsia" w:eastAsiaTheme="minorEastAsia" w:cstheme="minorEastAsia"/>
                <w:b/>
                <w:bCs/>
                <w:i w:val="0"/>
                <w:iCs w:val="0"/>
                <w:color w:val="auto"/>
                <w:kern w:val="0"/>
                <w:sz w:val="21"/>
                <w:szCs w:val="21"/>
                <w:u w:val="none"/>
                <w:lang w:val="en-US" w:eastAsia="zh-CN" w:bidi="ar"/>
              </w:rPr>
              <w:t>规格参数</w:t>
            </w:r>
          </w:p>
        </w:tc>
      </w:tr>
      <w:tr w14:paraId="088249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55" w:hRule="atLeast"/>
        </w:trPr>
        <w:tc>
          <w:tcPr>
            <w:tcW w:w="764" w:type="dxa"/>
            <w:tcBorders>
              <w:tl2br w:val="nil"/>
              <w:tr2bl w:val="nil"/>
            </w:tcBorders>
            <w:shd w:val="clear" w:color="auto" w:fill="auto"/>
            <w:noWrap/>
            <w:vAlign w:val="center"/>
          </w:tcPr>
          <w:p w14:paraId="1C547B7C">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1</w:t>
            </w:r>
          </w:p>
        </w:tc>
        <w:tc>
          <w:tcPr>
            <w:tcW w:w="1322" w:type="dxa"/>
            <w:tcBorders>
              <w:tl2br w:val="nil"/>
              <w:tr2bl w:val="nil"/>
            </w:tcBorders>
            <w:shd w:val="clear" w:color="auto" w:fill="auto"/>
            <w:noWrap/>
            <w:vAlign w:val="center"/>
          </w:tcPr>
          <w:p w14:paraId="00774A4E">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枪机</w:t>
            </w:r>
          </w:p>
        </w:tc>
        <w:tc>
          <w:tcPr>
            <w:tcW w:w="6996" w:type="dxa"/>
            <w:tcBorders>
              <w:tl2br w:val="nil"/>
              <w:tr2bl w:val="nil"/>
            </w:tcBorders>
            <w:shd w:val="clear" w:color="auto" w:fill="auto"/>
            <w:noWrap/>
            <w:vAlign w:val="bottom"/>
          </w:tcPr>
          <w:p w14:paraId="2EBF6F9F">
            <w:pPr>
              <w:pStyle w:val="15"/>
              <w:keepNext w:val="0"/>
              <w:keepLines w:val="0"/>
              <w:pageBreakBefore w:val="0"/>
              <w:kinsoku/>
              <w:wordWrap/>
              <w:overflowPunct/>
              <w:topLinePunct w:val="0"/>
              <w:autoSpaceDE/>
              <w:autoSpaceDN/>
              <w:bidi w:val="0"/>
              <w:adjustRightInd/>
              <w:snapToGrid/>
              <w:spacing w:line="400" w:lineRule="exact"/>
              <w:ind w:left="0"/>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1.传感器：≥1/1.8英寸CMOS传感器。提供原厂公开技术文档（白皮书、彩页、官网规格页截图及链接地址）。</w:t>
            </w:r>
          </w:p>
          <w:p w14:paraId="05027A41">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★2.像素≥400万或最大分辨率≥2560×1440。提供所投产品</w:t>
            </w:r>
            <w:r>
              <w:rPr>
                <w:rFonts w:hint="eastAsia" w:ascii="宋体" w:hAnsi="宋体" w:eastAsia="宋体" w:cs="宋体"/>
                <w:b w:val="0"/>
                <w:bCs w:val="0"/>
                <w:color w:val="auto"/>
                <w:sz w:val="21"/>
                <w:szCs w:val="21"/>
                <w:highlight w:val="none"/>
                <w:u w:val="none"/>
                <w:lang w:bidi="ar"/>
              </w:rPr>
              <w:t>由具备有效CMA资质的检测机构出具的封面盖有CMA专用印章的检测报告原件关键页扫描件(</w:t>
            </w:r>
            <w:r>
              <w:rPr>
                <w:rFonts w:hint="eastAsia" w:ascii="宋体" w:hAnsi="宋体" w:eastAsia="宋体" w:cs="宋体"/>
                <w:b w:val="0"/>
                <w:bCs w:val="0"/>
                <w:i w:val="0"/>
                <w:iCs w:val="0"/>
                <w:color w:val="auto"/>
                <w:kern w:val="0"/>
                <w:sz w:val="21"/>
                <w:szCs w:val="21"/>
                <w:highlight w:val="none"/>
                <w:u w:val="none"/>
                <w:lang w:val="en-US" w:eastAsia="zh-CN" w:bidi="ar"/>
              </w:rPr>
              <w:t>依据标准GA/T 1127-2013等现行国家标准</w:t>
            </w:r>
            <w:r>
              <w:rPr>
                <w:rFonts w:hint="eastAsia" w:ascii="宋体" w:hAnsi="宋体" w:eastAsia="宋体" w:cs="宋体"/>
                <w:b w:val="0"/>
                <w:bCs w:val="0"/>
                <w:color w:val="auto"/>
                <w:sz w:val="21"/>
                <w:szCs w:val="21"/>
                <w:highlight w:val="none"/>
                <w:u w:val="none"/>
                <w:lang w:bidi="ar"/>
              </w:rPr>
              <w:t>）</w:t>
            </w:r>
            <w:r>
              <w:rPr>
                <w:rFonts w:hint="eastAsia" w:ascii="宋体" w:hAnsi="宋体" w:eastAsia="宋体" w:cs="宋体"/>
                <w:b w:val="0"/>
                <w:bCs w:val="0"/>
                <w:i w:val="0"/>
                <w:iCs w:val="0"/>
                <w:color w:val="auto"/>
                <w:kern w:val="0"/>
                <w:sz w:val="21"/>
                <w:szCs w:val="21"/>
                <w:highlight w:val="none"/>
                <w:u w:val="none"/>
                <w:lang w:val="en-US" w:eastAsia="zh-CN" w:bidi="ar"/>
              </w:rPr>
              <w:t>。</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★3.具备最低照度彩色不劣于0.001Lux，黑白不劣于0.0001Lux。提供第三方机构出具的具有CMA标志的检测报告（依据标准</w:t>
            </w:r>
            <w:r>
              <w:rPr>
                <w:rFonts w:hint="eastAsia" w:ascii="宋体" w:hAnsi="宋体" w:eastAsia="宋体" w:cs="宋体"/>
                <w:b w:val="0"/>
                <w:bCs w:val="0"/>
                <w:i w:val="0"/>
                <w:iCs w:val="0"/>
                <w:color w:val="auto"/>
                <w:kern w:val="0"/>
                <w:sz w:val="21"/>
                <w:szCs w:val="21"/>
                <w:highlight w:val="none"/>
                <w:u w:val="none"/>
                <w:lang w:val="en-US" w:eastAsia="zh-CN" w:bidi="ar"/>
              </w:rPr>
              <w:t>GA/T 1127-2013或</w:t>
            </w:r>
            <w:r>
              <w:rPr>
                <w:rFonts w:hint="eastAsia" w:ascii="宋体" w:hAnsi="宋体" w:eastAsia="宋体" w:cs="宋体"/>
                <w:b w:val="0"/>
                <w:bCs w:val="0"/>
                <w:i w:val="0"/>
                <w:iCs w:val="0"/>
                <w:color w:val="auto"/>
                <w:sz w:val="21"/>
                <w:szCs w:val="21"/>
                <w:highlight w:val="none"/>
                <w:u w:val="none"/>
                <w:lang w:val="en-US" w:eastAsia="zh-CN" w:bidi="ar"/>
              </w:rPr>
              <w:t>GB 16796-2022</w:t>
            </w:r>
            <w:r>
              <w:rPr>
                <w:rFonts w:hint="eastAsia" w:ascii="宋体" w:hAnsi="宋体" w:eastAsia="宋体" w:cs="宋体"/>
                <w:b w:val="0"/>
                <w:bCs w:val="0"/>
                <w:color w:val="auto"/>
                <w:sz w:val="21"/>
                <w:szCs w:val="21"/>
                <w:highlight w:val="none"/>
                <w:u w:val="none"/>
                <w:lang w:bidi="ar"/>
              </w:rPr>
              <w:t>或GB/T 15211-2013</w:t>
            </w:r>
            <w:r>
              <w:rPr>
                <w:rFonts w:hint="eastAsia" w:ascii="宋体" w:hAnsi="宋体" w:eastAsia="宋体" w:cs="宋体"/>
                <w:b w:val="0"/>
                <w:bCs w:val="0"/>
                <w:i w:val="0"/>
                <w:iCs w:val="0"/>
                <w:color w:val="auto"/>
                <w:sz w:val="21"/>
                <w:szCs w:val="21"/>
                <w:highlight w:val="none"/>
                <w:u w:val="none"/>
                <w:lang w:val="en-US" w:eastAsia="zh-CN" w:bidi="ar"/>
              </w:rPr>
              <w:t>等现行国家标准）</w:t>
            </w:r>
            <w:r>
              <w:rPr>
                <w:rFonts w:hint="eastAsia" w:ascii="宋体" w:hAnsi="宋体" w:eastAsia="宋体" w:cs="宋体"/>
                <w:b w:val="0"/>
                <w:bCs w:val="0"/>
                <w:color w:val="auto"/>
                <w:sz w:val="21"/>
                <w:szCs w:val="21"/>
                <w:highlight w:val="none"/>
                <w:u w:val="none"/>
                <w:lang w:val="en-US" w:eastAsia="zh-CN" w:bidi="ar"/>
              </w:rPr>
              <w:t>。</w:t>
            </w:r>
          </w:p>
          <w:p w14:paraId="4E7BFDBF">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4.具备滤光片切换功能，摄像机可在彩色/黑白模式下自动切换滤光片。</w:t>
            </w:r>
          </w:p>
          <w:p w14:paraId="13851BB3">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5.镜头可选：定焦；镜头光圈≥F1.0。</w:t>
            </w:r>
          </w:p>
          <w:p w14:paraId="2052CE30">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6.智能红外补光距离（识别距离）≥50米。提供所投产品</w:t>
            </w:r>
            <w:r>
              <w:rPr>
                <w:rFonts w:hint="eastAsia" w:ascii="宋体" w:hAnsi="宋体" w:eastAsia="宋体" w:cs="宋体"/>
                <w:b w:val="0"/>
                <w:bCs w:val="0"/>
                <w:color w:val="auto"/>
                <w:sz w:val="21"/>
                <w:szCs w:val="21"/>
                <w:highlight w:val="none"/>
                <w:u w:val="none"/>
                <w:lang w:bidi="ar"/>
              </w:rPr>
              <w:t>由具备有效CMA资质的检测机构出具的封面盖有CMA专用印章的检测报告原件关键页扫描件(</w:t>
            </w:r>
            <w:r>
              <w:rPr>
                <w:rFonts w:hint="eastAsia" w:ascii="宋体" w:hAnsi="宋体" w:eastAsia="宋体" w:cs="宋体"/>
                <w:b w:val="0"/>
                <w:bCs w:val="0"/>
                <w:i w:val="0"/>
                <w:iCs w:val="0"/>
                <w:color w:val="auto"/>
                <w:kern w:val="0"/>
                <w:sz w:val="21"/>
                <w:szCs w:val="21"/>
                <w:highlight w:val="none"/>
                <w:u w:val="none"/>
                <w:lang w:val="en-US" w:eastAsia="zh-CN" w:bidi="ar"/>
              </w:rPr>
              <w:t>依据标准GA/T 1127-2013等现行国家标准</w:t>
            </w:r>
            <w:r>
              <w:rPr>
                <w:rFonts w:hint="eastAsia" w:ascii="宋体" w:hAnsi="宋体" w:eastAsia="宋体" w:cs="宋体"/>
                <w:b w:val="0"/>
                <w:bCs w:val="0"/>
                <w:color w:val="auto"/>
                <w:sz w:val="21"/>
                <w:szCs w:val="21"/>
                <w:highlight w:val="none"/>
                <w:u w:val="none"/>
                <w:lang w:bidi="ar"/>
              </w:rPr>
              <w:t>）</w:t>
            </w:r>
            <w:r>
              <w:rPr>
                <w:rFonts w:hint="eastAsia" w:ascii="宋体" w:hAnsi="宋体" w:eastAsia="宋体" w:cs="宋体"/>
                <w:b w:val="0"/>
                <w:bCs w:val="0"/>
                <w:i w:val="0"/>
                <w:iCs w:val="0"/>
                <w:color w:val="auto"/>
                <w:kern w:val="0"/>
                <w:sz w:val="21"/>
                <w:szCs w:val="21"/>
                <w:highlight w:val="none"/>
                <w:u w:val="none"/>
                <w:lang w:val="en-US" w:eastAsia="zh-CN" w:bidi="ar"/>
              </w:rPr>
              <w:t>。</w:t>
            </w:r>
          </w:p>
          <w:p w14:paraId="4E3605ED">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★7.宽动态能力综合得分≥80。提供所投产品</w:t>
            </w:r>
            <w:r>
              <w:rPr>
                <w:rFonts w:hint="eastAsia" w:ascii="宋体" w:hAnsi="宋体" w:eastAsia="宋体" w:cs="宋体"/>
                <w:b w:val="0"/>
                <w:bCs w:val="0"/>
                <w:color w:val="auto"/>
                <w:sz w:val="21"/>
                <w:szCs w:val="21"/>
                <w:highlight w:val="none"/>
                <w:u w:val="none"/>
                <w:lang w:bidi="ar"/>
              </w:rPr>
              <w:t>由具备有效CMA资质的检测机构出具的封面盖有CMA专用印章的检测报告原件关键页扫描件(</w:t>
            </w:r>
            <w:r>
              <w:rPr>
                <w:rFonts w:hint="eastAsia" w:ascii="宋体" w:hAnsi="宋体" w:eastAsia="宋体" w:cs="宋体"/>
                <w:b w:val="0"/>
                <w:bCs w:val="0"/>
                <w:i w:val="0"/>
                <w:iCs w:val="0"/>
                <w:color w:val="auto"/>
                <w:kern w:val="0"/>
                <w:sz w:val="21"/>
                <w:szCs w:val="21"/>
                <w:highlight w:val="none"/>
                <w:u w:val="none"/>
                <w:lang w:val="en-US" w:eastAsia="zh-CN" w:bidi="ar"/>
              </w:rPr>
              <w:t>依据标准GA/T 1127-2013等现行国家标准</w:t>
            </w:r>
            <w:r>
              <w:rPr>
                <w:rFonts w:hint="eastAsia" w:ascii="宋体" w:hAnsi="宋体" w:eastAsia="宋体" w:cs="宋体"/>
                <w:b w:val="0"/>
                <w:bCs w:val="0"/>
                <w:color w:val="auto"/>
                <w:sz w:val="21"/>
                <w:szCs w:val="21"/>
                <w:highlight w:val="none"/>
                <w:u w:val="none"/>
                <w:lang w:bidi="ar"/>
              </w:rPr>
              <w:t>）</w:t>
            </w:r>
            <w:r>
              <w:rPr>
                <w:rFonts w:hint="eastAsia" w:ascii="宋体" w:hAnsi="宋体" w:eastAsia="宋体" w:cs="宋体"/>
                <w:b w:val="0"/>
                <w:bCs w:val="0"/>
                <w:i w:val="0"/>
                <w:iCs w:val="0"/>
                <w:color w:val="auto"/>
                <w:kern w:val="0"/>
                <w:sz w:val="21"/>
                <w:szCs w:val="21"/>
                <w:highlight w:val="none"/>
                <w:u w:val="none"/>
                <w:lang w:val="en-US" w:eastAsia="zh-CN" w:bidi="ar"/>
              </w:rPr>
              <w:t>。</w:t>
            </w:r>
          </w:p>
          <w:p w14:paraId="70EFC0F6">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★8.具备H.265、H.264、MJPEG视频编码格式，音频编码：G.711、AAC。提供原厂公开技术文档（白皮书、彩页、官网规格页截图及链接地址）。内置MIC（根据项目需求确定）。</w:t>
            </w:r>
          </w:p>
          <w:p w14:paraId="1274AE8D">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9.具备背光补偿、强光抑制、自动增益、感兴趣区域、移动侦测等功能。提供所投产品的检测报告原件关键页扫描件（依据标准GB 16796-2022或GA/T 1127-2013等现行国家标准）。</w:t>
            </w:r>
          </w:p>
          <w:p w14:paraId="49DFA271">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★10.具备绊线或越界入侵、区域入侵、徘徊、人员聚集、停车、物品遗留或搬移（移除）等行为分析功能，具备联动抓拍或录像、报警。提供所投产品原厂技术白皮书。</w:t>
            </w:r>
          </w:p>
          <w:p w14:paraId="41F91CB8">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11.具备场景自适应功能，可根据监控场景自动调节曝光模式。</w:t>
            </w:r>
          </w:p>
          <w:p w14:paraId="15A50FA7">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12.摄像机在视频遮挡、存储器满、非法访问、网络断开、IP冲突时可给出报警提示；具备断网续传功能。</w:t>
            </w:r>
          </w:p>
          <w:p w14:paraId="643E22E7">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13.具备数据直存功能，即直接将视频存储数据发送到存储设备（当中心服务器故障时、不影响正在进行的存储业务）。</w:t>
            </w:r>
          </w:p>
          <w:p w14:paraId="69BFE448">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14.接口：RJ45百兆或千兆以太网电口，音频输入：≥1路，音频输出：≥1路，报警输入：≥2路，报警输出：≥2路。</w:t>
            </w:r>
          </w:p>
          <w:p w14:paraId="365CA463">
            <w:pPr>
              <w:pStyle w:val="15"/>
              <w:keepNext w:val="0"/>
              <w:keepLines w:val="0"/>
              <w:pageBreakBefore w:val="0"/>
              <w:kinsoku/>
              <w:wordWrap/>
              <w:overflowPunct/>
              <w:topLinePunct w:val="0"/>
              <w:autoSpaceDE/>
              <w:autoSpaceDN/>
              <w:bidi w:val="0"/>
              <w:adjustRightInd/>
              <w:snapToGrid/>
              <w:spacing w:line="400" w:lineRule="exact"/>
              <w:ind w:left="0"/>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15.提供SD或TF卡槽。承诺可通过加装安全加密卡对接公安视频数据加密平台、实现安全升级以符合GB35114A级标准对前端面摄像机基于数字证书的双向身份认证功能，提供承诺函（格式自拟）。</w:t>
            </w:r>
          </w:p>
          <w:p w14:paraId="7A35F6C9">
            <w:pPr>
              <w:pStyle w:val="15"/>
              <w:keepNext w:val="0"/>
              <w:keepLines w:val="0"/>
              <w:pageBreakBefore w:val="0"/>
              <w:kinsoku/>
              <w:wordWrap/>
              <w:overflowPunct/>
              <w:topLinePunct w:val="0"/>
              <w:autoSpaceDE/>
              <w:autoSpaceDN/>
              <w:bidi w:val="0"/>
              <w:adjustRightInd/>
              <w:snapToGrid/>
              <w:spacing w:line="400" w:lineRule="exact"/>
              <w:ind w:left="0"/>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★16.符合GB/T 28181现行协议标准。提供所投产品原厂公开技术文档（白皮书、彩页、官网规格页截图及链接地址）或提供承诺函（格式自拟）。</w:t>
            </w:r>
          </w:p>
          <w:p w14:paraId="40835731">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17.Onvif、IPv4/6现行协议标准。提供原厂公开技术文档（白皮书、彩页、官网规格页截图及链接地址）。</w:t>
            </w:r>
          </w:p>
          <w:p w14:paraId="6451714F">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18.工作温度：-40℃~+60℃。工作湿度：≤95%。</w:t>
            </w:r>
          </w:p>
          <w:p w14:paraId="0E5CBDA7">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★19.浪涌（冲击）抗扰度测试、防浪涌。</w:t>
            </w:r>
            <w:r>
              <w:rPr>
                <w:rFonts w:hint="eastAsia" w:ascii="宋体" w:hAnsi="宋体" w:eastAsia="宋体" w:cs="宋体"/>
                <w:b w:val="0"/>
                <w:bCs w:val="0"/>
                <w:color w:val="auto"/>
                <w:sz w:val="21"/>
                <w:szCs w:val="21"/>
                <w:highlight w:val="none"/>
                <w:lang w:val="en-US" w:eastAsia="zh-CN" w:bidi="ar"/>
              </w:rPr>
              <w:t>承诺</w:t>
            </w:r>
            <w:r>
              <w:rPr>
                <w:rFonts w:hint="eastAsia" w:ascii="宋体" w:hAnsi="宋体" w:eastAsia="宋体" w:cs="宋体"/>
                <w:b w:val="0"/>
                <w:bCs w:val="0"/>
                <w:color w:val="auto"/>
                <w:sz w:val="21"/>
                <w:szCs w:val="21"/>
                <w:highlight w:val="none"/>
                <w:lang w:bidi="ar"/>
              </w:rPr>
              <w:t>符合</w:t>
            </w:r>
            <w:r>
              <w:rPr>
                <w:rFonts w:hint="eastAsia" w:ascii="宋体" w:hAnsi="宋体" w:eastAsia="宋体" w:cs="宋体"/>
                <w:b w:val="0"/>
                <w:bCs w:val="0"/>
                <w:i w:val="0"/>
                <w:iCs w:val="0"/>
                <w:color w:val="auto"/>
                <w:kern w:val="0"/>
                <w:sz w:val="21"/>
                <w:szCs w:val="21"/>
                <w:highlight w:val="none"/>
                <w:u w:val="none"/>
                <w:lang w:val="en-US" w:eastAsia="zh-CN" w:bidi="ar"/>
              </w:rPr>
              <w:t>GA/T 1127-2013或</w:t>
            </w:r>
            <w:r>
              <w:rPr>
                <w:rFonts w:hint="eastAsia" w:ascii="宋体" w:hAnsi="宋体" w:eastAsia="宋体" w:cs="宋体"/>
                <w:b w:val="0"/>
                <w:bCs w:val="0"/>
                <w:color w:val="auto"/>
                <w:sz w:val="21"/>
                <w:szCs w:val="21"/>
                <w:highlight w:val="none"/>
                <w:lang w:bidi="ar"/>
              </w:rPr>
              <w:t>GB/T 17626.5-</w:t>
            </w:r>
            <w:r>
              <w:rPr>
                <w:rFonts w:hint="eastAsia" w:ascii="宋体" w:hAnsi="宋体" w:eastAsia="宋体" w:cs="宋体"/>
                <w:b w:val="0"/>
                <w:bCs w:val="0"/>
                <w:color w:val="auto"/>
                <w:sz w:val="21"/>
                <w:szCs w:val="21"/>
                <w:highlight w:val="none"/>
                <w:lang w:val="en-US" w:eastAsia="zh-CN" w:bidi="ar"/>
              </w:rPr>
              <w:t>2008/</w:t>
            </w:r>
            <w:r>
              <w:rPr>
                <w:rFonts w:hint="eastAsia" w:ascii="宋体" w:hAnsi="宋体" w:eastAsia="宋体" w:cs="宋体"/>
                <w:b w:val="0"/>
                <w:bCs w:val="0"/>
                <w:color w:val="auto"/>
                <w:sz w:val="21"/>
                <w:szCs w:val="21"/>
                <w:highlight w:val="none"/>
                <w:lang w:bidi="ar"/>
              </w:rPr>
              <w:t>2019</w:t>
            </w:r>
            <w:r>
              <w:rPr>
                <w:rFonts w:hint="eastAsia" w:ascii="宋体" w:hAnsi="宋体" w:eastAsia="宋体" w:cs="宋体"/>
                <w:b w:val="0"/>
                <w:bCs w:val="0"/>
                <w:color w:val="auto"/>
                <w:sz w:val="21"/>
                <w:szCs w:val="21"/>
                <w:highlight w:val="none"/>
                <w:lang w:val="en-US" w:eastAsia="zh-CN" w:bidi="ar"/>
              </w:rPr>
              <w:t>对摄像机的</w:t>
            </w:r>
            <w:r>
              <w:rPr>
                <w:rFonts w:hint="eastAsia" w:ascii="宋体" w:hAnsi="宋体" w:eastAsia="宋体" w:cs="宋体"/>
                <w:b w:val="0"/>
                <w:bCs w:val="0"/>
                <w:i w:val="0"/>
                <w:iCs w:val="0"/>
                <w:color w:val="auto"/>
                <w:kern w:val="0"/>
                <w:sz w:val="21"/>
                <w:szCs w:val="21"/>
                <w:highlight w:val="none"/>
                <w:u w:val="none"/>
                <w:lang w:val="en-US" w:eastAsia="zh-CN" w:bidi="ar"/>
              </w:rPr>
              <w:t>防浪涌</w:t>
            </w:r>
            <w:r>
              <w:rPr>
                <w:rFonts w:hint="eastAsia" w:ascii="宋体" w:hAnsi="宋体" w:eastAsia="宋体" w:cs="宋体"/>
                <w:b w:val="0"/>
                <w:bCs w:val="0"/>
                <w:color w:val="auto"/>
                <w:sz w:val="21"/>
                <w:szCs w:val="21"/>
                <w:highlight w:val="none"/>
                <w:lang w:val="en-US" w:eastAsia="zh-CN" w:bidi="ar"/>
              </w:rPr>
              <w:t>要求</w:t>
            </w:r>
            <w:r>
              <w:rPr>
                <w:rFonts w:hint="eastAsia" w:ascii="宋体" w:hAnsi="宋体" w:eastAsia="宋体" w:cs="宋体"/>
                <w:b w:val="0"/>
                <w:bCs w:val="0"/>
                <w:color w:val="auto"/>
                <w:sz w:val="21"/>
                <w:szCs w:val="21"/>
                <w:highlight w:val="none"/>
                <w:lang w:eastAsia="zh-CN" w:bidi="ar"/>
              </w:rPr>
              <w:t>。</w:t>
            </w:r>
          </w:p>
          <w:p w14:paraId="4D6B845E">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20.稳定性：摄像机在正常工作条件下，具备连续168小时正常工作。</w:t>
            </w:r>
          </w:p>
          <w:p w14:paraId="51AC096C">
            <w:pPr>
              <w:pStyle w:val="15"/>
              <w:keepNext w:val="0"/>
              <w:keepLines w:val="0"/>
              <w:pageBreakBefore w:val="0"/>
              <w:kinsoku/>
              <w:wordWrap/>
              <w:overflowPunct/>
              <w:topLinePunct w:val="0"/>
              <w:autoSpaceDE/>
              <w:autoSpaceDN/>
              <w:bidi w:val="0"/>
              <w:adjustRightInd/>
              <w:snapToGrid/>
              <w:spacing w:line="400" w:lineRule="exact"/>
              <w:ind w:left="0"/>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★21.防护等级：≥IP67。提供所投产品的检测报告原件关键页扫描件（依据GB/T 15211-2013或GA/T 1127-2013或</w:t>
            </w:r>
            <w:r>
              <w:rPr>
                <w:rFonts w:hint="eastAsia" w:ascii="宋体" w:hAnsi="宋体" w:eastAsia="宋体" w:cs="宋体"/>
                <w:b w:val="0"/>
                <w:bCs w:val="0"/>
                <w:color w:val="auto"/>
                <w:sz w:val="21"/>
                <w:szCs w:val="21"/>
                <w:highlight w:val="none"/>
              </w:rPr>
              <w:t>GB/T4208-2017标准</w:t>
            </w:r>
            <w:r>
              <w:rPr>
                <w:rFonts w:hint="eastAsia" w:ascii="宋体" w:hAnsi="宋体" w:eastAsia="宋体" w:cs="宋体"/>
                <w:b w:val="0"/>
                <w:bCs w:val="0"/>
                <w:i w:val="0"/>
                <w:iCs w:val="0"/>
                <w:color w:val="auto"/>
                <w:kern w:val="0"/>
                <w:sz w:val="21"/>
                <w:szCs w:val="21"/>
                <w:highlight w:val="none"/>
                <w:u w:val="none"/>
                <w:lang w:val="en-US" w:eastAsia="zh-CN" w:bidi="ar"/>
              </w:rPr>
              <w:t>）等相关现行国家标准）。</w:t>
            </w:r>
          </w:p>
          <w:p w14:paraId="2819382F">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★22.具备POE供电功能。提供原厂公开技术文档（白皮书、彩页、官网规格页截图及链接地址均可）。</w:t>
            </w:r>
          </w:p>
          <w:p w14:paraId="03725275">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u w:val="none"/>
                <w:lang w:val="en-US" w:eastAsia="zh-CN" w:bidi="ar"/>
              </w:rPr>
              <w:t>★23.符合GB/T 28181、Onvif、IPv4/IPv6协议标准。提供所投产品原厂公开技术文档（白皮书、彩页、官网规格页截图及链接地址）或提供承诺函（格式自拟）</w:t>
            </w:r>
            <w:r>
              <w:rPr>
                <w:rFonts w:hint="eastAsia" w:ascii="宋体" w:hAnsi="宋体" w:eastAsia="宋体" w:cs="宋体"/>
                <w:b w:val="0"/>
                <w:bCs w:val="0"/>
                <w:color w:val="auto"/>
                <w:sz w:val="21"/>
                <w:szCs w:val="21"/>
                <w:highlight w:val="none"/>
                <w:u w:val="none"/>
                <w:lang w:val="en-US" w:eastAsia="zh-CN" w:bidi="ar"/>
              </w:rPr>
              <w:t>。</w:t>
            </w:r>
          </w:p>
          <w:p w14:paraId="2950CA4C">
            <w:pPr>
              <w:pStyle w:val="18"/>
              <w:ind w:left="0" w:leftChars="0" w:firstLine="0" w:firstLineChars="0"/>
              <w:rPr>
                <w:rFonts w:hint="eastAsia"/>
                <w:color w:val="auto"/>
                <w:lang w:val="en-US" w:eastAsia="zh-CN"/>
              </w:rPr>
            </w:pPr>
          </w:p>
          <w:p w14:paraId="504A049D">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sz w:val="21"/>
                <w:szCs w:val="21"/>
                <w:u w:val="none"/>
              </w:rPr>
            </w:pPr>
            <w:r>
              <w:rPr>
                <w:rFonts w:hint="eastAsia" w:ascii="宋体" w:hAnsi="宋体" w:eastAsia="宋体" w:cs="宋体"/>
                <w:b w:val="0"/>
                <w:bCs w:val="0"/>
                <w:color w:val="auto"/>
                <w:sz w:val="21"/>
                <w:szCs w:val="21"/>
                <w:highlight w:val="none"/>
                <w:lang w:val="en-US" w:eastAsia="zh-CN"/>
              </w:rPr>
              <w:t>注：</w:t>
            </w:r>
            <w:r>
              <w:rPr>
                <w:rFonts w:hint="eastAsia" w:ascii="宋体" w:hAnsi="宋体" w:eastAsia="宋体" w:cs="宋体"/>
                <w:b w:val="0"/>
                <w:bCs w:val="0"/>
                <w:i w:val="0"/>
                <w:iCs w:val="0"/>
                <w:color w:val="auto"/>
                <w:kern w:val="0"/>
                <w:sz w:val="21"/>
                <w:szCs w:val="21"/>
                <w:highlight w:val="none"/>
                <w:u w:val="none"/>
                <w:lang w:val="en-US" w:eastAsia="zh-CN" w:bidi="ar"/>
              </w:rPr>
              <w:t>提供检测报告的，按第四章商务要求（其他要求的第2条）中明确的要求、提供相关佐证材料。</w:t>
            </w:r>
          </w:p>
        </w:tc>
      </w:tr>
      <w:tr w14:paraId="20E060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55" w:hRule="atLeast"/>
        </w:trPr>
        <w:tc>
          <w:tcPr>
            <w:tcW w:w="764" w:type="dxa"/>
            <w:tcBorders>
              <w:tl2br w:val="nil"/>
              <w:tr2bl w:val="nil"/>
            </w:tcBorders>
            <w:shd w:val="clear" w:color="auto" w:fill="auto"/>
            <w:noWrap/>
            <w:vAlign w:val="center"/>
          </w:tcPr>
          <w:p w14:paraId="63B22EDA">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2</w:t>
            </w:r>
          </w:p>
        </w:tc>
        <w:tc>
          <w:tcPr>
            <w:tcW w:w="1322" w:type="dxa"/>
            <w:tcBorders>
              <w:tl2br w:val="nil"/>
              <w:tr2bl w:val="nil"/>
            </w:tcBorders>
            <w:shd w:val="clear" w:color="auto" w:fill="auto"/>
            <w:noWrap/>
            <w:vAlign w:val="center"/>
          </w:tcPr>
          <w:p w14:paraId="01112878">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球机</w:t>
            </w:r>
          </w:p>
        </w:tc>
        <w:tc>
          <w:tcPr>
            <w:tcW w:w="6996" w:type="dxa"/>
            <w:tcBorders>
              <w:tl2br w:val="nil"/>
              <w:tr2bl w:val="nil"/>
            </w:tcBorders>
            <w:shd w:val="clear" w:color="auto" w:fill="auto"/>
            <w:noWrap/>
            <w:vAlign w:val="bottom"/>
          </w:tcPr>
          <w:p w14:paraId="12D66409">
            <w:pPr>
              <w:pStyle w:val="15"/>
              <w:keepNext w:val="0"/>
              <w:keepLines w:val="0"/>
              <w:pageBreakBefore w:val="0"/>
              <w:kinsoku/>
              <w:wordWrap/>
              <w:overflowPunct/>
              <w:topLinePunct w:val="0"/>
              <w:autoSpaceDE/>
              <w:autoSpaceDN/>
              <w:bidi w:val="0"/>
              <w:adjustRightInd/>
              <w:snapToGrid/>
              <w:spacing w:line="400" w:lineRule="exact"/>
              <w:ind w:left="0"/>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1.传感器：≥</w:t>
            </w:r>
            <w:r>
              <w:rPr>
                <w:rFonts w:hint="eastAsia" w:ascii="宋体" w:hAnsi="宋体" w:eastAsia="宋体" w:cs="宋体"/>
                <w:b w:val="0"/>
                <w:bCs w:val="0"/>
                <w:i w:val="0"/>
                <w:iCs w:val="0"/>
                <w:color w:val="auto"/>
                <w:sz w:val="21"/>
                <w:szCs w:val="21"/>
                <w:highlight w:val="none"/>
                <w:u w:val="none"/>
                <w:lang w:val="en-US" w:eastAsia="zh-CN" w:bidi="ar"/>
              </w:rPr>
              <w:t>1/2.7</w:t>
            </w:r>
            <w:r>
              <w:rPr>
                <w:rFonts w:hint="eastAsia" w:ascii="宋体" w:hAnsi="宋体" w:eastAsia="宋体" w:cs="宋体"/>
                <w:b w:val="0"/>
                <w:bCs w:val="0"/>
                <w:i w:val="0"/>
                <w:iCs w:val="0"/>
                <w:color w:val="auto"/>
                <w:kern w:val="0"/>
                <w:sz w:val="21"/>
                <w:szCs w:val="21"/>
                <w:highlight w:val="none"/>
                <w:u w:val="none"/>
                <w:lang w:val="en-US" w:eastAsia="zh-CN" w:bidi="ar"/>
              </w:rPr>
              <w:t>英寸CMOS传感器。提供原厂公开技术文档（白皮书、彩页、官网规格页截图及链接地址）。</w:t>
            </w:r>
          </w:p>
          <w:p w14:paraId="3B86E0AE">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★2.采用≥400万像素或≥2560×1440。</w:t>
            </w:r>
            <w:r>
              <w:rPr>
                <w:rFonts w:hint="eastAsia" w:ascii="宋体" w:hAnsi="宋体" w:eastAsia="宋体" w:cs="宋体"/>
                <w:b w:val="0"/>
                <w:bCs w:val="0"/>
                <w:i w:val="0"/>
                <w:iCs w:val="0"/>
                <w:color w:val="auto"/>
                <w:kern w:val="0"/>
                <w:sz w:val="21"/>
                <w:szCs w:val="21"/>
                <w:highlight w:val="none"/>
                <w:u w:val="none"/>
                <w:lang w:val="en-US" w:eastAsia="zh-CN" w:bidi="ar"/>
              </w:rPr>
              <w:t>提供所投产品的检测报告原件关键页扫描件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（依据标准</w:t>
            </w:r>
            <w:r>
              <w:rPr>
                <w:rFonts w:hint="eastAsia" w:ascii="宋体" w:hAnsi="宋体" w:eastAsia="宋体" w:cs="宋体"/>
                <w:b w:val="0"/>
                <w:bCs w:val="0"/>
                <w:color w:val="auto"/>
                <w:sz w:val="21"/>
                <w:szCs w:val="21"/>
                <w:highlight w:val="none"/>
                <w:vertAlign w:val="baseline"/>
              </w:rPr>
              <w:t xml:space="preserve">GB/T 15211-2013 </w:t>
            </w:r>
            <w:r>
              <w:rPr>
                <w:rFonts w:hint="eastAsia" w:ascii="宋体" w:hAnsi="宋体" w:eastAsia="宋体" w:cs="宋体"/>
                <w:b w:val="0"/>
                <w:bCs w:val="0"/>
                <w:color w:val="auto"/>
                <w:sz w:val="21"/>
                <w:szCs w:val="21"/>
                <w:highlight w:val="none"/>
                <w:vertAlign w:val="baseline"/>
                <w:lang w:val="en-US" w:eastAsia="zh-CN"/>
              </w:rPr>
              <w:t>或</w:t>
            </w:r>
            <w:r>
              <w:rPr>
                <w:rFonts w:hint="eastAsia" w:ascii="宋体" w:hAnsi="宋体" w:eastAsia="宋体" w:cs="宋体"/>
                <w:b w:val="0"/>
                <w:bCs w:val="0"/>
                <w:i w:val="0"/>
                <w:iCs w:val="0"/>
                <w:color w:val="auto"/>
                <w:sz w:val="21"/>
                <w:szCs w:val="21"/>
                <w:highlight w:val="none"/>
                <w:u w:val="none"/>
                <w:lang w:val="en-US" w:eastAsia="zh-CN" w:bidi="ar"/>
              </w:rPr>
              <w:t>GA/T 645-2014或GB 16796-2022等现行国家标准）</w:t>
            </w:r>
            <w:r>
              <w:rPr>
                <w:rFonts w:hint="eastAsia" w:ascii="宋体" w:hAnsi="宋体" w:eastAsia="宋体" w:cs="宋体"/>
                <w:b w:val="0"/>
                <w:bCs w:val="0"/>
                <w:i w:val="0"/>
                <w:iCs w:val="0"/>
                <w:color w:val="auto"/>
                <w:kern w:val="0"/>
                <w:sz w:val="21"/>
                <w:szCs w:val="21"/>
                <w:highlight w:val="none"/>
                <w:u w:val="none"/>
                <w:lang w:val="en-US" w:eastAsia="zh-CN" w:bidi="ar"/>
              </w:rPr>
              <w:t>。</w:t>
            </w:r>
          </w:p>
          <w:p w14:paraId="009F2A5F">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★3.内置镜头、具备≥23倍光学变焦（镜头焦距最大值与最少值的比值≥23），智能红外补光距离（识别距离）≥150米。</w:t>
            </w:r>
            <w:r>
              <w:rPr>
                <w:rFonts w:hint="eastAsia" w:ascii="宋体" w:hAnsi="宋体" w:eastAsia="宋体" w:cs="宋体"/>
                <w:b w:val="0"/>
                <w:bCs w:val="0"/>
                <w:i w:val="0"/>
                <w:iCs w:val="0"/>
                <w:color w:val="auto"/>
                <w:kern w:val="0"/>
                <w:sz w:val="21"/>
                <w:szCs w:val="21"/>
                <w:highlight w:val="none"/>
                <w:u w:val="none"/>
                <w:lang w:val="en-US" w:eastAsia="zh-CN" w:bidi="ar"/>
              </w:rPr>
              <w:t>提供所投产品的检测报告原件关键页扫描件（依据标准</w:t>
            </w:r>
            <w:r>
              <w:rPr>
                <w:rFonts w:hint="eastAsia" w:ascii="宋体" w:hAnsi="宋体" w:eastAsia="宋体" w:cs="宋体"/>
                <w:b w:val="0"/>
                <w:bCs w:val="0"/>
                <w:i w:val="0"/>
                <w:iCs w:val="0"/>
                <w:color w:val="auto"/>
                <w:sz w:val="21"/>
                <w:szCs w:val="21"/>
                <w:highlight w:val="none"/>
                <w:u w:val="none"/>
                <w:lang w:val="en-US" w:eastAsia="zh-CN" w:bidi="ar"/>
              </w:rPr>
              <w:t>GA/T 645-2014</w:t>
            </w:r>
            <w:r>
              <w:rPr>
                <w:rFonts w:hint="eastAsia" w:ascii="宋体" w:hAnsi="宋体" w:eastAsia="宋体" w:cs="宋体"/>
                <w:b w:val="0"/>
                <w:bCs w:val="0"/>
                <w:i w:val="0"/>
                <w:iCs w:val="0"/>
                <w:color w:val="auto"/>
                <w:kern w:val="0"/>
                <w:sz w:val="21"/>
                <w:szCs w:val="21"/>
                <w:highlight w:val="none"/>
                <w:u w:val="none"/>
                <w:lang w:val="en-US" w:eastAsia="zh-CN" w:bidi="ar"/>
              </w:rPr>
              <w:t>等现行国家标准）。</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★4.具备H.265、H.264、MJPEG视频编码格式，音频编码：G.711、AAC。</w:t>
            </w:r>
            <w:r>
              <w:rPr>
                <w:rFonts w:hint="eastAsia" w:ascii="宋体" w:hAnsi="宋体" w:eastAsia="宋体" w:cs="宋体"/>
                <w:b w:val="0"/>
                <w:bCs w:val="0"/>
                <w:i w:val="0"/>
                <w:iCs w:val="0"/>
                <w:color w:val="auto"/>
                <w:kern w:val="0"/>
                <w:sz w:val="21"/>
                <w:szCs w:val="21"/>
                <w:highlight w:val="none"/>
                <w:u w:val="none"/>
                <w:lang w:val="en-US" w:eastAsia="zh-CN" w:bidi="ar"/>
              </w:rPr>
              <w:t>提供原厂公开技术文档（白皮书、彩页、官网规格页截图及链接地址）。</w:t>
            </w:r>
          </w:p>
          <w:p w14:paraId="55ECB291">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★5.具备最低照度彩色不劣于0.0005Lux，黑白不劣于0.0001Lux。提供第三方机构出具的具有CMA标志的检测报告（依据标准GA/T 645-2014或GB 16796-2022</w:t>
            </w:r>
            <w:r>
              <w:rPr>
                <w:rFonts w:hint="eastAsia" w:ascii="宋体" w:hAnsi="宋体" w:eastAsia="宋体" w:cs="宋体"/>
                <w:b w:val="0"/>
                <w:bCs w:val="0"/>
                <w:color w:val="auto"/>
                <w:sz w:val="21"/>
                <w:szCs w:val="21"/>
                <w:highlight w:val="none"/>
                <w:u w:val="none"/>
                <w:lang w:bidi="ar"/>
              </w:rPr>
              <w:t>或GB/T 15211-2013</w:t>
            </w:r>
            <w:r>
              <w:rPr>
                <w:rFonts w:hint="eastAsia" w:ascii="宋体" w:hAnsi="宋体" w:eastAsia="宋体" w:cs="宋体"/>
                <w:b w:val="0"/>
                <w:bCs w:val="0"/>
                <w:i w:val="0"/>
                <w:iCs w:val="0"/>
                <w:color w:val="auto"/>
                <w:sz w:val="21"/>
                <w:szCs w:val="21"/>
                <w:highlight w:val="none"/>
                <w:u w:val="none"/>
                <w:lang w:val="en-US" w:eastAsia="zh-CN" w:bidi="ar"/>
              </w:rPr>
              <w:t>等现行国家标准）</w:t>
            </w:r>
            <w:r>
              <w:rPr>
                <w:rFonts w:hint="eastAsia" w:ascii="宋体" w:hAnsi="宋体" w:eastAsia="宋体" w:cs="宋体"/>
                <w:b w:val="0"/>
                <w:bCs w:val="0"/>
                <w:color w:val="auto"/>
                <w:sz w:val="21"/>
                <w:szCs w:val="21"/>
                <w:highlight w:val="none"/>
                <w:u w:val="none"/>
                <w:lang w:val="en-US" w:eastAsia="zh-CN" w:bidi="ar"/>
              </w:rPr>
              <w:t>。</w:t>
            </w:r>
          </w:p>
          <w:p w14:paraId="5E9F187B">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6.可对镜头前盖玻璃进行加热，去除玻璃上的冰状和水状附着物。提供第三方机构出具的具有CMA标志的检测报告（依据标准GA/T 645-2014或GB 16796-2022等现行国家标准）</w:t>
            </w:r>
            <w:r>
              <w:rPr>
                <w:rFonts w:hint="eastAsia" w:ascii="宋体" w:hAnsi="宋体" w:eastAsia="宋体" w:cs="宋体"/>
                <w:b w:val="0"/>
                <w:bCs w:val="0"/>
                <w:color w:val="auto"/>
                <w:sz w:val="21"/>
                <w:szCs w:val="21"/>
                <w:highlight w:val="none"/>
                <w:u w:val="none"/>
                <w:lang w:val="en-US" w:eastAsia="zh-CN" w:bidi="ar"/>
              </w:rPr>
              <w:t>。</w:t>
            </w:r>
          </w:p>
          <w:p w14:paraId="374BE906">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7.云台键控速度：水平0.1°-200°/S，垂直0.1°-120°/S。；预置位≥30个。</w:t>
            </w:r>
          </w:p>
          <w:p w14:paraId="10B8EE29">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8.旋转范围：水平方向：0°～360°连续旋转。垂直方向：-20°～90°自动翻转180°后连续监视。</w:t>
            </w:r>
          </w:p>
          <w:p w14:paraId="4518C3EF">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9.具备巡航、看守位、拉框放大等功能。</w:t>
            </w:r>
          </w:p>
          <w:p w14:paraId="21527CD4">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10.具备定时启动、断电记忆功能。</w:t>
            </w:r>
          </w:p>
          <w:p w14:paraId="2B394949">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★11.具备强光抑制、透雾功能。</w:t>
            </w:r>
            <w:r>
              <w:rPr>
                <w:rFonts w:hint="eastAsia" w:ascii="宋体" w:hAnsi="宋体" w:eastAsia="宋体" w:cs="宋体"/>
                <w:b w:val="0"/>
                <w:bCs w:val="0"/>
                <w:i w:val="0"/>
                <w:iCs w:val="0"/>
                <w:color w:val="auto"/>
                <w:kern w:val="0"/>
                <w:sz w:val="21"/>
                <w:szCs w:val="21"/>
                <w:highlight w:val="none"/>
                <w:u w:val="none"/>
                <w:lang w:val="en-US" w:eastAsia="zh-CN" w:bidi="ar"/>
              </w:rPr>
              <w:t>提供原厂公开技术文档（白皮书、彩页、官网规格页截图及链接地址）。</w:t>
            </w:r>
          </w:p>
          <w:p w14:paraId="0C8BFE07">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★12.宽动态能力综合得分≥80。提供</w:t>
            </w:r>
            <w:r>
              <w:rPr>
                <w:rFonts w:hint="eastAsia" w:ascii="宋体" w:hAnsi="宋体" w:eastAsia="宋体" w:cs="宋体"/>
                <w:b w:val="0"/>
                <w:bCs w:val="0"/>
                <w:color w:val="auto"/>
                <w:sz w:val="21"/>
                <w:szCs w:val="21"/>
                <w:highlight w:val="none"/>
                <w:u w:val="none"/>
                <w:lang w:bidi="ar"/>
              </w:rPr>
              <w:t>由具备有效CMA资质的检测机构出具的封面盖有CMA专用印章的检测报告原件关键页扫描件(</w:t>
            </w:r>
            <w:r>
              <w:rPr>
                <w:rFonts w:hint="eastAsia" w:ascii="宋体" w:hAnsi="宋体" w:eastAsia="宋体" w:cs="宋体"/>
                <w:b w:val="0"/>
                <w:bCs w:val="0"/>
                <w:i w:val="0"/>
                <w:iCs w:val="0"/>
                <w:color w:val="auto"/>
                <w:kern w:val="0"/>
                <w:sz w:val="21"/>
                <w:szCs w:val="21"/>
                <w:highlight w:val="none"/>
                <w:u w:val="none"/>
                <w:lang w:val="en-US" w:eastAsia="zh-CN" w:bidi="ar"/>
              </w:rPr>
              <w:t>依据标准GA/T 1127-2013或</w:t>
            </w:r>
            <w:r>
              <w:rPr>
                <w:rFonts w:hint="eastAsia" w:ascii="宋体" w:hAnsi="宋体" w:eastAsia="宋体" w:cs="宋体"/>
                <w:b w:val="0"/>
                <w:bCs w:val="0"/>
                <w:i w:val="0"/>
                <w:iCs w:val="0"/>
                <w:color w:val="auto"/>
                <w:sz w:val="21"/>
                <w:szCs w:val="21"/>
                <w:highlight w:val="none"/>
                <w:u w:val="none"/>
                <w:lang w:val="en-US" w:eastAsia="zh-CN" w:bidi="ar"/>
              </w:rPr>
              <w:t>GA/T 645-2014</w:t>
            </w:r>
            <w:r>
              <w:rPr>
                <w:rFonts w:hint="eastAsia" w:ascii="宋体" w:hAnsi="宋体" w:eastAsia="宋体" w:cs="宋体"/>
                <w:b w:val="0"/>
                <w:bCs w:val="0"/>
                <w:i w:val="0"/>
                <w:iCs w:val="0"/>
                <w:color w:val="auto"/>
                <w:kern w:val="0"/>
                <w:sz w:val="21"/>
                <w:szCs w:val="21"/>
                <w:highlight w:val="none"/>
                <w:u w:val="none"/>
                <w:lang w:val="en-US" w:eastAsia="zh-CN" w:bidi="ar"/>
              </w:rPr>
              <w:t>等现行国家标准</w:t>
            </w:r>
            <w:r>
              <w:rPr>
                <w:rFonts w:hint="eastAsia" w:ascii="宋体" w:hAnsi="宋体" w:eastAsia="宋体" w:cs="宋体"/>
                <w:b w:val="0"/>
                <w:bCs w:val="0"/>
                <w:color w:val="auto"/>
                <w:sz w:val="21"/>
                <w:szCs w:val="21"/>
                <w:highlight w:val="none"/>
                <w:u w:val="none"/>
                <w:lang w:bidi="ar"/>
              </w:rPr>
              <w:t>）</w:t>
            </w:r>
            <w:r>
              <w:rPr>
                <w:rFonts w:hint="eastAsia" w:ascii="宋体" w:hAnsi="宋体" w:eastAsia="宋体" w:cs="宋体"/>
                <w:b w:val="0"/>
                <w:bCs w:val="0"/>
                <w:i w:val="0"/>
                <w:iCs w:val="0"/>
                <w:color w:val="auto"/>
                <w:kern w:val="0"/>
                <w:sz w:val="21"/>
                <w:szCs w:val="21"/>
                <w:highlight w:val="none"/>
                <w:u w:val="none"/>
                <w:lang w:val="en-US" w:eastAsia="zh-CN" w:bidi="ar"/>
              </w:rPr>
              <w:t>）。</w:t>
            </w:r>
          </w:p>
          <w:p w14:paraId="2EB88F66">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★13.具备绊线或越界入侵、区域入侵、徘徊、快速移动、人员聚集等智能行为分析功能，具备联动抓拍或录像、报警。</w:t>
            </w:r>
            <w:r>
              <w:rPr>
                <w:rFonts w:hint="eastAsia" w:ascii="宋体" w:hAnsi="宋体" w:eastAsia="宋体" w:cs="宋体"/>
                <w:b w:val="0"/>
                <w:bCs w:val="0"/>
                <w:i w:val="0"/>
                <w:iCs w:val="0"/>
                <w:color w:val="auto"/>
                <w:kern w:val="0"/>
                <w:sz w:val="21"/>
                <w:szCs w:val="21"/>
                <w:highlight w:val="none"/>
                <w:u w:val="none"/>
                <w:lang w:val="en-US" w:eastAsia="zh-CN" w:bidi="ar"/>
              </w:rPr>
              <w:t>提供原厂公开技术文档（白皮书、彩页、官网规格页截图及链接地址）。</w:t>
            </w:r>
          </w:p>
          <w:p w14:paraId="3C2119E1">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14.具备数据直存功能，即直接将视频存储数据发送到存储设备（当中心服务器故障时，不影响正在进行的存储业务）。</w:t>
            </w:r>
          </w:p>
          <w:p w14:paraId="23929436">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15.接口：百兆及以上以太网电口、音频输入/输出、报警输入/输出。</w:t>
            </w:r>
          </w:p>
          <w:p w14:paraId="254E9AAE">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16.提供SD或TF卡槽。承诺可通过加装安全加密卡对接公安视频数据加密平台、实现安全升级以符合GB35114A级标准对前端面摄像机基于数字证书的双向身份认证功能，提供承诺函（格式自拟）。</w:t>
            </w:r>
          </w:p>
          <w:p w14:paraId="59B1FAB0">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★17.防护等级：≥IP67。提供所投产品的检测报告原件关键页扫描件（依据</w:t>
            </w:r>
            <w:r>
              <w:rPr>
                <w:rFonts w:hint="eastAsia" w:ascii="宋体" w:hAnsi="宋体" w:eastAsia="宋体" w:cs="宋体"/>
                <w:b w:val="0"/>
                <w:bCs w:val="0"/>
                <w:i w:val="0"/>
                <w:iCs w:val="0"/>
                <w:color w:val="auto"/>
                <w:kern w:val="0"/>
                <w:sz w:val="21"/>
                <w:szCs w:val="21"/>
                <w:highlight w:val="none"/>
                <w:u w:val="none"/>
                <w:lang w:val="en-US" w:eastAsia="zh-CN" w:bidi="ar"/>
              </w:rPr>
              <w:t>GA/T 645-2014或</w:t>
            </w:r>
            <w:r>
              <w:rPr>
                <w:rFonts w:hint="eastAsia" w:ascii="宋体" w:hAnsi="宋体" w:eastAsia="宋体" w:cs="宋体"/>
                <w:b w:val="0"/>
                <w:bCs w:val="0"/>
                <w:i w:val="0"/>
                <w:iCs w:val="0"/>
                <w:color w:val="auto"/>
                <w:sz w:val="21"/>
                <w:szCs w:val="21"/>
                <w:highlight w:val="none"/>
                <w:u w:val="none"/>
                <w:lang w:val="en-US" w:eastAsia="zh-CN" w:bidi="ar"/>
              </w:rPr>
              <w:t>GB/T 15211-2013或GA/T 1127-2013或GB/T4208-2017标准）等相关现行国家标准）。</w:t>
            </w:r>
          </w:p>
          <w:p w14:paraId="24BBFB6D">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★18.符合GB/T 28181、Onvif、IPv4/IPv6协议标准。提供所投产品原厂公开技术文档（白皮书、彩页、官网规格页截图及链接地址）或提供承诺函（格式自拟）</w:t>
            </w:r>
            <w:r>
              <w:rPr>
                <w:rFonts w:hint="eastAsia" w:ascii="宋体" w:hAnsi="宋体" w:eastAsia="宋体" w:cs="宋体"/>
                <w:b w:val="0"/>
                <w:bCs w:val="0"/>
                <w:color w:val="auto"/>
                <w:sz w:val="21"/>
                <w:szCs w:val="21"/>
                <w:highlight w:val="none"/>
                <w:u w:val="none"/>
                <w:lang w:val="en-US" w:eastAsia="zh-CN" w:bidi="ar"/>
              </w:rPr>
              <w:t>。</w:t>
            </w:r>
          </w:p>
          <w:p w14:paraId="1097A20A">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19.浪涌（冲击）抗扰度测试、防浪涌。承诺符合GA/T 1127-2013或GB/T 17626.5-2008/2019对摄像机的防浪涌要求。</w:t>
            </w:r>
          </w:p>
          <w:p w14:paraId="1B64F6CE">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20.具备单场景、多场景、全景及手动跟踪模式；具有一键跟踪控制按钮，具备一键智能跟踪功能。单场景跟踪模式：可在预设的单个场景内跟踪移动的人员或车辆。多场景跟踪模式：可在预设的多个场景内跟踪移动的人员或车辆，多个场景间可根据预设时间轮巡。全景跟踪模式：可对移动的人员或车辆进行360度全景跟踪。手动跟踪模式：可选定移动的人员或车辆，对该目标进行跟踪。</w:t>
            </w:r>
          </w:p>
          <w:p w14:paraId="139F0385">
            <w:pPr>
              <w:pStyle w:val="18"/>
              <w:keepNext w:val="0"/>
              <w:keepLines w:val="0"/>
              <w:pageBreakBefore w:val="0"/>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i w:val="0"/>
                <w:iCs w:val="0"/>
                <w:color w:val="auto"/>
                <w:sz w:val="21"/>
                <w:szCs w:val="21"/>
                <w:u w:val="none"/>
              </w:rPr>
            </w:pPr>
            <w:r>
              <w:rPr>
                <w:rFonts w:hint="eastAsia" w:ascii="宋体" w:hAnsi="宋体" w:eastAsia="宋体" w:cs="宋体"/>
                <w:b w:val="0"/>
                <w:bCs w:val="0"/>
                <w:color w:val="auto"/>
                <w:sz w:val="21"/>
                <w:szCs w:val="21"/>
                <w:highlight w:val="none"/>
                <w:lang w:val="en-US" w:eastAsia="zh-CN"/>
              </w:rPr>
              <w:t>注：</w:t>
            </w:r>
            <w:r>
              <w:rPr>
                <w:rFonts w:hint="eastAsia" w:ascii="宋体" w:hAnsi="宋体" w:eastAsia="宋体" w:cs="宋体"/>
                <w:b w:val="0"/>
                <w:bCs w:val="0"/>
                <w:i w:val="0"/>
                <w:iCs w:val="0"/>
                <w:color w:val="auto"/>
                <w:kern w:val="0"/>
                <w:sz w:val="21"/>
                <w:szCs w:val="21"/>
                <w:highlight w:val="none"/>
                <w:u w:val="none"/>
                <w:lang w:val="en-US" w:eastAsia="zh-CN" w:bidi="ar"/>
              </w:rPr>
              <w:t>提供检测报告的，按第四章商务要求（其他要求的第2条）中明确的要求、提供相关佐证材料。</w:t>
            </w:r>
          </w:p>
        </w:tc>
      </w:tr>
      <w:tr w14:paraId="2E4D55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55" w:hRule="atLeast"/>
        </w:trPr>
        <w:tc>
          <w:tcPr>
            <w:tcW w:w="764" w:type="dxa"/>
            <w:tcBorders>
              <w:tl2br w:val="nil"/>
              <w:tr2bl w:val="nil"/>
            </w:tcBorders>
            <w:shd w:val="clear" w:color="auto" w:fill="auto"/>
            <w:noWrap/>
            <w:vAlign w:val="center"/>
          </w:tcPr>
          <w:p w14:paraId="14457D56">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3</w:t>
            </w:r>
          </w:p>
        </w:tc>
        <w:tc>
          <w:tcPr>
            <w:tcW w:w="1322" w:type="dxa"/>
            <w:tcBorders>
              <w:tl2br w:val="nil"/>
              <w:tr2bl w:val="nil"/>
            </w:tcBorders>
            <w:shd w:val="clear" w:color="auto" w:fill="auto"/>
            <w:noWrap/>
            <w:vAlign w:val="center"/>
          </w:tcPr>
          <w:p w14:paraId="72320D8A">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半球支架</w:t>
            </w:r>
          </w:p>
        </w:tc>
        <w:tc>
          <w:tcPr>
            <w:tcW w:w="6996" w:type="dxa"/>
            <w:tcBorders>
              <w:tl2br w:val="nil"/>
              <w:tr2bl w:val="nil"/>
            </w:tcBorders>
            <w:shd w:val="clear" w:color="auto" w:fill="auto"/>
            <w:noWrap/>
            <w:vAlign w:val="bottom"/>
          </w:tcPr>
          <w:p w14:paraId="26FC82C2">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壁装支架</w:t>
            </w:r>
          </w:p>
        </w:tc>
      </w:tr>
      <w:tr w14:paraId="2BAEC4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55" w:hRule="atLeast"/>
        </w:trPr>
        <w:tc>
          <w:tcPr>
            <w:tcW w:w="764" w:type="dxa"/>
            <w:tcBorders>
              <w:tl2br w:val="nil"/>
              <w:tr2bl w:val="nil"/>
            </w:tcBorders>
            <w:shd w:val="clear" w:color="auto" w:fill="auto"/>
            <w:noWrap/>
            <w:vAlign w:val="center"/>
          </w:tcPr>
          <w:p w14:paraId="56021468">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4</w:t>
            </w:r>
          </w:p>
        </w:tc>
        <w:tc>
          <w:tcPr>
            <w:tcW w:w="1322" w:type="dxa"/>
            <w:tcBorders>
              <w:tl2br w:val="nil"/>
              <w:tr2bl w:val="nil"/>
            </w:tcBorders>
            <w:shd w:val="clear" w:color="auto" w:fill="auto"/>
            <w:noWrap/>
            <w:vAlign w:val="center"/>
          </w:tcPr>
          <w:p w14:paraId="6DA61E70">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球机支架</w:t>
            </w:r>
          </w:p>
        </w:tc>
        <w:tc>
          <w:tcPr>
            <w:tcW w:w="6996" w:type="dxa"/>
            <w:tcBorders>
              <w:tl2br w:val="nil"/>
              <w:tr2bl w:val="nil"/>
            </w:tcBorders>
            <w:shd w:val="clear" w:color="auto" w:fill="auto"/>
            <w:noWrap/>
            <w:vAlign w:val="bottom"/>
          </w:tcPr>
          <w:p w14:paraId="01F2D0F7">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sz w:val="21"/>
                <w:szCs w:val="21"/>
                <w:u w:val="none"/>
              </w:rPr>
            </w:pPr>
            <w:r>
              <w:rPr>
                <w:rFonts w:hint="eastAsia" w:ascii="宋体" w:hAnsi="宋体" w:eastAsia="宋体" w:cs="宋体"/>
                <w:i w:val="0"/>
                <w:iCs w:val="0"/>
                <w:color w:val="auto"/>
                <w:sz w:val="21"/>
                <w:szCs w:val="21"/>
                <w:highlight w:val="none"/>
                <w:u w:val="none"/>
                <w:lang w:val="en-US" w:eastAsia="zh-CN" w:bidi="ar"/>
              </w:rPr>
              <w:t>铝合金、球型摄像机通用壁装支架。</w:t>
            </w:r>
          </w:p>
        </w:tc>
      </w:tr>
      <w:tr w14:paraId="5ADEA0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55" w:hRule="atLeast"/>
        </w:trPr>
        <w:tc>
          <w:tcPr>
            <w:tcW w:w="764" w:type="dxa"/>
            <w:tcBorders>
              <w:tl2br w:val="nil"/>
              <w:tr2bl w:val="nil"/>
            </w:tcBorders>
            <w:shd w:val="clear" w:color="auto" w:fill="auto"/>
            <w:noWrap/>
            <w:vAlign w:val="center"/>
          </w:tcPr>
          <w:p w14:paraId="3EA54D0D">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5</w:t>
            </w:r>
          </w:p>
        </w:tc>
        <w:tc>
          <w:tcPr>
            <w:tcW w:w="1322" w:type="dxa"/>
            <w:tcBorders>
              <w:tl2br w:val="nil"/>
              <w:tr2bl w:val="nil"/>
            </w:tcBorders>
            <w:shd w:val="clear" w:color="auto" w:fill="auto"/>
            <w:noWrap/>
            <w:vAlign w:val="center"/>
          </w:tcPr>
          <w:p w14:paraId="0582EB4D">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半球型摄像机</w:t>
            </w:r>
          </w:p>
        </w:tc>
        <w:tc>
          <w:tcPr>
            <w:tcW w:w="6996" w:type="dxa"/>
            <w:tcBorders>
              <w:tl2br w:val="nil"/>
              <w:tr2bl w:val="nil"/>
            </w:tcBorders>
            <w:shd w:val="clear" w:color="auto" w:fill="auto"/>
            <w:noWrap/>
            <w:vAlign w:val="bottom"/>
          </w:tcPr>
          <w:p w14:paraId="4468D08A">
            <w:pPr>
              <w:keepNext w:val="0"/>
              <w:keepLines w:val="0"/>
              <w:pageBreakBefore w:val="0"/>
              <w:widowControl/>
              <w:numPr>
                <w:ilvl w:val="0"/>
                <w:numId w:val="0"/>
              </w:numPr>
              <w:kinsoku/>
              <w:wordWrap/>
              <w:overflowPunct/>
              <w:topLinePunct w:val="0"/>
              <w:autoSpaceDE/>
              <w:autoSpaceDN/>
              <w:bidi w:val="0"/>
              <w:adjustRightInd/>
              <w:snapToGrid/>
              <w:spacing w:line="400" w:lineRule="exact"/>
              <w:ind w:left="0"/>
              <w:jc w:val="left"/>
              <w:textAlignment w:val="auto"/>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color w:val="auto"/>
                <w:kern w:val="0"/>
                <w:sz w:val="21"/>
                <w:szCs w:val="21"/>
                <w:highlight w:val="none"/>
                <w:lang w:val="en-US" w:eastAsia="zh-CN"/>
              </w:rPr>
              <w:t>1.</w:t>
            </w:r>
            <w:r>
              <w:rPr>
                <w:rFonts w:hint="eastAsia" w:ascii="宋体" w:hAnsi="宋体" w:eastAsia="宋体" w:cs="宋体"/>
                <w:b w:val="0"/>
                <w:bCs w:val="0"/>
                <w:color w:val="auto"/>
                <w:kern w:val="0"/>
                <w:sz w:val="21"/>
                <w:szCs w:val="21"/>
                <w:highlight w:val="none"/>
              </w:rPr>
              <w:t>传感器：≥1/</w:t>
            </w:r>
            <w:r>
              <w:rPr>
                <w:rFonts w:hint="eastAsia" w:ascii="宋体" w:hAnsi="宋体" w:eastAsia="宋体" w:cs="宋体"/>
                <w:b w:val="0"/>
                <w:bCs w:val="0"/>
                <w:color w:val="auto"/>
                <w:kern w:val="0"/>
                <w:sz w:val="21"/>
                <w:szCs w:val="21"/>
                <w:highlight w:val="none"/>
                <w:lang w:val="en-US" w:eastAsia="zh-CN"/>
              </w:rPr>
              <w:t>3</w:t>
            </w:r>
            <w:r>
              <w:rPr>
                <w:rFonts w:hint="eastAsia" w:ascii="宋体" w:hAnsi="宋体" w:eastAsia="宋体" w:cs="宋体"/>
                <w:b w:val="0"/>
                <w:bCs w:val="0"/>
                <w:color w:val="auto"/>
                <w:kern w:val="0"/>
                <w:sz w:val="21"/>
                <w:szCs w:val="21"/>
                <w:highlight w:val="none"/>
              </w:rPr>
              <w:t>英寸CMOS传感器。</w:t>
            </w:r>
            <w:r>
              <w:rPr>
                <w:rFonts w:hint="eastAsia" w:ascii="宋体" w:hAnsi="宋体" w:eastAsia="宋体" w:cs="宋体"/>
                <w:b w:val="0"/>
                <w:bCs w:val="0"/>
                <w:i w:val="0"/>
                <w:iCs w:val="0"/>
                <w:color w:val="auto"/>
                <w:kern w:val="0"/>
                <w:sz w:val="21"/>
                <w:szCs w:val="21"/>
                <w:highlight w:val="none"/>
                <w:u w:val="none"/>
                <w:lang w:val="en-US" w:eastAsia="zh-CN" w:bidi="ar"/>
              </w:rPr>
              <w:t>提供原厂公开技术文档（白皮书、彩页、官网规格页截图及链接地址）</w:t>
            </w:r>
          </w:p>
          <w:p w14:paraId="37178F99">
            <w:pPr>
              <w:keepNext w:val="0"/>
              <w:keepLines w:val="0"/>
              <w:pageBreakBefore w:val="0"/>
              <w:widowControl/>
              <w:numPr>
                <w:ilvl w:val="0"/>
                <w:numId w:val="0"/>
              </w:numPr>
              <w:kinsoku/>
              <w:wordWrap/>
              <w:overflowPunct/>
              <w:topLinePunct w:val="0"/>
              <w:autoSpaceDE/>
              <w:autoSpaceDN/>
              <w:bidi w:val="0"/>
              <w:adjustRightInd/>
              <w:snapToGrid/>
              <w:spacing w:line="400" w:lineRule="exact"/>
              <w:ind w:left="0"/>
              <w:jc w:val="left"/>
              <w:textAlignment w:val="auto"/>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color w:val="auto"/>
                <w:kern w:val="0"/>
                <w:sz w:val="21"/>
                <w:szCs w:val="21"/>
                <w:highlight w:val="none"/>
              </w:rPr>
              <w:t>★</w:t>
            </w:r>
            <w:r>
              <w:rPr>
                <w:rFonts w:hint="eastAsia" w:ascii="宋体" w:hAnsi="宋体" w:eastAsia="宋体" w:cs="宋体"/>
                <w:b w:val="0"/>
                <w:bCs w:val="0"/>
                <w:color w:val="auto"/>
                <w:kern w:val="0"/>
                <w:sz w:val="21"/>
                <w:szCs w:val="21"/>
                <w:highlight w:val="none"/>
                <w:lang w:val="en-US" w:eastAsia="zh-CN"/>
              </w:rPr>
              <w:t>2.</w:t>
            </w:r>
            <w:r>
              <w:rPr>
                <w:rFonts w:hint="eastAsia" w:ascii="宋体" w:hAnsi="宋体" w:eastAsia="宋体" w:cs="宋体"/>
                <w:b w:val="0"/>
                <w:bCs w:val="0"/>
                <w:i w:val="0"/>
                <w:iCs w:val="0"/>
                <w:color w:val="auto"/>
                <w:kern w:val="0"/>
                <w:sz w:val="21"/>
                <w:szCs w:val="21"/>
                <w:highlight w:val="none"/>
                <w:u w:val="none"/>
                <w:lang w:val="en-US" w:eastAsia="zh-CN" w:bidi="ar"/>
              </w:rPr>
              <w:t>像素≥400万或最大分辨率≥2560×1440。提供所投产品的检测报告原件关键页扫描件（依据标准GA/T 1127-2013等现行国家标准）。</w:t>
            </w:r>
          </w:p>
          <w:p w14:paraId="31D4C1BF">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★3.具备H.265、H.264、MJPEG视频编码格式，音频编码：G.711、AAC。提供原厂公开技术文档（白皮书、彩页、官网规格页截图及链接地址）。</w:t>
            </w:r>
          </w:p>
          <w:p w14:paraId="6EF64D71">
            <w:pPr>
              <w:keepNext w:val="0"/>
              <w:keepLines w:val="0"/>
              <w:pageBreakBefore w:val="0"/>
              <w:widowControl/>
              <w:numPr>
                <w:ilvl w:val="0"/>
                <w:numId w:val="0"/>
              </w:numPr>
              <w:kinsoku/>
              <w:wordWrap/>
              <w:overflowPunct/>
              <w:topLinePunct w:val="0"/>
              <w:autoSpaceDE/>
              <w:autoSpaceDN/>
              <w:bidi w:val="0"/>
              <w:adjustRightInd/>
              <w:snapToGrid/>
              <w:spacing w:line="400" w:lineRule="exact"/>
              <w:ind w:left="0"/>
              <w:jc w:val="left"/>
              <w:textAlignment w:val="auto"/>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★4.具备最低照度彩色不劣于0.005Lux，黑白不劣于0.0005Lux。提供第三方机构出具的具有CMA标志的检测报告（依据标准</w:t>
            </w:r>
            <w:r>
              <w:rPr>
                <w:rFonts w:hint="eastAsia" w:ascii="宋体" w:hAnsi="宋体" w:eastAsia="宋体" w:cs="宋体"/>
                <w:b w:val="0"/>
                <w:bCs w:val="0"/>
                <w:i w:val="0"/>
                <w:iCs w:val="0"/>
                <w:color w:val="auto"/>
                <w:kern w:val="0"/>
                <w:sz w:val="21"/>
                <w:szCs w:val="21"/>
                <w:highlight w:val="none"/>
                <w:u w:val="none"/>
                <w:lang w:val="en-US" w:eastAsia="zh-CN" w:bidi="ar"/>
              </w:rPr>
              <w:t>GA/T 1127-2013或</w:t>
            </w:r>
            <w:r>
              <w:rPr>
                <w:rFonts w:hint="eastAsia" w:ascii="宋体" w:hAnsi="宋体" w:eastAsia="宋体" w:cs="宋体"/>
                <w:b w:val="0"/>
                <w:bCs w:val="0"/>
                <w:i w:val="0"/>
                <w:iCs w:val="0"/>
                <w:color w:val="auto"/>
                <w:sz w:val="21"/>
                <w:szCs w:val="21"/>
                <w:highlight w:val="none"/>
                <w:u w:val="none"/>
                <w:lang w:val="en-US" w:eastAsia="zh-CN" w:bidi="ar"/>
              </w:rPr>
              <w:t>GB 16796-2022</w:t>
            </w:r>
            <w:r>
              <w:rPr>
                <w:rFonts w:hint="eastAsia" w:ascii="宋体" w:hAnsi="宋体" w:eastAsia="宋体" w:cs="宋体"/>
                <w:b w:val="0"/>
                <w:bCs w:val="0"/>
                <w:color w:val="auto"/>
                <w:sz w:val="21"/>
                <w:szCs w:val="21"/>
                <w:highlight w:val="none"/>
                <w:u w:val="none"/>
                <w:lang w:bidi="ar"/>
              </w:rPr>
              <w:t>或GB/T 15211-2013</w:t>
            </w:r>
            <w:r>
              <w:rPr>
                <w:rFonts w:hint="eastAsia" w:ascii="宋体" w:hAnsi="宋体" w:eastAsia="宋体" w:cs="宋体"/>
                <w:b w:val="0"/>
                <w:bCs w:val="0"/>
                <w:i w:val="0"/>
                <w:iCs w:val="0"/>
                <w:color w:val="auto"/>
                <w:sz w:val="21"/>
                <w:szCs w:val="21"/>
                <w:highlight w:val="none"/>
                <w:u w:val="none"/>
                <w:lang w:val="en-US" w:eastAsia="zh-CN" w:bidi="ar"/>
              </w:rPr>
              <w:t>等现行国家标准）</w:t>
            </w:r>
            <w:r>
              <w:rPr>
                <w:rFonts w:hint="eastAsia" w:ascii="宋体" w:hAnsi="宋体" w:eastAsia="宋体" w:cs="宋体"/>
                <w:b w:val="0"/>
                <w:bCs w:val="0"/>
                <w:color w:val="auto"/>
                <w:sz w:val="21"/>
                <w:szCs w:val="21"/>
                <w:highlight w:val="none"/>
                <w:u w:val="none"/>
                <w:lang w:val="en-US" w:eastAsia="zh-CN" w:bidi="ar"/>
              </w:rPr>
              <w:t>。</w:t>
            </w:r>
            <w:r>
              <w:rPr>
                <w:rFonts w:hint="eastAsia" w:ascii="宋体" w:hAnsi="宋体" w:eastAsia="宋体" w:cs="宋体"/>
                <w:b w:val="0"/>
                <w:bCs w:val="0"/>
                <w:color w:val="auto"/>
                <w:kern w:val="0"/>
                <w:sz w:val="21"/>
                <w:szCs w:val="21"/>
                <w:highlight w:val="none"/>
              </w:rPr>
              <w:br w:type="textWrapping"/>
            </w:r>
            <w:r>
              <w:rPr>
                <w:rFonts w:hint="eastAsia" w:ascii="宋体" w:hAnsi="宋体" w:eastAsia="宋体" w:cs="宋体"/>
                <w:b w:val="0"/>
                <w:bCs w:val="0"/>
                <w:color w:val="auto"/>
                <w:kern w:val="0"/>
                <w:sz w:val="21"/>
                <w:szCs w:val="21"/>
                <w:highlight w:val="none"/>
                <w:lang w:val="en-US" w:eastAsia="zh-CN"/>
              </w:rPr>
              <w:t>5.</w:t>
            </w:r>
            <w:r>
              <w:rPr>
                <w:rFonts w:hint="eastAsia" w:ascii="宋体" w:hAnsi="宋体" w:eastAsia="宋体" w:cs="宋体"/>
                <w:b w:val="0"/>
                <w:bCs w:val="0"/>
                <w:i w:val="0"/>
                <w:iCs w:val="0"/>
                <w:color w:val="auto"/>
                <w:kern w:val="0"/>
                <w:sz w:val="21"/>
                <w:szCs w:val="21"/>
                <w:highlight w:val="none"/>
                <w:u w:val="none"/>
                <w:lang w:val="en-US" w:eastAsia="zh-CN" w:bidi="ar"/>
              </w:rPr>
              <w:t>具备智能红外功能，智能红外补光距离（识别距离）≥50米。提供所投产品的检测报告原件关键页扫描件（依据标准GA/T 1127-2013等现行国家标准）。</w:t>
            </w:r>
          </w:p>
          <w:p w14:paraId="5F068850">
            <w:pPr>
              <w:keepNext w:val="0"/>
              <w:keepLines w:val="0"/>
              <w:pageBreakBefore w:val="0"/>
              <w:widowControl/>
              <w:numPr>
                <w:ilvl w:val="0"/>
                <w:numId w:val="0"/>
              </w:numPr>
              <w:kinsoku/>
              <w:wordWrap/>
              <w:overflowPunct/>
              <w:topLinePunct w:val="0"/>
              <w:autoSpaceDE/>
              <w:autoSpaceDN/>
              <w:bidi w:val="0"/>
              <w:adjustRightInd/>
              <w:snapToGrid/>
              <w:spacing w:line="400" w:lineRule="exact"/>
              <w:ind w:left="0"/>
              <w:jc w:val="left"/>
              <w:textAlignment w:val="auto"/>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color w:val="auto"/>
                <w:kern w:val="0"/>
                <w:sz w:val="21"/>
                <w:szCs w:val="21"/>
                <w:highlight w:val="none"/>
              </w:rPr>
              <w:t>★</w:t>
            </w:r>
            <w:r>
              <w:rPr>
                <w:rFonts w:hint="eastAsia" w:ascii="宋体" w:hAnsi="宋体" w:eastAsia="宋体" w:cs="宋体"/>
                <w:b w:val="0"/>
                <w:bCs w:val="0"/>
                <w:color w:val="auto"/>
                <w:kern w:val="0"/>
                <w:sz w:val="21"/>
                <w:szCs w:val="21"/>
                <w:highlight w:val="none"/>
                <w:lang w:val="en-US" w:eastAsia="zh-CN"/>
              </w:rPr>
              <w:t>6.</w:t>
            </w:r>
            <w:r>
              <w:rPr>
                <w:rFonts w:hint="eastAsia" w:ascii="宋体" w:hAnsi="宋体" w:eastAsia="宋体" w:cs="宋体"/>
                <w:i w:val="0"/>
                <w:iCs w:val="0"/>
                <w:color w:val="auto"/>
                <w:kern w:val="0"/>
                <w:sz w:val="21"/>
                <w:szCs w:val="21"/>
                <w:highlight w:val="none"/>
                <w:u w:val="none"/>
                <w:lang w:val="en-US" w:eastAsia="zh-CN" w:bidi="ar"/>
              </w:rPr>
              <w:t>支持物品遗留；物品搬移</w:t>
            </w:r>
            <w:r>
              <w:rPr>
                <w:rFonts w:hint="eastAsia" w:ascii="宋体" w:hAnsi="宋体" w:eastAsia="宋体" w:cs="宋体"/>
                <w:b w:val="0"/>
                <w:bCs w:val="0"/>
                <w:color w:val="auto"/>
                <w:kern w:val="0"/>
                <w:sz w:val="21"/>
                <w:szCs w:val="21"/>
                <w:highlight w:val="none"/>
              </w:rPr>
              <w:t>。</w:t>
            </w:r>
            <w:r>
              <w:rPr>
                <w:rFonts w:hint="eastAsia" w:ascii="宋体" w:hAnsi="宋体" w:eastAsia="宋体" w:cs="宋体"/>
                <w:b w:val="0"/>
                <w:bCs w:val="0"/>
                <w:i w:val="0"/>
                <w:iCs w:val="0"/>
                <w:color w:val="auto"/>
                <w:kern w:val="0"/>
                <w:sz w:val="21"/>
                <w:szCs w:val="21"/>
                <w:highlight w:val="none"/>
                <w:u w:val="none"/>
                <w:lang w:val="en-US" w:eastAsia="zh-CN" w:bidi="ar"/>
              </w:rPr>
              <w:t>提供原厂公开技术文档（白皮书、彩页、官网规格页截图及链接地址）</w:t>
            </w:r>
          </w:p>
          <w:p w14:paraId="06CBD854">
            <w:pPr>
              <w:keepNext w:val="0"/>
              <w:keepLines w:val="0"/>
              <w:pageBreakBefore w:val="0"/>
              <w:widowControl/>
              <w:numPr>
                <w:ilvl w:val="0"/>
                <w:numId w:val="0"/>
              </w:numPr>
              <w:kinsoku/>
              <w:wordWrap/>
              <w:overflowPunct/>
              <w:topLinePunct w:val="0"/>
              <w:autoSpaceDE/>
              <w:autoSpaceDN/>
              <w:bidi w:val="0"/>
              <w:adjustRightInd/>
              <w:snapToGrid/>
              <w:spacing w:line="400" w:lineRule="exact"/>
              <w:ind w:left="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7.走廊模式：90°/270°。</w:t>
            </w:r>
          </w:p>
          <w:p w14:paraId="5143A417">
            <w:pPr>
              <w:keepNext w:val="0"/>
              <w:keepLines w:val="0"/>
              <w:pageBreakBefore w:val="0"/>
              <w:widowControl/>
              <w:numPr>
                <w:ilvl w:val="0"/>
                <w:numId w:val="0"/>
              </w:numPr>
              <w:kinsoku/>
              <w:wordWrap/>
              <w:overflowPunct/>
              <w:topLinePunct w:val="0"/>
              <w:autoSpaceDE/>
              <w:autoSpaceDN/>
              <w:bidi w:val="0"/>
              <w:adjustRightInd/>
              <w:snapToGrid/>
              <w:spacing w:line="400" w:lineRule="exact"/>
              <w:ind w:left="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★8.内置MIC。提供承诺函或提供承诺函或提供原厂公开技术文档（白皮书、彩页、官网规格页截图及链接地址均可）。</w:t>
            </w:r>
          </w:p>
          <w:p w14:paraId="3832FC49">
            <w:pPr>
              <w:keepNext w:val="0"/>
              <w:keepLines w:val="0"/>
              <w:pageBreakBefore w:val="0"/>
              <w:widowControl/>
              <w:numPr>
                <w:ilvl w:val="0"/>
                <w:numId w:val="0"/>
              </w:numPr>
              <w:kinsoku/>
              <w:wordWrap/>
              <w:overflowPunct/>
              <w:topLinePunct w:val="0"/>
              <w:autoSpaceDE/>
              <w:autoSpaceDN/>
              <w:bidi w:val="0"/>
              <w:adjustRightInd/>
              <w:snapToGrid/>
              <w:spacing w:line="400" w:lineRule="exact"/>
              <w:ind w:left="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9.报警事件：无SD卡；SD卡空间不足；SD卡出错；网络断开；IP冲突；非法访问；动态检测；视频遮挡；绊线入侵；区域入侵；徘徊检测；人员聚集；音频异常侦测；电压检测；外部报警；安全异常。</w:t>
            </w:r>
          </w:p>
          <w:p w14:paraId="1413E8D7">
            <w:pPr>
              <w:keepNext w:val="0"/>
              <w:keepLines w:val="0"/>
              <w:pageBreakBefore w:val="0"/>
              <w:widowControl/>
              <w:numPr>
                <w:ilvl w:val="0"/>
                <w:numId w:val="0"/>
              </w:numPr>
              <w:kinsoku/>
              <w:wordWrap/>
              <w:overflowPunct/>
              <w:topLinePunct w:val="0"/>
              <w:autoSpaceDE/>
              <w:autoSpaceDN/>
              <w:bidi w:val="0"/>
              <w:adjustRightInd/>
              <w:snapToGrid/>
              <w:spacing w:line="400" w:lineRule="exact"/>
              <w:ind w:left="0"/>
              <w:jc w:val="left"/>
              <w:textAlignment w:val="auto"/>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lang w:val="en-US" w:eastAsia="zh-CN"/>
              </w:rPr>
              <w:t>10.</w:t>
            </w:r>
            <w:r>
              <w:rPr>
                <w:rFonts w:hint="eastAsia" w:ascii="宋体" w:hAnsi="宋体" w:eastAsia="宋体" w:cs="宋体"/>
                <w:b w:val="0"/>
                <w:bCs w:val="0"/>
                <w:i w:val="0"/>
                <w:iCs w:val="0"/>
                <w:color w:val="auto"/>
                <w:kern w:val="0"/>
                <w:sz w:val="21"/>
                <w:szCs w:val="21"/>
                <w:highlight w:val="none"/>
                <w:u w:val="none"/>
                <w:lang w:val="en-US" w:eastAsia="zh-CN" w:bidi="ar"/>
              </w:rPr>
              <w:t>宽动态能力综合得分≥80。提供所投产品</w:t>
            </w:r>
            <w:r>
              <w:rPr>
                <w:rFonts w:hint="eastAsia" w:ascii="宋体" w:hAnsi="宋体" w:eastAsia="宋体" w:cs="宋体"/>
                <w:b w:val="0"/>
                <w:bCs w:val="0"/>
                <w:color w:val="auto"/>
                <w:sz w:val="21"/>
                <w:szCs w:val="21"/>
                <w:highlight w:val="none"/>
                <w:u w:val="none"/>
                <w:lang w:bidi="ar"/>
              </w:rPr>
              <w:t>由具备有效CMA资质的检测机构出具的封面盖有CMA专用印章的检测报告原件关键页扫描件(</w:t>
            </w:r>
            <w:r>
              <w:rPr>
                <w:rFonts w:hint="eastAsia" w:ascii="宋体" w:hAnsi="宋体" w:eastAsia="宋体" w:cs="宋体"/>
                <w:b w:val="0"/>
                <w:bCs w:val="0"/>
                <w:i w:val="0"/>
                <w:iCs w:val="0"/>
                <w:color w:val="auto"/>
                <w:kern w:val="0"/>
                <w:sz w:val="21"/>
                <w:szCs w:val="21"/>
                <w:highlight w:val="none"/>
                <w:u w:val="none"/>
                <w:lang w:val="en-US" w:eastAsia="zh-CN" w:bidi="ar"/>
              </w:rPr>
              <w:t>依据标准GA/T 1127-2013等现行国家标准</w:t>
            </w:r>
            <w:r>
              <w:rPr>
                <w:rFonts w:hint="eastAsia" w:ascii="宋体" w:hAnsi="宋体" w:eastAsia="宋体" w:cs="宋体"/>
                <w:b w:val="0"/>
                <w:bCs w:val="0"/>
                <w:color w:val="auto"/>
                <w:sz w:val="21"/>
                <w:szCs w:val="21"/>
                <w:highlight w:val="none"/>
                <w:u w:val="none"/>
                <w:lang w:bidi="ar"/>
              </w:rPr>
              <w:t>）</w:t>
            </w:r>
            <w:r>
              <w:rPr>
                <w:rFonts w:hint="eastAsia" w:ascii="宋体" w:hAnsi="宋体" w:eastAsia="宋体" w:cs="宋体"/>
                <w:b w:val="0"/>
                <w:bCs w:val="0"/>
                <w:i w:val="0"/>
                <w:iCs w:val="0"/>
                <w:color w:val="auto"/>
                <w:kern w:val="0"/>
                <w:sz w:val="21"/>
                <w:szCs w:val="21"/>
                <w:highlight w:val="none"/>
                <w:u w:val="none"/>
                <w:lang w:val="en-US" w:eastAsia="zh-CN" w:bidi="ar"/>
              </w:rPr>
              <w:t>。</w:t>
            </w:r>
            <w:r>
              <w:rPr>
                <w:rFonts w:hint="eastAsia" w:ascii="宋体" w:hAnsi="宋体" w:eastAsia="宋体" w:cs="宋体"/>
                <w:b w:val="0"/>
                <w:bCs w:val="0"/>
                <w:color w:val="auto"/>
                <w:kern w:val="0"/>
                <w:sz w:val="21"/>
                <w:szCs w:val="21"/>
                <w:highlight w:val="none"/>
              </w:rPr>
              <w:br w:type="textWrapping"/>
            </w:r>
            <w:r>
              <w:rPr>
                <w:rFonts w:hint="eastAsia" w:ascii="宋体" w:hAnsi="宋体" w:eastAsia="宋体" w:cs="宋体"/>
                <w:b w:val="0"/>
                <w:bCs w:val="0"/>
                <w:color w:val="auto"/>
                <w:kern w:val="0"/>
                <w:sz w:val="21"/>
                <w:szCs w:val="21"/>
                <w:highlight w:val="none"/>
                <w:lang w:val="en-US" w:eastAsia="zh-CN"/>
              </w:rPr>
              <w:t>11.</w:t>
            </w:r>
            <w:r>
              <w:rPr>
                <w:rFonts w:hint="eastAsia" w:ascii="宋体" w:hAnsi="宋体" w:eastAsia="宋体" w:cs="宋体"/>
                <w:b w:val="0"/>
                <w:bCs w:val="0"/>
                <w:color w:val="auto"/>
                <w:kern w:val="0"/>
                <w:sz w:val="21"/>
                <w:szCs w:val="21"/>
                <w:highlight w:val="none"/>
              </w:rPr>
              <w:t>防护等级：IP</w:t>
            </w:r>
            <w:r>
              <w:rPr>
                <w:rFonts w:hint="eastAsia" w:ascii="宋体" w:hAnsi="宋体" w:eastAsia="宋体" w:cs="宋体"/>
                <w:b w:val="0"/>
                <w:bCs w:val="0"/>
                <w:color w:val="auto"/>
                <w:kern w:val="0"/>
                <w:sz w:val="21"/>
                <w:szCs w:val="21"/>
                <w:highlight w:val="none"/>
                <w:lang w:val="en-US" w:eastAsia="zh-CN"/>
              </w:rPr>
              <w:t>66</w:t>
            </w:r>
            <w:r>
              <w:rPr>
                <w:rFonts w:hint="eastAsia" w:ascii="宋体" w:hAnsi="宋体" w:eastAsia="宋体" w:cs="宋体"/>
                <w:b w:val="0"/>
                <w:bCs w:val="0"/>
                <w:color w:val="auto"/>
                <w:kern w:val="0"/>
                <w:sz w:val="21"/>
                <w:szCs w:val="21"/>
                <w:highlight w:val="none"/>
              </w:rPr>
              <w:t>。</w:t>
            </w:r>
            <w:r>
              <w:rPr>
                <w:rFonts w:hint="eastAsia" w:ascii="宋体" w:hAnsi="宋体" w:eastAsia="宋体" w:cs="宋体"/>
                <w:b w:val="0"/>
                <w:bCs w:val="0"/>
                <w:i w:val="0"/>
                <w:iCs w:val="0"/>
                <w:color w:val="auto"/>
                <w:kern w:val="0"/>
                <w:sz w:val="21"/>
                <w:szCs w:val="21"/>
                <w:highlight w:val="none"/>
                <w:u w:val="none"/>
                <w:lang w:val="en-US" w:eastAsia="zh-CN" w:bidi="ar"/>
              </w:rPr>
              <w:t>提供所投产品的检测报告原件关键页扫描件（依据GB/T 15211-2013或GA/T 1127-2013或GB/T4208-2017标准）等相关现行国家标准）。</w:t>
            </w:r>
            <w:r>
              <w:rPr>
                <w:rFonts w:hint="eastAsia" w:ascii="宋体" w:hAnsi="宋体" w:eastAsia="宋体" w:cs="宋体"/>
                <w:b w:val="0"/>
                <w:bCs w:val="0"/>
                <w:color w:val="auto"/>
                <w:kern w:val="0"/>
                <w:sz w:val="21"/>
                <w:szCs w:val="21"/>
                <w:highlight w:val="none"/>
              </w:rPr>
              <w:br w:type="textWrapping"/>
            </w:r>
            <w:r>
              <w:rPr>
                <w:rFonts w:hint="eastAsia" w:ascii="宋体" w:hAnsi="宋体" w:eastAsia="宋体" w:cs="宋体"/>
                <w:b w:val="0"/>
                <w:bCs w:val="0"/>
                <w:color w:val="auto"/>
                <w:kern w:val="0"/>
                <w:sz w:val="21"/>
                <w:szCs w:val="21"/>
                <w:highlight w:val="none"/>
              </w:rPr>
              <w:t>★</w:t>
            </w:r>
            <w:r>
              <w:rPr>
                <w:rFonts w:hint="eastAsia" w:ascii="宋体" w:hAnsi="宋体" w:eastAsia="宋体" w:cs="宋体"/>
                <w:b w:val="0"/>
                <w:bCs w:val="0"/>
                <w:color w:val="auto"/>
                <w:kern w:val="0"/>
                <w:sz w:val="21"/>
                <w:szCs w:val="21"/>
                <w:highlight w:val="none"/>
                <w:lang w:val="en-US" w:eastAsia="zh-CN"/>
              </w:rPr>
              <w:t>12.</w:t>
            </w:r>
            <w:r>
              <w:rPr>
                <w:rFonts w:hint="eastAsia" w:ascii="宋体" w:hAnsi="宋体" w:eastAsia="宋体" w:cs="宋体"/>
                <w:b w:val="0"/>
                <w:bCs w:val="0"/>
                <w:color w:val="auto"/>
                <w:kern w:val="0"/>
                <w:sz w:val="21"/>
                <w:szCs w:val="21"/>
                <w:highlight w:val="none"/>
              </w:rPr>
              <w:t>具备POE供电功能。</w:t>
            </w:r>
            <w:r>
              <w:rPr>
                <w:rFonts w:hint="eastAsia" w:ascii="宋体" w:hAnsi="宋体" w:eastAsia="宋体" w:cs="宋体"/>
                <w:b w:val="0"/>
                <w:bCs w:val="0"/>
                <w:i w:val="0"/>
                <w:iCs w:val="0"/>
                <w:color w:val="auto"/>
                <w:kern w:val="0"/>
                <w:sz w:val="21"/>
                <w:szCs w:val="21"/>
                <w:highlight w:val="none"/>
                <w:u w:val="none"/>
                <w:lang w:val="en-US" w:eastAsia="zh-CN" w:bidi="ar"/>
              </w:rPr>
              <w:t>提供原厂公开技术文档（白皮书、彩页、官网规格页截图及链接地址均可）。</w:t>
            </w:r>
          </w:p>
          <w:p w14:paraId="256C2294">
            <w:pPr>
              <w:pStyle w:val="15"/>
              <w:keepNext w:val="0"/>
              <w:keepLines w:val="0"/>
              <w:pageBreakBefore w:val="0"/>
              <w:kinsoku/>
              <w:wordWrap/>
              <w:overflowPunct/>
              <w:topLinePunct w:val="0"/>
              <w:autoSpaceDE/>
              <w:autoSpaceDN/>
              <w:bidi w:val="0"/>
              <w:adjustRightInd/>
              <w:snapToGrid/>
              <w:spacing w:line="400" w:lineRule="exact"/>
              <w:ind w:left="0"/>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color w:val="auto"/>
                <w:sz w:val="21"/>
                <w:szCs w:val="21"/>
                <w:highlight w:val="none"/>
                <w:lang w:bidi="ar"/>
              </w:rPr>
              <w:t>★</w:t>
            </w:r>
            <w:r>
              <w:rPr>
                <w:rFonts w:hint="eastAsia" w:ascii="宋体" w:hAnsi="宋体" w:eastAsia="宋体" w:cs="宋体"/>
                <w:b w:val="0"/>
                <w:bCs w:val="0"/>
                <w:color w:val="auto"/>
                <w:sz w:val="21"/>
                <w:szCs w:val="21"/>
                <w:highlight w:val="none"/>
                <w:lang w:val="en-US" w:eastAsia="zh-CN" w:bidi="ar"/>
              </w:rPr>
              <w:t>13.</w:t>
            </w:r>
            <w:r>
              <w:rPr>
                <w:rFonts w:hint="eastAsia" w:ascii="宋体" w:hAnsi="宋体" w:eastAsia="宋体" w:cs="宋体"/>
                <w:b w:val="0"/>
                <w:bCs w:val="0"/>
                <w:i w:val="0"/>
                <w:iCs w:val="0"/>
                <w:color w:val="auto"/>
                <w:kern w:val="0"/>
                <w:sz w:val="21"/>
                <w:szCs w:val="21"/>
                <w:highlight w:val="none"/>
                <w:u w:val="none"/>
                <w:lang w:val="en-US" w:eastAsia="zh-CN" w:bidi="ar"/>
              </w:rPr>
              <w:t>提供SD或TF卡槽。承诺可通过加装安全加密卡对接公安视频数据加密平台、实现安全升级以符合GB35114A级标准对前端面摄像机基于数字证书的双向身份认证功能，提供承诺函（格式自拟）。</w:t>
            </w:r>
          </w:p>
          <w:p w14:paraId="6AE4028B">
            <w:pPr>
              <w:keepNext w:val="0"/>
              <w:keepLines w:val="0"/>
              <w:pageBreakBefore w:val="0"/>
              <w:widowControl/>
              <w:numPr>
                <w:ilvl w:val="0"/>
                <w:numId w:val="0"/>
              </w:numPr>
              <w:kinsoku/>
              <w:wordWrap/>
              <w:overflowPunct/>
              <w:topLinePunct w:val="0"/>
              <w:autoSpaceDE/>
              <w:autoSpaceDN/>
              <w:bidi w:val="0"/>
              <w:adjustRightInd/>
              <w:snapToGrid/>
              <w:spacing w:line="400" w:lineRule="exact"/>
              <w:ind w:left="0"/>
              <w:jc w:val="left"/>
              <w:textAlignment w:val="auto"/>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lang w:val="en-US" w:eastAsia="zh-CN"/>
              </w:rPr>
              <w:t>14.</w:t>
            </w:r>
            <w:r>
              <w:rPr>
                <w:rFonts w:hint="eastAsia" w:ascii="宋体" w:hAnsi="宋体" w:eastAsia="宋体" w:cs="宋体"/>
                <w:b w:val="0"/>
                <w:bCs w:val="0"/>
                <w:color w:val="auto"/>
                <w:kern w:val="0"/>
                <w:sz w:val="21"/>
                <w:szCs w:val="21"/>
                <w:highlight w:val="none"/>
              </w:rPr>
              <w:t>接口：RJ45百兆以太网电口、音频输入/输出、报警输入/输出。</w:t>
            </w:r>
          </w:p>
          <w:p w14:paraId="5AD96445">
            <w:pPr>
              <w:pStyle w:val="18"/>
              <w:keepNext w:val="0"/>
              <w:keepLines w:val="0"/>
              <w:pageBreakBefore w:val="0"/>
              <w:kinsoku/>
              <w:wordWrap/>
              <w:overflowPunct/>
              <w:topLinePunct w:val="0"/>
              <w:autoSpaceDE/>
              <w:autoSpaceDN/>
              <w:bidi w:val="0"/>
              <w:adjustRightInd/>
              <w:snapToGrid/>
              <w:spacing w:line="400" w:lineRule="exact"/>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15.支持DC12V电源返送。</w:t>
            </w:r>
          </w:p>
          <w:p w14:paraId="167B299F">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color w:val="auto"/>
                <w:sz w:val="21"/>
                <w:szCs w:val="21"/>
                <w:highlight w:val="none"/>
              </w:rPr>
            </w:pPr>
            <w:r>
              <w:rPr>
                <w:rFonts w:hint="eastAsia" w:ascii="宋体" w:hAnsi="宋体" w:eastAsia="宋体" w:cs="宋体"/>
                <w:b w:val="0"/>
                <w:bCs w:val="0"/>
                <w:i w:val="0"/>
                <w:iCs w:val="0"/>
                <w:color w:val="auto"/>
                <w:sz w:val="21"/>
                <w:szCs w:val="21"/>
                <w:highlight w:val="none"/>
                <w:u w:val="none"/>
                <w:lang w:val="en-US" w:eastAsia="zh-CN" w:bidi="ar"/>
              </w:rPr>
              <w:t>★16.符合GB/T 28181、Onvif、IPv4/IPv6协议标准。提供所投产品原厂公开技术文档（白皮书、彩页、官网规格页截图及链接地址）或提供承诺函（格式自拟）</w:t>
            </w:r>
            <w:r>
              <w:rPr>
                <w:rFonts w:hint="eastAsia" w:ascii="宋体" w:hAnsi="宋体" w:eastAsia="宋体" w:cs="宋体"/>
                <w:b w:val="0"/>
                <w:bCs w:val="0"/>
                <w:color w:val="auto"/>
                <w:sz w:val="21"/>
                <w:szCs w:val="21"/>
                <w:highlight w:val="none"/>
                <w:u w:val="none"/>
                <w:lang w:val="en-US" w:eastAsia="zh-CN" w:bidi="ar"/>
              </w:rPr>
              <w:t>。</w:t>
            </w:r>
          </w:p>
          <w:p w14:paraId="345BFBCD">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sz w:val="21"/>
                <w:szCs w:val="21"/>
                <w:u w:val="none"/>
              </w:rPr>
            </w:pPr>
            <w:r>
              <w:rPr>
                <w:rFonts w:hint="eastAsia" w:ascii="宋体" w:hAnsi="宋体" w:eastAsia="宋体" w:cs="宋体"/>
                <w:b w:val="0"/>
                <w:bCs w:val="0"/>
                <w:color w:val="auto"/>
                <w:sz w:val="21"/>
                <w:szCs w:val="21"/>
                <w:highlight w:val="none"/>
                <w:lang w:val="en-US" w:eastAsia="zh-CN"/>
              </w:rPr>
              <w:t>注：</w:t>
            </w:r>
            <w:r>
              <w:rPr>
                <w:rFonts w:hint="eastAsia" w:ascii="宋体" w:hAnsi="宋体" w:eastAsia="宋体" w:cs="宋体"/>
                <w:b w:val="0"/>
                <w:bCs w:val="0"/>
                <w:i w:val="0"/>
                <w:iCs w:val="0"/>
                <w:color w:val="auto"/>
                <w:kern w:val="0"/>
                <w:sz w:val="21"/>
                <w:szCs w:val="21"/>
                <w:highlight w:val="none"/>
                <w:u w:val="none"/>
                <w:lang w:val="en-US" w:eastAsia="zh-CN" w:bidi="ar"/>
              </w:rPr>
              <w:t>提供检测报告的，按第四章商务要求（其他要求的第2条）中明确的要求、提供相关佐证材料。</w:t>
            </w:r>
          </w:p>
        </w:tc>
      </w:tr>
      <w:tr w14:paraId="48DC0C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55" w:hRule="atLeast"/>
        </w:trPr>
        <w:tc>
          <w:tcPr>
            <w:tcW w:w="764" w:type="dxa"/>
            <w:tcBorders>
              <w:tl2br w:val="nil"/>
              <w:tr2bl w:val="nil"/>
            </w:tcBorders>
            <w:shd w:val="clear" w:color="auto" w:fill="auto"/>
            <w:noWrap/>
            <w:vAlign w:val="center"/>
          </w:tcPr>
          <w:p w14:paraId="21B054B5">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6</w:t>
            </w:r>
          </w:p>
        </w:tc>
        <w:tc>
          <w:tcPr>
            <w:tcW w:w="1322" w:type="dxa"/>
            <w:tcBorders>
              <w:tl2br w:val="nil"/>
              <w:tr2bl w:val="nil"/>
            </w:tcBorders>
            <w:shd w:val="clear" w:color="auto" w:fill="auto"/>
            <w:noWrap/>
            <w:vAlign w:val="center"/>
          </w:tcPr>
          <w:p w14:paraId="7F8DA6A2">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筒机支架</w:t>
            </w:r>
          </w:p>
        </w:tc>
        <w:tc>
          <w:tcPr>
            <w:tcW w:w="6996" w:type="dxa"/>
            <w:tcBorders>
              <w:tl2br w:val="nil"/>
              <w:tr2bl w:val="nil"/>
            </w:tcBorders>
            <w:shd w:val="clear" w:color="auto" w:fill="auto"/>
            <w:noWrap/>
            <w:vAlign w:val="bottom"/>
          </w:tcPr>
          <w:p w14:paraId="70351BA8">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sz w:val="21"/>
                <w:szCs w:val="21"/>
                <w:u w:val="none"/>
              </w:rPr>
            </w:pPr>
            <w:r>
              <w:rPr>
                <w:rFonts w:hint="eastAsia" w:ascii="宋体" w:hAnsi="宋体" w:eastAsia="宋体" w:cs="宋体"/>
                <w:i w:val="0"/>
                <w:iCs w:val="0"/>
                <w:color w:val="auto"/>
                <w:kern w:val="0"/>
                <w:sz w:val="21"/>
                <w:szCs w:val="21"/>
                <w:highlight w:val="none"/>
                <w:u w:val="none"/>
                <w:lang w:val="en-US" w:eastAsia="zh-CN" w:bidi="ar"/>
              </w:rPr>
              <w:t>材质铝合金或白钢支架，满足吊装/壁装多种场景。</w:t>
            </w:r>
          </w:p>
        </w:tc>
      </w:tr>
      <w:tr w14:paraId="1234A2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55" w:hRule="atLeast"/>
        </w:trPr>
        <w:tc>
          <w:tcPr>
            <w:tcW w:w="764" w:type="dxa"/>
            <w:tcBorders>
              <w:tl2br w:val="nil"/>
              <w:tr2bl w:val="nil"/>
            </w:tcBorders>
            <w:shd w:val="clear" w:color="auto" w:fill="auto"/>
            <w:noWrap/>
            <w:vAlign w:val="center"/>
          </w:tcPr>
          <w:p w14:paraId="7D74A022">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7</w:t>
            </w:r>
          </w:p>
        </w:tc>
        <w:tc>
          <w:tcPr>
            <w:tcW w:w="1322" w:type="dxa"/>
            <w:tcBorders>
              <w:tl2br w:val="nil"/>
              <w:tr2bl w:val="nil"/>
            </w:tcBorders>
            <w:shd w:val="clear" w:color="auto" w:fill="auto"/>
            <w:noWrap/>
            <w:vAlign w:val="center"/>
          </w:tcPr>
          <w:p w14:paraId="0D0E906B">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48盘位存储</w:t>
            </w:r>
          </w:p>
        </w:tc>
        <w:tc>
          <w:tcPr>
            <w:tcW w:w="6996" w:type="dxa"/>
            <w:tcBorders>
              <w:tl2br w:val="nil"/>
              <w:tr2bl w:val="nil"/>
            </w:tcBorders>
            <w:shd w:val="clear" w:color="auto" w:fill="auto"/>
            <w:noWrap/>
            <w:vAlign w:val="bottom"/>
          </w:tcPr>
          <w:p w14:paraId="4BF810F5">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提供≥48块（根据项目需求确定数量）硬盘位专业存储设备1套（可通过多台设备集群扩展），满足校园安防存储不低于30天需求。</w:t>
            </w:r>
          </w:p>
          <w:p w14:paraId="4E8C1B56">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一、基本配置与容量</w:t>
            </w:r>
          </w:p>
          <w:p w14:paraId="645BB883">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1.硬盘接口：单台设备提供 ≥N 个 3.5" 热插拔硬盘槽位，支持 SATA HDD / SSD 混合部署。</w:t>
            </w:r>
          </w:p>
          <w:p w14:paraId="7A92187E">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2.控制器与电源：采用单控制器架构；配置冗余交流电源模块，支持热插拔及在线更换。</w:t>
            </w:r>
          </w:p>
          <w:p w14:paraId="382933FF">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二、网络与接口（</w:t>
            </w:r>
            <w:r>
              <w:rPr>
                <w:rFonts w:hint="eastAsia" w:ascii="宋体" w:hAnsi="宋体" w:eastAsia="宋体" w:cs="宋体"/>
                <w:b/>
                <w:bCs/>
                <w:color w:val="auto"/>
                <w:kern w:val="0"/>
                <w:sz w:val="21"/>
                <w:szCs w:val="21"/>
                <w:highlight w:val="none"/>
                <w:lang w:val="en-US" w:eastAsia="zh-CN" w:bidi="ar"/>
              </w:rPr>
              <w:t>提供原厂公开技术文档（白皮书、彩页、官网规格页截图及链接地址均可）</w:t>
            </w:r>
            <w:r>
              <w:rPr>
                <w:rFonts w:hint="eastAsia" w:ascii="宋体" w:hAnsi="宋体" w:eastAsia="宋体" w:cs="宋体"/>
                <w:color w:val="auto"/>
                <w:sz w:val="21"/>
                <w:szCs w:val="21"/>
                <w:highlight w:val="none"/>
                <w:lang w:val="en-US" w:eastAsia="zh-CN"/>
              </w:rPr>
              <w:t>）</w:t>
            </w:r>
          </w:p>
          <w:p w14:paraId="1C359036">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3.网络接口：管理口：≥1 个 10/100/1000M 自适应电口（独立管理网段）；数据口：≥4 个 10/100/1000M 自适应电口，支持 IEEE 802.3ad 链路聚合（LACP），提升带宽与可靠性。</w:t>
            </w:r>
          </w:p>
          <w:p w14:paraId="2BB210FC">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4.扩展接口：提供 ≥1 个 eSATA 接口（用于外接扩展柜）；提供 ≥2 个 USB 3.0 接口；</w:t>
            </w:r>
          </w:p>
          <w:p w14:paraId="56E7C22B">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支持 PCI-E 3.0 插槽（用于加装万兆网卡、GPU加速卡等，如适用）。</w:t>
            </w:r>
          </w:p>
          <w:p w14:paraId="0804554C">
            <w:pPr>
              <w:keepNext w:val="0"/>
              <w:keepLines w:val="0"/>
              <w:pageBreakBefore w:val="0"/>
              <w:widowControl/>
              <w:numPr>
                <w:ilvl w:val="0"/>
                <w:numId w:val="72"/>
              </w:numPr>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性能与业务能力</w:t>
            </w:r>
          </w:p>
          <w:p w14:paraId="4135BFF4">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w:t>
            </w:r>
            <w:r>
              <w:rPr>
                <w:rFonts w:hint="eastAsia" w:ascii="宋体" w:hAnsi="宋体" w:eastAsia="宋体" w:cs="宋体"/>
                <w:color w:val="auto"/>
                <w:sz w:val="21"/>
                <w:szCs w:val="21"/>
                <w:highlight w:val="none"/>
                <w:lang w:val="en-US" w:eastAsia="zh-CN"/>
              </w:rPr>
              <w:t>5.音视频处理性能：最大并发 写入（存储+转发）带宽 ≥ 2048 Mbps；最大并发 回放带宽 ≥ 1024 Mbps。 注：性能指标应基于 H.264/H.265 主码流实测值，不含压缩比虚标。</w:t>
            </w:r>
            <w:r>
              <w:rPr>
                <w:rFonts w:hint="eastAsia" w:ascii="宋体" w:hAnsi="宋体" w:eastAsia="宋体" w:cs="宋体"/>
                <w:b/>
                <w:bCs/>
                <w:color w:val="auto"/>
                <w:kern w:val="0"/>
                <w:sz w:val="21"/>
                <w:szCs w:val="21"/>
                <w:highlight w:val="none"/>
                <w:lang w:val="en-US" w:eastAsia="zh-CN" w:bidi="ar"/>
              </w:rPr>
              <w:t>提供原厂公开技术文档（白皮书、彩页、官网规格页截图及链接地址均可）</w:t>
            </w:r>
            <w:r>
              <w:rPr>
                <w:rFonts w:hint="eastAsia" w:ascii="宋体" w:hAnsi="宋体" w:eastAsia="宋体" w:cs="宋体"/>
                <w:color w:val="auto"/>
                <w:sz w:val="21"/>
                <w:szCs w:val="21"/>
                <w:highlight w:val="none"/>
                <w:lang w:val="en-US" w:eastAsia="zh-CN"/>
              </w:rPr>
              <w:t>。</w:t>
            </w:r>
          </w:p>
          <w:p w14:paraId="4E6FC642">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w:t>
            </w:r>
            <w:r>
              <w:rPr>
                <w:rFonts w:hint="eastAsia" w:ascii="宋体" w:hAnsi="宋体" w:eastAsia="宋体" w:cs="宋体"/>
                <w:color w:val="auto"/>
                <w:sz w:val="21"/>
                <w:szCs w:val="21"/>
                <w:highlight w:val="none"/>
                <w:lang w:val="en-US" w:eastAsia="zh-CN"/>
              </w:rPr>
              <w:t>6.直存与协议支持：支持 视频流与图片流直写存储（即前端IPC/NVR通过标准协议直接写入存储，无需中间服务器）；支持标准协议接入：ONVIF、GB/T 28181、RTSP、RTP、PSIA、SIP；支持 IPv4/IPv6 双栈网络。</w:t>
            </w:r>
            <w:r>
              <w:rPr>
                <w:rFonts w:hint="eastAsia" w:ascii="宋体" w:hAnsi="宋体" w:eastAsia="宋体" w:cs="宋体"/>
                <w:b/>
                <w:bCs/>
                <w:color w:val="auto"/>
                <w:kern w:val="0"/>
                <w:sz w:val="21"/>
                <w:szCs w:val="21"/>
                <w:highlight w:val="none"/>
                <w:lang w:val="en-US" w:eastAsia="zh-CN" w:bidi="ar"/>
              </w:rPr>
              <w:t>提供原厂公开技术文档（白皮书、彩页、官网规格页截图及链接地址均可）</w:t>
            </w:r>
            <w:r>
              <w:rPr>
                <w:rFonts w:hint="eastAsia" w:ascii="宋体" w:hAnsi="宋体" w:eastAsia="宋体" w:cs="宋体"/>
                <w:color w:val="auto"/>
                <w:sz w:val="21"/>
                <w:szCs w:val="21"/>
                <w:highlight w:val="none"/>
                <w:lang w:val="en-US" w:eastAsia="zh-CN"/>
              </w:rPr>
              <w:t>。</w:t>
            </w:r>
          </w:p>
          <w:p w14:paraId="0066F3C0">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 音频支持：支持双音轨输入，可同时或分别播放左右声道；音频与视频同步存储，支持回放时音画同步。</w:t>
            </w:r>
          </w:p>
          <w:p w14:paraId="2037B78F">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w:t>
            </w:r>
            <w:r>
              <w:rPr>
                <w:rFonts w:hint="eastAsia" w:ascii="宋体" w:hAnsi="宋体" w:eastAsia="宋体" w:cs="宋体"/>
                <w:color w:val="auto"/>
                <w:sz w:val="21"/>
                <w:szCs w:val="21"/>
                <w:highlight w:val="none"/>
                <w:lang w:val="en-US" w:eastAsia="zh-CN"/>
              </w:rPr>
              <w:t>四、数据保护与可靠性（本部分每一条参数均要</w:t>
            </w:r>
            <w:r>
              <w:rPr>
                <w:rFonts w:hint="eastAsia" w:ascii="宋体" w:hAnsi="宋体" w:eastAsia="宋体" w:cs="宋体"/>
                <w:b/>
                <w:bCs/>
                <w:color w:val="auto"/>
                <w:kern w:val="0"/>
                <w:sz w:val="21"/>
                <w:szCs w:val="21"/>
                <w:highlight w:val="none"/>
                <w:lang w:val="en-US" w:eastAsia="zh-CN" w:bidi="ar"/>
              </w:rPr>
              <w:t>提供原厂公开技术文档（白皮书、彩页、官网规格页截图及链接地址均可）</w:t>
            </w:r>
            <w:r>
              <w:rPr>
                <w:rFonts w:hint="eastAsia" w:ascii="宋体" w:hAnsi="宋体" w:eastAsia="宋体" w:cs="宋体"/>
                <w:color w:val="auto"/>
                <w:sz w:val="21"/>
                <w:szCs w:val="21"/>
                <w:highlight w:val="none"/>
                <w:lang w:val="en-US" w:eastAsia="zh-CN"/>
              </w:rPr>
              <w:t>。</w:t>
            </w:r>
          </w:p>
          <w:p w14:paraId="3FC6697D">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 RAID 与热备：支持 RAID 0/1/3/5/6/10/50/60 及 JBOD 模式；支持 全局热备盘（Global Hot Spare）与局部热备盘（Dedicated Hot Spare），故障硬盘自动重建。</w:t>
            </w:r>
          </w:p>
          <w:p w14:paraId="3B23DC05">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 数据可靠性技术：支持 纠删码（Erasure Coding）或同等数据冗余技术，在多盘故障场景下仍可保障数据可恢复性（适用于高可靠部署）。</w:t>
            </w:r>
          </w:p>
          <w:p w14:paraId="6D0907E6">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 硬件与系统监控告警：设备应能对以下异常事件主动告警（至少支持平台推送）：IP/MAC 地址冲突；网口速率降级（如千兆降至百兆）；电源、风扇、电池故障；无硬盘、RAID 异常、存储空间满；录像丢帧、SSD 健康度预警；无热备盘、网络安全异常（如非法登录锁定）。</w:t>
            </w:r>
          </w:p>
          <w:p w14:paraId="71A6AAD2">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五、硬件平台</w:t>
            </w:r>
          </w:p>
          <w:p w14:paraId="4A3AC21B">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 计算平台：配置 64 位多核处理器；内存容量 ≥ 8 GB；系统运行于嵌入式 Linux 或国产化操作系统。</w:t>
            </w:r>
          </w:p>
          <w:p w14:paraId="3A91A16B">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六、合规与认证</w:t>
            </w:r>
          </w:p>
          <w:p w14:paraId="7DE0C94C">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 强制性认证：所投设备须具备以下有效期CCC 证书清晰扫描件和节能认证证书扫描件。</w:t>
            </w:r>
          </w:p>
          <w:p w14:paraId="0FCBCDF5">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sz w:val="21"/>
                <w:szCs w:val="21"/>
                <w:u w:val="none"/>
              </w:rPr>
            </w:pPr>
            <w:r>
              <w:rPr>
                <w:rFonts w:hint="eastAsia" w:ascii="宋体" w:hAnsi="宋体" w:eastAsia="宋体" w:cs="宋体"/>
                <w:b/>
                <w:bCs/>
                <w:i w:val="0"/>
                <w:iCs w:val="0"/>
                <w:color w:val="auto"/>
                <w:kern w:val="0"/>
                <w:sz w:val="21"/>
                <w:szCs w:val="21"/>
                <w:highlight w:val="none"/>
                <w:u w:val="none"/>
                <w:lang w:val="en-US" w:eastAsia="zh-CN" w:bidi="ar"/>
              </w:rPr>
              <w:t>★</w:t>
            </w:r>
            <w:r>
              <w:rPr>
                <w:rFonts w:hint="eastAsia" w:ascii="宋体" w:hAnsi="宋体" w:eastAsia="宋体" w:cs="宋体"/>
                <w:color w:val="auto"/>
                <w:kern w:val="0"/>
                <w:sz w:val="21"/>
                <w:szCs w:val="21"/>
                <w:highlight w:val="none"/>
                <w:lang w:val="en-US" w:eastAsia="zh-CN" w:bidi="ar"/>
              </w:rPr>
              <w:t>13</w:t>
            </w:r>
            <w:r>
              <w:rPr>
                <w:rFonts w:hint="eastAsia" w:ascii="宋体" w:hAnsi="宋体" w:eastAsia="宋体" w:cs="宋体"/>
                <w:color w:val="auto"/>
                <w:kern w:val="0"/>
                <w:sz w:val="21"/>
                <w:szCs w:val="21"/>
                <w:highlight w:val="none"/>
                <w:lang w:bidi="ar"/>
              </w:rPr>
              <w:t>、支持Onvif、RTSP协议接入，支持国标GB28181接入 。</w:t>
            </w:r>
            <w:r>
              <w:rPr>
                <w:rFonts w:hint="eastAsia" w:ascii="宋体" w:hAnsi="宋体" w:eastAsia="宋体" w:cs="宋体"/>
                <w:b/>
                <w:bCs/>
                <w:color w:val="auto"/>
                <w:kern w:val="0"/>
                <w:sz w:val="21"/>
                <w:szCs w:val="21"/>
                <w:highlight w:val="none"/>
                <w:lang w:val="en-US" w:eastAsia="zh-CN" w:bidi="ar"/>
              </w:rPr>
              <w:t>提供原厂公开技术文档（白皮书、彩页、官网规格页截图及链接地址均可）。</w:t>
            </w:r>
          </w:p>
        </w:tc>
      </w:tr>
      <w:tr w14:paraId="5D8A5A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55" w:hRule="atLeast"/>
        </w:trPr>
        <w:tc>
          <w:tcPr>
            <w:tcW w:w="764" w:type="dxa"/>
            <w:tcBorders>
              <w:tl2br w:val="nil"/>
              <w:tr2bl w:val="nil"/>
            </w:tcBorders>
            <w:shd w:val="clear" w:color="auto" w:fill="auto"/>
            <w:noWrap/>
            <w:vAlign w:val="center"/>
          </w:tcPr>
          <w:p w14:paraId="53E377E5">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8</w:t>
            </w:r>
          </w:p>
        </w:tc>
        <w:tc>
          <w:tcPr>
            <w:tcW w:w="1322" w:type="dxa"/>
            <w:tcBorders>
              <w:tl2br w:val="nil"/>
              <w:tr2bl w:val="nil"/>
            </w:tcBorders>
            <w:shd w:val="clear" w:color="auto" w:fill="auto"/>
            <w:noWrap/>
            <w:vAlign w:val="center"/>
          </w:tcPr>
          <w:p w14:paraId="5808E0BA">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千兆光模块</w:t>
            </w:r>
          </w:p>
        </w:tc>
        <w:tc>
          <w:tcPr>
            <w:tcW w:w="6996" w:type="dxa"/>
            <w:tcBorders>
              <w:tl2br w:val="nil"/>
              <w:tr2bl w:val="nil"/>
            </w:tcBorders>
            <w:shd w:val="clear" w:color="auto" w:fill="auto"/>
            <w:noWrap/>
            <w:vAlign w:val="bottom"/>
          </w:tcPr>
          <w:p w14:paraId="2A80559F">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sz w:val="21"/>
                <w:szCs w:val="21"/>
                <w:u w:val="none"/>
              </w:rPr>
            </w:pPr>
            <w:r>
              <w:rPr>
                <w:rFonts w:hint="eastAsia" w:ascii="宋体" w:hAnsi="宋体" w:eastAsia="宋体" w:cs="宋体"/>
                <w:i w:val="0"/>
                <w:iCs w:val="0"/>
                <w:color w:val="auto"/>
                <w:kern w:val="0"/>
                <w:sz w:val="21"/>
                <w:szCs w:val="21"/>
                <w:highlight w:val="none"/>
                <w:u w:val="none"/>
                <w:lang w:val="en-US" w:eastAsia="zh-CN" w:bidi="ar"/>
              </w:rPr>
              <w:t>光收发一体模块-SFP（1310nm、LC、10km），光模块序列号官网可查。</w:t>
            </w:r>
            <w:r>
              <w:rPr>
                <w:rFonts w:hint="eastAsia" w:ascii="宋体" w:hAnsi="宋体" w:eastAsia="宋体" w:cs="宋体"/>
                <w:b/>
                <w:bCs/>
                <w:i w:val="0"/>
                <w:iCs w:val="0"/>
                <w:color w:val="auto"/>
                <w:kern w:val="0"/>
                <w:sz w:val="21"/>
                <w:szCs w:val="21"/>
                <w:highlight w:val="none"/>
                <w:u w:val="none"/>
                <w:lang w:val="en-US" w:eastAsia="zh-CN" w:bidi="ar"/>
              </w:rPr>
              <w:t>光模块序列号官网或者400或邮件方式可查,提供官网查询截图（含链接地址）或400电话号码或邮件地址。</w:t>
            </w:r>
          </w:p>
        </w:tc>
      </w:tr>
      <w:tr w14:paraId="45381C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55" w:hRule="atLeast"/>
        </w:trPr>
        <w:tc>
          <w:tcPr>
            <w:tcW w:w="764" w:type="dxa"/>
            <w:tcBorders>
              <w:tl2br w:val="nil"/>
              <w:tr2bl w:val="nil"/>
            </w:tcBorders>
            <w:shd w:val="clear" w:color="auto" w:fill="auto"/>
            <w:noWrap/>
            <w:vAlign w:val="center"/>
          </w:tcPr>
          <w:p w14:paraId="58F87726">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9</w:t>
            </w:r>
          </w:p>
        </w:tc>
        <w:tc>
          <w:tcPr>
            <w:tcW w:w="1322" w:type="dxa"/>
            <w:tcBorders>
              <w:tl2br w:val="nil"/>
              <w:tr2bl w:val="nil"/>
            </w:tcBorders>
            <w:shd w:val="clear" w:color="auto" w:fill="auto"/>
            <w:noWrap/>
            <w:vAlign w:val="center"/>
          </w:tcPr>
          <w:p w14:paraId="3ECAE78A">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3米单模双芯光纤跳线</w:t>
            </w:r>
          </w:p>
        </w:tc>
        <w:tc>
          <w:tcPr>
            <w:tcW w:w="6996" w:type="dxa"/>
            <w:tcBorders>
              <w:tl2br w:val="nil"/>
              <w:tr2bl w:val="nil"/>
            </w:tcBorders>
            <w:shd w:val="clear" w:color="auto" w:fill="auto"/>
            <w:noWrap/>
            <w:vAlign w:val="bottom"/>
          </w:tcPr>
          <w:p w14:paraId="29342F71">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1.G.652D单模光纤，双芯，LSZH护套，光缆的光学性能、机械性能、环境性能等符合现行国家或行业标准。</w:t>
            </w:r>
            <w:r>
              <w:rPr>
                <w:rFonts w:hint="eastAsia" w:ascii="宋体" w:hAnsi="宋体" w:eastAsia="宋体" w:cs="宋体"/>
                <w:b/>
                <w:bCs/>
                <w:i w:val="0"/>
                <w:iCs w:val="0"/>
                <w:color w:val="auto"/>
                <w:kern w:val="0"/>
                <w:sz w:val="21"/>
                <w:szCs w:val="21"/>
                <w:highlight w:val="none"/>
                <w:u w:val="none"/>
                <w:lang w:val="en-US" w:eastAsia="zh-CN" w:bidi="ar"/>
              </w:rPr>
              <w:t>提供所投产品的检测报告原件关键页扫描件（依据YD/T 1272.1-2018或YD/T 2152-2010或GB/T 9771-2020等现行国家或行业标准），检测报告中须体现检测依据以及是否通过检测的结论：需含光学性能、机械性能、环境性能检测项；提供检测报告的，按第四章商务要求（其他要求的第2条）中明确的要求、提供相关佐证材料。</w:t>
            </w:r>
          </w:p>
          <w:p w14:paraId="29C6CE53">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sz w:val="21"/>
                <w:szCs w:val="21"/>
                <w:u w:val="none"/>
              </w:rPr>
            </w:pPr>
            <w:r>
              <w:rPr>
                <w:rFonts w:hint="eastAsia" w:ascii="宋体" w:hAnsi="宋体" w:eastAsia="宋体" w:cs="宋体"/>
                <w:i w:val="0"/>
                <w:iCs w:val="0"/>
                <w:color w:val="auto"/>
                <w:kern w:val="0"/>
                <w:sz w:val="21"/>
                <w:szCs w:val="21"/>
                <w:highlight w:val="none"/>
                <w:u w:val="none"/>
                <w:lang w:val="en-US" w:eastAsia="zh-CN" w:bidi="ar"/>
              </w:rPr>
              <w:t>2.长度规格≥3米。</w:t>
            </w:r>
          </w:p>
        </w:tc>
      </w:tr>
      <w:tr w14:paraId="1B13A0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55" w:hRule="atLeast"/>
        </w:trPr>
        <w:tc>
          <w:tcPr>
            <w:tcW w:w="764" w:type="dxa"/>
            <w:tcBorders>
              <w:tl2br w:val="nil"/>
              <w:tr2bl w:val="nil"/>
            </w:tcBorders>
            <w:shd w:val="clear" w:color="auto" w:fill="auto"/>
            <w:noWrap/>
            <w:vAlign w:val="center"/>
          </w:tcPr>
          <w:p w14:paraId="07DE373D">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9</w:t>
            </w:r>
          </w:p>
        </w:tc>
        <w:tc>
          <w:tcPr>
            <w:tcW w:w="1322" w:type="dxa"/>
            <w:tcBorders>
              <w:tl2br w:val="nil"/>
              <w:tr2bl w:val="nil"/>
            </w:tcBorders>
            <w:shd w:val="clear" w:color="auto" w:fill="auto"/>
            <w:noWrap/>
            <w:vAlign w:val="center"/>
          </w:tcPr>
          <w:p w14:paraId="266F9DD5">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PVC护线管</w:t>
            </w:r>
          </w:p>
        </w:tc>
        <w:tc>
          <w:tcPr>
            <w:tcW w:w="6996" w:type="dxa"/>
            <w:tcBorders>
              <w:tl2br w:val="nil"/>
              <w:tr2bl w:val="nil"/>
            </w:tcBorders>
            <w:shd w:val="clear" w:color="auto" w:fill="auto"/>
            <w:noWrap/>
            <w:vAlign w:val="bottom"/>
          </w:tcPr>
          <w:p w14:paraId="63A03DD2">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PVC25护线管，明敷；含管卡、接头、弯头、软管及安装费用</w:t>
            </w:r>
          </w:p>
        </w:tc>
      </w:tr>
      <w:tr w14:paraId="1C1178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55" w:hRule="atLeast"/>
        </w:trPr>
        <w:tc>
          <w:tcPr>
            <w:tcW w:w="764" w:type="dxa"/>
            <w:tcBorders>
              <w:tl2br w:val="nil"/>
              <w:tr2bl w:val="nil"/>
            </w:tcBorders>
            <w:shd w:val="clear" w:color="auto" w:fill="auto"/>
            <w:noWrap/>
            <w:vAlign w:val="center"/>
          </w:tcPr>
          <w:p w14:paraId="197D5038">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9</w:t>
            </w:r>
          </w:p>
        </w:tc>
        <w:tc>
          <w:tcPr>
            <w:tcW w:w="1322" w:type="dxa"/>
            <w:tcBorders>
              <w:tl2br w:val="nil"/>
              <w:tr2bl w:val="nil"/>
            </w:tcBorders>
            <w:shd w:val="clear" w:color="auto" w:fill="auto"/>
            <w:noWrap/>
            <w:vAlign w:val="center"/>
          </w:tcPr>
          <w:p w14:paraId="6B8D02A0">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线槽</w:t>
            </w:r>
          </w:p>
        </w:tc>
        <w:tc>
          <w:tcPr>
            <w:tcW w:w="6996" w:type="dxa"/>
            <w:tcBorders>
              <w:tl2br w:val="nil"/>
              <w:tr2bl w:val="nil"/>
            </w:tcBorders>
            <w:shd w:val="clear" w:color="auto" w:fill="auto"/>
            <w:noWrap/>
            <w:vAlign w:val="bottom"/>
          </w:tcPr>
          <w:p w14:paraId="60714FED">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PVC40</w:t>
            </w:r>
          </w:p>
        </w:tc>
      </w:tr>
      <w:tr w14:paraId="139710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55" w:hRule="atLeast"/>
        </w:trPr>
        <w:tc>
          <w:tcPr>
            <w:tcW w:w="764" w:type="dxa"/>
            <w:tcBorders>
              <w:tl2br w:val="nil"/>
              <w:tr2bl w:val="nil"/>
            </w:tcBorders>
            <w:shd w:val="clear" w:color="auto" w:fill="auto"/>
            <w:noWrap/>
            <w:vAlign w:val="center"/>
          </w:tcPr>
          <w:p w14:paraId="6F87BCAB">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9</w:t>
            </w:r>
          </w:p>
        </w:tc>
        <w:tc>
          <w:tcPr>
            <w:tcW w:w="1322" w:type="dxa"/>
            <w:tcBorders>
              <w:tl2br w:val="nil"/>
              <w:tr2bl w:val="nil"/>
            </w:tcBorders>
            <w:shd w:val="clear" w:color="auto" w:fill="auto"/>
            <w:noWrap/>
            <w:vAlign w:val="center"/>
          </w:tcPr>
          <w:p w14:paraId="20F50DA1">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球机电源线</w:t>
            </w:r>
          </w:p>
        </w:tc>
        <w:tc>
          <w:tcPr>
            <w:tcW w:w="6996" w:type="dxa"/>
            <w:tcBorders>
              <w:tl2br w:val="nil"/>
              <w:tr2bl w:val="nil"/>
            </w:tcBorders>
            <w:shd w:val="clear" w:color="auto" w:fill="auto"/>
            <w:noWrap/>
            <w:vAlign w:val="bottom"/>
          </w:tcPr>
          <w:p w14:paraId="1BEB853B">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rvv2*1.5</w:t>
            </w:r>
          </w:p>
        </w:tc>
      </w:tr>
      <w:tr w14:paraId="718852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55" w:hRule="atLeast"/>
        </w:trPr>
        <w:tc>
          <w:tcPr>
            <w:tcW w:w="764" w:type="dxa"/>
            <w:tcBorders>
              <w:tl2br w:val="nil"/>
              <w:tr2bl w:val="nil"/>
            </w:tcBorders>
            <w:shd w:val="clear" w:color="auto" w:fill="auto"/>
            <w:noWrap/>
            <w:vAlign w:val="center"/>
          </w:tcPr>
          <w:p w14:paraId="637C0D87">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9</w:t>
            </w:r>
          </w:p>
        </w:tc>
        <w:tc>
          <w:tcPr>
            <w:tcW w:w="1322" w:type="dxa"/>
            <w:tcBorders>
              <w:tl2br w:val="nil"/>
              <w:tr2bl w:val="nil"/>
            </w:tcBorders>
            <w:shd w:val="clear" w:color="auto" w:fill="auto"/>
            <w:noWrap/>
            <w:vAlign w:val="center"/>
          </w:tcPr>
          <w:p w14:paraId="6DFF7A0A">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8T企业硬盘</w:t>
            </w:r>
          </w:p>
        </w:tc>
        <w:tc>
          <w:tcPr>
            <w:tcW w:w="6996" w:type="dxa"/>
            <w:tcBorders>
              <w:tl2br w:val="nil"/>
              <w:tr2bl w:val="nil"/>
            </w:tcBorders>
            <w:shd w:val="clear" w:color="auto" w:fill="auto"/>
            <w:noWrap/>
            <w:vAlign w:val="bottom"/>
          </w:tcPr>
          <w:p w14:paraId="08C6DE0C">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sz w:val="21"/>
                <w:szCs w:val="21"/>
                <w:u w:val="none"/>
              </w:rPr>
            </w:pPr>
            <w:r>
              <w:rPr>
                <w:rFonts w:hint="eastAsia" w:ascii="宋体" w:hAnsi="宋体" w:eastAsia="宋体" w:cs="宋体"/>
                <w:i w:val="0"/>
                <w:iCs w:val="0"/>
                <w:color w:val="auto"/>
                <w:kern w:val="0"/>
                <w:sz w:val="21"/>
                <w:szCs w:val="21"/>
                <w:highlight w:val="none"/>
                <w:u w:val="none"/>
                <w:lang w:val="en-US" w:eastAsia="zh-CN" w:bidi="ar"/>
              </w:rPr>
              <w:t>企业级硬盘8TB；7200RPM；256M；SATA。</w:t>
            </w:r>
          </w:p>
        </w:tc>
      </w:tr>
      <w:tr w14:paraId="27CEB4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55" w:hRule="atLeast"/>
        </w:trPr>
        <w:tc>
          <w:tcPr>
            <w:tcW w:w="764" w:type="dxa"/>
            <w:tcBorders>
              <w:tl2br w:val="nil"/>
              <w:tr2bl w:val="nil"/>
            </w:tcBorders>
            <w:shd w:val="clear" w:color="auto" w:fill="auto"/>
            <w:noWrap/>
            <w:vAlign w:val="center"/>
          </w:tcPr>
          <w:p w14:paraId="73137BE8">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9</w:t>
            </w:r>
          </w:p>
        </w:tc>
        <w:tc>
          <w:tcPr>
            <w:tcW w:w="1322" w:type="dxa"/>
            <w:tcBorders>
              <w:tl2br w:val="nil"/>
              <w:tr2bl w:val="nil"/>
            </w:tcBorders>
            <w:shd w:val="clear" w:color="auto" w:fill="auto"/>
            <w:noWrap/>
            <w:vAlign w:val="center"/>
          </w:tcPr>
          <w:p w14:paraId="7AD460B1">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24口POE交换机</w:t>
            </w:r>
          </w:p>
        </w:tc>
        <w:tc>
          <w:tcPr>
            <w:tcW w:w="6996" w:type="dxa"/>
            <w:tcBorders>
              <w:tl2br w:val="nil"/>
              <w:tr2bl w:val="nil"/>
            </w:tcBorders>
            <w:shd w:val="clear" w:color="auto" w:fill="auto"/>
            <w:noWrap/>
            <w:vAlign w:val="bottom"/>
          </w:tcPr>
          <w:p w14:paraId="1A9E32AD">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一、端口与性能（提供原厂公开技术文档（白皮书、彩页、官网规格页截图及链接地址均可））</w:t>
            </w:r>
          </w:p>
          <w:p w14:paraId="5A952EEF">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 端口配置：提供 ≥24 个 10/100/1000M 自适应以太网电口（RJ45），全部支持不低于 IEEE 802.3at（PoE+）；提供 ≥4 个 千兆SFP光口。</w:t>
            </w:r>
          </w:p>
          <w:p w14:paraId="557B8F33">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 交换性能：</w:t>
            </w:r>
          </w:p>
          <w:p w14:paraId="5BC477A5">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整机交换容量 ≥600 Gbps；整机包转发率 ≥ 120 Mpps。</w:t>
            </w:r>
          </w:p>
          <w:p w14:paraId="085DE8C2">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二、PoE供电能力（提供原厂公开技术文档（白皮书、彩页、官网规格页截图及链接地址均可））</w:t>
            </w:r>
          </w:p>
          <w:p w14:paraId="25C55580">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 PoE标准与功率：至少支持 IEEE 802.3at（PoE+），同时可POE供电端口≥24个；整机可用PoE功率 ≥ 370W。（实际供电需满足学校使用需求）。</w:t>
            </w:r>
          </w:p>
          <w:p w14:paraId="0E0286A7">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三、三层路由与IPv6支持</w:t>
            </w:r>
          </w:p>
          <w:p w14:paraId="05942FEA">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 路由协议：支持以下IPv4/IPv6路由功能：静态路由；RIPv1/v2、RIPng；OSPFv2、OSPFv3；</w:t>
            </w:r>
          </w:p>
          <w:p w14:paraId="66D92129">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支持IPv4/IPv6双栈及组播转发。</w:t>
            </w:r>
          </w:p>
          <w:p w14:paraId="26B0459F">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四、VLAN、堆叠与链路聚合</w:t>
            </w:r>
          </w:p>
          <w:p w14:paraId="052B7F3F">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 VLAN划分：支持基于端口、MAC地址、协议类型的VLAN。</w:t>
            </w:r>
          </w:p>
          <w:p w14:paraId="3354F266">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6. 高可用与聚合：支持多台设备虚拟化堆叠（物理或逻辑），实现统一管理；支持静态链路聚合及 LACP（IEEE 802.3ad）动态聚合。</w:t>
            </w:r>
          </w:p>
          <w:p w14:paraId="07AA1362">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五、安全与终端管控</w:t>
            </w:r>
          </w:p>
          <w:p w14:paraId="4C068264">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7. 设备抗攻击能力：具备CPU保护机制，限制非法报文（如泛洪、畸形包）对主控CPU的冲击；支持ARP网关欺骗防御（如DAI、ARP Check）；支持ICMP泛洪、SYN Flood等DoS攻击防护策略。</w:t>
            </w:r>
          </w:p>
          <w:p w14:paraId="30C77CF3">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8. 表项容量：MAC地址表 ≥ 16K；ARP表项 ≥ 4K；IPv4 FIB表项 ≥ 1K。提供原厂公开技术文档（白皮书、彩页、官网规格页截图及链接地址均可）。</w:t>
            </w:r>
          </w:p>
          <w:p w14:paraId="64AB607C">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六、可靠性与环境适应性</w:t>
            </w:r>
          </w:p>
          <w:p w14:paraId="15528C6D">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 端口防雷能力：所有业务电口具备 ≥6 kV（线-地）浪涌抗扰度，符合 IEC 61000-4-5 或 GB/T 17626.5 标准。</w:t>
            </w:r>
          </w:p>
          <w:p w14:paraId="5BE46CB6">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10. 节能环保：支持 IEEE 802.3az（EEE）高效节能以太网，在端口空闲时自动进入低功耗模式，有流量时快速恢复。</w:t>
            </w:r>
          </w:p>
          <w:p w14:paraId="13D26DD8">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七、管理与运维</w:t>
            </w:r>
          </w:p>
          <w:p w14:paraId="153F6DC3">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11. SDN与认证支持：支持SDN架构（如OpenFlow 1.3或等效开放API）；支持 IEEE 802.1X 端口认证，可对接主流RADIUS认证服务器。</w:t>
            </w:r>
          </w:p>
          <w:p w14:paraId="4B524DD0">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12. 管理接口：支持 SNMP v1/v2c/v3、CLI（Console/Telnet/SSH）、Web GUI、Syslog、NTP、TFTP/FTP/SFTP 等标准管理协议。</w:t>
            </w:r>
          </w:p>
          <w:p w14:paraId="577879A1">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八、合规与强制认证</w:t>
            </w:r>
          </w:p>
          <w:p w14:paraId="12E94F28">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sz w:val="21"/>
                <w:szCs w:val="21"/>
                <w:u w:val="none"/>
              </w:rPr>
            </w:pPr>
            <w:r>
              <w:rPr>
                <w:rFonts w:hint="eastAsia" w:ascii="宋体" w:hAnsi="宋体" w:eastAsia="宋体" w:cs="宋体"/>
                <w:b w:val="0"/>
                <w:bCs w:val="0"/>
                <w:color w:val="auto"/>
                <w:sz w:val="21"/>
                <w:szCs w:val="21"/>
                <w:highlight w:val="none"/>
                <w:lang w:val="en-US" w:eastAsia="zh-CN"/>
              </w:rPr>
              <w:t>★13. 电信设备进网许可（CTA）：所投产品必须具备工业和信息化部核发的有效《电信设备进网许可证》。投标时须提供：进网许可证清晰扫描件；工信部官网查询结果截图，显示设备型号、生产企业、许可证编号及状态为“有效”。</w:t>
            </w:r>
          </w:p>
        </w:tc>
      </w:tr>
      <w:tr w14:paraId="0C53A9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55" w:hRule="atLeast"/>
        </w:trPr>
        <w:tc>
          <w:tcPr>
            <w:tcW w:w="764" w:type="dxa"/>
            <w:tcBorders>
              <w:tl2br w:val="nil"/>
              <w:tr2bl w:val="nil"/>
            </w:tcBorders>
            <w:shd w:val="clear" w:color="auto" w:fill="auto"/>
            <w:noWrap/>
            <w:vAlign w:val="center"/>
          </w:tcPr>
          <w:p w14:paraId="554B3AAE">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9</w:t>
            </w:r>
          </w:p>
        </w:tc>
        <w:tc>
          <w:tcPr>
            <w:tcW w:w="1322" w:type="dxa"/>
            <w:tcBorders>
              <w:tl2br w:val="nil"/>
              <w:tr2bl w:val="nil"/>
            </w:tcBorders>
            <w:shd w:val="clear" w:color="auto" w:fill="auto"/>
            <w:noWrap/>
            <w:vAlign w:val="center"/>
          </w:tcPr>
          <w:p w14:paraId="58ED5A32">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防水六类4对非屏蔽双绞线</w:t>
            </w:r>
          </w:p>
        </w:tc>
        <w:tc>
          <w:tcPr>
            <w:tcW w:w="6996" w:type="dxa"/>
            <w:tcBorders>
              <w:tl2br w:val="nil"/>
              <w:tr2bl w:val="nil"/>
            </w:tcBorders>
            <w:shd w:val="clear" w:color="auto" w:fill="auto"/>
            <w:noWrap/>
            <w:vAlign w:val="bottom"/>
          </w:tcPr>
          <w:p w14:paraId="520B8105">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★1.线规：6类电缆（250MHz），23AWG、导体材料为纯度不低于99.9%实心无氧铜（OFC），线芯：带十字芯骨架。</w:t>
            </w: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提供所投产品符合现行国家或行业标准的检测报告原件关键页扫描件或者提供所投产品生产企业的产品技术规格书；提供检测报告的，检测依据应符合相关标准并按第四章商务要求（其他要求的第2条）中明确的要求、提供相关佐证材料。</w:t>
            </w: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2.导体直径：≥0.57mm，绝缘材料：聚烯烃或聚全氟乙丙烯树脂(FEP)；外护套：LSZH低烟无卤阻燃聚烯烃。</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提供所投六类非屏蔽低烟无卤双绞线不少于以下技术参数的检测报告：单根导体直流电阻、近端串音衰减(NEXT)、近端串音衰减功率和（PSNEXT）、衰减远端串音比(ACR-F)、衰减远端串音比功率和(PSACR-F)、特性阻抗(Zm)、回波损耗（ReturnLoss）。</w:t>
            </w: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提供所投产品的检测报告原件扫描件（依据YD/T1019-2023等现行国家或行业标准），检测报告数量不作要求；按第四章商务要求（其他要求的第2条）中明确的要求、提供相关佐证材料。</w:t>
            </w: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★4.燃烧性能要求：所投六类非屏蔽低烟无卤双绞线至少达到单根电缆火焰垂直蔓延试验要求。</w:t>
            </w: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提供所投产品检测报告原件扫描件（符合GB/T18380.12-2022或IEC60332-1-2：2015标准中的单根电缆火焰垂直蔓延试验要求）；按第四章商务要求（其他要求的第2条）中明确的要求、提供相关佐证材料。</w:t>
            </w: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★5.烟密度：透光率应不小于50%。</w:t>
            </w: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提供所投产品的检测报告原件关键页扫描件（符合GB/T17651.2-2021或IEC61034-2:2019标准）；按第四章商务要求（其他要求的第2条）中明确的要求、提供相关佐证材料。</w:t>
            </w: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★6.提供承诺函，承诺所投产品符合YD/T1019-2023等现行国家或行业标准针对双绞多芯对称电缆的要求，格式自拟。</w:t>
            </w:r>
          </w:p>
        </w:tc>
      </w:tr>
      <w:tr w14:paraId="319A91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55" w:hRule="atLeast"/>
        </w:trPr>
        <w:tc>
          <w:tcPr>
            <w:tcW w:w="764" w:type="dxa"/>
            <w:tcBorders>
              <w:tl2br w:val="nil"/>
              <w:tr2bl w:val="nil"/>
            </w:tcBorders>
            <w:shd w:val="clear" w:color="auto" w:fill="auto"/>
            <w:noWrap/>
            <w:vAlign w:val="center"/>
          </w:tcPr>
          <w:p w14:paraId="1D096EC5">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9</w:t>
            </w:r>
          </w:p>
        </w:tc>
        <w:tc>
          <w:tcPr>
            <w:tcW w:w="1322" w:type="dxa"/>
            <w:tcBorders>
              <w:tl2br w:val="nil"/>
              <w:tr2bl w:val="nil"/>
            </w:tcBorders>
            <w:shd w:val="clear" w:color="auto" w:fill="auto"/>
            <w:noWrap/>
            <w:vAlign w:val="center"/>
          </w:tcPr>
          <w:p w14:paraId="1AB574B1">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8电口POE千兆交换机</w:t>
            </w:r>
          </w:p>
        </w:tc>
        <w:tc>
          <w:tcPr>
            <w:tcW w:w="6996" w:type="dxa"/>
            <w:tcBorders>
              <w:tl2br w:val="nil"/>
              <w:tr2bl w:val="nil"/>
            </w:tcBorders>
            <w:shd w:val="clear" w:color="auto" w:fill="auto"/>
            <w:noWrap/>
            <w:vAlign w:val="bottom"/>
          </w:tcPr>
          <w:p w14:paraId="61E2789B">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★1.交换能力≥256Gbps ，包转发速率≥25Mpps，≥8个千兆电口，≥1个1G SPF千兆光口，提供官网截图或原厂白皮书或检测报告加盖公章。</w:t>
            </w:r>
          </w:p>
          <w:p w14:paraId="56592C2F">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★2.支持802.3at POE+功能 ；POE功率≥120W，提供原厂白皮书或者产品彩页或者官网截图（带链接）（实际供电需满足学校使用需求）。</w:t>
            </w:r>
          </w:p>
          <w:p w14:paraId="50DFBA29">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3.支持IPv4静态路由、RIP V1/V2、OSPF，支持IPv6静态路由、RIPng，支持 IPv4 和 IPv6 的三层路由和组播功能。</w:t>
            </w:r>
          </w:p>
          <w:p w14:paraId="4A8119B4">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4.支持基于端口的VLAN，支持基于协议的VLAN；支持基于MAC的VLAN。</w:t>
            </w:r>
          </w:p>
          <w:p w14:paraId="136BD7CE">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5.支持最多8个端口聚合。</w:t>
            </w:r>
          </w:p>
          <w:p w14:paraId="496732BB">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6.实现CPU保护功能，能限制非法报文对CPU的攻击，保护交换机在各种环境下稳定工作。</w:t>
            </w:r>
          </w:p>
          <w:p w14:paraId="19B8C860">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7.要求所投产品支持防雷等级≥10KV。</w:t>
            </w:r>
          </w:p>
          <w:p w14:paraId="33F17097">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8.支持MAC地址≥16K。提供证明材料</w:t>
            </w:r>
          </w:p>
          <w:p w14:paraId="20209133">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9.支持RIP、RIPng、OSPF、OSPFv3路由协议。</w:t>
            </w:r>
          </w:p>
          <w:p w14:paraId="0FF6732C">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10.支持 ERPS 以太环保护协议（G.8032）。</w:t>
            </w:r>
          </w:p>
          <w:p w14:paraId="5718D52F">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sz w:val="21"/>
                <w:szCs w:val="21"/>
                <w:u w:val="none"/>
              </w:rPr>
            </w:pPr>
            <w:r>
              <w:rPr>
                <w:rFonts w:hint="eastAsia" w:ascii="宋体" w:hAnsi="宋体" w:eastAsia="宋体" w:cs="宋体"/>
                <w:b w:val="0"/>
                <w:bCs w:val="0"/>
                <w:color w:val="auto"/>
                <w:sz w:val="21"/>
                <w:szCs w:val="21"/>
                <w:highlight w:val="none"/>
                <w:lang w:val="en-US" w:eastAsia="zh-CN"/>
              </w:rPr>
              <w:t>★11.所投产品具备工业和信息化部颁发的进网许可证（CTA认证），提供证书扫描件和工信部网站查询的进网许可截图。</w:t>
            </w:r>
          </w:p>
        </w:tc>
      </w:tr>
      <w:tr w14:paraId="366B02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55" w:hRule="atLeast"/>
        </w:trPr>
        <w:tc>
          <w:tcPr>
            <w:tcW w:w="764" w:type="dxa"/>
            <w:tcBorders>
              <w:tl2br w:val="nil"/>
              <w:tr2bl w:val="nil"/>
            </w:tcBorders>
            <w:shd w:val="clear" w:color="auto" w:fill="auto"/>
            <w:noWrap/>
            <w:vAlign w:val="center"/>
          </w:tcPr>
          <w:p w14:paraId="123A86DC">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9</w:t>
            </w:r>
          </w:p>
        </w:tc>
        <w:tc>
          <w:tcPr>
            <w:tcW w:w="1322" w:type="dxa"/>
            <w:tcBorders>
              <w:tl2br w:val="nil"/>
              <w:tr2bl w:val="nil"/>
            </w:tcBorders>
            <w:shd w:val="clear" w:color="auto" w:fill="auto"/>
            <w:noWrap/>
            <w:vAlign w:val="center"/>
          </w:tcPr>
          <w:p w14:paraId="7310EF4D">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六类4对非屏蔽双绞线</w:t>
            </w:r>
          </w:p>
        </w:tc>
        <w:tc>
          <w:tcPr>
            <w:tcW w:w="6996" w:type="dxa"/>
            <w:tcBorders>
              <w:tl2br w:val="nil"/>
              <w:tr2bl w:val="nil"/>
            </w:tcBorders>
            <w:shd w:val="clear" w:color="auto" w:fill="auto"/>
            <w:noWrap/>
            <w:vAlign w:val="bottom"/>
          </w:tcPr>
          <w:p w14:paraId="470B8505">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★1.线规：6类电缆（250MHz），23AWG、导体材料为纯度不低于99.9%实心无氧铜（OFC），线芯：带十字芯骨架。</w:t>
            </w: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提供所投产品符合现行国家或行业标准的检测报告原件关键页扫描件或者提供所投产品生产企业的产品技术规格书；提供检测报告的，检测依据应符合相关标准并按第四章商务要求（其他要求的第2条）中明确的要求、提供相关佐证材料。</w:t>
            </w: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2.导体直径：≥0.57mm，绝缘材料：聚烯烃或聚全氟乙丙烯树脂(FEP)；外护套：LSZH低烟无卤阻燃聚烯烃。</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提供所投六类非屏蔽低烟无卤双绞线不少于以下技术参数的检测报告：单根导体直流电阻、近端串音衰减(NEXT)、近端串音衰减功率和（PSNEXT）、衰减远端串音比(ACR-F)、衰减远端串音比功率和(PSACR-F)、特性阻抗(Zm)、回波损耗（ReturnLoss）。</w:t>
            </w: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提供所投产品的检测报告原件扫描件（依据YD/T1019-2023等现行国家或行业标准），检测报告数量不作要求；按第四章商务要求（其他要求的第2条）中明确的要求、提供相关佐证材料。</w:t>
            </w: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★4.燃烧性能要求：所投六类非屏蔽低烟无卤双绞线至少达到单根电缆火焰垂直蔓延试验要求。</w:t>
            </w: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提供所投产品检测报告原件扫描件（符合GB/T18380.12-2022或IEC60332-1-2：2015标准中的单根电缆火焰垂直蔓延试验要求）；按第四章商务要求（其他要求的第2条）中明确的要求、提供相关佐证材料。</w:t>
            </w: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★5.烟密度：透光率应不小于50%。</w:t>
            </w: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提供所投产品的检测报告原件关键页扫描件（符合GB/T17651.2-2021或IEC61034-2:2019标准）；按第四章商务要求（其他要求的第2条）中明确的要求、提供相关佐证材料。</w:t>
            </w: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★6.提供承诺函，承诺所投产品符合YD/T1019-2023等现行国家或行业标准针对双绞多芯对称电缆的要求，格式自拟。</w:t>
            </w:r>
          </w:p>
        </w:tc>
      </w:tr>
    </w:tbl>
    <w:p w14:paraId="13258A94">
      <w:pPr>
        <w:pStyle w:val="97"/>
        <w:pageBreakBefore w:val="0"/>
        <w:widowControl w:val="0"/>
        <w:numPr>
          <w:ilvl w:val="0"/>
          <w:numId w:val="0"/>
        </w:numPr>
        <w:wordWrap/>
        <w:topLinePunct w:val="0"/>
        <w:bidi w:val="0"/>
        <w:spacing w:beforeAutospacing="0" w:afterAutospacing="0" w:line="400" w:lineRule="exact"/>
        <w:ind w:left="0" w:leftChars="0" w:right="0" w:rightChars="0"/>
        <w:contextualSpacing/>
        <w:jc w:val="both"/>
        <w:rPr>
          <w:rFonts w:hint="eastAsia" w:asciiTheme="minorEastAsia" w:hAnsiTheme="minorEastAsia" w:eastAsiaTheme="minorEastAsia" w:cstheme="minorEastAsia"/>
          <w:b w:val="0"/>
          <w:bCs/>
          <w:color w:val="auto"/>
          <w:sz w:val="21"/>
          <w:szCs w:val="21"/>
          <w:lang w:val="en-US" w:eastAsia="zh-CN"/>
        </w:rPr>
      </w:pPr>
    </w:p>
    <w:p w14:paraId="3E494BEE">
      <w:pPr>
        <w:pStyle w:val="6"/>
        <w:numPr>
          <w:ilvl w:val="0"/>
          <w:numId w:val="71"/>
        </w:numPr>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t>常州市实验初级中学</w:t>
      </w:r>
    </w:p>
    <w:tbl>
      <w:tblPr>
        <w:tblStyle w:val="43"/>
        <w:tblW w:w="9068" w:type="dxa"/>
        <w:tblInd w:w="-17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63"/>
        <w:gridCol w:w="1296"/>
        <w:gridCol w:w="7009"/>
      </w:tblGrid>
      <w:tr w14:paraId="2EB7DB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F624B">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b/>
                <w:bCs/>
                <w:i w:val="0"/>
                <w:iCs w:val="0"/>
                <w:color w:val="auto"/>
                <w:kern w:val="0"/>
                <w:sz w:val="21"/>
                <w:szCs w:val="21"/>
                <w:u w:val="none"/>
                <w:lang w:val="en-US" w:eastAsia="zh-CN" w:bidi="ar"/>
              </w:rPr>
              <w:t>序号</w:t>
            </w:r>
          </w:p>
        </w:tc>
        <w:tc>
          <w:tcPr>
            <w:tcW w:w="12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19631">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b/>
                <w:bCs/>
                <w:i w:val="0"/>
                <w:iCs w:val="0"/>
                <w:color w:val="auto"/>
                <w:kern w:val="0"/>
                <w:sz w:val="21"/>
                <w:szCs w:val="21"/>
                <w:u w:val="none"/>
                <w:lang w:val="en-US" w:eastAsia="zh-CN" w:bidi="ar"/>
              </w:rPr>
              <w:t>设备名称</w:t>
            </w:r>
          </w:p>
        </w:tc>
        <w:tc>
          <w:tcPr>
            <w:tcW w:w="7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AFE6E">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b/>
                <w:bCs/>
                <w:i w:val="0"/>
                <w:iCs w:val="0"/>
                <w:color w:val="auto"/>
                <w:kern w:val="0"/>
                <w:sz w:val="21"/>
                <w:szCs w:val="21"/>
                <w:u w:val="none"/>
                <w:lang w:val="en-US" w:eastAsia="zh-CN" w:bidi="ar"/>
              </w:rPr>
              <w:t>技术参数</w:t>
            </w:r>
          </w:p>
        </w:tc>
      </w:tr>
      <w:tr w14:paraId="0DADC7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05562">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b/>
                <w:bCs/>
                <w:i w:val="0"/>
                <w:iCs w:val="0"/>
                <w:color w:val="auto"/>
                <w:kern w:val="2"/>
                <w:sz w:val="21"/>
                <w:szCs w:val="21"/>
                <w:u w:val="none"/>
                <w:lang w:val="en-US" w:eastAsia="zh-CN" w:bidi="ar-SA"/>
              </w:rPr>
            </w:pPr>
            <w:r>
              <w:rPr>
                <w:rFonts w:hint="eastAsia" w:asciiTheme="minorEastAsia" w:hAnsiTheme="minorEastAsia" w:eastAsiaTheme="minorEastAsia" w:cstheme="minorEastAsia"/>
                <w:b/>
                <w:bCs/>
                <w:i w:val="0"/>
                <w:iCs w:val="0"/>
                <w:color w:val="auto"/>
                <w:kern w:val="0"/>
                <w:sz w:val="21"/>
                <w:szCs w:val="21"/>
                <w:u w:val="none"/>
                <w:lang w:val="en-US" w:eastAsia="zh-CN" w:bidi="ar"/>
              </w:rPr>
              <w:t>一</w:t>
            </w:r>
          </w:p>
        </w:tc>
        <w:tc>
          <w:tcPr>
            <w:tcW w:w="12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2F28C">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b/>
                <w:bCs/>
                <w:i w:val="0"/>
                <w:iCs w:val="0"/>
                <w:color w:val="auto"/>
                <w:kern w:val="2"/>
                <w:sz w:val="21"/>
                <w:szCs w:val="21"/>
                <w:u w:val="none"/>
                <w:lang w:val="en-US" w:eastAsia="zh-CN" w:bidi="ar-SA"/>
              </w:rPr>
            </w:pPr>
            <w:r>
              <w:rPr>
                <w:rFonts w:hint="eastAsia" w:asciiTheme="minorEastAsia" w:hAnsiTheme="minorEastAsia" w:eastAsiaTheme="minorEastAsia" w:cstheme="minorEastAsia"/>
                <w:b/>
                <w:bCs/>
                <w:i w:val="0"/>
                <w:iCs w:val="0"/>
                <w:color w:val="auto"/>
                <w:kern w:val="0"/>
                <w:sz w:val="21"/>
                <w:szCs w:val="21"/>
                <w:u w:val="none"/>
                <w:lang w:val="en-US" w:eastAsia="zh-CN" w:bidi="ar"/>
              </w:rPr>
              <w:t>视频监控增补</w:t>
            </w:r>
          </w:p>
        </w:tc>
        <w:tc>
          <w:tcPr>
            <w:tcW w:w="7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8AD30">
            <w:pPr>
              <w:keepNext w:val="0"/>
              <w:keepLines w:val="0"/>
              <w:pageBreakBefore w:val="0"/>
              <w:kinsoku/>
              <w:wordWrap/>
              <w:overflowPunct/>
              <w:topLinePunct w:val="0"/>
              <w:autoSpaceDE/>
              <w:autoSpaceDN/>
              <w:bidi w:val="0"/>
              <w:adjustRightInd/>
              <w:snapToGrid/>
              <w:spacing w:beforeAutospacing="0" w:afterAutospacing="0" w:line="400" w:lineRule="exact"/>
              <w:ind w:left="0" w:leftChars="0" w:right="0" w:rightChars="0"/>
              <w:rPr>
                <w:rFonts w:hint="eastAsia" w:asciiTheme="minorEastAsia" w:hAnsiTheme="minorEastAsia" w:eastAsiaTheme="minorEastAsia" w:cstheme="minorEastAsia"/>
                <w:i w:val="0"/>
                <w:iCs w:val="0"/>
                <w:color w:val="auto"/>
                <w:sz w:val="21"/>
                <w:szCs w:val="21"/>
                <w:u w:val="none"/>
              </w:rPr>
            </w:pPr>
          </w:p>
        </w:tc>
      </w:tr>
      <w:tr w14:paraId="3AEDBA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79B59">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kern w:val="2"/>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1</w:t>
            </w:r>
          </w:p>
        </w:tc>
        <w:tc>
          <w:tcPr>
            <w:tcW w:w="12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B7902">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kern w:val="2"/>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400万筒形网络摄像机</w:t>
            </w:r>
          </w:p>
        </w:tc>
        <w:tc>
          <w:tcPr>
            <w:tcW w:w="7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CA3C8">
            <w:pPr>
              <w:pStyle w:val="15"/>
              <w:keepNext w:val="0"/>
              <w:keepLines w:val="0"/>
              <w:pageBreakBefore w:val="0"/>
              <w:kinsoku/>
              <w:wordWrap/>
              <w:overflowPunct/>
              <w:topLinePunct w:val="0"/>
              <w:autoSpaceDE/>
              <w:autoSpaceDN/>
              <w:bidi w:val="0"/>
              <w:adjustRightInd/>
              <w:snapToGrid/>
              <w:spacing w:line="400" w:lineRule="exact"/>
              <w:ind w:left="0"/>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1.传感器：≥1/1.8英寸CMOS传感器。提供原厂公开技术文档（白皮书、彩页、官网规格页截图及链接地址）。</w:t>
            </w:r>
          </w:p>
          <w:p w14:paraId="6B0E8E5E">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★2.像素≥400万或最大分辨率≥2560×1440。提供所投产品</w:t>
            </w:r>
            <w:r>
              <w:rPr>
                <w:rFonts w:hint="eastAsia" w:ascii="宋体" w:hAnsi="宋体" w:eastAsia="宋体" w:cs="宋体"/>
                <w:b w:val="0"/>
                <w:bCs w:val="0"/>
                <w:color w:val="auto"/>
                <w:sz w:val="21"/>
                <w:szCs w:val="21"/>
                <w:highlight w:val="none"/>
                <w:u w:val="none"/>
                <w:lang w:bidi="ar"/>
              </w:rPr>
              <w:t>由具备有效CMA资质的检测机构出具的封面盖有CMA专用印章的检测报告原件关键页扫描件(</w:t>
            </w:r>
            <w:r>
              <w:rPr>
                <w:rFonts w:hint="eastAsia" w:ascii="宋体" w:hAnsi="宋体" w:eastAsia="宋体" w:cs="宋体"/>
                <w:b w:val="0"/>
                <w:bCs w:val="0"/>
                <w:i w:val="0"/>
                <w:iCs w:val="0"/>
                <w:color w:val="auto"/>
                <w:kern w:val="0"/>
                <w:sz w:val="21"/>
                <w:szCs w:val="21"/>
                <w:highlight w:val="none"/>
                <w:u w:val="none"/>
                <w:lang w:val="en-US" w:eastAsia="zh-CN" w:bidi="ar"/>
              </w:rPr>
              <w:t>依据标准GA/T 1127-2013等现行国家标准</w:t>
            </w:r>
            <w:r>
              <w:rPr>
                <w:rFonts w:hint="eastAsia" w:ascii="宋体" w:hAnsi="宋体" w:eastAsia="宋体" w:cs="宋体"/>
                <w:b w:val="0"/>
                <w:bCs w:val="0"/>
                <w:color w:val="auto"/>
                <w:sz w:val="21"/>
                <w:szCs w:val="21"/>
                <w:highlight w:val="none"/>
                <w:u w:val="none"/>
                <w:lang w:bidi="ar"/>
              </w:rPr>
              <w:t>）</w:t>
            </w:r>
            <w:r>
              <w:rPr>
                <w:rFonts w:hint="eastAsia" w:ascii="宋体" w:hAnsi="宋体" w:eastAsia="宋体" w:cs="宋体"/>
                <w:b w:val="0"/>
                <w:bCs w:val="0"/>
                <w:i w:val="0"/>
                <w:iCs w:val="0"/>
                <w:color w:val="auto"/>
                <w:kern w:val="0"/>
                <w:sz w:val="21"/>
                <w:szCs w:val="21"/>
                <w:highlight w:val="none"/>
                <w:u w:val="none"/>
                <w:lang w:val="en-US" w:eastAsia="zh-CN" w:bidi="ar"/>
              </w:rPr>
              <w:t>。</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★3.具备最低照度彩色不劣于0.001Lux，黑白不劣于0.0001Lux。提供第三方机构出具的具有CMA标志的检测报告（依据标准</w:t>
            </w:r>
            <w:r>
              <w:rPr>
                <w:rFonts w:hint="eastAsia" w:ascii="宋体" w:hAnsi="宋体" w:eastAsia="宋体" w:cs="宋体"/>
                <w:b w:val="0"/>
                <w:bCs w:val="0"/>
                <w:i w:val="0"/>
                <w:iCs w:val="0"/>
                <w:color w:val="auto"/>
                <w:kern w:val="0"/>
                <w:sz w:val="21"/>
                <w:szCs w:val="21"/>
                <w:highlight w:val="none"/>
                <w:u w:val="none"/>
                <w:lang w:val="en-US" w:eastAsia="zh-CN" w:bidi="ar"/>
              </w:rPr>
              <w:t>GA/T 1127-2013或</w:t>
            </w:r>
            <w:r>
              <w:rPr>
                <w:rFonts w:hint="eastAsia" w:ascii="宋体" w:hAnsi="宋体" w:eastAsia="宋体" w:cs="宋体"/>
                <w:b w:val="0"/>
                <w:bCs w:val="0"/>
                <w:i w:val="0"/>
                <w:iCs w:val="0"/>
                <w:color w:val="auto"/>
                <w:sz w:val="21"/>
                <w:szCs w:val="21"/>
                <w:highlight w:val="none"/>
                <w:u w:val="none"/>
                <w:lang w:val="en-US" w:eastAsia="zh-CN" w:bidi="ar"/>
              </w:rPr>
              <w:t>GB 16796-2022</w:t>
            </w:r>
            <w:r>
              <w:rPr>
                <w:rFonts w:hint="eastAsia" w:ascii="宋体" w:hAnsi="宋体" w:eastAsia="宋体" w:cs="宋体"/>
                <w:b w:val="0"/>
                <w:bCs w:val="0"/>
                <w:color w:val="auto"/>
                <w:sz w:val="21"/>
                <w:szCs w:val="21"/>
                <w:highlight w:val="none"/>
                <w:u w:val="none"/>
                <w:lang w:bidi="ar"/>
              </w:rPr>
              <w:t>或GB/T 15211-2013</w:t>
            </w:r>
            <w:r>
              <w:rPr>
                <w:rFonts w:hint="eastAsia" w:ascii="宋体" w:hAnsi="宋体" w:eastAsia="宋体" w:cs="宋体"/>
                <w:b w:val="0"/>
                <w:bCs w:val="0"/>
                <w:i w:val="0"/>
                <w:iCs w:val="0"/>
                <w:color w:val="auto"/>
                <w:sz w:val="21"/>
                <w:szCs w:val="21"/>
                <w:highlight w:val="none"/>
                <w:u w:val="none"/>
                <w:lang w:val="en-US" w:eastAsia="zh-CN" w:bidi="ar"/>
              </w:rPr>
              <w:t>等现行国家标准）</w:t>
            </w:r>
            <w:r>
              <w:rPr>
                <w:rFonts w:hint="eastAsia" w:ascii="宋体" w:hAnsi="宋体" w:eastAsia="宋体" w:cs="宋体"/>
                <w:b w:val="0"/>
                <w:bCs w:val="0"/>
                <w:color w:val="auto"/>
                <w:sz w:val="21"/>
                <w:szCs w:val="21"/>
                <w:highlight w:val="none"/>
                <w:u w:val="none"/>
                <w:lang w:val="en-US" w:eastAsia="zh-CN" w:bidi="ar"/>
              </w:rPr>
              <w:t>。</w:t>
            </w:r>
          </w:p>
          <w:p w14:paraId="0738F702">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4.具备滤光片切换功能，摄像机可在彩色/黑白模式下自动切换滤光片。</w:t>
            </w:r>
          </w:p>
          <w:p w14:paraId="4D12ADF7">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5.镜头可选：定焦；镜头光圈≥F1.0。</w:t>
            </w:r>
          </w:p>
          <w:p w14:paraId="3EB77D8A">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6.智能红外补光距离（识别距离）≥50米。提供所投产品</w:t>
            </w:r>
            <w:r>
              <w:rPr>
                <w:rFonts w:hint="eastAsia" w:ascii="宋体" w:hAnsi="宋体" w:eastAsia="宋体" w:cs="宋体"/>
                <w:b w:val="0"/>
                <w:bCs w:val="0"/>
                <w:color w:val="auto"/>
                <w:sz w:val="21"/>
                <w:szCs w:val="21"/>
                <w:highlight w:val="none"/>
                <w:u w:val="none"/>
                <w:lang w:bidi="ar"/>
              </w:rPr>
              <w:t>由具备有效CMA资质的检测机构出具的封面盖有CMA专用印章的检测报告原件关键页扫描件(</w:t>
            </w:r>
            <w:r>
              <w:rPr>
                <w:rFonts w:hint="eastAsia" w:ascii="宋体" w:hAnsi="宋体" w:eastAsia="宋体" w:cs="宋体"/>
                <w:b w:val="0"/>
                <w:bCs w:val="0"/>
                <w:i w:val="0"/>
                <w:iCs w:val="0"/>
                <w:color w:val="auto"/>
                <w:kern w:val="0"/>
                <w:sz w:val="21"/>
                <w:szCs w:val="21"/>
                <w:highlight w:val="none"/>
                <w:u w:val="none"/>
                <w:lang w:val="en-US" w:eastAsia="zh-CN" w:bidi="ar"/>
              </w:rPr>
              <w:t>依据标准GA/T 1127-2013等现行国家标准</w:t>
            </w:r>
            <w:r>
              <w:rPr>
                <w:rFonts w:hint="eastAsia" w:ascii="宋体" w:hAnsi="宋体" w:eastAsia="宋体" w:cs="宋体"/>
                <w:b w:val="0"/>
                <w:bCs w:val="0"/>
                <w:color w:val="auto"/>
                <w:sz w:val="21"/>
                <w:szCs w:val="21"/>
                <w:highlight w:val="none"/>
                <w:u w:val="none"/>
                <w:lang w:bidi="ar"/>
              </w:rPr>
              <w:t>）</w:t>
            </w:r>
            <w:r>
              <w:rPr>
                <w:rFonts w:hint="eastAsia" w:ascii="宋体" w:hAnsi="宋体" w:eastAsia="宋体" w:cs="宋体"/>
                <w:b w:val="0"/>
                <w:bCs w:val="0"/>
                <w:i w:val="0"/>
                <w:iCs w:val="0"/>
                <w:color w:val="auto"/>
                <w:kern w:val="0"/>
                <w:sz w:val="21"/>
                <w:szCs w:val="21"/>
                <w:highlight w:val="none"/>
                <w:u w:val="none"/>
                <w:lang w:val="en-US" w:eastAsia="zh-CN" w:bidi="ar"/>
              </w:rPr>
              <w:t>。</w:t>
            </w:r>
          </w:p>
          <w:p w14:paraId="35E6C3D1">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★7.宽动态能力综合得分≥80。提供所投产品</w:t>
            </w:r>
            <w:r>
              <w:rPr>
                <w:rFonts w:hint="eastAsia" w:ascii="宋体" w:hAnsi="宋体" w:eastAsia="宋体" w:cs="宋体"/>
                <w:b w:val="0"/>
                <w:bCs w:val="0"/>
                <w:color w:val="auto"/>
                <w:sz w:val="21"/>
                <w:szCs w:val="21"/>
                <w:highlight w:val="none"/>
                <w:u w:val="none"/>
                <w:lang w:bidi="ar"/>
              </w:rPr>
              <w:t>由具备有效CMA资质的检测机构出具的封面盖有CMA专用印章的检测报告原件关键页扫描件(</w:t>
            </w:r>
            <w:r>
              <w:rPr>
                <w:rFonts w:hint="eastAsia" w:ascii="宋体" w:hAnsi="宋体" w:eastAsia="宋体" w:cs="宋体"/>
                <w:b w:val="0"/>
                <w:bCs w:val="0"/>
                <w:i w:val="0"/>
                <w:iCs w:val="0"/>
                <w:color w:val="auto"/>
                <w:kern w:val="0"/>
                <w:sz w:val="21"/>
                <w:szCs w:val="21"/>
                <w:highlight w:val="none"/>
                <w:u w:val="none"/>
                <w:lang w:val="en-US" w:eastAsia="zh-CN" w:bidi="ar"/>
              </w:rPr>
              <w:t>依据标准GA/T 1127-2013等现行国家标准</w:t>
            </w:r>
            <w:r>
              <w:rPr>
                <w:rFonts w:hint="eastAsia" w:ascii="宋体" w:hAnsi="宋体" w:eastAsia="宋体" w:cs="宋体"/>
                <w:b w:val="0"/>
                <w:bCs w:val="0"/>
                <w:color w:val="auto"/>
                <w:sz w:val="21"/>
                <w:szCs w:val="21"/>
                <w:highlight w:val="none"/>
                <w:u w:val="none"/>
                <w:lang w:bidi="ar"/>
              </w:rPr>
              <w:t>）</w:t>
            </w:r>
            <w:r>
              <w:rPr>
                <w:rFonts w:hint="eastAsia" w:ascii="宋体" w:hAnsi="宋体" w:eastAsia="宋体" w:cs="宋体"/>
                <w:b w:val="0"/>
                <w:bCs w:val="0"/>
                <w:i w:val="0"/>
                <w:iCs w:val="0"/>
                <w:color w:val="auto"/>
                <w:kern w:val="0"/>
                <w:sz w:val="21"/>
                <w:szCs w:val="21"/>
                <w:highlight w:val="none"/>
                <w:u w:val="none"/>
                <w:lang w:val="en-US" w:eastAsia="zh-CN" w:bidi="ar"/>
              </w:rPr>
              <w:t>。</w:t>
            </w:r>
          </w:p>
          <w:p w14:paraId="1512679B">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★8.具备H.265、H.264、MJPEG视频编码格式，音频编码：G.711、AAC。提供原厂公开技术文档（白皮书、彩页、官网规格页截图及链接地址）。内置MIC（根据项目需求确定）。</w:t>
            </w:r>
          </w:p>
          <w:p w14:paraId="0EBB6281">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9.具备背光补偿、强光抑制、自动增益、感兴趣区域、移动侦测等功能。提供所投产品的检测报告原件关键页扫描件（依据标准GB 16796-2022或GA/T 1127-2013等现行国家标准）。</w:t>
            </w:r>
          </w:p>
          <w:p w14:paraId="615C10D8">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★10.具备绊线或越界入侵、区域入侵、徘徊、人员聚集、停车、物品遗留或搬移（移除）等行为分析功能，具备联动抓拍或录像、报警。提供所投产品原厂技术白皮书。</w:t>
            </w:r>
          </w:p>
          <w:p w14:paraId="016B5FA9">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11.具备场景自适应功能，可根据监控场景自动调节曝光模式。</w:t>
            </w:r>
          </w:p>
          <w:p w14:paraId="05BA619B">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12.摄像机在视频遮挡、存储器满、非法访问、网络断开、IP冲突时可给出报警提示；具备断网续传功能。</w:t>
            </w:r>
          </w:p>
          <w:p w14:paraId="0E99EC5B">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13.具备数据直存功能，即直接将视频存储数据发送到存储设备（当中心服务器故障时、不影响正在进行的存储业务）。</w:t>
            </w:r>
          </w:p>
          <w:p w14:paraId="223DF72B">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14.接口：RJ45百兆或千兆以太网电口，音频输入：≥1路，音频输出：≥1路，报警输入：≥2路，报警输出：≥2路。</w:t>
            </w:r>
          </w:p>
          <w:p w14:paraId="67636874">
            <w:pPr>
              <w:pStyle w:val="15"/>
              <w:keepNext w:val="0"/>
              <w:keepLines w:val="0"/>
              <w:pageBreakBefore w:val="0"/>
              <w:kinsoku/>
              <w:wordWrap/>
              <w:overflowPunct/>
              <w:topLinePunct w:val="0"/>
              <w:autoSpaceDE/>
              <w:autoSpaceDN/>
              <w:bidi w:val="0"/>
              <w:adjustRightInd/>
              <w:snapToGrid/>
              <w:spacing w:line="400" w:lineRule="exact"/>
              <w:ind w:left="0"/>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15.提供SD或TF卡槽。承诺可通过加装安全加密卡对接公安视频数据加密平台、实现安全升级以符合GB35114A级标准对前端面摄像机基于数字证书的双向身份认证功能，提供承诺函（格式自拟）。</w:t>
            </w:r>
          </w:p>
          <w:p w14:paraId="37C40716">
            <w:pPr>
              <w:pStyle w:val="15"/>
              <w:keepNext w:val="0"/>
              <w:keepLines w:val="0"/>
              <w:pageBreakBefore w:val="0"/>
              <w:kinsoku/>
              <w:wordWrap/>
              <w:overflowPunct/>
              <w:topLinePunct w:val="0"/>
              <w:autoSpaceDE/>
              <w:autoSpaceDN/>
              <w:bidi w:val="0"/>
              <w:adjustRightInd/>
              <w:snapToGrid/>
              <w:spacing w:line="400" w:lineRule="exact"/>
              <w:ind w:left="0"/>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★16.符合GB/T 28181现行协议标准。提供所投产品原厂公开技术文档（白皮书、彩页、官网规格页截图及链接地址）或提供承诺函（格式自拟）。</w:t>
            </w:r>
          </w:p>
          <w:p w14:paraId="492A92BD">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17.Onvif、IPv4/6现行协议标准。提供原厂公开技术文档（白皮书、彩页、官网规格页截图及链接地址）。</w:t>
            </w:r>
          </w:p>
          <w:p w14:paraId="04157830">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18.工作温度：-40℃~+60℃。工作湿度：≤95%。</w:t>
            </w:r>
          </w:p>
          <w:p w14:paraId="54A1EF2C">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★19.浪涌（冲击）抗扰度测试、防浪涌。</w:t>
            </w:r>
            <w:r>
              <w:rPr>
                <w:rFonts w:hint="eastAsia" w:ascii="宋体" w:hAnsi="宋体" w:eastAsia="宋体" w:cs="宋体"/>
                <w:b w:val="0"/>
                <w:bCs w:val="0"/>
                <w:color w:val="auto"/>
                <w:sz w:val="21"/>
                <w:szCs w:val="21"/>
                <w:highlight w:val="none"/>
                <w:lang w:val="en-US" w:eastAsia="zh-CN" w:bidi="ar"/>
              </w:rPr>
              <w:t>承诺</w:t>
            </w:r>
            <w:r>
              <w:rPr>
                <w:rFonts w:hint="eastAsia" w:ascii="宋体" w:hAnsi="宋体" w:eastAsia="宋体" w:cs="宋体"/>
                <w:b w:val="0"/>
                <w:bCs w:val="0"/>
                <w:color w:val="auto"/>
                <w:sz w:val="21"/>
                <w:szCs w:val="21"/>
                <w:highlight w:val="none"/>
                <w:lang w:bidi="ar"/>
              </w:rPr>
              <w:t>符合</w:t>
            </w:r>
            <w:r>
              <w:rPr>
                <w:rFonts w:hint="eastAsia" w:ascii="宋体" w:hAnsi="宋体" w:eastAsia="宋体" w:cs="宋体"/>
                <w:b w:val="0"/>
                <w:bCs w:val="0"/>
                <w:i w:val="0"/>
                <w:iCs w:val="0"/>
                <w:color w:val="auto"/>
                <w:kern w:val="0"/>
                <w:sz w:val="21"/>
                <w:szCs w:val="21"/>
                <w:highlight w:val="none"/>
                <w:u w:val="none"/>
                <w:lang w:val="en-US" w:eastAsia="zh-CN" w:bidi="ar"/>
              </w:rPr>
              <w:t>GA/T 1127-2013或</w:t>
            </w:r>
            <w:r>
              <w:rPr>
                <w:rFonts w:hint="eastAsia" w:ascii="宋体" w:hAnsi="宋体" w:eastAsia="宋体" w:cs="宋体"/>
                <w:b w:val="0"/>
                <w:bCs w:val="0"/>
                <w:color w:val="auto"/>
                <w:sz w:val="21"/>
                <w:szCs w:val="21"/>
                <w:highlight w:val="none"/>
                <w:lang w:bidi="ar"/>
              </w:rPr>
              <w:t>GB/T 17626.5-</w:t>
            </w:r>
            <w:r>
              <w:rPr>
                <w:rFonts w:hint="eastAsia" w:ascii="宋体" w:hAnsi="宋体" w:eastAsia="宋体" w:cs="宋体"/>
                <w:b w:val="0"/>
                <w:bCs w:val="0"/>
                <w:color w:val="auto"/>
                <w:sz w:val="21"/>
                <w:szCs w:val="21"/>
                <w:highlight w:val="none"/>
                <w:lang w:val="en-US" w:eastAsia="zh-CN" w:bidi="ar"/>
              </w:rPr>
              <w:t>2008/</w:t>
            </w:r>
            <w:r>
              <w:rPr>
                <w:rFonts w:hint="eastAsia" w:ascii="宋体" w:hAnsi="宋体" w:eastAsia="宋体" w:cs="宋体"/>
                <w:b w:val="0"/>
                <w:bCs w:val="0"/>
                <w:color w:val="auto"/>
                <w:sz w:val="21"/>
                <w:szCs w:val="21"/>
                <w:highlight w:val="none"/>
                <w:lang w:bidi="ar"/>
              </w:rPr>
              <w:t>2019</w:t>
            </w:r>
            <w:r>
              <w:rPr>
                <w:rFonts w:hint="eastAsia" w:ascii="宋体" w:hAnsi="宋体" w:eastAsia="宋体" w:cs="宋体"/>
                <w:b w:val="0"/>
                <w:bCs w:val="0"/>
                <w:color w:val="auto"/>
                <w:sz w:val="21"/>
                <w:szCs w:val="21"/>
                <w:highlight w:val="none"/>
                <w:lang w:val="en-US" w:eastAsia="zh-CN" w:bidi="ar"/>
              </w:rPr>
              <w:t>对摄像机的</w:t>
            </w:r>
            <w:r>
              <w:rPr>
                <w:rFonts w:hint="eastAsia" w:ascii="宋体" w:hAnsi="宋体" w:eastAsia="宋体" w:cs="宋体"/>
                <w:b w:val="0"/>
                <w:bCs w:val="0"/>
                <w:i w:val="0"/>
                <w:iCs w:val="0"/>
                <w:color w:val="auto"/>
                <w:kern w:val="0"/>
                <w:sz w:val="21"/>
                <w:szCs w:val="21"/>
                <w:highlight w:val="none"/>
                <w:u w:val="none"/>
                <w:lang w:val="en-US" w:eastAsia="zh-CN" w:bidi="ar"/>
              </w:rPr>
              <w:t>防浪涌</w:t>
            </w:r>
            <w:r>
              <w:rPr>
                <w:rFonts w:hint="eastAsia" w:ascii="宋体" w:hAnsi="宋体" w:eastAsia="宋体" w:cs="宋体"/>
                <w:b w:val="0"/>
                <w:bCs w:val="0"/>
                <w:color w:val="auto"/>
                <w:sz w:val="21"/>
                <w:szCs w:val="21"/>
                <w:highlight w:val="none"/>
                <w:lang w:val="en-US" w:eastAsia="zh-CN" w:bidi="ar"/>
              </w:rPr>
              <w:t>要求</w:t>
            </w:r>
            <w:r>
              <w:rPr>
                <w:rFonts w:hint="eastAsia" w:ascii="宋体" w:hAnsi="宋体" w:eastAsia="宋体" w:cs="宋体"/>
                <w:b w:val="0"/>
                <w:bCs w:val="0"/>
                <w:color w:val="auto"/>
                <w:sz w:val="21"/>
                <w:szCs w:val="21"/>
                <w:highlight w:val="none"/>
                <w:lang w:eastAsia="zh-CN" w:bidi="ar"/>
              </w:rPr>
              <w:t>。</w:t>
            </w:r>
          </w:p>
          <w:p w14:paraId="5E66CCF1">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20.稳定性：摄像机在正常工作条件下，具备连续168小时正常工作。</w:t>
            </w:r>
          </w:p>
          <w:p w14:paraId="17F1117E">
            <w:pPr>
              <w:pStyle w:val="15"/>
              <w:keepNext w:val="0"/>
              <w:keepLines w:val="0"/>
              <w:pageBreakBefore w:val="0"/>
              <w:kinsoku/>
              <w:wordWrap/>
              <w:overflowPunct/>
              <w:topLinePunct w:val="0"/>
              <w:autoSpaceDE/>
              <w:autoSpaceDN/>
              <w:bidi w:val="0"/>
              <w:adjustRightInd/>
              <w:snapToGrid/>
              <w:spacing w:line="400" w:lineRule="exact"/>
              <w:ind w:left="0"/>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★21.防护等级：≥IP67。提供所投产品的检测报告原件关键页扫描件（依据GB/T 15211-2013或GA/T 1127-2013或</w:t>
            </w:r>
            <w:r>
              <w:rPr>
                <w:rFonts w:hint="eastAsia" w:ascii="宋体" w:hAnsi="宋体" w:eastAsia="宋体" w:cs="宋体"/>
                <w:b w:val="0"/>
                <w:bCs w:val="0"/>
                <w:color w:val="auto"/>
                <w:sz w:val="21"/>
                <w:szCs w:val="21"/>
                <w:highlight w:val="none"/>
              </w:rPr>
              <w:t>GB/T4208-2017标准</w:t>
            </w:r>
            <w:r>
              <w:rPr>
                <w:rFonts w:hint="eastAsia" w:ascii="宋体" w:hAnsi="宋体" w:eastAsia="宋体" w:cs="宋体"/>
                <w:b w:val="0"/>
                <w:bCs w:val="0"/>
                <w:i w:val="0"/>
                <w:iCs w:val="0"/>
                <w:color w:val="auto"/>
                <w:kern w:val="0"/>
                <w:sz w:val="21"/>
                <w:szCs w:val="21"/>
                <w:highlight w:val="none"/>
                <w:u w:val="none"/>
                <w:lang w:val="en-US" w:eastAsia="zh-CN" w:bidi="ar"/>
              </w:rPr>
              <w:t>）等相关现行国家标准）。</w:t>
            </w:r>
          </w:p>
          <w:p w14:paraId="7685E491">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★22.具备POE供电功能。提供原厂公开技术文档（白皮书、彩页、官网规格页截图及链接地址均可）。</w:t>
            </w:r>
          </w:p>
          <w:p w14:paraId="157E02B1">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u w:val="none"/>
                <w:lang w:val="en-US" w:eastAsia="zh-CN" w:bidi="ar"/>
              </w:rPr>
              <w:t>★23.符合GB/T 28181、Onvif、IPv4/IPv6协议标准。提供所投产品原厂公开技术文档（白皮书、彩页、官网规格页截图及链接地址）或提供承诺函（格式自拟）</w:t>
            </w:r>
            <w:r>
              <w:rPr>
                <w:rFonts w:hint="eastAsia" w:ascii="宋体" w:hAnsi="宋体" w:eastAsia="宋体" w:cs="宋体"/>
                <w:b w:val="0"/>
                <w:bCs w:val="0"/>
                <w:color w:val="auto"/>
                <w:sz w:val="21"/>
                <w:szCs w:val="21"/>
                <w:highlight w:val="none"/>
                <w:u w:val="none"/>
                <w:lang w:val="en-US" w:eastAsia="zh-CN" w:bidi="ar"/>
              </w:rPr>
              <w:t>。</w:t>
            </w:r>
          </w:p>
          <w:p w14:paraId="668AA784">
            <w:pPr>
              <w:pStyle w:val="18"/>
              <w:ind w:left="0" w:leftChars="0" w:firstLine="0" w:firstLineChars="0"/>
              <w:rPr>
                <w:rFonts w:hint="eastAsia"/>
                <w:color w:val="auto"/>
                <w:lang w:val="en-US" w:eastAsia="zh-CN"/>
              </w:rPr>
            </w:pPr>
          </w:p>
          <w:p w14:paraId="05320F42">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宋体" w:hAnsi="宋体" w:eastAsia="宋体" w:cs="宋体"/>
                <w:b w:val="0"/>
                <w:bCs w:val="0"/>
                <w:color w:val="auto"/>
                <w:sz w:val="21"/>
                <w:szCs w:val="21"/>
                <w:highlight w:val="none"/>
                <w:lang w:val="en-US" w:eastAsia="zh-CN"/>
              </w:rPr>
              <w:t>注：</w:t>
            </w:r>
            <w:r>
              <w:rPr>
                <w:rFonts w:hint="eastAsia" w:ascii="宋体" w:hAnsi="宋体" w:eastAsia="宋体" w:cs="宋体"/>
                <w:b w:val="0"/>
                <w:bCs w:val="0"/>
                <w:i w:val="0"/>
                <w:iCs w:val="0"/>
                <w:color w:val="auto"/>
                <w:kern w:val="0"/>
                <w:sz w:val="21"/>
                <w:szCs w:val="21"/>
                <w:highlight w:val="none"/>
                <w:u w:val="none"/>
                <w:lang w:val="en-US" w:eastAsia="zh-CN" w:bidi="ar"/>
              </w:rPr>
              <w:t>提供检测报告的，按第四章商务要求（其他要求的第2条）中明确的要求、提供相关佐证材料。</w:t>
            </w:r>
          </w:p>
        </w:tc>
      </w:tr>
      <w:tr w14:paraId="5B643B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A5E75">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kern w:val="2"/>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2</w:t>
            </w:r>
          </w:p>
        </w:tc>
        <w:tc>
          <w:tcPr>
            <w:tcW w:w="12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A2267">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kern w:val="2"/>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摄像机支架</w:t>
            </w:r>
          </w:p>
        </w:tc>
        <w:tc>
          <w:tcPr>
            <w:tcW w:w="7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DD7CC">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宋体" w:hAnsi="宋体" w:eastAsia="宋体" w:cs="宋体"/>
                <w:i w:val="0"/>
                <w:iCs w:val="0"/>
                <w:color w:val="auto"/>
                <w:kern w:val="0"/>
                <w:sz w:val="21"/>
                <w:szCs w:val="21"/>
                <w:highlight w:val="none"/>
                <w:u w:val="none"/>
                <w:lang w:val="en-US" w:eastAsia="zh-CN" w:bidi="ar"/>
              </w:rPr>
              <w:t>材质铝合金或白钢支架，满足吊装/壁装多种场景。</w:t>
            </w:r>
          </w:p>
        </w:tc>
      </w:tr>
      <w:tr w14:paraId="4FEE31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7E2EF">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b/>
                <w:bCs/>
                <w:i w:val="0"/>
                <w:iCs w:val="0"/>
                <w:color w:val="auto"/>
                <w:kern w:val="2"/>
                <w:sz w:val="21"/>
                <w:szCs w:val="21"/>
                <w:u w:val="none"/>
                <w:lang w:val="en-US" w:eastAsia="zh-CN" w:bidi="ar-SA"/>
              </w:rPr>
            </w:pPr>
            <w:r>
              <w:rPr>
                <w:rFonts w:hint="eastAsia" w:asciiTheme="minorEastAsia" w:hAnsiTheme="minorEastAsia" w:eastAsiaTheme="minorEastAsia" w:cstheme="minorEastAsia"/>
                <w:b/>
                <w:bCs/>
                <w:i w:val="0"/>
                <w:iCs w:val="0"/>
                <w:color w:val="auto"/>
                <w:kern w:val="0"/>
                <w:sz w:val="21"/>
                <w:szCs w:val="21"/>
                <w:u w:val="none"/>
                <w:lang w:val="en-US" w:eastAsia="zh-CN" w:bidi="ar"/>
              </w:rPr>
              <w:t>二</w:t>
            </w:r>
          </w:p>
        </w:tc>
        <w:tc>
          <w:tcPr>
            <w:tcW w:w="12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FD6B5">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b/>
                <w:bCs/>
                <w:i w:val="0"/>
                <w:iCs w:val="0"/>
                <w:color w:val="auto"/>
                <w:kern w:val="2"/>
                <w:sz w:val="21"/>
                <w:szCs w:val="21"/>
                <w:u w:val="none"/>
                <w:lang w:val="en-US" w:eastAsia="zh-CN" w:bidi="ar-SA"/>
              </w:rPr>
            </w:pPr>
            <w:r>
              <w:rPr>
                <w:rFonts w:hint="eastAsia" w:asciiTheme="minorEastAsia" w:hAnsiTheme="minorEastAsia" w:eastAsiaTheme="minorEastAsia" w:cstheme="minorEastAsia"/>
                <w:b/>
                <w:bCs/>
                <w:i w:val="0"/>
                <w:iCs w:val="0"/>
                <w:color w:val="auto"/>
                <w:kern w:val="0"/>
                <w:sz w:val="21"/>
                <w:szCs w:val="21"/>
                <w:u w:val="none"/>
                <w:lang w:val="en-US" w:eastAsia="zh-CN" w:bidi="ar"/>
              </w:rPr>
              <w:t>存储增加</w:t>
            </w:r>
          </w:p>
        </w:tc>
        <w:tc>
          <w:tcPr>
            <w:tcW w:w="7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CD0BB">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p>
        </w:tc>
      </w:tr>
      <w:tr w14:paraId="60C704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CCC38">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kern w:val="2"/>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1</w:t>
            </w:r>
          </w:p>
        </w:tc>
        <w:tc>
          <w:tcPr>
            <w:tcW w:w="12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07405">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kern w:val="2"/>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16T企业级安防硬盘</w:t>
            </w:r>
          </w:p>
        </w:tc>
        <w:tc>
          <w:tcPr>
            <w:tcW w:w="7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76B2D">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宋体" w:hAnsi="宋体" w:eastAsia="宋体" w:cs="宋体"/>
                <w:i w:val="0"/>
                <w:iCs w:val="0"/>
                <w:color w:val="auto"/>
                <w:kern w:val="0"/>
                <w:sz w:val="21"/>
                <w:szCs w:val="21"/>
                <w:highlight w:val="none"/>
                <w:u w:val="none"/>
                <w:lang w:val="en-US" w:eastAsia="zh-CN" w:bidi="ar"/>
              </w:rPr>
              <w:t>企业级硬盘16TB；7200RPM；256M；SATA。</w:t>
            </w:r>
          </w:p>
        </w:tc>
      </w:tr>
      <w:tr w14:paraId="11DF48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BEB0B">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b/>
                <w:bCs/>
                <w:i w:val="0"/>
                <w:iCs w:val="0"/>
                <w:color w:val="auto"/>
                <w:kern w:val="2"/>
                <w:sz w:val="21"/>
                <w:szCs w:val="21"/>
                <w:u w:val="none"/>
                <w:lang w:val="en-US" w:eastAsia="zh-CN" w:bidi="ar-SA"/>
              </w:rPr>
            </w:pPr>
            <w:r>
              <w:rPr>
                <w:rFonts w:hint="eastAsia" w:asciiTheme="minorEastAsia" w:hAnsiTheme="minorEastAsia" w:eastAsiaTheme="minorEastAsia" w:cstheme="minorEastAsia"/>
                <w:b/>
                <w:bCs/>
                <w:i w:val="0"/>
                <w:iCs w:val="0"/>
                <w:color w:val="auto"/>
                <w:kern w:val="0"/>
                <w:sz w:val="21"/>
                <w:szCs w:val="21"/>
                <w:u w:val="none"/>
                <w:lang w:val="en-US" w:eastAsia="zh-CN" w:bidi="ar"/>
              </w:rPr>
              <w:t>三</w:t>
            </w:r>
          </w:p>
        </w:tc>
        <w:tc>
          <w:tcPr>
            <w:tcW w:w="12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5F611">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b/>
                <w:bCs/>
                <w:i w:val="0"/>
                <w:iCs w:val="0"/>
                <w:color w:val="auto"/>
                <w:kern w:val="2"/>
                <w:sz w:val="21"/>
                <w:szCs w:val="21"/>
                <w:u w:val="none"/>
                <w:lang w:val="en-US" w:eastAsia="zh-CN" w:bidi="ar-SA"/>
              </w:rPr>
            </w:pPr>
            <w:r>
              <w:rPr>
                <w:rFonts w:hint="eastAsia" w:asciiTheme="minorEastAsia" w:hAnsiTheme="minorEastAsia" w:eastAsiaTheme="minorEastAsia" w:cstheme="minorEastAsia"/>
                <w:b/>
                <w:bCs/>
                <w:i w:val="0"/>
                <w:iCs w:val="0"/>
                <w:color w:val="auto"/>
                <w:kern w:val="0"/>
                <w:sz w:val="21"/>
                <w:szCs w:val="21"/>
                <w:u w:val="none"/>
                <w:lang w:val="en-US" w:eastAsia="zh-CN" w:bidi="ar"/>
              </w:rPr>
              <w:t>管线敷设</w:t>
            </w:r>
          </w:p>
        </w:tc>
        <w:tc>
          <w:tcPr>
            <w:tcW w:w="7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03AAE">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p>
        </w:tc>
      </w:tr>
      <w:tr w14:paraId="464C44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BD161">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kern w:val="2"/>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1</w:t>
            </w:r>
          </w:p>
        </w:tc>
        <w:tc>
          <w:tcPr>
            <w:tcW w:w="12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236D2">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kern w:val="2"/>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护线管</w:t>
            </w:r>
          </w:p>
        </w:tc>
        <w:tc>
          <w:tcPr>
            <w:tcW w:w="7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B9156">
            <w:pPr>
              <w:keepNext w:val="0"/>
              <w:keepLines w:val="0"/>
              <w:pageBreakBefore w:val="0"/>
              <w:kinsoku/>
              <w:wordWrap/>
              <w:overflowPunct/>
              <w:topLinePunct w:val="0"/>
              <w:autoSpaceDE/>
              <w:autoSpaceDN/>
              <w:bidi w:val="0"/>
              <w:adjustRightInd/>
              <w:snapToGrid/>
              <w:spacing w:beforeAutospacing="0" w:afterAutospacing="0" w:line="400" w:lineRule="exact"/>
              <w:ind w:left="0" w:leftChars="0" w:right="0" w:rightChars="0"/>
              <w:rPr>
                <w:rFonts w:hint="eastAsia" w:asciiTheme="minorEastAsia" w:hAnsiTheme="minorEastAsia" w:eastAsiaTheme="minorEastAsia" w:cstheme="minorEastAsia"/>
                <w:i w:val="0"/>
                <w:iCs w:val="0"/>
                <w:color w:val="auto"/>
                <w:sz w:val="21"/>
                <w:szCs w:val="21"/>
                <w:u w:val="none"/>
              </w:rPr>
            </w:pPr>
          </w:p>
        </w:tc>
      </w:tr>
      <w:tr w14:paraId="443C67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0FC67">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kern w:val="2"/>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2</w:t>
            </w:r>
          </w:p>
        </w:tc>
        <w:tc>
          <w:tcPr>
            <w:tcW w:w="12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FF641">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kern w:val="2"/>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六类4对非屏蔽双绞线</w:t>
            </w:r>
          </w:p>
        </w:tc>
        <w:tc>
          <w:tcPr>
            <w:tcW w:w="7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38D02">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★1.线规：6类电缆（250MHz），23AWG、导体材料为纯度不低于99.9%实心无氧铜（OFC），线芯：带十字芯骨架。</w:t>
            </w: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提供所投产品符合现行国家或行业标准的检测报告原件关键页扫描件或者提供所投产品生产企业的产品技术规格书；提供检测报告的，检测依据应符合相关标准并按第四章商务要求（其他要求的第2条）中明确的要求、提供相关佐证材料。</w:t>
            </w: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2.导体直径：≥0.57mm，绝缘材料：聚烯烃或聚全氟乙丙烯树脂(FEP)；外护套：LSZH低烟无卤阻燃聚烯烃。</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提供所投六类非屏蔽低烟无卤双绞线不少于以下技术参数的检测报告：单根导体直流电阻、近端串音衰减(NEXT)、近端串音衰减功率和（PSNEXT）、衰减远端串音比(ACR-F)、衰减远端串音比功率和(PSACR-F)、特性阻抗(Zm)、回波损耗（ReturnLoss）。</w:t>
            </w: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提供所投产品的检测报告原件扫描件（依据YD/T1019-2023等现行国家或行业标准），检测报告数量不作要求；按第四章商务要求（其他要求的第2条）中明确的要求、提供相关佐证材料。</w:t>
            </w: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★4.燃烧性能要求：所投六类非屏蔽低烟无卤双绞线至少达到单根电缆火焰垂直蔓延试验要求。</w:t>
            </w: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提供所投产品检测报告原件扫描件（符合GB/T18380.12-2022或IEC60332-1-2：2015标准中的单根电缆火焰垂直蔓延试验要求）；按第四章商务要求（其他要求的第2条）中明确的要求、提供相关佐证材料。</w:t>
            </w: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★5.烟密度：透光率应不小于50%。</w:t>
            </w: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提供所投产品的检测报告原件关键页扫描件（符合GB/T17651.2-2021或IEC61034-2:2019标准）；按第四章商务要求（其他要求的第2条）中明确的要求、提供相关佐证材料。</w:t>
            </w: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★6.提供承诺函，承诺所投产品符合YD/T1019-2023等现行国家或行业标准针对双绞多芯对称电缆的要求，格式自拟。</w:t>
            </w:r>
          </w:p>
        </w:tc>
      </w:tr>
      <w:tr w14:paraId="170BD3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2708E">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b/>
                <w:bCs/>
                <w:i w:val="0"/>
                <w:iCs w:val="0"/>
                <w:color w:val="auto"/>
                <w:kern w:val="2"/>
                <w:sz w:val="21"/>
                <w:szCs w:val="21"/>
                <w:u w:val="none"/>
                <w:lang w:val="en-US" w:eastAsia="zh-CN" w:bidi="ar-SA"/>
              </w:rPr>
            </w:pPr>
            <w:r>
              <w:rPr>
                <w:rFonts w:hint="eastAsia" w:asciiTheme="minorEastAsia" w:hAnsiTheme="minorEastAsia" w:eastAsiaTheme="minorEastAsia" w:cstheme="minorEastAsia"/>
                <w:b/>
                <w:bCs/>
                <w:i w:val="0"/>
                <w:iCs w:val="0"/>
                <w:color w:val="auto"/>
                <w:kern w:val="0"/>
                <w:sz w:val="21"/>
                <w:szCs w:val="21"/>
                <w:u w:val="none"/>
                <w:lang w:val="en-US" w:eastAsia="zh-CN" w:bidi="ar"/>
              </w:rPr>
              <w:t>四</w:t>
            </w:r>
          </w:p>
        </w:tc>
        <w:tc>
          <w:tcPr>
            <w:tcW w:w="12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60E05">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b/>
                <w:bCs/>
                <w:i w:val="0"/>
                <w:iCs w:val="0"/>
                <w:color w:val="auto"/>
                <w:kern w:val="2"/>
                <w:sz w:val="21"/>
                <w:szCs w:val="21"/>
                <w:u w:val="none"/>
                <w:lang w:val="en-US" w:eastAsia="zh-CN" w:bidi="ar-SA"/>
              </w:rPr>
            </w:pPr>
            <w:r>
              <w:rPr>
                <w:rFonts w:hint="eastAsia" w:asciiTheme="minorEastAsia" w:hAnsiTheme="minorEastAsia" w:eastAsiaTheme="minorEastAsia" w:cstheme="minorEastAsia"/>
                <w:b/>
                <w:bCs/>
                <w:i w:val="0"/>
                <w:iCs w:val="0"/>
                <w:color w:val="auto"/>
                <w:kern w:val="0"/>
                <w:sz w:val="21"/>
                <w:szCs w:val="21"/>
                <w:u w:val="none"/>
                <w:lang w:val="en-US" w:eastAsia="zh-CN" w:bidi="ar"/>
              </w:rPr>
              <w:t>网络传输</w:t>
            </w:r>
          </w:p>
        </w:tc>
        <w:tc>
          <w:tcPr>
            <w:tcW w:w="7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D88B2">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p>
        </w:tc>
      </w:tr>
      <w:tr w14:paraId="713E14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D8746">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kern w:val="2"/>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1</w:t>
            </w:r>
          </w:p>
        </w:tc>
        <w:tc>
          <w:tcPr>
            <w:tcW w:w="12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E2D09">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kern w:val="2"/>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24电口千兆POE交换机</w:t>
            </w:r>
          </w:p>
        </w:tc>
        <w:tc>
          <w:tcPr>
            <w:tcW w:w="7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61407">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一、端口与性能（提供原厂公开技术文档（白皮书、彩页、官网规格页截图及链接地址均可））</w:t>
            </w:r>
          </w:p>
          <w:p w14:paraId="619FE008">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 端口配置：提供 ≥24 个 10/100/1000M 自适应以太网电口（RJ45），全部支持不低于 IEEE 802.3at（PoE+）；提供 ≥4 个 千兆SFP光口。</w:t>
            </w:r>
          </w:p>
          <w:p w14:paraId="095A7C85">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 交换性能：</w:t>
            </w:r>
          </w:p>
          <w:p w14:paraId="0D926808">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整机交换容量 ≥600 Gbps；整机包转发率 ≥ 120 Mpps。</w:t>
            </w:r>
          </w:p>
          <w:p w14:paraId="0FE6C1D3">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二、PoE供电能力（提供原厂公开技术文档（白皮书、彩页、官网规格页截图及链接地址均可））</w:t>
            </w:r>
          </w:p>
          <w:p w14:paraId="626D15DF">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 PoE标准与功率：至少支持 IEEE 802.3at（PoE+），同时可POE供电端口≥24个；整机可用PoE功率 ≥ 370W。（实际供电需满足学校使用需求）。</w:t>
            </w:r>
          </w:p>
          <w:p w14:paraId="0F53045B">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三、三层路由与IPv6支持</w:t>
            </w:r>
          </w:p>
          <w:p w14:paraId="069B902E">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 路由协议：支持以下IPv4/IPv6路由功能：静态路由；RIPv1/v2、RIPng；OSPFv2、OSPFv3；</w:t>
            </w:r>
          </w:p>
          <w:p w14:paraId="216E0613">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支持IPv4/IPv6双栈及组播转发。</w:t>
            </w:r>
          </w:p>
          <w:p w14:paraId="7F28988E">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四、VLAN、堆叠与链路聚合</w:t>
            </w:r>
          </w:p>
          <w:p w14:paraId="1B01E08C">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 VLAN划分：支持基于端口、MAC地址、协议类型的VLAN。</w:t>
            </w:r>
          </w:p>
          <w:p w14:paraId="0B887472">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6. 高可用与聚合：支持多台设备虚拟化堆叠（物理或逻辑），实现统一管理；支持静态链路聚合及 LACP（IEEE 802.3ad）动态聚合。</w:t>
            </w:r>
          </w:p>
          <w:p w14:paraId="72EC1D72">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五、安全与终端管控</w:t>
            </w:r>
          </w:p>
          <w:p w14:paraId="60876DCB">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7. 设备抗攻击能力：具备CPU保护机制，限制非法报文（如泛洪、畸形包）对主控CPU的冲击；支持ARP网关欺骗防御（如DAI、ARP Check）；支持ICMP泛洪、SYN Flood等DoS攻击防护策略。</w:t>
            </w:r>
          </w:p>
          <w:p w14:paraId="4DC2AE8B">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8. 表项容量：MAC地址表 ≥ 16K；ARP表项 ≥ 4K；IPv4 FIB表项 ≥ 1K。提供原厂公开技术文档（白皮书、彩页、官网规格页截图及链接地址均可）。</w:t>
            </w:r>
          </w:p>
          <w:p w14:paraId="5A5DDF7C">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六、可靠性与环境适应性</w:t>
            </w:r>
          </w:p>
          <w:p w14:paraId="1F6F8350">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 端口防雷能力：所有业务电口具备 ≥6 kV（线-地）浪涌抗扰度，符合 IEC 61000-4-5 或 GB/T 17626.5 标准。</w:t>
            </w:r>
          </w:p>
          <w:p w14:paraId="1A80B1C4">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10. 节能环保：支持 IEEE 802.3az（EEE）高效节能以太网，在端口空闲时自动进入低功耗模式，有流量时快速恢复。</w:t>
            </w:r>
          </w:p>
          <w:p w14:paraId="3F89DC75">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七、管理与运维</w:t>
            </w:r>
          </w:p>
          <w:p w14:paraId="47838436">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11. SDN与认证支持：支持SDN架构（如OpenFlow 1.3或等效开放API）；支持 IEEE 802.1X 端口认证，可对接主流RADIUS认证服务器。</w:t>
            </w:r>
          </w:p>
          <w:p w14:paraId="3B8D39CC">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12. 管理接口：支持 SNMP v1/v2c/v3、CLI（Console/Telnet/SSH）、Web GUI、Syslog、NTP、TFTP/FTP/SFTP 等标准管理协议。</w:t>
            </w:r>
          </w:p>
          <w:p w14:paraId="6EE3F6BC">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八、合规与强制认证</w:t>
            </w:r>
          </w:p>
          <w:p w14:paraId="3330B51F">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宋体" w:hAnsi="宋体" w:eastAsia="宋体" w:cs="宋体"/>
                <w:b w:val="0"/>
                <w:bCs w:val="0"/>
                <w:color w:val="auto"/>
                <w:sz w:val="21"/>
                <w:szCs w:val="21"/>
                <w:highlight w:val="none"/>
                <w:lang w:val="en-US" w:eastAsia="zh-CN"/>
              </w:rPr>
              <w:t>★13. 电信设备进网许可（CTA）：所投产品必须具备工业和信息化部核发的有效《电信设备进网许可证》。投标时须提供：进网许可证清晰扫描件；工信部官网查询结果截图，显示设备型号、生产企业、许可证编号及状态为“有效”。</w:t>
            </w:r>
          </w:p>
        </w:tc>
      </w:tr>
      <w:tr w14:paraId="62338C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C30EC">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kern w:val="2"/>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2</w:t>
            </w:r>
          </w:p>
        </w:tc>
        <w:tc>
          <w:tcPr>
            <w:tcW w:w="12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35904">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kern w:val="2"/>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8电口千兆POE交换机</w:t>
            </w:r>
          </w:p>
        </w:tc>
        <w:tc>
          <w:tcPr>
            <w:tcW w:w="7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3B162">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★1.交换能力≥256Gbps ，包转发速率≥25Mpps，≥8个千兆电口，≥1个1G SPF千兆光口，提供官网截图或原厂白皮书或检测报告加盖公章。</w:t>
            </w:r>
          </w:p>
          <w:p w14:paraId="228E1847">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★2.支持802.3at POE+功能 ；POE功率≥120W，提供原厂白皮书或者产品彩页或者官网截图（带链接）（实际供电需满足学校使用需求）。</w:t>
            </w:r>
          </w:p>
          <w:p w14:paraId="653F4398">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3.支持IPv4静态路由、RIP V1/V2、OSPF，支持IPv6静态路由、RIPng，支持 IPv4 和 IPv6 的三层路由和组播功能。</w:t>
            </w:r>
          </w:p>
          <w:p w14:paraId="778CD29C">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4.支持基于端口的VLAN，支持基于协议的VLAN；支持基于MAC的VLAN。</w:t>
            </w:r>
          </w:p>
          <w:p w14:paraId="685F79F5">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5.支持最多8个端口聚合。</w:t>
            </w:r>
          </w:p>
          <w:p w14:paraId="124BC10A">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6.实现CPU保护功能，能限制非法报文对CPU的攻击，保护交换机在各种环境下稳定工作。</w:t>
            </w:r>
          </w:p>
          <w:p w14:paraId="5A226430">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7.要求所投产品支持防雷等级≥10KV。</w:t>
            </w:r>
          </w:p>
          <w:p w14:paraId="33AAD1D2">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8.支持MAC地址≥16K。提供证明材料</w:t>
            </w:r>
          </w:p>
          <w:p w14:paraId="47684443">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9.支持RIP、RIPng、OSPF、OSPFv3路由协议。</w:t>
            </w:r>
          </w:p>
          <w:p w14:paraId="3E6CCAD5">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10.支持 ERPS 以太环保护协议（G.8032）。</w:t>
            </w:r>
          </w:p>
          <w:p w14:paraId="73439166">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宋体" w:hAnsi="宋体" w:eastAsia="宋体" w:cs="宋体"/>
                <w:b w:val="0"/>
                <w:bCs w:val="0"/>
                <w:color w:val="auto"/>
                <w:sz w:val="21"/>
                <w:szCs w:val="21"/>
                <w:highlight w:val="none"/>
                <w:lang w:val="en-US" w:eastAsia="zh-CN"/>
              </w:rPr>
              <w:t>★11.所投产品具备工业和信息化部颁发的进网许可证（CTA认证），提供证书扫描件和工信部网站查询的进网许可截图。</w:t>
            </w:r>
          </w:p>
        </w:tc>
      </w:tr>
      <w:tr w14:paraId="16766C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0999C">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kern w:val="2"/>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3</w:t>
            </w:r>
          </w:p>
        </w:tc>
        <w:tc>
          <w:tcPr>
            <w:tcW w:w="12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40D48">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kern w:val="2"/>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千兆光模块</w:t>
            </w:r>
          </w:p>
        </w:tc>
        <w:tc>
          <w:tcPr>
            <w:tcW w:w="7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A3F58">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宋体" w:hAnsi="宋体" w:eastAsia="宋体" w:cs="宋体"/>
                <w:i w:val="0"/>
                <w:iCs w:val="0"/>
                <w:color w:val="auto"/>
                <w:kern w:val="0"/>
                <w:sz w:val="21"/>
                <w:szCs w:val="21"/>
                <w:highlight w:val="none"/>
                <w:u w:val="none"/>
                <w:lang w:val="en-US" w:eastAsia="zh-CN" w:bidi="ar"/>
              </w:rPr>
              <w:t>光收发一体模块-SFP（1310nm、LC、10km），光模块序列号官网可查。</w:t>
            </w:r>
            <w:r>
              <w:rPr>
                <w:rFonts w:hint="eastAsia" w:ascii="宋体" w:hAnsi="宋体" w:eastAsia="宋体" w:cs="宋体"/>
                <w:b/>
                <w:bCs/>
                <w:i w:val="0"/>
                <w:iCs w:val="0"/>
                <w:color w:val="auto"/>
                <w:kern w:val="0"/>
                <w:sz w:val="21"/>
                <w:szCs w:val="21"/>
                <w:highlight w:val="none"/>
                <w:u w:val="none"/>
                <w:lang w:val="en-US" w:eastAsia="zh-CN" w:bidi="ar"/>
              </w:rPr>
              <w:t>光模块序列号官网或者400或邮件方式可查,提供官网查询截图（含链接地址）或400电话号码或邮件地址。</w:t>
            </w:r>
          </w:p>
        </w:tc>
      </w:tr>
      <w:tr w14:paraId="4074B0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33EC0">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kern w:val="2"/>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4</w:t>
            </w:r>
          </w:p>
        </w:tc>
        <w:tc>
          <w:tcPr>
            <w:tcW w:w="12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8DC35">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kern w:val="2"/>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3米单模双芯光纤跳线</w:t>
            </w:r>
          </w:p>
        </w:tc>
        <w:tc>
          <w:tcPr>
            <w:tcW w:w="7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AE873">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1.G.652D单模光纤，双芯，LSZH护套，光缆的光学性能、机械性能、环境性能等符合现行国家或行业标准。</w:t>
            </w:r>
            <w:r>
              <w:rPr>
                <w:rFonts w:hint="eastAsia" w:ascii="宋体" w:hAnsi="宋体" w:eastAsia="宋体" w:cs="宋体"/>
                <w:b/>
                <w:bCs/>
                <w:i w:val="0"/>
                <w:iCs w:val="0"/>
                <w:color w:val="auto"/>
                <w:kern w:val="0"/>
                <w:sz w:val="21"/>
                <w:szCs w:val="21"/>
                <w:highlight w:val="none"/>
                <w:u w:val="none"/>
                <w:lang w:val="en-US" w:eastAsia="zh-CN" w:bidi="ar"/>
              </w:rPr>
              <w:t>提供所投产品的检测报告原件关键页扫描件（依据YD/T 1272.1-2018或YD/T 2152-2010或GB/T 9771-2020等现行国家或行业标准），检测报告中须体现检测依据以及是否通过检测的结论：需含光学性能、机械性能、环境性能检测项；提供检测报告的，按第四章商务要求（其他要求的第2条）中明确的要求、提供相关佐证材料。</w:t>
            </w:r>
          </w:p>
          <w:p w14:paraId="0A4AFBA4">
            <w:pPr>
              <w:keepNext w:val="0"/>
              <w:keepLines w:val="0"/>
              <w:pageBreakBefore w:val="0"/>
              <w:kinsoku/>
              <w:wordWrap/>
              <w:overflowPunct/>
              <w:topLinePunct w:val="0"/>
              <w:autoSpaceDE/>
              <w:autoSpaceDN/>
              <w:bidi w:val="0"/>
              <w:adjustRightInd/>
              <w:snapToGrid/>
              <w:spacing w:beforeAutospacing="0" w:afterAutospacing="0" w:line="400" w:lineRule="exact"/>
              <w:ind w:left="0" w:leftChars="0" w:right="0" w:rightChars="0"/>
              <w:rPr>
                <w:rFonts w:hint="eastAsia" w:asciiTheme="minorEastAsia" w:hAnsiTheme="minorEastAsia" w:eastAsiaTheme="minorEastAsia" w:cstheme="minorEastAsia"/>
                <w:i w:val="0"/>
                <w:iCs w:val="0"/>
                <w:color w:val="auto"/>
                <w:sz w:val="21"/>
                <w:szCs w:val="21"/>
                <w:u w:val="none"/>
              </w:rPr>
            </w:pPr>
            <w:r>
              <w:rPr>
                <w:rFonts w:hint="eastAsia" w:ascii="宋体" w:hAnsi="宋体" w:eastAsia="宋体" w:cs="宋体"/>
                <w:i w:val="0"/>
                <w:iCs w:val="0"/>
                <w:color w:val="auto"/>
                <w:kern w:val="0"/>
                <w:sz w:val="21"/>
                <w:szCs w:val="21"/>
                <w:highlight w:val="none"/>
                <w:u w:val="none"/>
                <w:lang w:val="en-US" w:eastAsia="zh-CN" w:bidi="ar"/>
              </w:rPr>
              <w:t>2.长度规格≥3米。</w:t>
            </w:r>
          </w:p>
        </w:tc>
      </w:tr>
    </w:tbl>
    <w:p w14:paraId="38A5C0B5">
      <w:pPr>
        <w:pStyle w:val="97"/>
        <w:pageBreakBefore w:val="0"/>
        <w:widowControl w:val="0"/>
        <w:numPr>
          <w:ilvl w:val="0"/>
          <w:numId w:val="0"/>
        </w:numPr>
        <w:wordWrap/>
        <w:topLinePunct w:val="0"/>
        <w:bidi w:val="0"/>
        <w:spacing w:beforeAutospacing="0" w:afterAutospacing="0" w:line="400" w:lineRule="exact"/>
        <w:ind w:left="0" w:leftChars="0" w:right="0" w:rightChars="0"/>
        <w:contextualSpacing/>
        <w:jc w:val="both"/>
        <w:rPr>
          <w:rFonts w:hint="eastAsia" w:asciiTheme="minorEastAsia" w:hAnsiTheme="minorEastAsia" w:eastAsiaTheme="minorEastAsia" w:cstheme="minorEastAsia"/>
          <w:b w:val="0"/>
          <w:bCs/>
          <w:color w:val="auto"/>
          <w:sz w:val="21"/>
          <w:szCs w:val="21"/>
          <w:lang w:val="en-US" w:eastAsia="zh-CN"/>
        </w:rPr>
      </w:pPr>
    </w:p>
    <w:p w14:paraId="76286B86">
      <w:pPr>
        <w:pStyle w:val="6"/>
        <w:numPr>
          <w:ilvl w:val="0"/>
          <w:numId w:val="71"/>
        </w:numPr>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t>常州市花园中学</w:t>
      </w:r>
    </w:p>
    <w:tbl>
      <w:tblPr>
        <w:tblStyle w:val="43"/>
        <w:tblW w:w="9068" w:type="dxa"/>
        <w:tblInd w:w="-17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77"/>
        <w:gridCol w:w="1282"/>
        <w:gridCol w:w="7009"/>
      </w:tblGrid>
      <w:tr w14:paraId="7FABE2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F2963">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b/>
                <w:bCs/>
                <w:i w:val="0"/>
                <w:iCs w:val="0"/>
                <w:color w:val="auto"/>
                <w:kern w:val="0"/>
                <w:sz w:val="21"/>
                <w:szCs w:val="21"/>
                <w:u w:val="none"/>
                <w:lang w:val="en-US" w:eastAsia="zh-CN" w:bidi="ar"/>
              </w:rPr>
              <w:t>序号</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E8BCA">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b/>
                <w:bCs/>
                <w:i w:val="0"/>
                <w:iCs w:val="0"/>
                <w:color w:val="auto"/>
                <w:kern w:val="0"/>
                <w:sz w:val="21"/>
                <w:szCs w:val="21"/>
                <w:u w:val="none"/>
                <w:lang w:val="en-US" w:eastAsia="zh-CN" w:bidi="ar"/>
              </w:rPr>
              <w:t>设备名称</w:t>
            </w:r>
          </w:p>
        </w:tc>
        <w:tc>
          <w:tcPr>
            <w:tcW w:w="7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A2E5D">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b/>
                <w:bCs/>
                <w:i w:val="0"/>
                <w:iCs w:val="0"/>
                <w:color w:val="auto"/>
                <w:kern w:val="0"/>
                <w:sz w:val="21"/>
                <w:szCs w:val="21"/>
                <w:u w:val="none"/>
                <w:lang w:val="en-US" w:eastAsia="zh-CN" w:bidi="ar"/>
              </w:rPr>
              <w:t>规格参数</w:t>
            </w:r>
          </w:p>
        </w:tc>
      </w:tr>
      <w:tr w14:paraId="6A95A0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7" w:type="dxa"/>
            <w:tcBorders>
              <w:top w:val="nil"/>
              <w:left w:val="single" w:color="000000" w:sz="4" w:space="0"/>
              <w:bottom w:val="single" w:color="000000" w:sz="4" w:space="0"/>
              <w:right w:val="single" w:color="000000" w:sz="4" w:space="0"/>
            </w:tcBorders>
            <w:shd w:val="clear" w:color="auto" w:fill="auto"/>
            <w:noWrap/>
            <w:vAlign w:val="center"/>
          </w:tcPr>
          <w:p w14:paraId="0D1E6FCE">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1</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2A6CF">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六类4对非屏蔽双绞线</w:t>
            </w:r>
          </w:p>
        </w:tc>
        <w:tc>
          <w:tcPr>
            <w:tcW w:w="7009" w:type="dxa"/>
            <w:tcBorders>
              <w:top w:val="nil"/>
              <w:left w:val="single" w:color="000000" w:sz="4" w:space="0"/>
              <w:bottom w:val="single" w:color="000000" w:sz="4" w:space="0"/>
              <w:right w:val="single" w:color="000000" w:sz="4" w:space="0"/>
            </w:tcBorders>
            <w:shd w:val="clear" w:color="auto" w:fill="auto"/>
            <w:noWrap/>
            <w:vAlign w:val="center"/>
          </w:tcPr>
          <w:p w14:paraId="54B3104A">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★1.线规：6类电缆（250MHz），23AWG、导体材料为纯度不低于99.9%实心无氧铜（OFC），线芯：带十字芯骨架。</w:t>
            </w: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提供所投产品符合现行国家或行业标准的检测报告原件关键页扫描件或者提供所投产品生产企业的产品技术规格书；提供检测报告的，检测依据应符合相关标准并按第四章商务要求（其他要求的第2条）中明确的要求、提供相关佐证材料。</w:t>
            </w: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2.导体直径：≥0.57mm，绝缘材料：聚烯烃或聚全氟乙丙烯树脂(FEP)；外护套：LSZH低烟无卤阻燃聚烯烃。</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提供所投六类非屏蔽低烟无卤双绞线不少于以下技术参数的检测报告：单根导体直流电阻、近端串音衰减(NEXT)、近端串音衰减功率和（PSNEXT）、衰减远端串音比(ACR-F)、衰减远端串音比功率和(PSACR-F)、特性阻抗(Zm)、回波损耗（ReturnLoss）。</w:t>
            </w: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提供所投产品的检测报告原件扫描件（依据YD/T1019-2023等现行国家或行业标准），检测报告数量不作要求；按第四章商务要求（其他要求的第2条）中明确的要求、提供相关佐证材料。</w:t>
            </w: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★4.燃烧性能要求：所投六类非屏蔽低烟无卤双绞线至少达到单根电缆火焰垂直蔓延试验要求。</w:t>
            </w: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提供所投产品检测报告原件扫描件（符合GB/T18380.12-2022或IEC60332-1-2：2015标准中的单根电缆火焰垂直蔓延试验要求）；按第四章商务要求（其他要求的第2条）中明确的要求、提供相关佐证材料。</w:t>
            </w: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★5.烟密度：透光率应不小于50%。</w:t>
            </w: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提供所投产品的检测报告原件关键页扫描件（符合GB/T17651.2-2021或IEC61034-2:2019标准）；按第四章商务要求（其他要求的第2条）中明确的要求、提供相关佐证材料。</w:t>
            </w: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★6.提供承诺函，承诺所投产品符合YD/T1019-2023等现行国家或行业标准针对双绞多芯对称电缆的要求，格式自拟。</w:t>
            </w:r>
          </w:p>
        </w:tc>
      </w:tr>
      <w:tr w14:paraId="3EC80D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7" w:type="dxa"/>
            <w:tcBorders>
              <w:top w:val="nil"/>
              <w:left w:val="single" w:color="000000" w:sz="4" w:space="0"/>
              <w:bottom w:val="single" w:color="000000" w:sz="4" w:space="0"/>
              <w:right w:val="single" w:color="000000" w:sz="4" w:space="0"/>
            </w:tcBorders>
            <w:shd w:val="clear" w:color="auto" w:fill="auto"/>
            <w:noWrap/>
            <w:vAlign w:val="center"/>
          </w:tcPr>
          <w:p w14:paraId="28ECD698">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2</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2ED4B">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PVC护线管</w:t>
            </w:r>
          </w:p>
        </w:tc>
        <w:tc>
          <w:tcPr>
            <w:tcW w:w="7009" w:type="dxa"/>
            <w:tcBorders>
              <w:top w:val="nil"/>
              <w:left w:val="single" w:color="000000" w:sz="4" w:space="0"/>
              <w:bottom w:val="single" w:color="000000" w:sz="4" w:space="0"/>
              <w:right w:val="single" w:color="000000" w:sz="4" w:space="0"/>
            </w:tcBorders>
            <w:shd w:val="clear" w:color="auto" w:fill="auto"/>
            <w:noWrap/>
            <w:vAlign w:val="center"/>
          </w:tcPr>
          <w:p w14:paraId="21C1F554">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PVC25护线管，明敷；含管卡、接头、弯头、软管</w:t>
            </w:r>
          </w:p>
        </w:tc>
      </w:tr>
      <w:tr w14:paraId="37C71A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5" w:hRule="atLeast"/>
        </w:trPr>
        <w:tc>
          <w:tcPr>
            <w:tcW w:w="777" w:type="dxa"/>
            <w:tcBorders>
              <w:top w:val="nil"/>
              <w:left w:val="single" w:color="000000" w:sz="4" w:space="0"/>
              <w:bottom w:val="single" w:color="000000" w:sz="4" w:space="0"/>
              <w:right w:val="single" w:color="000000" w:sz="4" w:space="0"/>
            </w:tcBorders>
            <w:shd w:val="clear" w:color="auto" w:fill="auto"/>
            <w:noWrap/>
            <w:vAlign w:val="center"/>
          </w:tcPr>
          <w:p w14:paraId="4EB702D1">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3</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1728E">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高清网络摄像机</w:t>
            </w:r>
          </w:p>
        </w:tc>
        <w:tc>
          <w:tcPr>
            <w:tcW w:w="7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A68E6">
            <w:pPr>
              <w:pStyle w:val="15"/>
              <w:keepNext w:val="0"/>
              <w:keepLines w:val="0"/>
              <w:pageBreakBefore w:val="0"/>
              <w:kinsoku/>
              <w:wordWrap/>
              <w:overflowPunct/>
              <w:topLinePunct w:val="0"/>
              <w:autoSpaceDE/>
              <w:autoSpaceDN/>
              <w:bidi w:val="0"/>
              <w:adjustRightInd/>
              <w:snapToGrid/>
              <w:spacing w:line="400" w:lineRule="exact"/>
              <w:ind w:left="0"/>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1.传感器：≥1/1.8英寸CMOS传感器。提供原厂公开技术文档（白皮书、彩页、官网规格页截图及链接地址）。</w:t>
            </w:r>
          </w:p>
          <w:p w14:paraId="504D6E2D">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★2.像素≥400万或最大分辨率≥2560×1440。提供所投产品</w:t>
            </w:r>
            <w:r>
              <w:rPr>
                <w:rFonts w:hint="eastAsia" w:ascii="宋体" w:hAnsi="宋体" w:eastAsia="宋体" w:cs="宋体"/>
                <w:b w:val="0"/>
                <w:bCs w:val="0"/>
                <w:color w:val="auto"/>
                <w:sz w:val="21"/>
                <w:szCs w:val="21"/>
                <w:highlight w:val="none"/>
                <w:u w:val="none"/>
                <w:lang w:bidi="ar"/>
              </w:rPr>
              <w:t>由具备有效CMA资质的检测机构出具的封面盖有CMA专用印章的检测报告原件关键页扫描件(</w:t>
            </w:r>
            <w:r>
              <w:rPr>
                <w:rFonts w:hint="eastAsia" w:ascii="宋体" w:hAnsi="宋体" w:eastAsia="宋体" w:cs="宋体"/>
                <w:b w:val="0"/>
                <w:bCs w:val="0"/>
                <w:i w:val="0"/>
                <w:iCs w:val="0"/>
                <w:color w:val="auto"/>
                <w:kern w:val="0"/>
                <w:sz w:val="21"/>
                <w:szCs w:val="21"/>
                <w:highlight w:val="none"/>
                <w:u w:val="none"/>
                <w:lang w:val="en-US" w:eastAsia="zh-CN" w:bidi="ar"/>
              </w:rPr>
              <w:t>依据标准GA/T 1127-2013等现行国家标准</w:t>
            </w:r>
            <w:r>
              <w:rPr>
                <w:rFonts w:hint="eastAsia" w:ascii="宋体" w:hAnsi="宋体" w:eastAsia="宋体" w:cs="宋体"/>
                <w:b w:val="0"/>
                <w:bCs w:val="0"/>
                <w:color w:val="auto"/>
                <w:sz w:val="21"/>
                <w:szCs w:val="21"/>
                <w:highlight w:val="none"/>
                <w:u w:val="none"/>
                <w:lang w:bidi="ar"/>
              </w:rPr>
              <w:t>）</w:t>
            </w:r>
            <w:r>
              <w:rPr>
                <w:rFonts w:hint="eastAsia" w:ascii="宋体" w:hAnsi="宋体" w:eastAsia="宋体" w:cs="宋体"/>
                <w:b w:val="0"/>
                <w:bCs w:val="0"/>
                <w:i w:val="0"/>
                <w:iCs w:val="0"/>
                <w:color w:val="auto"/>
                <w:kern w:val="0"/>
                <w:sz w:val="21"/>
                <w:szCs w:val="21"/>
                <w:highlight w:val="none"/>
                <w:u w:val="none"/>
                <w:lang w:val="en-US" w:eastAsia="zh-CN" w:bidi="ar"/>
              </w:rPr>
              <w:t>。</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★3.具备最低照度彩色不劣于0.001Lux，黑白不劣于0.0001Lux。提供第三方机构出具的具有CMA标志的检测报告（依据标准</w:t>
            </w:r>
            <w:r>
              <w:rPr>
                <w:rFonts w:hint="eastAsia" w:ascii="宋体" w:hAnsi="宋体" w:eastAsia="宋体" w:cs="宋体"/>
                <w:b w:val="0"/>
                <w:bCs w:val="0"/>
                <w:i w:val="0"/>
                <w:iCs w:val="0"/>
                <w:color w:val="auto"/>
                <w:kern w:val="0"/>
                <w:sz w:val="21"/>
                <w:szCs w:val="21"/>
                <w:highlight w:val="none"/>
                <w:u w:val="none"/>
                <w:lang w:val="en-US" w:eastAsia="zh-CN" w:bidi="ar"/>
              </w:rPr>
              <w:t>GA/T 1127-2013或</w:t>
            </w:r>
            <w:r>
              <w:rPr>
                <w:rFonts w:hint="eastAsia" w:ascii="宋体" w:hAnsi="宋体" w:eastAsia="宋体" w:cs="宋体"/>
                <w:b w:val="0"/>
                <w:bCs w:val="0"/>
                <w:i w:val="0"/>
                <w:iCs w:val="0"/>
                <w:color w:val="auto"/>
                <w:sz w:val="21"/>
                <w:szCs w:val="21"/>
                <w:highlight w:val="none"/>
                <w:u w:val="none"/>
                <w:lang w:val="en-US" w:eastAsia="zh-CN" w:bidi="ar"/>
              </w:rPr>
              <w:t>GB 16796-2022</w:t>
            </w:r>
            <w:r>
              <w:rPr>
                <w:rFonts w:hint="eastAsia" w:ascii="宋体" w:hAnsi="宋体" w:eastAsia="宋体" w:cs="宋体"/>
                <w:b w:val="0"/>
                <w:bCs w:val="0"/>
                <w:color w:val="auto"/>
                <w:sz w:val="21"/>
                <w:szCs w:val="21"/>
                <w:highlight w:val="none"/>
                <w:u w:val="none"/>
                <w:lang w:bidi="ar"/>
              </w:rPr>
              <w:t>或GB/T 15211-2013</w:t>
            </w:r>
            <w:r>
              <w:rPr>
                <w:rFonts w:hint="eastAsia" w:ascii="宋体" w:hAnsi="宋体" w:eastAsia="宋体" w:cs="宋体"/>
                <w:b w:val="0"/>
                <w:bCs w:val="0"/>
                <w:i w:val="0"/>
                <w:iCs w:val="0"/>
                <w:color w:val="auto"/>
                <w:sz w:val="21"/>
                <w:szCs w:val="21"/>
                <w:highlight w:val="none"/>
                <w:u w:val="none"/>
                <w:lang w:val="en-US" w:eastAsia="zh-CN" w:bidi="ar"/>
              </w:rPr>
              <w:t>等现行国家标准）</w:t>
            </w:r>
            <w:r>
              <w:rPr>
                <w:rFonts w:hint="eastAsia" w:ascii="宋体" w:hAnsi="宋体" w:eastAsia="宋体" w:cs="宋体"/>
                <w:b w:val="0"/>
                <w:bCs w:val="0"/>
                <w:color w:val="auto"/>
                <w:sz w:val="21"/>
                <w:szCs w:val="21"/>
                <w:highlight w:val="none"/>
                <w:u w:val="none"/>
                <w:lang w:val="en-US" w:eastAsia="zh-CN" w:bidi="ar"/>
              </w:rPr>
              <w:t>。</w:t>
            </w:r>
          </w:p>
          <w:p w14:paraId="7DED51D4">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4.具备滤光片切换功能，摄像机可在彩色/黑白模式下自动切换滤光片。</w:t>
            </w:r>
          </w:p>
          <w:p w14:paraId="034C454E">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5.镜头可选：定焦；镜头光圈≥F1.0。</w:t>
            </w:r>
          </w:p>
          <w:p w14:paraId="5E7B611B">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6.智能红外补光距离（识别距离）≥50米。提供所投产品</w:t>
            </w:r>
            <w:r>
              <w:rPr>
                <w:rFonts w:hint="eastAsia" w:ascii="宋体" w:hAnsi="宋体" w:eastAsia="宋体" w:cs="宋体"/>
                <w:b w:val="0"/>
                <w:bCs w:val="0"/>
                <w:color w:val="auto"/>
                <w:sz w:val="21"/>
                <w:szCs w:val="21"/>
                <w:highlight w:val="none"/>
                <w:u w:val="none"/>
                <w:lang w:bidi="ar"/>
              </w:rPr>
              <w:t>由具备有效CMA资质的检测机构出具的封面盖有CMA专用印章的检测报告原件关键页扫描件(</w:t>
            </w:r>
            <w:r>
              <w:rPr>
                <w:rFonts w:hint="eastAsia" w:ascii="宋体" w:hAnsi="宋体" w:eastAsia="宋体" w:cs="宋体"/>
                <w:b w:val="0"/>
                <w:bCs w:val="0"/>
                <w:i w:val="0"/>
                <w:iCs w:val="0"/>
                <w:color w:val="auto"/>
                <w:kern w:val="0"/>
                <w:sz w:val="21"/>
                <w:szCs w:val="21"/>
                <w:highlight w:val="none"/>
                <w:u w:val="none"/>
                <w:lang w:val="en-US" w:eastAsia="zh-CN" w:bidi="ar"/>
              </w:rPr>
              <w:t>依据标准GA/T 1127-2013等现行国家标准</w:t>
            </w:r>
            <w:r>
              <w:rPr>
                <w:rFonts w:hint="eastAsia" w:ascii="宋体" w:hAnsi="宋体" w:eastAsia="宋体" w:cs="宋体"/>
                <w:b w:val="0"/>
                <w:bCs w:val="0"/>
                <w:color w:val="auto"/>
                <w:sz w:val="21"/>
                <w:szCs w:val="21"/>
                <w:highlight w:val="none"/>
                <w:u w:val="none"/>
                <w:lang w:bidi="ar"/>
              </w:rPr>
              <w:t>）</w:t>
            </w:r>
            <w:r>
              <w:rPr>
                <w:rFonts w:hint="eastAsia" w:ascii="宋体" w:hAnsi="宋体" w:eastAsia="宋体" w:cs="宋体"/>
                <w:b w:val="0"/>
                <w:bCs w:val="0"/>
                <w:i w:val="0"/>
                <w:iCs w:val="0"/>
                <w:color w:val="auto"/>
                <w:kern w:val="0"/>
                <w:sz w:val="21"/>
                <w:szCs w:val="21"/>
                <w:highlight w:val="none"/>
                <w:u w:val="none"/>
                <w:lang w:val="en-US" w:eastAsia="zh-CN" w:bidi="ar"/>
              </w:rPr>
              <w:t>。</w:t>
            </w:r>
          </w:p>
          <w:p w14:paraId="2BE0E5C0">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★7.宽动态能力综合得分≥80。提供所投产品</w:t>
            </w:r>
            <w:r>
              <w:rPr>
                <w:rFonts w:hint="eastAsia" w:ascii="宋体" w:hAnsi="宋体" w:eastAsia="宋体" w:cs="宋体"/>
                <w:b w:val="0"/>
                <w:bCs w:val="0"/>
                <w:color w:val="auto"/>
                <w:sz w:val="21"/>
                <w:szCs w:val="21"/>
                <w:highlight w:val="none"/>
                <w:u w:val="none"/>
                <w:lang w:bidi="ar"/>
              </w:rPr>
              <w:t>由具备有效CMA资质的检测机构出具的封面盖有CMA专用印章的检测报告原件关键页扫描件(</w:t>
            </w:r>
            <w:r>
              <w:rPr>
                <w:rFonts w:hint="eastAsia" w:ascii="宋体" w:hAnsi="宋体" w:eastAsia="宋体" w:cs="宋体"/>
                <w:b w:val="0"/>
                <w:bCs w:val="0"/>
                <w:i w:val="0"/>
                <w:iCs w:val="0"/>
                <w:color w:val="auto"/>
                <w:kern w:val="0"/>
                <w:sz w:val="21"/>
                <w:szCs w:val="21"/>
                <w:highlight w:val="none"/>
                <w:u w:val="none"/>
                <w:lang w:val="en-US" w:eastAsia="zh-CN" w:bidi="ar"/>
              </w:rPr>
              <w:t>依据标准GA/T 1127-2013等现行国家标准</w:t>
            </w:r>
            <w:r>
              <w:rPr>
                <w:rFonts w:hint="eastAsia" w:ascii="宋体" w:hAnsi="宋体" w:eastAsia="宋体" w:cs="宋体"/>
                <w:b w:val="0"/>
                <w:bCs w:val="0"/>
                <w:color w:val="auto"/>
                <w:sz w:val="21"/>
                <w:szCs w:val="21"/>
                <w:highlight w:val="none"/>
                <w:u w:val="none"/>
                <w:lang w:bidi="ar"/>
              </w:rPr>
              <w:t>）</w:t>
            </w:r>
            <w:r>
              <w:rPr>
                <w:rFonts w:hint="eastAsia" w:ascii="宋体" w:hAnsi="宋体" w:eastAsia="宋体" w:cs="宋体"/>
                <w:b w:val="0"/>
                <w:bCs w:val="0"/>
                <w:i w:val="0"/>
                <w:iCs w:val="0"/>
                <w:color w:val="auto"/>
                <w:kern w:val="0"/>
                <w:sz w:val="21"/>
                <w:szCs w:val="21"/>
                <w:highlight w:val="none"/>
                <w:u w:val="none"/>
                <w:lang w:val="en-US" w:eastAsia="zh-CN" w:bidi="ar"/>
              </w:rPr>
              <w:t>。</w:t>
            </w:r>
          </w:p>
          <w:p w14:paraId="609D4346">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★8.具备H.265、H.264、MJPEG视频编码格式，音频编码：G.711、AAC。提供原厂公开技术文档（白皮书、彩页、官网规格页截图及链接地址）。内置MIC（根据项目需求确定）。</w:t>
            </w:r>
          </w:p>
          <w:p w14:paraId="09DFE51B">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9.具备背光补偿、强光抑制、自动增益、感兴趣区域、移动侦测等功能。提供所投产品的检测报告原件关键页扫描件（依据标准GB 16796-2022或GA/T 1127-2013等现行国家标准）。</w:t>
            </w:r>
          </w:p>
          <w:p w14:paraId="5B0725A0">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★10.具备绊线或越界入侵、区域入侵、徘徊、人员聚集、停车、物品遗留或搬移（移除）等行为分析功能，具备联动抓拍或录像、报警。提供所投产品原厂技术白皮书。</w:t>
            </w:r>
          </w:p>
          <w:p w14:paraId="1D65BEFE">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11.具备场景自适应功能，可根据监控场景自动调节曝光模式。</w:t>
            </w:r>
          </w:p>
          <w:p w14:paraId="2212AA48">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12.摄像机在视频遮挡、存储器满、非法访问、网络断开、IP冲突时可给出报警提示；具备断网续传功能。</w:t>
            </w:r>
          </w:p>
          <w:p w14:paraId="78053C20">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13.具备数据直存功能，即直接将视频存储数据发送到存储设备（当中心服务器故障时、不影响正在进行的存储业务）。</w:t>
            </w:r>
          </w:p>
          <w:p w14:paraId="6E064838">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14.接口：RJ45百兆或千兆以太网电口，音频输入：≥1路，音频输出：≥1路，报警输入：≥2路，报警输出：≥2路。</w:t>
            </w:r>
          </w:p>
          <w:p w14:paraId="63B3646C">
            <w:pPr>
              <w:pStyle w:val="15"/>
              <w:keepNext w:val="0"/>
              <w:keepLines w:val="0"/>
              <w:pageBreakBefore w:val="0"/>
              <w:kinsoku/>
              <w:wordWrap/>
              <w:overflowPunct/>
              <w:topLinePunct w:val="0"/>
              <w:autoSpaceDE/>
              <w:autoSpaceDN/>
              <w:bidi w:val="0"/>
              <w:adjustRightInd/>
              <w:snapToGrid/>
              <w:spacing w:line="400" w:lineRule="exact"/>
              <w:ind w:left="0"/>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15.提供SD或TF卡槽。承诺可通过加装安全加密卡对接公安视频数据加密平台、实现安全升级以符合GB35114A级标准对前端面摄像机基于数字证书的双向身份认证功能，提供承诺函（格式自拟）。</w:t>
            </w:r>
          </w:p>
          <w:p w14:paraId="6EF8FB28">
            <w:pPr>
              <w:pStyle w:val="15"/>
              <w:keepNext w:val="0"/>
              <w:keepLines w:val="0"/>
              <w:pageBreakBefore w:val="0"/>
              <w:kinsoku/>
              <w:wordWrap/>
              <w:overflowPunct/>
              <w:topLinePunct w:val="0"/>
              <w:autoSpaceDE/>
              <w:autoSpaceDN/>
              <w:bidi w:val="0"/>
              <w:adjustRightInd/>
              <w:snapToGrid/>
              <w:spacing w:line="400" w:lineRule="exact"/>
              <w:ind w:left="0"/>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★16.符合GB/T 28181现行协议标准。提供所投产品原厂公开技术文档（白皮书、彩页、官网规格页截图及链接地址）或提供承诺函（格式自拟）。</w:t>
            </w:r>
          </w:p>
          <w:p w14:paraId="30FC777A">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17.Onvif、IPv4/6现行协议标准。提供原厂公开技术文档（白皮书、彩页、官网规格页截图及链接地址）。</w:t>
            </w:r>
          </w:p>
          <w:p w14:paraId="3009DD95">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18.工作温度：-40℃~+60℃。工作湿度：≤95%。</w:t>
            </w:r>
          </w:p>
          <w:p w14:paraId="069B6FCA">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★19.浪涌（冲击）抗扰度测试、防浪涌。</w:t>
            </w:r>
            <w:r>
              <w:rPr>
                <w:rFonts w:hint="eastAsia" w:ascii="宋体" w:hAnsi="宋体" w:eastAsia="宋体" w:cs="宋体"/>
                <w:b w:val="0"/>
                <w:bCs w:val="0"/>
                <w:color w:val="auto"/>
                <w:sz w:val="21"/>
                <w:szCs w:val="21"/>
                <w:highlight w:val="none"/>
                <w:lang w:val="en-US" w:eastAsia="zh-CN" w:bidi="ar"/>
              </w:rPr>
              <w:t>承诺</w:t>
            </w:r>
            <w:r>
              <w:rPr>
                <w:rFonts w:hint="eastAsia" w:ascii="宋体" w:hAnsi="宋体" w:eastAsia="宋体" w:cs="宋体"/>
                <w:b w:val="0"/>
                <w:bCs w:val="0"/>
                <w:color w:val="auto"/>
                <w:sz w:val="21"/>
                <w:szCs w:val="21"/>
                <w:highlight w:val="none"/>
                <w:lang w:bidi="ar"/>
              </w:rPr>
              <w:t>符合</w:t>
            </w:r>
            <w:r>
              <w:rPr>
                <w:rFonts w:hint="eastAsia" w:ascii="宋体" w:hAnsi="宋体" w:eastAsia="宋体" w:cs="宋体"/>
                <w:b w:val="0"/>
                <w:bCs w:val="0"/>
                <w:i w:val="0"/>
                <w:iCs w:val="0"/>
                <w:color w:val="auto"/>
                <w:kern w:val="0"/>
                <w:sz w:val="21"/>
                <w:szCs w:val="21"/>
                <w:highlight w:val="none"/>
                <w:u w:val="none"/>
                <w:lang w:val="en-US" w:eastAsia="zh-CN" w:bidi="ar"/>
              </w:rPr>
              <w:t>GA/T 1127-2013或</w:t>
            </w:r>
            <w:r>
              <w:rPr>
                <w:rFonts w:hint="eastAsia" w:ascii="宋体" w:hAnsi="宋体" w:eastAsia="宋体" w:cs="宋体"/>
                <w:b w:val="0"/>
                <w:bCs w:val="0"/>
                <w:color w:val="auto"/>
                <w:sz w:val="21"/>
                <w:szCs w:val="21"/>
                <w:highlight w:val="none"/>
                <w:lang w:bidi="ar"/>
              </w:rPr>
              <w:t>GB/T 17626.5-</w:t>
            </w:r>
            <w:r>
              <w:rPr>
                <w:rFonts w:hint="eastAsia" w:ascii="宋体" w:hAnsi="宋体" w:eastAsia="宋体" w:cs="宋体"/>
                <w:b w:val="0"/>
                <w:bCs w:val="0"/>
                <w:color w:val="auto"/>
                <w:sz w:val="21"/>
                <w:szCs w:val="21"/>
                <w:highlight w:val="none"/>
                <w:lang w:val="en-US" w:eastAsia="zh-CN" w:bidi="ar"/>
              </w:rPr>
              <w:t>2008/</w:t>
            </w:r>
            <w:r>
              <w:rPr>
                <w:rFonts w:hint="eastAsia" w:ascii="宋体" w:hAnsi="宋体" w:eastAsia="宋体" w:cs="宋体"/>
                <w:b w:val="0"/>
                <w:bCs w:val="0"/>
                <w:color w:val="auto"/>
                <w:sz w:val="21"/>
                <w:szCs w:val="21"/>
                <w:highlight w:val="none"/>
                <w:lang w:bidi="ar"/>
              </w:rPr>
              <w:t>2019</w:t>
            </w:r>
            <w:r>
              <w:rPr>
                <w:rFonts w:hint="eastAsia" w:ascii="宋体" w:hAnsi="宋体" w:eastAsia="宋体" w:cs="宋体"/>
                <w:b w:val="0"/>
                <w:bCs w:val="0"/>
                <w:color w:val="auto"/>
                <w:sz w:val="21"/>
                <w:szCs w:val="21"/>
                <w:highlight w:val="none"/>
                <w:lang w:val="en-US" w:eastAsia="zh-CN" w:bidi="ar"/>
              </w:rPr>
              <w:t>对摄像机的</w:t>
            </w:r>
            <w:r>
              <w:rPr>
                <w:rFonts w:hint="eastAsia" w:ascii="宋体" w:hAnsi="宋体" w:eastAsia="宋体" w:cs="宋体"/>
                <w:b w:val="0"/>
                <w:bCs w:val="0"/>
                <w:i w:val="0"/>
                <w:iCs w:val="0"/>
                <w:color w:val="auto"/>
                <w:kern w:val="0"/>
                <w:sz w:val="21"/>
                <w:szCs w:val="21"/>
                <w:highlight w:val="none"/>
                <w:u w:val="none"/>
                <w:lang w:val="en-US" w:eastAsia="zh-CN" w:bidi="ar"/>
              </w:rPr>
              <w:t>防浪涌</w:t>
            </w:r>
            <w:r>
              <w:rPr>
                <w:rFonts w:hint="eastAsia" w:ascii="宋体" w:hAnsi="宋体" w:eastAsia="宋体" w:cs="宋体"/>
                <w:b w:val="0"/>
                <w:bCs w:val="0"/>
                <w:color w:val="auto"/>
                <w:sz w:val="21"/>
                <w:szCs w:val="21"/>
                <w:highlight w:val="none"/>
                <w:lang w:val="en-US" w:eastAsia="zh-CN" w:bidi="ar"/>
              </w:rPr>
              <w:t>要求</w:t>
            </w:r>
            <w:r>
              <w:rPr>
                <w:rFonts w:hint="eastAsia" w:ascii="宋体" w:hAnsi="宋体" w:eastAsia="宋体" w:cs="宋体"/>
                <w:b w:val="0"/>
                <w:bCs w:val="0"/>
                <w:color w:val="auto"/>
                <w:sz w:val="21"/>
                <w:szCs w:val="21"/>
                <w:highlight w:val="none"/>
                <w:lang w:eastAsia="zh-CN" w:bidi="ar"/>
              </w:rPr>
              <w:t>。</w:t>
            </w:r>
          </w:p>
          <w:p w14:paraId="46124966">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20.稳定性：摄像机在正常工作条件下，具备连续168小时正常工作。</w:t>
            </w:r>
          </w:p>
          <w:p w14:paraId="60803B7C">
            <w:pPr>
              <w:pStyle w:val="15"/>
              <w:keepNext w:val="0"/>
              <w:keepLines w:val="0"/>
              <w:pageBreakBefore w:val="0"/>
              <w:kinsoku/>
              <w:wordWrap/>
              <w:overflowPunct/>
              <w:topLinePunct w:val="0"/>
              <w:autoSpaceDE/>
              <w:autoSpaceDN/>
              <w:bidi w:val="0"/>
              <w:adjustRightInd/>
              <w:snapToGrid/>
              <w:spacing w:line="400" w:lineRule="exact"/>
              <w:ind w:left="0"/>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★21.防护等级：≥IP67。提供所投产品的检测报告原件关键页扫描件（依据GB/T 15211-2013或GA/T 1127-2013或</w:t>
            </w:r>
            <w:r>
              <w:rPr>
                <w:rFonts w:hint="eastAsia" w:ascii="宋体" w:hAnsi="宋体" w:eastAsia="宋体" w:cs="宋体"/>
                <w:b w:val="0"/>
                <w:bCs w:val="0"/>
                <w:color w:val="auto"/>
                <w:sz w:val="21"/>
                <w:szCs w:val="21"/>
                <w:highlight w:val="none"/>
              </w:rPr>
              <w:t>GB/T4208-2017标准</w:t>
            </w:r>
            <w:r>
              <w:rPr>
                <w:rFonts w:hint="eastAsia" w:ascii="宋体" w:hAnsi="宋体" w:eastAsia="宋体" w:cs="宋体"/>
                <w:b w:val="0"/>
                <w:bCs w:val="0"/>
                <w:i w:val="0"/>
                <w:iCs w:val="0"/>
                <w:color w:val="auto"/>
                <w:kern w:val="0"/>
                <w:sz w:val="21"/>
                <w:szCs w:val="21"/>
                <w:highlight w:val="none"/>
                <w:u w:val="none"/>
                <w:lang w:val="en-US" w:eastAsia="zh-CN" w:bidi="ar"/>
              </w:rPr>
              <w:t>）等相关现行国家标准）。</w:t>
            </w:r>
          </w:p>
          <w:p w14:paraId="7BB9BD85">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★22.具备POE供电功能。提供原厂公开技术文档（白皮书、彩页、官网规格页截图及链接地址均可）。</w:t>
            </w:r>
          </w:p>
          <w:p w14:paraId="4C383BE4">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u w:val="none"/>
                <w:lang w:val="en-US" w:eastAsia="zh-CN" w:bidi="ar"/>
              </w:rPr>
              <w:t>★23.符合GB/T 28181、Onvif、IPv4/IPv6协议标准。提供所投产品原厂公开技术文档（白皮书、彩页、官网规格页截图及链接地址）或提供承诺函（格式自拟）</w:t>
            </w:r>
            <w:r>
              <w:rPr>
                <w:rFonts w:hint="eastAsia" w:ascii="宋体" w:hAnsi="宋体" w:eastAsia="宋体" w:cs="宋体"/>
                <w:b w:val="0"/>
                <w:bCs w:val="0"/>
                <w:color w:val="auto"/>
                <w:sz w:val="21"/>
                <w:szCs w:val="21"/>
                <w:highlight w:val="none"/>
                <w:u w:val="none"/>
                <w:lang w:val="en-US" w:eastAsia="zh-CN" w:bidi="ar"/>
              </w:rPr>
              <w:t>。</w:t>
            </w:r>
          </w:p>
          <w:p w14:paraId="65BD3F91">
            <w:pPr>
              <w:pStyle w:val="18"/>
              <w:ind w:left="0" w:leftChars="0" w:firstLine="0" w:firstLineChars="0"/>
              <w:rPr>
                <w:rFonts w:hint="eastAsia"/>
                <w:color w:val="auto"/>
                <w:lang w:val="en-US" w:eastAsia="zh-CN"/>
              </w:rPr>
            </w:pPr>
          </w:p>
          <w:p w14:paraId="6E1F0BBE">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宋体" w:hAnsi="宋体" w:eastAsia="宋体" w:cs="宋体"/>
                <w:b w:val="0"/>
                <w:bCs w:val="0"/>
                <w:color w:val="auto"/>
                <w:sz w:val="21"/>
                <w:szCs w:val="21"/>
                <w:highlight w:val="none"/>
                <w:lang w:val="en-US" w:eastAsia="zh-CN"/>
              </w:rPr>
              <w:t>注：</w:t>
            </w:r>
            <w:r>
              <w:rPr>
                <w:rFonts w:hint="eastAsia" w:ascii="宋体" w:hAnsi="宋体" w:eastAsia="宋体" w:cs="宋体"/>
                <w:b w:val="0"/>
                <w:bCs w:val="0"/>
                <w:i w:val="0"/>
                <w:iCs w:val="0"/>
                <w:color w:val="auto"/>
                <w:kern w:val="0"/>
                <w:sz w:val="21"/>
                <w:szCs w:val="21"/>
                <w:highlight w:val="none"/>
                <w:u w:val="none"/>
                <w:lang w:val="en-US" w:eastAsia="zh-CN" w:bidi="ar"/>
              </w:rPr>
              <w:t>提供检测报告的，按第四章商务要求（其他要求的第2条）中明确的要求、提供相关佐证材料。</w:t>
            </w:r>
          </w:p>
        </w:tc>
      </w:tr>
      <w:tr w14:paraId="269BC0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7" w:type="dxa"/>
            <w:tcBorders>
              <w:top w:val="nil"/>
              <w:left w:val="single" w:color="000000" w:sz="4" w:space="0"/>
              <w:bottom w:val="single" w:color="000000" w:sz="4" w:space="0"/>
              <w:right w:val="single" w:color="000000" w:sz="4" w:space="0"/>
            </w:tcBorders>
            <w:shd w:val="clear" w:color="auto" w:fill="auto"/>
            <w:noWrap/>
            <w:vAlign w:val="center"/>
          </w:tcPr>
          <w:p w14:paraId="5EA3F164">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4</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A8DF7">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筒机支架</w:t>
            </w:r>
          </w:p>
        </w:tc>
        <w:tc>
          <w:tcPr>
            <w:tcW w:w="7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2CF99">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宋体" w:hAnsi="宋体" w:eastAsia="宋体" w:cs="宋体"/>
                <w:i w:val="0"/>
                <w:iCs w:val="0"/>
                <w:color w:val="auto"/>
                <w:kern w:val="0"/>
                <w:sz w:val="21"/>
                <w:szCs w:val="21"/>
                <w:highlight w:val="none"/>
                <w:u w:val="none"/>
                <w:lang w:val="en-US" w:eastAsia="zh-CN" w:bidi="ar"/>
              </w:rPr>
              <w:t>材质铝合金或白钢支架，满足吊装/壁装多种场景。</w:t>
            </w:r>
          </w:p>
        </w:tc>
      </w:tr>
      <w:tr w14:paraId="3DB7D8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7" w:type="dxa"/>
            <w:tcBorders>
              <w:top w:val="nil"/>
              <w:left w:val="single" w:color="000000" w:sz="4" w:space="0"/>
              <w:bottom w:val="single" w:color="000000" w:sz="4" w:space="0"/>
              <w:right w:val="single" w:color="000000" w:sz="4" w:space="0"/>
            </w:tcBorders>
            <w:shd w:val="clear" w:color="auto" w:fill="auto"/>
            <w:noWrap/>
            <w:vAlign w:val="center"/>
          </w:tcPr>
          <w:p w14:paraId="3F406986">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5</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FFE11">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24电口千兆POE交换机</w:t>
            </w:r>
          </w:p>
        </w:tc>
        <w:tc>
          <w:tcPr>
            <w:tcW w:w="7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513AF">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一、端口与性能（提供原厂公开技术文档（白皮书、彩页、官网规格页截图及链接地址均可））</w:t>
            </w:r>
          </w:p>
          <w:p w14:paraId="50E591A9">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 端口配置：提供 ≥24 个 10/100/1000M 自适应以太网电口（RJ45），全部支持不低于 IEEE 802.3at（PoE+）；提供 ≥4 个 千兆SFP光口。</w:t>
            </w:r>
          </w:p>
          <w:p w14:paraId="4AFF161D">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 交换性能：</w:t>
            </w:r>
          </w:p>
          <w:p w14:paraId="2CACE132">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整机交换容量 ≥600 Gbps；整机包转发率 ≥ 120 Mpps。</w:t>
            </w:r>
          </w:p>
          <w:p w14:paraId="5EC0F15D">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二、PoE供电能力（提供原厂公开技术文档（白皮书、彩页、官网规格页截图及链接地址均可））</w:t>
            </w:r>
          </w:p>
          <w:p w14:paraId="022598A4">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 PoE标准与功率：至少支持 IEEE 802.3at（PoE+），同时可POE供电端口≥24个；整机可用PoE功率 ≥ 370W。（实际供电需满足学校使用需求）。</w:t>
            </w:r>
          </w:p>
          <w:p w14:paraId="74829CA8">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三、三层路由与IPv6支持</w:t>
            </w:r>
          </w:p>
          <w:p w14:paraId="07EE1B8C">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 路由协议：支持以下IPv4/IPv6路由功能：静态路由；RIPv1/v2、RIPng；OSPFv2、OSPFv3；</w:t>
            </w:r>
          </w:p>
          <w:p w14:paraId="7E3395F5">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支持IPv4/IPv6双栈及组播转发。</w:t>
            </w:r>
          </w:p>
          <w:p w14:paraId="5AEB8AAE">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四、VLAN、堆叠与链路聚合</w:t>
            </w:r>
          </w:p>
          <w:p w14:paraId="63840702">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 VLAN划分：支持基于端口、MAC地址、协议类型的VLAN。</w:t>
            </w:r>
          </w:p>
          <w:p w14:paraId="66E45B90">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6. 高可用与聚合：支持多台设备虚拟化堆叠（物理或逻辑），实现统一管理；支持静态链路聚合及 LACP（IEEE 802.3ad）动态聚合。</w:t>
            </w:r>
          </w:p>
          <w:p w14:paraId="7C7AD1BC">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五、安全与终端管控</w:t>
            </w:r>
          </w:p>
          <w:p w14:paraId="1A9E47F1">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7. 设备抗攻击能力：具备CPU保护机制，限制非法报文（如泛洪、畸形包）对主控CPU的冲击；支持ARP网关欺骗防御（如DAI、ARP Check）；支持ICMP泛洪、SYN Flood等DoS攻击防护策略。</w:t>
            </w:r>
          </w:p>
          <w:p w14:paraId="09C7C0C7">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8. 表项容量：MAC地址表 ≥ 16K；ARP表项 ≥ 4K；IPv4 FIB表项 ≥ 1K。提供原厂公开技术文档（白皮书、彩页、官网规格页截图及链接地址均可）。</w:t>
            </w:r>
          </w:p>
          <w:p w14:paraId="02D1875D">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六、可靠性与环境适应性</w:t>
            </w:r>
          </w:p>
          <w:p w14:paraId="38303DFF">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 端口防雷能力：所有业务电口具备 ≥6 kV（线-地）浪涌抗扰度，符合 IEC 61000-4-5 或 GB/T 17626.5 标准。</w:t>
            </w:r>
          </w:p>
          <w:p w14:paraId="5969B2D5">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10. 节能环保：支持 IEEE 802.3az（EEE）高效节能以太网，在端口空闲时自动进入低功耗模式，有流量时快速恢复。</w:t>
            </w:r>
          </w:p>
          <w:p w14:paraId="3DFBF3F3">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七、管理与运维</w:t>
            </w:r>
          </w:p>
          <w:p w14:paraId="27FC908C">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11. SDN与认证支持：支持SDN架构（如OpenFlow 1.3或等效开放API）；支持 IEEE 802.1X 端口认证，可对接主流RADIUS认证服务器。</w:t>
            </w:r>
          </w:p>
          <w:p w14:paraId="6A07BDC1">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12. 管理接口：支持 SNMP v1/v2c/v3、CLI（Console/Telnet/SSH）、Web GUI、Syslog、NTP、TFTP/FTP/SFTP 等标准管理协议。</w:t>
            </w:r>
          </w:p>
          <w:p w14:paraId="7D55B48A">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八、合规与强制认证</w:t>
            </w:r>
          </w:p>
          <w:p w14:paraId="6E608D09">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宋体" w:hAnsi="宋体" w:eastAsia="宋体" w:cs="宋体"/>
                <w:b w:val="0"/>
                <w:bCs w:val="0"/>
                <w:color w:val="auto"/>
                <w:sz w:val="21"/>
                <w:szCs w:val="21"/>
                <w:highlight w:val="none"/>
                <w:lang w:val="en-US" w:eastAsia="zh-CN"/>
              </w:rPr>
              <w:t>★13. 电信设备进网许可（CTA）：所投产品必须具备工业和信息化部核发的有效《电信设备进网许可证》。投标时须提供：进网许可证清晰扫描件；工信部官网查询结果截图，显示设备型号、生产企业、许可证编号及状态为“有效”。</w:t>
            </w:r>
          </w:p>
        </w:tc>
      </w:tr>
      <w:tr w14:paraId="5CBB01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7" w:type="dxa"/>
            <w:tcBorders>
              <w:top w:val="nil"/>
              <w:left w:val="single" w:color="000000" w:sz="4" w:space="0"/>
              <w:bottom w:val="single" w:color="000000" w:sz="4" w:space="0"/>
              <w:right w:val="single" w:color="000000" w:sz="4" w:space="0"/>
            </w:tcBorders>
            <w:shd w:val="clear" w:color="auto" w:fill="auto"/>
            <w:noWrap/>
            <w:vAlign w:val="center"/>
          </w:tcPr>
          <w:p w14:paraId="4CDE71CB">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6</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C26A9">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8电口POE千兆交换机</w:t>
            </w:r>
          </w:p>
        </w:tc>
        <w:tc>
          <w:tcPr>
            <w:tcW w:w="7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B9582">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★1.交换能力≥256Gbps ，包转发速率≥25Mpps，≥8个千兆电口，≥1个1G SPF千兆光口，提供官网截图或原厂白皮书或检测报告加盖公章。</w:t>
            </w:r>
          </w:p>
          <w:p w14:paraId="69050C46">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★2.支持802.3at POE+功能 ；POE功率≥120W，提供原厂白皮书或者产品彩页或者官网截图（带链接）（实际供电需满足学校使用需求）。</w:t>
            </w:r>
          </w:p>
          <w:p w14:paraId="367DAADD">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3.支持IPv4静态路由、RIP V1/V2、OSPF，支持IPv6静态路由、RIPng，支持 IPv4 和 IPv6 的三层路由和组播功能。</w:t>
            </w:r>
          </w:p>
          <w:p w14:paraId="710EA56D">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4.支持基于端口的VLAN，支持基于协议的VLAN；支持基于MAC的VLAN。</w:t>
            </w:r>
          </w:p>
          <w:p w14:paraId="25B8EFAD">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5.支持最多8个端口聚合。</w:t>
            </w:r>
          </w:p>
          <w:p w14:paraId="347E8F78">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6.实现CPU保护功能，能限制非法报文对CPU的攻击，保护交换机在各种环境下稳定工作。</w:t>
            </w:r>
          </w:p>
          <w:p w14:paraId="6BB43DB7">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7.要求所投产品支持防雷等级≥10KV。</w:t>
            </w:r>
          </w:p>
          <w:p w14:paraId="2A36B284">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8.支持MAC地址≥16K。提供证明材料</w:t>
            </w:r>
          </w:p>
          <w:p w14:paraId="43785CD3">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9.支持RIP、RIPng、OSPF、OSPFv3路由协议。</w:t>
            </w:r>
          </w:p>
          <w:p w14:paraId="38436EAB">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10.支持 ERPS 以太环保护协议（G.8032）。</w:t>
            </w:r>
          </w:p>
          <w:p w14:paraId="09AECEFA">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宋体" w:hAnsi="宋体" w:eastAsia="宋体" w:cs="宋体"/>
                <w:b w:val="0"/>
                <w:bCs w:val="0"/>
                <w:color w:val="auto"/>
                <w:sz w:val="21"/>
                <w:szCs w:val="21"/>
                <w:highlight w:val="none"/>
                <w:lang w:val="en-US" w:eastAsia="zh-CN"/>
              </w:rPr>
              <w:t>★11.所投产品具备工业和信息化部颁发的进网许可证（CTA认证），提供证书扫描件和工信部网站查询的进网许可截图。</w:t>
            </w:r>
          </w:p>
        </w:tc>
      </w:tr>
      <w:tr w14:paraId="5953F0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7" w:type="dxa"/>
            <w:tcBorders>
              <w:top w:val="nil"/>
              <w:left w:val="single" w:color="000000" w:sz="4" w:space="0"/>
              <w:bottom w:val="single" w:color="000000" w:sz="4" w:space="0"/>
              <w:right w:val="single" w:color="000000" w:sz="4" w:space="0"/>
            </w:tcBorders>
            <w:shd w:val="clear" w:color="auto" w:fill="auto"/>
            <w:noWrap/>
            <w:vAlign w:val="center"/>
          </w:tcPr>
          <w:p w14:paraId="1A9B61D1">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7</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EC545">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千兆光模块</w:t>
            </w:r>
          </w:p>
        </w:tc>
        <w:tc>
          <w:tcPr>
            <w:tcW w:w="7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FBB46">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宋体" w:hAnsi="宋体" w:eastAsia="宋体" w:cs="宋体"/>
                <w:i w:val="0"/>
                <w:iCs w:val="0"/>
                <w:color w:val="auto"/>
                <w:kern w:val="0"/>
                <w:sz w:val="21"/>
                <w:szCs w:val="21"/>
                <w:highlight w:val="none"/>
                <w:u w:val="none"/>
                <w:lang w:val="en-US" w:eastAsia="zh-CN" w:bidi="ar"/>
              </w:rPr>
              <w:t>光收发一体模块-SFP（1310nm、LC、10km），光模块序列号官网可查。</w:t>
            </w:r>
            <w:r>
              <w:rPr>
                <w:rFonts w:hint="eastAsia" w:ascii="宋体" w:hAnsi="宋体" w:eastAsia="宋体" w:cs="宋体"/>
                <w:b/>
                <w:bCs/>
                <w:i w:val="0"/>
                <w:iCs w:val="0"/>
                <w:color w:val="auto"/>
                <w:kern w:val="0"/>
                <w:sz w:val="21"/>
                <w:szCs w:val="21"/>
                <w:highlight w:val="none"/>
                <w:u w:val="none"/>
                <w:lang w:val="en-US" w:eastAsia="zh-CN" w:bidi="ar"/>
              </w:rPr>
              <w:t>光模块序列号官网或者400或邮件方式可查,提供官网查询截图（含链接地址）或400电话号码或邮件地址。</w:t>
            </w:r>
          </w:p>
        </w:tc>
      </w:tr>
      <w:tr w14:paraId="3ADC68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7" w:type="dxa"/>
            <w:tcBorders>
              <w:top w:val="nil"/>
              <w:left w:val="single" w:color="000000" w:sz="4" w:space="0"/>
              <w:bottom w:val="single" w:color="000000" w:sz="4" w:space="0"/>
              <w:right w:val="single" w:color="000000" w:sz="4" w:space="0"/>
            </w:tcBorders>
            <w:shd w:val="clear" w:color="auto" w:fill="auto"/>
            <w:noWrap/>
            <w:vAlign w:val="center"/>
          </w:tcPr>
          <w:p w14:paraId="0D42EA65">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8</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32BE3">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3米单模双芯光纤跳线</w:t>
            </w:r>
          </w:p>
        </w:tc>
        <w:tc>
          <w:tcPr>
            <w:tcW w:w="7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AAE76">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1.G.652D单模光纤，双芯，LSZH护套，光缆的光学性能、机械性能、环境性能等符合现行国家或行业标准。</w:t>
            </w:r>
            <w:r>
              <w:rPr>
                <w:rFonts w:hint="eastAsia" w:ascii="宋体" w:hAnsi="宋体" w:eastAsia="宋体" w:cs="宋体"/>
                <w:b/>
                <w:bCs/>
                <w:i w:val="0"/>
                <w:iCs w:val="0"/>
                <w:color w:val="auto"/>
                <w:kern w:val="0"/>
                <w:sz w:val="21"/>
                <w:szCs w:val="21"/>
                <w:highlight w:val="none"/>
                <w:u w:val="none"/>
                <w:lang w:val="en-US" w:eastAsia="zh-CN" w:bidi="ar"/>
              </w:rPr>
              <w:t>提供所投产品的检测报告原件关键页扫描件（依据YD/T 1272.1-2018或YD/T 2152-2010或GB/T 9771-2020等现行国家或行业标准），检测报告中须体现检测依据以及是否通过检测的结论：需含光学性能、机械性能、环境性能检测项；提供检测报告的，按第四章商务要求（其他要求的第2条）中明确的要求、提供相关佐证材料。</w:t>
            </w:r>
          </w:p>
          <w:p w14:paraId="4CAF415C">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宋体" w:hAnsi="宋体" w:eastAsia="宋体" w:cs="宋体"/>
                <w:i w:val="0"/>
                <w:iCs w:val="0"/>
                <w:color w:val="auto"/>
                <w:kern w:val="0"/>
                <w:sz w:val="21"/>
                <w:szCs w:val="21"/>
                <w:highlight w:val="none"/>
                <w:u w:val="none"/>
                <w:lang w:val="en-US" w:eastAsia="zh-CN" w:bidi="ar"/>
              </w:rPr>
              <w:t>2.长度规格≥3米。</w:t>
            </w:r>
          </w:p>
        </w:tc>
      </w:tr>
      <w:tr w14:paraId="1E0E68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0" w:hRule="atLeast"/>
        </w:trPr>
        <w:tc>
          <w:tcPr>
            <w:tcW w:w="777" w:type="dxa"/>
            <w:tcBorders>
              <w:top w:val="nil"/>
              <w:left w:val="single" w:color="000000" w:sz="4" w:space="0"/>
              <w:bottom w:val="single" w:color="000000" w:sz="4" w:space="0"/>
              <w:right w:val="single" w:color="000000" w:sz="4" w:space="0"/>
            </w:tcBorders>
            <w:shd w:val="clear" w:color="auto" w:fill="auto"/>
            <w:noWrap/>
            <w:vAlign w:val="center"/>
          </w:tcPr>
          <w:p w14:paraId="07218A43">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9</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63A8E">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48盘位存储</w:t>
            </w:r>
          </w:p>
        </w:tc>
        <w:tc>
          <w:tcPr>
            <w:tcW w:w="7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053DD">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提供≥48块（根据项目需求确定数量）硬盘位专业存储设备1套（可通过多台设备集群扩展），满足校园安防存储不低于30天需求。</w:t>
            </w:r>
          </w:p>
          <w:p w14:paraId="749FF7D7">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一、基本配置与容量</w:t>
            </w:r>
          </w:p>
          <w:p w14:paraId="335A15EE">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1.硬盘接口：单台设备提供 ≥N 个 3.5" 热插拔硬盘槽位，支持 SATA HDD / SSD 混合部署。</w:t>
            </w:r>
          </w:p>
          <w:p w14:paraId="35529427">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2.控制器与电源：采用单控制器架构；配置冗余交流电源模块，支持热插拔及在线更换。</w:t>
            </w:r>
          </w:p>
          <w:p w14:paraId="1A7903F6">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二、网络与接口（</w:t>
            </w:r>
            <w:r>
              <w:rPr>
                <w:rFonts w:hint="eastAsia" w:ascii="宋体" w:hAnsi="宋体" w:eastAsia="宋体" w:cs="宋体"/>
                <w:b/>
                <w:bCs/>
                <w:color w:val="auto"/>
                <w:kern w:val="0"/>
                <w:sz w:val="21"/>
                <w:szCs w:val="21"/>
                <w:highlight w:val="none"/>
                <w:lang w:val="en-US" w:eastAsia="zh-CN" w:bidi="ar"/>
              </w:rPr>
              <w:t>提供原厂公开技术文档（白皮书、彩页、官网规格页截图及链接地址均可）</w:t>
            </w:r>
            <w:r>
              <w:rPr>
                <w:rFonts w:hint="eastAsia" w:ascii="宋体" w:hAnsi="宋体" w:eastAsia="宋体" w:cs="宋体"/>
                <w:color w:val="auto"/>
                <w:sz w:val="21"/>
                <w:szCs w:val="21"/>
                <w:highlight w:val="none"/>
                <w:lang w:val="en-US" w:eastAsia="zh-CN"/>
              </w:rPr>
              <w:t>）</w:t>
            </w:r>
          </w:p>
          <w:p w14:paraId="643EAC7C">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3.网络接口：管理口：≥1 个 10/100/1000M 自适应电口（独立管理网段）；数据口：≥4 个 10/100/1000M 自适应电口，支持 IEEE 802.3ad 链路聚合（LACP），提升带宽与可靠性。</w:t>
            </w:r>
          </w:p>
          <w:p w14:paraId="42A7348D">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4.扩展接口：提供 ≥1 个 eSATA 接口（用于外接扩展柜）；提供 ≥2 个 USB 3.0 接口；</w:t>
            </w:r>
          </w:p>
          <w:p w14:paraId="5ECE91BE">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支持 PCI-E 3.0 插槽（用于加装万兆网卡、GPU加速卡等，如适用）。</w:t>
            </w:r>
          </w:p>
          <w:p w14:paraId="32BAA138">
            <w:pPr>
              <w:keepNext w:val="0"/>
              <w:keepLines w:val="0"/>
              <w:pageBreakBefore w:val="0"/>
              <w:widowControl/>
              <w:numPr>
                <w:ilvl w:val="0"/>
                <w:numId w:val="72"/>
              </w:numPr>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性能与业务能力</w:t>
            </w:r>
          </w:p>
          <w:p w14:paraId="4AEEEFD1">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w:t>
            </w:r>
            <w:r>
              <w:rPr>
                <w:rFonts w:hint="eastAsia" w:ascii="宋体" w:hAnsi="宋体" w:eastAsia="宋体" w:cs="宋体"/>
                <w:color w:val="auto"/>
                <w:sz w:val="21"/>
                <w:szCs w:val="21"/>
                <w:highlight w:val="none"/>
                <w:lang w:val="en-US" w:eastAsia="zh-CN"/>
              </w:rPr>
              <w:t>5.音视频处理性能：最大并发 写入（存储+转发）带宽 ≥ 2048 Mbps；最大并发 回放带宽 ≥ 1024 Mbps。 注：性能指标应基于 H.264/H.265 主码流实测值，不含压缩比虚标。</w:t>
            </w:r>
            <w:r>
              <w:rPr>
                <w:rFonts w:hint="eastAsia" w:ascii="宋体" w:hAnsi="宋体" w:eastAsia="宋体" w:cs="宋体"/>
                <w:b/>
                <w:bCs/>
                <w:color w:val="auto"/>
                <w:kern w:val="0"/>
                <w:sz w:val="21"/>
                <w:szCs w:val="21"/>
                <w:highlight w:val="none"/>
                <w:lang w:val="en-US" w:eastAsia="zh-CN" w:bidi="ar"/>
              </w:rPr>
              <w:t>提供原厂公开技术文档（白皮书、彩页、官网规格页截图及链接地址均可）</w:t>
            </w:r>
            <w:r>
              <w:rPr>
                <w:rFonts w:hint="eastAsia" w:ascii="宋体" w:hAnsi="宋体" w:eastAsia="宋体" w:cs="宋体"/>
                <w:color w:val="auto"/>
                <w:sz w:val="21"/>
                <w:szCs w:val="21"/>
                <w:highlight w:val="none"/>
                <w:lang w:val="en-US" w:eastAsia="zh-CN"/>
              </w:rPr>
              <w:t>。</w:t>
            </w:r>
          </w:p>
          <w:p w14:paraId="26398770">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w:t>
            </w:r>
            <w:r>
              <w:rPr>
                <w:rFonts w:hint="eastAsia" w:ascii="宋体" w:hAnsi="宋体" w:eastAsia="宋体" w:cs="宋体"/>
                <w:color w:val="auto"/>
                <w:sz w:val="21"/>
                <w:szCs w:val="21"/>
                <w:highlight w:val="none"/>
                <w:lang w:val="en-US" w:eastAsia="zh-CN"/>
              </w:rPr>
              <w:t>6.直存与协议支持：支持 视频流与图片流直写存储（即前端IPC/NVR通过标准协议直接写入存储，无需中间服务器）；支持标准协议接入：ONVIF、GB/T 28181、RTSP、RTP、PSIA、SIP；支持 IPv4/IPv6 双栈网络。</w:t>
            </w:r>
            <w:r>
              <w:rPr>
                <w:rFonts w:hint="eastAsia" w:ascii="宋体" w:hAnsi="宋体" w:eastAsia="宋体" w:cs="宋体"/>
                <w:b/>
                <w:bCs/>
                <w:color w:val="auto"/>
                <w:kern w:val="0"/>
                <w:sz w:val="21"/>
                <w:szCs w:val="21"/>
                <w:highlight w:val="none"/>
                <w:lang w:val="en-US" w:eastAsia="zh-CN" w:bidi="ar"/>
              </w:rPr>
              <w:t>提供原厂公开技术文档（白皮书、彩页、官网规格页截图及链接地址均可）</w:t>
            </w:r>
            <w:r>
              <w:rPr>
                <w:rFonts w:hint="eastAsia" w:ascii="宋体" w:hAnsi="宋体" w:eastAsia="宋体" w:cs="宋体"/>
                <w:color w:val="auto"/>
                <w:sz w:val="21"/>
                <w:szCs w:val="21"/>
                <w:highlight w:val="none"/>
                <w:lang w:val="en-US" w:eastAsia="zh-CN"/>
              </w:rPr>
              <w:t>。</w:t>
            </w:r>
          </w:p>
          <w:p w14:paraId="58016A29">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 音频支持：支持双音轨输入，可同时或分别播放左右声道；音频与视频同步存储，支持回放时音画同步。</w:t>
            </w:r>
          </w:p>
          <w:p w14:paraId="3D396B15">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w:t>
            </w:r>
            <w:r>
              <w:rPr>
                <w:rFonts w:hint="eastAsia" w:ascii="宋体" w:hAnsi="宋体" w:eastAsia="宋体" w:cs="宋体"/>
                <w:color w:val="auto"/>
                <w:sz w:val="21"/>
                <w:szCs w:val="21"/>
                <w:highlight w:val="none"/>
                <w:lang w:val="en-US" w:eastAsia="zh-CN"/>
              </w:rPr>
              <w:t>四、数据保护与可靠性（本部分每一条参数均要</w:t>
            </w:r>
            <w:r>
              <w:rPr>
                <w:rFonts w:hint="eastAsia" w:ascii="宋体" w:hAnsi="宋体" w:eastAsia="宋体" w:cs="宋体"/>
                <w:b/>
                <w:bCs/>
                <w:color w:val="auto"/>
                <w:kern w:val="0"/>
                <w:sz w:val="21"/>
                <w:szCs w:val="21"/>
                <w:highlight w:val="none"/>
                <w:lang w:val="en-US" w:eastAsia="zh-CN" w:bidi="ar"/>
              </w:rPr>
              <w:t>提供原厂公开技术文档（白皮书、彩页、官网规格页截图及链接地址均可）</w:t>
            </w:r>
            <w:r>
              <w:rPr>
                <w:rFonts w:hint="eastAsia" w:ascii="宋体" w:hAnsi="宋体" w:eastAsia="宋体" w:cs="宋体"/>
                <w:color w:val="auto"/>
                <w:sz w:val="21"/>
                <w:szCs w:val="21"/>
                <w:highlight w:val="none"/>
                <w:lang w:val="en-US" w:eastAsia="zh-CN"/>
              </w:rPr>
              <w:t>。</w:t>
            </w:r>
          </w:p>
          <w:p w14:paraId="3BB3C8A0">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 RAID 与热备：支持 RAID 0/1/3/5/6/10/50/60 及 JBOD 模式；支持 全局热备盘（Global Hot Spare）与局部热备盘（Dedicated Hot Spare），故障硬盘自动重建。</w:t>
            </w:r>
          </w:p>
          <w:p w14:paraId="0D8E1C8F">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 数据可靠性技术：支持 纠删码（Erasure Coding）或同等数据冗余技术，在多盘故障场景下仍可保障数据可恢复性（适用于高可靠部署）。</w:t>
            </w:r>
          </w:p>
          <w:p w14:paraId="546BA93E">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 硬件与系统监控告警：设备应能对以下异常事件主动告警（至少支持平台推送）：IP/MAC 地址冲突；网口速率降级（如千兆降至百兆）；电源、风扇、电池故障；无硬盘、RAID 异常、存储空间满；录像丢帧、SSD 健康度预警；无热备盘、网络安全异常（如非法登录锁定）。</w:t>
            </w:r>
          </w:p>
          <w:p w14:paraId="618A9913">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五、硬件平台</w:t>
            </w:r>
          </w:p>
          <w:p w14:paraId="073AF52D">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 计算平台：配置 64 位多核处理器；内存容量 ≥ 8 GB；系统运行于嵌入式 Linux 或国产化操作系统。</w:t>
            </w:r>
          </w:p>
          <w:p w14:paraId="7A2E2A19">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六、合规与认证</w:t>
            </w:r>
          </w:p>
          <w:p w14:paraId="79BD1E91">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 强制性认证：所投设备须具备以下有效期CCC 证书清晰扫描件和节能认证证书扫描件。</w:t>
            </w:r>
          </w:p>
          <w:p w14:paraId="56115295">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宋体" w:hAnsi="宋体" w:eastAsia="宋体" w:cs="宋体"/>
                <w:b/>
                <w:bCs/>
                <w:i w:val="0"/>
                <w:iCs w:val="0"/>
                <w:color w:val="auto"/>
                <w:kern w:val="0"/>
                <w:sz w:val="21"/>
                <w:szCs w:val="21"/>
                <w:highlight w:val="none"/>
                <w:u w:val="none"/>
                <w:lang w:val="en-US" w:eastAsia="zh-CN" w:bidi="ar"/>
              </w:rPr>
              <w:t>★</w:t>
            </w:r>
            <w:r>
              <w:rPr>
                <w:rFonts w:hint="eastAsia" w:ascii="宋体" w:hAnsi="宋体" w:eastAsia="宋体" w:cs="宋体"/>
                <w:color w:val="auto"/>
                <w:kern w:val="0"/>
                <w:sz w:val="21"/>
                <w:szCs w:val="21"/>
                <w:highlight w:val="none"/>
                <w:lang w:val="en-US" w:eastAsia="zh-CN" w:bidi="ar"/>
              </w:rPr>
              <w:t>13</w:t>
            </w:r>
            <w:r>
              <w:rPr>
                <w:rFonts w:hint="eastAsia" w:ascii="宋体" w:hAnsi="宋体" w:eastAsia="宋体" w:cs="宋体"/>
                <w:color w:val="auto"/>
                <w:kern w:val="0"/>
                <w:sz w:val="21"/>
                <w:szCs w:val="21"/>
                <w:highlight w:val="none"/>
                <w:lang w:bidi="ar"/>
              </w:rPr>
              <w:t>、支持Onvif、RTSP协议接入，支持国标GB28181接入 。</w:t>
            </w:r>
            <w:r>
              <w:rPr>
                <w:rFonts w:hint="eastAsia" w:ascii="宋体" w:hAnsi="宋体" w:eastAsia="宋体" w:cs="宋体"/>
                <w:b/>
                <w:bCs/>
                <w:color w:val="auto"/>
                <w:kern w:val="0"/>
                <w:sz w:val="21"/>
                <w:szCs w:val="21"/>
                <w:highlight w:val="none"/>
                <w:lang w:val="en-US" w:eastAsia="zh-CN" w:bidi="ar"/>
              </w:rPr>
              <w:t>提供原厂公开技术文档（白皮书、彩页、官网规格页截图及链接地址均可）。</w:t>
            </w:r>
          </w:p>
        </w:tc>
      </w:tr>
      <w:tr w14:paraId="5AD499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77" w:type="dxa"/>
            <w:tcBorders>
              <w:top w:val="nil"/>
              <w:left w:val="single" w:color="000000" w:sz="4" w:space="0"/>
              <w:bottom w:val="single" w:color="000000" w:sz="4" w:space="0"/>
              <w:right w:val="single" w:color="000000" w:sz="4" w:space="0"/>
            </w:tcBorders>
            <w:shd w:val="clear" w:color="auto" w:fill="auto"/>
            <w:noWrap/>
            <w:vAlign w:val="center"/>
          </w:tcPr>
          <w:p w14:paraId="6866B099">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10</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04F63">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8T企业硬盘</w:t>
            </w:r>
          </w:p>
        </w:tc>
        <w:tc>
          <w:tcPr>
            <w:tcW w:w="7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0486A">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宋体" w:hAnsi="宋体" w:eastAsia="宋体" w:cs="宋体"/>
                <w:i w:val="0"/>
                <w:iCs w:val="0"/>
                <w:color w:val="auto"/>
                <w:kern w:val="0"/>
                <w:sz w:val="21"/>
                <w:szCs w:val="21"/>
                <w:highlight w:val="none"/>
                <w:u w:val="none"/>
                <w:lang w:val="en-US" w:eastAsia="zh-CN" w:bidi="ar"/>
              </w:rPr>
              <w:t>企业级硬盘8TB；7200RPM；256M；SATA。</w:t>
            </w:r>
          </w:p>
        </w:tc>
      </w:tr>
    </w:tbl>
    <w:p w14:paraId="7627A80A"/>
    <w:p w14:paraId="06908B03">
      <w:pPr>
        <w:pStyle w:val="97"/>
        <w:numPr>
          <w:ilvl w:val="0"/>
          <w:numId w:val="0"/>
        </w:numPr>
        <w:spacing w:line="360" w:lineRule="auto"/>
        <w:ind w:leftChars="0"/>
        <w:contextualSpacing/>
        <w:rPr>
          <w:rFonts w:ascii="Times New Roman" w:hAnsi="Times New Roman"/>
          <w:b/>
          <w:sz w:val="24"/>
          <w:szCs w:val="24"/>
        </w:rPr>
      </w:pPr>
    </w:p>
    <w:p w14:paraId="5A257B37">
      <w:pPr>
        <w:pStyle w:val="17"/>
        <w:rPr>
          <w:b/>
          <w:color w:val="auto"/>
          <w:highlight w:val="none"/>
        </w:rPr>
      </w:pPr>
      <w:r>
        <w:rPr>
          <w:b/>
          <w:color w:val="auto"/>
          <w:highlight w:val="none"/>
        </w:rPr>
        <w:t>说明：各</w:t>
      </w:r>
      <w:r>
        <w:rPr>
          <w:rFonts w:hint="eastAsia"/>
          <w:b/>
          <w:color w:val="auto"/>
          <w:highlight w:val="none"/>
          <w:lang w:val="en-US" w:eastAsia="zh-CN"/>
        </w:rPr>
        <w:t>采购单位的</w:t>
      </w:r>
      <w:r>
        <w:rPr>
          <w:b/>
          <w:color w:val="auto"/>
          <w:highlight w:val="none"/>
        </w:rPr>
        <w:t>系统CAD建筑图与采购单位联系人联系获取。在施工过程中如果涉及到装饰的拆除与修复，一切费用由中标方负责。</w:t>
      </w:r>
    </w:p>
    <w:p w14:paraId="55F33DBB">
      <w:pPr>
        <w:pStyle w:val="4"/>
        <w:numPr>
          <w:ilvl w:val="0"/>
          <w:numId w:val="69"/>
        </w:numPr>
        <w:ind w:left="0" w:leftChars="0" w:firstLine="0" w:firstLineChars="0"/>
        <w:rPr>
          <w:b w:val="0"/>
          <w:color w:val="auto"/>
        </w:rPr>
      </w:pPr>
      <w:r>
        <w:rPr>
          <w:color w:val="auto"/>
        </w:rPr>
        <w:t>验收标准</w:t>
      </w:r>
    </w:p>
    <w:p w14:paraId="513C93F4">
      <w:pPr>
        <w:pStyle w:val="17"/>
        <w:widowControl/>
        <w:rPr>
          <w:b w:val="0"/>
          <w:bCs w:val="0"/>
          <w:color w:val="auto"/>
          <w:highlight w:val="none"/>
        </w:rPr>
      </w:pPr>
      <w:r>
        <w:rPr>
          <w:b w:val="0"/>
          <w:bCs w:val="0"/>
          <w:color w:val="auto"/>
          <w:highlight w:val="none"/>
        </w:rPr>
        <w:t>严格按照关于印发《江苏省政府采购履约验收管理办法》的通知（苏财规〔2024〕7号）进行验收。必要时委托依法取得检测、认证资质的机构进行检测、认证，对于供应商未按合同约定履约的，采购人依法追究其违约责任。</w:t>
      </w:r>
    </w:p>
    <w:p w14:paraId="5048A3A8">
      <w:pPr>
        <w:pStyle w:val="4"/>
        <w:numPr>
          <w:ilvl w:val="0"/>
          <w:numId w:val="69"/>
        </w:numPr>
        <w:ind w:left="0" w:leftChars="0" w:firstLine="0" w:firstLineChars="0"/>
        <w:rPr>
          <w:b w:val="0"/>
          <w:color w:val="auto"/>
        </w:rPr>
      </w:pPr>
      <w:r>
        <w:rPr>
          <w:color w:val="auto"/>
        </w:rPr>
        <w:t xml:space="preserve">实质性要求  </w:t>
      </w:r>
    </w:p>
    <w:p w14:paraId="14580508">
      <w:pPr>
        <w:pStyle w:val="6"/>
        <w:numPr>
          <w:ilvl w:val="0"/>
          <w:numId w:val="73"/>
        </w:numPr>
        <w:topLinePunct w:val="0"/>
        <w:ind w:left="0" w:leftChars="0" w:firstLine="0" w:firstLineChars="0"/>
        <w:rPr>
          <w:b w:val="0"/>
        </w:rPr>
      </w:pPr>
      <w:r>
        <w:rPr>
          <w:rFonts w:hint="eastAsia"/>
          <w:b w:val="0"/>
          <w:lang w:val="en-US" w:eastAsia="zh-CN"/>
        </w:rPr>
        <w:t>常州市第二十四中学</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737"/>
        <w:gridCol w:w="1438"/>
        <w:gridCol w:w="2800"/>
        <w:gridCol w:w="3804"/>
      </w:tblGrid>
      <w:tr w14:paraId="6A87F4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37" w:type="dxa"/>
            <w:tcBorders>
              <w:tl2br w:val="nil"/>
              <w:tr2bl w:val="nil"/>
            </w:tcBorders>
            <w:shd w:val="clear" w:color="auto" w:fill="auto"/>
            <w:vAlign w:val="center"/>
          </w:tcPr>
          <w:p w14:paraId="00EC152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b/>
                <w:bCs/>
                <w:i w:val="0"/>
                <w:iCs w:val="0"/>
                <w:color w:val="auto"/>
                <w:kern w:val="0"/>
                <w:sz w:val="21"/>
                <w:szCs w:val="21"/>
                <w:u w:val="none"/>
                <w:lang w:val="en-US" w:eastAsia="zh-CN" w:bidi="ar"/>
              </w:rPr>
              <w:t>设备序号</w:t>
            </w:r>
          </w:p>
        </w:tc>
        <w:tc>
          <w:tcPr>
            <w:tcW w:w="1438" w:type="dxa"/>
            <w:tcBorders>
              <w:tl2br w:val="nil"/>
              <w:tr2bl w:val="nil"/>
            </w:tcBorders>
            <w:shd w:val="clear" w:color="auto" w:fill="auto"/>
            <w:vAlign w:val="center"/>
          </w:tcPr>
          <w:p w14:paraId="7D44FA3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sz w:val="21"/>
                <w:szCs w:val="21"/>
                <w:u w:val="none"/>
                <w:lang w:val="en-US"/>
              </w:rPr>
            </w:pPr>
            <w:r>
              <w:rPr>
                <w:rFonts w:hint="eastAsia" w:asciiTheme="minorEastAsia" w:hAnsiTheme="minorEastAsia" w:eastAsiaTheme="minorEastAsia" w:cstheme="minorEastAsia"/>
                <w:b/>
                <w:bCs/>
                <w:i w:val="0"/>
                <w:iCs w:val="0"/>
                <w:color w:val="auto"/>
                <w:kern w:val="0"/>
                <w:sz w:val="21"/>
                <w:szCs w:val="21"/>
                <w:u w:val="none"/>
                <w:lang w:val="en-US" w:eastAsia="zh-CN" w:bidi="ar"/>
              </w:rPr>
              <w:t>设备名称</w:t>
            </w:r>
          </w:p>
        </w:tc>
        <w:tc>
          <w:tcPr>
            <w:tcW w:w="2800" w:type="dxa"/>
            <w:tcBorders>
              <w:tl2br w:val="nil"/>
              <w:tr2bl w:val="nil"/>
            </w:tcBorders>
            <w:shd w:val="clear" w:color="auto" w:fill="auto"/>
            <w:vAlign w:val="center"/>
          </w:tcPr>
          <w:p w14:paraId="2A0CABA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sz w:val="21"/>
                <w:szCs w:val="21"/>
                <w:u w:val="none"/>
                <w:lang w:val="en-US"/>
              </w:rPr>
            </w:pPr>
            <w:r>
              <w:rPr>
                <w:rFonts w:hint="eastAsia" w:asciiTheme="minorEastAsia" w:hAnsiTheme="minorEastAsia" w:eastAsiaTheme="minorEastAsia" w:cstheme="minorEastAsia"/>
                <w:b/>
                <w:bCs/>
                <w:i w:val="0"/>
                <w:iCs w:val="0"/>
                <w:color w:val="auto"/>
                <w:kern w:val="0"/>
                <w:sz w:val="21"/>
                <w:szCs w:val="21"/>
                <w:u w:val="none"/>
                <w:lang w:val="en-US" w:eastAsia="zh-CN" w:bidi="ar"/>
              </w:rPr>
              <w:t>技术参数或要求</w:t>
            </w:r>
          </w:p>
        </w:tc>
        <w:tc>
          <w:tcPr>
            <w:tcW w:w="3804" w:type="dxa"/>
            <w:tcBorders>
              <w:tl2br w:val="nil"/>
              <w:tr2bl w:val="nil"/>
            </w:tcBorders>
            <w:shd w:val="clear" w:color="auto" w:fill="auto"/>
            <w:vAlign w:val="center"/>
          </w:tcPr>
          <w:p w14:paraId="42084C7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sz w:val="21"/>
                <w:szCs w:val="21"/>
                <w:u w:val="none"/>
                <w:lang w:val="en-US"/>
              </w:rPr>
            </w:pPr>
            <w:r>
              <w:rPr>
                <w:rFonts w:hint="eastAsia" w:asciiTheme="minorEastAsia" w:hAnsiTheme="minorEastAsia" w:eastAsiaTheme="minorEastAsia" w:cstheme="minorEastAsia"/>
                <w:b/>
                <w:bCs/>
                <w:i w:val="0"/>
                <w:iCs w:val="0"/>
                <w:color w:val="auto"/>
                <w:kern w:val="0"/>
                <w:sz w:val="21"/>
                <w:szCs w:val="21"/>
                <w:u w:val="none"/>
                <w:lang w:val="en-US" w:eastAsia="zh-CN" w:bidi="ar"/>
              </w:rPr>
              <w:t>证明材料</w:t>
            </w:r>
          </w:p>
        </w:tc>
      </w:tr>
      <w:tr w14:paraId="40BB2E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restart"/>
            <w:tcBorders>
              <w:tl2br w:val="nil"/>
              <w:tr2bl w:val="nil"/>
            </w:tcBorders>
            <w:shd w:val="clear" w:color="auto" w:fill="auto"/>
            <w:vAlign w:val="center"/>
          </w:tcPr>
          <w:p w14:paraId="57E8405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heme="minorEastAsia" w:hAnsiTheme="minorEastAsia" w:eastAsiaTheme="minorEastAsia" w:cstheme="minorEastAsia"/>
                <w:b/>
                <w:bCs/>
                <w:i w:val="0"/>
                <w:iCs w:val="0"/>
                <w:color w:val="auto"/>
                <w:kern w:val="0"/>
                <w:sz w:val="21"/>
                <w:szCs w:val="21"/>
                <w:u w:val="none"/>
                <w:lang w:val="en-US" w:eastAsia="zh-CN" w:bidi="ar"/>
              </w:rPr>
            </w:pPr>
            <w:r>
              <w:rPr>
                <w:rFonts w:hint="eastAsia" w:asciiTheme="minorEastAsia" w:hAnsiTheme="minorEastAsia" w:eastAsiaTheme="minorEastAsia" w:cstheme="minorEastAsia"/>
                <w:b/>
                <w:bCs/>
                <w:i w:val="0"/>
                <w:iCs w:val="0"/>
                <w:color w:val="auto"/>
                <w:kern w:val="0"/>
                <w:sz w:val="21"/>
                <w:szCs w:val="21"/>
                <w:u w:val="none"/>
                <w:lang w:val="en-US" w:eastAsia="zh-CN" w:bidi="ar"/>
              </w:rPr>
              <w:t>1</w:t>
            </w:r>
          </w:p>
        </w:tc>
        <w:tc>
          <w:tcPr>
            <w:tcW w:w="1438" w:type="dxa"/>
            <w:vMerge w:val="restart"/>
            <w:tcBorders>
              <w:tl2br w:val="nil"/>
              <w:tr2bl w:val="nil"/>
            </w:tcBorders>
            <w:shd w:val="clear" w:color="auto" w:fill="auto"/>
            <w:vAlign w:val="center"/>
          </w:tcPr>
          <w:p w14:paraId="1E459F36">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半球型摄像机</w:t>
            </w:r>
          </w:p>
        </w:tc>
        <w:tc>
          <w:tcPr>
            <w:tcW w:w="2800" w:type="dxa"/>
            <w:tcBorders>
              <w:tl2br w:val="nil"/>
              <w:tr2bl w:val="nil"/>
            </w:tcBorders>
            <w:shd w:val="clear" w:color="auto" w:fill="auto"/>
            <w:vAlign w:val="center"/>
          </w:tcPr>
          <w:p w14:paraId="51060F56">
            <w:pPr>
              <w:keepNext w:val="0"/>
              <w:keepLines w:val="0"/>
              <w:pageBreakBefore w:val="0"/>
              <w:widowControl/>
              <w:numPr>
                <w:ilvl w:val="0"/>
                <w:numId w:val="0"/>
              </w:numPr>
              <w:kinsoku/>
              <w:wordWrap/>
              <w:overflowPunct/>
              <w:topLinePunct w:val="0"/>
              <w:autoSpaceDE/>
              <w:autoSpaceDN/>
              <w:bidi w:val="0"/>
              <w:adjustRightInd/>
              <w:snapToGrid/>
              <w:spacing w:line="400" w:lineRule="exact"/>
              <w:ind w:left="0"/>
              <w:jc w:val="left"/>
              <w:textAlignment w:val="auto"/>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color w:val="auto"/>
                <w:kern w:val="0"/>
                <w:sz w:val="21"/>
                <w:szCs w:val="21"/>
                <w:highlight w:val="none"/>
              </w:rPr>
              <w:t>★</w:t>
            </w:r>
            <w:r>
              <w:rPr>
                <w:rFonts w:hint="eastAsia" w:ascii="宋体" w:hAnsi="宋体" w:eastAsia="宋体" w:cs="宋体"/>
                <w:b w:val="0"/>
                <w:bCs w:val="0"/>
                <w:color w:val="auto"/>
                <w:kern w:val="0"/>
                <w:sz w:val="21"/>
                <w:szCs w:val="21"/>
                <w:highlight w:val="none"/>
                <w:lang w:val="en-US" w:eastAsia="zh-CN"/>
              </w:rPr>
              <w:t>2.</w:t>
            </w:r>
            <w:r>
              <w:rPr>
                <w:rFonts w:hint="eastAsia" w:ascii="宋体" w:hAnsi="宋体" w:eastAsia="宋体" w:cs="宋体"/>
                <w:b w:val="0"/>
                <w:bCs w:val="0"/>
                <w:i w:val="0"/>
                <w:iCs w:val="0"/>
                <w:color w:val="auto"/>
                <w:kern w:val="0"/>
                <w:sz w:val="21"/>
                <w:szCs w:val="21"/>
                <w:highlight w:val="none"/>
                <w:u w:val="none"/>
                <w:lang w:val="en-US" w:eastAsia="zh-CN" w:bidi="ar"/>
              </w:rPr>
              <w:t>像素≥400万或最大分辨率≥2560×1440。</w:t>
            </w:r>
          </w:p>
        </w:tc>
        <w:tc>
          <w:tcPr>
            <w:tcW w:w="3804" w:type="dxa"/>
            <w:tcBorders>
              <w:tl2br w:val="nil"/>
              <w:tr2bl w:val="nil"/>
            </w:tcBorders>
            <w:shd w:val="clear" w:color="auto" w:fill="auto"/>
            <w:vAlign w:val="center"/>
          </w:tcPr>
          <w:p w14:paraId="6130DB8C">
            <w:pPr>
              <w:keepNext w:val="0"/>
              <w:keepLines w:val="0"/>
              <w:pageBreakBefore w:val="0"/>
              <w:widowControl/>
              <w:numPr>
                <w:ilvl w:val="0"/>
                <w:numId w:val="0"/>
              </w:numPr>
              <w:kinsoku/>
              <w:wordWrap/>
              <w:overflowPunct/>
              <w:topLinePunct w:val="0"/>
              <w:autoSpaceDE/>
              <w:autoSpaceDN/>
              <w:bidi w:val="0"/>
              <w:adjustRightInd/>
              <w:snapToGrid/>
              <w:spacing w:line="400" w:lineRule="exact"/>
              <w:ind w:left="0"/>
              <w:jc w:val="left"/>
              <w:textAlignment w:val="auto"/>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提供所投产品的检测报告原件关键页扫描件（依据标准GA/T 1127-2013等现行国家标准）。</w:t>
            </w:r>
          </w:p>
        </w:tc>
      </w:tr>
      <w:tr w14:paraId="40C6F6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1FF168C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0268FB6F">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38DF7565">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color w:val="auto"/>
                <w:kern w:val="0"/>
                <w:sz w:val="21"/>
                <w:szCs w:val="21"/>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★3.具备H.265、H.264、MJPEG视频编码格式，音频编码：G.711、AAC。</w:t>
            </w:r>
          </w:p>
        </w:tc>
        <w:tc>
          <w:tcPr>
            <w:tcW w:w="3804" w:type="dxa"/>
            <w:tcBorders>
              <w:tl2br w:val="nil"/>
              <w:tr2bl w:val="nil"/>
            </w:tcBorders>
            <w:shd w:val="clear" w:color="auto" w:fill="auto"/>
            <w:vAlign w:val="center"/>
          </w:tcPr>
          <w:p w14:paraId="5A30388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cs="宋体"/>
                <w:color w:val="auto"/>
                <w:kern w:val="0"/>
                <w:sz w:val="21"/>
                <w:szCs w:val="21"/>
                <w:highlight w:val="none"/>
                <w:lang w:val="en-US" w:eastAsia="zh-CN"/>
              </w:rPr>
            </w:pPr>
            <w:r>
              <w:rPr>
                <w:rFonts w:hint="eastAsia" w:ascii="宋体" w:hAnsi="宋体" w:eastAsia="宋体" w:cs="宋体"/>
                <w:b w:val="0"/>
                <w:bCs w:val="0"/>
                <w:i w:val="0"/>
                <w:iCs w:val="0"/>
                <w:color w:val="auto"/>
                <w:kern w:val="0"/>
                <w:sz w:val="21"/>
                <w:szCs w:val="21"/>
                <w:highlight w:val="none"/>
                <w:u w:val="none"/>
                <w:lang w:val="en-US" w:eastAsia="zh-CN" w:bidi="ar"/>
              </w:rPr>
              <w:t>提供原厂公开技术文档（白皮书、彩页、官网规格页截图及链接地址）。</w:t>
            </w:r>
          </w:p>
        </w:tc>
      </w:tr>
      <w:tr w14:paraId="1116A6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3A795AD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23653633">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4823F0EE">
            <w:pPr>
              <w:keepNext w:val="0"/>
              <w:keepLines w:val="0"/>
              <w:pageBreakBefore w:val="0"/>
              <w:numPr>
                <w:ilvl w:val="0"/>
                <w:numId w:val="0"/>
              </w:numPr>
              <w:kinsoku/>
              <w:wordWrap/>
              <w:overflowPunct/>
              <w:topLinePunct w:val="0"/>
              <w:autoSpaceDE/>
              <w:autoSpaceDN/>
              <w:bidi w:val="0"/>
              <w:adjustRightInd/>
              <w:snapToGrid/>
              <w:spacing w:line="400" w:lineRule="exact"/>
              <w:rPr>
                <w:rFonts w:hint="eastAsia" w:ascii="宋体" w:hAnsi="宋体" w:cs="宋体"/>
                <w:i w:val="0"/>
                <w:iCs w:val="0"/>
                <w:color w:val="auto"/>
                <w:kern w:val="0"/>
                <w:sz w:val="21"/>
                <w:szCs w:val="21"/>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★4.具备最低照度彩色不劣于0.005Lux，黑白不劣于0.0005Lux。</w:t>
            </w:r>
          </w:p>
        </w:tc>
        <w:tc>
          <w:tcPr>
            <w:tcW w:w="3804" w:type="dxa"/>
            <w:tcBorders>
              <w:tl2br w:val="nil"/>
              <w:tr2bl w:val="nil"/>
            </w:tcBorders>
            <w:shd w:val="clear" w:color="auto" w:fill="auto"/>
            <w:vAlign w:val="center"/>
          </w:tcPr>
          <w:p w14:paraId="34D0234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cs="宋体"/>
                <w:color w:val="auto"/>
                <w:kern w:val="0"/>
                <w:sz w:val="21"/>
                <w:szCs w:val="21"/>
                <w:highlight w:val="none"/>
                <w:lang w:val="en-US" w:eastAsia="zh-CN"/>
              </w:rPr>
            </w:pPr>
            <w:r>
              <w:rPr>
                <w:rFonts w:hint="eastAsia" w:ascii="宋体" w:hAnsi="宋体" w:eastAsia="宋体" w:cs="宋体"/>
                <w:b w:val="0"/>
                <w:bCs w:val="0"/>
                <w:i w:val="0"/>
                <w:iCs w:val="0"/>
                <w:color w:val="auto"/>
                <w:sz w:val="21"/>
                <w:szCs w:val="21"/>
                <w:highlight w:val="none"/>
                <w:u w:val="none"/>
                <w:lang w:val="en-US" w:eastAsia="zh-CN" w:bidi="ar"/>
              </w:rPr>
              <w:t>提供第三方机构出具的具有CMA标志的检测报告（依据标准</w:t>
            </w:r>
            <w:r>
              <w:rPr>
                <w:rFonts w:hint="eastAsia" w:ascii="宋体" w:hAnsi="宋体" w:eastAsia="宋体" w:cs="宋体"/>
                <w:b w:val="0"/>
                <w:bCs w:val="0"/>
                <w:i w:val="0"/>
                <w:iCs w:val="0"/>
                <w:color w:val="auto"/>
                <w:kern w:val="0"/>
                <w:sz w:val="21"/>
                <w:szCs w:val="21"/>
                <w:highlight w:val="none"/>
                <w:u w:val="none"/>
                <w:lang w:val="en-US" w:eastAsia="zh-CN" w:bidi="ar"/>
              </w:rPr>
              <w:t>GA/T 1127-2013或</w:t>
            </w:r>
            <w:r>
              <w:rPr>
                <w:rFonts w:hint="eastAsia" w:ascii="宋体" w:hAnsi="宋体" w:eastAsia="宋体" w:cs="宋体"/>
                <w:b w:val="0"/>
                <w:bCs w:val="0"/>
                <w:i w:val="0"/>
                <w:iCs w:val="0"/>
                <w:color w:val="auto"/>
                <w:sz w:val="21"/>
                <w:szCs w:val="21"/>
                <w:highlight w:val="none"/>
                <w:u w:val="none"/>
                <w:lang w:val="en-US" w:eastAsia="zh-CN" w:bidi="ar"/>
              </w:rPr>
              <w:t>GB 16796-2022</w:t>
            </w:r>
            <w:r>
              <w:rPr>
                <w:rFonts w:hint="eastAsia" w:ascii="宋体" w:hAnsi="宋体" w:eastAsia="宋体" w:cs="宋体"/>
                <w:b w:val="0"/>
                <w:bCs w:val="0"/>
                <w:color w:val="auto"/>
                <w:sz w:val="21"/>
                <w:szCs w:val="21"/>
                <w:highlight w:val="none"/>
                <w:u w:val="none"/>
                <w:lang w:bidi="ar"/>
              </w:rPr>
              <w:t>或GB/T 15211-2013</w:t>
            </w:r>
            <w:r>
              <w:rPr>
                <w:rFonts w:hint="eastAsia" w:ascii="宋体" w:hAnsi="宋体" w:eastAsia="宋体" w:cs="宋体"/>
                <w:b w:val="0"/>
                <w:bCs w:val="0"/>
                <w:i w:val="0"/>
                <w:iCs w:val="0"/>
                <w:color w:val="auto"/>
                <w:sz w:val="21"/>
                <w:szCs w:val="21"/>
                <w:highlight w:val="none"/>
                <w:u w:val="none"/>
                <w:lang w:val="en-US" w:eastAsia="zh-CN" w:bidi="ar"/>
              </w:rPr>
              <w:t>等现行国家标准）</w:t>
            </w:r>
            <w:r>
              <w:rPr>
                <w:rFonts w:hint="eastAsia" w:ascii="宋体" w:hAnsi="宋体" w:eastAsia="宋体" w:cs="宋体"/>
                <w:b w:val="0"/>
                <w:bCs w:val="0"/>
                <w:color w:val="auto"/>
                <w:sz w:val="21"/>
                <w:szCs w:val="21"/>
                <w:highlight w:val="none"/>
                <w:u w:val="none"/>
                <w:lang w:val="en-US" w:eastAsia="zh-CN" w:bidi="ar"/>
              </w:rPr>
              <w:t>。</w:t>
            </w:r>
          </w:p>
        </w:tc>
      </w:tr>
      <w:tr w14:paraId="70CC75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3F1B647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4EC4573F">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3C29EE88">
            <w:pPr>
              <w:keepNext w:val="0"/>
              <w:keepLines w:val="0"/>
              <w:pageBreakBefore w:val="0"/>
              <w:widowControl/>
              <w:numPr>
                <w:ilvl w:val="0"/>
                <w:numId w:val="0"/>
              </w:numPr>
              <w:kinsoku/>
              <w:wordWrap/>
              <w:overflowPunct/>
              <w:topLinePunct w:val="0"/>
              <w:autoSpaceDE/>
              <w:autoSpaceDN/>
              <w:bidi w:val="0"/>
              <w:adjustRightInd/>
              <w:snapToGrid/>
              <w:spacing w:line="400" w:lineRule="exact"/>
              <w:ind w:left="0"/>
              <w:jc w:val="left"/>
              <w:textAlignment w:val="auto"/>
              <w:rPr>
                <w:rFonts w:hint="eastAsia" w:ascii="宋体" w:hAnsi="宋体" w:cs="宋体"/>
                <w:i w:val="0"/>
                <w:iCs w:val="0"/>
                <w:color w:val="auto"/>
                <w:kern w:val="0"/>
                <w:sz w:val="21"/>
                <w:szCs w:val="21"/>
                <w:u w:val="none"/>
                <w:lang w:val="en-US" w:eastAsia="zh-CN" w:bidi="ar"/>
              </w:rPr>
            </w:pPr>
            <w:r>
              <w:rPr>
                <w:rFonts w:hint="eastAsia" w:ascii="宋体" w:hAnsi="宋体" w:eastAsia="宋体" w:cs="宋体"/>
                <w:b w:val="0"/>
                <w:bCs w:val="0"/>
                <w:color w:val="auto"/>
                <w:kern w:val="0"/>
                <w:sz w:val="21"/>
                <w:szCs w:val="21"/>
                <w:highlight w:val="none"/>
              </w:rPr>
              <w:t>★</w:t>
            </w:r>
            <w:r>
              <w:rPr>
                <w:rFonts w:hint="eastAsia" w:ascii="宋体" w:hAnsi="宋体" w:eastAsia="宋体" w:cs="宋体"/>
                <w:b w:val="0"/>
                <w:bCs w:val="0"/>
                <w:color w:val="auto"/>
                <w:kern w:val="0"/>
                <w:sz w:val="21"/>
                <w:szCs w:val="21"/>
                <w:highlight w:val="none"/>
                <w:lang w:val="en-US" w:eastAsia="zh-CN"/>
              </w:rPr>
              <w:t>6.</w:t>
            </w:r>
            <w:r>
              <w:rPr>
                <w:rFonts w:hint="eastAsia" w:ascii="宋体" w:hAnsi="宋体" w:eastAsia="宋体" w:cs="宋体"/>
                <w:i w:val="0"/>
                <w:iCs w:val="0"/>
                <w:color w:val="auto"/>
                <w:kern w:val="0"/>
                <w:sz w:val="21"/>
                <w:szCs w:val="21"/>
                <w:highlight w:val="none"/>
                <w:u w:val="none"/>
                <w:lang w:val="en-US" w:eastAsia="zh-CN" w:bidi="ar"/>
              </w:rPr>
              <w:t>支持物品遗留；物品搬移</w:t>
            </w:r>
            <w:r>
              <w:rPr>
                <w:rFonts w:hint="eastAsia" w:ascii="宋体" w:hAnsi="宋体" w:eastAsia="宋体" w:cs="宋体"/>
                <w:b w:val="0"/>
                <w:bCs w:val="0"/>
                <w:color w:val="auto"/>
                <w:kern w:val="0"/>
                <w:sz w:val="21"/>
                <w:szCs w:val="21"/>
                <w:highlight w:val="none"/>
              </w:rPr>
              <w:t>。</w:t>
            </w:r>
          </w:p>
        </w:tc>
        <w:tc>
          <w:tcPr>
            <w:tcW w:w="3804" w:type="dxa"/>
            <w:tcBorders>
              <w:tl2br w:val="nil"/>
              <w:tr2bl w:val="nil"/>
            </w:tcBorders>
            <w:shd w:val="clear" w:color="auto" w:fill="auto"/>
            <w:vAlign w:val="center"/>
          </w:tcPr>
          <w:p w14:paraId="7524C38B">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cs="宋体"/>
                <w:b w:val="0"/>
                <w:bCs w:val="0"/>
                <w:color w:val="auto"/>
                <w:kern w:val="0"/>
                <w:sz w:val="21"/>
                <w:szCs w:val="21"/>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提供原厂公开技术文档（白皮书、彩页、官网规格页截图及链接地址）</w:t>
            </w:r>
          </w:p>
        </w:tc>
      </w:tr>
      <w:tr w14:paraId="16A761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51E7FD1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3173294A">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7D3B9608">
            <w:pPr>
              <w:keepNext w:val="0"/>
              <w:keepLines w:val="0"/>
              <w:pageBreakBefore w:val="0"/>
              <w:widowControl/>
              <w:numPr>
                <w:ilvl w:val="0"/>
                <w:numId w:val="0"/>
              </w:numPr>
              <w:kinsoku/>
              <w:wordWrap/>
              <w:overflowPunct/>
              <w:topLinePunct w:val="0"/>
              <w:autoSpaceDE/>
              <w:autoSpaceDN/>
              <w:bidi w:val="0"/>
              <w:adjustRightInd/>
              <w:snapToGrid/>
              <w:spacing w:line="400" w:lineRule="exact"/>
              <w:ind w:left="0"/>
              <w:jc w:val="left"/>
              <w:textAlignment w:val="auto"/>
              <w:rPr>
                <w:rFonts w:hint="eastAsia" w:ascii="宋体" w:hAnsi="宋体" w:cs="宋体"/>
                <w:i w:val="0"/>
                <w:iCs w:val="0"/>
                <w:color w:val="auto"/>
                <w:kern w:val="0"/>
                <w:sz w:val="21"/>
                <w:szCs w:val="21"/>
                <w:u w:val="none"/>
                <w:lang w:val="en-US" w:eastAsia="zh-CN" w:bidi="ar"/>
              </w:rPr>
            </w:pPr>
            <w:r>
              <w:rPr>
                <w:rFonts w:hint="eastAsia" w:ascii="宋体" w:hAnsi="宋体" w:eastAsia="宋体" w:cs="宋体"/>
                <w:b w:val="0"/>
                <w:bCs w:val="0"/>
                <w:color w:val="auto"/>
                <w:kern w:val="0"/>
                <w:sz w:val="21"/>
                <w:szCs w:val="21"/>
                <w:highlight w:val="none"/>
                <w:lang w:val="en-US" w:eastAsia="zh-CN"/>
              </w:rPr>
              <w:t>★8.内置MIC。</w:t>
            </w:r>
          </w:p>
        </w:tc>
        <w:tc>
          <w:tcPr>
            <w:tcW w:w="3804" w:type="dxa"/>
            <w:tcBorders>
              <w:tl2br w:val="nil"/>
              <w:tr2bl w:val="nil"/>
            </w:tcBorders>
            <w:shd w:val="clear" w:color="auto" w:fill="auto"/>
            <w:vAlign w:val="center"/>
          </w:tcPr>
          <w:p w14:paraId="02CA9E5A">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宋体" w:hAnsi="宋体" w:cs="宋体"/>
                <w:b/>
                <w:bCs/>
                <w:color w:val="auto"/>
                <w:kern w:val="0"/>
                <w:sz w:val="21"/>
                <w:szCs w:val="21"/>
                <w:lang w:val="en-US" w:eastAsia="zh-CN" w:bidi="ar"/>
              </w:rPr>
            </w:pPr>
            <w:r>
              <w:rPr>
                <w:rFonts w:hint="eastAsia" w:ascii="宋体" w:hAnsi="宋体" w:eastAsia="宋体" w:cs="宋体"/>
                <w:b w:val="0"/>
                <w:bCs w:val="0"/>
                <w:color w:val="auto"/>
                <w:kern w:val="0"/>
                <w:sz w:val="21"/>
                <w:szCs w:val="21"/>
                <w:highlight w:val="none"/>
                <w:lang w:val="en-US" w:eastAsia="zh-CN"/>
              </w:rPr>
              <w:t>提供承诺函或提供承诺函或提供原厂公开技术文档（白皮书、彩页、官网规格页截图及链接地址均可）。</w:t>
            </w:r>
          </w:p>
        </w:tc>
      </w:tr>
      <w:tr w14:paraId="235B67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4B77AE6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6DE7A2C9">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28665705">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b w:val="0"/>
                <w:bCs w:val="0"/>
                <w:color w:val="auto"/>
                <w:kern w:val="0"/>
                <w:sz w:val="21"/>
                <w:szCs w:val="21"/>
                <w:highlight w:val="none"/>
              </w:rPr>
              <w:t>★</w:t>
            </w:r>
            <w:r>
              <w:rPr>
                <w:rFonts w:hint="eastAsia" w:ascii="宋体" w:hAnsi="宋体" w:eastAsia="宋体" w:cs="宋体"/>
                <w:b w:val="0"/>
                <w:bCs w:val="0"/>
                <w:color w:val="auto"/>
                <w:kern w:val="0"/>
                <w:sz w:val="21"/>
                <w:szCs w:val="21"/>
                <w:highlight w:val="none"/>
                <w:lang w:val="en-US" w:eastAsia="zh-CN"/>
              </w:rPr>
              <w:t>12.</w:t>
            </w:r>
            <w:r>
              <w:rPr>
                <w:rFonts w:hint="eastAsia" w:ascii="宋体" w:hAnsi="宋体" w:eastAsia="宋体" w:cs="宋体"/>
                <w:b w:val="0"/>
                <w:bCs w:val="0"/>
                <w:color w:val="auto"/>
                <w:kern w:val="0"/>
                <w:sz w:val="21"/>
                <w:szCs w:val="21"/>
                <w:highlight w:val="none"/>
              </w:rPr>
              <w:t>具备POE供电功能。</w:t>
            </w:r>
          </w:p>
        </w:tc>
        <w:tc>
          <w:tcPr>
            <w:tcW w:w="3804" w:type="dxa"/>
            <w:tcBorders>
              <w:tl2br w:val="nil"/>
              <w:tr2bl w:val="nil"/>
            </w:tcBorders>
            <w:shd w:val="clear" w:color="auto" w:fill="auto"/>
            <w:vAlign w:val="center"/>
          </w:tcPr>
          <w:p w14:paraId="47FB38AB">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宋体" w:hAnsi="宋体" w:cs="宋体"/>
                <w:b/>
                <w:bCs/>
                <w:color w:val="auto"/>
                <w:kern w:val="0"/>
                <w:sz w:val="21"/>
                <w:szCs w:val="21"/>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提供原厂公开技术文档（白皮书、彩页、官网规格页截图及链接地址均可）。</w:t>
            </w:r>
          </w:p>
        </w:tc>
      </w:tr>
      <w:tr w14:paraId="53759C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01A38A0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43C4A922">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0FCF1071">
            <w:pPr>
              <w:pStyle w:val="15"/>
              <w:keepNext w:val="0"/>
              <w:keepLines w:val="0"/>
              <w:pageBreakBefore w:val="0"/>
              <w:kinsoku/>
              <w:wordWrap/>
              <w:overflowPunct/>
              <w:topLinePunct w:val="0"/>
              <w:autoSpaceDE/>
              <w:autoSpaceDN/>
              <w:bidi w:val="0"/>
              <w:adjustRightInd/>
              <w:snapToGrid/>
              <w:spacing w:line="400" w:lineRule="exact"/>
              <w:ind w:left="0"/>
              <w:rPr>
                <w:rFonts w:hint="eastAsia" w:ascii="宋体" w:hAnsi="宋体" w:cs="宋体"/>
                <w:b/>
                <w:bCs/>
                <w:color w:val="auto"/>
                <w:sz w:val="21"/>
                <w:szCs w:val="21"/>
                <w:highlight w:val="none"/>
              </w:rPr>
            </w:pPr>
            <w:r>
              <w:rPr>
                <w:rFonts w:hint="eastAsia" w:ascii="宋体" w:hAnsi="宋体" w:eastAsia="宋体" w:cs="宋体"/>
                <w:b w:val="0"/>
                <w:bCs w:val="0"/>
                <w:color w:val="auto"/>
                <w:sz w:val="21"/>
                <w:szCs w:val="21"/>
                <w:highlight w:val="none"/>
                <w:lang w:bidi="ar"/>
              </w:rPr>
              <w:t>★</w:t>
            </w:r>
            <w:r>
              <w:rPr>
                <w:rFonts w:hint="eastAsia" w:ascii="宋体" w:hAnsi="宋体" w:eastAsia="宋体" w:cs="宋体"/>
                <w:b w:val="0"/>
                <w:bCs w:val="0"/>
                <w:color w:val="auto"/>
                <w:sz w:val="21"/>
                <w:szCs w:val="21"/>
                <w:highlight w:val="none"/>
                <w:lang w:val="en-US" w:eastAsia="zh-CN" w:bidi="ar"/>
              </w:rPr>
              <w:t>13.</w:t>
            </w:r>
            <w:r>
              <w:rPr>
                <w:rFonts w:hint="eastAsia" w:ascii="宋体" w:hAnsi="宋体" w:eastAsia="宋体" w:cs="宋体"/>
                <w:b w:val="0"/>
                <w:bCs w:val="0"/>
                <w:i w:val="0"/>
                <w:iCs w:val="0"/>
                <w:color w:val="auto"/>
                <w:kern w:val="0"/>
                <w:sz w:val="21"/>
                <w:szCs w:val="21"/>
                <w:highlight w:val="none"/>
                <w:u w:val="none"/>
                <w:lang w:val="en-US" w:eastAsia="zh-CN" w:bidi="ar"/>
              </w:rPr>
              <w:t>提供SD或TF卡槽。</w:t>
            </w:r>
          </w:p>
        </w:tc>
        <w:tc>
          <w:tcPr>
            <w:tcW w:w="3804" w:type="dxa"/>
            <w:tcBorders>
              <w:tl2br w:val="nil"/>
              <w:tr2bl w:val="nil"/>
            </w:tcBorders>
            <w:shd w:val="clear" w:color="auto" w:fill="auto"/>
            <w:vAlign w:val="center"/>
          </w:tcPr>
          <w:p w14:paraId="0C60E868">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宋体" w:hAnsi="宋体" w:cs="宋体"/>
                <w:b/>
                <w:bCs/>
                <w:color w:val="auto"/>
                <w:kern w:val="0"/>
                <w:sz w:val="21"/>
                <w:szCs w:val="21"/>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承诺可通过加装安全加密卡对接公安视频数据加密平台、实现安全升级以符合GB35114A级标准对前端面摄像机基于数字证书的双向身份认证功能，提供承诺函（格式自拟）。</w:t>
            </w:r>
          </w:p>
        </w:tc>
      </w:tr>
      <w:tr w14:paraId="2B8606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0E83A1B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6D301DEB">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4D585A6F">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rPr>
                <w:rFonts w:hint="eastAsia" w:ascii="宋体" w:hAnsi="宋体" w:cs="宋体"/>
                <w:b/>
                <w:bCs/>
                <w:color w:val="auto"/>
                <w:sz w:val="21"/>
                <w:szCs w:val="21"/>
                <w:highlight w:val="none"/>
              </w:rPr>
            </w:pPr>
            <w:r>
              <w:rPr>
                <w:rFonts w:hint="eastAsia" w:ascii="宋体" w:hAnsi="宋体" w:eastAsia="宋体" w:cs="宋体"/>
                <w:b w:val="0"/>
                <w:bCs w:val="0"/>
                <w:i w:val="0"/>
                <w:iCs w:val="0"/>
                <w:color w:val="auto"/>
                <w:sz w:val="21"/>
                <w:szCs w:val="21"/>
                <w:highlight w:val="none"/>
                <w:u w:val="none"/>
                <w:lang w:val="en-US" w:eastAsia="zh-CN" w:bidi="ar"/>
              </w:rPr>
              <w:t>★16.符合GB/T 28181、Onvif、IPv4/IPv6协议标准。</w:t>
            </w:r>
          </w:p>
        </w:tc>
        <w:tc>
          <w:tcPr>
            <w:tcW w:w="3804" w:type="dxa"/>
            <w:tcBorders>
              <w:tl2br w:val="nil"/>
              <w:tr2bl w:val="nil"/>
            </w:tcBorders>
            <w:shd w:val="clear" w:color="auto" w:fill="auto"/>
            <w:vAlign w:val="center"/>
          </w:tcPr>
          <w:p w14:paraId="462CB6C0">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宋体" w:hAnsi="宋体" w:cs="宋体"/>
                <w:b/>
                <w:bCs/>
                <w:color w:val="auto"/>
                <w:kern w:val="0"/>
                <w:sz w:val="21"/>
                <w:szCs w:val="21"/>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提供所投产品原厂公开技术文档（白皮书、彩页、官网规格页截图及链接地址）或提供承诺函（格式自拟）</w:t>
            </w:r>
            <w:r>
              <w:rPr>
                <w:rFonts w:hint="eastAsia" w:ascii="宋体" w:hAnsi="宋体" w:eastAsia="宋体" w:cs="宋体"/>
                <w:b w:val="0"/>
                <w:bCs w:val="0"/>
                <w:color w:val="auto"/>
                <w:sz w:val="21"/>
                <w:szCs w:val="21"/>
                <w:highlight w:val="none"/>
                <w:u w:val="none"/>
                <w:lang w:val="en-US" w:eastAsia="zh-CN" w:bidi="ar"/>
              </w:rPr>
              <w:t>。</w:t>
            </w:r>
          </w:p>
        </w:tc>
      </w:tr>
      <w:tr w14:paraId="168BB7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restart"/>
            <w:tcBorders>
              <w:tl2br w:val="nil"/>
              <w:tr2bl w:val="nil"/>
            </w:tcBorders>
            <w:shd w:val="clear" w:color="auto" w:fill="auto"/>
            <w:vAlign w:val="center"/>
          </w:tcPr>
          <w:p w14:paraId="5CFACD9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heme="minorEastAsia" w:hAnsiTheme="minorEastAsia" w:eastAsiaTheme="minorEastAsia" w:cstheme="minorEastAsia"/>
                <w:b/>
                <w:bCs/>
                <w:i w:val="0"/>
                <w:iCs w:val="0"/>
                <w:color w:val="auto"/>
                <w:kern w:val="0"/>
                <w:sz w:val="21"/>
                <w:szCs w:val="21"/>
                <w:u w:val="none"/>
                <w:lang w:val="en-US" w:eastAsia="zh-CN" w:bidi="ar"/>
              </w:rPr>
            </w:pPr>
            <w:r>
              <w:rPr>
                <w:rFonts w:hint="eastAsia" w:asciiTheme="minorEastAsia" w:hAnsiTheme="minorEastAsia" w:eastAsiaTheme="minorEastAsia" w:cstheme="minorEastAsia"/>
                <w:b/>
                <w:bCs/>
                <w:i w:val="0"/>
                <w:iCs w:val="0"/>
                <w:color w:val="auto"/>
                <w:kern w:val="0"/>
                <w:sz w:val="21"/>
                <w:szCs w:val="21"/>
                <w:u w:val="none"/>
                <w:lang w:val="en-US" w:eastAsia="zh-CN" w:bidi="ar"/>
              </w:rPr>
              <w:t>2</w:t>
            </w:r>
          </w:p>
        </w:tc>
        <w:tc>
          <w:tcPr>
            <w:tcW w:w="1438" w:type="dxa"/>
            <w:vMerge w:val="restart"/>
            <w:tcBorders>
              <w:tl2br w:val="nil"/>
              <w:tr2bl w:val="nil"/>
            </w:tcBorders>
            <w:shd w:val="clear" w:color="auto" w:fill="auto"/>
            <w:vAlign w:val="center"/>
          </w:tcPr>
          <w:p w14:paraId="049C685F">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枪机</w:t>
            </w:r>
          </w:p>
        </w:tc>
        <w:tc>
          <w:tcPr>
            <w:tcW w:w="2800" w:type="dxa"/>
            <w:tcBorders>
              <w:tl2br w:val="nil"/>
              <w:tr2bl w:val="nil"/>
            </w:tcBorders>
            <w:shd w:val="clear" w:color="auto" w:fill="auto"/>
            <w:vAlign w:val="center"/>
          </w:tcPr>
          <w:p w14:paraId="517A2C4D">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★2.像素≥400万或最大分辨率≥2560×1440。</w:t>
            </w:r>
          </w:p>
        </w:tc>
        <w:tc>
          <w:tcPr>
            <w:tcW w:w="3804" w:type="dxa"/>
            <w:tcBorders>
              <w:tl2br w:val="nil"/>
              <w:tr2bl w:val="nil"/>
            </w:tcBorders>
            <w:shd w:val="clear" w:color="auto" w:fill="auto"/>
            <w:vAlign w:val="center"/>
          </w:tcPr>
          <w:p w14:paraId="48577D0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提供所投产品</w:t>
            </w:r>
            <w:r>
              <w:rPr>
                <w:rFonts w:hint="eastAsia" w:ascii="宋体" w:hAnsi="宋体" w:eastAsia="宋体" w:cs="宋体"/>
                <w:b w:val="0"/>
                <w:bCs w:val="0"/>
                <w:color w:val="auto"/>
                <w:sz w:val="21"/>
                <w:szCs w:val="21"/>
                <w:highlight w:val="none"/>
                <w:u w:val="none"/>
                <w:lang w:bidi="ar"/>
              </w:rPr>
              <w:t>由具备有效CMA资质的检测机构出具的封面盖有CMA专用印章的检测报告原件关键页扫描件(</w:t>
            </w:r>
            <w:r>
              <w:rPr>
                <w:rFonts w:hint="eastAsia" w:ascii="宋体" w:hAnsi="宋体" w:eastAsia="宋体" w:cs="宋体"/>
                <w:b w:val="0"/>
                <w:bCs w:val="0"/>
                <w:i w:val="0"/>
                <w:iCs w:val="0"/>
                <w:color w:val="auto"/>
                <w:kern w:val="0"/>
                <w:sz w:val="21"/>
                <w:szCs w:val="21"/>
                <w:highlight w:val="none"/>
                <w:u w:val="none"/>
                <w:lang w:val="en-US" w:eastAsia="zh-CN" w:bidi="ar"/>
              </w:rPr>
              <w:t>依据标准GA/T 1127-2013等现行国家标准</w:t>
            </w:r>
            <w:r>
              <w:rPr>
                <w:rFonts w:hint="eastAsia" w:ascii="宋体" w:hAnsi="宋体" w:eastAsia="宋体" w:cs="宋体"/>
                <w:b w:val="0"/>
                <w:bCs w:val="0"/>
                <w:color w:val="auto"/>
                <w:sz w:val="21"/>
                <w:szCs w:val="21"/>
                <w:highlight w:val="none"/>
                <w:u w:val="none"/>
                <w:lang w:bidi="ar"/>
              </w:rPr>
              <w:t>）</w:t>
            </w: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422EF8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45FFDE3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4083D91E">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148FBF3F">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★3.具备最低照度彩色不劣于0.001Lux，黑白不劣于0.0001Lux。</w:t>
            </w:r>
          </w:p>
        </w:tc>
        <w:tc>
          <w:tcPr>
            <w:tcW w:w="3804" w:type="dxa"/>
            <w:tcBorders>
              <w:tl2br w:val="nil"/>
              <w:tr2bl w:val="nil"/>
            </w:tcBorders>
            <w:shd w:val="clear" w:color="auto" w:fill="auto"/>
            <w:vAlign w:val="center"/>
          </w:tcPr>
          <w:p w14:paraId="25351F3C">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提供第三方机构出具的具有CMA标志的检测报告（依据标准</w:t>
            </w:r>
            <w:r>
              <w:rPr>
                <w:rFonts w:hint="eastAsia" w:ascii="宋体" w:hAnsi="宋体" w:eastAsia="宋体" w:cs="宋体"/>
                <w:b w:val="0"/>
                <w:bCs w:val="0"/>
                <w:i w:val="0"/>
                <w:iCs w:val="0"/>
                <w:color w:val="auto"/>
                <w:kern w:val="0"/>
                <w:sz w:val="21"/>
                <w:szCs w:val="21"/>
                <w:highlight w:val="none"/>
                <w:u w:val="none"/>
                <w:lang w:val="en-US" w:eastAsia="zh-CN" w:bidi="ar"/>
              </w:rPr>
              <w:t>GA/T 1127-2013或</w:t>
            </w:r>
            <w:r>
              <w:rPr>
                <w:rFonts w:hint="eastAsia" w:ascii="宋体" w:hAnsi="宋体" w:eastAsia="宋体" w:cs="宋体"/>
                <w:b w:val="0"/>
                <w:bCs w:val="0"/>
                <w:i w:val="0"/>
                <w:iCs w:val="0"/>
                <w:color w:val="auto"/>
                <w:sz w:val="21"/>
                <w:szCs w:val="21"/>
                <w:highlight w:val="none"/>
                <w:u w:val="none"/>
                <w:lang w:val="en-US" w:eastAsia="zh-CN" w:bidi="ar"/>
              </w:rPr>
              <w:t>GB 16796-2022</w:t>
            </w:r>
            <w:r>
              <w:rPr>
                <w:rFonts w:hint="eastAsia" w:ascii="宋体" w:hAnsi="宋体" w:eastAsia="宋体" w:cs="宋体"/>
                <w:b w:val="0"/>
                <w:bCs w:val="0"/>
                <w:color w:val="auto"/>
                <w:sz w:val="21"/>
                <w:szCs w:val="21"/>
                <w:highlight w:val="none"/>
                <w:u w:val="none"/>
                <w:lang w:bidi="ar"/>
              </w:rPr>
              <w:t>或GB/T 15211-2013</w:t>
            </w:r>
            <w:r>
              <w:rPr>
                <w:rFonts w:hint="eastAsia" w:ascii="宋体" w:hAnsi="宋体" w:eastAsia="宋体" w:cs="宋体"/>
                <w:b w:val="0"/>
                <w:bCs w:val="0"/>
                <w:i w:val="0"/>
                <w:iCs w:val="0"/>
                <w:color w:val="auto"/>
                <w:sz w:val="21"/>
                <w:szCs w:val="21"/>
                <w:highlight w:val="none"/>
                <w:u w:val="none"/>
                <w:lang w:val="en-US" w:eastAsia="zh-CN" w:bidi="ar"/>
              </w:rPr>
              <w:t>等现行国家标准）</w:t>
            </w:r>
            <w:r>
              <w:rPr>
                <w:rFonts w:hint="eastAsia" w:ascii="宋体" w:hAnsi="宋体" w:eastAsia="宋体" w:cs="宋体"/>
                <w:b w:val="0"/>
                <w:bCs w:val="0"/>
                <w:color w:val="auto"/>
                <w:sz w:val="21"/>
                <w:szCs w:val="21"/>
                <w:highlight w:val="none"/>
                <w:u w:val="none"/>
                <w:lang w:val="en-US" w:eastAsia="zh-CN" w:bidi="ar"/>
              </w:rPr>
              <w:t>。</w:t>
            </w:r>
          </w:p>
        </w:tc>
      </w:tr>
      <w:tr w14:paraId="40D707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38193F9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12FF7CEE">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6231785B">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★7.宽动态能力综合得分≥80。</w:t>
            </w:r>
          </w:p>
        </w:tc>
        <w:tc>
          <w:tcPr>
            <w:tcW w:w="3804" w:type="dxa"/>
            <w:tcBorders>
              <w:tl2br w:val="nil"/>
              <w:tr2bl w:val="nil"/>
            </w:tcBorders>
            <w:shd w:val="clear" w:color="auto" w:fill="auto"/>
            <w:vAlign w:val="center"/>
          </w:tcPr>
          <w:p w14:paraId="157F949F">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提供所投产品</w:t>
            </w:r>
            <w:r>
              <w:rPr>
                <w:rFonts w:hint="eastAsia" w:ascii="宋体" w:hAnsi="宋体" w:eastAsia="宋体" w:cs="宋体"/>
                <w:b w:val="0"/>
                <w:bCs w:val="0"/>
                <w:color w:val="auto"/>
                <w:sz w:val="21"/>
                <w:szCs w:val="21"/>
                <w:highlight w:val="none"/>
                <w:u w:val="none"/>
                <w:lang w:bidi="ar"/>
              </w:rPr>
              <w:t>由具备有效CMA资质的检测机构出具的封面盖有CMA专用印章的检测报告原件关键页扫描件(</w:t>
            </w:r>
            <w:r>
              <w:rPr>
                <w:rFonts w:hint="eastAsia" w:ascii="宋体" w:hAnsi="宋体" w:eastAsia="宋体" w:cs="宋体"/>
                <w:b w:val="0"/>
                <w:bCs w:val="0"/>
                <w:i w:val="0"/>
                <w:iCs w:val="0"/>
                <w:color w:val="auto"/>
                <w:kern w:val="0"/>
                <w:sz w:val="21"/>
                <w:szCs w:val="21"/>
                <w:highlight w:val="none"/>
                <w:u w:val="none"/>
                <w:lang w:val="en-US" w:eastAsia="zh-CN" w:bidi="ar"/>
              </w:rPr>
              <w:t>依据标准GA/T 1127-2013等现行国家标准</w:t>
            </w:r>
            <w:r>
              <w:rPr>
                <w:rFonts w:hint="eastAsia" w:ascii="宋体" w:hAnsi="宋体" w:eastAsia="宋体" w:cs="宋体"/>
                <w:b w:val="0"/>
                <w:bCs w:val="0"/>
                <w:color w:val="auto"/>
                <w:sz w:val="21"/>
                <w:szCs w:val="21"/>
                <w:highlight w:val="none"/>
                <w:u w:val="none"/>
                <w:lang w:bidi="ar"/>
              </w:rPr>
              <w:t>）</w:t>
            </w: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335D14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7DF975D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79A70093">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50A4A76C">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★8.具备H.265、H.264、MJPEG视频编码格式，音频编码：G.711、AAC。</w:t>
            </w:r>
          </w:p>
        </w:tc>
        <w:tc>
          <w:tcPr>
            <w:tcW w:w="3804" w:type="dxa"/>
            <w:tcBorders>
              <w:tl2br w:val="nil"/>
              <w:tr2bl w:val="nil"/>
            </w:tcBorders>
            <w:shd w:val="clear" w:color="auto" w:fill="auto"/>
            <w:vAlign w:val="center"/>
          </w:tcPr>
          <w:p w14:paraId="1E23E7FA">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提供原厂公开技术文档（白皮书、彩页、官网规格页截图及链接地址）。</w:t>
            </w:r>
          </w:p>
        </w:tc>
      </w:tr>
      <w:tr w14:paraId="36835E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3639900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761C325D">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0D3A5818">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★10.具备绊线或越界入侵、区域入侵、徘徊、人员聚集、停车、物品遗留或搬移（移除）等行为分析功能，具备联动抓拍或录像、报警。</w:t>
            </w:r>
          </w:p>
        </w:tc>
        <w:tc>
          <w:tcPr>
            <w:tcW w:w="3804" w:type="dxa"/>
            <w:tcBorders>
              <w:tl2br w:val="nil"/>
              <w:tr2bl w:val="nil"/>
            </w:tcBorders>
            <w:shd w:val="clear" w:color="auto" w:fill="auto"/>
            <w:vAlign w:val="center"/>
          </w:tcPr>
          <w:p w14:paraId="4DCA3EDF">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提供所投产品原厂技术白皮书。</w:t>
            </w:r>
          </w:p>
        </w:tc>
      </w:tr>
      <w:tr w14:paraId="0E5726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1FF3795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34212FC4">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2A27E92F">
            <w:pPr>
              <w:pStyle w:val="15"/>
              <w:keepNext w:val="0"/>
              <w:keepLines w:val="0"/>
              <w:pageBreakBefore w:val="0"/>
              <w:kinsoku/>
              <w:wordWrap/>
              <w:overflowPunct/>
              <w:topLinePunct w:val="0"/>
              <w:autoSpaceDE/>
              <w:autoSpaceDN/>
              <w:bidi w:val="0"/>
              <w:adjustRightInd/>
              <w:snapToGrid/>
              <w:spacing w:line="400" w:lineRule="exact"/>
              <w:ind w:left="0"/>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★16.符合GB/T 28181现行协议标准。</w:t>
            </w:r>
          </w:p>
        </w:tc>
        <w:tc>
          <w:tcPr>
            <w:tcW w:w="3804" w:type="dxa"/>
            <w:tcBorders>
              <w:tl2br w:val="nil"/>
              <w:tr2bl w:val="nil"/>
            </w:tcBorders>
            <w:shd w:val="clear" w:color="auto" w:fill="auto"/>
            <w:vAlign w:val="center"/>
          </w:tcPr>
          <w:p w14:paraId="2BDEE412">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提供所投产品原厂公开技术文档（白皮书、彩页、官网规格页截图及链接地址）或提供承诺函（格式自拟）。</w:t>
            </w:r>
          </w:p>
        </w:tc>
      </w:tr>
      <w:tr w14:paraId="42C8A7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49E6735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2FE7CB17">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0AD405EB">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★19.浪涌（冲击）抗扰度测试、防浪涌。</w:t>
            </w:r>
          </w:p>
        </w:tc>
        <w:tc>
          <w:tcPr>
            <w:tcW w:w="3804" w:type="dxa"/>
            <w:tcBorders>
              <w:tl2br w:val="nil"/>
              <w:tr2bl w:val="nil"/>
            </w:tcBorders>
            <w:shd w:val="clear" w:color="auto" w:fill="auto"/>
            <w:vAlign w:val="center"/>
          </w:tcPr>
          <w:p w14:paraId="2D48A89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color w:val="auto"/>
                <w:sz w:val="21"/>
                <w:szCs w:val="21"/>
                <w:highlight w:val="none"/>
                <w:lang w:val="en-US" w:eastAsia="zh-CN" w:bidi="ar"/>
              </w:rPr>
              <w:t>承诺</w:t>
            </w:r>
            <w:r>
              <w:rPr>
                <w:rFonts w:hint="eastAsia" w:ascii="宋体" w:hAnsi="宋体" w:eastAsia="宋体" w:cs="宋体"/>
                <w:b w:val="0"/>
                <w:bCs w:val="0"/>
                <w:color w:val="auto"/>
                <w:sz w:val="21"/>
                <w:szCs w:val="21"/>
                <w:highlight w:val="none"/>
                <w:lang w:bidi="ar"/>
              </w:rPr>
              <w:t>符合</w:t>
            </w:r>
            <w:r>
              <w:rPr>
                <w:rFonts w:hint="eastAsia" w:ascii="宋体" w:hAnsi="宋体" w:eastAsia="宋体" w:cs="宋体"/>
                <w:b w:val="0"/>
                <w:bCs w:val="0"/>
                <w:i w:val="0"/>
                <w:iCs w:val="0"/>
                <w:color w:val="auto"/>
                <w:kern w:val="0"/>
                <w:sz w:val="21"/>
                <w:szCs w:val="21"/>
                <w:highlight w:val="none"/>
                <w:u w:val="none"/>
                <w:lang w:val="en-US" w:eastAsia="zh-CN" w:bidi="ar"/>
              </w:rPr>
              <w:t>GA/T 1127-2013或</w:t>
            </w:r>
            <w:r>
              <w:rPr>
                <w:rFonts w:hint="eastAsia" w:ascii="宋体" w:hAnsi="宋体" w:eastAsia="宋体" w:cs="宋体"/>
                <w:b w:val="0"/>
                <w:bCs w:val="0"/>
                <w:color w:val="auto"/>
                <w:sz w:val="21"/>
                <w:szCs w:val="21"/>
                <w:highlight w:val="none"/>
                <w:lang w:bidi="ar"/>
              </w:rPr>
              <w:t>GB/T 17626.5-</w:t>
            </w:r>
            <w:r>
              <w:rPr>
                <w:rFonts w:hint="eastAsia" w:ascii="宋体" w:hAnsi="宋体" w:eastAsia="宋体" w:cs="宋体"/>
                <w:b w:val="0"/>
                <w:bCs w:val="0"/>
                <w:color w:val="auto"/>
                <w:sz w:val="21"/>
                <w:szCs w:val="21"/>
                <w:highlight w:val="none"/>
                <w:lang w:val="en-US" w:eastAsia="zh-CN" w:bidi="ar"/>
              </w:rPr>
              <w:t>2008/</w:t>
            </w:r>
            <w:r>
              <w:rPr>
                <w:rFonts w:hint="eastAsia" w:ascii="宋体" w:hAnsi="宋体" w:eastAsia="宋体" w:cs="宋体"/>
                <w:b w:val="0"/>
                <w:bCs w:val="0"/>
                <w:color w:val="auto"/>
                <w:sz w:val="21"/>
                <w:szCs w:val="21"/>
                <w:highlight w:val="none"/>
                <w:lang w:bidi="ar"/>
              </w:rPr>
              <w:t>2019</w:t>
            </w:r>
            <w:r>
              <w:rPr>
                <w:rFonts w:hint="eastAsia" w:ascii="宋体" w:hAnsi="宋体" w:eastAsia="宋体" w:cs="宋体"/>
                <w:b w:val="0"/>
                <w:bCs w:val="0"/>
                <w:color w:val="auto"/>
                <w:sz w:val="21"/>
                <w:szCs w:val="21"/>
                <w:highlight w:val="none"/>
                <w:lang w:val="en-US" w:eastAsia="zh-CN" w:bidi="ar"/>
              </w:rPr>
              <w:t>对摄像机的</w:t>
            </w:r>
            <w:r>
              <w:rPr>
                <w:rFonts w:hint="eastAsia" w:ascii="宋体" w:hAnsi="宋体" w:eastAsia="宋体" w:cs="宋体"/>
                <w:b w:val="0"/>
                <w:bCs w:val="0"/>
                <w:i w:val="0"/>
                <w:iCs w:val="0"/>
                <w:color w:val="auto"/>
                <w:kern w:val="0"/>
                <w:sz w:val="21"/>
                <w:szCs w:val="21"/>
                <w:highlight w:val="none"/>
                <w:u w:val="none"/>
                <w:lang w:val="en-US" w:eastAsia="zh-CN" w:bidi="ar"/>
              </w:rPr>
              <w:t>防浪涌</w:t>
            </w:r>
            <w:r>
              <w:rPr>
                <w:rFonts w:hint="eastAsia" w:ascii="宋体" w:hAnsi="宋体" w:eastAsia="宋体" w:cs="宋体"/>
                <w:b w:val="0"/>
                <w:bCs w:val="0"/>
                <w:color w:val="auto"/>
                <w:sz w:val="21"/>
                <w:szCs w:val="21"/>
                <w:highlight w:val="none"/>
                <w:lang w:val="en-US" w:eastAsia="zh-CN" w:bidi="ar"/>
              </w:rPr>
              <w:t>要求</w:t>
            </w:r>
            <w:r>
              <w:rPr>
                <w:rFonts w:hint="eastAsia" w:ascii="宋体" w:hAnsi="宋体" w:eastAsia="宋体" w:cs="宋体"/>
                <w:b w:val="0"/>
                <w:bCs w:val="0"/>
                <w:color w:val="auto"/>
                <w:sz w:val="21"/>
                <w:szCs w:val="21"/>
                <w:highlight w:val="none"/>
                <w:lang w:eastAsia="zh-CN" w:bidi="ar"/>
              </w:rPr>
              <w:t>。</w:t>
            </w:r>
          </w:p>
        </w:tc>
      </w:tr>
      <w:tr w14:paraId="14E308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05328F5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0B115CDE">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597CE37D">
            <w:pPr>
              <w:pStyle w:val="15"/>
              <w:keepNext w:val="0"/>
              <w:keepLines w:val="0"/>
              <w:pageBreakBefore w:val="0"/>
              <w:kinsoku/>
              <w:wordWrap/>
              <w:overflowPunct/>
              <w:topLinePunct w:val="0"/>
              <w:autoSpaceDE/>
              <w:autoSpaceDN/>
              <w:bidi w:val="0"/>
              <w:adjustRightInd/>
              <w:snapToGrid/>
              <w:spacing w:line="400" w:lineRule="exact"/>
              <w:ind w:left="0"/>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★21.防护等级：≥IP67。</w:t>
            </w:r>
          </w:p>
        </w:tc>
        <w:tc>
          <w:tcPr>
            <w:tcW w:w="3804" w:type="dxa"/>
            <w:tcBorders>
              <w:tl2br w:val="nil"/>
              <w:tr2bl w:val="nil"/>
            </w:tcBorders>
            <w:shd w:val="clear" w:color="auto" w:fill="auto"/>
            <w:vAlign w:val="center"/>
          </w:tcPr>
          <w:p w14:paraId="780FF740">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提供所投产品的检测报告原件关键页扫描件（依据GB/T 15211-2013或GA/T 1127-2013或</w:t>
            </w:r>
            <w:r>
              <w:rPr>
                <w:rFonts w:hint="eastAsia" w:ascii="宋体" w:hAnsi="宋体" w:eastAsia="宋体" w:cs="宋体"/>
                <w:b w:val="0"/>
                <w:bCs w:val="0"/>
                <w:color w:val="auto"/>
                <w:sz w:val="21"/>
                <w:szCs w:val="21"/>
                <w:highlight w:val="none"/>
              </w:rPr>
              <w:t>GB/T4208-2017标准</w:t>
            </w:r>
            <w:r>
              <w:rPr>
                <w:rFonts w:hint="eastAsia" w:ascii="宋体" w:hAnsi="宋体" w:eastAsia="宋体" w:cs="宋体"/>
                <w:b w:val="0"/>
                <w:bCs w:val="0"/>
                <w:i w:val="0"/>
                <w:iCs w:val="0"/>
                <w:color w:val="auto"/>
                <w:kern w:val="0"/>
                <w:sz w:val="21"/>
                <w:szCs w:val="21"/>
                <w:highlight w:val="none"/>
                <w:u w:val="none"/>
                <w:lang w:val="en-US" w:eastAsia="zh-CN" w:bidi="ar"/>
              </w:rPr>
              <w:t>）等相关现行国家标准）。</w:t>
            </w:r>
          </w:p>
        </w:tc>
      </w:tr>
      <w:tr w14:paraId="2B7912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2B81109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0718F303">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17024518">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★22.具备POE供电功能。</w:t>
            </w:r>
          </w:p>
        </w:tc>
        <w:tc>
          <w:tcPr>
            <w:tcW w:w="3804" w:type="dxa"/>
            <w:tcBorders>
              <w:tl2br w:val="nil"/>
              <w:tr2bl w:val="nil"/>
            </w:tcBorders>
            <w:shd w:val="clear" w:color="auto" w:fill="auto"/>
            <w:vAlign w:val="center"/>
          </w:tcPr>
          <w:p w14:paraId="3947891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提供原厂公开技术文档（白皮书、彩页、官网规格页截图及链接地址均可）。</w:t>
            </w:r>
          </w:p>
        </w:tc>
      </w:tr>
      <w:tr w14:paraId="5E2BC2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3143AFF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1F989F0C">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325EF577">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★23.符合GB/T 28181、Onvif、IPv4/IPv6协议标准。</w:t>
            </w:r>
          </w:p>
        </w:tc>
        <w:tc>
          <w:tcPr>
            <w:tcW w:w="3804" w:type="dxa"/>
            <w:tcBorders>
              <w:tl2br w:val="nil"/>
              <w:tr2bl w:val="nil"/>
            </w:tcBorders>
            <w:shd w:val="clear" w:color="auto" w:fill="auto"/>
            <w:vAlign w:val="center"/>
          </w:tcPr>
          <w:p w14:paraId="6D0CDDF2">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提供所投产品原厂公开技术文档（白皮书、彩页、官网规格页截图及链接地址）或提供承诺函（格式自拟）</w:t>
            </w:r>
            <w:r>
              <w:rPr>
                <w:rFonts w:hint="eastAsia" w:ascii="宋体" w:hAnsi="宋体" w:eastAsia="宋体" w:cs="宋体"/>
                <w:b w:val="0"/>
                <w:bCs w:val="0"/>
                <w:color w:val="auto"/>
                <w:sz w:val="21"/>
                <w:szCs w:val="21"/>
                <w:highlight w:val="none"/>
                <w:u w:val="none"/>
                <w:lang w:val="en-US" w:eastAsia="zh-CN" w:bidi="ar"/>
              </w:rPr>
              <w:t>。</w:t>
            </w:r>
          </w:p>
        </w:tc>
      </w:tr>
      <w:tr w14:paraId="6C3301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restart"/>
            <w:tcBorders>
              <w:tl2br w:val="nil"/>
              <w:tr2bl w:val="nil"/>
            </w:tcBorders>
            <w:shd w:val="clear" w:color="auto" w:fill="auto"/>
            <w:vAlign w:val="center"/>
          </w:tcPr>
          <w:p w14:paraId="3F21C65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heme="minorEastAsia" w:hAnsiTheme="minorEastAsia" w:eastAsiaTheme="minorEastAsia" w:cstheme="minorEastAsia"/>
                <w:b/>
                <w:bCs/>
                <w:i w:val="0"/>
                <w:iCs w:val="0"/>
                <w:color w:val="auto"/>
                <w:kern w:val="0"/>
                <w:sz w:val="21"/>
                <w:szCs w:val="21"/>
                <w:u w:val="none"/>
                <w:lang w:val="en-US" w:eastAsia="zh-CN" w:bidi="ar"/>
              </w:rPr>
            </w:pPr>
            <w:r>
              <w:rPr>
                <w:rFonts w:hint="eastAsia" w:asciiTheme="minorEastAsia" w:hAnsiTheme="minorEastAsia" w:eastAsiaTheme="minorEastAsia" w:cstheme="minorEastAsia"/>
                <w:b/>
                <w:bCs/>
                <w:i w:val="0"/>
                <w:iCs w:val="0"/>
                <w:color w:val="auto"/>
                <w:kern w:val="0"/>
                <w:sz w:val="21"/>
                <w:szCs w:val="21"/>
                <w:u w:val="none"/>
                <w:lang w:val="en-US" w:eastAsia="zh-CN" w:bidi="ar"/>
              </w:rPr>
              <w:t>4</w:t>
            </w:r>
          </w:p>
        </w:tc>
        <w:tc>
          <w:tcPr>
            <w:tcW w:w="1438" w:type="dxa"/>
            <w:vMerge w:val="restart"/>
            <w:tcBorders>
              <w:tl2br w:val="nil"/>
              <w:tr2bl w:val="nil"/>
            </w:tcBorders>
            <w:shd w:val="clear" w:color="auto" w:fill="auto"/>
            <w:vAlign w:val="center"/>
          </w:tcPr>
          <w:p w14:paraId="2D6782E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电梯半球</w:t>
            </w:r>
          </w:p>
        </w:tc>
        <w:tc>
          <w:tcPr>
            <w:tcW w:w="2800" w:type="dxa"/>
            <w:tcBorders>
              <w:tl2br w:val="nil"/>
              <w:tr2bl w:val="nil"/>
            </w:tcBorders>
            <w:shd w:val="clear" w:color="auto" w:fill="auto"/>
            <w:vAlign w:val="center"/>
          </w:tcPr>
          <w:p w14:paraId="67518FD5">
            <w:pPr>
              <w:keepNext w:val="0"/>
              <w:keepLines w:val="0"/>
              <w:pageBreakBefore w:val="0"/>
              <w:widowControl/>
              <w:numPr>
                <w:ilvl w:val="0"/>
                <w:numId w:val="0"/>
              </w:numPr>
              <w:kinsoku/>
              <w:wordWrap/>
              <w:overflowPunct/>
              <w:topLinePunct w:val="0"/>
              <w:autoSpaceDE/>
              <w:autoSpaceDN/>
              <w:bidi w:val="0"/>
              <w:adjustRightInd/>
              <w:snapToGrid/>
              <w:spacing w:line="400" w:lineRule="exact"/>
              <w:ind w:left="0"/>
              <w:jc w:val="left"/>
              <w:textAlignment w:val="auto"/>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color w:val="auto"/>
                <w:kern w:val="0"/>
                <w:sz w:val="21"/>
                <w:szCs w:val="21"/>
                <w:highlight w:val="none"/>
              </w:rPr>
              <w:t>★</w:t>
            </w:r>
            <w:r>
              <w:rPr>
                <w:rFonts w:hint="eastAsia" w:ascii="宋体" w:hAnsi="宋体" w:eastAsia="宋体" w:cs="宋体"/>
                <w:b w:val="0"/>
                <w:bCs w:val="0"/>
                <w:color w:val="auto"/>
                <w:kern w:val="0"/>
                <w:sz w:val="21"/>
                <w:szCs w:val="21"/>
                <w:highlight w:val="none"/>
                <w:lang w:val="en-US" w:eastAsia="zh-CN"/>
              </w:rPr>
              <w:t>2.</w:t>
            </w:r>
            <w:r>
              <w:rPr>
                <w:rFonts w:hint="eastAsia" w:ascii="宋体" w:hAnsi="宋体" w:eastAsia="宋体" w:cs="宋体"/>
                <w:b w:val="0"/>
                <w:bCs w:val="0"/>
                <w:i w:val="0"/>
                <w:iCs w:val="0"/>
                <w:color w:val="auto"/>
                <w:kern w:val="0"/>
                <w:sz w:val="21"/>
                <w:szCs w:val="21"/>
                <w:highlight w:val="none"/>
                <w:u w:val="none"/>
                <w:lang w:val="en-US" w:eastAsia="zh-CN" w:bidi="ar"/>
              </w:rPr>
              <w:t>像素≥400万或最大分辨率≥2560×1440。</w:t>
            </w:r>
          </w:p>
        </w:tc>
        <w:tc>
          <w:tcPr>
            <w:tcW w:w="3804" w:type="dxa"/>
            <w:tcBorders>
              <w:tl2br w:val="nil"/>
              <w:tr2bl w:val="nil"/>
            </w:tcBorders>
            <w:shd w:val="clear" w:color="auto" w:fill="auto"/>
            <w:vAlign w:val="center"/>
          </w:tcPr>
          <w:p w14:paraId="3B249F71">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提供所投产品的检测报告原件关键页扫描件（依据标准GA/T 1127-2013等现行国家标准）。</w:t>
            </w:r>
          </w:p>
        </w:tc>
      </w:tr>
      <w:tr w14:paraId="56792C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6F54362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1C82A8C5">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20EDE39A">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★3.具备H.265、H.264、MJPEG视频编码格式，音频编码：G.711、AAC。</w:t>
            </w:r>
          </w:p>
        </w:tc>
        <w:tc>
          <w:tcPr>
            <w:tcW w:w="3804" w:type="dxa"/>
            <w:tcBorders>
              <w:tl2br w:val="nil"/>
              <w:tr2bl w:val="nil"/>
            </w:tcBorders>
            <w:shd w:val="clear" w:color="auto" w:fill="auto"/>
            <w:vAlign w:val="center"/>
          </w:tcPr>
          <w:p w14:paraId="2F47A310">
            <w:pPr>
              <w:pStyle w:val="18"/>
              <w:keepNext w:val="0"/>
              <w:keepLines w:val="0"/>
              <w:pageBreakBefore w:val="0"/>
              <w:widowControl w:val="0"/>
              <w:numPr>
                <w:ilvl w:val="0"/>
                <w:numId w:val="0"/>
              </w:numPr>
              <w:kinsoku/>
              <w:wordWrap/>
              <w:overflowPunct/>
              <w:topLinePunct w:val="0"/>
              <w:autoSpaceDE/>
              <w:autoSpaceDN/>
              <w:bidi w:val="0"/>
              <w:adjustRightInd/>
              <w:snapToGrid/>
              <w:spacing w:after="0" w:line="400" w:lineRule="exact"/>
              <w:jc w:val="both"/>
              <w:textAlignment w:val="auto"/>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提供原厂公开技术文档（白皮书、彩页、官网规格页截图及链接地址）。</w:t>
            </w:r>
          </w:p>
        </w:tc>
      </w:tr>
      <w:tr w14:paraId="3B909C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4A974FF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39F24A0B">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3C1139B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★4.具备最低照度彩色不劣于0.005Lux，黑白不劣于0.0005Lux。</w:t>
            </w:r>
          </w:p>
        </w:tc>
        <w:tc>
          <w:tcPr>
            <w:tcW w:w="3804" w:type="dxa"/>
            <w:tcBorders>
              <w:tl2br w:val="nil"/>
              <w:tr2bl w:val="nil"/>
            </w:tcBorders>
            <w:shd w:val="clear" w:color="auto" w:fill="auto"/>
            <w:vAlign w:val="center"/>
          </w:tcPr>
          <w:p w14:paraId="3A47250A">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提供第三方机构出具的具有CMA标志的检测报告（依据标准</w:t>
            </w:r>
            <w:r>
              <w:rPr>
                <w:rFonts w:hint="eastAsia" w:ascii="宋体" w:hAnsi="宋体" w:eastAsia="宋体" w:cs="宋体"/>
                <w:b w:val="0"/>
                <w:bCs w:val="0"/>
                <w:i w:val="0"/>
                <w:iCs w:val="0"/>
                <w:color w:val="auto"/>
                <w:kern w:val="0"/>
                <w:sz w:val="21"/>
                <w:szCs w:val="21"/>
                <w:highlight w:val="none"/>
                <w:u w:val="none"/>
                <w:lang w:val="en-US" w:eastAsia="zh-CN" w:bidi="ar"/>
              </w:rPr>
              <w:t>GA/T 1127-2013或</w:t>
            </w:r>
            <w:r>
              <w:rPr>
                <w:rFonts w:hint="eastAsia" w:ascii="宋体" w:hAnsi="宋体" w:eastAsia="宋体" w:cs="宋体"/>
                <w:b w:val="0"/>
                <w:bCs w:val="0"/>
                <w:i w:val="0"/>
                <w:iCs w:val="0"/>
                <w:color w:val="auto"/>
                <w:sz w:val="21"/>
                <w:szCs w:val="21"/>
                <w:highlight w:val="none"/>
                <w:u w:val="none"/>
                <w:lang w:val="en-US" w:eastAsia="zh-CN" w:bidi="ar"/>
              </w:rPr>
              <w:t>GB 16796-2022</w:t>
            </w:r>
            <w:r>
              <w:rPr>
                <w:rFonts w:hint="eastAsia" w:ascii="宋体" w:hAnsi="宋体" w:eastAsia="宋体" w:cs="宋体"/>
                <w:b w:val="0"/>
                <w:bCs w:val="0"/>
                <w:color w:val="auto"/>
                <w:sz w:val="21"/>
                <w:szCs w:val="21"/>
                <w:highlight w:val="none"/>
                <w:u w:val="none"/>
                <w:lang w:bidi="ar"/>
              </w:rPr>
              <w:t>或GB/T 15211-2013</w:t>
            </w:r>
            <w:r>
              <w:rPr>
                <w:rFonts w:hint="eastAsia" w:ascii="宋体" w:hAnsi="宋体" w:eastAsia="宋体" w:cs="宋体"/>
                <w:b w:val="0"/>
                <w:bCs w:val="0"/>
                <w:i w:val="0"/>
                <w:iCs w:val="0"/>
                <w:color w:val="auto"/>
                <w:sz w:val="21"/>
                <w:szCs w:val="21"/>
                <w:highlight w:val="none"/>
                <w:u w:val="none"/>
                <w:lang w:val="en-US" w:eastAsia="zh-CN" w:bidi="ar"/>
              </w:rPr>
              <w:t>等现行国家标准）</w:t>
            </w:r>
            <w:r>
              <w:rPr>
                <w:rFonts w:hint="eastAsia" w:ascii="宋体" w:hAnsi="宋体" w:eastAsia="宋体" w:cs="宋体"/>
                <w:b w:val="0"/>
                <w:bCs w:val="0"/>
                <w:color w:val="auto"/>
                <w:sz w:val="21"/>
                <w:szCs w:val="21"/>
                <w:highlight w:val="none"/>
                <w:u w:val="none"/>
                <w:lang w:val="en-US" w:eastAsia="zh-CN" w:bidi="ar"/>
              </w:rPr>
              <w:t>。</w:t>
            </w:r>
          </w:p>
        </w:tc>
      </w:tr>
      <w:tr w14:paraId="01F364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2EB6015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716013E2">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6671F41A">
            <w:pPr>
              <w:keepNext w:val="0"/>
              <w:keepLines w:val="0"/>
              <w:pageBreakBefore w:val="0"/>
              <w:widowControl/>
              <w:numPr>
                <w:ilvl w:val="0"/>
                <w:numId w:val="0"/>
              </w:numPr>
              <w:kinsoku/>
              <w:wordWrap/>
              <w:overflowPunct/>
              <w:topLinePunct w:val="0"/>
              <w:autoSpaceDE/>
              <w:autoSpaceDN/>
              <w:bidi w:val="0"/>
              <w:adjustRightInd/>
              <w:snapToGrid/>
              <w:spacing w:line="400" w:lineRule="exact"/>
              <w:ind w:left="0"/>
              <w:jc w:val="left"/>
              <w:textAlignment w:val="auto"/>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color w:val="auto"/>
                <w:kern w:val="0"/>
                <w:sz w:val="21"/>
                <w:szCs w:val="21"/>
                <w:highlight w:val="none"/>
                <w:lang w:val="en-US" w:eastAsia="zh-CN"/>
              </w:rPr>
              <w:t>★7.对电瓶车进入电梯触发检测、抓拍并联动声光报警。</w:t>
            </w:r>
          </w:p>
        </w:tc>
        <w:tc>
          <w:tcPr>
            <w:tcW w:w="3804" w:type="dxa"/>
            <w:tcBorders>
              <w:tl2br w:val="nil"/>
              <w:tr2bl w:val="nil"/>
            </w:tcBorders>
            <w:shd w:val="clear" w:color="auto" w:fill="auto"/>
            <w:vAlign w:val="center"/>
          </w:tcPr>
          <w:p w14:paraId="3ADA9DC1">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color w:val="auto"/>
                <w:kern w:val="0"/>
                <w:sz w:val="21"/>
                <w:szCs w:val="21"/>
                <w:highlight w:val="none"/>
                <w:lang w:val="en-US" w:eastAsia="zh-CN"/>
              </w:rPr>
              <w:t>提供承诺函或提供原厂公开技术文档（白皮书、彩页、官网规格页截图及链接地址均可）。</w:t>
            </w:r>
          </w:p>
        </w:tc>
      </w:tr>
      <w:tr w14:paraId="717AB9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76036BD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448E7A56">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409086BB">
            <w:pPr>
              <w:keepNext w:val="0"/>
              <w:keepLines w:val="0"/>
              <w:pageBreakBefore w:val="0"/>
              <w:widowControl/>
              <w:numPr>
                <w:ilvl w:val="0"/>
                <w:numId w:val="0"/>
              </w:numPr>
              <w:kinsoku/>
              <w:wordWrap/>
              <w:overflowPunct/>
              <w:topLinePunct w:val="0"/>
              <w:autoSpaceDE/>
              <w:autoSpaceDN/>
              <w:bidi w:val="0"/>
              <w:adjustRightInd/>
              <w:snapToGrid/>
              <w:spacing w:line="400" w:lineRule="exact"/>
              <w:ind w:left="0"/>
              <w:jc w:val="left"/>
              <w:textAlignment w:val="auto"/>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color w:val="auto"/>
                <w:kern w:val="0"/>
                <w:sz w:val="21"/>
                <w:szCs w:val="21"/>
                <w:highlight w:val="none"/>
                <w:lang w:val="en-US" w:eastAsia="zh-CN"/>
              </w:rPr>
              <w:t>★9.内置MIC和扬声器。</w:t>
            </w:r>
          </w:p>
        </w:tc>
        <w:tc>
          <w:tcPr>
            <w:tcW w:w="3804" w:type="dxa"/>
            <w:tcBorders>
              <w:tl2br w:val="nil"/>
              <w:tr2bl w:val="nil"/>
            </w:tcBorders>
            <w:shd w:val="clear" w:color="auto" w:fill="auto"/>
            <w:vAlign w:val="center"/>
          </w:tcPr>
          <w:p w14:paraId="7B2B971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color w:val="auto"/>
                <w:kern w:val="0"/>
                <w:sz w:val="21"/>
                <w:szCs w:val="21"/>
                <w:highlight w:val="none"/>
                <w:lang w:val="en-US" w:eastAsia="zh-CN"/>
              </w:rPr>
              <w:t>提供承诺函或提供承诺函或提供原厂公开技术文档（白皮书、彩页、官网规格页截图及链接地址均可）。</w:t>
            </w:r>
          </w:p>
        </w:tc>
      </w:tr>
      <w:tr w14:paraId="7E1942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1B784BF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7480D359">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2650B9C9">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★15.符合GB/T 28181、Onvif、IPv4/IPv6协议标准。</w:t>
            </w:r>
          </w:p>
        </w:tc>
        <w:tc>
          <w:tcPr>
            <w:tcW w:w="3804" w:type="dxa"/>
            <w:tcBorders>
              <w:tl2br w:val="nil"/>
              <w:tr2bl w:val="nil"/>
            </w:tcBorders>
            <w:shd w:val="clear" w:color="auto" w:fill="auto"/>
            <w:vAlign w:val="center"/>
          </w:tcPr>
          <w:p w14:paraId="6A5AD19C">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提供所投产品原厂公开技术文档（白皮书、彩页、官网规格页截图及链接地址）或提供承诺函（格式自拟）</w:t>
            </w:r>
            <w:r>
              <w:rPr>
                <w:rFonts w:hint="eastAsia" w:ascii="宋体" w:hAnsi="宋体" w:eastAsia="宋体" w:cs="宋体"/>
                <w:b w:val="0"/>
                <w:bCs w:val="0"/>
                <w:color w:val="auto"/>
                <w:sz w:val="21"/>
                <w:szCs w:val="21"/>
                <w:highlight w:val="none"/>
                <w:u w:val="none"/>
                <w:lang w:val="en-US" w:eastAsia="zh-CN" w:bidi="ar"/>
              </w:rPr>
              <w:t>。</w:t>
            </w:r>
          </w:p>
        </w:tc>
      </w:tr>
      <w:tr w14:paraId="0C3FE6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restart"/>
            <w:tcBorders>
              <w:tl2br w:val="nil"/>
              <w:tr2bl w:val="nil"/>
            </w:tcBorders>
            <w:shd w:val="clear" w:color="auto" w:fill="auto"/>
            <w:vAlign w:val="center"/>
          </w:tcPr>
          <w:p w14:paraId="34FC144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heme="minorEastAsia" w:hAnsiTheme="minorEastAsia" w:eastAsiaTheme="minorEastAsia" w:cstheme="minorEastAsia"/>
                <w:b/>
                <w:bCs/>
                <w:i w:val="0"/>
                <w:iCs w:val="0"/>
                <w:color w:val="auto"/>
                <w:kern w:val="0"/>
                <w:sz w:val="21"/>
                <w:szCs w:val="21"/>
                <w:u w:val="none"/>
                <w:lang w:val="en-US" w:eastAsia="zh-CN" w:bidi="ar"/>
              </w:rPr>
            </w:pPr>
            <w:r>
              <w:rPr>
                <w:rFonts w:hint="eastAsia" w:asciiTheme="minorEastAsia" w:hAnsiTheme="minorEastAsia" w:eastAsiaTheme="minorEastAsia" w:cstheme="minorEastAsia"/>
                <w:b/>
                <w:bCs/>
                <w:i w:val="0"/>
                <w:iCs w:val="0"/>
                <w:color w:val="auto"/>
                <w:kern w:val="0"/>
                <w:sz w:val="21"/>
                <w:szCs w:val="21"/>
                <w:u w:val="none"/>
                <w:lang w:val="en-US" w:eastAsia="zh-CN" w:bidi="ar"/>
              </w:rPr>
              <w:t>5</w:t>
            </w:r>
          </w:p>
        </w:tc>
        <w:tc>
          <w:tcPr>
            <w:tcW w:w="1438" w:type="dxa"/>
            <w:vMerge w:val="restart"/>
            <w:tcBorders>
              <w:tl2br w:val="nil"/>
              <w:tr2bl w:val="nil"/>
            </w:tcBorders>
            <w:shd w:val="clear" w:color="auto" w:fill="auto"/>
            <w:vAlign w:val="center"/>
          </w:tcPr>
          <w:p w14:paraId="1D6BAA2D">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智能球型摄像机</w:t>
            </w:r>
          </w:p>
        </w:tc>
        <w:tc>
          <w:tcPr>
            <w:tcW w:w="2800" w:type="dxa"/>
            <w:tcBorders>
              <w:tl2br w:val="nil"/>
              <w:tr2bl w:val="nil"/>
            </w:tcBorders>
            <w:shd w:val="clear" w:color="auto" w:fill="auto"/>
            <w:vAlign w:val="center"/>
          </w:tcPr>
          <w:p w14:paraId="4B326AC6">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★2.采用≥400万像素或≥2560×1440。</w:t>
            </w:r>
          </w:p>
        </w:tc>
        <w:tc>
          <w:tcPr>
            <w:tcW w:w="3804" w:type="dxa"/>
            <w:tcBorders>
              <w:tl2br w:val="nil"/>
              <w:tr2bl w:val="nil"/>
            </w:tcBorders>
            <w:shd w:val="clear" w:color="auto" w:fill="auto"/>
            <w:vAlign w:val="center"/>
          </w:tcPr>
          <w:p w14:paraId="0B4EF147">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提供所投产品的检测报告原件关键页扫描件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（依据标准</w:t>
            </w:r>
            <w:r>
              <w:rPr>
                <w:rFonts w:hint="eastAsia" w:ascii="宋体" w:hAnsi="宋体" w:eastAsia="宋体" w:cs="宋体"/>
                <w:b w:val="0"/>
                <w:bCs w:val="0"/>
                <w:color w:val="auto"/>
                <w:sz w:val="21"/>
                <w:szCs w:val="21"/>
                <w:highlight w:val="none"/>
                <w:vertAlign w:val="baseline"/>
              </w:rPr>
              <w:t xml:space="preserve">GB/T 15211-2013 </w:t>
            </w:r>
            <w:r>
              <w:rPr>
                <w:rFonts w:hint="eastAsia" w:ascii="宋体" w:hAnsi="宋体" w:eastAsia="宋体" w:cs="宋体"/>
                <w:b w:val="0"/>
                <w:bCs w:val="0"/>
                <w:color w:val="auto"/>
                <w:sz w:val="21"/>
                <w:szCs w:val="21"/>
                <w:highlight w:val="none"/>
                <w:vertAlign w:val="baseline"/>
                <w:lang w:val="en-US" w:eastAsia="zh-CN"/>
              </w:rPr>
              <w:t>或</w:t>
            </w:r>
            <w:r>
              <w:rPr>
                <w:rFonts w:hint="eastAsia" w:ascii="宋体" w:hAnsi="宋体" w:eastAsia="宋体" w:cs="宋体"/>
                <w:b w:val="0"/>
                <w:bCs w:val="0"/>
                <w:i w:val="0"/>
                <w:iCs w:val="0"/>
                <w:color w:val="auto"/>
                <w:sz w:val="21"/>
                <w:szCs w:val="21"/>
                <w:highlight w:val="none"/>
                <w:u w:val="none"/>
                <w:lang w:val="en-US" w:eastAsia="zh-CN" w:bidi="ar"/>
              </w:rPr>
              <w:t>GA/T 645-2014或GB 16796-2022等现行国家标准）</w:t>
            </w: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163F6C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1147C75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7C0B765E">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01583F3F">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★3.内置镜头、具备≥23倍光学变焦（镜头焦距最大值与最少值的比值≥23），智能红外补光距离（识别距离）≥150米。</w:t>
            </w:r>
          </w:p>
        </w:tc>
        <w:tc>
          <w:tcPr>
            <w:tcW w:w="3804" w:type="dxa"/>
            <w:tcBorders>
              <w:tl2br w:val="nil"/>
              <w:tr2bl w:val="nil"/>
            </w:tcBorders>
            <w:shd w:val="clear" w:color="auto" w:fill="auto"/>
            <w:vAlign w:val="center"/>
          </w:tcPr>
          <w:p w14:paraId="69797174">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提供所投产品的检测报告原件关键页扫描件（依据标准</w:t>
            </w:r>
            <w:r>
              <w:rPr>
                <w:rFonts w:hint="eastAsia" w:ascii="宋体" w:hAnsi="宋体" w:eastAsia="宋体" w:cs="宋体"/>
                <w:b w:val="0"/>
                <w:bCs w:val="0"/>
                <w:i w:val="0"/>
                <w:iCs w:val="0"/>
                <w:color w:val="auto"/>
                <w:sz w:val="21"/>
                <w:szCs w:val="21"/>
                <w:highlight w:val="none"/>
                <w:u w:val="none"/>
                <w:lang w:val="en-US" w:eastAsia="zh-CN" w:bidi="ar"/>
              </w:rPr>
              <w:t>GA/T 645-2014</w:t>
            </w:r>
            <w:r>
              <w:rPr>
                <w:rFonts w:hint="eastAsia" w:ascii="宋体" w:hAnsi="宋体" w:eastAsia="宋体" w:cs="宋体"/>
                <w:b w:val="0"/>
                <w:bCs w:val="0"/>
                <w:i w:val="0"/>
                <w:iCs w:val="0"/>
                <w:color w:val="auto"/>
                <w:kern w:val="0"/>
                <w:sz w:val="21"/>
                <w:szCs w:val="21"/>
                <w:highlight w:val="none"/>
                <w:u w:val="none"/>
                <w:lang w:val="en-US" w:eastAsia="zh-CN" w:bidi="ar"/>
              </w:rPr>
              <w:t>等现行国家标准）。</w:t>
            </w:r>
          </w:p>
        </w:tc>
      </w:tr>
      <w:tr w14:paraId="6B770A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21BDC62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133DB9BE">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4EC28BA9">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★4.具备H.265、H.264、MJPEG视频编码格式，音频编码：G.711、AAC。</w:t>
            </w:r>
          </w:p>
        </w:tc>
        <w:tc>
          <w:tcPr>
            <w:tcW w:w="3804" w:type="dxa"/>
            <w:tcBorders>
              <w:tl2br w:val="nil"/>
              <w:tr2bl w:val="nil"/>
            </w:tcBorders>
            <w:shd w:val="clear" w:color="auto" w:fill="auto"/>
            <w:vAlign w:val="center"/>
          </w:tcPr>
          <w:p w14:paraId="5001B01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提供原厂公开技术文档（白皮书、彩页、官网规格页截图及链接地址）。</w:t>
            </w:r>
          </w:p>
        </w:tc>
      </w:tr>
      <w:tr w14:paraId="08B5F0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78883DA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6AFB51E2">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5D546C35">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★5.具备最低照度彩色不劣于0.0005Lux，黑白不劣于0.0001Lux。</w:t>
            </w:r>
          </w:p>
        </w:tc>
        <w:tc>
          <w:tcPr>
            <w:tcW w:w="3804" w:type="dxa"/>
            <w:tcBorders>
              <w:tl2br w:val="nil"/>
              <w:tr2bl w:val="nil"/>
            </w:tcBorders>
            <w:shd w:val="clear" w:color="auto" w:fill="auto"/>
            <w:vAlign w:val="center"/>
          </w:tcPr>
          <w:p w14:paraId="5DFA5DE6">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提供第三方机构出具的具有CMA标志的检测报告（依据标准GA/T 645-2014或GB 16796-2022</w:t>
            </w:r>
            <w:r>
              <w:rPr>
                <w:rFonts w:hint="eastAsia" w:ascii="宋体" w:hAnsi="宋体" w:eastAsia="宋体" w:cs="宋体"/>
                <w:b w:val="0"/>
                <w:bCs w:val="0"/>
                <w:color w:val="auto"/>
                <w:sz w:val="21"/>
                <w:szCs w:val="21"/>
                <w:highlight w:val="none"/>
                <w:u w:val="none"/>
                <w:lang w:bidi="ar"/>
              </w:rPr>
              <w:t>或GB/T 15211-2013</w:t>
            </w:r>
            <w:r>
              <w:rPr>
                <w:rFonts w:hint="eastAsia" w:ascii="宋体" w:hAnsi="宋体" w:eastAsia="宋体" w:cs="宋体"/>
                <w:b w:val="0"/>
                <w:bCs w:val="0"/>
                <w:i w:val="0"/>
                <w:iCs w:val="0"/>
                <w:color w:val="auto"/>
                <w:sz w:val="21"/>
                <w:szCs w:val="21"/>
                <w:highlight w:val="none"/>
                <w:u w:val="none"/>
                <w:lang w:val="en-US" w:eastAsia="zh-CN" w:bidi="ar"/>
              </w:rPr>
              <w:t>等现行国家标准）</w:t>
            </w:r>
            <w:r>
              <w:rPr>
                <w:rFonts w:hint="eastAsia" w:ascii="宋体" w:hAnsi="宋体" w:eastAsia="宋体" w:cs="宋体"/>
                <w:b w:val="0"/>
                <w:bCs w:val="0"/>
                <w:color w:val="auto"/>
                <w:sz w:val="21"/>
                <w:szCs w:val="21"/>
                <w:highlight w:val="none"/>
                <w:u w:val="none"/>
                <w:lang w:val="en-US" w:eastAsia="zh-CN" w:bidi="ar"/>
              </w:rPr>
              <w:t>。</w:t>
            </w:r>
          </w:p>
        </w:tc>
      </w:tr>
      <w:tr w14:paraId="6E1585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6C4FDB1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3D88D135">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3F0A227D">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★11.具备强光抑制、透雾功能。</w:t>
            </w:r>
          </w:p>
        </w:tc>
        <w:tc>
          <w:tcPr>
            <w:tcW w:w="3804" w:type="dxa"/>
            <w:tcBorders>
              <w:tl2br w:val="nil"/>
              <w:tr2bl w:val="nil"/>
            </w:tcBorders>
            <w:shd w:val="clear" w:color="auto" w:fill="auto"/>
            <w:vAlign w:val="center"/>
          </w:tcPr>
          <w:p w14:paraId="3DB7AD23">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提供原厂公开技术文档（白皮书、彩页、官网规格页截图及链接地址）。</w:t>
            </w:r>
          </w:p>
        </w:tc>
      </w:tr>
      <w:tr w14:paraId="30B4C4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7FBE770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2A259A47">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1621B647">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★12.宽动态能力综合得分≥80。</w:t>
            </w:r>
          </w:p>
        </w:tc>
        <w:tc>
          <w:tcPr>
            <w:tcW w:w="3804" w:type="dxa"/>
            <w:tcBorders>
              <w:tl2br w:val="nil"/>
              <w:tr2bl w:val="nil"/>
            </w:tcBorders>
            <w:shd w:val="clear" w:color="auto" w:fill="auto"/>
            <w:vAlign w:val="center"/>
          </w:tcPr>
          <w:p w14:paraId="7A9FF943">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提供</w:t>
            </w:r>
            <w:r>
              <w:rPr>
                <w:rFonts w:hint="eastAsia" w:ascii="宋体" w:hAnsi="宋体" w:eastAsia="宋体" w:cs="宋体"/>
                <w:b w:val="0"/>
                <w:bCs w:val="0"/>
                <w:color w:val="auto"/>
                <w:sz w:val="21"/>
                <w:szCs w:val="21"/>
                <w:highlight w:val="none"/>
                <w:u w:val="none"/>
                <w:lang w:bidi="ar"/>
              </w:rPr>
              <w:t>由具备有效CMA资质的检测机构出具的封面盖有CMA专用印章的检测报告原件关键页扫描件(</w:t>
            </w:r>
            <w:r>
              <w:rPr>
                <w:rFonts w:hint="eastAsia" w:ascii="宋体" w:hAnsi="宋体" w:eastAsia="宋体" w:cs="宋体"/>
                <w:b w:val="0"/>
                <w:bCs w:val="0"/>
                <w:i w:val="0"/>
                <w:iCs w:val="0"/>
                <w:color w:val="auto"/>
                <w:kern w:val="0"/>
                <w:sz w:val="21"/>
                <w:szCs w:val="21"/>
                <w:highlight w:val="none"/>
                <w:u w:val="none"/>
                <w:lang w:val="en-US" w:eastAsia="zh-CN" w:bidi="ar"/>
              </w:rPr>
              <w:t>依据标准GA/T 1127-2013或</w:t>
            </w:r>
            <w:r>
              <w:rPr>
                <w:rFonts w:hint="eastAsia" w:ascii="宋体" w:hAnsi="宋体" w:eastAsia="宋体" w:cs="宋体"/>
                <w:b w:val="0"/>
                <w:bCs w:val="0"/>
                <w:i w:val="0"/>
                <w:iCs w:val="0"/>
                <w:color w:val="auto"/>
                <w:sz w:val="21"/>
                <w:szCs w:val="21"/>
                <w:highlight w:val="none"/>
                <w:u w:val="none"/>
                <w:lang w:val="en-US" w:eastAsia="zh-CN" w:bidi="ar"/>
              </w:rPr>
              <w:t>GA/T 645-2014</w:t>
            </w:r>
            <w:r>
              <w:rPr>
                <w:rFonts w:hint="eastAsia" w:ascii="宋体" w:hAnsi="宋体" w:eastAsia="宋体" w:cs="宋体"/>
                <w:b w:val="0"/>
                <w:bCs w:val="0"/>
                <w:i w:val="0"/>
                <w:iCs w:val="0"/>
                <w:color w:val="auto"/>
                <w:kern w:val="0"/>
                <w:sz w:val="21"/>
                <w:szCs w:val="21"/>
                <w:highlight w:val="none"/>
                <w:u w:val="none"/>
                <w:lang w:val="en-US" w:eastAsia="zh-CN" w:bidi="ar"/>
              </w:rPr>
              <w:t>等现行国家标准</w:t>
            </w:r>
            <w:r>
              <w:rPr>
                <w:rFonts w:hint="eastAsia" w:ascii="宋体" w:hAnsi="宋体" w:eastAsia="宋体" w:cs="宋体"/>
                <w:b w:val="0"/>
                <w:bCs w:val="0"/>
                <w:color w:val="auto"/>
                <w:sz w:val="21"/>
                <w:szCs w:val="21"/>
                <w:highlight w:val="none"/>
                <w:u w:val="none"/>
                <w:lang w:bidi="ar"/>
              </w:rPr>
              <w:t>）</w:t>
            </w: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689640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0CC09DD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1C89C7D2">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6C96D8AE">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★13.具备绊线或越界入侵、区域入侵、徘徊、快速移动、人员聚集等智能行为分析功能，具备联动抓拍或录像、报警。</w:t>
            </w:r>
          </w:p>
        </w:tc>
        <w:tc>
          <w:tcPr>
            <w:tcW w:w="3804" w:type="dxa"/>
            <w:tcBorders>
              <w:tl2br w:val="nil"/>
              <w:tr2bl w:val="nil"/>
            </w:tcBorders>
            <w:shd w:val="clear" w:color="auto" w:fill="auto"/>
            <w:vAlign w:val="center"/>
          </w:tcPr>
          <w:p w14:paraId="2F46B35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提供原厂公开技术文档（白皮书、彩页、官网规格页截图及链接地址）。</w:t>
            </w:r>
          </w:p>
        </w:tc>
      </w:tr>
      <w:tr w14:paraId="266396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0498122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7C1284CC">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5506A927">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★17.防护等级：≥IP67。</w:t>
            </w:r>
          </w:p>
        </w:tc>
        <w:tc>
          <w:tcPr>
            <w:tcW w:w="3804" w:type="dxa"/>
            <w:tcBorders>
              <w:tl2br w:val="nil"/>
              <w:tr2bl w:val="nil"/>
            </w:tcBorders>
            <w:shd w:val="clear" w:color="auto" w:fill="auto"/>
            <w:vAlign w:val="center"/>
          </w:tcPr>
          <w:p w14:paraId="7600082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提供所投产品的检测报告原件关键页扫描件（依据</w:t>
            </w:r>
            <w:r>
              <w:rPr>
                <w:rFonts w:hint="eastAsia" w:ascii="宋体" w:hAnsi="宋体" w:eastAsia="宋体" w:cs="宋体"/>
                <w:b w:val="0"/>
                <w:bCs w:val="0"/>
                <w:i w:val="0"/>
                <w:iCs w:val="0"/>
                <w:color w:val="auto"/>
                <w:kern w:val="0"/>
                <w:sz w:val="21"/>
                <w:szCs w:val="21"/>
                <w:highlight w:val="none"/>
                <w:u w:val="none"/>
                <w:lang w:val="en-US" w:eastAsia="zh-CN" w:bidi="ar"/>
              </w:rPr>
              <w:t>GA/T 645-2014或</w:t>
            </w:r>
            <w:r>
              <w:rPr>
                <w:rFonts w:hint="eastAsia" w:ascii="宋体" w:hAnsi="宋体" w:eastAsia="宋体" w:cs="宋体"/>
                <w:b w:val="0"/>
                <w:bCs w:val="0"/>
                <w:i w:val="0"/>
                <w:iCs w:val="0"/>
                <w:color w:val="auto"/>
                <w:sz w:val="21"/>
                <w:szCs w:val="21"/>
                <w:highlight w:val="none"/>
                <w:u w:val="none"/>
                <w:lang w:val="en-US" w:eastAsia="zh-CN" w:bidi="ar"/>
              </w:rPr>
              <w:t>GB/T 15211-2013或GA/T 1127-2013或GB/T4208-2017标准）等相关现行国家标准）。</w:t>
            </w:r>
          </w:p>
        </w:tc>
      </w:tr>
      <w:tr w14:paraId="3F30E2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407BB3F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320CB1CF">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0D7BCC05">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★18.符合GB/T 28181、Onvif、IPv4/IPv6协议标准。</w:t>
            </w:r>
          </w:p>
        </w:tc>
        <w:tc>
          <w:tcPr>
            <w:tcW w:w="3804" w:type="dxa"/>
            <w:tcBorders>
              <w:tl2br w:val="nil"/>
              <w:tr2bl w:val="nil"/>
            </w:tcBorders>
            <w:shd w:val="clear" w:color="auto" w:fill="auto"/>
            <w:vAlign w:val="center"/>
          </w:tcPr>
          <w:p w14:paraId="1DD10AC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提供所投产品原厂公开技术文档（白皮书、彩页、官网规格页截图及链接地址）或提供承诺函（格式自拟）</w:t>
            </w:r>
            <w:r>
              <w:rPr>
                <w:rFonts w:hint="eastAsia" w:ascii="宋体" w:hAnsi="宋体" w:eastAsia="宋体" w:cs="宋体"/>
                <w:b w:val="0"/>
                <w:bCs w:val="0"/>
                <w:color w:val="auto"/>
                <w:sz w:val="21"/>
                <w:szCs w:val="21"/>
                <w:highlight w:val="none"/>
                <w:u w:val="none"/>
                <w:lang w:val="en-US" w:eastAsia="zh-CN" w:bidi="ar"/>
              </w:rPr>
              <w:t>。</w:t>
            </w:r>
          </w:p>
        </w:tc>
      </w:tr>
      <w:tr w14:paraId="28E54F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37" w:type="dxa"/>
            <w:vMerge w:val="restart"/>
            <w:tcBorders>
              <w:tl2br w:val="nil"/>
              <w:tr2bl w:val="nil"/>
            </w:tcBorders>
            <w:shd w:val="clear" w:color="auto" w:fill="auto"/>
            <w:vAlign w:val="center"/>
          </w:tcPr>
          <w:p w14:paraId="5397AF4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heme="minorEastAsia" w:hAnsiTheme="minorEastAsia" w:eastAsiaTheme="minorEastAsia" w:cstheme="minorEastAsia"/>
                <w:b/>
                <w:bCs/>
                <w:i w:val="0"/>
                <w:iCs w:val="0"/>
                <w:color w:val="auto"/>
                <w:kern w:val="0"/>
                <w:sz w:val="21"/>
                <w:szCs w:val="21"/>
                <w:u w:val="none"/>
                <w:lang w:val="en-US" w:eastAsia="zh-CN" w:bidi="ar"/>
              </w:rPr>
            </w:pPr>
            <w:r>
              <w:rPr>
                <w:rFonts w:hint="eastAsia" w:asciiTheme="minorEastAsia" w:hAnsiTheme="minorEastAsia" w:eastAsiaTheme="minorEastAsia" w:cstheme="minorEastAsia"/>
                <w:b/>
                <w:bCs/>
                <w:i w:val="0"/>
                <w:iCs w:val="0"/>
                <w:color w:val="auto"/>
                <w:kern w:val="0"/>
                <w:sz w:val="21"/>
                <w:szCs w:val="21"/>
                <w:u w:val="none"/>
                <w:lang w:val="en-US" w:eastAsia="zh-CN" w:bidi="ar"/>
              </w:rPr>
              <w:t>7</w:t>
            </w:r>
          </w:p>
        </w:tc>
        <w:tc>
          <w:tcPr>
            <w:tcW w:w="1438" w:type="dxa"/>
            <w:vMerge w:val="restart"/>
            <w:tcBorders>
              <w:tl2br w:val="nil"/>
              <w:tr2bl w:val="nil"/>
            </w:tcBorders>
            <w:shd w:val="clear" w:color="auto" w:fill="auto"/>
            <w:vAlign w:val="center"/>
          </w:tcPr>
          <w:p w14:paraId="64D4A261">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8电口POE千兆交换机</w:t>
            </w:r>
          </w:p>
        </w:tc>
        <w:tc>
          <w:tcPr>
            <w:tcW w:w="2800" w:type="dxa"/>
            <w:tcBorders>
              <w:tl2br w:val="nil"/>
              <w:tr2bl w:val="nil"/>
            </w:tcBorders>
            <w:shd w:val="clear" w:color="auto" w:fill="auto"/>
            <w:vAlign w:val="center"/>
          </w:tcPr>
          <w:p w14:paraId="0B05B66B">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lang w:val="en-US" w:eastAsia="zh-CN"/>
              </w:rPr>
              <w:t>★1.交换能力≥256Gbps ，包转发速率≥25Mpps，≥8个千兆电口，≥1个1G SPF千兆光口</w:t>
            </w:r>
            <w:r>
              <w:rPr>
                <w:rFonts w:hint="eastAsia" w:ascii="宋体" w:hAnsi="宋体" w:cs="宋体"/>
                <w:b w:val="0"/>
                <w:bCs w:val="0"/>
                <w:color w:val="auto"/>
                <w:sz w:val="21"/>
                <w:szCs w:val="21"/>
                <w:highlight w:val="none"/>
                <w:lang w:val="en-US" w:eastAsia="zh-CN"/>
              </w:rPr>
              <w:t>。</w:t>
            </w:r>
          </w:p>
        </w:tc>
        <w:tc>
          <w:tcPr>
            <w:tcW w:w="3804" w:type="dxa"/>
            <w:tcBorders>
              <w:tl2br w:val="nil"/>
              <w:tr2bl w:val="nil"/>
            </w:tcBorders>
            <w:shd w:val="clear" w:color="auto" w:fill="auto"/>
            <w:vAlign w:val="center"/>
          </w:tcPr>
          <w:p w14:paraId="0970984C">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lang w:val="en-US" w:eastAsia="zh-CN"/>
              </w:rPr>
              <w:t>提供官网截图或原厂白皮书或检测报告加盖公章。</w:t>
            </w:r>
          </w:p>
        </w:tc>
      </w:tr>
      <w:tr w14:paraId="38BFEC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7CAE6EF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51F6F29A">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7C106BC2">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lang w:val="en-US" w:eastAsia="zh-CN"/>
              </w:rPr>
              <w:t>★2.支持802.3at POE+功能 ；POE功率≥120W</w:t>
            </w:r>
            <w:r>
              <w:rPr>
                <w:rFonts w:hint="eastAsia" w:ascii="宋体" w:hAnsi="宋体" w:cs="宋体"/>
                <w:b w:val="0"/>
                <w:bCs w:val="0"/>
                <w:color w:val="auto"/>
                <w:sz w:val="21"/>
                <w:szCs w:val="21"/>
                <w:highlight w:val="none"/>
                <w:lang w:val="en-US" w:eastAsia="zh-CN"/>
              </w:rPr>
              <w:t>。</w:t>
            </w:r>
          </w:p>
        </w:tc>
        <w:tc>
          <w:tcPr>
            <w:tcW w:w="3804" w:type="dxa"/>
            <w:tcBorders>
              <w:tl2br w:val="nil"/>
              <w:tr2bl w:val="nil"/>
            </w:tcBorders>
            <w:shd w:val="clear" w:color="auto" w:fill="auto"/>
            <w:vAlign w:val="center"/>
          </w:tcPr>
          <w:p w14:paraId="39CC310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lang w:val="en-US" w:eastAsia="zh-CN"/>
              </w:rPr>
              <w:t>提供原厂白皮书或者产品彩页或者官网截图（带链接）（实际供电需满足学校使用需求）。</w:t>
            </w:r>
          </w:p>
        </w:tc>
      </w:tr>
      <w:tr w14:paraId="7D3FC5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48E7291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2C2B8471">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61F0D445">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lang w:val="en-US" w:eastAsia="zh-CN"/>
              </w:rPr>
              <w:t>★11.所投产品具备工业和信息化部颁发的进网许可证（CTA认证）</w:t>
            </w:r>
            <w:r>
              <w:rPr>
                <w:rFonts w:hint="eastAsia" w:ascii="宋体" w:hAnsi="宋体" w:cs="宋体"/>
                <w:b w:val="0"/>
                <w:bCs w:val="0"/>
                <w:color w:val="auto"/>
                <w:sz w:val="21"/>
                <w:szCs w:val="21"/>
                <w:highlight w:val="none"/>
                <w:lang w:val="en-US" w:eastAsia="zh-CN"/>
              </w:rPr>
              <w:t>。</w:t>
            </w:r>
          </w:p>
        </w:tc>
        <w:tc>
          <w:tcPr>
            <w:tcW w:w="3804" w:type="dxa"/>
            <w:tcBorders>
              <w:tl2br w:val="nil"/>
              <w:tr2bl w:val="nil"/>
            </w:tcBorders>
            <w:shd w:val="clear" w:color="auto" w:fill="auto"/>
            <w:vAlign w:val="center"/>
          </w:tcPr>
          <w:p w14:paraId="74843812">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lang w:val="en-US" w:eastAsia="zh-CN"/>
              </w:rPr>
              <w:t>提供证书扫描件和工信部网站查询的进网许可截图。</w:t>
            </w:r>
          </w:p>
        </w:tc>
      </w:tr>
      <w:tr w14:paraId="64E348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restart"/>
            <w:tcBorders>
              <w:tl2br w:val="nil"/>
              <w:tr2bl w:val="nil"/>
            </w:tcBorders>
            <w:shd w:val="clear" w:color="auto" w:fill="auto"/>
            <w:vAlign w:val="center"/>
          </w:tcPr>
          <w:p w14:paraId="17F11E9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heme="minorEastAsia" w:hAnsiTheme="minorEastAsia" w:eastAsiaTheme="minorEastAsia" w:cstheme="minorEastAsia"/>
                <w:b/>
                <w:bCs/>
                <w:i w:val="0"/>
                <w:iCs w:val="0"/>
                <w:color w:val="auto"/>
                <w:kern w:val="0"/>
                <w:sz w:val="21"/>
                <w:szCs w:val="21"/>
                <w:u w:val="none"/>
                <w:lang w:val="en-US" w:eastAsia="zh-CN" w:bidi="ar"/>
              </w:rPr>
            </w:pPr>
            <w:r>
              <w:rPr>
                <w:rFonts w:hint="eastAsia" w:asciiTheme="minorEastAsia" w:hAnsiTheme="minorEastAsia" w:eastAsiaTheme="minorEastAsia" w:cstheme="minorEastAsia"/>
                <w:b/>
                <w:bCs/>
                <w:i w:val="0"/>
                <w:iCs w:val="0"/>
                <w:color w:val="auto"/>
                <w:kern w:val="0"/>
                <w:sz w:val="21"/>
                <w:szCs w:val="21"/>
                <w:u w:val="none"/>
                <w:lang w:val="en-US" w:eastAsia="zh-CN" w:bidi="ar"/>
              </w:rPr>
              <w:t>8</w:t>
            </w:r>
          </w:p>
        </w:tc>
        <w:tc>
          <w:tcPr>
            <w:tcW w:w="1438" w:type="dxa"/>
            <w:vMerge w:val="restart"/>
            <w:tcBorders>
              <w:tl2br w:val="nil"/>
              <w:tr2bl w:val="nil"/>
            </w:tcBorders>
            <w:shd w:val="clear" w:color="auto" w:fill="auto"/>
            <w:vAlign w:val="center"/>
          </w:tcPr>
          <w:p w14:paraId="1E2AE61E">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24口POE交换机</w:t>
            </w:r>
          </w:p>
        </w:tc>
        <w:tc>
          <w:tcPr>
            <w:tcW w:w="2800" w:type="dxa"/>
            <w:tcBorders>
              <w:tl2br w:val="nil"/>
              <w:tr2bl w:val="nil"/>
            </w:tcBorders>
            <w:shd w:val="clear" w:color="auto" w:fill="auto"/>
            <w:vAlign w:val="center"/>
          </w:tcPr>
          <w:p w14:paraId="72F836F5">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lang w:val="en-US" w:eastAsia="zh-CN"/>
              </w:rPr>
              <w:t>★1. 端口配置：提供 ≥24 个 10/100/1000M 自适应以太网电口（RJ45），全部支持不低于 IEEE 802.3at（PoE+）；提供 ≥4 个 千兆SFP光口。</w:t>
            </w:r>
          </w:p>
        </w:tc>
        <w:tc>
          <w:tcPr>
            <w:tcW w:w="3804" w:type="dxa"/>
            <w:vMerge w:val="restart"/>
            <w:tcBorders>
              <w:tl2br w:val="nil"/>
              <w:tr2bl w:val="nil"/>
            </w:tcBorders>
            <w:shd w:val="clear" w:color="auto" w:fill="auto"/>
            <w:vAlign w:val="center"/>
          </w:tcPr>
          <w:p w14:paraId="5EB2B5D8">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lang w:val="en-US" w:eastAsia="zh-CN"/>
              </w:rPr>
              <w:t>提供原厂公开技术文档（白皮书、彩页、官网规格页截图及链接地址均可）</w:t>
            </w:r>
          </w:p>
        </w:tc>
      </w:tr>
      <w:tr w14:paraId="308861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3445483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2D75021F">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35D40448">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 交换性能：</w:t>
            </w:r>
          </w:p>
          <w:p w14:paraId="74BEF8C1">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lang w:val="en-US" w:eastAsia="zh-CN"/>
              </w:rPr>
              <w:t>整机交换容量 ≥600 Gbps；整机包转发率 ≥ 120 Mpps。</w:t>
            </w:r>
          </w:p>
        </w:tc>
        <w:tc>
          <w:tcPr>
            <w:tcW w:w="3804" w:type="dxa"/>
            <w:vMerge w:val="continue"/>
            <w:tcBorders>
              <w:tl2br w:val="nil"/>
              <w:tr2bl w:val="nil"/>
            </w:tcBorders>
            <w:shd w:val="clear" w:color="auto" w:fill="auto"/>
            <w:vAlign w:val="center"/>
          </w:tcPr>
          <w:p w14:paraId="0A643EA4">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b w:val="0"/>
                <w:bCs w:val="0"/>
                <w:i w:val="0"/>
                <w:iCs w:val="0"/>
                <w:color w:val="auto"/>
                <w:sz w:val="21"/>
                <w:szCs w:val="21"/>
                <w:highlight w:val="none"/>
                <w:u w:val="none"/>
                <w:lang w:val="en-US" w:eastAsia="zh-CN" w:bidi="ar"/>
              </w:rPr>
            </w:pPr>
          </w:p>
        </w:tc>
      </w:tr>
      <w:tr w14:paraId="6CFFB5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7DDD077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3037C1CE">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1F907407">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lang w:val="en-US" w:eastAsia="zh-CN"/>
              </w:rPr>
              <w:t>★3. PoE标准与功率：至少支持 IEEE 802.3at（PoE+），同时可POE供电端口≥24个；整机可用PoE功率 ≥ 370W。（实际供电需满足学校使用需求）。</w:t>
            </w:r>
          </w:p>
        </w:tc>
        <w:tc>
          <w:tcPr>
            <w:tcW w:w="3804" w:type="dxa"/>
            <w:tcBorders>
              <w:tl2br w:val="nil"/>
              <w:tr2bl w:val="nil"/>
            </w:tcBorders>
            <w:shd w:val="clear" w:color="auto" w:fill="auto"/>
            <w:vAlign w:val="center"/>
          </w:tcPr>
          <w:p w14:paraId="4EE44071">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lang w:val="en-US" w:eastAsia="zh-CN"/>
              </w:rPr>
              <w:t>提供原厂公开技术文档（白皮书、彩页、官网规格页截图及链接地址均可）</w:t>
            </w:r>
          </w:p>
        </w:tc>
      </w:tr>
      <w:tr w14:paraId="3BA796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61CD399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12F0E82C">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5B66B85D">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lang w:val="en-US" w:eastAsia="zh-CN"/>
              </w:rPr>
              <w:t>★13. 电信设备进网许可（CTA）：所投产品必须具备工业和信息化部核发的有效《电信设备进网许可证》。</w:t>
            </w:r>
          </w:p>
        </w:tc>
        <w:tc>
          <w:tcPr>
            <w:tcW w:w="3804" w:type="dxa"/>
            <w:tcBorders>
              <w:tl2br w:val="nil"/>
              <w:tr2bl w:val="nil"/>
            </w:tcBorders>
            <w:shd w:val="clear" w:color="auto" w:fill="auto"/>
            <w:vAlign w:val="center"/>
          </w:tcPr>
          <w:p w14:paraId="205FDF23">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lang w:val="en-US" w:eastAsia="zh-CN"/>
              </w:rPr>
              <w:t>投标时须提供：进网许可证清晰扫描件；工信部官网查询结果截图，显示设备型号、生产企业、许可证编号及状态为“有效”。</w:t>
            </w:r>
          </w:p>
        </w:tc>
      </w:tr>
      <w:tr w14:paraId="59ACF2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restart"/>
            <w:tcBorders>
              <w:tl2br w:val="nil"/>
              <w:tr2bl w:val="nil"/>
            </w:tcBorders>
            <w:shd w:val="clear" w:color="auto" w:fill="auto"/>
            <w:vAlign w:val="center"/>
          </w:tcPr>
          <w:p w14:paraId="215DDC1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heme="minorEastAsia" w:hAnsiTheme="minorEastAsia" w:eastAsiaTheme="minorEastAsia" w:cstheme="minorEastAsia"/>
                <w:b/>
                <w:bCs/>
                <w:i w:val="0"/>
                <w:iCs w:val="0"/>
                <w:color w:val="auto"/>
                <w:kern w:val="0"/>
                <w:sz w:val="21"/>
                <w:szCs w:val="21"/>
                <w:u w:val="none"/>
                <w:lang w:val="en-US" w:eastAsia="zh-CN" w:bidi="ar"/>
              </w:rPr>
            </w:pPr>
            <w:r>
              <w:rPr>
                <w:rFonts w:hint="eastAsia" w:asciiTheme="minorEastAsia" w:hAnsiTheme="minorEastAsia" w:eastAsiaTheme="minorEastAsia" w:cstheme="minorEastAsia"/>
                <w:b/>
                <w:bCs/>
                <w:i w:val="0"/>
                <w:iCs w:val="0"/>
                <w:color w:val="auto"/>
                <w:kern w:val="0"/>
                <w:sz w:val="21"/>
                <w:szCs w:val="21"/>
                <w:u w:val="none"/>
                <w:lang w:val="en-US" w:eastAsia="zh-CN" w:bidi="ar"/>
              </w:rPr>
              <w:t>11</w:t>
            </w:r>
          </w:p>
        </w:tc>
        <w:tc>
          <w:tcPr>
            <w:tcW w:w="1438" w:type="dxa"/>
            <w:vMerge w:val="restart"/>
            <w:tcBorders>
              <w:tl2br w:val="nil"/>
              <w:tr2bl w:val="nil"/>
            </w:tcBorders>
            <w:shd w:val="clear" w:color="auto" w:fill="auto"/>
            <w:vAlign w:val="center"/>
          </w:tcPr>
          <w:p w14:paraId="5B906227">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六类4对非屏蔽双绞线</w:t>
            </w:r>
          </w:p>
        </w:tc>
        <w:tc>
          <w:tcPr>
            <w:tcW w:w="2800" w:type="dxa"/>
            <w:tcBorders>
              <w:tl2br w:val="nil"/>
              <w:tr2bl w:val="nil"/>
            </w:tcBorders>
            <w:shd w:val="clear" w:color="auto" w:fill="auto"/>
            <w:vAlign w:val="center"/>
          </w:tcPr>
          <w:p w14:paraId="40E62F81">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★1.线规：6类电缆（250MHz），23AWG、导体材料为纯度不低于99.9%实心无氧铜（OFC），线芯：带十字芯骨架。</w:t>
            </w:r>
          </w:p>
        </w:tc>
        <w:tc>
          <w:tcPr>
            <w:tcW w:w="3804" w:type="dxa"/>
            <w:tcBorders>
              <w:tl2br w:val="nil"/>
              <w:tr2bl w:val="nil"/>
            </w:tcBorders>
            <w:shd w:val="clear" w:color="auto" w:fill="auto"/>
            <w:vAlign w:val="center"/>
          </w:tcPr>
          <w:p w14:paraId="74B94C0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提供所投产品符合现行国家或行业标准的检测报告原件关键页扫描件或者提供所投产品生产企业的产品技术规格书；提供检测报告的，检测依据应符合相关标准并按第四章商务要求（其他要求的第2条）中明确的要求、提供相关佐证材料。</w:t>
            </w:r>
          </w:p>
        </w:tc>
      </w:tr>
      <w:tr w14:paraId="5DCCF4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5426EB7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20051FFB">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4EB38E1F">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提供所投六类非屏蔽低烟无卤双绞线不少于以下技术参数的检测报告：单根导体直流电阻、近端串音衰减(NEXT)、近端串音衰减功率和（PSNEXT）、衰减远端串音比(ACR-F)、衰减远端串音比功率和(PSACR-F)、特性阻抗(Zm)、回波损耗（ReturnLoss）。</w:t>
            </w:r>
          </w:p>
        </w:tc>
        <w:tc>
          <w:tcPr>
            <w:tcW w:w="3804" w:type="dxa"/>
            <w:tcBorders>
              <w:tl2br w:val="nil"/>
              <w:tr2bl w:val="nil"/>
            </w:tcBorders>
            <w:shd w:val="clear" w:color="auto" w:fill="auto"/>
            <w:vAlign w:val="center"/>
          </w:tcPr>
          <w:p w14:paraId="638BAEB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提供所投产品的检测报告原件扫描件（依据YD/T1019-2023等现行国家或行业标准），检测报告数量不作要求；按第四章商务要求（其他要求的第2条）中明确的要求、提供相关佐证材料。</w:t>
            </w:r>
          </w:p>
        </w:tc>
      </w:tr>
      <w:tr w14:paraId="5704DB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1DC0759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167757F5">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1E72F64E">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★4.燃烧性能要求：所投六类非屏蔽低烟无卤双绞线至少达到单根电缆火焰垂直蔓延试验要求。</w:t>
            </w:r>
          </w:p>
        </w:tc>
        <w:tc>
          <w:tcPr>
            <w:tcW w:w="3804" w:type="dxa"/>
            <w:tcBorders>
              <w:tl2br w:val="nil"/>
              <w:tr2bl w:val="nil"/>
            </w:tcBorders>
            <w:shd w:val="clear" w:color="auto" w:fill="auto"/>
            <w:vAlign w:val="center"/>
          </w:tcPr>
          <w:p w14:paraId="0BB6BC9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提供所投产品检测报告原件扫描件（符合GB/T18380.12-2022或IEC60332-1-2：2015标准中的单根电缆火焰垂直蔓延试验要求）；按第四章商务要求（其他要求的第2条）中明确的要求、提供相关佐证材料。</w:t>
            </w:r>
          </w:p>
        </w:tc>
      </w:tr>
      <w:tr w14:paraId="1E26B9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21D1485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03388D51">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7652CF99">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★5.烟密度：透光率应不小于50%。</w:t>
            </w:r>
          </w:p>
        </w:tc>
        <w:tc>
          <w:tcPr>
            <w:tcW w:w="3804" w:type="dxa"/>
            <w:tcBorders>
              <w:tl2br w:val="nil"/>
              <w:tr2bl w:val="nil"/>
            </w:tcBorders>
            <w:shd w:val="clear" w:color="auto" w:fill="auto"/>
            <w:vAlign w:val="center"/>
          </w:tcPr>
          <w:p w14:paraId="11DC854B">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提供所投产品的检测报告原件关键页扫描件（符合GB/T17651.2-2021或IEC61034-2:2019标准）；按第四章商务要求（其他要求的第2条）中明确的要求、提供相关佐证材料。</w:t>
            </w:r>
          </w:p>
        </w:tc>
      </w:tr>
      <w:tr w14:paraId="394DCE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5B578DE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54255985">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7585C530">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★6.提供承诺函，承诺所投产品符合YD/T1019-2023等现行国家或行业标准针对双绞多芯对称电缆的要求，格式自拟。</w:t>
            </w:r>
          </w:p>
        </w:tc>
        <w:tc>
          <w:tcPr>
            <w:tcW w:w="3804" w:type="dxa"/>
            <w:tcBorders>
              <w:tl2br w:val="nil"/>
              <w:tr2bl w:val="nil"/>
            </w:tcBorders>
            <w:shd w:val="clear" w:color="auto" w:fill="auto"/>
            <w:vAlign w:val="center"/>
          </w:tcPr>
          <w:p w14:paraId="242624D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提供承诺函，承诺所投产品符合YD/T1019-2023等现行国家或行业标准针对双绞多芯对称电缆的要求，格式自拟。</w:t>
            </w:r>
          </w:p>
        </w:tc>
      </w:tr>
      <w:tr w14:paraId="5EBC32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restart"/>
            <w:tcBorders>
              <w:tl2br w:val="nil"/>
              <w:tr2bl w:val="nil"/>
            </w:tcBorders>
            <w:shd w:val="clear" w:color="auto" w:fill="auto"/>
            <w:vAlign w:val="center"/>
          </w:tcPr>
          <w:p w14:paraId="2AB3C8A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heme="minorEastAsia" w:hAnsiTheme="minorEastAsia" w:eastAsiaTheme="minorEastAsia" w:cstheme="minorEastAsia"/>
                <w:b/>
                <w:bCs/>
                <w:i w:val="0"/>
                <w:iCs w:val="0"/>
                <w:color w:val="auto"/>
                <w:kern w:val="0"/>
                <w:sz w:val="21"/>
                <w:szCs w:val="21"/>
                <w:u w:val="none"/>
                <w:lang w:val="en-US" w:eastAsia="zh-CN" w:bidi="ar"/>
              </w:rPr>
            </w:pPr>
            <w:r>
              <w:rPr>
                <w:rFonts w:hint="eastAsia" w:asciiTheme="minorEastAsia" w:hAnsiTheme="minorEastAsia" w:eastAsiaTheme="minorEastAsia" w:cstheme="minorEastAsia"/>
                <w:b/>
                <w:bCs/>
                <w:i w:val="0"/>
                <w:iCs w:val="0"/>
                <w:color w:val="auto"/>
                <w:kern w:val="0"/>
                <w:sz w:val="21"/>
                <w:szCs w:val="21"/>
                <w:u w:val="none"/>
                <w:lang w:val="en-US" w:eastAsia="zh-CN" w:bidi="ar"/>
              </w:rPr>
              <w:t>13</w:t>
            </w:r>
          </w:p>
        </w:tc>
        <w:tc>
          <w:tcPr>
            <w:tcW w:w="1438" w:type="dxa"/>
            <w:vMerge w:val="restart"/>
            <w:tcBorders>
              <w:tl2br w:val="nil"/>
              <w:tr2bl w:val="nil"/>
            </w:tcBorders>
            <w:shd w:val="clear" w:color="auto" w:fill="auto"/>
            <w:vAlign w:val="center"/>
          </w:tcPr>
          <w:p w14:paraId="18640029">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48盘位存储</w:t>
            </w:r>
          </w:p>
        </w:tc>
        <w:tc>
          <w:tcPr>
            <w:tcW w:w="2800" w:type="dxa"/>
            <w:tcBorders>
              <w:tl2br w:val="nil"/>
              <w:tr2bl w:val="nil"/>
            </w:tcBorders>
            <w:shd w:val="clear" w:color="auto" w:fill="auto"/>
            <w:vAlign w:val="center"/>
          </w:tcPr>
          <w:p w14:paraId="12974D84">
            <w:pPr>
              <w:keepNext w:val="0"/>
              <w:keepLines w:val="0"/>
              <w:pageBreakBefore w:val="0"/>
              <w:widowControl/>
              <w:numPr>
                <w:ilvl w:val="0"/>
                <w:numId w:val="72"/>
              </w:numPr>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性能与业务能力</w:t>
            </w:r>
          </w:p>
          <w:p w14:paraId="786C5BCA">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w:t>
            </w:r>
            <w:r>
              <w:rPr>
                <w:rFonts w:hint="eastAsia" w:ascii="宋体" w:hAnsi="宋体" w:eastAsia="宋体" w:cs="宋体"/>
                <w:color w:val="auto"/>
                <w:sz w:val="21"/>
                <w:szCs w:val="21"/>
                <w:highlight w:val="none"/>
                <w:lang w:val="en-US" w:eastAsia="zh-CN"/>
              </w:rPr>
              <w:t>5.音视频处理性能：最大并发 写入（存储+转发）带宽 ≥ 2048 Mbps；最大并发 回放带宽 ≥ 1024 Mbps。 注：性能指标应基于 H.264/H.265 主码流实测值，不含压缩比虚标。</w:t>
            </w:r>
          </w:p>
        </w:tc>
        <w:tc>
          <w:tcPr>
            <w:tcW w:w="3804" w:type="dxa"/>
            <w:tcBorders>
              <w:tl2br w:val="nil"/>
              <w:tr2bl w:val="nil"/>
            </w:tcBorders>
            <w:shd w:val="clear" w:color="auto" w:fill="auto"/>
            <w:vAlign w:val="center"/>
          </w:tcPr>
          <w:p w14:paraId="7A0174FF">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bCs/>
                <w:color w:val="auto"/>
                <w:kern w:val="0"/>
                <w:sz w:val="21"/>
                <w:szCs w:val="21"/>
                <w:highlight w:val="none"/>
                <w:lang w:val="en-US" w:eastAsia="zh-CN" w:bidi="ar"/>
              </w:rPr>
              <w:t>提供原厂公开技术文档（白皮书、彩页、官网规格页截图及链接地址均可）</w:t>
            </w:r>
            <w:r>
              <w:rPr>
                <w:rFonts w:hint="eastAsia" w:ascii="宋体" w:hAnsi="宋体" w:eastAsia="宋体" w:cs="宋体"/>
                <w:color w:val="auto"/>
                <w:sz w:val="21"/>
                <w:szCs w:val="21"/>
                <w:highlight w:val="none"/>
                <w:lang w:val="en-US" w:eastAsia="zh-CN"/>
              </w:rPr>
              <w:t>。</w:t>
            </w:r>
          </w:p>
        </w:tc>
      </w:tr>
      <w:tr w14:paraId="589A79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0EB5CA3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3EF6A0AA">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6B67D18A">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w:t>
            </w:r>
            <w:r>
              <w:rPr>
                <w:rFonts w:hint="eastAsia" w:ascii="宋体" w:hAnsi="宋体" w:eastAsia="宋体" w:cs="宋体"/>
                <w:color w:val="auto"/>
                <w:sz w:val="21"/>
                <w:szCs w:val="21"/>
                <w:highlight w:val="none"/>
                <w:lang w:val="en-US" w:eastAsia="zh-CN"/>
              </w:rPr>
              <w:t>6.直存与协议支持：支持 视频流与图片流直写存储（即前端IPC/NVR通过标准协议直接写入存储，无需中间服务器）；支持标准协议接入：ONVIF、GB/T 28181、RTSP、RTP、PSIA、SIP；支持 IPv4/IPv6 双栈网络。</w:t>
            </w:r>
          </w:p>
        </w:tc>
        <w:tc>
          <w:tcPr>
            <w:tcW w:w="3804" w:type="dxa"/>
            <w:tcBorders>
              <w:tl2br w:val="nil"/>
              <w:tr2bl w:val="nil"/>
            </w:tcBorders>
            <w:shd w:val="clear" w:color="auto" w:fill="auto"/>
            <w:vAlign w:val="center"/>
          </w:tcPr>
          <w:p w14:paraId="293DE4B4">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bCs/>
                <w:color w:val="auto"/>
                <w:kern w:val="0"/>
                <w:sz w:val="21"/>
                <w:szCs w:val="21"/>
                <w:highlight w:val="none"/>
                <w:lang w:val="en-US" w:eastAsia="zh-CN" w:bidi="ar"/>
              </w:rPr>
              <w:t>提供原厂公开技术文档（白皮书、彩页、官网规格页截图及链接地址均可）</w:t>
            </w:r>
            <w:r>
              <w:rPr>
                <w:rFonts w:hint="eastAsia" w:ascii="宋体" w:hAnsi="宋体" w:eastAsia="宋体" w:cs="宋体"/>
                <w:color w:val="auto"/>
                <w:sz w:val="21"/>
                <w:szCs w:val="21"/>
                <w:highlight w:val="none"/>
                <w:lang w:val="en-US" w:eastAsia="zh-CN"/>
              </w:rPr>
              <w:t>。</w:t>
            </w:r>
          </w:p>
        </w:tc>
      </w:tr>
      <w:tr w14:paraId="63488D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4A66620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6A1D2BB9">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6E8C7378">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w:t>
            </w:r>
            <w:r>
              <w:rPr>
                <w:rFonts w:hint="eastAsia" w:ascii="宋体" w:hAnsi="宋体" w:eastAsia="宋体" w:cs="宋体"/>
                <w:color w:val="auto"/>
                <w:sz w:val="21"/>
                <w:szCs w:val="21"/>
                <w:highlight w:val="none"/>
                <w:lang w:val="en-US" w:eastAsia="zh-CN"/>
              </w:rPr>
              <w:t>四、数据保护与可靠性。（本部分每一条参数均要</w:t>
            </w:r>
            <w:r>
              <w:rPr>
                <w:rFonts w:hint="eastAsia" w:ascii="宋体" w:hAnsi="宋体" w:eastAsia="宋体" w:cs="宋体"/>
                <w:b/>
                <w:bCs/>
                <w:color w:val="auto"/>
                <w:kern w:val="0"/>
                <w:sz w:val="21"/>
                <w:szCs w:val="21"/>
                <w:highlight w:val="none"/>
                <w:lang w:val="en-US" w:eastAsia="zh-CN" w:bidi="ar"/>
              </w:rPr>
              <w:t>提供原厂公开技术文档（白皮书、彩页、官网规格页截图及链接地址均可）</w:t>
            </w:r>
          </w:p>
          <w:p w14:paraId="739E312E">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lang w:val="en-US" w:eastAsia="zh-CN"/>
              </w:rPr>
              <w:t>8. RAID 与热备：支持 RAID 0/1/3/5/6/10/50/60 及 JBOD 模式；支持 全局热备盘（Global Hot Spare）与局部热备盘（Dedicated Hot Spare），故障硬盘自动重建。</w:t>
            </w:r>
          </w:p>
        </w:tc>
        <w:tc>
          <w:tcPr>
            <w:tcW w:w="3804" w:type="dxa"/>
            <w:vMerge w:val="restart"/>
            <w:tcBorders>
              <w:tl2br w:val="nil"/>
              <w:tr2bl w:val="nil"/>
            </w:tcBorders>
            <w:shd w:val="clear" w:color="auto" w:fill="auto"/>
            <w:vAlign w:val="center"/>
          </w:tcPr>
          <w:p w14:paraId="5F92F1E3">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lang w:val="en-US" w:eastAsia="zh-CN"/>
              </w:rPr>
              <w:t>本部分每一条参数均要</w:t>
            </w:r>
            <w:r>
              <w:rPr>
                <w:rFonts w:hint="eastAsia" w:ascii="宋体" w:hAnsi="宋体" w:eastAsia="宋体" w:cs="宋体"/>
                <w:b/>
                <w:bCs/>
                <w:color w:val="auto"/>
                <w:kern w:val="0"/>
                <w:sz w:val="21"/>
                <w:szCs w:val="21"/>
                <w:highlight w:val="none"/>
                <w:lang w:val="en-US" w:eastAsia="zh-CN" w:bidi="ar"/>
              </w:rPr>
              <w:t>提供原厂公开技术文档（白皮书、彩页、官网规格页截图及链接地址均可</w:t>
            </w:r>
            <w:r>
              <w:rPr>
                <w:rFonts w:hint="eastAsia" w:ascii="宋体" w:hAnsi="宋体" w:cs="宋体"/>
                <w:b/>
                <w:bCs/>
                <w:color w:val="auto"/>
                <w:kern w:val="0"/>
                <w:sz w:val="21"/>
                <w:szCs w:val="21"/>
                <w:highlight w:val="none"/>
                <w:lang w:val="en-US" w:eastAsia="zh-CN" w:bidi="ar"/>
              </w:rPr>
              <w:t>）</w:t>
            </w:r>
          </w:p>
        </w:tc>
      </w:tr>
      <w:tr w14:paraId="1D75C2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29FB44D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539BF791">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61AD9CF9">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lang w:val="en-US" w:eastAsia="zh-CN"/>
              </w:rPr>
              <w:t>9. 数据可靠性技术：支持 纠删码（Erasure Coding）或同等数据冗余技术，在多盘故障场景下仍可保障数据可恢复性（适用于高可靠部署）。</w:t>
            </w:r>
          </w:p>
        </w:tc>
        <w:tc>
          <w:tcPr>
            <w:tcW w:w="3804" w:type="dxa"/>
            <w:vMerge w:val="continue"/>
            <w:tcBorders>
              <w:tl2br w:val="nil"/>
              <w:tr2bl w:val="nil"/>
            </w:tcBorders>
            <w:shd w:val="clear" w:color="auto" w:fill="auto"/>
            <w:vAlign w:val="center"/>
          </w:tcPr>
          <w:p w14:paraId="5FEE606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b w:val="0"/>
                <w:bCs w:val="0"/>
                <w:i w:val="0"/>
                <w:iCs w:val="0"/>
                <w:color w:val="auto"/>
                <w:sz w:val="21"/>
                <w:szCs w:val="21"/>
                <w:highlight w:val="none"/>
                <w:u w:val="none"/>
                <w:lang w:val="en-US" w:eastAsia="zh-CN" w:bidi="ar"/>
              </w:rPr>
            </w:pPr>
          </w:p>
        </w:tc>
      </w:tr>
      <w:tr w14:paraId="3D9535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7390CCF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15D22D1E">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08611D61">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lang w:val="en-US" w:eastAsia="zh-CN"/>
              </w:rPr>
              <w:t>10. 硬件与系统监控告警：设备应能对以下异常事件主动告警（至少支持平台推送）：IP/MAC 地址冲突；网口速率降级（如千兆降至百兆）；电源、风扇、电池故障；无硬盘、RAID 异常、存储空间满；录像丢帧、SSD 健康度预警；无热备盘、网络安全异常（如非法登录锁定）。</w:t>
            </w:r>
          </w:p>
        </w:tc>
        <w:tc>
          <w:tcPr>
            <w:tcW w:w="3804" w:type="dxa"/>
            <w:vMerge w:val="continue"/>
            <w:tcBorders>
              <w:tl2br w:val="nil"/>
              <w:tr2bl w:val="nil"/>
            </w:tcBorders>
            <w:shd w:val="clear" w:color="auto" w:fill="auto"/>
            <w:vAlign w:val="center"/>
          </w:tcPr>
          <w:p w14:paraId="005B9316">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b w:val="0"/>
                <w:bCs w:val="0"/>
                <w:i w:val="0"/>
                <w:iCs w:val="0"/>
                <w:color w:val="auto"/>
                <w:sz w:val="21"/>
                <w:szCs w:val="21"/>
                <w:highlight w:val="none"/>
                <w:u w:val="none"/>
                <w:lang w:val="en-US" w:eastAsia="zh-CN" w:bidi="ar"/>
              </w:rPr>
            </w:pPr>
          </w:p>
        </w:tc>
      </w:tr>
      <w:tr w14:paraId="31F8D9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71B96B9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5C698FC6">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760D7459">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lang w:val="en-US" w:eastAsia="zh-CN"/>
              </w:rPr>
              <w:t>★12. 强制性认证：所投设备须具备以下有效期CCC 证书清晰扫描件和节能认证证书扫描件。</w:t>
            </w:r>
          </w:p>
        </w:tc>
        <w:tc>
          <w:tcPr>
            <w:tcW w:w="3804" w:type="dxa"/>
            <w:tcBorders>
              <w:tl2br w:val="nil"/>
              <w:tr2bl w:val="nil"/>
            </w:tcBorders>
            <w:shd w:val="clear" w:color="auto" w:fill="auto"/>
            <w:vAlign w:val="center"/>
          </w:tcPr>
          <w:p w14:paraId="5B92705B">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lang w:val="en-US" w:eastAsia="zh-CN"/>
              </w:rPr>
              <w:t>所投设备须具备以下有效期CCC 证书清晰扫描件和节能认证证书扫描件。</w:t>
            </w:r>
          </w:p>
        </w:tc>
      </w:tr>
      <w:tr w14:paraId="4113FC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6AE5364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1CA64E3B">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03DB15F8">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w:t>
            </w:r>
            <w:r>
              <w:rPr>
                <w:rFonts w:hint="eastAsia" w:ascii="宋体" w:hAnsi="宋体" w:eastAsia="宋体" w:cs="宋体"/>
                <w:color w:val="auto"/>
                <w:kern w:val="0"/>
                <w:sz w:val="21"/>
                <w:szCs w:val="21"/>
                <w:highlight w:val="none"/>
                <w:lang w:val="en-US" w:eastAsia="zh-CN" w:bidi="ar"/>
              </w:rPr>
              <w:t>13</w:t>
            </w:r>
            <w:r>
              <w:rPr>
                <w:rFonts w:hint="eastAsia" w:ascii="宋体" w:hAnsi="宋体" w:eastAsia="宋体" w:cs="宋体"/>
                <w:color w:val="auto"/>
                <w:kern w:val="0"/>
                <w:sz w:val="21"/>
                <w:szCs w:val="21"/>
                <w:highlight w:val="none"/>
                <w:lang w:bidi="ar"/>
              </w:rPr>
              <w:t>、支持Onvif、RTSP协议接入，支持国标GB28181接入 。</w:t>
            </w:r>
          </w:p>
        </w:tc>
        <w:tc>
          <w:tcPr>
            <w:tcW w:w="3804" w:type="dxa"/>
            <w:tcBorders>
              <w:tl2br w:val="nil"/>
              <w:tr2bl w:val="nil"/>
            </w:tcBorders>
            <w:shd w:val="clear" w:color="auto" w:fill="auto"/>
            <w:vAlign w:val="center"/>
          </w:tcPr>
          <w:p w14:paraId="0B07365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bCs/>
                <w:color w:val="auto"/>
                <w:kern w:val="0"/>
                <w:sz w:val="21"/>
                <w:szCs w:val="21"/>
                <w:highlight w:val="none"/>
                <w:lang w:val="en-US" w:eastAsia="zh-CN" w:bidi="ar"/>
              </w:rPr>
              <w:t>提供原厂公开技术文档（白皮书、彩页、官网规格页截图及链接地址均可）。</w:t>
            </w:r>
          </w:p>
        </w:tc>
      </w:tr>
    </w:tbl>
    <w:p w14:paraId="3537FD16">
      <w:pPr>
        <w:numPr>
          <w:ilvl w:val="0"/>
          <w:numId w:val="0"/>
        </w:numPr>
        <w:spacing w:line="276" w:lineRule="auto"/>
        <w:rPr>
          <w:rFonts w:hint="eastAsia" w:asciiTheme="minorEastAsia" w:hAnsiTheme="minorEastAsia" w:eastAsiaTheme="minorEastAsia" w:cstheme="minorEastAsia"/>
          <w:color w:val="auto"/>
          <w:sz w:val="24"/>
          <w:szCs w:val="24"/>
        </w:rPr>
      </w:pPr>
    </w:p>
    <w:p w14:paraId="623502D6">
      <w:pPr>
        <w:pStyle w:val="6"/>
        <w:numPr>
          <w:ilvl w:val="0"/>
          <w:numId w:val="73"/>
        </w:numPr>
        <w:topLinePunct w:val="0"/>
        <w:ind w:left="0" w:leftChars="0" w:firstLine="0" w:firstLineChars="0"/>
        <w:rPr>
          <w:b w:val="0"/>
        </w:rPr>
      </w:pPr>
      <w:r>
        <w:rPr>
          <w:rFonts w:hint="eastAsia"/>
          <w:lang w:val="en-US" w:eastAsia="zh-CN"/>
        </w:rPr>
        <w:t>常州市北郊</w:t>
      </w:r>
      <w:r>
        <w:t>高</w:t>
      </w:r>
      <w:r>
        <w:rPr>
          <w:rFonts w:hint="eastAsia"/>
          <w:lang w:val="en-US" w:eastAsia="zh-CN"/>
        </w:rPr>
        <w:t>级中学</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737"/>
        <w:gridCol w:w="1438"/>
        <w:gridCol w:w="2841"/>
        <w:gridCol w:w="3796"/>
      </w:tblGrid>
      <w:tr w14:paraId="51536C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tcBorders>
              <w:tl2br w:val="nil"/>
              <w:tr2bl w:val="nil"/>
            </w:tcBorders>
            <w:shd w:val="clear" w:color="auto" w:fill="auto"/>
            <w:vAlign w:val="center"/>
          </w:tcPr>
          <w:p w14:paraId="06D85F3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b/>
                <w:bCs/>
                <w:i w:val="0"/>
                <w:iCs w:val="0"/>
                <w:color w:val="auto"/>
                <w:kern w:val="0"/>
                <w:sz w:val="21"/>
                <w:szCs w:val="21"/>
                <w:u w:val="none"/>
                <w:lang w:val="en-US" w:eastAsia="zh-CN" w:bidi="ar"/>
              </w:rPr>
              <w:t>设备序号</w:t>
            </w:r>
          </w:p>
        </w:tc>
        <w:tc>
          <w:tcPr>
            <w:tcW w:w="1438" w:type="dxa"/>
            <w:tcBorders>
              <w:tl2br w:val="nil"/>
              <w:tr2bl w:val="nil"/>
            </w:tcBorders>
            <w:shd w:val="clear" w:color="auto" w:fill="auto"/>
            <w:vAlign w:val="center"/>
          </w:tcPr>
          <w:p w14:paraId="1D5A067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sz w:val="21"/>
                <w:szCs w:val="21"/>
                <w:u w:val="none"/>
                <w:lang w:val="en-US"/>
              </w:rPr>
            </w:pPr>
            <w:r>
              <w:rPr>
                <w:rFonts w:hint="eastAsia" w:asciiTheme="minorEastAsia" w:hAnsiTheme="minorEastAsia" w:eastAsiaTheme="minorEastAsia" w:cstheme="minorEastAsia"/>
                <w:b/>
                <w:bCs/>
                <w:i w:val="0"/>
                <w:iCs w:val="0"/>
                <w:color w:val="auto"/>
                <w:kern w:val="0"/>
                <w:sz w:val="21"/>
                <w:szCs w:val="21"/>
                <w:u w:val="none"/>
                <w:lang w:val="en-US" w:eastAsia="zh-CN" w:bidi="ar"/>
              </w:rPr>
              <w:t>设备名称</w:t>
            </w:r>
          </w:p>
        </w:tc>
        <w:tc>
          <w:tcPr>
            <w:tcW w:w="2841" w:type="dxa"/>
            <w:tcBorders>
              <w:tl2br w:val="nil"/>
              <w:tr2bl w:val="nil"/>
            </w:tcBorders>
            <w:shd w:val="clear" w:color="auto" w:fill="auto"/>
            <w:vAlign w:val="center"/>
          </w:tcPr>
          <w:p w14:paraId="6D0364D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sz w:val="21"/>
                <w:szCs w:val="21"/>
                <w:u w:val="none"/>
                <w:lang w:val="en-US"/>
              </w:rPr>
            </w:pPr>
            <w:r>
              <w:rPr>
                <w:rFonts w:hint="eastAsia" w:asciiTheme="minorEastAsia" w:hAnsiTheme="minorEastAsia" w:eastAsiaTheme="minorEastAsia" w:cstheme="minorEastAsia"/>
                <w:b/>
                <w:bCs/>
                <w:i w:val="0"/>
                <w:iCs w:val="0"/>
                <w:color w:val="auto"/>
                <w:kern w:val="0"/>
                <w:sz w:val="21"/>
                <w:szCs w:val="21"/>
                <w:u w:val="none"/>
                <w:lang w:val="en-US" w:eastAsia="zh-CN" w:bidi="ar"/>
              </w:rPr>
              <w:t>技术参数或要求</w:t>
            </w:r>
          </w:p>
        </w:tc>
        <w:tc>
          <w:tcPr>
            <w:tcW w:w="3796" w:type="dxa"/>
            <w:tcBorders>
              <w:tl2br w:val="nil"/>
              <w:tr2bl w:val="nil"/>
            </w:tcBorders>
            <w:shd w:val="clear" w:color="auto" w:fill="auto"/>
            <w:vAlign w:val="center"/>
          </w:tcPr>
          <w:p w14:paraId="6B7AC5D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sz w:val="21"/>
                <w:szCs w:val="21"/>
                <w:u w:val="none"/>
                <w:lang w:val="en-US"/>
              </w:rPr>
            </w:pPr>
            <w:r>
              <w:rPr>
                <w:rFonts w:hint="eastAsia" w:asciiTheme="minorEastAsia" w:hAnsiTheme="minorEastAsia" w:eastAsiaTheme="minorEastAsia" w:cstheme="minorEastAsia"/>
                <w:b/>
                <w:bCs/>
                <w:i w:val="0"/>
                <w:iCs w:val="0"/>
                <w:color w:val="auto"/>
                <w:kern w:val="0"/>
                <w:sz w:val="21"/>
                <w:szCs w:val="21"/>
                <w:u w:val="none"/>
                <w:lang w:val="en-US" w:eastAsia="zh-CN" w:bidi="ar"/>
              </w:rPr>
              <w:t>证明材料</w:t>
            </w:r>
          </w:p>
        </w:tc>
      </w:tr>
      <w:tr w14:paraId="7BD3A8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737" w:type="dxa"/>
            <w:vMerge w:val="restart"/>
            <w:tcBorders>
              <w:tl2br w:val="nil"/>
              <w:tr2bl w:val="nil"/>
            </w:tcBorders>
            <w:shd w:val="clear" w:color="auto" w:fill="auto"/>
            <w:vAlign w:val="center"/>
          </w:tcPr>
          <w:p w14:paraId="3ED0A4C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heme="minorEastAsia" w:hAnsiTheme="minorEastAsia" w:eastAsiaTheme="minorEastAsia" w:cstheme="minorEastAsia"/>
                <w:b/>
                <w:bCs/>
                <w:i w:val="0"/>
                <w:iCs w:val="0"/>
                <w:color w:val="auto"/>
                <w:kern w:val="0"/>
                <w:sz w:val="21"/>
                <w:szCs w:val="21"/>
                <w:u w:val="none"/>
                <w:lang w:val="en-US" w:eastAsia="zh-CN" w:bidi="ar"/>
              </w:rPr>
            </w:pPr>
            <w:r>
              <w:rPr>
                <w:rFonts w:hint="eastAsia" w:asciiTheme="minorEastAsia" w:hAnsiTheme="minorEastAsia" w:eastAsiaTheme="minorEastAsia" w:cstheme="minorEastAsia"/>
                <w:b/>
                <w:bCs/>
                <w:i w:val="0"/>
                <w:iCs w:val="0"/>
                <w:color w:val="auto"/>
                <w:kern w:val="0"/>
                <w:sz w:val="21"/>
                <w:szCs w:val="21"/>
                <w:u w:val="none"/>
                <w:lang w:val="en-US" w:eastAsia="zh-CN" w:bidi="ar"/>
              </w:rPr>
              <w:t>1</w:t>
            </w:r>
          </w:p>
        </w:tc>
        <w:tc>
          <w:tcPr>
            <w:tcW w:w="1438" w:type="dxa"/>
            <w:vMerge w:val="restart"/>
            <w:tcBorders>
              <w:tl2br w:val="nil"/>
              <w:tr2bl w:val="nil"/>
            </w:tcBorders>
            <w:shd w:val="clear" w:color="auto" w:fill="auto"/>
            <w:vAlign w:val="center"/>
          </w:tcPr>
          <w:p w14:paraId="7D16396A">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六类4对非屏蔽双绞线</w:t>
            </w:r>
          </w:p>
          <w:p w14:paraId="107B88E3">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41" w:type="dxa"/>
            <w:tcBorders>
              <w:tl2br w:val="nil"/>
              <w:tr2bl w:val="nil"/>
            </w:tcBorders>
            <w:shd w:val="clear" w:color="auto" w:fill="auto"/>
            <w:vAlign w:val="center"/>
          </w:tcPr>
          <w:p w14:paraId="207200D9">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leftChars="0" w:firstLine="0" w:firstLineChars="0"/>
              <w:jc w:val="left"/>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★1.线规：6类电缆（250MHz），23AWG、导体材料为纯度不低于99.9%实心无氧铜（OFC），线芯：带十字芯骨架。</w:t>
            </w:r>
          </w:p>
        </w:tc>
        <w:tc>
          <w:tcPr>
            <w:tcW w:w="3796" w:type="dxa"/>
            <w:tcBorders>
              <w:tl2br w:val="nil"/>
              <w:tr2bl w:val="nil"/>
            </w:tcBorders>
            <w:shd w:val="clear" w:color="auto" w:fill="auto"/>
            <w:vAlign w:val="center"/>
          </w:tcPr>
          <w:p w14:paraId="1A3D23DC">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提供所投产品符合现行国家或行业标准的检测报告原件关键页扫描件或者提供所投产品生产企业的产品技术规格书；提供检测报告的，检测依据应符合相关标准并按第四章商务要求（其他要求的第2条）中明确的要求、提供相关佐证材料。</w:t>
            </w:r>
          </w:p>
        </w:tc>
      </w:tr>
      <w:tr w14:paraId="182A3C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68BA411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2D1B2E2B">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2841" w:type="dxa"/>
            <w:tcBorders>
              <w:tl2br w:val="nil"/>
              <w:tr2bl w:val="nil"/>
            </w:tcBorders>
            <w:shd w:val="clear" w:color="auto" w:fill="auto"/>
            <w:vAlign w:val="center"/>
          </w:tcPr>
          <w:p w14:paraId="5841F62C">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leftChars="0" w:firstLine="0" w:firstLineChars="0"/>
              <w:jc w:val="left"/>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提供所投六类非屏蔽低烟无卤双绞线不少于以下技术参数的检测报告：单根导体直流电阻、近端串音衰减(NEXT)、近端串音衰减功率和（PSNEXT）、衰减远端串音比(ACR-F)、衰减远端串音比功率和(PSACR-F)、特性阻抗(Zm)、回波损耗（ReturnLoss）。</w:t>
            </w:r>
          </w:p>
        </w:tc>
        <w:tc>
          <w:tcPr>
            <w:tcW w:w="3796" w:type="dxa"/>
            <w:tcBorders>
              <w:tl2br w:val="nil"/>
              <w:tr2bl w:val="nil"/>
            </w:tcBorders>
            <w:shd w:val="clear" w:color="auto" w:fill="auto"/>
            <w:vAlign w:val="center"/>
          </w:tcPr>
          <w:p w14:paraId="47011CAD">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提供所投产品的检测报告原件扫描件（依据YD/T1019-2023等现行国家或行业标准），检测报告数量不作要求；按第四章商务要求（其他要求的第2条）中明确的要求、提供相关佐证材料。</w:t>
            </w:r>
          </w:p>
        </w:tc>
      </w:tr>
      <w:tr w14:paraId="5AA2EE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52F9E43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5985A4CF">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2841" w:type="dxa"/>
            <w:tcBorders>
              <w:tl2br w:val="nil"/>
              <w:tr2bl w:val="nil"/>
            </w:tcBorders>
            <w:shd w:val="clear" w:color="auto" w:fill="auto"/>
            <w:vAlign w:val="center"/>
          </w:tcPr>
          <w:p w14:paraId="6E403016">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leftChars="0" w:firstLine="0" w:firstLineChars="0"/>
              <w:jc w:val="left"/>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★4.燃烧性能要求：所投六类非屏蔽低烟无卤双绞线至少达到单根电缆火焰垂直蔓延试验要求。</w:t>
            </w:r>
          </w:p>
        </w:tc>
        <w:tc>
          <w:tcPr>
            <w:tcW w:w="3796" w:type="dxa"/>
            <w:tcBorders>
              <w:tl2br w:val="nil"/>
              <w:tr2bl w:val="nil"/>
            </w:tcBorders>
            <w:shd w:val="clear" w:color="auto" w:fill="auto"/>
            <w:vAlign w:val="center"/>
          </w:tcPr>
          <w:p w14:paraId="12495124">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提供所投产品检测报告原件扫描件（符合GB/T18380.12-2022或IEC60332-1-2：2015标准中的单根电缆火焰垂直蔓延试验要求）；按第四章商务要求（其他要求的第2条）中明确的要求、提供相关佐证材料。</w:t>
            </w:r>
          </w:p>
        </w:tc>
      </w:tr>
      <w:tr w14:paraId="4FF733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3087919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09BA2997">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2841" w:type="dxa"/>
            <w:tcBorders>
              <w:tl2br w:val="nil"/>
              <w:tr2bl w:val="nil"/>
            </w:tcBorders>
            <w:shd w:val="clear" w:color="auto" w:fill="auto"/>
            <w:vAlign w:val="center"/>
          </w:tcPr>
          <w:p w14:paraId="2FAFEC77">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leftChars="0" w:firstLine="0" w:firstLineChars="0"/>
              <w:jc w:val="left"/>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★5.烟密度：透光率应不小于50%。</w:t>
            </w:r>
          </w:p>
        </w:tc>
        <w:tc>
          <w:tcPr>
            <w:tcW w:w="3796" w:type="dxa"/>
            <w:tcBorders>
              <w:tl2br w:val="nil"/>
              <w:tr2bl w:val="nil"/>
            </w:tcBorders>
            <w:shd w:val="clear" w:color="auto" w:fill="auto"/>
            <w:vAlign w:val="center"/>
          </w:tcPr>
          <w:p w14:paraId="36273E62">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提供所投产品的检测报告原件关键页扫描件（符合GB/T17651.2-2021或IEC61034-2:2019标准）；按第四章商务要求（其他要求的第2条）中明确的要求、提供相关佐证材料。</w:t>
            </w:r>
          </w:p>
        </w:tc>
      </w:tr>
      <w:tr w14:paraId="55727A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80" w:hRule="atLeast"/>
          <w:jc w:val="center"/>
        </w:trPr>
        <w:tc>
          <w:tcPr>
            <w:tcW w:w="737" w:type="dxa"/>
            <w:vMerge w:val="continue"/>
            <w:tcBorders>
              <w:tl2br w:val="nil"/>
              <w:tr2bl w:val="nil"/>
            </w:tcBorders>
            <w:shd w:val="clear" w:color="auto" w:fill="auto"/>
            <w:vAlign w:val="center"/>
          </w:tcPr>
          <w:p w14:paraId="4704EC6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67DF9601">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2841" w:type="dxa"/>
            <w:tcBorders>
              <w:tl2br w:val="nil"/>
              <w:tr2bl w:val="nil"/>
            </w:tcBorders>
            <w:shd w:val="clear" w:color="auto" w:fill="auto"/>
            <w:vAlign w:val="center"/>
          </w:tcPr>
          <w:p w14:paraId="2A3DFEC2">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leftChars="0" w:firstLine="0" w:firstLineChars="0"/>
              <w:jc w:val="left"/>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★6.提供承诺函，承诺所投产品符合YD/T1019-2023等现行国家或行业标准针对双绞多芯对称电缆的要求，格式自拟。</w:t>
            </w:r>
          </w:p>
        </w:tc>
        <w:tc>
          <w:tcPr>
            <w:tcW w:w="3796" w:type="dxa"/>
            <w:tcBorders>
              <w:tl2br w:val="nil"/>
              <w:tr2bl w:val="nil"/>
            </w:tcBorders>
            <w:shd w:val="clear" w:color="auto" w:fill="auto"/>
            <w:vAlign w:val="center"/>
          </w:tcPr>
          <w:p w14:paraId="15963C83">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提供承诺函，承诺所投产品符合YD/T1019-2023等现行国家或行业标准针对双绞多芯对称电缆的要求，格式自拟。</w:t>
            </w:r>
          </w:p>
        </w:tc>
      </w:tr>
      <w:tr w14:paraId="400E2F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tcBorders>
              <w:tl2br w:val="nil"/>
              <w:tr2bl w:val="nil"/>
            </w:tcBorders>
            <w:shd w:val="clear" w:color="auto" w:fill="auto"/>
            <w:vAlign w:val="center"/>
          </w:tcPr>
          <w:p w14:paraId="019B78D9">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7</w:t>
            </w:r>
          </w:p>
        </w:tc>
        <w:tc>
          <w:tcPr>
            <w:tcW w:w="1438" w:type="dxa"/>
            <w:tcBorders>
              <w:tl2br w:val="nil"/>
              <w:tr2bl w:val="nil"/>
            </w:tcBorders>
            <w:shd w:val="clear" w:color="auto" w:fill="auto"/>
            <w:vAlign w:val="center"/>
          </w:tcPr>
          <w:p w14:paraId="3C2DC2EC">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六类非屏蔽模块</w:t>
            </w:r>
          </w:p>
        </w:tc>
        <w:tc>
          <w:tcPr>
            <w:tcW w:w="2841" w:type="dxa"/>
            <w:tcBorders>
              <w:tl2br w:val="nil"/>
              <w:tr2bl w:val="nil"/>
            </w:tcBorders>
            <w:shd w:val="clear" w:color="auto" w:fill="auto"/>
            <w:vAlign w:val="center"/>
          </w:tcPr>
          <w:p w14:paraId="482CCC97">
            <w:pPr>
              <w:keepNext w:val="0"/>
              <w:keepLines w:val="0"/>
              <w:pageBreakBefore w:val="0"/>
              <w:widowControl/>
              <w:numPr>
                <w:ilvl w:val="0"/>
                <w:numId w:val="0"/>
              </w:numPr>
              <w:kinsoku/>
              <w:wordWrap/>
              <w:overflowPunct/>
              <w:topLinePunct w:val="0"/>
              <w:autoSpaceDE/>
              <w:autoSpaceDN/>
              <w:bidi w:val="0"/>
              <w:adjustRightInd/>
              <w:snapToGrid/>
              <w:spacing w:line="400" w:lineRule="exact"/>
              <w:ind w:left="0" w:leftChars="0" w:firstLine="0" w:firstLineChars="0"/>
              <w:jc w:val="left"/>
              <w:textAlignment w:val="center"/>
              <w:rPr>
                <w:rFonts w:hint="eastAsia" w:eastAsia="宋体" w:asciiTheme="minorEastAsia" w:hAnsiTheme="minorEastAsia" w:cstheme="minorEastAsia"/>
                <w:b w:val="0"/>
                <w:bCs w:val="0"/>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w:t>
            </w:r>
            <w:r>
              <w:rPr>
                <w:rFonts w:hint="eastAsia" w:ascii="宋体" w:hAnsi="宋体" w:eastAsia="宋体" w:cs="宋体"/>
                <w:b w:val="0"/>
                <w:bCs w:val="0"/>
                <w:color w:val="auto"/>
                <w:sz w:val="21"/>
                <w:szCs w:val="21"/>
                <w:highlight w:val="none"/>
              </w:rPr>
              <w:t>6.与6类非屏蔽双绞线所组成的永久链路，其电气性能应符合GB</w:t>
            </w:r>
            <w:r>
              <w:rPr>
                <w:rFonts w:hint="eastAsia" w:ascii="宋体" w:hAnsi="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rPr>
              <w:t>T</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50312-2016</w:t>
            </w:r>
            <w:r>
              <w:rPr>
                <w:rFonts w:hint="eastAsia" w:ascii="宋体" w:hAnsi="宋体" w:eastAsia="宋体" w:cs="宋体"/>
                <w:b w:val="0"/>
                <w:bCs w:val="0"/>
                <w:color w:val="auto"/>
                <w:sz w:val="21"/>
                <w:szCs w:val="21"/>
                <w:highlight w:val="none"/>
                <w:lang w:val="en-US" w:eastAsia="zh-CN"/>
              </w:rPr>
              <w:t>或</w:t>
            </w:r>
            <w:r>
              <w:rPr>
                <w:rFonts w:hint="eastAsia" w:ascii="宋体" w:hAnsi="宋体" w:eastAsia="宋体" w:cs="宋体"/>
                <w:b w:val="0"/>
                <w:bCs w:val="0"/>
                <w:color w:val="auto"/>
                <w:sz w:val="21"/>
                <w:szCs w:val="21"/>
                <w:highlight w:val="none"/>
              </w:rPr>
              <w:t>ANSI/TIA-568.2-</w:t>
            </w:r>
            <w:r>
              <w:rPr>
                <w:rFonts w:hint="eastAsia" w:ascii="宋体" w:hAnsi="宋体" w:eastAsia="宋体" w:cs="宋体"/>
                <w:b w:val="0"/>
                <w:bCs w:val="0"/>
                <w:color w:val="auto"/>
                <w:sz w:val="21"/>
                <w:szCs w:val="21"/>
                <w:highlight w:val="none"/>
                <w:lang w:val="en-US" w:eastAsia="zh-CN"/>
              </w:rPr>
              <w:t>D:</w:t>
            </w:r>
            <w:r>
              <w:rPr>
                <w:rFonts w:hint="eastAsia" w:ascii="宋体" w:hAnsi="宋体" w:eastAsia="宋体" w:cs="宋体"/>
                <w:b w:val="0"/>
                <w:bCs w:val="0"/>
                <w:color w:val="auto"/>
                <w:sz w:val="21"/>
                <w:szCs w:val="21"/>
                <w:highlight w:val="none"/>
              </w:rPr>
              <w:t>20</w:t>
            </w:r>
            <w:r>
              <w:rPr>
                <w:rFonts w:hint="eastAsia" w:ascii="宋体" w:hAnsi="宋体" w:eastAsia="宋体" w:cs="宋体"/>
                <w:b w:val="0"/>
                <w:bCs w:val="0"/>
                <w:color w:val="auto"/>
                <w:sz w:val="21"/>
                <w:szCs w:val="21"/>
                <w:highlight w:val="none"/>
                <w:lang w:val="en-US" w:eastAsia="zh-CN"/>
              </w:rPr>
              <w:t>18</w:t>
            </w:r>
            <w:r>
              <w:rPr>
                <w:rFonts w:hint="eastAsia" w:ascii="宋体" w:hAnsi="宋体" w:eastAsia="宋体" w:cs="宋体"/>
                <w:b w:val="0"/>
                <w:bCs w:val="0"/>
                <w:color w:val="auto"/>
                <w:sz w:val="21"/>
                <w:szCs w:val="21"/>
                <w:highlight w:val="none"/>
              </w:rPr>
              <w:t>或TIA/EIA -568.2-</w:t>
            </w:r>
            <w:r>
              <w:rPr>
                <w:rFonts w:hint="eastAsia" w:ascii="宋体" w:hAnsi="宋体" w:eastAsia="宋体" w:cs="宋体"/>
                <w:b w:val="0"/>
                <w:bCs w:val="0"/>
                <w:color w:val="auto"/>
                <w:sz w:val="21"/>
                <w:szCs w:val="21"/>
                <w:highlight w:val="none"/>
                <w:lang w:val="en-US" w:eastAsia="zh-CN"/>
              </w:rPr>
              <w:t>D:</w:t>
            </w:r>
            <w:r>
              <w:rPr>
                <w:rFonts w:hint="eastAsia" w:ascii="宋体" w:hAnsi="宋体" w:eastAsia="宋体" w:cs="宋体"/>
                <w:b w:val="0"/>
                <w:bCs w:val="0"/>
                <w:color w:val="auto"/>
                <w:sz w:val="21"/>
                <w:szCs w:val="21"/>
                <w:highlight w:val="none"/>
              </w:rPr>
              <w:t>20</w:t>
            </w:r>
            <w:r>
              <w:rPr>
                <w:rFonts w:hint="eastAsia" w:ascii="宋体" w:hAnsi="宋体" w:eastAsia="宋体" w:cs="宋体"/>
                <w:b w:val="0"/>
                <w:bCs w:val="0"/>
                <w:color w:val="auto"/>
                <w:sz w:val="21"/>
                <w:szCs w:val="21"/>
                <w:highlight w:val="none"/>
                <w:lang w:val="en-US" w:eastAsia="zh-CN"/>
              </w:rPr>
              <w:t>18</w:t>
            </w:r>
            <w:r>
              <w:rPr>
                <w:rFonts w:hint="eastAsia" w:ascii="宋体" w:hAnsi="宋体" w:cs="宋体"/>
                <w:b w:val="0"/>
                <w:bCs w:val="0"/>
                <w:color w:val="auto"/>
                <w:sz w:val="21"/>
                <w:szCs w:val="21"/>
                <w:highlight w:val="none"/>
                <w:lang w:val="en-US" w:eastAsia="zh-CN"/>
              </w:rPr>
              <w:t>或ISO/IEC 11801-1</w:t>
            </w:r>
            <w:r>
              <w:rPr>
                <w:rFonts w:hint="eastAsia" w:ascii="宋体" w:hAnsi="宋体" w:eastAsia="宋体" w:cs="宋体"/>
                <w:b w:val="0"/>
                <w:bCs w:val="0"/>
                <w:color w:val="auto"/>
                <w:sz w:val="21"/>
                <w:szCs w:val="21"/>
                <w:highlight w:val="none"/>
                <w:lang w:val="en-US" w:eastAsia="zh-CN"/>
              </w:rPr>
              <w:t>现行国家或行业</w:t>
            </w:r>
            <w:r>
              <w:rPr>
                <w:rFonts w:hint="eastAsia" w:ascii="宋体" w:hAnsi="宋体" w:eastAsia="宋体" w:cs="宋体"/>
                <w:b w:val="0"/>
                <w:bCs w:val="0"/>
                <w:color w:val="auto"/>
                <w:sz w:val="21"/>
                <w:szCs w:val="21"/>
                <w:highlight w:val="none"/>
              </w:rPr>
              <w:t>标准的规定</w:t>
            </w:r>
            <w:r>
              <w:rPr>
                <w:rFonts w:hint="eastAsia" w:ascii="宋体" w:hAnsi="宋体" w:cs="宋体"/>
                <w:b w:val="0"/>
                <w:bCs w:val="0"/>
                <w:color w:val="auto"/>
                <w:sz w:val="21"/>
                <w:szCs w:val="21"/>
                <w:highlight w:val="none"/>
                <w:lang w:eastAsia="zh-CN"/>
              </w:rPr>
              <w:t>。</w:t>
            </w:r>
          </w:p>
        </w:tc>
        <w:tc>
          <w:tcPr>
            <w:tcW w:w="3796" w:type="dxa"/>
            <w:tcBorders>
              <w:tl2br w:val="nil"/>
              <w:tr2bl w:val="nil"/>
            </w:tcBorders>
            <w:shd w:val="clear" w:color="auto" w:fill="auto"/>
            <w:vAlign w:val="center"/>
          </w:tcPr>
          <w:p w14:paraId="02C5A35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color w:val="auto"/>
                <w:sz w:val="21"/>
                <w:szCs w:val="21"/>
                <w:highlight w:val="none"/>
              </w:rPr>
              <w:t>提供</w:t>
            </w:r>
            <w:r>
              <w:rPr>
                <w:rFonts w:hint="eastAsia" w:ascii="宋体" w:hAnsi="宋体" w:cs="宋体"/>
                <w:color w:val="auto"/>
                <w:highlight w:val="none"/>
              </w:rPr>
              <w:t>有CMA标志的</w:t>
            </w:r>
            <w:r>
              <w:rPr>
                <w:rFonts w:hint="eastAsia" w:ascii="宋体" w:hAnsi="宋体" w:cs="宋体"/>
                <w:color w:val="auto"/>
                <w:highlight w:val="none"/>
                <w:lang w:val="en-US" w:eastAsia="zh-CN"/>
              </w:rPr>
              <w:t>第三检测机构出具的</w:t>
            </w:r>
            <w:r>
              <w:rPr>
                <w:rFonts w:hint="eastAsia" w:ascii="宋体" w:hAnsi="宋体" w:eastAsia="宋体" w:cs="宋体"/>
                <w:b w:val="0"/>
                <w:bCs w:val="0"/>
                <w:color w:val="auto"/>
                <w:sz w:val="21"/>
                <w:szCs w:val="21"/>
                <w:highlight w:val="none"/>
              </w:rPr>
              <w:t>检测报告</w:t>
            </w:r>
            <w:r>
              <w:rPr>
                <w:rFonts w:hint="eastAsia" w:ascii="宋体" w:hAnsi="宋体" w:eastAsia="宋体" w:cs="宋体"/>
                <w:b w:val="0"/>
                <w:bCs w:val="0"/>
                <w:color w:val="auto"/>
                <w:sz w:val="21"/>
                <w:szCs w:val="21"/>
                <w:highlight w:val="none"/>
                <w:lang w:val="en-US" w:eastAsia="zh-CN"/>
              </w:rPr>
              <w:t>扫描件</w:t>
            </w:r>
            <w:r>
              <w:rPr>
                <w:rFonts w:hint="eastAsia" w:ascii="宋体" w:hAnsi="宋体" w:eastAsia="宋体" w:cs="宋体"/>
                <w:b w:val="0"/>
                <w:bCs w:val="0"/>
                <w:color w:val="auto"/>
                <w:sz w:val="21"/>
                <w:szCs w:val="21"/>
                <w:highlight w:val="none"/>
                <w:lang w:eastAsia="zh-CN"/>
              </w:rPr>
              <w:t>。</w:t>
            </w:r>
          </w:p>
        </w:tc>
      </w:tr>
      <w:tr w14:paraId="163AFD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tcBorders>
              <w:tl2br w:val="nil"/>
              <w:tr2bl w:val="nil"/>
            </w:tcBorders>
            <w:shd w:val="clear" w:color="auto" w:fill="auto"/>
            <w:vAlign w:val="center"/>
          </w:tcPr>
          <w:p w14:paraId="4C42493F">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color w:val="auto"/>
                <w:kern w:val="2"/>
                <w:sz w:val="21"/>
                <w:szCs w:val="21"/>
                <w:vertAlign w:val="baseli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8</w:t>
            </w:r>
          </w:p>
        </w:tc>
        <w:tc>
          <w:tcPr>
            <w:tcW w:w="1438" w:type="dxa"/>
            <w:tcBorders>
              <w:tl2br w:val="nil"/>
              <w:tr2bl w:val="nil"/>
            </w:tcBorders>
            <w:shd w:val="clear" w:color="auto" w:fill="auto"/>
            <w:vAlign w:val="center"/>
          </w:tcPr>
          <w:p w14:paraId="7658D460">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color w:val="auto"/>
                <w:kern w:val="2"/>
                <w:sz w:val="21"/>
                <w:szCs w:val="21"/>
                <w:vertAlign w:val="baseli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86型单口面板</w:t>
            </w:r>
          </w:p>
        </w:tc>
        <w:tc>
          <w:tcPr>
            <w:tcW w:w="2841" w:type="dxa"/>
            <w:tcBorders>
              <w:tl2br w:val="nil"/>
              <w:tr2bl w:val="nil"/>
            </w:tcBorders>
            <w:shd w:val="clear" w:color="auto" w:fill="auto"/>
            <w:vAlign w:val="center"/>
          </w:tcPr>
          <w:p w14:paraId="43171728">
            <w:pPr>
              <w:keepNext w:val="0"/>
              <w:keepLines w:val="0"/>
              <w:pageBreakBefore w:val="0"/>
              <w:widowControl/>
              <w:numPr>
                <w:ilvl w:val="0"/>
                <w:numId w:val="0"/>
              </w:numPr>
              <w:kinsoku/>
              <w:wordWrap/>
              <w:overflowPunct/>
              <w:topLinePunct w:val="0"/>
              <w:autoSpaceDE/>
              <w:autoSpaceDN/>
              <w:bidi w:val="0"/>
              <w:adjustRightInd/>
              <w:snapToGrid/>
              <w:spacing w:line="400" w:lineRule="exact"/>
              <w:ind w:left="0" w:leftChars="0" w:firstLine="0" w:firstLineChars="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w:t>
            </w:r>
            <w:r>
              <w:rPr>
                <w:rFonts w:hint="eastAsia" w:asciiTheme="minorEastAsia" w:hAnsiTheme="minorEastAsia" w:eastAsiaTheme="minorEastAsia" w:cstheme="minorEastAsia"/>
                <w:b/>
                <w:bCs/>
                <w:i w:val="0"/>
                <w:iCs w:val="0"/>
                <w:color w:val="auto"/>
                <w:kern w:val="0"/>
                <w:sz w:val="21"/>
                <w:szCs w:val="21"/>
                <w:u w:val="none"/>
                <w:lang w:val="en-US" w:eastAsia="zh-CN" w:bidi="ar"/>
              </w:rPr>
              <w:t>4.所投产品符合GB 20286-2006公共场所阻燃制品及组件燃烧性能要求和标识规定的不低于FV-1级要求。</w:t>
            </w:r>
          </w:p>
        </w:tc>
        <w:tc>
          <w:tcPr>
            <w:tcW w:w="3796" w:type="dxa"/>
            <w:tcBorders>
              <w:tl2br w:val="nil"/>
              <w:tr2bl w:val="nil"/>
            </w:tcBorders>
            <w:shd w:val="clear" w:color="auto" w:fill="auto"/>
            <w:vAlign w:val="center"/>
          </w:tcPr>
          <w:p w14:paraId="49F1F621">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b w:val="0"/>
                <w:bCs w:val="0"/>
                <w:color w:val="auto"/>
                <w:sz w:val="21"/>
                <w:szCs w:val="21"/>
                <w:highlight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提供检测报告，检测依据应符合相关标准（依据标准</w:t>
            </w:r>
            <w:r>
              <w:rPr>
                <w:rFonts w:hint="eastAsia" w:asciiTheme="minorEastAsia" w:hAnsiTheme="minorEastAsia" w:eastAsiaTheme="minorEastAsia" w:cstheme="minorEastAsia"/>
                <w:b/>
                <w:bCs/>
                <w:i w:val="0"/>
                <w:iCs w:val="0"/>
                <w:color w:val="auto"/>
                <w:kern w:val="0"/>
                <w:sz w:val="21"/>
                <w:szCs w:val="21"/>
                <w:u w:val="none"/>
                <w:lang w:val="en-US" w:eastAsia="zh-CN" w:bidi="ar"/>
              </w:rPr>
              <w:t>GB/T2408-2021，检测垂直燃烧试验的面板单体</w:t>
            </w: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）并按第四章商务要求（其他要求的第2条）中明确的要求、提供相关佐证材料。</w:t>
            </w:r>
          </w:p>
        </w:tc>
      </w:tr>
      <w:tr w14:paraId="1786BA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37" w:type="dxa"/>
            <w:tcBorders>
              <w:tl2br w:val="nil"/>
              <w:tr2bl w:val="nil"/>
            </w:tcBorders>
            <w:shd w:val="clear" w:color="auto" w:fill="auto"/>
            <w:vAlign w:val="center"/>
          </w:tcPr>
          <w:p w14:paraId="3EF5509E">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color w:val="auto"/>
                <w:kern w:val="2"/>
                <w:sz w:val="21"/>
                <w:szCs w:val="21"/>
                <w:vertAlign w:val="baseli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9</w:t>
            </w:r>
          </w:p>
        </w:tc>
        <w:tc>
          <w:tcPr>
            <w:tcW w:w="1438" w:type="dxa"/>
            <w:tcBorders>
              <w:tl2br w:val="nil"/>
              <w:tr2bl w:val="nil"/>
            </w:tcBorders>
            <w:shd w:val="clear" w:color="auto" w:fill="auto"/>
            <w:vAlign w:val="center"/>
          </w:tcPr>
          <w:p w14:paraId="6F50CD8B">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color w:val="auto"/>
                <w:kern w:val="2"/>
                <w:sz w:val="21"/>
                <w:szCs w:val="21"/>
                <w:vertAlign w:val="baseli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86型双口面板</w:t>
            </w:r>
          </w:p>
        </w:tc>
        <w:tc>
          <w:tcPr>
            <w:tcW w:w="2841" w:type="dxa"/>
            <w:tcBorders>
              <w:tl2br w:val="nil"/>
              <w:tr2bl w:val="nil"/>
            </w:tcBorders>
            <w:shd w:val="clear" w:color="auto" w:fill="auto"/>
            <w:vAlign w:val="center"/>
          </w:tcPr>
          <w:p w14:paraId="78A9FA85">
            <w:pPr>
              <w:keepNext w:val="0"/>
              <w:keepLines w:val="0"/>
              <w:pageBreakBefore w:val="0"/>
              <w:widowControl/>
              <w:numPr>
                <w:ilvl w:val="0"/>
                <w:numId w:val="0"/>
              </w:numPr>
              <w:kinsoku/>
              <w:wordWrap/>
              <w:overflowPunct/>
              <w:topLinePunct w:val="0"/>
              <w:autoSpaceDE/>
              <w:autoSpaceDN/>
              <w:bidi w:val="0"/>
              <w:adjustRightInd/>
              <w:snapToGrid/>
              <w:spacing w:line="400" w:lineRule="exact"/>
              <w:ind w:left="0" w:leftChars="0" w:firstLine="0" w:firstLineChars="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w:t>
            </w:r>
            <w:r>
              <w:rPr>
                <w:rFonts w:hint="eastAsia" w:asciiTheme="minorEastAsia" w:hAnsiTheme="minorEastAsia" w:eastAsiaTheme="minorEastAsia" w:cstheme="minorEastAsia"/>
                <w:b/>
                <w:bCs/>
                <w:i w:val="0"/>
                <w:iCs w:val="0"/>
                <w:color w:val="auto"/>
                <w:kern w:val="0"/>
                <w:sz w:val="21"/>
                <w:szCs w:val="21"/>
                <w:u w:val="none"/>
                <w:lang w:val="en-US" w:eastAsia="zh-CN" w:bidi="ar"/>
              </w:rPr>
              <w:t>4.所投产品符合GB 20286-2006公共场所阻燃制品及组件燃烧性能要求和标识规定的不低于FV-1级要求。</w:t>
            </w:r>
          </w:p>
        </w:tc>
        <w:tc>
          <w:tcPr>
            <w:tcW w:w="3796" w:type="dxa"/>
            <w:tcBorders>
              <w:tl2br w:val="nil"/>
              <w:tr2bl w:val="nil"/>
            </w:tcBorders>
            <w:shd w:val="clear" w:color="auto" w:fill="auto"/>
            <w:vAlign w:val="center"/>
          </w:tcPr>
          <w:p w14:paraId="706919A1">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b w:val="0"/>
                <w:bCs w:val="0"/>
                <w:color w:val="auto"/>
                <w:sz w:val="21"/>
                <w:szCs w:val="21"/>
                <w:highlight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提供检测报告，检测依据应符合相关标准（依据标准</w:t>
            </w:r>
            <w:r>
              <w:rPr>
                <w:rFonts w:hint="eastAsia" w:asciiTheme="minorEastAsia" w:hAnsiTheme="minorEastAsia" w:eastAsiaTheme="minorEastAsia" w:cstheme="minorEastAsia"/>
                <w:b/>
                <w:bCs/>
                <w:i w:val="0"/>
                <w:iCs w:val="0"/>
                <w:color w:val="auto"/>
                <w:kern w:val="0"/>
                <w:sz w:val="21"/>
                <w:szCs w:val="21"/>
                <w:u w:val="none"/>
                <w:lang w:val="en-US" w:eastAsia="zh-CN" w:bidi="ar"/>
              </w:rPr>
              <w:t>GB/T2408-2021，检测垂直燃烧试验的面板单体</w:t>
            </w: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）并按第四章商务要求（其他要求的第2条）中明确的要求、提供相关佐证材料。</w:t>
            </w:r>
          </w:p>
        </w:tc>
      </w:tr>
      <w:tr w14:paraId="0DCC80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37" w:type="dxa"/>
            <w:vMerge w:val="restart"/>
            <w:tcBorders>
              <w:tl2br w:val="nil"/>
              <w:tr2bl w:val="nil"/>
            </w:tcBorders>
            <w:shd w:val="clear" w:color="auto" w:fill="auto"/>
            <w:vAlign w:val="center"/>
          </w:tcPr>
          <w:p w14:paraId="5CFC65EC">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default"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10</w:t>
            </w:r>
          </w:p>
        </w:tc>
        <w:tc>
          <w:tcPr>
            <w:tcW w:w="1438" w:type="dxa"/>
            <w:vMerge w:val="restart"/>
            <w:tcBorders>
              <w:tl2br w:val="nil"/>
              <w:tr2bl w:val="nil"/>
            </w:tcBorders>
            <w:shd w:val="clear" w:color="auto" w:fill="auto"/>
            <w:vAlign w:val="center"/>
          </w:tcPr>
          <w:p w14:paraId="456F9007">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8芯室内单模光缆</w:t>
            </w:r>
          </w:p>
        </w:tc>
        <w:tc>
          <w:tcPr>
            <w:tcW w:w="2841" w:type="dxa"/>
            <w:tcBorders>
              <w:tl2br w:val="nil"/>
              <w:tr2bl w:val="nil"/>
            </w:tcBorders>
            <w:shd w:val="clear" w:color="auto" w:fill="auto"/>
            <w:vAlign w:val="center"/>
          </w:tcPr>
          <w:p w14:paraId="66A283C6">
            <w:pPr>
              <w:keepNext w:val="0"/>
              <w:keepLines w:val="0"/>
              <w:pageBreakBefore w:val="0"/>
              <w:numPr>
                <w:ilvl w:val="1"/>
                <w:numId w:val="0"/>
              </w:numPr>
              <w:kinsoku/>
              <w:wordWrap/>
              <w:overflowPunct/>
              <w:topLinePunct w:val="0"/>
              <w:autoSpaceDE/>
              <w:autoSpaceDN/>
              <w:bidi w:val="0"/>
              <w:adjustRightInd/>
              <w:snapToGrid/>
              <w:spacing w:line="400" w:lineRule="exact"/>
              <w:jc w:val="left"/>
              <w:rPr>
                <w:rFonts w:hint="eastAsia" w:ascii="宋体" w:hAnsi="宋体" w:eastAsia="宋体" w:cs="宋体"/>
                <w:b w:val="0"/>
                <w:bCs w:val="0"/>
                <w:color w:val="auto"/>
                <w:sz w:val="21"/>
                <w:szCs w:val="21"/>
                <w:highlight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w:t>
            </w:r>
            <w:r>
              <w:rPr>
                <w:rFonts w:hint="eastAsia" w:ascii="宋体" w:hAnsi="宋体" w:eastAsia="宋体" w:cs="宋体"/>
                <w:b w:val="0"/>
                <w:bCs w:val="0"/>
                <w:color w:val="auto"/>
                <w:sz w:val="21"/>
                <w:szCs w:val="21"/>
                <w:highlight w:val="none"/>
              </w:rPr>
              <w:t>3.提供所投产品以下技术参数的检测报告：光缆光纤特性 、光缆机械性能、</w:t>
            </w:r>
            <w:r>
              <w:rPr>
                <w:rFonts w:hint="eastAsia" w:ascii="宋体" w:hAnsi="宋体" w:cs="宋体"/>
                <w:b w:val="0"/>
                <w:bCs w:val="0"/>
                <w:color w:val="auto"/>
                <w:sz w:val="21"/>
                <w:szCs w:val="21"/>
                <w:highlight w:val="none"/>
                <w:lang w:val="en-US" w:eastAsia="zh-CN"/>
              </w:rPr>
              <w:t>光缆</w:t>
            </w:r>
            <w:r>
              <w:rPr>
                <w:rFonts w:hint="eastAsia" w:ascii="宋体" w:hAnsi="宋体" w:eastAsia="宋体" w:cs="宋体"/>
                <w:b w:val="0"/>
                <w:bCs w:val="0"/>
                <w:color w:val="auto"/>
                <w:sz w:val="21"/>
                <w:szCs w:val="21"/>
                <w:highlight w:val="none"/>
              </w:rPr>
              <w:t>衰减温度特性</w:t>
            </w:r>
            <w:r>
              <w:rPr>
                <w:rFonts w:hint="eastAsia" w:ascii="宋体" w:hAnsi="宋体" w:cs="宋体"/>
                <w:b w:val="0"/>
                <w:bCs w:val="0"/>
                <w:color w:val="auto"/>
                <w:sz w:val="21"/>
                <w:szCs w:val="21"/>
                <w:highlight w:val="none"/>
                <w:lang w:eastAsia="zh-CN"/>
              </w:rPr>
              <w:t>（</w:t>
            </w:r>
            <w:r>
              <w:rPr>
                <w:rFonts w:hint="eastAsia" w:ascii="宋体" w:hAnsi="宋体" w:cs="宋体"/>
                <w:b w:val="0"/>
                <w:bCs w:val="0"/>
                <w:color w:val="auto"/>
                <w:sz w:val="21"/>
                <w:szCs w:val="21"/>
                <w:highlight w:val="none"/>
                <w:lang w:val="en-US" w:eastAsia="zh-CN"/>
              </w:rPr>
              <w:t>光缆温度特性</w:t>
            </w:r>
            <w:r>
              <w:rPr>
                <w:rFonts w:hint="eastAsia" w:ascii="宋体" w:hAnsi="宋体" w:cs="宋体"/>
                <w:b w:val="0"/>
                <w:bCs w:val="0"/>
                <w:color w:val="auto"/>
                <w:sz w:val="21"/>
                <w:szCs w:val="21"/>
                <w:highlight w:val="none"/>
                <w:lang w:eastAsia="zh-CN"/>
              </w:rPr>
              <w:t>）</w:t>
            </w:r>
            <w:r>
              <w:rPr>
                <w:rFonts w:hint="eastAsia" w:ascii="宋体" w:hAnsi="宋体" w:cs="宋体"/>
                <w:b/>
                <w:bCs/>
                <w:color w:val="auto"/>
                <w:sz w:val="21"/>
                <w:szCs w:val="21"/>
                <w:highlight w:val="none"/>
                <w:lang w:val="en-US" w:eastAsia="zh-CN"/>
              </w:rPr>
              <w:t>或者</w:t>
            </w:r>
            <w:r>
              <w:rPr>
                <w:rFonts w:hint="eastAsia" w:ascii="宋体" w:hAnsi="宋体" w:cs="宋体"/>
                <w:b w:val="0"/>
                <w:bCs w:val="0"/>
                <w:color w:val="auto"/>
                <w:sz w:val="21"/>
                <w:szCs w:val="21"/>
                <w:highlight w:val="none"/>
                <w:lang w:val="en-US" w:eastAsia="zh-CN"/>
              </w:rPr>
              <w:t>衰减系数</w:t>
            </w:r>
            <w:r>
              <w:rPr>
                <w:rFonts w:hint="eastAsia" w:ascii="宋体" w:hAnsi="宋体" w:eastAsia="宋体" w:cs="宋体"/>
                <w:b w:val="0"/>
                <w:bCs w:val="0"/>
                <w:color w:val="auto"/>
                <w:sz w:val="21"/>
                <w:szCs w:val="21"/>
                <w:highlight w:val="none"/>
              </w:rPr>
              <w:t>、光缆护套性能等。</w:t>
            </w:r>
          </w:p>
        </w:tc>
        <w:tc>
          <w:tcPr>
            <w:tcW w:w="3796" w:type="dxa"/>
            <w:tcBorders>
              <w:tl2br w:val="nil"/>
              <w:tr2bl w:val="nil"/>
            </w:tcBorders>
            <w:shd w:val="clear" w:color="auto" w:fill="auto"/>
            <w:vAlign w:val="center"/>
          </w:tcPr>
          <w:p w14:paraId="78B7D35F">
            <w:pPr>
              <w:keepNext w:val="0"/>
              <w:keepLines w:val="0"/>
              <w:pageBreakBefore w:val="0"/>
              <w:numPr>
                <w:ilvl w:val="1"/>
                <w:numId w:val="0"/>
              </w:numPr>
              <w:kinsoku/>
              <w:wordWrap/>
              <w:overflowPunct/>
              <w:topLinePunct w:val="0"/>
              <w:autoSpaceDE/>
              <w:autoSpaceDN/>
              <w:bidi w:val="0"/>
              <w:adjustRightInd/>
              <w:snapToGrid/>
              <w:spacing w:line="400" w:lineRule="exact"/>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提供所投</w:t>
            </w:r>
            <w:r>
              <w:rPr>
                <w:rFonts w:hint="eastAsia" w:ascii="宋体" w:hAnsi="宋体" w:eastAsia="宋体" w:cs="宋体"/>
                <w:i w:val="0"/>
                <w:iCs w:val="0"/>
                <w:color w:val="auto"/>
                <w:kern w:val="0"/>
                <w:sz w:val="21"/>
                <w:szCs w:val="21"/>
                <w:highlight w:val="none"/>
                <w:u w:val="none"/>
                <w:lang w:val="en-US" w:eastAsia="zh-CN" w:bidi="ar"/>
              </w:rPr>
              <w:t>室内单模光缆</w:t>
            </w:r>
            <w:r>
              <w:rPr>
                <w:rFonts w:hint="eastAsia" w:ascii="宋体" w:hAnsi="宋体" w:eastAsia="宋体" w:cs="宋体"/>
                <w:b w:val="0"/>
                <w:bCs w:val="0"/>
                <w:color w:val="auto"/>
                <w:sz w:val="21"/>
                <w:szCs w:val="21"/>
                <w:highlight w:val="none"/>
              </w:rPr>
              <w:t>产品第三方检测机构出具且具有</w:t>
            </w:r>
            <w:r>
              <w:rPr>
                <w:rFonts w:hint="eastAsia" w:ascii="宋体" w:hAnsi="宋体" w:eastAsia="宋体" w:cs="宋体"/>
                <w:b w:val="0"/>
                <w:bCs w:val="0"/>
                <w:color w:val="auto"/>
                <w:sz w:val="21"/>
                <w:szCs w:val="21"/>
                <w:highlight w:val="none"/>
                <w:lang w:eastAsia="zh-CN"/>
              </w:rPr>
              <w:t>CMA标志</w:t>
            </w:r>
            <w:r>
              <w:rPr>
                <w:rFonts w:hint="eastAsia" w:ascii="宋体" w:hAnsi="宋体" w:eastAsia="宋体" w:cs="宋体"/>
                <w:b w:val="0"/>
                <w:bCs w:val="0"/>
                <w:color w:val="auto"/>
                <w:sz w:val="21"/>
                <w:szCs w:val="21"/>
                <w:highlight w:val="none"/>
              </w:rPr>
              <w:t>的符合GB/T 9771.3-2020</w:t>
            </w:r>
            <w:r>
              <w:rPr>
                <w:rFonts w:hint="eastAsia" w:ascii="宋体" w:hAnsi="宋体" w:cs="宋体"/>
                <w:b w:val="0"/>
                <w:bCs w:val="0"/>
                <w:color w:val="auto"/>
                <w:sz w:val="21"/>
                <w:szCs w:val="21"/>
                <w:highlight w:val="none"/>
                <w:lang w:val="en-US" w:eastAsia="zh-CN"/>
              </w:rPr>
              <w:t>或YD/T1258.4-2019</w:t>
            </w:r>
            <w:r>
              <w:rPr>
                <w:rFonts w:hint="eastAsia" w:ascii="宋体" w:hAnsi="宋体" w:eastAsia="宋体" w:cs="宋体"/>
                <w:b w:val="0"/>
                <w:bCs w:val="0"/>
                <w:color w:val="auto"/>
                <w:sz w:val="21"/>
                <w:szCs w:val="21"/>
                <w:highlight w:val="none"/>
                <w:lang w:val="en-US" w:eastAsia="zh-CN"/>
              </w:rPr>
              <w:t>或（</w:t>
            </w:r>
            <w:r>
              <w:rPr>
                <w:rFonts w:hint="eastAsia" w:ascii="宋体" w:hAnsi="宋体" w:eastAsia="宋体" w:cs="宋体"/>
                <w:b w:val="0"/>
                <w:bCs w:val="0"/>
                <w:color w:val="auto"/>
                <w:sz w:val="21"/>
                <w:szCs w:val="21"/>
                <w:highlight w:val="none"/>
              </w:rPr>
              <w:t>ANSI/TIA-568-3.D-2016、ANSI/TIA-568-C.3-2008</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等现行国家或行业标准的全文</w:t>
            </w:r>
            <w:r>
              <w:rPr>
                <w:rFonts w:hint="eastAsia" w:ascii="宋体" w:hAnsi="宋体" w:eastAsia="宋体" w:cs="宋体"/>
                <w:b/>
                <w:bCs/>
                <w:color w:val="auto"/>
                <w:sz w:val="21"/>
                <w:szCs w:val="21"/>
                <w:highlight w:val="none"/>
                <w:lang w:eastAsia="zh-CN"/>
              </w:rPr>
              <w:t>检测报告</w:t>
            </w:r>
            <w:r>
              <w:rPr>
                <w:rFonts w:hint="eastAsia" w:ascii="宋体" w:hAnsi="宋体" w:eastAsia="宋体" w:cs="宋体"/>
                <w:b w:val="0"/>
                <w:bCs w:val="0"/>
                <w:color w:val="auto"/>
                <w:sz w:val="21"/>
                <w:szCs w:val="21"/>
                <w:highlight w:val="none"/>
              </w:rPr>
              <w:t>扫描件</w:t>
            </w:r>
            <w:r>
              <w:rPr>
                <w:rFonts w:hint="eastAsia" w:ascii="宋体" w:hAnsi="宋体" w:cs="宋体"/>
                <w:b/>
                <w:bCs/>
                <w:color w:val="auto"/>
                <w:sz w:val="21"/>
                <w:szCs w:val="21"/>
                <w:highlight w:val="none"/>
                <w:lang w:eastAsia="zh-CN"/>
              </w:rPr>
              <w:t>（</w:t>
            </w:r>
            <w:r>
              <w:rPr>
                <w:rFonts w:hint="eastAsia" w:ascii="宋体" w:hAnsi="宋体" w:cs="宋体"/>
                <w:b/>
                <w:bCs/>
                <w:color w:val="auto"/>
                <w:sz w:val="21"/>
                <w:szCs w:val="21"/>
                <w:highlight w:val="none"/>
                <w:lang w:val="en-US" w:eastAsia="zh-CN"/>
              </w:rPr>
              <w:t>芯数不限</w:t>
            </w:r>
            <w:r>
              <w:rPr>
                <w:rFonts w:hint="eastAsia" w:ascii="宋体" w:hAnsi="宋体" w:cs="宋体"/>
                <w:b/>
                <w:bCs/>
                <w:color w:val="auto"/>
                <w:sz w:val="21"/>
                <w:szCs w:val="21"/>
                <w:highlight w:val="none"/>
                <w:lang w:eastAsia="zh-CN"/>
              </w:rPr>
              <w:t>）</w:t>
            </w:r>
            <w:r>
              <w:rPr>
                <w:rFonts w:hint="eastAsia" w:ascii="宋体" w:hAnsi="宋体" w:eastAsia="宋体" w:cs="宋体"/>
                <w:b w:val="0"/>
                <w:bCs w:val="0"/>
                <w:color w:val="auto"/>
                <w:sz w:val="21"/>
                <w:szCs w:val="21"/>
                <w:highlight w:val="none"/>
              </w:rPr>
              <w:t>。检测报告中须体现检测依据以及是否通过检测的结论</w:t>
            </w:r>
            <w:r>
              <w:rPr>
                <w:rFonts w:hint="eastAsia" w:ascii="宋体" w:hAnsi="宋体" w:eastAsia="宋体" w:cs="宋体"/>
                <w:b w:val="0"/>
                <w:bCs w:val="0"/>
                <w:color w:val="auto"/>
                <w:sz w:val="21"/>
                <w:szCs w:val="21"/>
                <w:highlight w:val="none"/>
                <w:lang w:eastAsia="zh-CN"/>
              </w:rPr>
              <w:t>。</w:t>
            </w:r>
          </w:p>
        </w:tc>
      </w:tr>
      <w:tr w14:paraId="381A38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10669101">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46C06E84">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41" w:type="dxa"/>
            <w:tcBorders>
              <w:tl2br w:val="nil"/>
              <w:tr2bl w:val="nil"/>
            </w:tcBorders>
            <w:shd w:val="clear" w:color="auto" w:fill="auto"/>
            <w:vAlign w:val="center"/>
          </w:tcPr>
          <w:p w14:paraId="37C216D0">
            <w:pPr>
              <w:keepNext w:val="0"/>
              <w:keepLines w:val="0"/>
              <w:pageBreakBefore w:val="0"/>
              <w:numPr>
                <w:ilvl w:val="1"/>
                <w:numId w:val="0"/>
              </w:numPr>
              <w:kinsoku/>
              <w:wordWrap/>
              <w:overflowPunct/>
              <w:topLinePunct w:val="0"/>
              <w:autoSpaceDE/>
              <w:autoSpaceDN/>
              <w:bidi w:val="0"/>
              <w:adjustRightInd/>
              <w:snapToGrid/>
              <w:spacing w:line="400" w:lineRule="exact"/>
              <w:jc w:val="left"/>
              <w:rPr>
                <w:rFonts w:hint="eastAsia" w:ascii="宋体" w:hAnsi="宋体" w:eastAsia="宋体" w:cs="宋体"/>
                <w:b w:val="0"/>
                <w:bCs w:val="0"/>
                <w:color w:val="auto"/>
                <w:sz w:val="21"/>
                <w:szCs w:val="21"/>
                <w:highlight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w:t>
            </w:r>
            <w:r>
              <w:rPr>
                <w:rFonts w:hint="eastAsia" w:ascii="宋体" w:hAnsi="宋体" w:eastAsia="宋体" w:cs="宋体"/>
                <w:b w:val="0"/>
                <w:bCs w:val="0"/>
                <w:color w:val="auto"/>
                <w:sz w:val="21"/>
                <w:szCs w:val="21"/>
                <w:highlight w:val="none"/>
              </w:rPr>
              <w:t>5.燃烧性能要求：所投</w:t>
            </w:r>
            <w:r>
              <w:rPr>
                <w:rFonts w:hint="eastAsia" w:ascii="宋体" w:hAnsi="宋体" w:eastAsia="宋体" w:cs="宋体"/>
                <w:i w:val="0"/>
                <w:iCs w:val="0"/>
                <w:color w:val="auto"/>
                <w:kern w:val="0"/>
                <w:sz w:val="21"/>
                <w:szCs w:val="21"/>
                <w:highlight w:val="none"/>
                <w:u w:val="none"/>
                <w:lang w:val="en-US" w:eastAsia="zh-CN" w:bidi="ar"/>
              </w:rPr>
              <w:t>室内单模光缆</w:t>
            </w:r>
            <w:r>
              <w:rPr>
                <w:rFonts w:hint="eastAsia" w:ascii="宋体" w:hAnsi="宋体" w:eastAsia="宋体" w:cs="宋体"/>
                <w:b w:val="0"/>
                <w:bCs w:val="0"/>
                <w:color w:val="auto"/>
                <w:sz w:val="21"/>
                <w:szCs w:val="21"/>
                <w:highlight w:val="none"/>
              </w:rPr>
              <w:t>产品至少达到单根电缆火焰垂直蔓延试验要求。</w:t>
            </w:r>
          </w:p>
        </w:tc>
        <w:tc>
          <w:tcPr>
            <w:tcW w:w="3796" w:type="dxa"/>
            <w:tcBorders>
              <w:tl2br w:val="nil"/>
              <w:tr2bl w:val="nil"/>
            </w:tcBorders>
            <w:shd w:val="clear" w:color="auto" w:fill="auto"/>
            <w:vAlign w:val="center"/>
          </w:tcPr>
          <w:p w14:paraId="47847DB2">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提供所投产品具有</w:t>
            </w:r>
            <w:r>
              <w:rPr>
                <w:rFonts w:hint="eastAsia" w:ascii="宋体" w:hAnsi="宋体" w:eastAsia="宋体" w:cs="宋体"/>
                <w:b w:val="0"/>
                <w:bCs w:val="0"/>
                <w:color w:val="auto"/>
                <w:sz w:val="21"/>
                <w:szCs w:val="21"/>
                <w:highlight w:val="none"/>
                <w:lang w:eastAsia="zh-CN"/>
              </w:rPr>
              <w:t>CMA标志</w:t>
            </w:r>
            <w:r>
              <w:rPr>
                <w:rFonts w:hint="eastAsia" w:ascii="宋体" w:hAnsi="宋体" w:eastAsia="宋体" w:cs="宋体"/>
                <w:b w:val="0"/>
                <w:bCs w:val="0"/>
                <w:color w:val="auto"/>
                <w:sz w:val="21"/>
                <w:szCs w:val="21"/>
                <w:highlight w:val="none"/>
              </w:rPr>
              <w:t>的、由第三方检测机构出具的、符合GB/T 18380.12-2022</w:t>
            </w:r>
            <w:r>
              <w:rPr>
                <w:rFonts w:hint="eastAsia" w:ascii="宋体" w:hAnsi="宋体" w:cs="宋体"/>
                <w:b w:val="0"/>
                <w:bCs w:val="0"/>
                <w:color w:val="auto"/>
                <w:sz w:val="21"/>
                <w:szCs w:val="21"/>
                <w:highlight w:val="none"/>
                <w:lang w:val="en-US" w:eastAsia="zh-CN"/>
              </w:rPr>
              <w:t>或</w:t>
            </w:r>
            <w:r>
              <w:rPr>
                <w:rFonts w:hint="eastAsia" w:ascii="宋体" w:hAnsi="宋体" w:eastAsia="宋体" w:cs="宋体"/>
                <w:b w:val="0"/>
                <w:bCs w:val="0"/>
                <w:color w:val="auto"/>
                <w:sz w:val="21"/>
                <w:szCs w:val="21"/>
                <w:highlight w:val="none"/>
              </w:rPr>
              <w:t>GB/T 18380.</w:t>
            </w:r>
            <w:r>
              <w:rPr>
                <w:rFonts w:hint="eastAsia" w:ascii="宋体" w:hAnsi="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2-20</w:t>
            </w:r>
            <w:r>
              <w:rPr>
                <w:rFonts w:hint="eastAsia" w:ascii="宋体" w:hAnsi="宋体" w:cs="宋体"/>
                <w:b w:val="0"/>
                <w:bCs w:val="0"/>
                <w:color w:val="auto"/>
                <w:sz w:val="21"/>
                <w:szCs w:val="21"/>
                <w:highlight w:val="none"/>
                <w:lang w:val="en-US" w:eastAsia="zh-CN"/>
              </w:rPr>
              <w:t>08</w:t>
            </w:r>
            <w:r>
              <w:rPr>
                <w:rFonts w:hint="eastAsia" w:ascii="宋体" w:hAnsi="宋体" w:eastAsia="宋体" w:cs="宋体"/>
                <w:b w:val="0"/>
                <w:bCs w:val="0"/>
                <w:color w:val="auto"/>
                <w:sz w:val="21"/>
                <w:szCs w:val="21"/>
                <w:highlight w:val="none"/>
              </w:rPr>
              <w:t>或IEC 60332-1-2：2015标准中的单根电缆火焰垂直蔓延试验的全文</w:t>
            </w:r>
            <w:r>
              <w:rPr>
                <w:rFonts w:hint="eastAsia" w:ascii="宋体" w:hAnsi="宋体" w:eastAsia="宋体" w:cs="宋体"/>
                <w:b/>
                <w:bCs/>
                <w:color w:val="auto"/>
                <w:sz w:val="21"/>
                <w:szCs w:val="21"/>
                <w:highlight w:val="none"/>
                <w:lang w:eastAsia="zh-CN"/>
              </w:rPr>
              <w:t>检测报告</w:t>
            </w:r>
            <w:r>
              <w:rPr>
                <w:rFonts w:hint="eastAsia" w:ascii="宋体" w:hAnsi="宋体" w:eastAsia="宋体" w:cs="宋体"/>
                <w:b w:val="0"/>
                <w:bCs w:val="0"/>
                <w:color w:val="auto"/>
                <w:sz w:val="21"/>
                <w:szCs w:val="21"/>
                <w:highlight w:val="none"/>
              </w:rPr>
              <w:t>扫描件。检测报告中须体现检测依据以及是否通过检测的结论。</w:t>
            </w:r>
          </w:p>
        </w:tc>
      </w:tr>
      <w:tr w14:paraId="782F45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2EA6D3E6">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default" w:asciiTheme="minorEastAsia" w:hAnsiTheme="minorEastAsia" w:eastAsiaTheme="minorEastAsia" w:cstheme="minorEastAsia"/>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22D99970">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41" w:type="dxa"/>
            <w:tcBorders>
              <w:tl2br w:val="nil"/>
              <w:tr2bl w:val="nil"/>
            </w:tcBorders>
            <w:shd w:val="clear" w:color="auto" w:fill="auto"/>
            <w:vAlign w:val="center"/>
          </w:tcPr>
          <w:p w14:paraId="27006C45">
            <w:pPr>
              <w:keepNext w:val="0"/>
              <w:keepLines w:val="0"/>
              <w:pageBreakBefore w:val="0"/>
              <w:widowControl/>
              <w:numPr>
                <w:ilvl w:val="0"/>
                <w:numId w:val="0"/>
              </w:numPr>
              <w:kinsoku/>
              <w:wordWrap/>
              <w:overflowPunct/>
              <w:topLinePunct w:val="0"/>
              <w:autoSpaceDE/>
              <w:autoSpaceDN/>
              <w:bidi w:val="0"/>
              <w:adjustRightInd/>
              <w:snapToGrid/>
              <w:spacing w:line="400" w:lineRule="exact"/>
              <w:ind w:left="0" w:leftChars="0" w:firstLine="0" w:firstLineChars="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7</w:t>
            </w:r>
            <w:r>
              <w:rPr>
                <w:rFonts w:hint="eastAsia" w:ascii="宋体" w:hAnsi="宋体" w:eastAsia="宋体" w:cs="宋体"/>
                <w:b w:val="0"/>
                <w:bCs w:val="0"/>
                <w:color w:val="auto"/>
                <w:sz w:val="21"/>
                <w:szCs w:val="21"/>
                <w:highlight w:val="none"/>
              </w:rPr>
              <w:t>.提供承诺函，承诺所投产品符合GB/T 9771.3-2020或YD/T1258.4-2019</w:t>
            </w:r>
            <w:r>
              <w:rPr>
                <w:rFonts w:hint="eastAsia" w:ascii="宋体" w:hAnsi="宋体" w:eastAsia="宋体" w:cs="宋体"/>
                <w:b w:val="0"/>
                <w:bCs w:val="0"/>
                <w:color w:val="auto"/>
                <w:sz w:val="21"/>
                <w:szCs w:val="21"/>
                <w:highlight w:val="none"/>
                <w:lang w:val="en-US" w:eastAsia="zh-CN"/>
              </w:rPr>
              <w:t>或（</w:t>
            </w:r>
            <w:r>
              <w:rPr>
                <w:rFonts w:hint="eastAsia" w:ascii="宋体" w:hAnsi="宋体" w:eastAsia="宋体" w:cs="宋体"/>
                <w:b w:val="0"/>
                <w:bCs w:val="0"/>
                <w:color w:val="auto"/>
                <w:sz w:val="21"/>
                <w:szCs w:val="21"/>
                <w:highlight w:val="none"/>
              </w:rPr>
              <w:t>ANSI/TIA-568-3.D-2016、ANSI/TIA-568-C.3-2008</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等现行国家或行业标准针对室内光纤的要求，格式自拟。</w:t>
            </w:r>
          </w:p>
        </w:tc>
        <w:tc>
          <w:tcPr>
            <w:tcW w:w="3796" w:type="dxa"/>
            <w:tcBorders>
              <w:tl2br w:val="nil"/>
              <w:tr2bl w:val="nil"/>
            </w:tcBorders>
            <w:shd w:val="clear" w:color="auto" w:fill="auto"/>
            <w:vAlign w:val="center"/>
          </w:tcPr>
          <w:p w14:paraId="60BC9A91">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pPr>
            <w:r>
              <w:rPr>
                <w:rFonts w:hint="eastAsia" w:ascii="宋体" w:hAnsi="宋体" w:eastAsia="宋体" w:cs="宋体"/>
                <w:b w:val="0"/>
                <w:bCs w:val="0"/>
                <w:color w:val="auto"/>
                <w:sz w:val="21"/>
                <w:szCs w:val="21"/>
                <w:highlight w:val="none"/>
              </w:rPr>
              <w:t>提供承诺函，承诺所投产品符合GB/T 9771.3-2020或YD/T1258.4-2019</w:t>
            </w:r>
            <w:r>
              <w:rPr>
                <w:rFonts w:hint="eastAsia" w:ascii="宋体" w:hAnsi="宋体" w:eastAsia="宋体" w:cs="宋体"/>
                <w:b w:val="0"/>
                <w:bCs w:val="0"/>
                <w:color w:val="auto"/>
                <w:sz w:val="21"/>
                <w:szCs w:val="21"/>
                <w:highlight w:val="none"/>
                <w:lang w:val="en-US" w:eastAsia="zh-CN"/>
              </w:rPr>
              <w:t>或（</w:t>
            </w:r>
            <w:r>
              <w:rPr>
                <w:rFonts w:hint="eastAsia" w:ascii="宋体" w:hAnsi="宋体" w:eastAsia="宋体" w:cs="宋体"/>
                <w:b w:val="0"/>
                <w:bCs w:val="0"/>
                <w:color w:val="auto"/>
                <w:sz w:val="21"/>
                <w:szCs w:val="21"/>
                <w:highlight w:val="none"/>
              </w:rPr>
              <w:t>ANSI/TIA-568-3.D-2016、ANSI/TIA-568-C.3-2008</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等现行国家或行业标准针对室内光纤的要求，格式自拟。</w:t>
            </w:r>
          </w:p>
        </w:tc>
      </w:tr>
      <w:tr w14:paraId="324419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37" w:type="dxa"/>
            <w:vMerge w:val="restart"/>
            <w:tcBorders>
              <w:tl2br w:val="nil"/>
              <w:tr2bl w:val="nil"/>
            </w:tcBorders>
            <w:shd w:val="clear" w:color="auto" w:fill="auto"/>
            <w:vAlign w:val="center"/>
          </w:tcPr>
          <w:p w14:paraId="78ACB7C8">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default" w:asciiTheme="minorEastAsia" w:hAnsiTheme="minorEastAsia" w:eastAsiaTheme="minorEastAsia" w:cstheme="minorEastAsia"/>
                <w:b/>
                <w:bCs/>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13</w:t>
            </w:r>
          </w:p>
        </w:tc>
        <w:tc>
          <w:tcPr>
            <w:tcW w:w="1438" w:type="dxa"/>
            <w:vMerge w:val="restart"/>
            <w:tcBorders>
              <w:tl2br w:val="nil"/>
              <w:tr2bl w:val="nil"/>
            </w:tcBorders>
            <w:shd w:val="clear" w:color="auto" w:fill="auto"/>
            <w:vAlign w:val="center"/>
          </w:tcPr>
          <w:p w14:paraId="34B3ABC8">
            <w:pPr>
              <w:pStyle w:val="18"/>
              <w:pageBreakBefore w:val="0"/>
              <w:wordWrap/>
              <w:topLinePunct w:val="0"/>
              <w:bidi w:val="0"/>
              <w:spacing w:beforeAutospacing="0" w:afterAutospacing="0" w:line="400" w:lineRule="exact"/>
              <w:ind w:left="0" w:leftChars="0" w:right="0" w:rightChars="0" w:firstLine="0" w:firstLineChars="0"/>
              <w:jc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防油污摄像机</w:t>
            </w:r>
          </w:p>
        </w:tc>
        <w:tc>
          <w:tcPr>
            <w:tcW w:w="2841" w:type="dxa"/>
            <w:tcBorders>
              <w:tl2br w:val="nil"/>
              <w:tr2bl w:val="nil"/>
            </w:tcBorders>
            <w:shd w:val="clear" w:color="auto" w:fill="auto"/>
            <w:vAlign w:val="center"/>
          </w:tcPr>
          <w:p w14:paraId="2AF95101">
            <w:pPr>
              <w:keepNext w:val="0"/>
              <w:keepLines w:val="0"/>
              <w:pageBreakBefore w:val="0"/>
              <w:widowControl/>
              <w:numPr>
                <w:ilvl w:val="0"/>
                <w:numId w:val="0"/>
              </w:numPr>
              <w:kinsoku/>
              <w:wordWrap/>
              <w:overflowPunct/>
              <w:topLinePunct w:val="0"/>
              <w:autoSpaceDE/>
              <w:autoSpaceDN/>
              <w:bidi w:val="0"/>
              <w:adjustRightInd/>
              <w:snapToGrid/>
              <w:spacing w:line="400" w:lineRule="exact"/>
              <w:ind w:left="0" w:leftChars="0" w:firstLine="0" w:firstLineChars="0"/>
              <w:jc w:val="left"/>
              <w:textAlignment w:val="center"/>
              <w:rPr>
                <w:rFonts w:hint="eastAsia" w:asciiTheme="minorEastAsia" w:hAnsiTheme="minorEastAsia" w:eastAsiaTheme="minorEastAsia" w:cstheme="minorEastAsia"/>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★2.像素≥400万或最大分辨率≥2560×1440。</w:t>
            </w:r>
          </w:p>
        </w:tc>
        <w:tc>
          <w:tcPr>
            <w:tcW w:w="3796" w:type="dxa"/>
            <w:tcBorders>
              <w:tl2br w:val="nil"/>
              <w:tr2bl w:val="nil"/>
            </w:tcBorders>
            <w:shd w:val="clear" w:color="auto" w:fill="auto"/>
            <w:vAlign w:val="center"/>
          </w:tcPr>
          <w:p w14:paraId="59C60A76">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提供所投产品</w:t>
            </w:r>
            <w:r>
              <w:rPr>
                <w:rFonts w:hint="eastAsia" w:ascii="宋体" w:hAnsi="宋体" w:eastAsia="宋体" w:cs="宋体"/>
                <w:b w:val="0"/>
                <w:bCs w:val="0"/>
                <w:color w:val="auto"/>
                <w:sz w:val="21"/>
                <w:szCs w:val="21"/>
                <w:highlight w:val="none"/>
                <w:u w:val="none"/>
                <w:lang w:bidi="ar"/>
              </w:rPr>
              <w:t>由具备有效CMA资质的检测机构出具的封面盖有CMA专用印章的检测报告原件关键页扫描件(</w:t>
            </w:r>
            <w:r>
              <w:rPr>
                <w:rFonts w:hint="eastAsia" w:ascii="宋体" w:hAnsi="宋体" w:eastAsia="宋体" w:cs="宋体"/>
                <w:b w:val="0"/>
                <w:bCs w:val="0"/>
                <w:i w:val="0"/>
                <w:iCs w:val="0"/>
                <w:color w:val="auto"/>
                <w:kern w:val="0"/>
                <w:sz w:val="21"/>
                <w:szCs w:val="21"/>
                <w:highlight w:val="none"/>
                <w:u w:val="none"/>
                <w:lang w:val="en-US" w:eastAsia="zh-CN" w:bidi="ar"/>
              </w:rPr>
              <w:t>依据标准GA/T 1127-2013等现行国家标准</w:t>
            </w:r>
            <w:r>
              <w:rPr>
                <w:rFonts w:hint="eastAsia" w:ascii="宋体" w:hAnsi="宋体" w:eastAsia="宋体" w:cs="宋体"/>
                <w:b w:val="0"/>
                <w:bCs w:val="0"/>
                <w:color w:val="auto"/>
                <w:sz w:val="21"/>
                <w:szCs w:val="21"/>
                <w:highlight w:val="none"/>
                <w:u w:val="none"/>
                <w:lang w:bidi="ar"/>
              </w:rPr>
              <w:t>）</w:t>
            </w: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791530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76E05C1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4867F8E2">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p>
        </w:tc>
        <w:tc>
          <w:tcPr>
            <w:tcW w:w="2841" w:type="dxa"/>
            <w:tcBorders>
              <w:tl2br w:val="nil"/>
              <w:tr2bl w:val="nil"/>
            </w:tcBorders>
            <w:shd w:val="clear" w:color="auto" w:fill="auto"/>
            <w:vAlign w:val="center"/>
          </w:tcPr>
          <w:p w14:paraId="44788249">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★3.具备最低照度彩色不劣于0.005Lux，黑白不劣于0.001Lux。</w:t>
            </w:r>
          </w:p>
        </w:tc>
        <w:tc>
          <w:tcPr>
            <w:tcW w:w="3796" w:type="dxa"/>
            <w:tcBorders>
              <w:tl2br w:val="nil"/>
              <w:tr2bl w:val="nil"/>
            </w:tcBorders>
            <w:shd w:val="clear" w:color="auto" w:fill="auto"/>
            <w:vAlign w:val="center"/>
          </w:tcPr>
          <w:p w14:paraId="67812871">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提供第三方机构出具的具有CMA标志的检测报告（依据标准</w:t>
            </w:r>
            <w:r>
              <w:rPr>
                <w:rFonts w:hint="eastAsia" w:ascii="宋体" w:hAnsi="宋体" w:eastAsia="宋体" w:cs="宋体"/>
                <w:b w:val="0"/>
                <w:bCs w:val="0"/>
                <w:i w:val="0"/>
                <w:iCs w:val="0"/>
                <w:color w:val="auto"/>
                <w:kern w:val="0"/>
                <w:sz w:val="21"/>
                <w:szCs w:val="21"/>
                <w:highlight w:val="none"/>
                <w:u w:val="none"/>
                <w:lang w:val="en-US" w:eastAsia="zh-CN" w:bidi="ar"/>
              </w:rPr>
              <w:t>GA/T 1127-2013或</w:t>
            </w:r>
            <w:r>
              <w:rPr>
                <w:rFonts w:hint="eastAsia" w:ascii="宋体" w:hAnsi="宋体" w:eastAsia="宋体" w:cs="宋体"/>
                <w:b w:val="0"/>
                <w:bCs w:val="0"/>
                <w:i w:val="0"/>
                <w:iCs w:val="0"/>
                <w:color w:val="auto"/>
                <w:sz w:val="21"/>
                <w:szCs w:val="21"/>
                <w:highlight w:val="none"/>
                <w:u w:val="none"/>
                <w:lang w:val="en-US" w:eastAsia="zh-CN" w:bidi="ar"/>
              </w:rPr>
              <w:t>GB 16796-2022</w:t>
            </w:r>
            <w:r>
              <w:rPr>
                <w:rFonts w:hint="eastAsia" w:ascii="宋体" w:hAnsi="宋体" w:eastAsia="宋体" w:cs="宋体"/>
                <w:b w:val="0"/>
                <w:bCs w:val="0"/>
                <w:color w:val="auto"/>
                <w:sz w:val="21"/>
                <w:szCs w:val="21"/>
                <w:highlight w:val="none"/>
                <w:u w:val="none"/>
                <w:lang w:bidi="ar"/>
              </w:rPr>
              <w:t>或GB/T 15211-2013</w:t>
            </w:r>
            <w:r>
              <w:rPr>
                <w:rFonts w:hint="eastAsia" w:ascii="宋体" w:hAnsi="宋体" w:eastAsia="宋体" w:cs="宋体"/>
                <w:b w:val="0"/>
                <w:bCs w:val="0"/>
                <w:i w:val="0"/>
                <w:iCs w:val="0"/>
                <w:color w:val="auto"/>
                <w:sz w:val="21"/>
                <w:szCs w:val="21"/>
                <w:highlight w:val="none"/>
                <w:u w:val="none"/>
                <w:lang w:val="en-US" w:eastAsia="zh-CN" w:bidi="ar"/>
              </w:rPr>
              <w:t>等现行国家标准）</w:t>
            </w:r>
            <w:r>
              <w:rPr>
                <w:rFonts w:hint="eastAsia" w:ascii="宋体" w:hAnsi="宋体" w:eastAsia="宋体" w:cs="宋体"/>
                <w:b w:val="0"/>
                <w:bCs w:val="0"/>
                <w:color w:val="auto"/>
                <w:sz w:val="21"/>
                <w:szCs w:val="21"/>
                <w:highlight w:val="none"/>
                <w:u w:val="none"/>
                <w:lang w:val="en-US" w:eastAsia="zh-CN" w:bidi="ar"/>
              </w:rPr>
              <w:t>。</w:t>
            </w:r>
          </w:p>
        </w:tc>
      </w:tr>
      <w:tr w14:paraId="0BDC4C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0C00B1D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261BA866">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p>
        </w:tc>
        <w:tc>
          <w:tcPr>
            <w:tcW w:w="2841" w:type="dxa"/>
            <w:tcBorders>
              <w:tl2br w:val="nil"/>
              <w:tr2bl w:val="nil"/>
            </w:tcBorders>
            <w:shd w:val="clear" w:color="auto" w:fill="auto"/>
            <w:vAlign w:val="center"/>
          </w:tcPr>
          <w:p w14:paraId="4DFB78E9">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Theme="minorEastAsia" w:hAnsiTheme="minorEastAsia" w:eastAsiaTheme="minorEastAsia" w:cstheme="minorEastAsia"/>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★7.宽动态能力综合得分≥80。</w:t>
            </w:r>
          </w:p>
        </w:tc>
        <w:tc>
          <w:tcPr>
            <w:tcW w:w="3796" w:type="dxa"/>
            <w:tcBorders>
              <w:tl2br w:val="nil"/>
              <w:tr2bl w:val="nil"/>
            </w:tcBorders>
            <w:shd w:val="clear" w:color="auto" w:fill="auto"/>
            <w:vAlign w:val="center"/>
          </w:tcPr>
          <w:p w14:paraId="3551180F">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提供所投产品</w:t>
            </w:r>
            <w:r>
              <w:rPr>
                <w:rFonts w:hint="eastAsia" w:ascii="宋体" w:hAnsi="宋体" w:eastAsia="宋体" w:cs="宋体"/>
                <w:b w:val="0"/>
                <w:bCs w:val="0"/>
                <w:color w:val="auto"/>
                <w:sz w:val="21"/>
                <w:szCs w:val="21"/>
                <w:highlight w:val="none"/>
                <w:u w:val="none"/>
                <w:lang w:bidi="ar"/>
              </w:rPr>
              <w:t>由具备有效CMA资质的检测机构出具的封面盖有CMA专用印章的检测报告原件关键页扫描件(</w:t>
            </w:r>
            <w:r>
              <w:rPr>
                <w:rFonts w:hint="eastAsia" w:ascii="宋体" w:hAnsi="宋体" w:eastAsia="宋体" w:cs="宋体"/>
                <w:b w:val="0"/>
                <w:bCs w:val="0"/>
                <w:i w:val="0"/>
                <w:iCs w:val="0"/>
                <w:color w:val="auto"/>
                <w:kern w:val="0"/>
                <w:sz w:val="21"/>
                <w:szCs w:val="21"/>
                <w:highlight w:val="none"/>
                <w:u w:val="none"/>
                <w:lang w:val="en-US" w:eastAsia="zh-CN" w:bidi="ar"/>
              </w:rPr>
              <w:t>依据标准GA/T 1127-2013等现行国家标准</w:t>
            </w:r>
            <w:r>
              <w:rPr>
                <w:rFonts w:hint="eastAsia" w:ascii="宋体" w:hAnsi="宋体" w:eastAsia="宋体" w:cs="宋体"/>
                <w:b w:val="0"/>
                <w:bCs w:val="0"/>
                <w:color w:val="auto"/>
                <w:sz w:val="21"/>
                <w:szCs w:val="21"/>
                <w:highlight w:val="none"/>
                <w:u w:val="none"/>
                <w:lang w:bidi="ar"/>
              </w:rPr>
              <w:t>）</w:t>
            </w: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05EB92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458727A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61BB1846">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p>
        </w:tc>
        <w:tc>
          <w:tcPr>
            <w:tcW w:w="2841" w:type="dxa"/>
            <w:tcBorders>
              <w:tl2br w:val="nil"/>
              <w:tr2bl w:val="nil"/>
            </w:tcBorders>
            <w:shd w:val="clear" w:color="auto" w:fill="auto"/>
            <w:vAlign w:val="center"/>
          </w:tcPr>
          <w:p w14:paraId="724E76D2">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Theme="minorEastAsia" w:hAnsiTheme="minorEastAsia" w:eastAsiaTheme="minorEastAsia" w:cstheme="minorEastAsia"/>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★8.具备H.265、H.264、MJPEG视频编码格式，音频编码：G.711、AAC。</w:t>
            </w:r>
          </w:p>
        </w:tc>
        <w:tc>
          <w:tcPr>
            <w:tcW w:w="3796" w:type="dxa"/>
            <w:tcBorders>
              <w:tl2br w:val="nil"/>
              <w:tr2bl w:val="nil"/>
            </w:tcBorders>
            <w:shd w:val="clear" w:color="auto" w:fill="auto"/>
            <w:vAlign w:val="center"/>
          </w:tcPr>
          <w:p w14:paraId="412DF712">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提供原厂公开技术文档（白皮书、彩页、官网规格页截图及链接地址）</w:t>
            </w:r>
          </w:p>
        </w:tc>
      </w:tr>
      <w:tr w14:paraId="53F2B3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6E1DC1E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15E6E62B">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p>
        </w:tc>
        <w:tc>
          <w:tcPr>
            <w:tcW w:w="2841" w:type="dxa"/>
            <w:tcBorders>
              <w:tl2br w:val="nil"/>
              <w:tr2bl w:val="nil"/>
            </w:tcBorders>
            <w:shd w:val="clear" w:color="auto" w:fill="auto"/>
            <w:vAlign w:val="center"/>
          </w:tcPr>
          <w:p w14:paraId="36177A6C">
            <w:pPr>
              <w:pStyle w:val="15"/>
              <w:keepNext w:val="0"/>
              <w:keepLines w:val="0"/>
              <w:pageBreakBefore w:val="0"/>
              <w:kinsoku/>
              <w:wordWrap/>
              <w:overflowPunct/>
              <w:topLinePunct w:val="0"/>
              <w:autoSpaceDE/>
              <w:autoSpaceDN/>
              <w:bidi w:val="0"/>
              <w:adjustRightInd/>
              <w:snapToGrid/>
              <w:spacing w:line="400" w:lineRule="exact"/>
              <w:ind w:left="0"/>
              <w:rPr>
                <w:rFonts w:hint="eastAsia" w:asciiTheme="minorEastAsia" w:hAnsiTheme="minorEastAsia" w:eastAsiaTheme="minorEastAsia" w:cstheme="minorEastAsia"/>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★14.符合GB/T 28181、Onvif、IPv4/6现行协议标准。</w:t>
            </w:r>
          </w:p>
        </w:tc>
        <w:tc>
          <w:tcPr>
            <w:tcW w:w="3796" w:type="dxa"/>
            <w:tcBorders>
              <w:tl2br w:val="nil"/>
              <w:tr2bl w:val="nil"/>
            </w:tcBorders>
            <w:shd w:val="clear" w:color="auto" w:fill="auto"/>
            <w:vAlign w:val="center"/>
          </w:tcPr>
          <w:p w14:paraId="5AD1A812">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提供所投产品原厂公开技术文档（白皮书、彩页、官网规格页截图及链接地址）或提供承诺函（格式自拟）。</w:t>
            </w:r>
          </w:p>
        </w:tc>
      </w:tr>
      <w:tr w14:paraId="08AADF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0D4BFA0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3C9543ED">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p>
        </w:tc>
        <w:tc>
          <w:tcPr>
            <w:tcW w:w="2841" w:type="dxa"/>
            <w:tcBorders>
              <w:tl2br w:val="nil"/>
              <w:tr2bl w:val="nil"/>
            </w:tcBorders>
            <w:shd w:val="clear" w:color="auto" w:fill="auto"/>
            <w:vAlign w:val="center"/>
          </w:tcPr>
          <w:p w14:paraId="0B3048CB">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cs="宋体"/>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★15.浪涌（冲击）抗扰度测试、防浪涌。</w:t>
            </w:r>
          </w:p>
        </w:tc>
        <w:tc>
          <w:tcPr>
            <w:tcW w:w="3796" w:type="dxa"/>
            <w:tcBorders>
              <w:tl2br w:val="nil"/>
              <w:tr2bl w:val="nil"/>
            </w:tcBorders>
            <w:shd w:val="clear" w:color="auto" w:fill="auto"/>
            <w:vAlign w:val="center"/>
          </w:tcPr>
          <w:p w14:paraId="0F1F0E2D">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color w:val="auto"/>
                <w:sz w:val="21"/>
                <w:szCs w:val="21"/>
                <w:highlight w:val="none"/>
                <w:lang w:val="en-US" w:eastAsia="zh-CN" w:bidi="ar"/>
              </w:rPr>
              <w:t>承诺</w:t>
            </w:r>
            <w:r>
              <w:rPr>
                <w:rFonts w:hint="eastAsia" w:ascii="宋体" w:hAnsi="宋体" w:eastAsia="宋体" w:cs="宋体"/>
                <w:b w:val="0"/>
                <w:bCs w:val="0"/>
                <w:color w:val="auto"/>
                <w:sz w:val="21"/>
                <w:szCs w:val="21"/>
                <w:highlight w:val="none"/>
                <w:lang w:bidi="ar"/>
              </w:rPr>
              <w:t>符合</w:t>
            </w:r>
            <w:r>
              <w:rPr>
                <w:rFonts w:hint="eastAsia" w:ascii="宋体" w:hAnsi="宋体" w:eastAsia="宋体" w:cs="宋体"/>
                <w:b w:val="0"/>
                <w:bCs w:val="0"/>
                <w:i w:val="0"/>
                <w:iCs w:val="0"/>
                <w:color w:val="auto"/>
                <w:kern w:val="0"/>
                <w:sz w:val="21"/>
                <w:szCs w:val="21"/>
                <w:highlight w:val="none"/>
                <w:u w:val="none"/>
                <w:lang w:val="en-US" w:eastAsia="zh-CN" w:bidi="ar"/>
              </w:rPr>
              <w:t>GA/T 1127-2013或</w:t>
            </w:r>
            <w:r>
              <w:rPr>
                <w:rFonts w:hint="eastAsia" w:ascii="宋体" w:hAnsi="宋体" w:eastAsia="宋体" w:cs="宋体"/>
                <w:b w:val="0"/>
                <w:bCs w:val="0"/>
                <w:color w:val="auto"/>
                <w:sz w:val="21"/>
                <w:szCs w:val="21"/>
                <w:highlight w:val="none"/>
                <w:lang w:bidi="ar"/>
              </w:rPr>
              <w:t>GB/T 17626.5-</w:t>
            </w:r>
            <w:r>
              <w:rPr>
                <w:rFonts w:hint="eastAsia" w:ascii="宋体" w:hAnsi="宋体" w:eastAsia="宋体" w:cs="宋体"/>
                <w:b w:val="0"/>
                <w:bCs w:val="0"/>
                <w:color w:val="auto"/>
                <w:sz w:val="21"/>
                <w:szCs w:val="21"/>
                <w:highlight w:val="none"/>
                <w:lang w:val="en-US" w:eastAsia="zh-CN" w:bidi="ar"/>
              </w:rPr>
              <w:t>2008/</w:t>
            </w:r>
            <w:r>
              <w:rPr>
                <w:rFonts w:hint="eastAsia" w:ascii="宋体" w:hAnsi="宋体" w:eastAsia="宋体" w:cs="宋体"/>
                <w:b w:val="0"/>
                <w:bCs w:val="0"/>
                <w:color w:val="auto"/>
                <w:sz w:val="21"/>
                <w:szCs w:val="21"/>
                <w:highlight w:val="none"/>
                <w:lang w:bidi="ar"/>
              </w:rPr>
              <w:t>2019</w:t>
            </w:r>
            <w:r>
              <w:rPr>
                <w:rFonts w:hint="eastAsia" w:ascii="宋体" w:hAnsi="宋体" w:eastAsia="宋体" w:cs="宋体"/>
                <w:b w:val="0"/>
                <w:bCs w:val="0"/>
                <w:color w:val="auto"/>
                <w:sz w:val="21"/>
                <w:szCs w:val="21"/>
                <w:highlight w:val="none"/>
                <w:lang w:val="en-US" w:eastAsia="zh-CN" w:bidi="ar"/>
              </w:rPr>
              <w:t>对摄像机的</w:t>
            </w:r>
            <w:r>
              <w:rPr>
                <w:rFonts w:hint="eastAsia" w:ascii="宋体" w:hAnsi="宋体" w:eastAsia="宋体" w:cs="宋体"/>
                <w:b w:val="0"/>
                <w:bCs w:val="0"/>
                <w:i w:val="0"/>
                <w:iCs w:val="0"/>
                <w:color w:val="auto"/>
                <w:kern w:val="0"/>
                <w:sz w:val="21"/>
                <w:szCs w:val="21"/>
                <w:highlight w:val="none"/>
                <w:u w:val="none"/>
                <w:lang w:val="en-US" w:eastAsia="zh-CN" w:bidi="ar"/>
              </w:rPr>
              <w:t>防浪涌</w:t>
            </w:r>
            <w:r>
              <w:rPr>
                <w:rFonts w:hint="eastAsia" w:ascii="宋体" w:hAnsi="宋体" w:eastAsia="宋体" w:cs="宋体"/>
                <w:b w:val="0"/>
                <w:bCs w:val="0"/>
                <w:color w:val="auto"/>
                <w:sz w:val="21"/>
                <w:szCs w:val="21"/>
                <w:highlight w:val="none"/>
                <w:lang w:val="en-US" w:eastAsia="zh-CN" w:bidi="ar"/>
              </w:rPr>
              <w:t>要求</w:t>
            </w:r>
            <w:r>
              <w:rPr>
                <w:rFonts w:hint="eastAsia" w:ascii="宋体" w:hAnsi="宋体" w:eastAsia="宋体" w:cs="宋体"/>
                <w:b w:val="0"/>
                <w:bCs w:val="0"/>
                <w:color w:val="auto"/>
                <w:sz w:val="21"/>
                <w:szCs w:val="21"/>
                <w:highlight w:val="none"/>
                <w:lang w:eastAsia="zh-CN" w:bidi="ar"/>
              </w:rPr>
              <w:t>。</w:t>
            </w:r>
          </w:p>
        </w:tc>
      </w:tr>
      <w:tr w14:paraId="7F055F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247E611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2250E42B">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41" w:type="dxa"/>
            <w:tcBorders>
              <w:tl2br w:val="nil"/>
              <w:tr2bl w:val="nil"/>
            </w:tcBorders>
            <w:shd w:val="clear" w:color="auto" w:fill="auto"/>
            <w:vAlign w:val="center"/>
          </w:tcPr>
          <w:p w14:paraId="28E75212">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★17.具备POE供电功能。</w:t>
            </w:r>
          </w:p>
        </w:tc>
        <w:tc>
          <w:tcPr>
            <w:tcW w:w="3796" w:type="dxa"/>
            <w:tcBorders>
              <w:tl2br w:val="nil"/>
              <w:tr2bl w:val="nil"/>
            </w:tcBorders>
            <w:shd w:val="clear" w:color="auto" w:fill="auto"/>
            <w:vAlign w:val="center"/>
          </w:tcPr>
          <w:p w14:paraId="65CAB7AA">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提供原厂公开技术文档（白皮书、彩页、官网规格页截图及链接地址均可）。</w:t>
            </w:r>
          </w:p>
        </w:tc>
      </w:tr>
      <w:tr w14:paraId="593399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restart"/>
            <w:tcBorders>
              <w:tl2br w:val="nil"/>
              <w:tr2bl w:val="nil"/>
            </w:tcBorders>
            <w:shd w:val="clear" w:color="auto" w:fill="auto"/>
            <w:vAlign w:val="center"/>
          </w:tcPr>
          <w:p w14:paraId="1C63359B">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default" w:asciiTheme="minorEastAsia" w:hAnsiTheme="minorEastAsia" w:eastAsiaTheme="minorEastAsia" w:cstheme="minorEastAsia"/>
                <w:b/>
                <w:bCs/>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15</w:t>
            </w:r>
          </w:p>
        </w:tc>
        <w:tc>
          <w:tcPr>
            <w:tcW w:w="1438" w:type="dxa"/>
            <w:vMerge w:val="restart"/>
            <w:tcBorders>
              <w:tl2br w:val="nil"/>
              <w:tr2bl w:val="nil"/>
            </w:tcBorders>
            <w:shd w:val="clear" w:color="auto" w:fill="auto"/>
            <w:vAlign w:val="center"/>
          </w:tcPr>
          <w:p w14:paraId="1859B31B">
            <w:pPr>
              <w:pStyle w:val="18"/>
              <w:pageBreakBefore w:val="0"/>
              <w:wordWrap/>
              <w:topLinePunct w:val="0"/>
              <w:bidi w:val="0"/>
              <w:spacing w:beforeAutospacing="0" w:afterAutospacing="0" w:line="400" w:lineRule="exact"/>
              <w:ind w:left="0" w:leftChars="0" w:right="0" w:rightChars="0" w:firstLine="0" w:firstLineChars="0"/>
              <w:jc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高清网络电梯专用摄像机</w:t>
            </w:r>
          </w:p>
        </w:tc>
        <w:tc>
          <w:tcPr>
            <w:tcW w:w="2841" w:type="dxa"/>
            <w:tcBorders>
              <w:tl2br w:val="nil"/>
              <w:tr2bl w:val="nil"/>
            </w:tcBorders>
            <w:shd w:val="clear" w:color="auto" w:fill="auto"/>
            <w:vAlign w:val="center"/>
          </w:tcPr>
          <w:p w14:paraId="77AF81D9">
            <w:pPr>
              <w:keepNext w:val="0"/>
              <w:keepLines w:val="0"/>
              <w:pageBreakBefore w:val="0"/>
              <w:widowControl/>
              <w:numPr>
                <w:ilvl w:val="0"/>
                <w:numId w:val="0"/>
              </w:numPr>
              <w:kinsoku/>
              <w:wordWrap/>
              <w:overflowPunct/>
              <w:topLinePunct w:val="0"/>
              <w:autoSpaceDE/>
              <w:autoSpaceDN/>
              <w:bidi w:val="0"/>
              <w:adjustRightInd/>
              <w:snapToGrid/>
              <w:spacing w:line="400" w:lineRule="exact"/>
              <w:ind w:left="0"/>
              <w:jc w:val="left"/>
              <w:textAlignment w:val="auto"/>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color w:val="auto"/>
                <w:kern w:val="0"/>
                <w:sz w:val="21"/>
                <w:szCs w:val="21"/>
                <w:highlight w:val="none"/>
              </w:rPr>
              <w:t>★</w:t>
            </w:r>
            <w:r>
              <w:rPr>
                <w:rFonts w:hint="eastAsia" w:ascii="宋体" w:hAnsi="宋体" w:eastAsia="宋体" w:cs="宋体"/>
                <w:b w:val="0"/>
                <w:bCs w:val="0"/>
                <w:color w:val="auto"/>
                <w:kern w:val="0"/>
                <w:sz w:val="21"/>
                <w:szCs w:val="21"/>
                <w:highlight w:val="none"/>
                <w:lang w:val="en-US" w:eastAsia="zh-CN"/>
              </w:rPr>
              <w:t>2.</w:t>
            </w:r>
            <w:r>
              <w:rPr>
                <w:rFonts w:hint="eastAsia" w:ascii="宋体" w:hAnsi="宋体" w:eastAsia="宋体" w:cs="宋体"/>
                <w:b w:val="0"/>
                <w:bCs w:val="0"/>
                <w:i w:val="0"/>
                <w:iCs w:val="0"/>
                <w:color w:val="auto"/>
                <w:kern w:val="0"/>
                <w:sz w:val="21"/>
                <w:szCs w:val="21"/>
                <w:highlight w:val="none"/>
                <w:u w:val="none"/>
                <w:lang w:val="en-US" w:eastAsia="zh-CN" w:bidi="ar"/>
              </w:rPr>
              <w:t>像素≥400万或最大分辨率≥2560×1440。</w:t>
            </w:r>
          </w:p>
        </w:tc>
        <w:tc>
          <w:tcPr>
            <w:tcW w:w="3796" w:type="dxa"/>
            <w:tcBorders>
              <w:tl2br w:val="nil"/>
              <w:tr2bl w:val="nil"/>
            </w:tcBorders>
            <w:shd w:val="clear" w:color="auto" w:fill="auto"/>
            <w:vAlign w:val="center"/>
          </w:tcPr>
          <w:p w14:paraId="72B66CA5">
            <w:pPr>
              <w:keepNext w:val="0"/>
              <w:keepLines w:val="0"/>
              <w:pageBreakBefore w:val="0"/>
              <w:widowControl/>
              <w:numPr>
                <w:ilvl w:val="0"/>
                <w:numId w:val="0"/>
              </w:numPr>
              <w:kinsoku/>
              <w:wordWrap/>
              <w:overflowPunct/>
              <w:topLinePunct w:val="0"/>
              <w:autoSpaceDE/>
              <w:autoSpaceDN/>
              <w:bidi w:val="0"/>
              <w:adjustRightInd/>
              <w:snapToGrid/>
              <w:spacing w:line="400" w:lineRule="exact"/>
              <w:ind w:left="0"/>
              <w:jc w:val="left"/>
              <w:textAlignment w:val="auto"/>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提供所投产品的检测报告原件关键页扫描件（依据标准GA/T 1127-2013等现行国家标准）。</w:t>
            </w:r>
          </w:p>
        </w:tc>
      </w:tr>
      <w:tr w14:paraId="5DAA2D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4C07817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1BCF3710">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p>
        </w:tc>
        <w:tc>
          <w:tcPr>
            <w:tcW w:w="2841" w:type="dxa"/>
            <w:tcBorders>
              <w:tl2br w:val="nil"/>
              <w:tr2bl w:val="nil"/>
            </w:tcBorders>
            <w:shd w:val="clear" w:color="auto" w:fill="auto"/>
            <w:vAlign w:val="center"/>
          </w:tcPr>
          <w:p w14:paraId="62AD2A60">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★3.具备H.265、H.264、MJPEG视频编码格式，音频编码：G.711、AAC。</w:t>
            </w:r>
          </w:p>
        </w:tc>
        <w:tc>
          <w:tcPr>
            <w:tcW w:w="3796" w:type="dxa"/>
            <w:tcBorders>
              <w:tl2br w:val="nil"/>
              <w:tr2bl w:val="nil"/>
            </w:tcBorders>
            <w:shd w:val="clear" w:color="auto" w:fill="auto"/>
            <w:vAlign w:val="center"/>
          </w:tcPr>
          <w:p w14:paraId="661338D6">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提供原厂公开技术文档（白皮书、彩页、官网规格页截图及链接地址）</w:t>
            </w:r>
          </w:p>
        </w:tc>
      </w:tr>
      <w:tr w14:paraId="014BA6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1EAD52D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1B07C0B8">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p>
        </w:tc>
        <w:tc>
          <w:tcPr>
            <w:tcW w:w="2841" w:type="dxa"/>
            <w:tcBorders>
              <w:tl2br w:val="nil"/>
              <w:tr2bl w:val="nil"/>
            </w:tcBorders>
            <w:shd w:val="clear" w:color="auto" w:fill="auto"/>
            <w:vAlign w:val="center"/>
          </w:tcPr>
          <w:p w14:paraId="63247126">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★4.具备最低照度彩色不劣于0.005Lux，黑白不劣于0.0005Lux。</w:t>
            </w:r>
          </w:p>
        </w:tc>
        <w:tc>
          <w:tcPr>
            <w:tcW w:w="3796" w:type="dxa"/>
            <w:tcBorders>
              <w:tl2br w:val="nil"/>
              <w:tr2bl w:val="nil"/>
            </w:tcBorders>
            <w:shd w:val="clear" w:color="auto" w:fill="auto"/>
            <w:vAlign w:val="center"/>
          </w:tcPr>
          <w:p w14:paraId="2D8FAEAA">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提供第三方机构出具的具有CMA标志的检测报告（依据标准</w:t>
            </w:r>
            <w:r>
              <w:rPr>
                <w:rFonts w:hint="eastAsia" w:ascii="宋体" w:hAnsi="宋体" w:eastAsia="宋体" w:cs="宋体"/>
                <w:b w:val="0"/>
                <w:bCs w:val="0"/>
                <w:i w:val="0"/>
                <w:iCs w:val="0"/>
                <w:color w:val="auto"/>
                <w:kern w:val="0"/>
                <w:sz w:val="21"/>
                <w:szCs w:val="21"/>
                <w:highlight w:val="none"/>
                <w:u w:val="none"/>
                <w:lang w:val="en-US" w:eastAsia="zh-CN" w:bidi="ar"/>
              </w:rPr>
              <w:t>GA/T 1127-2013或</w:t>
            </w:r>
            <w:r>
              <w:rPr>
                <w:rFonts w:hint="eastAsia" w:ascii="宋体" w:hAnsi="宋体" w:eastAsia="宋体" w:cs="宋体"/>
                <w:b w:val="0"/>
                <w:bCs w:val="0"/>
                <w:i w:val="0"/>
                <w:iCs w:val="0"/>
                <w:color w:val="auto"/>
                <w:sz w:val="21"/>
                <w:szCs w:val="21"/>
                <w:highlight w:val="none"/>
                <w:u w:val="none"/>
                <w:lang w:val="en-US" w:eastAsia="zh-CN" w:bidi="ar"/>
              </w:rPr>
              <w:t>GB 16796-2022</w:t>
            </w:r>
            <w:r>
              <w:rPr>
                <w:rFonts w:hint="eastAsia" w:ascii="宋体" w:hAnsi="宋体" w:eastAsia="宋体" w:cs="宋体"/>
                <w:b w:val="0"/>
                <w:bCs w:val="0"/>
                <w:color w:val="auto"/>
                <w:sz w:val="21"/>
                <w:szCs w:val="21"/>
                <w:highlight w:val="none"/>
                <w:u w:val="none"/>
                <w:lang w:bidi="ar"/>
              </w:rPr>
              <w:t>或GB/T 15211-2013</w:t>
            </w:r>
            <w:r>
              <w:rPr>
                <w:rFonts w:hint="eastAsia" w:ascii="宋体" w:hAnsi="宋体" w:eastAsia="宋体" w:cs="宋体"/>
                <w:b w:val="0"/>
                <w:bCs w:val="0"/>
                <w:i w:val="0"/>
                <w:iCs w:val="0"/>
                <w:color w:val="auto"/>
                <w:sz w:val="21"/>
                <w:szCs w:val="21"/>
                <w:highlight w:val="none"/>
                <w:u w:val="none"/>
                <w:lang w:val="en-US" w:eastAsia="zh-CN" w:bidi="ar"/>
              </w:rPr>
              <w:t>等现行国家标准）</w:t>
            </w:r>
            <w:r>
              <w:rPr>
                <w:rFonts w:hint="eastAsia" w:ascii="宋体" w:hAnsi="宋体" w:eastAsia="宋体" w:cs="宋体"/>
                <w:b w:val="0"/>
                <w:bCs w:val="0"/>
                <w:color w:val="auto"/>
                <w:sz w:val="21"/>
                <w:szCs w:val="21"/>
                <w:highlight w:val="none"/>
                <w:u w:val="none"/>
                <w:lang w:val="en-US" w:eastAsia="zh-CN" w:bidi="ar"/>
              </w:rPr>
              <w:t>。</w:t>
            </w:r>
          </w:p>
        </w:tc>
      </w:tr>
      <w:tr w14:paraId="3BB516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71BE129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290F3DC7">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p>
        </w:tc>
        <w:tc>
          <w:tcPr>
            <w:tcW w:w="2841" w:type="dxa"/>
            <w:tcBorders>
              <w:tl2br w:val="nil"/>
              <w:tr2bl w:val="nil"/>
            </w:tcBorders>
            <w:shd w:val="clear" w:color="auto" w:fill="auto"/>
            <w:vAlign w:val="center"/>
          </w:tcPr>
          <w:p w14:paraId="3544F49E">
            <w:pPr>
              <w:keepNext w:val="0"/>
              <w:keepLines w:val="0"/>
              <w:pageBreakBefore w:val="0"/>
              <w:widowControl/>
              <w:numPr>
                <w:ilvl w:val="0"/>
                <w:numId w:val="0"/>
              </w:numPr>
              <w:kinsoku/>
              <w:wordWrap/>
              <w:overflowPunct/>
              <w:topLinePunct w:val="0"/>
              <w:autoSpaceDE/>
              <w:autoSpaceDN/>
              <w:bidi w:val="0"/>
              <w:adjustRightInd/>
              <w:snapToGrid/>
              <w:spacing w:line="400" w:lineRule="exact"/>
              <w:ind w:left="0"/>
              <w:jc w:val="left"/>
              <w:textAlignment w:val="auto"/>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color w:val="auto"/>
                <w:kern w:val="0"/>
                <w:sz w:val="21"/>
                <w:szCs w:val="21"/>
                <w:highlight w:val="none"/>
                <w:lang w:val="en-US" w:eastAsia="zh-CN"/>
              </w:rPr>
              <w:t>★7.对电瓶车进入电梯触发检测、抓拍并联动声光报警。</w:t>
            </w:r>
          </w:p>
        </w:tc>
        <w:tc>
          <w:tcPr>
            <w:tcW w:w="3796" w:type="dxa"/>
            <w:tcBorders>
              <w:tl2br w:val="nil"/>
              <w:tr2bl w:val="nil"/>
            </w:tcBorders>
            <w:shd w:val="clear" w:color="auto" w:fill="auto"/>
            <w:vAlign w:val="center"/>
          </w:tcPr>
          <w:p w14:paraId="359D3834">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color w:val="auto"/>
                <w:kern w:val="0"/>
                <w:sz w:val="21"/>
                <w:szCs w:val="21"/>
                <w:highlight w:val="none"/>
                <w:lang w:val="en-US" w:eastAsia="zh-CN"/>
              </w:rPr>
              <w:t>提供承诺函或提供原厂公开技术文档（白皮书、彩页、官网规格页截图及链接地址均可）。</w:t>
            </w:r>
          </w:p>
        </w:tc>
      </w:tr>
      <w:tr w14:paraId="220D7A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1ECDFE2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4117DA91">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p>
        </w:tc>
        <w:tc>
          <w:tcPr>
            <w:tcW w:w="2841" w:type="dxa"/>
            <w:tcBorders>
              <w:tl2br w:val="nil"/>
              <w:tr2bl w:val="nil"/>
            </w:tcBorders>
            <w:shd w:val="clear" w:color="auto" w:fill="auto"/>
            <w:vAlign w:val="center"/>
          </w:tcPr>
          <w:p w14:paraId="2660F965">
            <w:pPr>
              <w:keepNext w:val="0"/>
              <w:keepLines w:val="0"/>
              <w:pageBreakBefore w:val="0"/>
              <w:widowControl/>
              <w:numPr>
                <w:ilvl w:val="0"/>
                <w:numId w:val="0"/>
              </w:numPr>
              <w:kinsoku/>
              <w:wordWrap/>
              <w:overflowPunct/>
              <w:topLinePunct w:val="0"/>
              <w:autoSpaceDE/>
              <w:autoSpaceDN/>
              <w:bidi w:val="0"/>
              <w:adjustRightInd/>
              <w:snapToGrid/>
              <w:spacing w:line="400" w:lineRule="exact"/>
              <w:ind w:left="0"/>
              <w:jc w:val="left"/>
              <w:textAlignment w:val="auto"/>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color w:val="auto"/>
                <w:kern w:val="0"/>
                <w:sz w:val="21"/>
                <w:szCs w:val="21"/>
                <w:highlight w:val="none"/>
                <w:lang w:val="en-US" w:eastAsia="zh-CN"/>
              </w:rPr>
              <w:t>★9.内置MIC和扬声器。</w:t>
            </w:r>
          </w:p>
        </w:tc>
        <w:tc>
          <w:tcPr>
            <w:tcW w:w="3796" w:type="dxa"/>
            <w:tcBorders>
              <w:tl2br w:val="nil"/>
              <w:tr2bl w:val="nil"/>
            </w:tcBorders>
            <w:shd w:val="clear" w:color="auto" w:fill="auto"/>
            <w:vAlign w:val="center"/>
          </w:tcPr>
          <w:p w14:paraId="5FEEDFD5">
            <w:pPr>
              <w:keepNext w:val="0"/>
              <w:keepLines w:val="0"/>
              <w:pageBreakBefore w:val="0"/>
              <w:widowControl/>
              <w:numPr>
                <w:ilvl w:val="0"/>
                <w:numId w:val="0"/>
              </w:numPr>
              <w:kinsoku/>
              <w:wordWrap/>
              <w:overflowPunct/>
              <w:topLinePunct w:val="0"/>
              <w:autoSpaceDE/>
              <w:autoSpaceDN/>
              <w:bidi w:val="0"/>
              <w:adjustRightInd/>
              <w:snapToGrid/>
              <w:spacing w:line="400" w:lineRule="exact"/>
              <w:ind w:left="0"/>
              <w:jc w:val="left"/>
              <w:textAlignment w:val="auto"/>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color w:val="auto"/>
                <w:kern w:val="0"/>
                <w:sz w:val="21"/>
                <w:szCs w:val="21"/>
                <w:highlight w:val="none"/>
                <w:lang w:val="en-US" w:eastAsia="zh-CN"/>
              </w:rPr>
              <w:t>提供承诺函或提供承诺函或提供原厂公开技术文档（白皮书、彩页、官网规格页截图及链接地址均可）。</w:t>
            </w:r>
          </w:p>
        </w:tc>
      </w:tr>
      <w:tr w14:paraId="56722A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1BF39D1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1DB397AE">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p>
        </w:tc>
        <w:tc>
          <w:tcPr>
            <w:tcW w:w="2841" w:type="dxa"/>
            <w:tcBorders>
              <w:tl2br w:val="nil"/>
              <w:tr2bl w:val="nil"/>
            </w:tcBorders>
            <w:shd w:val="clear" w:color="auto" w:fill="auto"/>
            <w:vAlign w:val="center"/>
          </w:tcPr>
          <w:p w14:paraId="0689DFC7">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jc w:val="left"/>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★15.符合GB/T 28181、Onvif、IPv4/IPv6协议标准。</w:t>
            </w:r>
          </w:p>
        </w:tc>
        <w:tc>
          <w:tcPr>
            <w:tcW w:w="3796" w:type="dxa"/>
            <w:tcBorders>
              <w:tl2br w:val="nil"/>
              <w:tr2bl w:val="nil"/>
            </w:tcBorders>
            <w:shd w:val="clear" w:color="auto" w:fill="auto"/>
            <w:vAlign w:val="center"/>
          </w:tcPr>
          <w:p w14:paraId="7B35A8F1">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提供所投产品原厂公开技术文档（白皮书、彩页、官网规格页截图及链接地址）或提供承诺函（格式自拟）</w:t>
            </w:r>
            <w:r>
              <w:rPr>
                <w:rFonts w:hint="eastAsia" w:ascii="宋体" w:hAnsi="宋体" w:eastAsia="宋体" w:cs="宋体"/>
                <w:b w:val="0"/>
                <w:bCs w:val="0"/>
                <w:color w:val="auto"/>
                <w:sz w:val="21"/>
                <w:szCs w:val="21"/>
                <w:highlight w:val="none"/>
                <w:u w:val="none"/>
                <w:lang w:val="en-US" w:eastAsia="zh-CN" w:bidi="ar"/>
              </w:rPr>
              <w:t>。</w:t>
            </w:r>
          </w:p>
        </w:tc>
      </w:tr>
      <w:tr w14:paraId="3A8A5A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restart"/>
            <w:tcBorders>
              <w:tl2br w:val="nil"/>
              <w:tr2bl w:val="nil"/>
            </w:tcBorders>
            <w:shd w:val="clear" w:color="auto" w:fill="auto"/>
            <w:vAlign w:val="center"/>
          </w:tcPr>
          <w:p w14:paraId="4F7E4108">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default" w:asciiTheme="minorEastAsia" w:hAnsiTheme="minorEastAsia" w:eastAsiaTheme="minorEastAsia" w:cstheme="minorEastAsia"/>
                <w:b/>
                <w:bCs/>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17</w:t>
            </w:r>
          </w:p>
        </w:tc>
        <w:tc>
          <w:tcPr>
            <w:tcW w:w="1438" w:type="dxa"/>
            <w:vMerge w:val="restart"/>
            <w:tcBorders>
              <w:tl2br w:val="nil"/>
              <w:tr2bl w:val="nil"/>
            </w:tcBorders>
            <w:shd w:val="clear" w:color="auto" w:fill="auto"/>
            <w:vAlign w:val="center"/>
          </w:tcPr>
          <w:p w14:paraId="6DCC1F70">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智能球型摄像机</w:t>
            </w:r>
          </w:p>
        </w:tc>
        <w:tc>
          <w:tcPr>
            <w:tcW w:w="2841" w:type="dxa"/>
            <w:tcBorders>
              <w:tl2br w:val="nil"/>
              <w:tr2bl w:val="nil"/>
            </w:tcBorders>
            <w:shd w:val="clear" w:color="auto" w:fill="auto"/>
            <w:vAlign w:val="center"/>
          </w:tcPr>
          <w:p w14:paraId="606246BF">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jc w:val="left"/>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★2.采用≥400万像素或≥2560×1440。</w:t>
            </w:r>
          </w:p>
        </w:tc>
        <w:tc>
          <w:tcPr>
            <w:tcW w:w="3796" w:type="dxa"/>
            <w:tcBorders>
              <w:tl2br w:val="nil"/>
              <w:tr2bl w:val="nil"/>
            </w:tcBorders>
            <w:shd w:val="clear" w:color="auto" w:fill="auto"/>
            <w:vAlign w:val="center"/>
          </w:tcPr>
          <w:p w14:paraId="4F1F38CC">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提供所投产品的检测报告原件关键页扫描件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（依据标准</w:t>
            </w:r>
            <w:r>
              <w:rPr>
                <w:rFonts w:hint="eastAsia" w:ascii="宋体" w:hAnsi="宋体" w:eastAsia="宋体" w:cs="宋体"/>
                <w:b w:val="0"/>
                <w:bCs w:val="0"/>
                <w:color w:val="auto"/>
                <w:sz w:val="21"/>
                <w:szCs w:val="21"/>
                <w:highlight w:val="none"/>
                <w:vertAlign w:val="baseline"/>
              </w:rPr>
              <w:t xml:space="preserve">GB/T 15211-2013 </w:t>
            </w:r>
            <w:r>
              <w:rPr>
                <w:rFonts w:hint="eastAsia" w:ascii="宋体" w:hAnsi="宋体" w:eastAsia="宋体" w:cs="宋体"/>
                <w:b w:val="0"/>
                <w:bCs w:val="0"/>
                <w:color w:val="auto"/>
                <w:sz w:val="21"/>
                <w:szCs w:val="21"/>
                <w:highlight w:val="none"/>
                <w:vertAlign w:val="baseline"/>
                <w:lang w:val="en-US" w:eastAsia="zh-CN"/>
              </w:rPr>
              <w:t>或</w:t>
            </w:r>
            <w:r>
              <w:rPr>
                <w:rFonts w:hint="eastAsia" w:ascii="宋体" w:hAnsi="宋体" w:eastAsia="宋体" w:cs="宋体"/>
                <w:b w:val="0"/>
                <w:bCs w:val="0"/>
                <w:i w:val="0"/>
                <w:iCs w:val="0"/>
                <w:color w:val="auto"/>
                <w:sz w:val="21"/>
                <w:szCs w:val="21"/>
                <w:highlight w:val="none"/>
                <w:u w:val="none"/>
                <w:lang w:val="en-US" w:eastAsia="zh-CN" w:bidi="ar"/>
              </w:rPr>
              <w:t>GA/T 645-2014或GB 16796-2022等现行国家标准）</w:t>
            </w: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5CCE0D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795EC24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79A210A7">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41" w:type="dxa"/>
            <w:tcBorders>
              <w:tl2br w:val="nil"/>
              <w:tr2bl w:val="nil"/>
            </w:tcBorders>
            <w:shd w:val="clear" w:color="auto" w:fill="auto"/>
            <w:vAlign w:val="center"/>
          </w:tcPr>
          <w:p w14:paraId="1BDFBD40">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jc w:val="left"/>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★3.内置镜头、具备≥23倍光学变焦（镜头焦距最大值与最少值的比值≥23），智能红外补光距离（识别距离）≥150米。</w:t>
            </w:r>
          </w:p>
        </w:tc>
        <w:tc>
          <w:tcPr>
            <w:tcW w:w="3796" w:type="dxa"/>
            <w:tcBorders>
              <w:tl2br w:val="nil"/>
              <w:tr2bl w:val="nil"/>
            </w:tcBorders>
            <w:shd w:val="clear" w:color="auto" w:fill="auto"/>
            <w:vAlign w:val="center"/>
          </w:tcPr>
          <w:p w14:paraId="6C261CF3">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提供所投产品的检测报告原件关键页扫描件（依据标准</w:t>
            </w:r>
            <w:r>
              <w:rPr>
                <w:rFonts w:hint="eastAsia" w:ascii="宋体" w:hAnsi="宋体" w:eastAsia="宋体" w:cs="宋体"/>
                <w:b w:val="0"/>
                <w:bCs w:val="0"/>
                <w:i w:val="0"/>
                <w:iCs w:val="0"/>
                <w:color w:val="auto"/>
                <w:sz w:val="21"/>
                <w:szCs w:val="21"/>
                <w:highlight w:val="none"/>
                <w:u w:val="none"/>
                <w:lang w:val="en-US" w:eastAsia="zh-CN" w:bidi="ar"/>
              </w:rPr>
              <w:t>GA/T 645-2014</w:t>
            </w:r>
            <w:r>
              <w:rPr>
                <w:rFonts w:hint="eastAsia" w:ascii="宋体" w:hAnsi="宋体" w:eastAsia="宋体" w:cs="宋体"/>
                <w:b w:val="0"/>
                <w:bCs w:val="0"/>
                <w:i w:val="0"/>
                <w:iCs w:val="0"/>
                <w:color w:val="auto"/>
                <w:kern w:val="0"/>
                <w:sz w:val="21"/>
                <w:szCs w:val="21"/>
                <w:highlight w:val="none"/>
                <w:u w:val="none"/>
                <w:lang w:val="en-US" w:eastAsia="zh-CN" w:bidi="ar"/>
              </w:rPr>
              <w:t>等现行国家标准）。</w:t>
            </w:r>
          </w:p>
        </w:tc>
      </w:tr>
      <w:tr w14:paraId="7B40CA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56D4E59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7B814911">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41" w:type="dxa"/>
            <w:tcBorders>
              <w:tl2br w:val="nil"/>
              <w:tr2bl w:val="nil"/>
            </w:tcBorders>
            <w:shd w:val="clear" w:color="auto" w:fill="auto"/>
            <w:vAlign w:val="center"/>
          </w:tcPr>
          <w:p w14:paraId="3A428421">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jc w:val="left"/>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★4.具备H.265、H.264、MJPEG视频编码格式，音频编码：G.711、AAC。</w:t>
            </w:r>
          </w:p>
        </w:tc>
        <w:tc>
          <w:tcPr>
            <w:tcW w:w="3796" w:type="dxa"/>
            <w:tcBorders>
              <w:tl2br w:val="nil"/>
              <w:tr2bl w:val="nil"/>
            </w:tcBorders>
            <w:shd w:val="clear" w:color="auto" w:fill="auto"/>
            <w:vAlign w:val="center"/>
          </w:tcPr>
          <w:p w14:paraId="661FAB6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提供原厂公开技术文档（白皮书、彩页、官网规格页截图及链接地址）。</w:t>
            </w:r>
          </w:p>
        </w:tc>
      </w:tr>
      <w:tr w14:paraId="1D779F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01B06EA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4FB79A86">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41" w:type="dxa"/>
            <w:tcBorders>
              <w:tl2br w:val="nil"/>
              <w:tr2bl w:val="nil"/>
            </w:tcBorders>
            <w:shd w:val="clear" w:color="auto" w:fill="auto"/>
            <w:vAlign w:val="center"/>
          </w:tcPr>
          <w:p w14:paraId="0C42BDEB">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jc w:val="left"/>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★5.具备最低照度彩色不劣于0.0005Lux，黑白不劣于0.0001Lux。</w:t>
            </w:r>
          </w:p>
        </w:tc>
        <w:tc>
          <w:tcPr>
            <w:tcW w:w="3796" w:type="dxa"/>
            <w:tcBorders>
              <w:tl2br w:val="nil"/>
              <w:tr2bl w:val="nil"/>
            </w:tcBorders>
            <w:shd w:val="clear" w:color="auto" w:fill="auto"/>
            <w:vAlign w:val="center"/>
          </w:tcPr>
          <w:p w14:paraId="693935A8">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提供第三方机构出具的具有CMA标志的检测报告（依据标准GA/T 645-2014或GB 16796-2022</w:t>
            </w:r>
            <w:r>
              <w:rPr>
                <w:rFonts w:hint="eastAsia" w:ascii="宋体" w:hAnsi="宋体" w:eastAsia="宋体" w:cs="宋体"/>
                <w:b w:val="0"/>
                <w:bCs w:val="0"/>
                <w:color w:val="auto"/>
                <w:sz w:val="21"/>
                <w:szCs w:val="21"/>
                <w:highlight w:val="none"/>
                <w:u w:val="none"/>
                <w:lang w:bidi="ar"/>
              </w:rPr>
              <w:t>或GB/T 15211-2013</w:t>
            </w:r>
            <w:r>
              <w:rPr>
                <w:rFonts w:hint="eastAsia" w:ascii="宋体" w:hAnsi="宋体" w:eastAsia="宋体" w:cs="宋体"/>
                <w:b w:val="0"/>
                <w:bCs w:val="0"/>
                <w:i w:val="0"/>
                <w:iCs w:val="0"/>
                <w:color w:val="auto"/>
                <w:sz w:val="21"/>
                <w:szCs w:val="21"/>
                <w:highlight w:val="none"/>
                <w:u w:val="none"/>
                <w:lang w:val="en-US" w:eastAsia="zh-CN" w:bidi="ar"/>
              </w:rPr>
              <w:t>等现行国家标准）</w:t>
            </w:r>
            <w:r>
              <w:rPr>
                <w:rFonts w:hint="eastAsia" w:ascii="宋体" w:hAnsi="宋体" w:eastAsia="宋体" w:cs="宋体"/>
                <w:b w:val="0"/>
                <w:bCs w:val="0"/>
                <w:color w:val="auto"/>
                <w:sz w:val="21"/>
                <w:szCs w:val="21"/>
                <w:highlight w:val="none"/>
                <w:u w:val="none"/>
                <w:lang w:val="en-US" w:eastAsia="zh-CN" w:bidi="ar"/>
              </w:rPr>
              <w:t>。</w:t>
            </w:r>
          </w:p>
        </w:tc>
      </w:tr>
      <w:tr w14:paraId="0BA434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5A054D3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37386810">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41" w:type="dxa"/>
            <w:tcBorders>
              <w:tl2br w:val="nil"/>
              <w:tr2bl w:val="nil"/>
            </w:tcBorders>
            <w:shd w:val="clear" w:color="auto" w:fill="auto"/>
            <w:vAlign w:val="center"/>
          </w:tcPr>
          <w:p w14:paraId="0E43A5C1">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jc w:val="left"/>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★11.具备强光抑制、透雾功能。</w:t>
            </w:r>
          </w:p>
        </w:tc>
        <w:tc>
          <w:tcPr>
            <w:tcW w:w="3796" w:type="dxa"/>
            <w:tcBorders>
              <w:tl2br w:val="nil"/>
              <w:tr2bl w:val="nil"/>
            </w:tcBorders>
            <w:shd w:val="clear" w:color="auto" w:fill="auto"/>
            <w:vAlign w:val="center"/>
          </w:tcPr>
          <w:p w14:paraId="04B5A4B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提供原厂公开技术文档（白皮书、彩页、官网规格页截图及链接地址）。</w:t>
            </w:r>
          </w:p>
        </w:tc>
      </w:tr>
      <w:tr w14:paraId="15277C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34982EA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18D0C248">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41" w:type="dxa"/>
            <w:tcBorders>
              <w:tl2br w:val="nil"/>
              <w:tr2bl w:val="nil"/>
            </w:tcBorders>
            <w:shd w:val="clear" w:color="auto" w:fill="auto"/>
            <w:vAlign w:val="center"/>
          </w:tcPr>
          <w:p w14:paraId="686784AF">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jc w:val="left"/>
              <w:textAlignment w:val="top"/>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★12.宽动态能力综合得分≥80。</w:t>
            </w:r>
          </w:p>
        </w:tc>
        <w:tc>
          <w:tcPr>
            <w:tcW w:w="3796" w:type="dxa"/>
            <w:tcBorders>
              <w:tl2br w:val="nil"/>
              <w:tr2bl w:val="nil"/>
            </w:tcBorders>
            <w:shd w:val="clear" w:color="auto" w:fill="auto"/>
            <w:vAlign w:val="center"/>
          </w:tcPr>
          <w:p w14:paraId="3EA48207">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提供</w:t>
            </w:r>
            <w:r>
              <w:rPr>
                <w:rFonts w:hint="eastAsia" w:ascii="宋体" w:hAnsi="宋体" w:eastAsia="宋体" w:cs="宋体"/>
                <w:b w:val="0"/>
                <w:bCs w:val="0"/>
                <w:color w:val="auto"/>
                <w:sz w:val="21"/>
                <w:szCs w:val="21"/>
                <w:highlight w:val="none"/>
                <w:u w:val="none"/>
                <w:lang w:bidi="ar"/>
              </w:rPr>
              <w:t>由具备有效CMA资质的检测机构出具的封面盖有CMA专用印章的检测报告原件关键页扫描件(</w:t>
            </w:r>
            <w:r>
              <w:rPr>
                <w:rFonts w:hint="eastAsia" w:ascii="宋体" w:hAnsi="宋体" w:eastAsia="宋体" w:cs="宋体"/>
                <w:b w:val="0"/>
                <w:bCs w:val="0"/>
                <w:i w:val="0"/>
                <w:iCs w:val="0"/>
                <w:color w:val="auto"/>
                <w:kern w:val="0"/>
                <w:sz w:val="21"/>
                <w:szCs w:val="21"/>
                <w:highlight w:val="none"/>
                <w:u w:val="none"/>
                <w:lang w:val="en-US" w:eastAsia="zh-CN" w:bidi="ar"/>
              </w:rPr>
              <w:t>依据标准GA/T 1127-2013或</w:t>
            </w:r>
            <w:r>
              <w:rPr>
                <w:rFonts w:hint="eastAsia" w:ascii="宋体" w:hAnsi="宋体" w:eastAsia="宋体" w:cs="宋体"/>
                <w:b w:val="0"/>
                <w:bCs w:val="0"/>
                <w:i w:val="0"/>
                <w:iCs w:val="0"/>
                <w:color w:val="auto"/>
                <w:sz w:val="21"/>
                <w:szCs w:val="21"/>
                <w:highlight w:val="none"/>
                <w:u w:val="none"/>
                <w:lang w:val="en-US" w:eastAsia="zh-CN" w:bidi="ar"/>
              </w:rPr>
              <w:t>GA/T 645-2014</w:t>
            </w:r>
            <w:r>
              <w:rPr>
                <w:rFonts w:hint="eastAsia" w:ascii="宋体" w:hAnsi="宋体" w:eastAsia="宋体" w:cs="宋体"/>
                <w:b w:val="0"/>
                <w:bCs w:val="0"/>
                <w:i w:val="0"/>
                <w:iCs w:val="0"/>
                <w:color w:val="auto"/>
                <w:kern w:val="0"/>
                <w:sz w:val="21"/>
                <w:szCs w:val="21"/>
                <w:highlight w:val="none"/>
                <w:u w:val="none"/>
                <w:lang w:val="en-US" w:eastAsia="zh-CN" w:bidi="ar"/>
              </w:rPr>
              <w:t>等现行国家标准</w:t>
            </w:r>
            <w:r>
              <w:rPr>
                <w:rFonts w:hint="eastAsia" w:ascii="宋体" w:hAnsi="宋体" w:eastAsia="宋体" w:cs="宋体"/>
                <w:b w:val="0"/>
                <w:bCs w:val="0"/>
                <w:color w:val="auto"/>
                <w:sz w:val="21"/>
                <w:szCs w:val="21"/>
                <w:highlight w:val="none"/>
                <w:u w:val="none"/>
                <w:lang w:bidi="ar"/>
              </w:rPr>
              <w:t>）</w:t>
            </w: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7EB48D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3A32093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659B709A">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41" w:type="dxa"/>
            <w:tcBorders>
              <w:tl2br w:val="nil"/>
              <w:tr2bl w:val="nil"/>
            </w:tcBorders>
            <w:shd w:val="clear" w:color="auto" w:fill="auto"/>
            <w:vAlign w:val="center"/>
          </w:tcPr>
          <w:p w14:paraId="7D9A6274">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jc w:val="left"/>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★13.具备绊线或越界入侵、区域入侵、徘徊、快速移动、人员聚集等智能行为分析功能，具备联动抓拍或录像、报警。</w:t>
            </w:r>
          </w:p>
        </w:tc>
        <w:tc>
          <w:tcPr>
            <w:tcW w:w="3796" w:type="dxa"/>
            <w:tcBorders>
              <w:tl2br w:val="nil"/>
              <w:tr2bl w:val="nil"/>
            </w:tcBorders>
            <w:shd w:val="clear" w:color="auto" w:fill="auto"/>
            <w:vAlign w:val="center"/>
          </w:tcPr>
          <w:p w14:paraId="7B22CC9B">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提供原厂公开技术文档（白皮书、彩页、官网规格页截图及链接地址）。</w:t>
            </w:r>
          </w:p>
        </w:tc>
      </w:tr>
      <w:tr w14:paraId="267A8E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313C3FF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1B0F7E5F">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41" w:type="dxa"/>
            <w:tcBorders>
              <w:tl2br w:val="nil"/>
              <w:tr2bl w:val="nil"/>
            </w:tcBorders>
            <w:shd w:val="clear" w:color="auto" w:fill="auto"/>
            <w:vAlign w:val="center"/>
          </w:tcPr>
          <w:p w14:paraId="06EB4A25">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jc w:val="left"/>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★17.防护等级：≥IP67。</w:t>
            </w:r>
          </w:p>
        </w:tc>
        <w:tc>
          <w:tcPr>
            <w:tcW w:w="3796" w:type="dxa"/>
            <w:tcBorders>
              <w:tl2br w:val="nil"/>
              <w:tr2bl w:val="nil"/>
            </w:tcBorders>
            <w:shd w:val="clear" w:color="auto" w:fill="auto"/>
            <w:vAlign w:val="center"/>
          </w:tcPr>
          <w:p w14:paraId="583A338A">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提供所投产品的检测报告原件关键页扫描件（依据</w:t>
            </w:r>
            <w:r>
              <w:rPr>
                <w:rFonts w:hint="eastAsia" w:ascii="宋体" w:hAnsi="宋体" w:eastAsia="宋体" w:cs="宋体"/>
                <w:b w:val="0"/>
                <w:bCs w:val="0"/>
                <w:i w:val="0"/>
                <w:iCs w:val="0"/>
                <w:color w:val="auto"/>
                <w:kern w:val="0"/>
                <w:sz w:val="21"/>
                <w:szCs w:val="21"/>
                <w:highlight w:val="none"/>
                <w:u w:val="none"/>
                <w:lang w:val="en-US" w:eastAsia="zh-CN" w:bidi="ar"/>
              </w:rPr>
              <w:t>GA/T 645-2014或</w:t>
            </w:r>
            <w:r>
              <w:rPr>
                <w:rFonts w:hint="eastAsia" w:ascii="宋体" w:hAnsi="宋体" w:eastAsia="宋体" w:cs="宋体"/>
                <w:b w:val="0"/>
                <w:bCs w:val="0"/>
                <w:i w:val="0"/>
                <w:iCs w:val="0"/>
                <w:color w:val="auto"/>
                <w:sz w:val="21"/>
                <w:szCs w:val="21"/>
                <w:highlight w:val="none"/>
                <w:u w:val="none"/>
                <w:lang w:val="en-US" w:eastAsia="zh-CN" w:bidi="ar"/>
              </w:rPr>
              <w:t>GB/T 15211-2013或GA/T 1127-2013或GB/T4208-2017标准）等相关现行国家标准）。</w:t>
            </w:r>
          </w:p>
        </w:tc>
      </w:tr>
      <w:tr w14:paraId="4DFBF6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7993C84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1B1B0593">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41" w:type="dxa"/>
            <w:tcBorders>
              <w:tl2br w:val="nil"/>
              <w:tr2bl w:val="nil"/>
            </w:tcBorders>
            <w:shd w:val="clear" w:color="auto" w:fill="auto"/>
            <w:vAlign w:val="center"/>
          </w:tcPr>
          <w:p w14:paraId="0ED999B6">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leftChars="0" w:firstLine="0" w:firstLineChars="0"/>
              <w:jc w:val="left"/>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★18.符合GB/T 28181、Onvif、IPv4/IPv6协议标准。</w:t>
            </w:r>
          </w:p>
        </w:tc>
        <w:tc>
          <w:tcPr>
            <w:tcW w:w="3796" w:type="dxa"/>
            <w:tcBorders>
              <w:tl2br w:val="nil"/>
              <w:tr2bl w:val="nil"/>
            </w:tcBorders>
            <w:shd w:val="clear" w:color="auto" w:fill="auto"/>
            <w:vAlign w:val="center"/>
          </w:tcPr>
          <w:p w14:paraId="7D0E318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提供所投产品原厂公开技术文档（白皮书、彩页、官网规格页截图及链接地址）或提供承诺函（格式自拟）</w:t>
            </w:r>
            <w:r>
              <w:rPr>
                <w:rFonts w:hint="eastAsia" w:ascii="宋体" w:hAnsi="宋体" w:eastAsia="宋体" w:cs="宋体"/>
                <w:b w:val="0"/>
                <w:bCs w:val="0"/>
                <w:color w:val="auto"/>
                <w:sz w:val="21"/>
                <w:szCs w:val="21"/>
                <w:highlight w:val="none"/>
                <w:u w:val="none"/>
                <w:lang w:val="en-US" w:eastAsia="zh-CN" w:bidi="ar"/>
              </w:rPr>
              <w:t>。</w:t>
            </w:r>
          </w:p>
        </w:tc>
      </w:tr>
      <w:tr w14:paraId="7CC7A3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restart"/>
            <w:tcBorders>
              <w:tl2br w:val="nil"/>
              <w:tr2bl w:val="nil"/>
            </w:tcBorders>
            <w:shd w:val="clear" w:color="auto" w:fill="auto"/>
            <w:vAlign w:val="center"/>
          </w:tcPr>
          <w:p w14:paraId="70168EF6">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default" w:asciiTheme="minorEastAsia" w:hAnsiTheme="minorEastAsia" w:eastAsiaTheme="minorEastAsia" w:cstheme="minorEastAsia"/>
                <w:b/>
                <w:bCs/>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18</w:t>
            </w:r>
          </w:p>
        </w:tc>
        <w:tc>
          <w:tcPr>
            <w:tcW w:w="1438" w:type="dxa"/>
            <w:vMerge w:val="restart"/>
            <w:tcBorders>
              <w:tl2br w:val="nil"/>
              <w:tr2bl w:val="nil"/>
            </w:tcBorders>
            <w:shd w:val="clear" w:color="auto" w:fill="auto"/>
            <w:vAlign w:val="center"/>
          </w:tcPr>
          <w:p w14:paraId="28C99042">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高清网络摄像机</w:t>
            </w:r>
          </w:p>
        </w:tc>
        <w:tc>
          <w:tcPr>
            <w:tcW w:w="2841" w:type="dxa"/>
            <w:tcBorders>
              <w:tl2br w:val="nil"/>
              <w:tr2bl w:val="nil"/>
            </w:tcBorders>
            <w:shd w:val="clear" w:color="auto" w:fill="auto"/>
            <w:vAlign w:val="center"/>
          </w:tcPr>
          <w:p w14:paraId="3A0D350C">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★2.像素≥400万或最大分辨率≥2560×1440。</w:t>
            </w:r>
          </w:p>
        </w:tc>
        <w:tc>
          <w:tcPr>
            <w:tcW w:w="3796" w:type="dxa"/>
            <w:tcBorders>
              <w:tl2br w:val="nil"/>
              <w:tr2bl w:val="nil"/>
            </w:tcBorders>
            <w:shd w:val="clear" w:color="auto" w:fill="auto"/>
            <w:vAlign w:val="center"/>
          </w:tcPr>
          <w:p w14:paraId="0355400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提供所投产品</w:t>
            </w:r>
            <w:r>
              <w:rPr>
                <w:rFonts w:hint="eastAsia" w:ascii="宋体" w:hAnsi="宋体" w:eastAsia="宋体" w:cs="宋体"/>
                <w:b w:val="0"/>
                <w:bCs w:val="0"/>
                <w:color w:val="auto"/>
                <w:sz w:val="21"/>
                <w:szCs w:val="21"/>
                <w:highlight w:val="none"/>
                <w:u w:val="none"/>
                <w:lang w:bidi="ar"/>
              </w:rPr>
              <w:t>由具备有效CMA资质的检测机构出具的封面盖有CMA专用印章的检测报告原件关键页扫描件(</w:t>
            </w:r>
            <w:r>
              <w:rPr>
                <w:rFonts w:hint="eastAsia" w:ascii="宋体" w:hAnsi="宋体" w:eastAsia="宋体" w:cs="宋体"/>
                <w:b w:val="0"/>
                <w:bCs w:val="0"/>
                <w:i w:val="0"/>
                <w:iCs w:val="0"/>
                <w:color w:val="auto"/>
                <w:kern w:val="0"/>
                <w:sz w:val="21"/>
                <w:szCs w:val="21"/>
                <w:highlight w:val="none"/>
                <w:u w:val="none"/>
                <w:lang w:val="en-US" w:eastAsia="zh-CN" w:bidi="ar"/>
              </w:rPr>
              <w:t>依据标准GA/T 1127-2013等现行国家标准</w:t>
            </w:r>
            <w:r>
              <w:rPr>
                <w:rFonts w:hint="eastAsia" w:ascii="宋体" w:hAnsi="宋体" w:eastAsia="宋体" w:cs="宋体"/>
                <w:b w:val="0"/>
                <w:bCs w:val="0"/>
                <w:color w:val="auto"/>
                <w:sz w:val="21"/>
                <w:szCs w:val="21"/>
                <w:highlight w:val="none"/>
                <w:u w:val="none"/>
                <w:lang w:bidi="ar"/>
              </w:rPr>
              <w:t>）</w:t>
            </w: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0C3A72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3CCCC830">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default"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413C14C6">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41" w:type="dxa"/>
            <w:tcBorders>
              <w:tl2br w:val="nil"/>
              <w:tr2bl w:val="nil"/>
            </w:tcBorders>
            <w:shd w:val="clear" w:color="auto" w:fill="auto"/>
            <w:vAlign w:val="center"/>
          </w:tcPr>
          <w:p w14:paraId="4CCE7A84">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★3.具备最低照度彩色不劣于0.001Lux，黑白不劣于0.0001Lux。</w:t>
            </w:r>
          </w:p>
        </w:tc>
        <w:tc>
          <w:tcPr>
            <w:tcW w:w="3796" w:type="dxa"/>
            <w:tcBorders>
              <w:tl2br w:val="nil"/>
              <w:tr2bl w:val="nil"/>
            </w:tcBorders>
            <w:shd w:val="clear" w:color="auto" w:fill="auto"/>
            <w:vAlign w:val="center"/>
          </w:tcPr>
          <w:p w14:paraId="779DF870">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提供第三方机构出具的具有CMA标志的检测报告（依据标准</w:t>
            </w:r>
            <w:r>
              <w:rPr>
                <w:rFonts w:hint="eastAsia" w:ascii="宋体" w:hAnsi="宋体" w:eastAsia="宋体" w:cs="宋体"/>
                <w:b w:val="0"/>
                <w:bCs w:val="0"/>
                <w:i w:val="0"/>
                <w:iCs w:val="0"/>
                <w:color w:val="auto"/>
                <w:kern w:val="0"/>
                <w:sz w:val="21"/>
                <w:szCs w:val="21"/>
                <w:highlight w:val="none"/>
                <w:u w:val="none"/>
                <w:lang w:val="en-US" w:eastAsia="zh-CN" w:bidi="ar"/>
              </w:rPr>
              <w:t>GA/T 1127-2013或</w:t>
            </w:r>
            <w:r>
              <w:rPr>
                <w:rFonts w:hint="eastAsia" w:ascii="宋体" w:hAnsi="宋体" w:eastAsia="宋体" w:cs="宋体"/>
                <w:b w:val="0"/>
                <w:bCs w:val="0"/>
                <w:i w:val="0"/>
                <w:iCs w:val="0"/>
                <w:color w:val="auto"/>
                <w:sz w:val="21"/>
                <w:szCs w:val="21"/>
                <w:highlight w:val="none"/>
                <w:u w:val="none"/>
                <w:lang w:val="en-US" w:eastAsia="zh-CN" w:bidi="ar"/>
              </w:rPr>
              <w:t>GB 16796-2022</w:t>
            </w:r>
            <w:r>
              <w:rPr>
                <w:rFonts w:hint="eastAsia" w:ascii="宋体" w:hAnsi="宋体" w:eastAsia="宋体" w:cs="宋体"/>
                <w:b w:val="0"/>
                <w:bCs w:val="0"/>
                <w:color w:val="auto"/>
                <w:sz w:val="21"/>
                <w:szCs w:val="21"/>
                <w:highlight w:val="none"/>
                <w:u w:val="none"/>
                <w:lang w:bidi="ar"/>
              </w:rPr>
              <w:t>或GB/T 15211-2013</w:t>
            </w:r>
            <w:r>
              <w:rPr>
                <w:rFonts w:hint="eastAsia" w:ascii="宋体" w:hAnsi="宋体" w:eastAsia="宋体" w:cs="宋体"/>
                <w:b w:val="0"/>
                <w:bCs w:val="0"/>
                <w:i w:val="0"/>
                <w:iCs w:val="0"/>
                <w:color w:val="auto"/>
                <w:sz w:val="21"/>
                <w:szCs w:val="21"/>
                <w:highlight w:val="none"/>
                <w:u w:val="none"/>
                <w:lang w:val="en-US" w:eastAsia="zh-CN" w:bidi="ar"/>
              </w:rPr>
              <w:t>等现行国家标准）</w:t>
            </w:r>
            <w:r>
              <w:rPr>
                <w:rFonts w:hint="eastAsia" w:ascii="宋体" w:hAnsi="宋体" w:eastAsia="宋体" w:cs="宋体"/>
                <w:b w:val="0"/>
                <w:bCs w:val="0"/>
                <w:color w:val="auto"/>
                <w:sz w:val="21"/>
                <w:szCs w:val="21"/>
                <w:highlight w:val="none"/>
                <w:u w:val="none"/>
                <w:lang w:val="en-US" w:eastAsia="zh-CN" w:bidi="ar"/>
              </w:rPr>
              <w:t>。</w:t>
            </w:r>
          </w:p>
        </w:tc>
      </w:tr>
      <w:tr w14:paraId="6BCEB7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0FB069C1">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default"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3F069031">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41" w:type="dxa"/>
            <w:tcBorders>
              <w:tl2br w:val="nil"/>
              <w:tr2bl w:val="nil"/>
            </w:tcBorders>
            <w:shd w:val="clear" w:color="auto" w:fill="auto"/>
            <w:vAlign w:val="center"/>
          </w:tcPr>
          <w:p w14:paraId="19DE7657">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jc w:val="left"/>
              <w:textAlignment w:val="top"/>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★7.宽动态能力综合得分≥80。</w:t>
            </w:r>
          </w:p>
        </w:tc>
        <w:tc>
          <w:tcPr>
            <w:tcW w:w="3796" w:type="dxa"/>
            <w:tcBorders>
              <w:tl2br w:val="nil"/>
              <w:tr2bl w:val="nil"/>
            </w:tcBorders>
            <w:shd w:val="clear" w:color="auto" w:fill="auto"/>
            <w:vAlign w:val="center"/>
          </w:tcPr>
          <w:p w14:paraId="67633A61">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提供所投产品</w:t>
            </w:r>
            <w:r>
              <w:rPr>
                <w:rFonts w:hint="eastAsia" w:ascii="宋体" w:hAnsi="宋体" w:eastAsia="宋体" w:cs="宋体"/>
                <w:b w:val="0"/>
                <w:bCs w:val="0"/>
                <w:color w:val="auto"/>
                <w:sz w:val="21"/>
                <w:szCs w:val="21"/>
                <w:highlight w:val="none"/>
                <w:u w:val="none"/>
                <w:lang w:bidi="ar"/>
              </w:rPr>
              <w:t>由具备有效CMA资质的检测机构出具的封面盖有CMA专用印章的检测报告原件关键页扫描件(</w:t>
            </w:r>
            <w:r>
              <w:rPr>
                <w:rFonts w:hint="eastAsia" w:ascii="宋体" w:hAnsi="宋体" w:eastAsia="宋体" w:cs="宋体"/>
                <w:b w:val="0"/>
                <w:bCs w:val="0"/>
                <w:i w:val="0"/>
                <w:iCs w:val="0"/>
                <w:color w:val="auto"/>
                <w:kern w:val="0"/>
                <w:sz w:val="21"/>
                <w:szCs w:val="21"/>
                <w:highlight w:val="none"/>
                <w:u w:val="none"/>
                <w:lang w:val="en-US" w:eastAsia="zh-CN" w:bidi="ar"/>
              </w:rPr>
              <w:t>依据标准GA/T 1127-2013等现行国家标准</w:t>
            </w:r>
            <w:r>
              <w:rPr>
                <w:rFonts w:hint="eastAsia" w:ascii="宋体" w:hAnsi="宋体" w:eastAsia="宋体" w:cs="宋体"/>
                <w:b w:val="0"/>
                <w:bCs w:val="0"/>
                <w:color w:val="auto"/>
                <w:sz w:val="21"/>
                <w:szCs w:val="21"/>
                <w:highlight w:val="none"/>
                <w:u w:val="none"/>
                <w:lang w:bidi="ar"/>
              </w:rPr>
              <w:t>）</w:t>
            </w: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699A6B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72F7129A">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default"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3FF51C9A">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41" w:type="dxa"/>
            <w:tcBorders>
              <w:tl2br w:val="nil"/>
              <w:tr2bl w:val="nil"/>
            </w:tcBorders>
            <w:shd w:val="clear" w:color="auto" w:fill="auto"/>
            <w:vAlign w:val="center"/>
          </w:tcPr>
          <w:p w14:paraId="521643A8">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★8.具备H.265、H.264、MJPEG视频编码格式，音频编码：G.711、AAC。</w:t>
            </w:r>
          </w:p>
        </w:tc>
        <w:tc>
          <w:tcPr>
            <w:tcW w:w="3796" w:type="dxa"/>
            <w:tcBorders>
              <w:tl2br w:val="nil"/>
              <w:tr2bl w:val="nil"/>
            </w:tcBorders>
            <w:shd w:val="clear" w:color="auto" w:fill="auto"/>
            <w:vAlign w:val="center"/>
          </w:tcPr>
          <w:p w14:paraId="148E5E96">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提供原厂公开技术文档（白皮书、彩页、官网规格页截图及链接地址）。内置MIC（根据项目需求确定）。</w:t>
            </w:r>
          </w:p>
        </w:tc>
      </w:tr>
      <w:tr w14:paraId="209AC8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3C4A9574">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default"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21DF2958">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41" w:type="dxa"/>
            <w:tcBorders>
              <w:tl2br w:val="nil"/>
              <w:tr2bl w:val="nil"/>
            </w:tcBorders>
            <w:shd w:val="clear" w:color="auto" w:fill="auto"/>
            <w:vAlign w:val="center"/>
          </w:tcPr>
          <w:p w14:paraId="58C508EF">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jc w:val="left"/>
              <w:textAlignment w:val="top"/>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★10.具备绊线或越界入侵、区域入侵、徘徊、人员聚集、停车、物品遗留或搬移（移除）等行为分析功能，具备联动抓拍或录像、报警。</w:t>
            </w:r>
          </w:p>
        </w:tc>
        <w:tc>
          <w:tcPr>
            <w:tcW w:w="3796" w:type="dxa"/>
            <w:tcBorders>
              <w:tl2br w:val="nil"/>
              <w:tr2bl w:val="nil"/>
            </w:tcBorders>
            <w:shd w:val="clear" w:color="auto" w:fill="auto"/>
            <w:vAlign w:val="center"/>
          </w:tcPr>
          <w:p w14:paraId="1CE9C844">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提供所投产品原厂技术白皮书。</w:t>
            </w:r>
          </w:p>
        </w:tc>
      </w:tr>
      <w:tr w14:paraId="2CD032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230207FF">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default"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5AFC3F21">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41" w:type="dxa"/>
            <w:tcBorders>
              <w:tl2br w:val="nil"/>
              <w:tr2bl w:val="nil"/>
            </w:tcBorders>
            <w:shd w:val="clear" w:color="auto" w:fill="auto"/>
            <w:vAlign w:val="center"/>
          </w:tcPr>
          <w:p w14:paraId="72434680">
            <w:pPr>
              <w:pStyle w:val="15"/>
              <w:keepNext w:val="0"/>
              <w:keepLines w:val="0"/>
              <w:pageBreakBefore w:val="0"/>
              <w:kinsoku/>
              <w:wordWrap/>
              <w:overflowPunct/>
              <w:topLinePunct w:val="0"/>
              <w:autoSpaceDE/>
              <w:autoSpaceDN/>
              <w:bidi w:val="0"/>
              <w:adjustRightInd/>
              <w:snapToGrid/>
              <w:spacing w:line="400" w:lineRule="exact"/>
              <w:ind w:left="0" w:leftChars="0"/>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★16.符合GB/T 28181现行协议标准。</w:t>
            </w:r>
          </w:p>
        </w:tc>
        <w:tc>
          <w:tcPr>
            <w:tcW w:w="3796" w:type="dxa"/>
            <w:tcBorders>
              <w:tl2br w:val="nil"/>
              <w:tr2bl w:val="nil"/>
            </w:tcBorders>
            <w:shd w:val="clear" w:color="auto" w:fill="auto"/>
            <w:vAlign w:val="center"/>
          </w:tcPr>
          <w:p w14:paraId="04B06027">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提供所投产品原厂公开技术文档（白皮书、彩页、官网规格页截图及链接地址）或提供承诺函（格式自拟）。</w:t>
            </w:r>
          </w:p>
        </w:tc>
      </w:tr>
      <w:tr w14:paraId="3B4055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4D793D44">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default"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5CF5B67A">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41" w:type="dxa"/>
            <w:tcBorders>
              <w:tl2br w:val="nil"/>
              <w:tr2bl w:val="nil"/>
            </w:tcBorders>
            <w:shd w:val="clear" w:color="auto" w:fill="auto"/>
            <w:vAlign w:val="center"/>
          </w:tcPr>
          <w:p w14:paraId="14DF88B4">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jc w:val="left"/>
              <w:textAlignment w:val="top"/>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★19.浪涌（冲击）抗扰度测试、防浪涌。</w:t>
            </w:r>
          </w:p>
        </w:tc>
        <w:tc>
          <w:tcPr>
            <w:tcW w:w="3796" w:type="dxa"/>
            <w:tcBorders>
              <w:tl2br w:val="nil"/>
              <w:tr2bl w:val="nil"/>
            </w:tcBorders>
            <w:shd w:val="clear" w:color="auto" w:fill="auto"/>
            <w:vAlign w:val="center"/>
          </w:tcPr>
          <w:p w14:paraId="4C165F5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color w:val="auto"/>
                <w:sz w:val="21"/>
                <w:szCs w:val="21"/>
                <w:highlight w:val="none"/>
                <w:lang w:val="en-US" w:eastAsia="zh-CN" w:bidi="ar"/>
              </w:rPr>
              <w:t>承诺</w:t>
            </w:r>
            <w:r>
              <w:rPr>
                <w:rFonts w:hint="eastAsia" w:ascii="宋体" w:hAnsi="宋体" w:eastAsia="宋体" w:cs="宋体"/>
                <w:b w:val="0"/>
                <w:bCs w:val="0"/>
                <w:color w:val="auto"/>
                <w:sz w:val="21"/>
                <w:szCs w:val="21"/>
                <w:highlight w:val="none"/>
                <w:lang w:bidi="ar"/>
              </w:rPr>
              <w:t>符合</w:t>
            </w:r>
            <w:r>
              <w:rPr>
                <w:rFonts w:hint="eastAsia" w:ascii="宋体" w:hAnsi="宋体" w:eastAsia="宋体" w:cs="宋体"/>
                <w:b w:val="0"/>
                <w:bCs w:val="0"/>
                <w:i w:val="0"/>
                <w:iCs w:val="0"/>
                <w:color w:val="auto"/>
                <w:kern w:val="0"/>
                <w:sz w:val="21"/>
                <w:szCs w:val="21"/>
                <w:highlight w:val="none"/>
                <w:u w:val="none"/>
                <w:lang w:val="en-US" w:eastAsia="zh-CN" w:bidi="ar"/>
              </w:rPr>
              <w:t>GA/T 1127-2013或</w:t>
            </w:r>
            <w:r>
              <w:rPr>
                <w:rFonts w:hint="eastAsia" w:ascii="宋体" w:hAnsi="宋体" w:eastAsia="宋体" w:cs="宋体"/>
                <w:b w:val="0"/>
                <w:bCs w:val="0"/>
                <w:color w:val="auto"/>
                <w:sz w:val="21"/>
                <w:szCs w:val="21"/>
                <w:highlight w:val="none"/>
                <w:lang w:bidi="ar"/>
              </w:rPr>
              <w:t>GB/T 17626.5-</w:t>
            </w:r>
            <w:r>
              <w:rPr>
                <w:rFonts w:hint="eastAsia" w:ascii="宋体" w:hAnsi="宋体" w:eastAsia="宋体" w:cs="宋体"/>
                <w:b w:val="0"/>
                <w:bCs w:val="0"/>
                <w:color w:val="auto"/>
                <w:sz w:val="21"/>
                <w:szCs w:val="21"/>
                <w:highlight w:val="none"/>
                <w:lang w:val="en-US" w:eastAsia="zh-CN" w:bidi="ar"/>
              </w:rPr>
              <w:t>2008/</w:t>
            </w:r>
            <w:r>
              <w:rPr>
                <w:rFonts w:hint="eastAsia" w:ascii="宋体" w:hAnsi="宋体" w:eastAsia="宋体" w:cs="宋体"/>
                <w:b w:val="0"/>
                <w:bCs w:val="0"/>
                <w:color w:val="auto"/>
                <w:sz w:val="21"/>
                <w:szCs w:val="21"/>
                <w:highlight w:val="none"/>
                <w:lang w:bidi="ar"/>
              </w:rPr>
              <w:t>2019</w:t>
            </w:r>
            <w:r>
              <w:rPr>
                <w:rFonts w:hint="eastAsia" w:ascii="宋体" w:hAnsi="宋体" w:eastAsia="宋体" w:cs="宋体"/>
                <w:b w:val="0"/>
                <w:bCs w:val="0"/>
                <w:color w:val="auto"/>
                <w:sz w:val="21"/>
                <w:szCs w:val="21"/>
                <w:highlight w:val="none"/>
                <w:lang w:val="en-US" w:eastAsia="zh-CN" w:bidi="ar"/>
              </w:rPr>
              <w:t>对摄像机的</w:t>
            </w:r>
            <w:r>
              <w:rPr>
                <w:rFonts w:hint="eastAsia" w:ascii="宋体" w:hAnsi="宋体" w:eastAsia="宋体" w:cs="宋体"/>
                <w:b w:val="0"/>
                <w:bCs w:val="0"/>
                <w:i w:val="0"/>
                <w:iCs w:val="0"/>
                <w:color w:val="auto"/>
                <w:kern w:val="0"/>
                <w:sz w:val="21"/>
                <w:szCs w:val="21"/>
                <w:highlight w:val="none"/>
                <w:u w:val="none"/>
                <w:lang w:val="en-US" w:eastAsia="zh-CN" w:bidi="ar"/>
              </w:rPr>
              <w:t>防浪涌</w:t>
            </w:r>
            <w:r>
              <w:rPr>
                <w:rFonts w:hint="eastAsia" w:ascii="宋体" w:hAnsi="宋体" w:eastAsia="宋体" w:cs="宋体"/>
                <w:b w:val="0"/>
                <w:bCs w:val="0"/>
                <w:color w:val="auto"/>
                <w:sz w:val="21"/>
                <w:szCs w:val="21"/>
                <w:highlight w:val="none"/>
                <w:lang w:val="en-US" w:eastAsia="zh-CN" w:bidi="ar"/>
              </w:rPr>
              <w:t>要求</w:t>
            </w:r>
            <w:r>
              <w:rPr>
                <w:rFonts w:hint="eastAsia" w:ascii="宋体" w:hAnsi="宋体" w:eastAsia="宋体" w:cs="宋体"/>
                <w:b w:val="0"/>
                <w:bCs w:val="0"/>
                <w:color w:val="auto"/>
                <w:sz w:val="21"/>
                <w:szCs w:val="21"/>
                <w:highlight w:val="none"/>
                <w:lang w:eastAsia="zh-CN" w:bidi="ar"/>
              </w:rPr>
              <w:t>。</w:t>
            </w:r>
          </w:p>
        </w:tc>
      </w:tr>
      <w:tr w14:paraId="22B466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7754D367">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default"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68B27D9C">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41" w:type="dxa"/>
            <w:tcBorders>
              <w:tl2br w:val="nil"/>
              <w:tr2bl w:val="nil"/>
            </w:tcBorders>
            <w:shd w:val="clear" w:color="auto" w:fill="auto"/>
            <w:vAlign w:val="center"/>
          </w:tcPr>
          <w:p w14:paraId="1F16104C">
            <w:pPr>
              <w:pStyle w:val="15"/>
              <w:keepNext w:val="0"/>
              <w:keepLines w:val="0"/>
              <w:pageBreakBefore w:val="0"/>
              <w:kinsoku/>
              <w:wordWrap/>
              <w:overflowPunct/>
              <w:topLinePunct w:val="0"/>
              <w:autoSpaceDE/>
              <w:autoSpaceDN/>
              <w:bidi w:val="0"/>
              <w:adjustRightInd/>
              <w:snapToGrid/>
              <w:spacing w:line="400" w:lineRule="exact"/>
              <w:ind w:left="0" w:leftChars="0"/>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★21.防护等级：≥IP67。</w:t>
            </w:r>
          </w:p>
        </w:tc>
        <w:tc>
          <w:tcPr>
            <w:tcW w:w="3796" w:type="dxa"/>
            <w:tcBorders>
              <w:tl2br w:val="nil"/>
              <w:tr2bl w:val="nil"/>
            </w:tcBorders>
            <w:shd w:val="clear" w:color="auto" w:fill="auto"/>
            <w:vAlign w:val="center"/>
          </w:tcPr>
          <w:p w14:paraId="77670E93">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提供所投产品的检测报告原件关键页扫描件（依据GB/T 15211-2013或GA/T 1127-2013或</w:t>
            </w:r>
            <w:r>
              <w:rPr>
                <w:rFonts w:hint="eastAsia" w:ascii="宋体" w:hAnsi="宋体" w:eastAsia="宋体" w:cs="宋体"/>
                <w:b w:val="0"/>
                <w:bCs w:val="0"/>
                <w:color w:val="auto"/>
                <w:sz w:val="21"/>
                <w:szCs w:val="21"/>
                <w:highlight w:val="none"/>
              </w:rPr>
              <w:t>GB/T4208-2017标准</w:t>
            </w:r>
            <w:r>
              <w:rPr>
                <w:rFonts w:hint="eastAsia" w:ascii="宋体" w:hAnsi="宋体" w:eastAsia="宋体" w:cs="宋体"/>
                <w:b w:val="0"/>
                <w:bCs w:val="0"/>
                <w:i w:val="0"/>
                <w:iCs w:val="0"/>
                <w:color w:val="auto"/>
                <w:kern w:val="0"/>
                <w:sz w:val="21"/>
                <w:szCs w:val="21"/>
                <w:highlight w:val="none"/>
                <w:u w:val="none"/>
                <w:lang w:val="en-US" w:eastAsia="zh-CN" w:bidi="ar"/>
              </w:rPr>
              <w:t>）等相关现行国家标准）。</w:t>
            </w:r>
          </w:p>
        </w:tc>
      </w:tr>
      <w:tr w14:paraId="2DCC91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4F6AD7E9">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default"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008F4AAE">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41" w:type="dxa"/>
            <w:tcBorders>
              <w:tl2br w:val="nil"/>
              <w:tr2bl w:val="nil"/>
            </w:tcBorders>
            <w:shd w:val="clear" w:color="auto" w:fill="auto"/>
            <w:vAlign w:val="center"/>
          </w:tcPr>
          <w:p w14:paraId="7AEED7BF">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★22.具备POE供电功能。</w:t>
            </w:r>
          </w:p>
        </w:tc>
        <w:tc>
          <w:tcPr>
            <w:tcW w:w="3796" w:type="dxa"/>
            <w:tcBorders>
              <w:tl2br w:val="nil"/>
              <w:tr2bl w:val="nil"/>
            </w:tcBorders>
            <w:shd w:val="clear" w:color="auto" w:fill="auto"/>
            <w:vAlign w:val="center"/>
          </w:tcPr>
          <w:p w14:paraId="4042656A">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提供原厂公开技术文档（白皮书、彩页、官网规格页截图及链接地址均可）。</w:t>
            </w:r>
          </w:p>
        </w:tc>
      </w:tr>
      <w:tr w14:paraId="29435A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7AEC7496">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default"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656A5A24">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41" w:type="dxa"/>
            <w:tcBorders>
              <w:tl2br w:val="nil"/>
              <w:tr2bl w:val="nil"/>
            </w:tcBorders>
            <w:shd w:val="clear" w:color="auto" w:fill="auto"/>
            <w:vAlign w:val="center"/>
          </w:tcPr>
          <w:p w14:paraId="6B7C484A">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leftChars="0" w:firstLine="0" w:firstLineChars="0"/>
              <w:jc w:val="left"/>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★23.符合GB/T 28181、Onvif、IPv4/IPv6协议标准。</w:t>
            </w:r>
          </w:p>
        </w:tc>
        <w:tc>
          <w:tcPr>
            <w:tcW w:w="3796" w:type="dxa"/>
            <w:tcBorders>
              <w:tl2br w:val="nil"/>
              <w:tr2bl w:val="nil"/>
            </w:tcBorders>
            <w:shd w:val="clear" w:color="auto" w:fill="auto"/>
            <w:vAlign w:val="center"/>
          </w:tcPr>
          <w:p w14:paraId="3294614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提供所投产品原厂公开技术文档（白皮书、彩页、官网规格页截图及链接地址）或提供承诺函（格式自拟）</w:t>
            </w:r>
            <w:r>
              <w:rPr>
                <w:rFonts w:hint="eastAsia" w:ascii="宋体" w:hAnsi="宋体" w:eastAsia="宋体" w:cs="宋体"/>
                <w:b w:val="0"/>
                <w:bCs w:val="0"/>
                <w:color w:val="auto"/>
                <w:sz w:val="21"/>
                <w:szCs w:val="21"/>
                <w:highlight w:val="none"/>
                <w:u w:val="none"/>
                <w:lang w:val="en-US" w:eastAsia="zh-CN" w:bidi="ar"/>
              </w:rPr>
              <w:t>。</w:t>
            </w:r>
          </w:p>
        </w:tc>
      </w:tr>
      <w:tr w14:paraId="00015D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restart"/>
            <w:tcBorders>
              <w:tl2br w:val="nil"/>
              <w:tr2bl w:val="nil"/>
            </w:tcBorders>
            <w:shd w:val="clear" w:color="auto" w:fill="auto"/>
            <w:vAlign w:val="center"/>
          </w:tcPr>
          <w:p w14:paraId="55D2C332">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color w:val="auto"/>
                <w:kern w:val="2"/>
                <w:sz w:val="21"/>
                <w:szCs w:val="21"/>
                <w:vertAlign w:val="baseli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20</w:t>
            </w:r>
          </w:p>
        </w:tc>
        <w:tc>
          <w:tcPr>
            <w:tcW w:w="1438" w:type="dxa"/>
            <w:vMerge w:val="restart"/>
            <w:tcBorders>
              <w:tl2br w:val="nil"/>
              <w:tr2bl w:val="nil"/>
            </w:tcBorders>
            <w:shd w:val="clear" w:color="auto" w:fill="auto"/>
            <w:vAlign w:val="center"/>
          </w:tcPr>
          <w:p w14:paraId="7E060AE7">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color w:val="auto"/>
                <w:kern w:val="2"/>
                <w:sz w:val="21"/>
                <w:szCs w:val="21"/>
                <w:vertAlign w:val="baseli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24电口千兆POE交换机</w:t>
            </w:r>
          </w:p>
        </w:tc>
        <w:tc>
          <w:tcPr>
            <w:tcW w:w="2841" w:type="dxa"/>
            <w:tcBorders>
              <w:tl2br w:val="nil"/>
              <w:tr2bl w:val="nil"/>
            </w:tcBorders>
            <w:shd w:val="clear" w:color="auto" w:fill="auto"/>
            <w:vAlign w:val="center"/>
          </w:tcPr>
          <w:p w14:paraId="77FB2246">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color w:val="auto"/>
                <w:sz w:val="21"/>
                <w:szCs w:val="21"/>
                <w:highlight w:val="none"/>
                <w:lang w:val="en-US" w:eastAsia="zh-CN"/>
              </w:rPr>
              <w:t>★1. 端口配置：提供 ≥24 个 10/100/1000M 自适应以太网电口（RJ45），全部支持不低于 IEEE 802.3at（PoE+）；提供 ≥4 个 千兆SFP光口。</w:t>
            </w:r>
          </w:p>
        </w:tc>
        <w:tc>
          <w:tcPr>
            <w:tcW w:w="3796" w:type="dxa"/>
            <w:vMerge w:val="restart"/>
            <w:tcBorders>
              <w:tl2br w:val="nil"/>
              <w:tr2bl w:val="nil"/>
            </w:tcBorders>
            <w:shd w:val="clear" w:color="auto" w:fill="auto"/>
            <w:vAlign w:val="center"/>
          </w:tcPr>
          <w:p w14:paraId="7C06506F">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color w:val="auto"/>
                <w:sz w:val="21"/>
                <w:szCs w:val="21"/>
                <w:highlight w:val="none"/>
                <w:lang w:val="en-US" w:eastAsia="zh-CN"/>
              </w:rPr>
              <w:t>提供原厂公开技术文档（白皮书、彩页、官网规格页截图及链接地址均可）</w:t>
            </w:r>
          </w:p>
        </w:tc>
      </w:tr>
      <w:tr w14:paraId="35756A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636ED29E">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034F7438">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41" w:type="dxa"/>
            <w:tcBorders>
              <w:tl2br w:val="nil"/>
              <w:tr2bl w:val="nil"/>
            </w:tcBorders>
            <w:shd w:val="clear" w:color="auto" w:fill="auto"/>
            <w:vAlign w:val="center"/>
          </w:tcPr>
          <w:p w14:paraId="1F97A58A">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 交换性能：</w:t>
            </w:r>
          </w:p>
          <w:p w14:paraId="22C8A18C">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color w:val="auto"/>
                <w:sz w:val="21"/>
                <w:szCs w:val="21"/>
                <w:highlight w:val="none"/>
                <w:lang w:val="en-US" w:eastAsia="zh-CN"/>
              </w:rPr>
              <w:t>整机交换容量 ≥600 Gbps；整机包转发率 ≥ 120 Mpps。</w:t>
            </w:r>
          </w:p>
        </w:tc>
        <w:tc>
          <w:tcPr>
            <w:tcW w:w="3796" w:type="dxa"/>
            <w:vMerge w:val="continue"/>
            <w:tcBorders>
              <w:tl2br w:val="nil"/>
              <w:tr2bl w:val="nil"/>
            </w:tcBorders>
            <w:shd w:val="clear" w:color="auto" w:fill="auto"/>
            <w:vAlign w:val="center"/>
          </w:tcPr>
          <w:p w14:paraId="3C04A3C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r>
      <w:tr w14:paraId="50E6AD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0E53B1F1">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540EF9D7">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41" w:type="dxa"/>
            <w:tcBorders>
              <w:tl2br w:val="nil"/>
              <w:tr2bl w:val="nil"/>
            </w:tcBorders>
            <w:shd w:val="clear" w:color="auto" w:fill="auto"/>
            <w:vAlign w:val="center"/>
          </w:tcPr>
          <w:p w14:paraId="49DF3EDB">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color w:val="auto"/>
                <w:sz w:val="21"/>
                <w:szCs w:val="21"/>
                <w:highlight w:val="none"/>
                <w:lang w:val="en-US" w:eastAsia="zh-CN"/>
              </w:rPr>
              <w:t>★3. PoE标准与功率：至少支持 IEEE 802.3at（PoE+），同时可POE供电端口≥24个；整机可用PoE功率 ≥ 370W。（实际供电需满足学校使用需求）。</w:t>
            </w:r>
          </w:p>
        </w:tc>
        <w:tc>
          <w:tcPr>
            <w:tcW w:w="3796" w:type="dxa"/>
            <w:tcBorders>
              <w:tl2br w:val="nil"/>
              <w:tr2bl w:val="nil"/>
            </w:tcBorders>
            <w:shd w:val="clear" w:color="auto" w:fill="auto"/>
            <w:vAlign w:val="center"/>
          </w:tcPr>
          <w:p w14:paraId="083D5651">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color w:val="auto"/>
                <w:sz w:val="21"/>
                <w:szCs w:val="21"/>
                <w:highlight w:val="none"/>
                <w:lang w:val="en-US" w:eastAsia="zh-CN"/>
              </w:rPr>
              <w:t>提供原厂公开技术文档（白皮书、彩页、官网规格页截图及链接地址均可）</w:t>
            </w:r>
          </w:p>
        </w:tc>
      </w:tr>
      <w:tr w14:paraId="34E1AC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73F6DDBB">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05069A0E">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41" w:type="dxa"/>
            <w:tcBorders>
              <w:tl2br w:val="nil"/>
              <w:tr2bl w:val="nil"/>
            </w:tcBorders>
            <w:shd w:val="clear" w:color="auto" w:fill="auto"/>
            <w:vAlign w:val="center"/>
          </w:tcPr>
          <w:p w14:paraId="3AF82980">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leftChars="0" w:firstLine="0" w:firstLineChars="0"/>
              <w:jc w:val="left"/>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color w:val="auto"/>
                <w:sz w:val="21"/>
                <w:szCs w:val="21"/>
                <w:highlight w:val="none"/>
                <w:lang w:val="en-US" w:eastAsia="zh-CN"/>
              </w:rPr>
              <w:t>★13. 电信设备进网许可（CTA）：所投产品必须具备工业和信息化部核发的有效《电信设备进网许可证》。</w:t>
            </w:r>
          </w:p>
        </w:tc>
        <w:tc>
          <w:tcPr>
            <w:tcW w:w="3796" w:type="dxa"/>
            <w:tcBorders>
              <w:tl2br w:val="nil"/>
              <w:tr2bl w:val="nil"/>
            </w:tcBorders>
            <w:shd w:val="clear" w:color="auto" w:fill="auto"/>
            <w:vAlign w:val="center"/>
          </w:tcPr>
          <w:p w14:paraId="4D32CCE4">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color w:val="auto"/>
                <w:sz w:val="21"/>
                <w:szCs w:val="21"/>
                <w:highlight w:val="none"/>
                <w:lang w:val="en-US" w:eastAsia="zh-CN"/>
              </w:rPr>
              <w:t>投标时须提供：进网许可证清晰扫描件；工信部官网查询结果截图，显示设备型号、生产企业、许可证编号及状态为“有效”。</w:t>
            </w:r>
          </w:p>
        </w:tc>
      </w:tr>
      <w:tr w14:paraId="558FC3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37" w:type="dxa"/>
            <w:vMerge w:val="restart"/>
            <w:tcBorders>
              <w:tl2br w:val="nil"/>
              <w:tr2bl w:val="nil"/>
            </w:tcBorders>
            <w:shd w:val="clear" w:color="auto" w:fill="auto"/>
            <w:vAlign w:val="center"/>
          </w:tcPr>
          <w:p w14:paraId="2B7CD98C">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color w:val="auto"/>
                <w:kern w:val="2"/>
                <w:sz w:val="21"/>
                <w:szCs w:val="21"/>
                <w:vertAlign w:val="baseli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21</w:t>
            </w:r>
          </w:p>
        </w:tc>
        <w:tc>
          <w:tcPr>
            <w:tcW w:w="1438" w:type="dxa"/>
            <w:vMerge w:val="restart"/>
            <w:tcBorders>
              <w:tl2br w:val="nil"/>
              <w:tr2bl w:val="nil"/>
            </w:tcBorders>
            <w:shd w:val="clear" w:color="auto" w:fill="auto"/>
            <w:vAlign w:val="center"/>
          </w:tcPr>
          <w:p w14:paraId="6D83E907">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color w:val="auto"/>
                <w:kern w:val="2"/>
                <w:sz w:val="21"/>
                <w:szCs w:val="21"/>
                <w:vertAlign w:val="baseli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8电口POE千兆交换机</w:t>
            </w:r>
          </w:p>
        </w:tc>
        <w:tc>
          <w:tcPr>
            <w:tcW w:w="2841" w:type="dxa"/>
            <w:tcBorders>
              <w:tl2br w:val="nil"/>
              <w:tr2bl w:val="nil"/>
            </w:tcBorders>
            <w:shd w:val="clear" w:color="auto" w:fill="auto"/>
            <w:vAlign w:val="center"/>
          </w:tcPr>
          <w:p w14:paraId="5F3EB008">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宋体" w:hAnsi="宋体" w:eastAsia="宋体" w:cs="宋体"/>
                <w:b w:val="0"/>
                <w:bCs w:val="0"/>
                <w:color w:val="auto"/>
                <w:sz w:val="21"/>
                <w:szCs w:val="21"/>
                <w:highlight w:val="none"/>
                <w:lang w:val="en-US" w:eastAsia="zh-CN"/>
              </w:rPr>
              <w:t>★1.交换能力≥256Gbps ，包转发速率≥25Mpps，≥8个千兆电口，≥1个1G SPF千兆光口</w:t>
            </w:r>
            <w:r>
              <w:rPr>
                <w:rFonts w:hint="eastAsia" w:ascii="宋体" w:hAnsi="宋体" w:cs="宋体"/>
                <w:b w:val="0"/>
                <w:bCs w:val="0"/>
                <w:color w:val="auto"/>
                <w:sz w:val="21"/>
                <w:szCs w:val="21"/>
                <w:highlight w:val="none"/>
                <w:lang w:val="en-US" w:eastAsia="zh-CN"/>
              </w:rPr>
              <w:t>。</w:t>
            </w:r>
          </w:p>
        </w:tc>
        <w:tc>
          <w:tcPr>
            <w:tcW w:w="3796" w:type="dxa"/>
            <w:tcBorders>
              <w:tl2br w:val="nil"/>
              <w:tr2bl w:val="nil"/>
            </w:tcBorders>
            <w:shd w:val="clear" w:color="auto" w:fill="auto"/>
            <w:vAlign w:val="center"/>
          </w:tcPr>
          <w:p w14:paraId="11F1D79C">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宋体" w:hAnsi="宋体" w:eastAsia="宋体" w:cs="宋体"/>
                <w:b w:val="0"/>
                <w:bCs w:val="0"/>
                <w:color w:val="auto"/>
                <w:sz w:val="21"/>
                <w:szCs w:val="21"/>
                <w:highlight w:val="none"/>
                <w:lang w:val="en-US" w:eastAsia="zh-CN"/>
              </w:rPr>
              <w:t>提供官网截图或原厂白皮书或检测报告加盖公章。</w:t>
            </w:r>
          </w:p>
        </w:tc>
      </w:tr>
      <w:tr w14:paraId="5B0D72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0B506EEE">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1610D711">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41" w:type="dxa"/>
            <w:tcBorders>
              <w:tl2br w:val="nil"/>
              <w:tr2bl w:val="nil"/>
            </w:tcBorders>
            <w:shd w:val="clear" w:color="auto" w:fill="auto"/>
            <w:vAlign w:val="center"/>
          </w:tcPr>
          <w:p w14:paraId="6FF1A49D">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宋体" w:hAnsi="宋体" w:eastAsia="宋体" w:cs="宋体"/>
                <w:b w:val="0"/>
                <w:bCs w:val="0"/>
                <w:color w:val="auto"/>
                <w:sz w:val="21"/>
                <w:szCs w:val="21"/>
                <w:highlight w:val="none"/>
                <w:lang w:val="en-US" w:eastAsia="zh-CN"/>
              </w:rPr>
              <w:t>★2.支持802.3at POE+功能 ；POE功率≥120W</w:t>
            </w:r>
            <w:r>
              <w:rPr>
                <w:rFonts w:hint="eastAsia" w:ascii="宋体" w:hAnsi="宋体" w:cs="宋体"/>
                <w:b w:val="0"/>
                <w:bCs w:val="0"/>
                <w:color w:val="auto"/>
                <w:sz w:val="21"/>
                <w:szCs w:val="21"/>
                <w:highlight w:val="none"/>
                <w:lang w:val="en-US" w:eastAsia="zh-CN"/>
              </w:rPr>
              <w:t>。</w:t>
            </w:r>
          </w:p>
        </w:tc>
        <w:tc>
          <w:tcPr>
            <w:tcW w:w="3796" w:type="dxa"/>
            <w:tcBorders>
              <w:tl2br w:val="nil"/>
              <w:tr2bl w:val="nil"/>
            </w:tcBorders>
            <w:shd w:val="clear" w:color="auto" w:fill="auto"/>
            <w:vAlign w:val="center"/>
          </w:tcPr>
          <w:p w14:paraId="0B7F4C92">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宋体" w:hAnsi="宋体" w:eastAsia="宋体" w:cs="宋体"/>
                <w:b w:val="0"/>
                <w:bCs w:val="0"/>
                <w:color w:val="auto"/>
                <w:sz w:val="21"/>
                <w:szCs w:val="21"/>
                <w:highlight w:val="none"/>
                <w:lang w:val="en-US" w:eastAsia="zh-CN"/>
              </w:rPr>
              <w:t>提供原厂白皮书或者产品彩页或者官网截图（带链接）（实际供电需满足学校使用需求）。</w:t>
            </w:r>
          </w:p>
        </w:tc>
      </w:tr>
      <w:tr w14:paraId="080DB2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04E2DCA2">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1CBFCEE6">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41" w:type="dxa"/>
            <w:tcBorders>
              <w:tl2br w:val="nil"/>
              <w:tr2bl w:val="nil"/>
            </w:tcBorders>
            <w:shd w:val="clear" w:color="auto" w:fill="auto"/>
            <w:vAlign w:val="center"/>
          </w:tcPr>
          <w:p w14:paraId="6D8043E4">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leftChars="0" w:firstLine="0" w:firstLineChars="0"/>
              <w:jc w:val="left"/>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宋体" w:hAnsi="宋体" w:eastAsia="宋体" w:cs="宋体"/>
                <w:b w:val="0"/>
                <w:bCs w:val="0"/>
                <w:color w:val="auto"/>
                <w:sz w:val="21"/>
                <w:szCs w:val="21"/>
                <w:highlight w:val="none"/>
                <w:lang w:val="en-US" w:eastAsia="zh-CN"/>
              </w:rPr>
              <w:t>★11.所投产品具备工业和信息化部颁发的进网许可证（CTA认证）</w:t>
            </w:r>
            <w:r>
              <w:rPr>
                <w:rFonts w:hint="eastAsia" w:ascii="宋体" w:hAnsi="宋体" w:cs="宋体"/>
                <w:b w:val="0"/>
                <w:bCs w:val="0"/>
                <w:color w:val="auto"/>
                <w:sz w:val="21"/>
                <w:szCs w:val="21"/>
                <w:highlight w:val="none"/>
                <w:lang w:val="en-US" w:eastAsia="zh-CN"/>
              </w:rPr>
              <w:t>。</w:t>
            </w:r>
          </w:p>
        </w:tc>
        <w:tc>
          <w:tcPr>
            <w:tcW w:w="3796" w:type="dxa"/>
            <w:tcBorders>
              <w:tl2br w:val="nil"/>
              <w:tr2bl w:val="nil"/>
            </w:tcBorders>
            <w:shd w:val="clear" w:color="auto" w:fill="auto"/>
            <w:vAlign w:val="center"/>
          </w:tcPr>
          <w:p w14:paraId="52928E6A">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宋体" w:hAnsi="宋体" w:eastAsia="宋体" w:cs="宋体"/>
                <w:b w:val="0"/>
                <w:bCs w:val="0"/>
                <w:color w:val="auto"/>
                <w:sz w:val="21"/>
                <w:szCs w:val="21"/>
                <w:highlight w:val="none"/>
                <w:lang w:val="en-US" w:eastAsia="zh-CN"/>
              </w:rPr>
              <w:t>提供证书扫描件和工信部网站查询的进网许可截图。</w:t>
            </w:r>
          </w:p>
        </w:tc>
      </w:tr>
      <w:tr w14:paraId="6B34A8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37" w:type="dxa"/>
            <w:vMerge w:val="restart"/>
            <w:tcBorders>
              <w:tl2br w:val="nil"/>
              <w:tr2bl w:val="nil"/>
            </w:tcBorders>
            <w:shd w:val="clear" w:color="auto" w:fill="auto"/>
            <w:vAlign w:val="center"/>
          </w:tcPr>
          <w:p w14:paraId="209AC171">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22</w:t>
            </w:r>
          </w:p>
        </w:tc>
        <w:tc>
          <w:tcPr>
            <w:tcW w:w="1438" w:type="dxa"/>
            <w:vMerge w:val="restart"/>
            <w:tcBorders>
              <w:tl2br w:val="nil"/>
              <w:tr2bl w:val="nil"/>
            </w:tcBorders>
            <w:shd w:val="clear" w:color="auto" w:fill="auto"/>
            <w:vAlign w:val="center"/>
          </w:tcPr>
          <w:p w14:paraId="2148CC7E">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24口千兆交换机</w:t>
            </w:r>
          </w:p>
        </w:tc>
        <w:tc>
          <w:tcPr>
            <w:tcW w:w="2841" w:type="dxa"/>
            <w:tcBorders>
              <w:tl2br w:val="nil"/>
              <w:tr2bl w:val="nil"/>
            </w:tcBorders>
            <w:shd w:val="clear" w:color="auto" w:fill="auto"/>
            <w:vAlign w:val="center"/>
          </w:tcPr>
          <w:p w14:paraId="2702F6DE">
            <w:pPr>
              <w:pStyle w:val="18"/>
              <w:keepNext w:val="0"/>
              <w:keepLines w:val="0"/>
              <w:pageBreakBefore w:val="0"/>
              <w:numPr>
                <w:ilvl w:val="0"/>
                <w:numId w:val="74"/>
              </w:numPr>
              <w:kinsoku/>
              <w:wordWrap/>
              <w:overflowPunct/>
              <w:topLinePunct w:val="0"/>
              <w:autoSpaceDE/>
              <w:autoSpaceDN/>
              <w:bidi w:val="0"/>
              <w:adjustRightInd/>
              <w:snapToGrid/>
              <w:spacing w:line="360" w:lineRule="exact"/>
              <w:ind w:left="0" w:leftChars="0" w:firstLine="0" w:firstLineChars="0"/>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端口与性能</w:t>
            </w:r>
          </w:p>
          <w:p w14:paraId="1271878D">
            <w:pPr>
              <w:pStyle w:val="18"/>
              <w:keepNext w:val="0"/>
              <w:keepLines w:val="0"/>
              <w:pageBreakBefore w:val="0"/>
              <w:numPr>
                <w:ilvl w:val="0"/>
                <w:numId w:val="74"/>
              </w:numPr>
              <w:kinsoku/>
              <w:wordWrap/>
              <w:overflowPunct/>
              <w:topLinePunct w:val="0"/>
              <w:autoSpaceDE/>
              <w:autoSpaceDN/>
              <w:bidi w:val="0"/>
              <w:adjustRightInd/>
              <w:snapToGrid/>
              <w:spacing w:line="360" w:lineRule="exact"/>
              <w:ind w:left="0" w:leftChars="0" w:firstLine="0" w:firstLineChars="0"/>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 端口配置：</w:t>
            </w:r>
          </w:p>
          <w:p w14:paraId="396491B2">
            <w:pPr>
              <w:pStyle w:val="18"/>
              <w:keepNext w:val="0"/>
              <w:keepLines w:val="0"/>
              <w:pageBreakBefore w:val="0"/>
              <w:kinsoku/>
              <w:wordWrap/>
              <w:overflowPunct/>
              <w:topLinePunct w:val="0"/>
              <w:autoSpaceDE/>
              <w:autoSpaceDN/>
              <w:bidi w:val="0"/>
              <w:adjustRightInd/>
              <w:snapToGrid/>
              <w:spacing w:line="360" w:lineRule="exact"/>
              <w:ind w:left="0" w:leftChars="0" w:firstLine="0" w:firstLineChars="0"/>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提供 ≥ 24 个 10/100/1000M 自适应以太网电口（RJ45）；</w:t>
            </w:r>
          </w:p>
          <w:p w14:paraId="27824677">
            <w:pPr>
              <w:pStyle w:val="18"/>
              <w:keepNext w:val="0"/>
              <w:keepLines w:val="0"/>
              <w:pageBreakBefore w:val="0"/>
              <w:kinsoku/>
              <w:wordWrap/>
              <w:overflowPunct/>
              <w:topLinePunct w:val="0"/>
              <w:autoSpaceDE/>
              <w:autoSpaceDN/>
              <w:bidi w:val="0"/>
              <w:adjustRightInd/>
              <w:snapToGrid/>
              <w:spacing w:line="360" w:lineRule="exact"/>
              <w:ind w:left="0" w:leftChars="0" w:firstLine="0" w:firstLineChars="0"/>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提供 ≥ 4 个 光接口，支持 1G/2.5G/10G SFP/SFP+（Combo口或独立光口均可）。</w:t>
            </w:r>
          </w:p>
        </w:tc>
        <w:tc>
          <w:tcPr>
            <w:tcW w:w="3796" w:type="dxa"/>
            <w:vMerge w:val="restart"/>
            <w:tcBorders>
              <w:tl2br w:val="nil"/>
              <w:tr2bl w:val="nil"/>
            </w:tcBorders>
            <w:shd w:val="clear" w:color="auto" w:fill="auto"/>
            <w:vAlign w:val="center"/>
          </w:tcPr>
          <w:p w14:paraId="060488AD">
            <w:pPr>
              <w:pStyle w:val="18"/>
              <w:keepNext w:val="0"/>
              <w:keepLines w:val="0"/>
              <w:pageBreakBefore w:val="0"/>
              <w:kinsoku/>
              <w:wordWrap/>
              <w:overflowPunct/>
              <w:topLinePunct w:val="0"/>
              <w:autoSpaceDE/>
              <w:autoSpaceDN/>
              <w:bidi w:val="0"/>
              <w:adjustRightInd/>
              <w:snapToGrid/>
              <w:spacing w:line="360" w:lineRule="exact"/>
              <w:ind w:left="0" w:leftChars="0" w:firstLine="0" w:firstLineChars="0"/>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b/>
                <w:bCs/>
                <w:color w:val="auto"/>
                <w:sz w:val="21"/>
                <w:szCs w:val="21"/>
                <w:highlight w:val="none"/>
                <w:lang w:val="en-US" w:eastAsia="zh-CN"/>
              </w:rPr>
              <w:t>提供原厂公开技术文档（白皮书、彩页、官网规格页截图及链接地址均可）</w:t>
            </w:r>
          </w:p>
          <w:p w14:paraId="4189F4C6">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r>
      <w:tr w14:paraId="5C21CA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34B64876">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667F3FEC">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41" w:type="dxa"/>
            <w:tcBorders>
              <w:tl2br w:val="nil"/>
              <w:tr2bl w:val="nil"/>
            </w:tcBorders>
            <w:shd w:val="clear" w:color="auto" w:fill="auto"/>
            <w:vAlign w:val="center"/>
          </w:tcPr>
          <w:p w14:paraId="021AA05E">
            <w:pPr>
              <w:pStyle w:val="18"/>
              <w:keepNext w:val="0"/>
              <w:keepLines w:val="0"/>
              <w:pageBreakBefore w:val="0"/>
              <w:kinsoku/>
              <w:wordWrap/>
              <w:overflowPunct/>
              <w:topLinePunct w:val="0"/>
              <w:autoSpaceDE/>
              <w:autoSpaceDN/>
              <w:bidi w:val="0"/>
              <w:adjustRightInd/>
              <w:snapToGrid/>
              <w:spacing w:line="360" w:lineRule="exact"/>
              <w:ind w:left="0" w:leftChars="0" w:firstLine="0" w:firstLineChars="0"/>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 交换性能：整机交换容量 ≥ 600 Gbps；整机包转发率 ≥ 120 Mpps。</w:t>
            </w:r>
          </w:p>
        </w:tc>
        <w:tc>
          <w:tcPr>
            <w:tcW w:w="3796" w:type="dxa"/>
            <w:vMerge w:val="continue"/>
            <w:tcBorders>
              <w:tl2br w:val="nil"/>
              <w:tr2bl w:val="nil"/>
            </w:tcBorders>
            <w:shd w:val="clear" w:color="auto" w:fill="auto"/>
            <w:vAlign w:val="center"/>
          </w:tcPr>
          <w:p w14:paraId="3A9F8208">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r>
      <w:tr w14:paraId="02722C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486C34BD">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5F16ECC4">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41" w:type="dxa"/>
            <w:tcBorders>
              <w:tl2br w:val="nil"/>
              <w:tr2bl w:val="nil"/>
            </w:tcBorders>
            <w:shd w:val="clear" w:color="auto" w:fill="auto"/>
            <w:vAlign w:val="center"/>
          </w:tcPr>
          <w:p w14:paraId="4F5EA784">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★14. 电信设备进网许可（CTA）：所投产品必须具备工业和信息化部核发的有效《电信设备进网许可证》。</w:t>
            </w:r>
          </w:p>
        </w:tc>
        <w:tc>
          <w:tcPr>
            <w:tcW w:w="3796" w:type="dxa"/>
            <w:tcBorders>
              <w:tl2br w:val="nil"/>
              <w:tr2bl w:val="nil"/>
            </w:tcBorders>
            <w:shd w:val="clear" w:color="auto" w:fill="auto"/>
            <w:vAlign w:val="center"/>
          </w:tcPr>
          <w:p w14:paraId="3D71F96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投标时须提供：进网许可证清晰扫描件；工信部官网查询结果截图，显示设备型号、生产企业、许可证编号及状态为“有效”。</w:t>
            </w:r>
          </w:p>
        </w:tc>
      </w:tr>
    </w:tbl>
    <w:p w14:paraId="52693C4B">
      <w:pPr>
        <w:pStyle w:val="6"/>
        <w:numPr>
          <w:ilvl w:val="0"/>
          <w:numId w:val="73"/>
        </w:numPr>
        <w:topLinePunct w:val="0"/>
        <w:ind w:left="0" w:leftChars="0" w:firstLine="0" w:firstLineChars="0"/>
        <w:rPr>
          <w:b w:val="0"/>
        </w:rPr>
      </w:pPr>
      <w:r>
        <w:rPr>
          <w:rFonts w:hint="eastAsia"/>
          <w:lang w:val="en-US" w:eastAsia="zh-CN"/>
        </w:rPr>
        <w:t>常州市田家炳</w:t>
      </w:r>
      <w:r>
        <w:t>高</w:t>
      </w:r>
      <w:r>
        <w:rPr>
          <w:rFonts w:hint="eastAsia"/>
          <w:lang w:val="en-US" w:eastAsia="zh-CN"/>
        </w:rPr>
        <w:t>级中学</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737"/>
        <w:gridCol w:w="1438"/>
        <w:gridCol w:w="2800"/>
        <w:gridCol w:w="3796"/>
      </w:tblGrid>
      <w:tr w14:paraId="3084D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37" w:type="dxa"/>
            <w:tcBorders>
              <w:tl2br w:val="nil"/>
              <w:tr2bl w:val="nil"/>
            </w:tcBorders>
            <w:shd w:val="clear" w:color="auto" w:fill="auto"/>
            <w:vAlign w:val="center"/>
          </w:tcPr>
          <w:p w14:paraId="38390B3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b/>
                <w:bCs/>
                <w:i w:val="0"/>
                <w:iCs w:val="0"/>
                <w:color w:val="auto"/>
                <w:kern w:val="0"/>
                <w:sz w:val="21"/>
                <w:szCs w:val="21"/>
                <w:u w:val="none"/>
                <w:lang w:val="en-US" w:eastAsia="zh-CN" w:bidi="ar"/>
              </w:rPr>
              <w:t>设备序号</w:t>
            </w:r>
          </w:p>
        </w:tc>
        <w:tc>
          <w:tcPr>
            <w:tcW w:w="1438" w:type="dxa"/>
            <w:tcBorders>
              <w:tl2br w:val="nil"/>
              <w:tr2bl w:val="nil"/>
            </w:tcBorders>
            <w:shd w:val="clear" w:color="auto" w:fill="auto"/>
            <w:vAlign w:val="center"/>
          </w:tcPr>
          <w:p w14:paraId="58D0540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sz w:val="21"/>
                <w:szCs w:val="21"/>
                <w:u w:val="none"/>
                <w:lang w:val="en-US"/>
              </w:rPr>
            </w:pPr>
            <w:r>
              <w:rPr>
                <w:rFonts w:hint="eastAsia" w:asciiTheme="minorEastAsia" w:hAnsiTheme="minorEastAsia" w:eastAsiaTheme="minorEastAsia" w:cstheme="minorEastAsia"/>
                <w:b/>
                <w:bCs/>
                <w:i w:val="0"/>
                <w:iCs w:val="0"/>
                <w:color w:val="auto"/>
                <w:kern w:val="0"/>
                <w:sz w:val="21"/>
                <w:szCs w:val="21"/>
                <w:u w:val="none"/>
                <w:lang w:val="en-US" w:eastAsia="zh-CN" w:bidi="ar"/>
              </w:rPr>
              <w:t>设备名称</w:t>
            </w:r>
          </w:p>
        </w:tc>
        <w:tc>
          <w:tcPr>
            <w:tcW w:w="2800" w:type="dxa"/>
            <w:tcBorders>
              <w:tl2br w:val="nil"/>
              <w:tr2bl w:val="nil"/>
            </w:tcBorders>
            <w:shd w:val="clear" w:color="auto" w:fill="auto"/>
            <w:vAlign w:val="center"/>
          </w:tcPr>
          <w:p w14:paraId="2356B03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sz w:val="21"/>
                <w:szCs w:val="21"/>
                <w:u w:val="none"/>
                <w:lang w:val="en-US"/>
              </w:rPr>
            </w:pPr>
            <w:r>
              <w:rPr>
                <w:rFonts w:hint="eastAsia" w:asciiTheme="minorEastAsia" w:hAnsiTheme="minorEastAsia" w:eastAsiaTheme="minorEastAsia" w:cstheme="minorEastAsia"/>
                <w:b/>
                <w:bCs/>
                <w:i w:val="0"/>
                <w:iCs w:val="0"/>
                <w:color w:val="auto"/>
                <w:kern w:val="0"/>
                <w:sz w:val="21"/>
                <w:szCs w:val="21"/>
                <w:u w:val="none"/>
                <w:lang w:val="en-US" w:eastAsia="zh-CN" w:bidi="ar"/>
              </w:rPr>
              <w:t>技术参数或要求</w:t>
            </w:r>
          </w:p>
        </w:tc>
        <w:tc>
          <w:tcPr>
            <w:tcW w:w="3796" w:type="dxa"/>
            <w:tcBorders>
              <w:tl2br w:val="nil"/>
              <w:tr2bl w:val="nil"/>
            </w:tcBorders>
            <w:shd w:val="clear" w:color="auto" w:fill="auto"/>
            <w:vAlign w:val="center"/>
          </w:tcPr>
          <w:p w14:paraId="53B2570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sz w:val="21"/>
                <w:szCs w:val="21"/>
                <w:u w:val="none"/>
                <w:lang w:val="en-US"/>
              </w:rPr>
            </w:pPr>
            <w:r>
              <w:rPr>
                <w:rFonts w:hint="eastAsia" w:asciiTheme="minorEastAsia" w:hAnsiTheme="minorEastAsia" w:eastAsiaTheme="minorEastAsia" w:cstheme="minorEastAsia"/>
                <w:b/>
                <w:bCs/>
                <w:i w:val="0"/>
                <w:iCs w:val="0"/>
                <w:color w:val="auto"/>
                <w:kern w:val="0"/>
                <w:sz w:val="21"/>
                <w:szCs w:val="21"/>
                <w:u w:val="none"/>
                <w:lang w:val="en-US" w:eastAsia="zh-CN" w:bidi="ar"/>
              </w:rPr>
              <w:t>证明材料</w:t>
            </w:r>
          </w:p>
        </w:tc>
      </w:tr>
      <w:tr w14:paraId="2CBBE3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737" w:type="dxa"/>
            <w:vMerge w:val="restart"/>
            <w:tcBorders>
              <w:tl2br w:val="nil"/>
              <w:tr2bl w:val="nil"/>
            </w:tcBorders>
            <w:shd w:val="clear" w:color="auto" w:fill="auto"/>
            <w:vAlign w:val="center"/>
          </w:tcPr>
          <w:p w14:paraId="2BAD2884">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default" w:asciiTheme="minorEastAsia" w:hAnsiTheme="minorEastAsia" w:eastAsiaTheme="minorEastAsia" w:cstheme="minorEastAsia"/>
                <w:b/>
                <w:bCs/>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1</w:t>
            </w:r>
          </w:p>
        </w:tc>
        <w:tc>
          <w:tcPr>
            <w:tcW w:w="1438" w:type="dxa"/>
            <w:vMerge w:val="restart"/>
            <w:tcBorders>
              <w:tl2br w:val="nil"/>
              <w:tr2bl w:val="nil"/>
            </w:tcBorders>
            <w:shd w:val="clear" w:color="auto" w:fill="auto"/>
            <w:vAlign w:val="center"/>
          </w:tcPr>
          <w:p w14:paraId="10D54075">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枪机</w:t>
            </w:r>
          </w:p>
        </w:tc>
        <w:tc>
          <w:tcPr>
            <w:tcW w:w="2800" w:type="dxa"/>
            <w:tcBorders>
              <w:tl2br w:val="nil"/>
              <w:tr2bl w:val="nil"/>
            </w:tcBorders>
            <w:shd w:val="clear" w:color="auto" w:fill="auto"/>
            <w:vAlign w:val="center"/>
          </w:tcPr>
          <w:p w14:paraId="2716D896">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★2.像素≥400万或最大分辨率≥2560×1440。</w:t>
            </w:r>
          </w:p>
        </w:tc>
        <w:tc>
          <w:tcPr>
            <w:tcW w:w="3796" w:type="dxa"/>
            <w:tcBorders>
              <w:tl2br w:val="nil"/>
              <w:tr2bl w:val="nil"/>
            </w:tcBorders>
            <w:shd w:val="clear" w:color="auto" w:fill="auto"/>
            <w:vAlign w:val="center"/>
          </w:tcPr>
          <w:p w14:paraId="1AD4CC1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color w:val="auto"/>
                <w:lang w:val="en-US" w:eastAsia="zh-CN"/>
              </w:rPr>
            </w:pPr>
            <w:r>
              <w:rPr>
                <w:rFonts w:hint="eastAsia" w:ascii="宋体" w:hAnsi="宋体" w:eastAsia="宋体" w:cs="宋体"/>
                <w:b w:val="0"/>
                <w:bCs w:val="0"/>
                <w:i w:val="0"/>
                <w:iCs w:val="0"/>
                <w:color w:val="auto"/>
                <w:kern w:val="0"/>
                <w:sz w:val="21"/>
                <w:szCs w:val="21"/>
                <w:highlight w:val="none"/>
                <w:u w:val="none"/>
                <w:lang w:val="en-US" w:eastAsia="zh-CN" w:bidi="ar"/>
              </w:rPr>
              <w:t>提供所投产品</w:t>
            </w:r>
            <w:r>
              <w:rPr>
                <w:rFonts w:hint="eastAsia" w:ascii="宋体" w:hAnsi="宋体" w:eastAsia="宋体" w:cs="宋体"/>
                <w:b w:val="0"/>
                <w:bCs w:val="0"/>
                <w:color w:val="auto"/>
                <w:sz w:val="21"/>
                <w:szCs w:val="21"/>
                <w:highlight w:val="none"/>
                <w:u w:val="none"/>
                <w:lang w:bidi="ar"/>
              </w:rPr>
              <w:t>由具备有效CMA资质的检测机构出具的封面盖有CMA专用印章的检测报告原件关键页扫描件(</w:t>
            </w:r>
            <w:r>
              <w:rPr>
                <w:rFonts w:hint="eastAsia" w:ascii="宋体" w:hAnsi="宋体" w:eastAsia="宋体" w:cs="宋体"/>
                <w:b w:val="0"/>
                <w:bCs w:val="0"/>
                <w:i w:val="0"/>
                <w:iCs w:val="0"/>
                <w:color w:val="auto"/>
                <w:kern w:val="0"/>
                <w:sz w:val="21"/>
                <w:szCs w:val="21"/>
                <w:highlight w:val="none"/>
                <w:u w:val="none"/>
                <w:lang w:val="en-US" w:eastAsia="zh-CN" w:bidi="ar"/>
              </w:rPr>
              <w:t>依据标准GA/T 1127-2013等现行国家标准</w:t>
            </w:r>
            <w:r>
              <w:rPr>
                <w:rFonts w:hint="eastAsia" w:ascii="宋体" w:hAnsi="宋体" w:eastAsia="宋体" w:cs="宋体"/>
                <w:b w:val="0"/>
                <w:bCs w:val="0"/>
                <w:color w:val="auto"/>
                <w:sz w:val="21"/>
                <w:szCs w:val="21"/>
                <w:highlight w:val="none"/>
                <w:u w:val="none"/>
                <w:lang w:bidi="ar"/>
              </w:rPr>
              <w:t>）</w:t>
            </w: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60ADFA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044CEE3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26379662">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2800" w:type="dxa"/>
            <w:tcBorders>
              <w:tl2br w:val="nil"/>
              <w:tr2bl w:val="nil"/>
            </w:tcBorders>
            <w:shd w:val="clear" w:color="auto" w:fill="auto"/>
            <w:vAlign w:val="center"/>
          </w:tcPr>
          <w:p w14:paraId="14AB968C">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★3.具备最低照度彩色不劣于0.001Lux，黑白不劣于0.0001Lux。</w:t>
            </w:r>
          </w:p>
        </w:tc>
        <w:tc>
          <w:tcPr>
            <w:tcW w:w="3796" w:type="dxa"/>
            <w:tcBorders>
              <w:tl2br w:val="nil"/>
              <w:tr2bl w:val="nil"/>
            </w:tcBorders>
            <w:shd w:val="clear" w:color="auto" w:fill="auto"/>
            <w:vAlign w:val="center"/>
          </w:tcPr>
          <w:p w14:paraId="36B866B3">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color w:val="auto"/>
                <w:lang w:val="en-US" w:eastAsia="zh-CN"/>
              </w:rPr>
            </w:pPr>
            <w:r>
              <w:rPr>
                <w:rFonts w:hint="eastAsia" w:ascii="宋体" w:hAnsi="宋体" w:eastAsia="宋体" w:cs="宋体"/>
                <w:b w:val="0"/>
                <w:bCs w:val="0"/>
                <w:i w:val="0"/>
                <w:iCs w:val="0"/>
                <w:color w:val="auto"/>
                <w:sz w:val="21"/>
                <w:szCs w:val="21"/>
                <w:highlight w:val="none"/>
                <w:u w:val="none"/>
                <w:lang w:val="en-US" w:eastAsia="zh-CN" w:bidi="ar"/>
              </w:rPr>
              <w:t>提供第三方机构出具的具有CMA标志的检测报告（依据标准</w:t>
            </w:r>
            <w:r>
              <w:rPr>
                <w:rFonts w:hint="eastAsia" w:ascii="宋体" w:hAnsi="宋体" w:eastAsia="宋体" w:cs="宋体"/>
                <w:b w:val="0"/>
                <w:bCs w:val="0"/>
                <w:i w:val="0"/>
                <w:iCs w:val="0"/>
                <w:color w:val="auto"/>
                <w:kern w:val="0"/>
                <w:sz w:val="21"/>
                <w:szCs w:val="21"/>
                <w:highlight w:val="none"/>
                <w:u w:val="none"/>
                <w:lang w:val="en-US" w:eastAsia="zh-CN" w:bidi="ar"/>
              </w:rPr>
              <w:t>GA/T 1127-2013或</w:t>
            </w:r>
            <w:r>
              <w:rPr>
                <w:rFonts w:hint="eastAsia" w:ascii="宋体" w:hAnsi="宋体" w:eastAsia="宋体" w:cs="宋体"/>
                <w:b w:val="0"/>
                <w:bCs w:val="0"/>
                <w:i w:val="0"/>
                <w:iCs w:val="0"/>
                <w:color w:val="auto"/>
                <w:sz w:val="21"/>
                <w:szCs w:val="21"/>
                <w:highlight w:val="none"/>
                <w:u w:val="none"/>
                <w:lang w:val="en-US" w:eastAsia="zh-CN" w:bidi="ar"/>
              </w:rPr>
              <w:t>GB 16796-2022</w:t>
            </w:r>
            <w:r>
              <w:rPr>
                <w:rFonts w:hint="eastAsia" w:ascii="宋体" w:hAnsi="宋体" w:eastAsia="宋体" w:cs="宋体"/>
                <w:b w:val="0"/>
                <w:bCs w:val="0"/>
                <w:color w:val="auto"/>
                <w:sz w:val="21"/>
                <w:szCs w:val="21"/>
                <w:highlight w:val="none"/>
                <w:u w:val="none"/>
                <w:lang w:bidi="ar"/>
              </w:rPr>
              <w:t>或GB/T 15211-2013</w:t>
            </w:r>
            <w:r>
              <w:rPr>
                <w:rFonts w:hint="eastAsia" w:ascii="宋体" w:hAnsi="宋体" w:eastAsia="宋体" w:cs="宋体"/>
                <w:b w:val="0"/>
                <w:bCs w:val="0"/>
                <w:i w:val="0"/>
                <w:iCs w:val="0"/>
                <w:color w:val="auto"/>
                <w:sz w:val="21"/>
                <w:szCs w:val="21"/>
                <w:highlight w:val="none"/>
                <w:u w:val="none"/>
                <w:lang w:val="en-US" w:eastAsia="zh-CN" w:bidi="ar"/>
              </w:rPr>
              <w:t>等现行国家标准）</w:t>
            </w:r>
            <w:r>
              <w:rPr>
                <w:rFonts w:hint="eastAsia" w:ascii="宋体" w:hAnsi="宋体" w:eastAsia="宋体" w:cs="宋体"/>
                <w:b w:val="0"/>
                <w:bCs w:val="0"/>
                <w:color w:val="auto"/>
                <w:sz w:val="21"/>
                <w:szCs w:val="21"/>
                <w:highlight w:val="none"/>
                <w:u w:val="none"/>
                <w:lang w:val="en-US" w:eastAsia="zh-CN" w:bidi="ar"/>
              </w:rPr>
              <w:t>。</w:t>
            </w:r>
          </w:p>
        </w:tc>
      </w:tr>
      <w:tr w14:paraId="4A394F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11BA234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6E7FF602">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2800" w:type="dxa"/>
            <w:tcBorders>
              <w:tl2br w:val="nil"/>
              <w:tr2bl w:val="nil"/>
            </w:tcBorders>
            <w:shd w:val="clear" w:color="auto" w:fill="auto"/>
            <w:vAlign w:val="center"/>
          </w:tcPr>
          <w:p w14:paraId="3EB7618C">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jc w:val="left"/>
              <w:textAlignment w:val="top"/>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★7.宽动态能力综合得分≥80。</w:t>
            </w:r>
          </w:p>
        </w:tc>
        <w:tc>
          <w:tcPr>
            <w:tcW w:w="3796" w:type="dxa"/>
            <w:tcBorders>
              <w:tl2br w:val="nil"/>
              <w:tr2bl w:val="nil"/>
            </w:tcBorders>
            <w:shd w:val="clear" w:color="auto" w:fill="auto"/>
            <w:vAlign w:val="center"/>
          </w:tcPr>
          <w:p w14:paraId="3B8F2B60">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color w:val="auto"/>
                <w:lang w:val="en-US" w:eastAsia="zh-CN"/>
              </w:rPr>
            </w:pPr>
            <w:r>
              <w:rPr>
                <w:rFonts w:hint="eastAsia" w:ascii="宋体" w:hAnsi="宋体" w:eastAsia="宋体" w:cs="宋体"/>
                <w:b w:val="0"/>
                <w:bCs w:val="0"/>
                <w:i w:val="0"/>
                <w:iCs w:val="0"/>
                <w:color w:val="auto"/>
                <w:kern w:val="0"/>
                <w:sz w:val="21"/>
                <w:szCs w:val="21"/>
                <w:highlight w:val="none"/>
                <w:u w:val="none"/>
                <w:lang w:val="en-US" w:eastAsia="zh-CN" w:bidi="ar"/>
              </w:rPr>
              <w:t>提供所投产品</w:t>
            </w:r>
            <w:r>
              <w:rPr>
                <w:rFonts w:hint="eastAsia" w:ascii="宋体" w:hAnsi="宋体" w:eastAsia="宋体" w:cs="宋体"/>
                <w:b w:val="0"/>
                <w:bCs w:val="0"/>
                <w:color w:val="auto"/>
                <w:sz w:val="21"/>
                <w:szCs w:val="21"/>
                <w:highlight w:val="none"/>
                <w:u w:val="none"/>
                <w:lang w:bidi="ar"/>
              </w:rPr>
              <w:t>由具备有效CMA资质的检测机构出具的封面盖有CMA专用印章的检测报告原件关键页扫描件(</w:t>
            </w:r>
            <w:r>
              <w:rPr>
                <w:rFonts w:hint="eastAsia" w:ascii="宋体" w:hAnsi="宋体" w:eastAsia="宋体" w:cs="宋体"/>
                <w:b w:val="0"/>
                <w:bCs w:val="0"/>
                <w:i w:val="0"/>
                <w:iCs w:val="0"/>
                <w:color w:val="auto"/>
                <w:kern w:val="0"/>
                <w:sz w:val="21"/>
                <w:szCs w:val="21"/>
                <w:highlight w:val="none"/>
                <w:u w:val="none"/>
                <w:lang w:val="en-US" w:eastAsia="zh-CN" w:bidi="ar"/>
              </w:rPr>
              <w:t>依据标准GA/T 1127-2013等现行国家标准</w:t>
            </w:r>
            <w:r>
              <w:rPr>
                <w:rFonts w:hint="eastAsia" w:ascii="宋体" w:hAnsi="宋体" w:eastAsia="宋体" w:cs="宋体"/>
                <w:b w:val="0"/>
                <w:bCs w:val="0"/>
                <w:color w:val="auto"/>
                <w:sz w:val="21"/>
                <w:szCs w:val="21"/>
                <w:highlight w:val="none"/>
                <w:u w:val="none"/>
                <w:lang w:bidi="ar"/>
              </w:rPr>
              <w:t>）</w:t>
            </w: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31166D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456F039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7523173A">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2800" w:type="dxa"/>
            <w:tcBorders>
              <w:tl2br w:val="nil"/>
              <w:tr2bl w:val="nil"/>
            </w:tcBorders>
            <w:shd w:val="clear" w:color="auto" w:fill="auto"/>
            <w:vAlign w:val="center"/>
          </w:tcPr>
          <w:p w14:paraId="25B99815">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jc w:val="left"/>
              <w:textAlignment w:val="top"/>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★8.具备H.265、H.264、MJPEG视频编码格式，音频编码：G.711、AAC。</w:t>
            </w:r>
          </w:p>
        </w:tc>
        <w:tc>
          <w:tcPr>
            <w:tcW w:w="3796" w:type="dxa"/>
            <w:tcBorders>
              <w:tl2br w:val="nil"/>
              <w:tr2bl w:val="nil"/>
            </w:tcBorders>
            <w:shd w:val="clear" w:color="auto" w:fill="auto"/>
            <w:vAlign w:val="center"/>
          </w:tcPr>
          <w:p w14:paraId="73D7CE13">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jc w:val="left"/>
              <w:textAlignment w:val="top"/>
              <w:rPr>
                <w:rFonts w:hint="eastAsia"/>
                <w:color w:val="auto"/>
                <w:lang w:val="en-US" w:eastAsia="zh-CN"/>
              </w:rPr>
            </w:pPr>
            <w:r>
              <w:rPr>
                <w:rFonts w:hint="eastAsia" w:ascii="宋体" w:hAnsi="宋体" w:eastAsia="宋体" w:cs="宋体"/>
                <w:b w:val="0"/>
                <w:bCs w:val="0"/>
                <w:i w:val="0"/>
                <w:iCs w:val="0"/>
                <w:color w:val="auto"/>
                <w:kern w:val="0"/>
                <w:sz w:val="21"/>
                <w:szCs w:val="21"/>
                <w:highlight w:val="none"/>
                <w:u w:val="none"/>
                <w:lang w:val="en-US" w:eastAsia="zh-CN" w:bidi="ar"/>
              </w:rPr>
              <w:t>提供原厂公开技术文档（白皮书、彩页、官网规格页截图及链接地址）。内置MIC（根据项目需求确定）。</w:t>
            </w:r>
          </w:p>
        </w:tc>
      </w:tr>
      <w:tr w14:paraId="589D2A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0016B93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0E649FAA">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2800" w:type="dxa"/>
            <w:tcBorders>
              <w:tl2br w:val="nil"/>
              <w:tr2bl w:val="nil"/>
            </w:tcBorders>
            <w:shd w:val="clear" w:color="auto" w:fill="auto"/>
            <w:vAlign w:val="center"/>
          </w:tcPr>
          <w:p w14:paraId="0ABACC74">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jc w:val="left"/>
              <w:textAlignment w:val="top"/>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★10.具备绊线或越界入侵、区域入侵、徘徊、人员聚集、停车、物品遗留或搬移（移除）等行为分析功能，具备联动抓拍或录像、报警。</w:t>
            </w:r>
          </w:p>
        </w:tc>
        <w:tc>
          <w:tcPr>
            <w:tcW w:w="3796" w:type="dxa"/>
            <w:tcBorders>
              <w:tl2br w:val="nil"/>
              <w:tr2bl w:val="nil"/>
            </w:tcBorders>
            <w:shd w:val="clear" w:color="auto" w:fill="auto"/>
            <w:vAlign w:val="center"/>
          </w:tcPr>
          <w:p w14:paraId="0017140D">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imes New Roman" w:hAnsi="Times New Roman" w:eastAsia="宋体" w:cs="Times New Roman"/>
                <w:color w:val="auto"/>
                <w:kern w:val="2"/>
                <w:sz w:val="21"/>
                <w:szCs w:val="21"/>
                <w:lang w:val="en-US" w:eastAsia="zh-CN" w:bidi="ar-SA"/>
              </w:rPr>
            </w:pPr>
            <w:r>
              <w:rPr>
                <w:rFonts w:hint="eastAsia" w:ascii="宋体" w:hAnsi="宋体" w:eastAsia="宋体" w:cs="宋体"/>
                <w:b w:val="0"/>
                <w:bCs w:val="0"/>
                <w:i w:val="0"/>
                <w:iCs w:val="0"/>
                <w:color w:val="auto"/>
                <w:kern w:val="0"/>
                <w:sz w:val="21"/>
                <w:szCs w:val="21"/>
                <w:highlight w:val="none"/>
                <w:u w:val="none"/>
                <w:lang w:val="en-US" w:eastAsia="zh-CN" w:bidi="ar"/>
              </w:rPr>
              <w:t>提供所投产品原厂技术白皮书。</w:t>
            </w:r>
          </w:p>
        </w:tc>
      </w:tr>
      <w:tr w14:paraId="668D53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7231298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0712979D">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2800" w:type="dxa"/>
            <w:tcBorders>
              <w:tl2br w:val="nil"/>
              <w:tr2bl w:val="nil"/>
            </w:tcBorders>
            <w:shd w:val="clear" w:color="auto" w:fill="auto"/>
            <w:vAlign w:val="center"/>
          </w:tcPr>
          <w:p w14:paraId="184596BE">
            <w:pPr>
              <w:pStyle w:val="15"/>
              <w:keepNext w:val="0"/>
              <w:keepLines w:val="0"/>
              <w:pageBreakBefore w:val="0"/>
              <w:kinsoku/>
              <w:wordWrap/>
              <w:overflowPunct/>
              <w:topLinePunct w:val="0"/>
              <w:autoSpaceDE/>
              <w:autoSpaceDN/>
              <w:bidi w:val="0"/>
              <w:adjustRightInd/>
              <w:snapToGrid/>
              <w:spacing w:line="400" w:lineRule="exact"/>
              <w:ind w:left="0" w:leftChars="0"/>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★16.符合GB/T 28181现行协议标准。</w:t>
            </w:r>
          </w:p>
        </w:tc>
        <w:tc>
          <w:tcPr>
            <w:tcW w:w="3796" w:type="dxa"/>
            <w:tcBorders>
              <w:tl2br w:val="nil"/>
              <w:tr2bl w:val="nil"/>
            </w:tcBorders>
            <w:shd w:val="clear" w:color="auto" w:fill="auto"/>
            <w:vAlign w:val="center"/>
          </w:tcPr>
          <w:p w14:paraId="7C0A978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imes New Roman" w:hAnsi="Times New Roman" w:eastAsia="宋体" w:cs="Times New Roman"/>
                <w:color w:val="auto"/>
                <w:kern w:val="2"/>
                <w:sz w:val="21"/>
                <w:szCs w:val="21"/>
                <w:lang w:val="en-US" w:eastAsia="zh-CN" w:bidi="ar-SA"/>
              </w:rPr>
            </w:pPr>
            <w:r>
              <w:rPr>
                <w:rFonts w:hint="eastAsia" w:ascii="宋体" w:hAnsi="宋体" w:eastAsia="宋体" w:cs="宋体"/>
                <w:b w:val="0"/>
                <w:bCs w:val="0"/>
                <w:i w:val="0"/>
                <w:iCs w:val="0"/>
                <w:color w:val="auto"/>
                <w:kern w:val="0"/>
                <w:sz w:val="21"/>
                <w:szCs w:val="21"/>
                <w:highlight w:val="none"/>
                <w:u w:val="none"/>
                <w:lang w:val="en-US" w:eastAsia="zh-CN" w:bidi="ar"/>
              </w:rPr>
              <w:t>提供所投产品原厂公开技术文档（白皮书、彩页、官网规格页截图及链接地址）或提供承诺函（格式自拟）。</w:t>
            </w:r>
          </w:p>
        </w:tc>
      </w:tr>
      <w:tr w14:paraId="11FAE6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1C98F80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64950A43">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2800" w:type="dxa"/>
            <w:tcBorders>
              <w:tl2br w:val="nil"/>
              <w:tr2bl w:val="nil"/>
            </w:tcBorders>
            <w:shd w:val="clear" w:color="auto" w:fill="auto"/>
            <w:vAlign w:val="center"/>
          </w:tcPr>
          <w:p w14:paraId="4C1FCE42">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jc w:val="left"/>
              <w:textAlignment w:val="top"/>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★19.浪涌（冲击）抗扰度测试、防浪涌。</w:t>
            </w:r>
          </w:p>
        </w:tc>
        <w:tc>
          <w:tcPr>
            <w:tcW w:w="3796" w:type="dxa"/>
            <w:tcBorders>
              <w:tl2br w:val="nil"/>
              <w:tr2bl w:val="nil"/>
            </w:tcBorders>
            <w:shd w:val="clear" w:color="auto" w:fill="auto"/>
            <w:vAlign w:val="center"/>
          </w:tcPr>
          <w:p w14:paraId="4973B7A3">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imes New Roman" w:hAnsi="Times New Roman" w:eastAsia="宋体" w:cs="Times New Roman"/>
                <w:color w:val="auto"/>
                <w:kern w:val="2"/>
                <w:sz w:val="21"/>
                <w:szCs w:val="21"/>
                <w:lang w:val="en-US" w:eastAsia="zh-CN" w:bidi="ar-SA"/>
              </w:rPr>
            </w:pPr>
            <w:r>
              <w:rPr>
                <w:rFonts w:hint="eastAsia" w:ascii="宋体" w:hAnsi="宋体" w:eastAsia="宋体" w:cs="宋体"/>
                <w:b w:val="0"/>
                <w:bCs w:val="0"/>
                <w:color w:val="auto"/>
                <w:sz w:val="21"/>
                <w:szCs w:val="21"/>
                <w:highlight w:val="none"/>
                <w:lang w:val="en-US" w:eastAsia="zh-CN" w:bidi="ar"/>
              </w:rPr>
              <w:t>承诺</w:t>
            </w:r>
            <w:r>
              <w:rPr>
                <w:rFonts w:hint="eastAsia" w:ascii="宋体" w:hAnsi="宋体" w:eastAsia="宋体" w:cs="宋体"/>
                <w:b w:val="0"/>
                <w:bCs w:val="0"/>
                <w:color w:val="auto"/>
                <w:sz w:val="21"/>
                <w:szCs w:val="21"/>
                <w:highlight w:val="none"/>
                <w:lang w:bidi="ar"/>
              </w:rPr>
              <w:t>符合</w:t>
            </w:r>
            <w:r>
              <w:rPr>
                <w:rFonts w:hint="eastAsia" w:ascii="宋体" w:hAnsi="宋体" w:eastAsia="宋体" w:cs="宋体"/>
                <w:b w:val="0"/>
                <w:bCs w:val="0"/>
                <w:i w:val="0"/>
                <w:iCs w:val="0"/>
                <w:color w:val="auto"/>
                <w:kern w:val="0"/>
                <w:sz w:val="21"/>
                <w:szCs w:val="21"/>
                <w:highlight w:val="none"/>
                <w:u w:val="none"/>
                <w:lang w:val="en-US" w:eastAsia="zh-CN" w:bidi="ar"/>
              </w:rPr>
              <w:t>GA/T 1127-2013或</w:t>
            </w:r>
            <w:r>
              <w:rPr>
                <w:rFonts w:hint="eastAsia" w:ascii="宋体" w:hAnsi="宋体" w:eastAsia="宋体" w:cs="宋体"/>
                <w:b w:val="0"/>
                <w:bCs w:val="0"/>
                <w:color w:val="auto"/>
                <w:sz w:val="21"/>
                <w:szCs w:val="21"/>
                <w:highlight w:val="none"/>
                <w:lang w:bidi="ar"/>
              </w:rPr>
              <w:t>GB/T 17626.5-</w:t>
            </w:r>
            <w:r>
              <w:rPr>
                <w:rFonts w:hint="eastAsia" w:ascii="宋体" w:hAnsi="宋体" w:eastAsia="宋体" w:cs="宋体"/>
                <w:b w:val="0"/>
                <w:bCs w:val="0"/>
                <w:color w:val="auto"/>
                <w:sz w:val="21"/>
                <w:szCs w:val="21"/>
                <w:highlight w:val="none"/>
                <w:lang w:val="en-US" w:eastAsia="zh-CN" w:bidi="ar"/>
              </w:rPr>
              <w:t>2008/</w:t>
            </w:r>
            <w:r>
              <w:rPr>
                <w:rFonts w:hint="eastAsia" w:ascii="宋体" w:hAnsi="宋体" w:eastAsia="宋体" w:cs="宋体"/>
                <w:b w:val="0"/>
                <w:bCs w:val="0"/>
                <w:color w:val="auto"/>
                <w:sz w:val="21"/>
                <w:szCs w:val="21"/>
                <w:highlight w:val="none"/>
                <w:lang w:bidi="ar"/>
              </w:rPr>
              <w:t>2019</w:t>
            </w:r>
            <w:r>
              <w:rPr>
                <w:rFonts w:hint="eastAsia" w:ascii="宋体" w:hAnsi="宋体" w:eastAsia="宋体" w:cs="宋体"/>
                <w:b w:val="0"/>
                <w:bCs w:val="0"/>
                <w:color w:val="auto"/>
                <w:sz w:val="21"/>
                <w:szCs w:val="21"/>
                <w:highlight w:val="none"/>
                <w:lang w:val="en-US" w:eastAsia="zh-CN" w:bidi="ar"/>
              </w:rPr>
              <w:t>对摄像机的</w:t>
            </w:r>
            <w:r>
              <w:rPr>
                <w:rFonts w:hint="eastAsia" w:ascii="宋体" w:hAnsi="宋体" w:eastAsia="宋体" w:cs="宋体"/>
                <w:b w:val="0"/>
                <w:bCs w:val="0"/>
                <w:i w:val="0"/>
                <w:iCs w:val="0"/>
                <w:color w:val="auto"/>
                <w:kern w:val="0"/>
                <w:sz w:val="21"/>
                <w:szCs w:val="21"/>
                <w:highlight w:val="none"/>
                <w:u w:val="none"/>
                <w:lang w:val="en-US" w:eastAsia="zh-CN" w:bidi="ar"/>
              </w:rPr>
              <w:t>防浪涌</w:t>
            </w:r>
            <w:r>
              <w:rPr>
                <w:rFonts w:hint="eastAsia" w:ascii="宋体" w:hAnsi="宋体" w:eastAsia="宋体" w:cs="宋体"/>
                <w:b w:val="0"/>
                <w:bCs w:val="0"/>
                <w:color w:val="auto"/>
                <w:sz w:val="21"/>
                <w:szCs w:val="21"/>
                <w:highlight w:val="none"/>
                <w:lang w:val="en-US" w:eastAsia="zh-CN" w:bidi="ar"/>
              </w:rPr>
              <w:t>要求</w:t>
            </w:r>
            <w:r>
              <w:rPr>
                <w:rFonts w:hint="eastAsia" w:ascii="宋体" w:hAnsi="宋体" w:eastAsia="宋体" w:cs="宋体"/>
                <w:b w:val="0"/>
                <w:bCs w:val="0"/>
                <w:color w:val="auto"/>
                <w:sz w:val="21"/>
                <w:szCs w:val="21"/>
                <w:highlight w:val="none"/>
                <w:lang w:eastAsia="zh-CN" w:bidi="ar"/>
              </w:rPr>
              <w:t>。</w:t>
            </w:r>
          </w:p>
        </w:tc>
      </w:tr>
      <w:tr w14:paraId="2B74BA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62E4FD6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2764036A">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2800" w:type="dxa"/>
            <w:tcBorders>
              <w:tl2br w:val="nil"/>
              <w:tr2bl w:val="nil"/>
            </w:tcBorders>
            <w:shd w:val="clear" w:color="auto" w:fill="auto"/>
            <w:vAlign w:val="center"/>
          </w:tcPr>
          <w:p w14:paraId="7C7E251C">
            <w:pPr>
              <w:pStyle w:val="15"/>
              <w:keepNext w:val="0"/>
              <w:keepLines w:val="0"/>
              <w:pageBreakBefore w:val="0"/>
              <w:kinsoku/>
              <w:wordWrap/>
              <w:overflowPunct/>
              <w:topLinePunct w:val="0"/>
              <w:autoSpaceDE/>
              <w:autoSpaceDN/>
              <w:bidi w:val="0"/>
              <w:adjustRightInd/>
              <w:snapToGrid/>
              <w:spacing w:line="400" w:lineRule="exact"/>
              <w:ind w:left="0" w:leftChars="0"/>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★21.防护等级：≥IP67。</w:t>
            </w:r>
          </w:p>
        </w:tc>
        <w:tc>
          <w:tcPr>
            <w:tcW w:w="3796" w:type="dxa"/>
            <w:tcBorders>
              <w:tl2br w:val="nil"/>
              <w:tr2bl w:val="nil"/>
            </w:tcBorders>
            <w:shd w:val="clear" w:color="auto" w:fill="auto"/>
            <w:vAlign w:val="center"/>
          </w:tcPr>
          <w:p w14:paraId="7D2EFDE6">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imes New Roman" w:hAnsi="Times New Roman" w:eastAsia="宋体" w:cs="Times New Roman"/>
                <w:color w:val="auto"/>
                <w:kern w:val="2"/>
                <w:sz w:val="21"/>
                <w:szCs w:val="21"/>
                <w:lang w:val="en-US" w:eastAsia="zh-CN" w:bidi="ar-SA"/>
              </w:rPr>
            </w:pPr>
            <w:r>
              <w:rPr>
                <w:rFonts w:hint="eastAsia" w:ascii="宋体" w:hAnsi="宋体" w:eastAsia="宋体" w:cs="宋体"/>
                <w:b w:val="0"/>
                <w:bCs w:val="0"/>
                <w:i w:val="0"/>
                <w:iCs w:val="0"/>
                <w:color w:val="auto"/>
                <w:kern w:val="0"/>
                <w:sz w:val="21"/>
                <w:szCs w:val="21"/>
                <w:highlight w:val="none"/>
                <w:u w:val="none"/>
                <w:lang w:val="en-US" w:eastAsia="zh-CN" w:bidi="ar"/>
              </w:rPr>
              <w:t>提供所投产品的检测报告原件关键页扫描件（依据GB/T 15211-2013或GA/T 1127-2013或</w:t>
            </w:r>
            <w:r>
              <w:rPr>
                <w:rFonts w:hint="eastAsia" w:ascii="宋体" w:hAnsi="宋体" w:eastAsia="宋体" w:cs="宋体"/>
                <w:b w:val="0"/>
                <w:bCs w:val="0"/>
                <w:color w:val="auto"/>
                <w:sz w:val="21"/>
                <w:szCs w:val="21"/>
                <w:highlight w:val="none"/>
              </w:rPr>
              <w:t>GB/T4208-2017标准</w:t>
            </w:r>
            <w:r>
              <w:rPr>
                <w:rFonts w:hint="eastAsia" w:ascii="宋体" w:hAnsi="宋体" w:eastAsia="宋体" w:cs="宋体"/>
                <w:b w:val="0"/>
                <w:bCs w:val="0"/>
                <w:i w:val="0"/>
                <w:iCs w:val="0"/>
                <w:color w:val="auto"/>
                <w:kern w:val="0"/>
                <w:sz w:val="21"/>
                <w:szCs w:val="21"/>
                <w:highlight w:val="none"/>
                <w:u w:val="none"/>
                <w:lang w:val="en-US" w:eastAsia="zh-CN" w:bidi="ar"/>
              </w:rPr>
              <w:t>）等相关现行国家标准）。</w:t>
            </w:r>
          </w:p>
        </w:tc>
      </w:tr>
      <w:tr w14:paraId="574AA1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5722D3F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24923E06">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2800" w:type="dxa"/>
            <w:tcBorders>
              <w:tl2br w:val="nil"/>
              <w:tr2bl w:val="nil"/>
            </w:tcBorders>
            <w:shd w:val="clear" w:color="auto" w:fill="auto"/>
            <w:vAlign w:val="center"/>
          </w:tcPr>
          <w:p w14:paraId="5DA74FFB">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★22.具备POE供电功能。</w:t>
            </w:r>
          </w:p>
        </w:tc>
        <w:tc>
          <w:tcPr>
            <w:tcW w:w="3796" w:type="dxa"/>
            <w:tcBorders>
              <w:tl2br w:val="nil"/>
              <w:tr2bl w:val="nil"/>
            </w:tcBorders>
            <w:shd w:val="clear" w:color="auto" w:fill="auto"/>
            <w:vAlign w:val="center"/>
          </w:tcPr>
          <w:p w14:paraId="57080273">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imes New Roman" w:hAnsi="Times New Roman" w:eastAsia="宋体" w:cs="Times New Roman"/>
                <w:color w:val="auto"/>
                <w:kern w:val="2"/>
                <w:sz w:val="21"/>
                <w:szCs w:val="21"/>
                <w:lang w:val="en-US" w:eastAsia="zh-CN" w:bidi="ar-SA"/>
              </w:rPr>
            </w:pPr>
            <w:r>
              <w:rPr>
                <w:rFonts w:hint="eastAsia" w:ascii="宋体" w:hAnsi="宋体" w:eastAsia="宋体" w:cs="宋体"/>
                <w:b w:val="0"/>
                <w:bCs w:val="0"/>
                <w:i w:val="0"/>
                <w:iCs w:val="0"/>
                <w:color w:val="auto"/>
                <w:kern w:val="0"/>
                <w:sz w:val="21"/>
                <w:szCs w:val="21"/>
                <w:highlight w:val="none"/>
                <w:u w:val="none"/>
                <w:lang w:val="en-US" w:eastAsia="zh-CN" w:bidi="ar"/>
              </w:rPr>
              <w:t>提供原厂公开技术文档（白皮书、彩页、官网规格页截图及链接地址均可）。</w:t>
            </w:r>
          </w:p>
        </w:tc>
      </w:tr>
      <w:tr w14:paraId="257CCB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80" w:hRule="atLeast"/>
          <w:jc w:val="center"/>
        </w:trPr>
        <w:tc>
          <w:tcPr>
            <w:tcW w:w="737" w:type="dxa"/>
            <w:vMerge w:val="continue"/>
            <w:tcBorders>
              <w:tl2br w:val="nil"/>
              <w:tr2bl w:val="nil"/>
            </w:tcBorders>
            <w:shd w:val="clear" w:color="auto" w:fill="auto"/>
            <w:vAlign w:val="center"/>
          </w:tcPr>
          <w:p w14:paraId="5CE1BB4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63149487">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2800" w:type="dxa"/>
            <w:tcBorders>
              <w:tl2br w:val="nil"/>
              <w:tr2bl w:val="nil"/>
            </w:tcBorders>
            <w:shd w:val="clear" w:color="auto" w:fill="auto"/>
            <w:vAlign w:val="center"/>
          </w:tcPr>
          <w:p w14:paraId="29E3DCD4">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leftChars="0" w:firstLine="0" w:firstLineChars="0"/>
              <w:jc w:val="left"/>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★23.符合GB/T 28181、Onvif、IPv4/IPv6协议标准。</w:t>
            </w:r>
          </w:p>
        </w:tc>
        <w:tc>
          <w:tcPr>
            <w:tcW w:w="3796" w:type="dxa"/>
            <w:tcBorders>
              <w:tl2br w:val="nil"/>
              <w:tr2bl w:val="nil"/>
            </w:tcBorders>
            <w:shd w:val="clear" w:color="auto" w:fill="auto"/>
            <w:vAlign w:val="center"/>
          </w:tcPr>
          <w:p w14:paraId="3FBA83F8">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b/>
                <w:bCs/>
                <w:color w:val="auto"/>
                <w:kern w:val="0"/>
                <w:sz w:val="21"/>
                <w:szCs w:val="21"/>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提供所投产品原厂公开技术文档（白皮书、彩页、官网规格页截图及链接地址）或提供承诺函（格式自拟）</w:t>
            </w:r>
            <w:r>
              <w:rPr>
                <w:rFonts w:hint="eastAsia" w:ascii="宋体" w:hAnsi="宋体" w:eastAsia="宋体" w:cs="宋体"/>
                <w:b w:val="0"/>
                <w:bCs w:val="0"/>
                <w:color w:val="auto"/>
                <w:sz w:val="21"/>
                <w:szCs w:val="21"/>
                <w:highlight w:val="none"/>
                <w:u w:val="none"/>
                <w:lang w:val="en-US" w:eastAsia="zh-CN" w:bidi="ar"/>
              </w:rPr>
              <w:t>。</w:t>
            </w:r>
          </w:p>
        </w:tc>
      </w:tr>
      <w:tr w14:paraId="752D20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restart"/>
            <w:tcBorders>
              <w:tl2br w:val="nil"/>
              <w:tr2bl w:val="nil"/>
            </w:tcBorders>
            <w:shd w:val="clear" w:color="auto" w:fill="auto"/>
            <w:vAlign w:val="center"/>
          </w:tcPr>
          <w:p w14:paraId="64167859">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default" w:asciiTheme="minorEastAsia" w:hAnsiTheme="minorEastAsia" w:eastAsiaTheme="minorEastAsia" w:cstheme="minorEastAsia"/>
                <w:b/>
                <w:bCs/>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2</w:t>
            </w:r>
          </w:p>
        </w:tc>
        <w:tc>
          <w:tcPr>
            <w:tcW w:w="1438" w:type="dxa"/>
            <w:vMerge w:val="restart"/>
            <w:tcBorders>
              <w:tl2br w:val="nil"/>
              <w:tr2bl w:val="nil"/>
            </w:tcBorders>
            <w:shd w:val="clear" w:color="auto" w:fill="auto"/>
            <w:vAlign w:val="center"/>
          </w:tcPr>
          <w:p w14:paraId="470D3D83">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球机</w:t>
            </w:r>
          </w:p>
        </w:tc>
        <w:tc>
          <w:tcPr>
            <w:tcW w:w="2800" w:type="dxa"/>
            <w:tcBorders>
              <w:tl2br w:val="nil"/>
              <w:tr2bl w:val="nil"/>
            </w:tcBorders>
            <w:shd w:val="clear" w:color="auto" w:fill="auto"/>
            <w:vAlign w:val="center"/>
          </w:tcPr>
          <w:p w14:paraId="66A12EA4">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jc w:val="left"/>
              <w:rPr>
                <w:rFonts w:hint="eastAsia" w:asciiTheme="minorEastAsia" w:hAnsiTheme="minorEastAsia" w:eastAsiaTheme="minorEastAsia" w:cstheme="minorEastAsia"/>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★2.采用≥400万像素或≥2560×1440。</w:t>
            </w:r>
          </w:p>
        </w:tc>
        <w:tc>
          <w:tcPr>
            <w:tcW w:w="3796" w:type="dxa"/>
            <w:tcBorders>
              <w:tl2br w:val="nil"/>
              <w:tr2bl w:val="nil"/>
            </w:tcBorders>
            <w:shd w:val="clear" w:color="auto" w:fill="auto"/>
            <w:vAlign w:val="center"/>
          </w:tcPr>
          <w:p w14:paraId="2C90875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提供所投产品的检测报告原件关键页扫描件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（依据标准</w:t>
            </w:r>
            <w:r>
              <w:rPr>
                <w:rFonts w:hint="eastAsia" w:ascii="宋体" w:hAnsi="宋体" w:eastAsia="宋体" w:cs="宋体"/>
                <w:b w:val="0"/>
                <w:bCs w:val="0"/>
                <w:color w:val="auto"/>
                <w:sz w:val="21"/>
                <w:szCs w:val="21"/>
                <w:highlight w:val="none"/>
                <w:vertAlign w:val="baseline"/>
              </w:rPr>
              <w:t xml:space="preserve">GB/T 15211-2013 </w:t>
            </w:r>
            <w:r>
              <w:rPr>
                <w:rFonts w:hint="eastAsia" w:ascii="宋体" w:hAnsi="宋体" w:eastAsia="宋体" w:cs="宋体"/>
                <w:b w:val="0"/>
                <w:bCs w:val="0"/>
                <w:color w:val="auto"/>
                <w:sz w:val="21"/>
                <w:szCs w:val="21"/>
                <w:highlight w:val="none"/>
                <w:vertAlign w:val="baseline"/>
                <w:lang w:val="en-US" w:eastAsia="zh-CN"/>
              </w:rPr>
              <w:t>或</w:t>
            </w:r>
            <w:r>
              <w:rPr>
                <w:rFonts w:hint="eastAsia" w:ascii="宋体" w:hAnsi="宋体" w:eastAsia="宋体" w:cs="宋体"/>
                <w:b w:val="0"/>
                <w:bCs w:val="0"/>
                <w:i w:val="0"/>
                <w:iCs w:val="0"/>
                <w:color w:val="auto"/>
                <w:sz w:val="21"/>
                <w:szCs w:val="21"/>
                <w:highlight w:val="none"/>
                <w:u w:val="none"/>
                <w:lang w:val="en-US" w:eastAsia="zh-CN" w:bidi="ar"/>
              </w:rPr>
              <w:t>GA/T 645-2014或GB 16796-2022等现行国家标准）</w:t>
            </w: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2222DC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0681653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4267C674">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100A3E3F">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jc w:val="left"/>
              <w:rPr>
                <w:rFonts w:hint="eastAsia" w:asciiTheme="minorEastAsia" w:hAnsiTheme="minorEastAsia" w:eastAsiaTheme="minorEastAsia" w:cstheme="minorEastAsia"/>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★3.内置镜头、具备≥23倍光学变焦（镜头焦距最大值与最少值的比值≥23），智能红外补光距离（识别距离）≥150米。</w:t>
            </w:r>
          </w:p>
        </w:tc>
        <w:tc>
          <w:tcPr>
            <w:tcW w:w="3796" w:type="dxa"/>
            <w:tcBorders>
              <w:tl2br w:val="nil"/>
              <w:tr2bl w:val="nil"/>
            </w:tcBorders>
            <w:shd w:val="clear" w:color="auto" w:fill="auto"/>
            <w:vAlign w:val="center"/>
          </w:tcPr>
          <w:p w14:paraId="0CED51B4">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提供所投产品的检测报告原件关键页扫描件（依据标准</w:t>
            </w:r>
            <w:r>
              <w:rPr>
                <w:rFonts w:hint="eastAsia" w:ascii="宋体" w:hAnsi="宋体" w:eastAsia="宋体" w:cs="宋体"/>
                <w:b w:val="0"/>
                <w:bCs w:val="0"/>
                <w:i w:val="0"/>
                <w:iCs w:val="0"/>
                <w:color w:val="auto"/>
                <w:sz w:val="21"/>
                <w:szCs w:val="21"/>
                <w:highlight w:val="none"/>
                <w:u w:val="none"/>
                <w:lang w:val="en-US" w:eastAsia="zh-CN" w:bidi="ar"/>
              </w:rPr>
              <w:t>GA/T 645-2014</w:t>
            </w:r>
            <w:r>
              <w:rPr>
                <w:rFonts w:hint="eastAsia" w:ascii="宋体" w:hAnsi="宋体" w:eastAsia="宋体" w:cs="宋体"/>
                <w:b w:val="0"/>
                <w:bCs w:val="0"/>
                <w:i w:val="0"/>
                <w:iCs w:val="0"/>
                <w:color w:val="auto"/>
                <w:kern w:val="0"/>
                <w:sz w:val="21"/>
                <w:szCs w:val="21"/>
                <w:highlight w:val="none"/>
                <w:u w:val="none"/>
                <w:lang w:val="en-US" w:eastAsia="zh-CN" w:bidi="ar"/>
              </w:rPr>
              <w:t>等现行国家标准）。</w:t>
            </w:r>
          </w:p>
        </w:tc>
      </w:tr>
      <w:tr w14:paraId="6BCDBE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73BA624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497FD3FE">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2A88F488">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jc w:val="left"/>
              <w:rPr>
                <w:rFonts w:hint="eastAsia" w:asciiTheme="minorEastAsia" w:hAnsiTheme="minorEastAsia" w:eastAsiaTheme="minorEastAsia" w:cstheme="minorEastAsia"/>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★4.具备H.265、H.264、MJPEG视频编码格式，音频编码：G.711、AAC。</w:t>
            </w:r>
          </w:p>
        </w:tc>
        <w:tc>
          <w:tcPr>
            <w:tcW w:w="3796" w:type="dxa"/>
            <w:tcBorders>
              <w:tl2br w:val="nil"/>
              <w:tr2bl w:val="nil"/>
            </w:tcBorders>
            <w:shd w:val="clear" w:color="auto" w:fill="auto"/>
            <w:vAlign w:val="center"/>
          </w:tcPr>
          <w:p w14:paraId="43D26888">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提供原厂公开技术文档（白皮书、彩页、官网规格页截图及链接地址）。</w:t>
            </w:r>
          </w:p>
        </w:tc>
      </w:tr>
      <w:tr w14:paraId="5F3AC8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1C30438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23111B91">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4F8FE3DB">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jc w:val="left"/>
              <w:rPr>
                <w:rFonts w:hint="eastAsia" w:asciiTheme="minorEastAsia" w:hAnsiTheme="minorEastAsia" w:eastAsiaTheme="minorEastAsia" w:cstheme="minorEastAsia"/>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★5.具备最低照度彩色不劣于0.0005Lux，黑白不劣于0.0001Lux。</w:t>
            </w:r>
          </w:p>
        </w:tc>
        <w:tc>
          <w:tcPr>
            <w:tcW w:w="3796" w:type="dxa"/>
            <w:tcBorders>
              <w:tl2br w:val="nil"/>
              <w:tr2bl w:val="nil"/>
            </w:tcBorders>
            <w:shd w:val="clear" w:color="auto" w:fill="auto"/>
            <w:vAlign w:val="center"/>
          </w:tcPr>
          <w:p w14:paraId="6A26AD1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提供第三方机构出具的具有CMA标志的检测报告（依据标准GA/T 645-2014或GB 16796-2022</w:t>
            </w:r>
            <w:r>
              <w:rPr>
                <w:rFonts w:hint="eastAsia" w:ascii="宋体" w:hAnsi="宋体" w:eastAsia="宋体" w:cs="宋体"/>
                <w:b w:val="0"/>
                <w:bCs w:val="0"/>
                <w:color w:val="auto"/>
                <w:sz w:val="21"/>
                <w:szCs w:val="21"/>
                <w:highlight w:val="none"/>
                <w:u w:val="none"/>
                <w:lang w:bidi="ar"/>
              </w:rPr>
              <w:t>或GB/T 15211-2013</w:t>
            </w:r>
            <w:r>
              <w:rPr>
                <w:rFonts w:hint="eastAsia" w:ascii="宋体" w:hAnsi="宋体" w:eastAsia="宋体" w:cs="宋体"/>
                <w:b w:val="0"/>
                <w:bCs w:val="0"/>
                <w:i w:val="0"/>
                <w:iCs w:val="0"/>
                <w:color w:val="auto"/>
                <w:sz w:val="21"/>
                <w:szCs w:val="21"/>
                <w:highlight w:val="none"/>
                <w:u w:val="none"/>
                <w:lang w:val="en-US" w:eastAsia="zh-CN" w:bidi="ar"/>
              </w:rPr>
              <w:t>等现行国家标准）</w:t>
            </w:r>
            <w:r>
              <w:rPr>
                <w:rFonts w:hint="eastAsia" w:ascii="宋体" w:hAnsi="宋体" w:eastAsia="宋体" w:cs="宋体"/>
                <w:b w:val="0"/>
                <w:bCs w:val="0"/>
                <w:color w:val="auto"/>
                <w:sz w:val="21"/>
                <w:szCs w:val="21"/>
                <w:highlight w:val="none"/>
                <w:u w:val="none"/>
                <w:lang w:val="en-US" w:eastAsia="zh-CN" w:bidi="ar"/>
              </w:rPr>
              <w:t>。</w:t>
            </w:r>
          </w:p>
        </w:tc>
      </w:tr>
      <w:tr w14:paraId="79064E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6855425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36A25930">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4673AF6D">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jc w:val="left"/>
              <w:rPr>
                <w:rFonts w:hint="eastAsia" w:asciiTheme="minorEastAsia" w:hAnsiTheme="minorEastAsia" w:eastAsiaTheme="minorEastAsia" w:cstheme="minorEastAsia"/>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★11.具备强光抑制、透雾功能。</w:t>
            </w:r>
          </w:p>
        </w:tc>
        <w:tc>
          <w:tcPr>
            <w:tcW w:w="3796" w:type="dxa"/>
            <w:tcBorders>
              <w:tl2br w:val="nil"/>
              <w:tr2bl w:val="nil"/>
            </w:tcBorders>
            <w:shd w:val="clear" w:color="auto" w:fill="auto"/>
            <w:vAlign w:val="center"/>
          </w:tcPr>
          <w:p w14:paraId="2DF05F60">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提供原厂公开技术文档（白皮书、彩页、官网规格页截图及链接地址）。</w:t>
            </w:r>
          </w:p>
        </w:tc>
      </w:tr>
      <w:tr w14:paraId="3D0EFF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124EDF9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095CC28E">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08DC18E2">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jc w:val="left"/>
              <w:textAlignment w:val="top"/>
              <w:rPr>
                <w:rFonts w:hint="eastAsia" w:ascii="宋体" w:hAnsi="宋体" w:cs="宋体"/>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★12.宽动态能力综合得分≥80。</w:t>
            </w:r>
          </w:p>
        </w:tc>
        <w:tc>
          <w:tcPr>
            <w:tcW w:w="3796" w:type="dxa"/>
            <w:tcBorders>
              <w:tl2br w:val="nil"/>
              <w:tr2bl w:val="nil"/>
            </w:tcBorders>
            <w:shd w:val="clear" w:color="auto" w:fill="auto"/>
            <w:vAlign w:val="center"/>
          </w:tcPr>
          <w:p w14:paraId="40213F5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提供</w:t>
            </w:r>
            <w:r>
              <w:rPr>
                <w:rFonts w:hint="eastAsia" w:ascii="宋体" w:hAnsi="宋体" w:eastAsia="宋体" w:cs="宋体"/>
                <w:b w:val="0"/>
                <w:bCs w:val="0"/>
                <w:color w:val="auto"/>
                <w:sz w:val="21"/>
                <w:szCs w:val="21"/>
                <w:highlight w:val="none"/>
                <w:u w:val="none"/>
                <w:lang w:bidi="ar"/>
              </w:rPr>
              <w:t>由具备有效CMA资质的检测机构出具的封面盖有CMA专用印章的检测报告原件关键页扫描件(</w:t>
            </w:r>
            <w:r>
              <w:rPr>
                <w:rFonts w:hint="eastAsia" w:ascii="宋体" w:hAnsi="宋体" w:eastAsia="宋体" w:cs="宋体"/>
                <w:b w:val="0"/>
                <w:bCs w:val="0"/>
                <w:i w:val="0"/>
                <w:iCs w:val="0"/>
                <w:color w:val="auto"/>
                <w:kern w:val="0"/>
                <w:sz w:val="21"/>
                <w:szCs w:val="21"/>
                <w:highlight w:val="none"/>
                <w:u w:val="none"/>
                <w:lang w:val="en-US" w:eastAsia="zh-CN" w:bidi="ar"/>
              </w:rPr>
              <w:t>依据标准GA/T 1127-2013或</w:t>
            </w:r>
            <w:r>
              <w:rPr>
                <w:rFonts w:hint="eastAsia" w:ascii="宋体" w:hAnsi="宋体" w:eastAsia="宋体" w:cs="宋体"/>
                <w:b w:val="0"/>
                <w:bCs w:val="0"/>
                <w:i w:val="0"/>
                <w:iCs w:val="0"/>
                <w:color w:val="auto"/>
                <w:sz w:val="21"/>
                <w:szCs w:val="21"/>
                <w:highlight w:val="none"/>
                <w:u w:val="none"/>
                <w:lang w:val="en-US" w:eastAsia="zh-CN" w:bidi="ar"/>
              </w:rPr>
              <w:t>GA/T 645-2014</w:t>
            </w:r>
            <w:r>
              <w:rPr>
                <w:rFonts w:hint="eastAsia" w:ascii="宋体" w:hAnsi="宋体" w:eastAsia="宋体" w:cs="宋体"/>
                <w:b w:val="0"/>
                <w:bCs w:val="0"/>
                <w:i w:val="0"/>
                <w:iCs w:val="0"/>
                <w:color w:val="auto"/>
                <w:kern w:val="0"/>
                <w:sz w:val="21"/>
                <w:szCs w:val="21"/>
                <w:highlight w:val="none"/>
                <w:u w:val="none"/>
                <w:lang w:val="en-US" w:eastAsia="zh-CN" w:bidi="ar"/>
              </w:rPr>
              <w:t>等现行国家标准</w:t>
            </w:r>
            <w:r>
              <w:rPr>
                <w:rFonts w:hint="eastAsia" w:ascii="宋体" w:hAnsi="宋体" w:eastAsia="宋体" w:cs="宋体"/>
                <w:b w:val="0"/>
                <w:bCs w:val="0"/>
                <w:color w:val="auto"/>
                <w:sz w:val="21"/>
                <w:szCs w:val="21"/>
                <w:highlight w:val="none"/>
                <w:u w:val="none"/>
                <w:lang w:bidi="ar"/>
              </w:rPr>
              <w:t>）</w:t>
            </w: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1A7142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188A7B4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65A7B666">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7F605DA2">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jc w:val="left"/>
              <w:rPr>
                <w:rFonts w:hint="eastAsia" w:ascii="宋体" w:hAnsi="宋体" w:cs="宋体"/>
                <w:i w:val="0"/>
                <w:iCs w:val="0"/>
                <w:color w:val="auto"/>
                <w:kern w:val="0"/>
                <w:sz w:val="21"/>
                <w:szCs w:val="21"/>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★13.具备绊线或越界入侵、区域入侵、徘徊、快速移动、人员聚集等智能行为分析功能，具备联动抓拍或录像、报警。</w:t>
            </w:r>
          </w:p>
        </w:tc>
        <w:tc>
          <w:tcPr>
            <w:tcW w:w="3796" w:type="dxa"/>
            <w:tcBorders>
              <w:tl2br w:val="nil"/>
              <w:tr2bl w:val="nil"/>
            </w:tcBorders>
            <w:shd w:val="clear" w:color="auto" w:fill="auto"/>
            <w:vAlign w:val="center"/>
          </w:tcPr>
          <w:p w14:paraId="04B787CA">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提供原厂公开技术文档（白皮书、彩页、官网规格页截图及链接地址）。</w:t>
            </w:r>
          </w:p>
        </w:tc>
      </w:tr>
      <w:tr w14:paraId="33F848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7E8A671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05B1F452">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1CA2B898">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jc w:val="left"/>
              <w:rPr>
                <w:rFonts w:hint="eastAsia" w:ascii="宋体" w:hAnsi="宋体" w:cs="宋体"/>
                <w:i w:val="0"/>
                <w:iCs w:val="0"/>
                <w:color w:val="auto"/>
                <w:kern w:val="0"/>
                <w:sz w:val="21"/>
                <w:szCs w:val="21"/>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★17.防护等级：≥IP67。</w:t>
            </w:r>
          </w:p>
        </w:tc>
        <w:tc>
          <w:tcPr>
            <w:tcW w:w="3796" w:type="dxa"/>
            <w:tcBorders>
              <w:tl2br w:val="nil"/>
              <w:tr2bl w:val="nil"/>
            </w:tcBorders>
            <w:shd w:val="clear" w:color="auto" w:fill="auto"/>
            <w:vAlign w:val="center"/>
          </w:tcPr>
          <w:p w14:paraId="2DEE51FC">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提供所投产品的检测报告原件关键页扫描件（依据</w:t>
            </w:r>
            <w:r>
              <w:rPr>
                <w:rFonts w:hint="eastAsia" w:ascii="宋体" w:hAnsi="宋体" w:eastAsia="宋体" w:cs="宋体"/>
                <w:b w:val="0"/>
                <w:bCs w:val="0"/>
                <w:i w:val="0"/>
                <w:iCs w:val="0"/>
                <w:color w:val="auto"/>
                <w:kern w:val="0"/>
                <w:sz w:val="21"/>
                <w:szCs w:val="21"/>
                <w:highlight w:val="none"/>
                <w:u w:val="none"/>
                <w:lang w:val="en-US" w:eastAsia="zh-CN" w:bidi="ar"/>
              </w:rPr>
              <w:t>GA/T 645-2014或</w:t>
            </w:r>
            <w:r>
              <w:rPr>
                <w:rFonts w:hint="eastAsia" w:ascii="宋体" w:hAnsi="宋体" w:eastAsia="宋体" w:cs="宋体"/>
                <w:b w:val="0"/>
                <w:bCs w:val="0"/>
                <w:i w:val="0"/>
                <w:iCs w:val="0"/>
                <w:color w:val="auto"/>
                <w:sz w:val="21"/>
                <w:szCs w:val="21"/>
                <w:highlight w:val="none"/>
                <w:u w:val="none"/>
                <w:lang w:val="en-US" w:eastAsia="zh-CN" w:bidi="ar"/>
              </w:rPr>
              <w:t>GB/T 15211-2013或GA/T 1127-2013或GB/T4208-2017标准）等相关现行国家标准）。</w:t>
            </w:r>
          </w:p>
        </w:tc>
      </w:tr>
      <w:tr w14:paraId="0BBF10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3B7049A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54FACF7B">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7C454E81">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leftChars="0" w:firstLine="0" w:firstLineChars="0"/>
              <w:jc w:val="left"/>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★18.符合GB/T 28181、Onvif、IPv4/IPv6协议标准。</w:t>
            </w:r>
          </w:p>
        </w:tc>
        <w:tc>
          <w:tcPr>
            <w:tcW w:w="3796" w:type="dxa"/>
            <w:tcBorders>
              <w:tl2br w:val="nil"/>
              <w:tr2bl w:val="nil"/>
            </w:tcBorders>
            <w:shd w:val="clear" w:color="auto" w:fill="auto"/>
            <w:vAlign w:val="center"/>
          </w:tcPr>
          <w:p w14:paraId="0EEB491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提供所投产品原厂公开技术文档（白皮书、彩页、官网规格页截图及链接地址）或提供承诺函（格式自拟）</w:t>
            </w:r>
            <w:r>
              <w:rPr>
                <w:rFonts w:hint="eastAsia" w:ascii="宋体" w:hAnsi="宋体" w:eastAsia="宋体" w:cs="宋体"/>
                <w:b w:val="0"/>
                <w:bCs w:val="0"/>
                <w:color w:val="auto"/>
                <w:sz w:val="21"/>
                <w:szCs w:val="21"/>
                <w:highlight w:val="none"/>
                <w:u w:val="none"/>
                <w:lang w:val="en-US" w:eastAsia="zh-CN" w:bidi="ar"/>
              </w:rPr>
              <w:t>。</w:t>
            </w:r>
          </w:p>
        </w:tc>
      </w:tr>
      <w:tr w14:paraId="16B079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37" w:type="dxa"/>
            <w:vMerge w:val="restart"/>
            <w:tcBorders>
              <w:tl2br w:val="nil"/>
              <w:tr2bl w:val="nil"/>
            </w:tcBorders>
            <w:shd w:val="clear" w:color="auto" w:fill="auto"/>
            <w:vAlign w:val="center"/>
          </w:tcPr>
          <w:p w14:paraId="35C25235">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default" w:asciiTheme="minorEastAsia" w:hAnsiTheme="minorEastAsia" w:eastAsiaTheme="minorEastAsia" w:cstheme="minorEastAsia"/>
                <w:b/>
                <w:bCs/>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5</w:t>
            </w:r>
          </w:p>
        </w:tc>
        <w:tc>
          <w:tcPr>
            <w:tcW w:w="1438" w:type="dxa"/>
            <w:vMerge w:val="restart"/>
            <w:tcBorders>
              <w:tl2br w:val="nil"/>
              <w:tr2bl w:val="nil"/>
            </w:tcBorders>
            <w:shd w:val="clear" w:color="auto" w:fill="auto"/>
            <w:vAlign w:val="center"/>
          </w:tcPr>
          <w:p w14:paraId="141F1427">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半球型摄像机</w:t>
            </w:r>
          </w:p>
        </w:tc>
        <w:tc>
          <w:tcPr>
            <w:tcW w:w="2800" w:type="dxa"/>
            <w:tcBorders>
              <w:tl2br w:val="nil"/>
              <w:tr2bl w:val="nil"/>
            </w:tcBorders>
            <w:shd w:val="clear" w:color="auto" w:fill="auto"/>
            <w:vAlign w:val="center"/>
          </w:tcPr>
          <w:p w14:paraId="5B83F1CC">
            <w:pPr>
              <w:keepNext w:val="0"/>
              <w:keepLines w:val="0"/>
              <w:pageBreakBefore w:val="0"/>
              <w:widowControl/>
              <w:numPr>
                <w:ilvl w:val="0"/>
                <w:numId w:val="0"/>
              </w:numPr>
              <w:kinsoku/>
              <w:wordWrap/>
              <w:overflowPunct/>
              <w:topLinePunct w:val="0"/>
              <w:autoSpaceDE/>
              <w:autoSpaceDN/>
              <w:bidi w:val="0"/>
              <w:adjustRightInd/>
              <w:snapToGrid/>
              <w:spacing w:line="400" w:lineRule="exact"/>
              <w:ind w:left="0" w:leftChars="0" w:firstLine="0" w:firstLineChars="0"/>
              <w:jc w:val="left"/>
              <w:textAlignment w:val="auto"/>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color w:val="auto"/>
                <w:kern w:val="0"/>
                <w:sz w:val="21"/>
                <w:szCs w:val="21"/>
                <w:highlight w:val="none"/>
              </w:rPr>
              <w:t>★</w:t>
            </w:r>
            <w:r>
              <w:rPr>
                <w:rFonts w:hint="eastAsia" w:ascii="宋体" w:hAnsi="宋体" w:eastAsia="宋体" w:cs="宋体"/>
                <w:b w:val="0"/>
                <w:bCs w:val="0"/>
                <w:color w:val="auto"/>
                <w:kern w:val="0"/>
                <w:sz w:val="21"/>
                <w:szCs w:val="21"/>
                <w:highlight w:val="none"/>
                <w:lang w:val="en-US" w:eastAsia="zh-CN"/>
              </w:rPr>
              <w:t>2.</w:t>
            </w:r>
            <w:r>
              <w:rPr>
                <w:rFonts w:hint="eastAsia" w:ascii="宋体" w:hAnsi="宋体" w:eastAsia="宋体" w:cs="宋体"/>
                <w:b w:val="0"/>
                <w:bCs w:val="0"/>
                <w:i w:val="0"/>
                <w:iCs w:val="0"/>
                <w:color w:val="auto"/>
                <w:kern w:val="0"/>
                <w:sz w:val="21"/>
                <w:szCs w:val="21"/>
                <w:highlight w:val="none"/>
                <w:u w:val="none"/>
                <w:lang w:val="en-US" w:eastAsia="zh-CN" w:bidi="ar"/>
              </w:rPr>
              <w:t>像素≥400万或最大分辨率≥2560×1440。</w:t>
            </w:r>
          </w:p>
        </w:tc>
        <w:tc>
          <w:tcPr>
            <w:tcW w:w="3796" w:type="dxa"/>
            <w:tcBorders>
              <w:tl2br w:val="nil"/>
              <w:tr2bl w:val="nil"/>
            </w:tcBorders>
            <w:shd w:val="clear" w:color="auto" w:fill="auto"/>
            <w:vAlign w:val="center"/>
          </w:tcPr>
          <w:p w14:paraId="2E4CAEE1">
            <w:pPr>
              <w:keepNext w:val="0"/>
              <w:keepLines w:val="0"/>
              <w:pageBreakBefore w:val="0"/>
              <w:widowControl/>
              <w:numPr>
                <w:ilvl w:val="0"/>
                <w:numId w:val="0"/>
              </w:numPr>
              <w:kinsoku/>
              <w:wordWrap/>
              <w:overflowPunct/>
              <w:topLinePunct w:val="0"/>
              <w:autoSpaceDE/>
              <w:autoSpaceDN/>
              <w:bidi w:val="0"/>
              <w:adjustRightInd/>
              <w:snapToGrid/>
              <w:spacing w:line="400" w:lineRule="exact"/>
              <w:ind w:left="0" w:leftChars="0" w:firstLine="0" w:firstLineChars="0"/>
              <w:jc w:val="left"/>
              <w:textAlignment w:val="auto"/>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提供所投产品的检测报告原件关键页扫描件（依据标准GA/T 1127-2013等现行国家标准）。</w:t>
            </w:r>
          </w:p>
        </w:tc>
      </w:tr>
      <w:tr w14:paraId="39DC54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6FF0F76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6F8DBF45">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487A6FE1">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jc w:val="left"/>
              <w:textAlignment w:val="top"/>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★3.具备H.265、H.264、MJPEG视频编码格式，音频编码：G.711、AAC。</w:t>
            </w:r>
          </w:p>
        </w:tc>
        <w:tc>
          <w:tcPr>
            <w:tcW w:w="3796" w:type="dxa"/>
            <w:tcBorders>
              <w:tl2br w:val="nil"/>
              <w:tr2bl w:val="nil"/>
            </w:tcBorders>
            <w:shd w:val="clear" w:color="auto" w:fill="auto"/>
            <w:vAlign w:val="center"/>
          </w:tcPr>
          <w:p w14:paraId="1818A273">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提供原厂公开技术文档（白皮书、彩页、官网规格页截图及链接地址）。</w:t>
            </w:r>
          </w:p>
        </w:tc>
      </w:tr>
      <w:tr w14:paraId="1E8825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03A4AF5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0E1D7D68">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530B88AF">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★4.具备最低照度彩色不劣于0.005Lux，黑白不劣于0.0005Lux。</w:t>
            </w:r>
          </w:p>
        </w:tc>
        <w:tc>
          <w:tcPr>
            <w:tcW w:w="3796" w:type="dxa"/>
            <w:tcBorders>
              <w:tl2br w:val="nil"/>
              <w:tr2bl w:val="nil"/>
            </w:tcBorders>
            <w:shd w:val="clear" w:color="auto" w:fill="auto"/>
            <w:vAlign w:val="center"/>
          </w:tcPr>
          <w:p w14:paraId="559BDFB3">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提供第三方机构出具的具有CMA标志的检测报告（依据标准</w:t>
            </w:r>
            <w:r>
              <w:rPr>
                <w:rFonts w:hint="eastAsia" w:ascii="宋体" w:hAnsi="宋体" w:eastAsia="宋体" w:cs="宋体"/>
                <w:b w:val="0"/>
                <w:bCs w:val="0"/>
                <w:i w:val="0"/>
                <w:iCs w:val="0"/>
                <w:color w:val="auto"/>
                <w:kern w:val="0"/>
                <w:sz w:val="21"/>
                <w:szCs w:val="21"/>
                <w:highlight w:val="none"/>
                <w:u w:val="none"/>
                <w:lang w:val="en-US" w:eastAsia="zh-CN" w:bidi="ar"/>
              </w:rPr>
              <w:t>GA/T 1127-2013或</w:t>
            </w:r>
            <w:r>
              <w:rPr>
                <w:rFonts w:hint="eastAsia" w:ascii="宋体" w:hAnsi="宋体" w:eastAsia="宋体" w:cs="宋体"/>
                <w:b w:val="0"/>
                <w:bCs w:val="0"/>
                <w:i w:val="0"/>
                <w:iCs w:val="0"/>
                <w:color w:val="auto"/>
                <w:sz w:val="21"/>
                <w:szCs w:val="21"/>
                <w:highlight w:val="none"/>
                <w:u w:val="none"/>
                <w:lang w:val="en-US" w:eastAsia="zh-CN" w:bidi="ar"/>
              </w:rPr>
              <w:t>GB 16796-2022</w:t>
            </w:r>
            <w:r>
              <w:rPr>
                <w:rFonts w:hint="eastAsia" w:ascii="宋体" w:hAnsi="宋体" w:eastAsia="宋体" w:cs="宋体"/>
                <w:b w:val="0"/>
                <w:bCs w:val="0"/>
                <w:color w:val="auto"/>
                <w:sz w:val="21"/>
                <w:szCs w:val="21"/>
                <w:highlight w:val="none"/>
                <w:u w:val="none"/>
                <w:lang w:bidi="ar"/>
              </w:rPr>
              <w:t>或GB/T 15211-2013</w:t>
            </w:r>
            <w:r>
              <w:rPr>
                <w:rFonts w:hint="eastAsia" w:ascii="宋体" w:hAnsi="宋体" w:eastAsia="宋体" w:cs="宋体"/>
                <w:b w:val="0"/>
                <w:bCs w:val="0"/>
                <w:i w:val="0"/>
                <w:iCs w:val="0"/>
                <w:color w:val="auto"/>
                <w:sz w:val="21"/>
                <w:szCs w:val="21"/>
                <w:highlight w:val="none"/>
                <w:u w:val="none"/>
                <w:lang w:val="en-US" w:eastAsia="zh-CN" w:bidi="ar"/>
              </w:rPr>
              <w:t>等现行国家标准）</w:t>
            </w:r>
            <w:r>
              <w:rPr>
                <w:rFonts w:hint="eastAsia" w:ascii="宋体" w:hAnsi="宋体" w:eastAsia="宋体" w:cs="宋体"/>
                <w:b w:val="0"/>
                <w:bCs w:val="0"/>
                <w:color w:val="auto"/>
                <w:sz w:val="21"/>
                <w:szCs w:val="21"/>
                <w:highlight w:val="none"/>
                <w:u w:val="none"/>
                <w:lang w:val="en-US" w:eastAsia="zh-CN" w:bidi="ar"/>
              </w:rPr>
              <w:t>。</w:t>
            </w:r>
          </w:p>
        </w:tc>
      </w:tr>
      <w:tr w14:paraId="29A663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487DB48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4EA8CACA">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38CB84C6">
            <w:pPr>
              <w:keepNext w:val="0"/>
              <w:keepLines w:val="0"/>
              <w:pageBreakBefore w:val="0"/>
              <w:widowControl/>
              <w:numPr>
                <w:ilvl w:val="0"/>
                <w:numId w:val="0"/>
              </w:numPr>
              <w:kinsoku/>
              <w:wordWrap/>
              <w:overflowPunct/>
              <w:topLinePunct w:val="0"/>
              <w:autoSpaceDE/>
              <w:autoSpaceDN/>
              <w:bidi w:val="0"/>
              <w:adjustRightInd/>
              <w:snapToGrid/>
              <w:spacing w:line="400" w:lineRule="exact"/>
              <w:ind w:left="0" w:leftChars="0" w:firstLine="0" w:firstLineChars="0"/>
              <w:jc w:val="left"/>
              <w:textAlignment w:val="auto"/>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color w:val="auto"/>
                <w:kern w:val="0"/>
                <w:sz w:val="21"/>
                <w:szCs w:val="21"/>
                <w:highlight w:val="none"/>
              </w:rPr>
              <w:t>★</w:t>
            </w:r>
            <w:r>
              <w:rPr>
                <w:rFonts w:hint="eastAsia" w:ascii="宋体" w:hAnsi="宋体" w:eastAsia="宋体" w:cs="宋体"/>
                <w:b w:val="0"/>
                <w:bCs w:val="0"/>
                <w:color w:val="auto"/>
                <w:kern w:val="0"/>
                <w:sz w:val="21"/>
                <w:szCs w:val="21"/>
                <w:highlight w:val="none"/>
                <w:lang w:val="en-US" w:eastAsia="zh-CN"/>
              </w:rPr>
              <w:t>6.</w:t>
            </w:r>
            <w:r>
              <w:rPr>
                <w:rFonts w:hint="eastAsia" w:ascii="宋体" w:hAnsi="宋体" w:eastAsia="宋体" w:cs="宋体"/>
                <w:i w:val="0"/>
                <w:iCs w:val="0"/>
                <w:color w:val="auto"/>
                <w:kern w:val="0"/>
                <w:sz w:val="21"/>
                <w:szCs w:val="21"/>
                <w:highlight w:val="none"/>
                <w:u w:val="none"/>
                <w:lang w:val="en-US" w:eastAsia="zh-CN" w:bidi="ar"/>
              </w:rPr>
              <w:t>支持物品遗留；物品搬移</w:t>
            </w:r>
            <w:r>
              <w:rPr>
                <w:rFonts w:hint="eastAsia" w:ascii="宋体" w:hAnsi="宋体" w:eastAsia="宋体" w:cs="宋体"/>
                <w:b w:val="0"/>
                <w:bCs w:val="0"/>
                <w:color w:val="auto"/>
                <w:kern w:val="0"/>
                <w:sz w:val="21"/>
                <w:szCs w:val="21"/>
                <w:highlight w:val="none"/>
              </w:rPr>
              <w:t>。</w:t>
            </w:r>
          </w:p>
        </w:tc>
        <w:tc>
          <w:tcPr>
            <w:tcW w:w="3796" w:type="dxa"/>
            <w:tcBorders>
              <w:tl2br w:val="nil"/>
              <w:tr2bl w:val="nil"/>
            </w:tcBorders>
            <w:shd w:val="clear" w:color="auto" w:fill="auto"/>
            <w:vAlign w:val="center"/>
          </w:tcPr>
          <w:p w14:paraId="4854AB6A">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提供原厂公开技术文档（白皮书、彩页、官网规格页截图及链接地址）</w:t>
            </w:r>
          </w:p>
        </w:tc>
      </w:tr>
      <w:tr w14:paraId="1EC6D1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3F05318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4621E7EF">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1B9AFFF8">
            <w:pPr>
              <w:keepNext w:val="0"/>
              <w:keepLines w:val="0"/>
              <w:pageBreakBefore w:val="0"/>
              <w:widowControl/>
              <w:numPr>
                <w:ilvl w:val="0"/>
                <w:numId w:val="0"/>
              </w:numPr>
              <w:kinsoku/>
              <w:wordWrap/>
              <w:overflowPunct/>
              <w:topLinePunct w:val="0"/>
              <w:autoSpaceDE/>
              <w:autoSpaceDN/>
              <w:bidi w:val="0"/>
              <w:adjustRightInd/>
              <w:snapToGrid/>
              <w:spacing w:line="400" w:lineRule="exact"/>
              <w:ind w:left="0" w:leftChars="0" w:firstLine="0" w:firstLineChars="0"/>
              <w:jc w:val="left"/>
              <w:textAlignment w:val="auto"/>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color w:val="auto"/>
                <w:kern w:val="0"/>
                <w:sz w:val="21"/>
                <w:szCs w:val="21"/>
                <w:highlight w:val="none"/>
                <w:lang w:val="en-US" w:eastAsia="zh-CN"/>
              </w:rPr>
              <w:t>★8.内置MIC。</w:t>
            </w:r>
          </w:p>
        </w:tc>
        <w:tc>
          <w:tcPr>
            <w:tcW w:w="3796" w:type="dxa"/>
            <w:tcBorders>
              <w:tl2br w:val="nil"/>
              <w:tr2bl w:val="nil"/>
            </w:tcBorders>
            <w:shd w:val="clear" w:color="auto" w:fill="auto"/>
            <w:vAlign w:val="center"/>
          </w:tcPr>
          <w:p w14:paraId="4BF76C6F">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color w:val="auto"/>
                <w:kern w:val="0"/>
                <w:sz w:val="21"/>
                <w:szCs w:val="21"/>
                <w:highlight w:val="none"/>
                <w:lang w:val="en-US" w:eastAsia="zh-CN"/>
              </w:rPr>
              <w:t>提供承诺函或提供承诺函或提供原厂公开技术文档（白皮书、彩页、官网规格页截图及链接地址均可）。</w:t>
            </w:r>
          </w:p>
        </w:tc>
      </w:tr>
      <w:tr w14:paraId="597947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358A21C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0709B2A9">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1031DFD2">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color w:val="auto"/>
                <w:kern w:val="0"/>
                <w:sz w:val="21"/>
                <w:szCs w:val="21"/>
                <w:highlight w:val="none"/>
              </w:rPr>
              <w:t>★</w:t>
            </w:r>
            <w:r>
              <w:rPr>
                <w:rFonts w:hint="eastAsia" w:ascii="宋体" w:hAnsi="宋体" w:eastAsia="宋体" w:cs="宋体"/>
                <w:b w:val="0"/>
                <w:bCs w:val="0"/>
                <w:color w:val="auto"/>
                <w:kern w:val="0"/>
                <w:sz w:val="21"/>
                <w:szCs w:val="21"/>
                <w:highlight w:val="none"/>
                <w:lang w:val="en-US" w:eastAsia="zh-CN"/>
              </w:rPr>
              <w:t>12.</w:t>
            </w:r>
            <w:r>
              <w:rPr>
                <w:rFonts w:hint="eastAsia" w:ascii="宋体" w:hAnsi="宋体" w:eastAsia="宋体" w:cs="宋体"/>
                <w:b w:val="0"/>
                <w:bCs w:val="0"/>
                <w:color w:val="auto"/>
                <w:kern w:val="0"/>
                <w:sz w:val="21"/>
                <w:szCs w:val="21"/>
                <w:highlight w:val="none"/>
              </w:rPr>
              <w:t>具备POE供电功能。</w:t>
            </w:r>
          </w:p>
        </w:tc>
        <w:tc>
          <w:tcPr>
            <w:tcW w:w="3796" w:type="dxa"/>
            <w:tcBorders>
              <w:tl2br w:val="nil"/>
              <w:tr2bl w:val="nil"/>
            </w:tcBorders>
            <w:shd w:val="clear" w:color="auto" w:fill="auto"/>
            <w:vAlign w:val="center"/>
          </w:tcPr>
          <w:p w14:paraId="4AC6B18A">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提供原厂公开技术文档（白皮书、彩页、官网规格页截图及链接地址均可）。</w:t>
            </w:r>
          </w:p>
        </w:tc>
      </w:tr>
      <w:tr w14:paraId="42A618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50E8AA6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36529C84">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6CFE120E">
            <w:pPr>
              <w:pStyle w:val="15"/>
              <w:keepNext w:val="0"/>
              <w:keepLines w:val="0"/>
              <w:pageBreakBefore w:val="0"/>
              <w:kinsoku/>
              <w:wordWrap/>
              <w:overflowPunct/>
              <w:topLinePunct w:val="0"/>
              <w:autoSpaceDE/>
              <w:autoSpaceDN/>
              <w:bidi w:val="0"/>
              <w:adjustRightInd/>
              <w:snapToGrid/>
              <w:spacing w:line="400" w:lineRule="exact"/>
              <w:ind w:left="0" w:leftChars="0"/>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color w:val="auto"/>
                <w:sz w:val="21"/>
                <w:szCs w:val="21"/>
                <w:highlight w:val="none"/>
                <w:lang w:bidi="ar"/>
              </w:rPr>
              <w:t>★</w:t>
            </w:r>
            <w:r>
              <w:rPr>
                <w:rFonts w:hint="eastAsia" w:ascii="宋体" w:hAnsi="宋体" w:eastAsia="宋体" w:cs="宋体"/>
                <w:b w:val="0"/>
                <w:bCs w:val="0"/>
                <w:color w:val="auto"/>
                <w:sz w:val="21"/>
                <w:szCs w:val="21"/>
                <w:highlight w:val="none"/>
                <w:lang w:val="en-US" w:eastAsia="zh-CN" w:bidi="ar"/>
              </w:rPr>
              <w:t>13.</w:t>
            </w:r>
            <w:r>
              <w:rPr>
                <w:rFonts w:hint="eastAsia" w:ascii="宋体" w:hAnsi="宋体" w:eastAsia="宋体" w:cs="宋体"/>
                <w:b w:val="0"/>
                <w:bCs w:val="0"/>
                <w:i w:val="0"/>
                <w:iCs w:val="0"/>
                <w:color w:val="auto"/>
                <w:kern w:val="0"/>
                <w:sz w:val="21"/>
                <w:szCs w:val="21"/>
                <w:highlight w:val="none"/>
                <w:u w:val="none"/>
                <w:lang w:val="en-US" w:eastAsia="zh-CN" w:bidi="ar"/>
              </w:rPr>
              <w:t>提供SD或TF卡槽。</w:t>
            </w:r>
          </w:p>
        </w:tc>
        <w:tc>
          <w:tcPr>
            <w:tcW w:w="3796" w:type="dxa"/>
            <w:tcBorders>
              <w:tl2br w:val="nil"/>
              <w:tr2bl w:val="nil"/>
            </w:tcBorders>
            <w:shd w:val="clear" w:color="auto" w:fill="auto"/>
            <w:vAlign w:val="center"/>
          </w:tcPr>
          <w:p w14:paraId="48BF8A96">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承诺可通过加装安全加密卡对接公安视频数据加密平台、实现安全升级以符合GB35114A级标准对前端面摄像机基于数字证书的双向身份认证功能，提供承诺函（格式自拟）。</w:t>
            </w:r>
          </w:p>
        </w:tc>
      </w:tr>
      <w:tr w14:paraId="7D653A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6257B0C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4DB8C2C8">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41182E8F">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leftChars="0" w:firstLine="0" w:firstLineChars="0"/>
              <w:jc w:val="left"/>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★16.符合GB/T 28181、Onvif、IPv4/IPv6协议标准。</w:t>
            </w:r>
          </w:p>
        </w:tc>
        <w:tc>
          <w:tcPr>
            <w:tcW w:w="3796" w:type="dxa"/>
            <w:tcBorders>
              <w:tl2br w:val="nil"/>
              <w:tr2bl w:val="nil"/>
            </w:tcBorders>
            <w:shd w:val="clear" w:color="auto" w:fill="auto"/>
            <w:vAlign w:val="center"/>
          </w:tcPr>
          <w:p w14:paraId="06D6305F">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提供所投产品原厂公开技术文档（白皮书、彩页、官网规格页截图及链接地址）或提供承诺函（格式自拟）</w:t>
            </w:r>
            <w:r>
              <w:rPr>
                <w:rFonts w:hint="eastAsia" w:ascii="宋体" w:hAnsi="宋体" w:eastAsia="宋体" w:cs="宋体"/>
                <w:b w:val="0"/>
                <w:bCs w:val="0"/>
                <w:color w:val="auto"/>
                <w:sz w:val="21"/>
                <w:szCs w:val="21"/>
                <w:highlight w:val="none"/>
                <w:u w:val="none"/>
                <w:lang w:val="en-US" w:eastAsia="zh-CN" w:bidi="ar"/>
              </w:rPr>
              <w:t>。</w:t>
            </w:r>
          </w:p>
        </w:tc>
      </w:tr>
      <w:tr w14:paraId="74AEDD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restart"/>
            <w:tcBorders>
              <w:tl2br w:val="nil"/>
              <w:tr2bl w:val="nil"/>
            </w:tcBorders>
            <w:shd w:val="clear" w:color="auto" w:fill="auto"/>
            <w:vAlign w:val="center"/>
          </w:tcPr>
          <w:p w14:paraId="4C2667C7">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default" w:asciiTheme="minorEastAsia" w:hAnsiTheme="minorEastAsia" w:eastAsiaTheme="minorEastAsia" w:cstheme="minorEastAsia"/>
                <w:b/>
                <w:bCs/>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7</w:t>
            </w:r>
          </w:p>
        </w:tc>
        <w:tc>
          <w:tcPr>
            <w:tcW w:w="1438" w:type="dxa"/>
            <w:vMerge w:val="restart"/>
            <w:tcBorders>
              <w:tl2br w:val="nil"/>
              <w:tr2bl w:val="nil"/>
            </w:tcBorders>
            <w:shd w:val="clear" w:color="auto" w:fill="auto"/>
            <w:vAlign w:val="center"/>
          </w:tcPr>
          <w:p w14:paraId="1CDFAB7F">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48盘位存储</w:t>
            </w:r>
          </w:p>
        </w:tc>
        <w:tc>
          <w:tcPr>
            <w:tcW w:w="2800" w:type="dxa"/>
            <w:tcBorders>
              <w:tl2br w:val="nil"/>
              <w:tr2bl w:val="nil"/>
            </w:tcBorders>
            <w:shd w:val="clear" w:color="auto" w:fill="auto"/>
            <w:vAlign w:val="center"/>
          </w:tcPr>
          <w:p w14:paraId="713C4F75">
            <w:pPr>
              <w:keepNext w:val="0"/>
              <w:keepLines w:val="0"/>
              <w:pageBreakBefore w:val="0"/>
              <w:widowControl/>
              <w:numPr>
                <w:ilvl w:val="0"/>
                <w:numId w:val="72"/>
              </w:numPr>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性能与业务能力</w:t>
            </w:r>
          </w:p>
          <w:p w14:paraId="21697A3E">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leftChars="0" w:firstLine="0" w:firstLineChars="0"/>
              <w:jc w:val="left"/>
              <w:textAlignment w:val="top"/>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i w:val="0"/>
                <w:iCs w:val="0"/>
                <w:color w:val="auto"/>
                <w:sz w:val="21"/>
                <w:szCs w:val="21"/>
                <w:highlight w:val="none"/>
                <w:u w:val="none"/>
                <w:lang w:val="en-US" w:eastAsia="zh-CN" w:bidi="ar"/>
              </w:rPr>
              <w:t>★</w:t>
            </w:r>
            <w:r>
              <w:rPr>
                <w:rFonts w:hint="eastAsia" w:ascii="宋体" w:hAnsi="宋体" w:eastAsia="宋体" w:cs="宋体"/>
                <w:color w:val="auto"/>
                <w:sz w:val="21"/>
                <w:szCs w:val="21"/>
                <w:highlight w:val="none"/>
                <w:lang w:val="en-US" w:eastAsia="zh-CN"/>
              </w:rPr>
              <w:t>5.音视频处理性能：最大并发 写入（存储+转发）带宽 ≥ 2048 Mbps；最大并发 回放带宽 ≥ 1024 Mbps。 注：性能指标应基于 H.264/H.265 主码流实测值，不含压缩比虚标。</w:t>
            </w:r>
          </w:p>
        </w:tc>
        <w:tc>
          <w:tcPr>
            <w:tcW w:w="3796" w:type="dxa"/>
            <w:tcBorders>
              <w:tl2br w:val="nil"/>
              <w:tr2bl w:val="nil"/>
            </w:tcBorders>
            <w:shd w:val="clear" w:color="auto" w:fill="auto"/>
            <w:vAlign w:val="center"/>
          </w:tcPr>
          <w:p w14:paraId="045FB5C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bCs/>
                <w:color w:val="auto"/>
                <w:kern w:val="0"/>
                <w:sz w:val="21"/>
                <w:szCs w:val="21"/>
                <w:highlight w:val="none"/>
                <w:lang w:val="en-US" w:eastAsia="zh-CN" w:bidi="ar"/>
              </w:rPr>
              <w:t>提供原厂公开技术文档（白皮书、彩页、官网规格页截图及链接地址均可）</w:t>
            </w:r>
            <w:r>
              <w:rPr>
                <w:rFonts w:hint="eastAsia" w:ascii="宋体" w:hAnsi="宋体" w:eastAsia="宋体" w:cs="宋体"/>
                <w:color w:val="auto"/>
                <w:sz w:val="21"/>
                <w:szCs w:val="21"/>
                <w:highlight w:val="none"/>
                <w:lang w:val="en-US" w:eastAsia="zh-CN"/>
              </w:rPr>
              <w:t>。</w:t>
            </w:r>
          </w:p>
        </w:tc>
      </w:tr>
      <w:tr w14:paraId="5947B6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5F4C815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445638D5">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5FC94BD7">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jc w:val="left"/>
              <w:textAlignment w:val="top"/>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i w:val="0"/>
                <w:iCs w:val="0"/>
                <w:color w:val="auto"/>
                <w:sz w:val="21"/>
                <w:szCs w:val="21"/>
                <w:highlight w:val="none"/>
                <w:u w:val="none"/>
                <w:lang w:val="en-US" w:eastAsia="zh-CN" w:bidi="ar"/>
              </w:rPr>
              <w:t>★</w:t>
            </w:r>
            <w:r>
              <w:rPr>
                <w:rFonts w:hint="eastAsia" w:ascii="宋体" w:hAnsi="宋体" w:eastAsia="宋体" w:cs="宋体"/>
                <w:color w:val="auto"/>
                <w:sz w:val="21"/>
                <w:szCs w:val="21"/>
                <w:highlight w:val="none"/>
                <w:lang w:val="en-US" w:eastAsia="zh-CN"/>
              </w:rPr>
              <w:t>6.直存与协议支持：支持 视频流与图片流直写存储（即前端IPC/NVR通过标准协议直接写入存储，无需中间服务器）；支持标准协议接入：ONVIF、GB/T 28181、RTSP、RTP、PSIA、SIP；支持 IPv4/IPv6 双栈网络。</w:t>
            </w:r>
          </w:p>
        </w:tc>
        <w:tc>
          <w:tcPr>
            <w:tcW w:w="3796" w:type="dxa"/>
            <w:tcBorders>
              <w:tl2br w:val="nil"/>
              <w:tr2bl w:val="nil"/>
            </w:tcBorders>
            <w:shd w:val="clear" w:color="auto" w:fill="auto"/>
            <w:vAlign w:val="center"/>
          </w:tcPr>
          <w:p w14:paraId="7110383B">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bCs/>
                <w:color w:val="auto"/>
                <w:kern w:val="0"/>
                <w:sz w:val="21"/>
                <w:szCs w:val="21"/>
                <w:highlight w:val="none"/>
                <w:lang w:val="en-US" w:eastAsia="zh-CN" w:bidi="ar"/>
              </w:rPr>
              <w:t>提供原厂公开技术文档（白皮书、彩页、官网规格页截图及链接地址均可）</w:t>
            </w:r>
            <w:r>
              <w:rPr>
                <w:rFonts w:hint="eastAsia" w:ascii="宋体" w:hAnsi="宋体" w:eastAsia="宋体" w:cs="宋体"/>
                <w:color w:val="auto"/>
                <w:sz w:val="21"/>
                <w:szCs w:val="21"/>
                <w:highlight w:val="none"/>
                <w:lang w:val="en-US" w:eastAsia="zh-CN"/>
              </w:rPr>
              <w:t>。</w:t>
            </w:r>
          </w:p>
        </w:tc>
      </w:tr>
      <w:tr w14:paraId="03703B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0FD4F52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4047773C">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7AB8DEDA">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w:t>
            </w:r>
            <w:r>
              <w:rPr>
                <w:rFonts w:hint="eastAsia" w:ascii="宋体" w:hAnsi="宋体" w:eastAsia="宋体" w:cs="宋体"/>
                <w:color w:val="auto"/>
                <w:sz w:val="21"/>
                <w:szCs w:val="21"/>
                <w:highlight w:val="none"/>
                <w:lang w:val="en-US" w:eastAsia="zh-CN"/>
              </w:rPr>
              <w:t>四、数据保护与可靠性。</w:t>
            </w:r>
          </w:p>
          <w:p w14:paraId="3DEFFAA3">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jc w:val="left"/>
              <w:textAlignment w:val="top"/>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color w:val="auto"/>
                <w:sz w:val="21"/>
                <w:szCs w:val="21"/>
                <w:highlight w:val="none"/>
                <w:lang w:val="en-US" w:eastAsia="zh-CN"/>
              </w:rPr>
              <w:t>8. RAID 与热备：支持 RAID 0/1/3/5/6/10/50/60 及 JBOD 模式；支持 全局热备盘（Global Hot Spare）与局部热备盘（Dedicated Hot Spare），故障硬盘自动重建。</w:t>
            </w:r>
          </w:p>
        </w:tc>
        <w:tc>
          <w:tcPr>
            <w:tcW w:w="3796" w:type="dxa"/>
            <w:vMerge w:val="restart"/>
            <w:tcBorders>
              <w:tl2br w:val="nil"/>
              <w:tr2bl w:val="nil"/>
            </w:tcBorders>
            <w:shd w:val="clear" w:color="auto" w:fill="auto"/>
            <w:vAlign w:val="center"/>
          </w:tcPr>
          <w:p w14:paraId="72958D3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color w:val="auto"/>
                <w:sz w:val="21"/>
                <w:szCs w:val="21"/>
                <w:highlight w:val="none"/>
                <w:lang w:val="en-US" w:eastAsia="zh-CN"/>
              </w:rPr>
              <w:t>（本部分每一条参数均要</w:t>
            </w:r>
            <w:r>
              <w:rPr>
                <w:rFonts w:hint="eastAsia" w:ascii="宋体" w:hAnsi="宋体" w:eastAsia="宋体" w:cs="宋体"/>
                <w:b/>
                <w:bCs/>
                <w:color w:val="auto"/>
                <w:kern w:val="0"/>
                <w:sz w:val="21"/>
                <w:szCs w:val="21"/>
                <w:highlight w:val="none"/>
                <w:lang w:val="en-US" w:eastAsia="zh-CN" w:bidi="ar"/>
              </w:rPr>
              <w:t>提供原厂公开技术文档（白皮书、彩页、官网规格页截图及链接地址均可）</w:t>
            </w:r>
          </w:p>
        </w:tc>
      </w:tr>
      <w:tr w14:paraId="122210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112D8CA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77A7D5D9">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577F5A8F">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jc w:val="left"/>
              <w:textAlignment w:val="top"/>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color w:val="auto"/>
                <w:sz w:val="21"/>
                <w:szCs w:val="21"/>
                <w:highlight w:val="none"/>
                <w:lang w:val="en-US" w:eastAsia="zh-CN"/>
              </w:rPr>
              <w:t>9. 数据可靠性技术：支持 纠删码（Erasure Coding）或同等数据冗余技术，在多盘故障场景下仍可保障数据可恢复性（适用于高可靠部署）。</w:t>
            </w:r>
          </w:p>
        </w:tc>
        <w:tc>
          <w:tcPr>
            <w:tcW w:w="3796" w:type="dxa"/>
            <w:vMerge w:val="continue"/>
            <w:tcBorders>
              <w:tl2br w:val="nil"/>
              <w:tr2bl w:val="nil"/>
            </w:tcBorders>
            <w:shd w:val="clear" w:color="auto" w:fill="auto"/>
            <w:vAlign w:val="center"/>
          </w:tcPr>
          <w:p w14:paraId="3C2AA07C">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r>
      <w:tr w14:paraId="243B6C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69E14ED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5A6DD44D">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5013A11C">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jc w:val="left"/>
              <w:textAlignment w:val="top"/>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color w:val="auto"/>
                <w:sz w:val="21"/>
                <w:szCs w:val="21"/>
                <w:highlight w:val="none"/>
                <w:lang w:val="en-US" w:eastAsia="zh-CN"/>
              </w:rPr>
              <w:t>10. 硬件与系统监控告警：设备应能对以下异常事件主动告警（至少支持平台推送）：IP/MAC 地址冲突；网口速率降级（如千兆降至百兆）；电源、风扇、电池故障；无硬盘、RAID 异常、存储空间满；录像丢帧、SSD 健康度预警；无热备盘、网络安全异常（如非法登录锁定）。</w:t>
            </w:r>
          </w:p>
        </w:tc>
        <w:tc>
          <w:tcPr>
            <w:tcW w:w="3796" w:type="dxa"/>
            <w:vMerge w:val="continue"/>
            <w:tcBorders>
              <w:tl2br w:val="nil"/>
              <w:tr2bl w:val="nil"/>
            </w:tcBorders>
            <w:shd w:val="clear" w:color="auto" w:fill="auto"/>
            <w:vAlign w:val="center"/>
          </w:tcPr>
          <w:p w14:paraId="3AEF1FF0">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r>
      <w:tr w14:paraId="710E0E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79285AE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67B243AD">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03BC0D9A">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color w:val="auto"/>
                <w:sz w:val="21"/>
                <w:szCs w:val="21"/>
                <w:highlight w:val="none"/>
                <w:lang w:val="en-US" w:eastAsia="zh-CN"/>
              </w:rPr>
              <w:t>★12. 强制性认证：所投设备须具备以下有效期CCC 证书清晰扫描件和节能认证证书扫描件。</w:t>
            </w:r>
          </w:p>
        </w:tc>
        <w:tc>
          <w:tcPr>
            <w:tcW w:w="3796" w:type="dxa"/>
            <w:tcBorders>
              <w:tl2br w:val="nil"/>
              <w:tr2bl w:val="nil"/>
            </w:tcBorders>
            <w:shd w:val="clear" w:color="auto" w:fill="auto"/>
            <w:vAlign w:val="center"/>
          </w:tcPr>
          <w:p w14:paraId="1927CF8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color w:val="auto"/>
                <w:sz w:val="21"/>
                <w:szCs w:val="21"/>
                <w:highlight w:val="none"/>
                <w:lang w:val="en-US" w:eastAsia="zh-CN"/>
              </w:rPr>
              <w:t>所投设备须具备以下有效期CCC 证书清晰扫描件和节能认证证书扫描件。</w:t>
            </w:r>
          </w:p>
        </w:tc>
      </w:tr>
      <w:tr w14:paraId="5D0982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3C65C34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33FE53FC">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40C2FC8D">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leftChars="0" w:firstLine="0" w:firstLineChars="0"/>
              <w:jc w:val="left"/>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w:t>
            </w:r>
            <w:r>
              <w:rPr>
                <w:rFonts w:hint="eastAsia" w:ascii="宋体" w:hAnsi="宋体" w:eastAsia="宋体" w:cs="宋体"/>
                <w:color w:val="auto"/>
                <w:kern w:val="0"/>
                <w:sz w:val="21"/>
                <w:szCs w:val="21"/>
                <w:highlight w:val="none"/>
                <w:lang w:val="en-US" w:eastAsia="zh-CN" w:bidi="ar"/>
              </w:rPr>
              <w:t>13</w:t>
            </w:r>
            <w:r>
              <w:rPr>
                <w:rFonts w:hint="eastAsia" w:ascii="宋体" w:hAnsi="宋体" w:eastAsia="宋体" w:cs="宋体"/>
                <w:color w:val="auto"/>
                <w:kern w:val="0"/>
                <w:sz w:val="21"/>
                <w:szCs w:val="21"/>
                <w:highlight w:val="none"/>
                <w:lang w:bidi="ar"/>
              </w:rPr>
              <w:t>、支持Onvif、RTSP协议接入，支持国标GB28181接入 。</w:t>
            </w:r>
          </w:p>
        </w:tc>
        <w:tc>
          <w:tcPr>
            <w:tcW w:w="3796" w:type="dxa"/>
            <w:tcBorders>
              <w:tl2br w:val="nil"/>
              <w:tr2bl w:val="nil"/>
            </w:tcBorders>
            <w:shd w:val="clear" w:color="auto" w:fill="auto"/>
            <w:vAlign w:val="center"/>
          </w:tcPr>
          <w:p w14:paraId="58608203">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bCs/>
                <w:color w:val="auto"/>
                <w:kern w:val="0"/>
                <w:sz w:val="21"/>
                <w:szCs w:val="21"/>
                <w:highlight w:val="none"/>
                <w:lang w:val="en-US" w:eastAsia="zh-CN" w:bidi="ar"/>
              </w:rPr>
              <w:t>提供原厂公开技术文档（白皮书、彩页、官网规格页截图及链接地址均可）。</w:t>
            </w:r>
          </w:p>
        </w:tc>
      </w:tr>
      <w:tr w14:paraId="537AC5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37" w:type="dxa"/>
            <w:vMerge w:val="restart"/>
            <w:tcBorders>
              <w:tl2br w:val="nil"/>
              <w:tr2bl w:val="nil"/>
            </w:tcBorders>
            <w:shd w:val="clear" w:color="auto" w:fill="auto"/>
            <w:vAlign w:val="center"/>
          </w:tcPr>
          <w:p w14:paraId="5BF9F2F5">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default" w:asciiTheme="minorEastAsia" w:hAnsiTheme="minorEastAsia" w:eastAsiaTheme="minorEastAsia" w:cstheme="minorEastAsia"/>
                <w:i w:val="0"/>
                <w:iCs w:val="0"/>
                <w:color w:val="auto"/>
                <w:kern w:val="2"/>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9</w:t>
            </w:r>
          </w:p>
        </w:tc>
        <w:tc>
          <w:tcPr>
            <w:tcW w:w="1438" w:type="dxa"/>
            <w:vMerge w:val="restart"/>
            <w:tcBorders>
              <w:tl2br w:val="nil"/>
              <w:tr2bl w:val="nil"/>
            </w:tcBorders>
            <w:shd w:val="clear" w:color="auto" w:fill="auto"/>
            <w:vAlign w:val="center"/>
          </w:tcPr>
          <w:p w14:paraId="6A0266E9">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2"/>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24口POE交换机</w:t>
            </w:r>
          </w:p>
        </w:tc>
        <w:tc>
          <w:tcPr>
            <w:tcW w:w="2800" w:type="dxa"/>
            <w:tcBorders>
              <w:tl2br w:val="nil"/>
              <w:tr2bl w:val="nil"/>
            </w:tcBorders>
            <w:shd w:val="clear" w:color="auto" w:fill="auto"/>
            <w:vAlign w:val="center"/>
          </w:tcPr>
          <w:p w14:paraId="25028AC0">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color w:val="auto"/>
                <w:sz w:val="21"/>
                <w:szCs w:val="21"/>
                <w:highlight w:val="none"/>
                <w:lang w:val="en-US" w:eastAsia="zh-CN"/>
              </w:rPr>
              <w:t>★1. 端口配置：提供 ≥24 个 10/100/1000M 自适应以太网电口（RJ45），全部支持不低于 IEEE 802.3at（PoE+）；提供 ≥4 个 千兆SFP光口。</w:t>
            </w:r>
          </w:p>
        </w:tc>
        <w:tc>
          <w:tcPr>
            <w:tcW w:w="3796" w:type="dxa"/>
            <w:vMerge w:val="restart"/>
            <w:tcBorders>
              <w:tl2br w:val="nil"/>
              <w:tr2bl w:val="nil"/>
            </w:tcBorders>
            <w:shd w:val="clear" w:color="auto" w:fill="auto"/>
            <w:vAlign w:val="center"/>
          </w:tcPr>
          <w:p w14:paraId="0A0B623D">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color w:val="auto"/>
                <w:sz w:val="21"/>
                <w:szCs w:val="21"/>
                <w:highlight w:val="none"/>
                <w:lang w:val="en-US" w:eastAsia="zh-CN"/>
              </w:rPr>
              <w:t>提供原厂公开技术文档（白皮书、彩页、官网规格页截图及链接地址均可）</w:t>
            </w:r>
          </w:p>
        </w:tc>
      </w:tr>
      <w:tr w14:paraId="76A155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73E02962">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7295E5A2">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4DF7210B">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 交换性能：</w:t>
            </w:r>
          </w:p>
          <w:p w14:paraId="2CFD427D">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color w:val="auto"/>
                <w:sz w:val="21"/>
                <w:szCs w:val="21"/>
                <w:highlight w:val="none"/>
                <w:lang w:val="en-US" w:eastAsia="zh-CN"/>
              </w:rPr>
              <w:t>整机交换容量 ≥600 Gbps；整机包转发率 ≥ 120 Mpps。</w:t>
            </w:r>
          </w:p>
        </w:tc>
        <w:tc>
          <w:tcPr>
            <w:tcW w:w="3796" w:type="dxa"/>
            <w:vMerge w:val="continue"/>
            <w:tcBorders>
              <w:tl2br w:val="nil"/>
              <w:tr2bl w:val="nil"/>
            </w:tcBorders>
            <w:shd w:val="clear" w:color="auto" w:fill="auto"/>
            <w:vAlign w:val="center"/>
          </w:tcPr>
          <w:p w14:paraId="4C663E8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r>
      <w:tr w14:paraId="324D3D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5D229D80">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5E95B3B3">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70381A0F">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color w:val="auto"/>
                <w:sz w:val="21"/>
                <w:szCs w:val="21"/>
                <w:highlight w:val="none"/>
                <w:lang w:val="en-US" w:eastAsia="zh-CN"/>
              </w:rPr>
              <w:t>★3. PoE标准与功率：至少支持 IEEE 802.3at（PoE+），同时可POE供电端口≥24个；整机可用PoE功率 ≥ 370W。（实际供电需满足学校使用需求）。</w:t>
            </w:r>
          </w:p>
        </w:tc>
        <w:tc>
          <w:tcPr>
            <w:tcW w:w="3796" w:type="dxa"/>
            <w:tcBorders>
              <w:tl2br w:val="nil"/>
              <w:tr2bl w:val="nil"/>
            </w:tcBorders>
            <w:shd w:val="clear" w:color="auto" w:fill="auto"/>
            <w:vAlign w:val="center"/>
          </w:tcPr>
          <w:p w14:paraId="72D7688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color w:val="auto"/>
                <w:sz w:val="21"/>
                <w:szCs w:val="21"/>
                <w:highlight w:val="none"/>
                <w:lang w:val="en-US" w:eastAsia="zh-CN"/>
              </w:rPr>
              <w:t>提供原厂公开技术文档（白皮书、彩页、官网规格页截图及链接地址均可）</w:t>
            </w:r>
          </w:p>
        </w:tc>
      </w:tr>
      <w:tr w14:paraId="573F07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4DE7819E">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2632FA51">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7A01DE47">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leftChars="0" w:firstLine="0" w:firstLineChars="0"/>
              <w:jc w:val="left"/>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color w:val="auto"/>
                <w:sz w:val="21"/>
                <w:szCs w:val="21"/>
                <w:highlight w:val="none"/>
                <w:lang w:val="en-US" w:eastAsia="zh-CN"/>
              </w:rPr>
              <w:t>★13. 电信设备进网许可（CTA）：所投产品必须具备工业和信息化部核发的有效《电信设备进网许可证》。</w:t>
            </w:r>
          </w:p>
        </w:tc>
        <w:tc>
          <w:tcPr>
            <w:tcW w:w="3796" w:type="dxa"/>
            <w:tcBorders>
              <w:tl2br w:val="nil"/>
              <w:tr2bl w:val="nil"/>
            </w:tcBorders>
            <w:shd w:val="clear" w:color="auto" w:fill="auto"/>
            <w:vAlign w:val="center"/>
          </w:tcPr>
          <w:p w14:paraId="52B5FD8B">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color w:val="auto"/>
                <w:sz w:val="21"/>
                <w:szCs w:val="21"/>
                <w:highlight w:val="none"/>
                <w:lang w:val="en-US" w:eastAsia="zh-CN"/>
              </w:rPr>
              <w:t>投标时须提供：进网许可证清晰扫描件；工信部官网查询结果截图，显示设备型号、生产企业、许可证编号及状态为“有效”。</w:t>
            </w:r>
          </w:p>
        </w:tc>
      </w:tr>
    </w:tbl>
    <w:p w14:paraId="44A7AF06">
      <w:pPr>
        <w:pStyle w:val="6"/>
        <w:numPr>
          <w:ilvl w:val="0"/>
          <w:numId w:val="73"/>
        </w:numPr>
        <w:topLinePunct w:val="0"/>
        <w:ind w:left="0" w:leftChars="0" w:firstLine="0" w:firstLineChars="0"/>
        <w:rPr>
          <w:b w:val="0"/>
        </w:rPr>
      </w:pPr>
      <w:r>
        <w:rPr>
          <w:rFonts w:hint="eastAsia"/>
          <w:lang w:val="en-US" w:eastAsia="zh-CN"/>
        </w:rPr>
        <w:t>常州市实验初级中学</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737"/>
        <w:gridCol w:w="1438"/>
        <w:gridCol w:w="2800"/>
        <w:gridCol w:w="3796"/>
      </w:tblGrid>
      <w:tr w14:paraId="27BF86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37" w:type="dxa"/>
            <w:tcBorders>
              <w:tl2br w:val="nil"/>
              <w:tr2bl w:val="nil"/>
            </w:tcBorders>
            <w:shd w:val="clear" w:color="auto" w:fill="auto"/>
            <w:vAlign w:val="center"/>
          </w:tcPr>
          <w:p w14:paraId="51EFD59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b/>
                <w:bCs/>
                <w:i w:val="0"/>
                <w:iCs w:val="0"/>
                <w:color w:val="auto"/>
                <w:kern w:val="0"/>
                <w:sz w:val="21"/>
                <w:szCs w:val="21"/>
                <w:u w:val="none"/>
                <w:lang w:val="en-US" w:eastAsia="zh-CN" w:bidi="ar"/>
              </w:rPr>
              <w:t>设备序号</w:t>
            </w:r>
          </w:p>
        </w:tc>
        <w:tc>
          <w:tcPr>
            <w:tcW w:w="1438" w:type="dxa"/>
            <w:tcBorders>
              <w:tl2br w:val="nil"/>
              <w:tr2bl w:val="nil"/>
            </w:tcBorders>
            <w:shd w:val="clear" w:color="auto" w:fill="auto"/>
            <w:vAlign w:val="center"/>
          </w:tcPr>
          <w:p w14:paraId="04D83DB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sz w:val="21"/>
                <w:szCs w:val="21"/>
                <w:u w:val="none"/>
                <w:lang w:val="en-US"/>
              </w:rPr>
            </w:pPr>
            <w:r>
              <w:rPr>
                <w:rFonts w:hint="eastAsia" w:asciiTheme="minorEastAsia" w:hAnsiTheme="minorEastAsia" w:eastAsiaTheme="minorEastAsia" w:cstheme="minorEastAsia"/>
                <w:b/>
                <w:bCs/>
                <w:i w:val="0"/>
                <w:iCs w:val="0"/>
                <w:color w:val="auto"/>
                <w:kern w:val="0"/>
                <w:sz w:val="21"/>
                <w:szCs w:val="21"/>
                <w:u w:val="none"/>
                <w:lang w:val="en-US" w:eastAsia="zh-CN" w:bidi="ar"/>
              </w:rPr>
              <w:t>设备名称</w:t>
            </w:r>
          </w:p>
        </w:tc>
        <w:tc>
          <w:tcPr>
            <w:tcW w:w="2800" w:type="dxa"/>
            <w:tcBorders>
              <w:tl2br w:val="nil"/>
              <w:tr2bl w:val="nil"/>
            </w:tcBorders>
            <w:shd w:val="clear" w:color="auto" w:fill="auto"/>
            <w:vAlign w:val="center"/>
          </w:tcPr>
          <w:p w14:paraId="50EEA86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sz w:val="21"/>
                <w:szCs w:val="21"/>
                <w:u w:val="none"/>
                <w:lang w:val="en-US"/>
              </w:rPr>
            </w:pPr>
            <w:r>
              <w:rPr>
                <w:rFonts w:hint="eastAsia" w:asciiTheme="minorEastAsia" w:hAnsiTheme="minorEastAsia" w:eastAsiaTheme="minorEastAsia" w:cstheme="minorEastAsia"/>
                <w:b/>
                <w:bCs/>
                <w:i w:val="0"/>
                <w:iCs w:val="0"/>
                <w:color w:val="auto"/>
                <w:kern w:val="0"/>
                <w:sz w:val="21"/>
                <w:szCs w:val="21"/>
                <w:u w:val="none"/>
                <w:lang w:val="en-US" w:eastAsia="zh-CN" w:bidi="ar"/>
              </w:rPr>
              <w:t>技术参数或要求</w:t>
            </w:r>
          </w:p>
        </w:tc>
        <w:tc>
          <w:tcPr>
            <w:tcW w:w="3796" w:type="dxa"/>
            <w:tcBorders>
              <w:tl2br w:val="nil"/>
              <w:tr2bl w:val="nil"/>
            </w:tcBorders>
            <w:shd w:val="clear" w:color="auto" w:fill="auto"/>
            <w:vAlign w:val="center"/>
          </w:tcPr>
          <w:p w14:paraId="39DC804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sz w:val="21"/>
                <w:szCs w:val="21"/>
                <w:u w:val="none"/>
                <w:lang w:val="en-US"/>
              </w:rPr>
            </w:pPr>
            <w:r>
              <w:rPr>
                <w:rFonts w:hint="eastAsia" w:asciiTheme="minorEastAsia" w:hAnsiTheme="minorEastAsia" w:eastAsiaTheme="minorEastAsia" w:cstheme="minorEastAsia"/>
                <w:b/>
                <w:bCs/>
                <w:i w:val="0"/>
                <w:iCs w:val="0"/>
                <w:color w:val="auto"/>
                <w:kern w:val="0"/>
                <w:sz w:val="21"/>
                <w:szCs w:val="21"/>
                <w:u w:val="none"/>
                <w:lang w:val="en-US" w:eastAsia="zh-CN" w:bidi="ar"/>
              </w:rPr>
              <w:t>证明材料</w:t>
            </w:r>
          </w:p>
        </w:tc>
      </w:tr>
      <w:tr w14:paraId="570BC4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37" w:type="dxa"/>
            <w:tcBorders>
              <w:tl2br w:val="nil"/>
              <w:tr2bl w:val="nil"/>
            </w:tcBorders>
            <w:shd w:val="clear" w:color="auto" w:fill="auto"/>
            <w:vAlign w:val="center"/>
          </w:tcPr>
          <w:p w14:paraId="3930A8EA">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b/>
                <w:bCs/>
                <w:i w:val="0"/>
                <w:iCs w:val="0"/>
                <w:color w:val="auto"/>
                <w:kern w:val="2"/>
                <w:sz w:val="21"/>
                <w:szCs w:val="21"/>
                <w:u w:val="none"/>
                <w:lang w:val="en-US" w:eastAsia="zh-CN" w:bidi="ar-SA"/>
              </w:rPr>
            </w:pPr>
            <w:r>
              <w:rPr>
                <w:rFonts w:hint="eastAsia" w:asciiTheme="minorEastAsia" w:hAnsiTheme="minorEastAsia" w:eastAsiaTheme="minorEastAsia" w:cstheme="minorEastAsia"/>
                <w:b/>
                <w:bCs/>
                <w:i w:val="0"/>
                <w:iCs w:val="0"/>
                <w:color w:val="auto"/>
                <w:kern w:val="0"/>
                <w:sz w:val="21"/>
                <w:szCs w:val="21"/>
                <w:u w:val="none"/>
                <w:lang w:val="en-US" w:eastAsia="zh-CN" w:bidi="ar"/>
              </w:rPr>
              <w:t>一</w:t>
            </w:r>
          </w:p>
        </w:tc>
        <w:tc>
          <w:tcPr>
            <w:tcW w:w="8034" w:type="dxa"/>
            <w:gridSpan w:val="3"/>
            <w:tcBorders>
              <w:tl2br w:val="nil"/>
              <w:tr2bl w:val="nil"/>
            </w:tcBorders>
            <w:shd w:val="clear" w:color="auto" w:fill="auto"/>
            <w:vAlign w:val="center"/>
          </w:tcPr>
          <w:p w14:paraId="1C6143F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Theme="minorEastAsia" w:hAnsiTheme="minorEastAsia" w:eastAsiaTheme="minorEastAsia" w:cstheme="minorEastAsia"/>
                <w:b/>
                <w:bCs/>
                <w:i w:val="0"/>
                <w:iCs w:val="0"/>
                <w:color w:val="auto"/>
                <w:kern w:val="0"/>
                <w:sz w:val="21"/>
                <w:szCs w:val="21"/>
                <w:u w:val="none"/>
                <w:lang w:val="en-US" w:eastAsia="zh-CN" w:bidi="ar"/>
              </w:rPr>
              <w:t>视频监控增补</w:t>
            </w:r>
          </w:p>
        </w:tc>
      </w:tr>
      <w:tr w14:paraId="5FB3A3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737" w:type="dxa"/>
            <w:vMerge w:val="restart"/>
            <w:tcBorders>
              <w:tl2br w:val="nil"/>
              <w:tr2bl w:val="nil"/>
            </w:tcBorders>
            <w:shd w:val="clear" w:color="auto" w:fill="auto"/>
            <w:vAlign w:val="center"/>
          </w:tcPr>
          <w:p w14:paraId="42AD6B35">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default" w:asciiTheme="minorEastAsia" w:hAnsiTheme="minorEastAsia" w:eastAsiaTheme="minorEastAsia" w:cstheme="minorEastAsia"/>
                <w:b/>
                <w:bCs/>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1</w:t>
            </w:r>
          </w:p>
        </w:tc>
        <w:tc>
          <w:tcPr>
            <w:tcW w:w="1438" w:type="dxa"/>
            <w:vMerge w:val="restart"/>
            <w:tcBorders>
              <w:tl2br w:val="nil"/>
              <w:tr2bl w:val="nil"/>
            </w:tcBorders>
            <w:shd w:val="clear" w:color="auto" w:fill="auto"/>
            <w:vAlign w:val="center"/>
          </w:tcPr>
          <w:p w14:paraId="0D52E4C9">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400万筒形网络摄像机</w:t>
            </w:r>
          </w:p>
        </w:tc>
        <w:tc>
          <w:tcPr>
            <w:tcW w:w="2800" w:type="dxa"/>
            <w:tcBorders>
              <w:tl2br w:val="nil"/>
              <w:tr2bl w:val="nil"/>
            </w:tcBorders>
            <w:shd w:val="clear" w:color="auto" w:fill="auto"/>
            <w:vAlign w:val="center"/>
          </w:tcPr>
          <w:p w14:paraId="06CF1254">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★2.像素≥400万或最大分辨率≥2560×1440。</w:t>
            </w:r>
          </w:p>
        </w:tc>
        <w:tc>
          <w:tcPr>
            <w:tcW w:w="3796" w:type="dxa"/>
            <w:tcBorders>
              <w:tl2br w:val="nil"/>
              <w:tr2bl w:val="nil"/>
            </w:tcBorders>
            <w:shd w:val="clear" w:color="auto" w:fill="auto"/>
            <w:vAlign w:val="center"/>
          </w:tcPr>
          <w:p w14:paraId="2EE39BA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color w:val="auto"/>
                <w:lang w:val="en-US" w:eastAsia="zh-CN"/>
              </w:rPr>
            </w:pPr>
            <w:r>
              <w:rPr>
                <w:rFonts w:hint="eastAsia" w:ascii="宋体" w:hAnsi="宋体" w:eastAsia="宋体" w:cs="宋体"/>
                <w:b w:val="0"/>
                <w:bCs w:val="0"/>
                <w:i w:val="0"/>
                <w:iCs w:val="0"/>
                <w:color w:val="auto"/>
                <w:kern w:val="0"/>
                <w:sz w:val="21"/>
                <w:szCs w:val="21"/>
                <w:highlight w:val="none"/>
                <w:u w:val="none"/>
                <w:lang w:val="en-US" w:eastAsia="zh-CN" w:bidi="ar"/>
              </w:rPr>
              <w:t>提供所投产品</w:t>
            </w:r>
            <w:r>
              <w:rPr>
                <w:rFonts w:hint="eastAsia" w:ascii="宋体" w:hAnsi="宋体" w:eastAsia="宋体" w:cs="宋体"/>
                <w:b w:val="0"/>
                <w:bCs w:val="0"/>
                <w:color w:val="auto"/>
                <w:sz w:val="21"/>
                <w:szCs w:val="21"/>
                <w:highlight w:val="none"/>
                <w:u w:val="none"/>
                <w:lang w:bidi="ar"/>
              </w:rPr>
              <w:t>由具备有效CMA资质的检测机构出具的封面盖有CMA专用印章的检测报告原件关键页扫描件(</w:t>
            </w:r>
            <w:r>
              <w:rPr>
                <w:rFonts w:hint="eastAsia" w:ascii="宋体" w:hAnsi="宋体" w:eastAsia="宋体" w:cs="宋体"/>
                <w:b w:val="0"/>
                <w:bCs w:val="0"/>
                <w:i w:val="0"/>
                <w:iCs w:val="0"/>
                <w:color w:val="auto"/>
                <w:kern w:val="0"/>
                <w:sz w:val="21"/>
                <w:szCs w:val="21"/>
                <w:highlight w:val="none"/>
                <w:u w:val="none"/>
                <w:lang w:val="en-US" w:eastAsia="zh-CN" w:bidi="ar"/>
              </w:rPr>
              <w:t>依据标准GA/T 1127-2013等现行国家标准</w:t>
            </w:r>
            <w:r>
              <w:rPr>
                <w:rFonts w:hint="eastAsia" w:ascii="宋体" w:hAnsi="宋体" w:eastAsia="宋体" w:cs="宋体"/>
                <w:b w:val="0"/>
                <w:bCs w:val="0"/>
                <w:color w:val="auto"/>
                <w:sz w:val="21"/>
                <w:szCs w:val="21"/>
                <w:highlight w:val="none"/>
                <w:u w:val="none"/>
                <w:lang w:bidi="ar"/>
              </w:rPr>
              <w:t>）</w:t>
            </w: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39444B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173F42F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429B8E72">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2800" w:type="dxa"/>
            <w:tcBorders>
              <w:tl2br w:val="nil"/>
              <w:tr2bl w:val="nil"/>
            </w:tcBorders>
            <w:shd w:val="clear" w:color="auto" w:fill="auto"/>
            <w:vAlign w:val="center"/>
          </w:tcPr>
          <w:p w14:paraId="7B7D4B60">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★3.具备最低照度彩色不劣于0.001Lux，黑白不劣于0.0001Lux。</w:t>
            </w:r>
          </w:p>
        </w:tc>
        <w:tc>
          <w:tcPr>
            <w:tcW w:w="3796" w:type="dxa"/>
            <w:tcBorders>
              <w:tl2br w:val="nil"/>
              <w:tr2bl w:val="nil"/>
            </w:tcBorders>
            <w:shd w:val="clear" w:color="auto" w:fill="auto"/>
            <w:vAlign w:val="center"/>
          </w:tcPr>
          <w:p w14:paraId="4ADD858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color w:val="auto"/>
                <w:lang w:val="en-US" w:eastAsia="zh-CN"/>
              </w:rPr>
            </w:pPr>
            <w:r>
              <w:rPr>
                <w:rFonts w:hint="eastAsia" w:ascii="宋体" w:hAnsi="宋体" w:eastAsia="宋体" w:cs="宋体"/>
                <w:b w:val="0"/>
                <w:bCs w:val="0"/>
                <w:i w:val="0"/>
                <w:iCs w:val="0"/>
                <w:color w:val="auto"/>
                <w:sz w:val="21"/>
                <w:szCs w:val="21"/>
                <w:highlight w:val="none"/>
                <w:u w:val="none"/>
                <w:lang w:val="en-US" w:eastAsia="zh-CN" w:bidi="ar"/>
              </w:rPr>
              <w:t>提供第三方机构出具的具有CMA标志的检测报告（依据标准</w:t>
            </w:r>
            <w:r>
              <w:rPr>
                <w:rFonts w:hint="eastAsia" w:ascii="宋体" w:hAnsi="宋体" w:eastAsia="宋体" w:cs="宋体"/>
                <w:b w:val="0"/>
                <w:bCs w:val="0"/>
                <w:i w:val="0"/>
                <w:iCs w:val="0"/>
                <w:color w:val="auto"/>
                <w:kern w:val="0"/>
                <w:sz w:val="21"/>
                <w:szCs w:val="21"/>
                <w:highlight w:val="none"/>
                <w:u w:val="none"/>
                <w:lang w:val="en-US" w:eastAsia="zh-CN" w:bidi="ar"/>
              </w:rPr>
              <w:t>GA/T 1127-2013或</w:t>
            </w:r>
            <w:r>
              <w:rPr>
                <w:rFonts w:hint="eastAsia" w:ascii="宋体" w:hAnsi="宋体" w:eastAsia="宋体" w:cs="宋体"/>
                <w:b w:val="0"/>
                <w:bCs w:val="0"/>
                <w:i w:val="0"/>
                <w:iCs w:val="0"/>
                <w:color w:val="auto"/>
                <w:sz w:val="21"/>
                <w:szCs w:val="21"/>
                <w:highlight w:val="none"/>
                <w:u w:val="none"/>
                <w:lang w:val="en-US" w:eastAsia="zh-CN" w:bidi="ar"/>
              </w:rPr>
              <w:t>GB 16796-2022</w:t>
            </w:r>
            <w:r>
              <w:rPr>
                <w:rFonts w:hint="eastAsia" w:ascii="宋体" w:hAnsi="宋体" w:eastAsia="宋体" w:cs="宋体"/>
                <w:b w:val="0"/>
                <w:bCs w:val="0"/>
                <w:color w:val="auto"/>
                <w:sz w:val="21"/>
                <w:szCs w:val="21"/>
                <w:highlight w:val="none"/>
                <w:u w:val="none"/>
                <w:lang w:bidi="ar"/>
              </w:rPr>
              <w:t>或GB/T 15211-2013</w:t>
            </w:r>
            <w:r>
              <w:rPr>
                <w:rFonts w:hint="eastAsia" w:ascii="宋体" w:hAnsi="宋体" w:eastAsia="宋体" w:cs="宋体"/>
                <w:b w:val="0"/>
                <w:bCs w:val="0"/>
                <w:i w:val="0"/>
                <w:iCs w:val="0"/>
                <w:color w:val="auto"/>
                <w:sz w:val="21"/>
                <w:szCs w:val="21"/>
                <w:highlight w:val="none"/>
                <w:u w:val="none"/>
                <w:lang w:val="en-US" w:eastAsia="zh-CN" w:bidi="ar"/>
              </w:rPr>
              <w:t>等现行国家标准）</w:t>
            </w:r>
            <w:r>
              <w:rPr>
                <w:rFonts w:hint="eastAsia" w:ascii="宋体" w:hAnsi="宋体" w:eastAsia="宋体" w:cs="宋体"/>
                <w:b w:val="0"/>
                <w:bCs w:val="0"/>
                <w:color w:val="auto"/>
                <w:sz w:val="21"/>
                <w:szCs w:val="21"/>
                <w:highlight w:val="none"/>
                <w:u w:val="none"/>
                <w:lang w:val="en-US" w:eastAsia="zh-CN" w:bidi="ar"/>
              </w:rPr>
              <w:t>。</w:t>
            </w:r>
          </w:p>
        </w:tc>
      </w:tr>
      <w:tr w14:paraId="72AD1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6E88E37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1A90CACB">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2800" w:type="dxa"/>
            <w:tcBorders>
              <w:tl2br w:val="nil"/>
              <w:tr2bl w:val="nil"/>
            </w:tcBorders>
            <w:shd w:val="clear" w:color="auto" w:fill="auto"/>
            <w:vAlign w:val="center"/>
          </w:tcPr>
          <w:p w14:paraId="6DCC985B">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jc w:val="left"/>
              <w:textAlignment w:val="top"/>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★7.宽动态能力综合得分≥80。</w:t>
            </w:r>
          </w:p>
        </w:tc>
        <w:tc>
          <w:tcPr>
            <w:tcW w:w="3796" w:type="dxa"/>
            <w:tcBorders>
              <w:tl2br w:val="nil"/>
              <w:tr2bl w:val="nil"/>
            </w:tcBorders>
            <w:shd w:val="clear" w:color="auto" w:fill="auto"/>
            <w:vAlign w:val="center"/>
          </w:tcPr>
          <w:p w14:paraId="0EC03A90">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color w:val="auto"/>
                <w:lang w:val="en-US" w:eastAsia="zh-CN"/>
              </w:rPr>
            </w:pPr>
            <w:r>
              <w:rPr>
                <w:rFonts w:hint="eastAsia" w:ascii="宋体" w:hAnsi="宋体" w:eastAsia="宋体" w:cs="宋体"/>
                <w:b w:val="0"/>
                <w:bCs w:val="0"/>
                <w:i w:val="0"/>
                <w:iCs w:val="0"/>
                <w:color w:val="auto"/>
                <w:kern w:val="0"/>
                <w:sz w:val="21"/>
                <w:szCs w:val="21"/>
                <w:highlight w:val="none"/>
                <w:u w:val="none"/>
                <w:lang w:val="en-US" w:eastAsia="zh-CN" w:bidi="ar"/>
              </w:rPr>
              <w:t>提供所投产品</w:t>
            </w:r>
            <w:r>
              <w:rPr>
                <w:rFonts w:hint="eastAsia" w:ascii="宋体" w:hAnsi="宋体" w:eastAsia="宋体" w:cs="宋体"/>
                <w:b w:val="0"/>
                <w:bCs w:val="0"/>
                <w:color w:val="auto"/>
                <w:sz w:val="21"/>
                <w:szCs w:val="21"/>
                <w:highlight w:val="none"/>
                <w:u w:val="none"/>
                <w:lang w:bidi="ar"/>
              </w:rPr>
              <w:t>由具备有效CMA资质的检测机构出具的封面盖有CMA专用印章的检测报告原件关键页扫描件(</w:t>
            </w:r>
            <w:r>
              <w:rPr>
                <w:rFonts w:hint="eastAsia" w:ascii="宋体" w:hAnsi="宋体" w:eastAsia="宋体" w:cs="宋体"/>
                <w:b w:val="0"/>
                <w:bCs w:val="0"/>
                <w:i w:val="0"/>
                <w:iCs w:val="0"/>
                <w:color w:val="auto"/>
                <w:kern w:val="0"/>
                <w:sz w:val="21"/>
                <w:szCs w:val="21"/>
                <w:highlight w:val="none"/>
                <w:u w:val="none"/>
                <w:lang w:val="en-US" w:eastAsia="zh-CN" w:bidi="ar"/>
              </w:rPr>
              <w:t>依据标准GA/T 1127-2013等现行国家标准</w:t>
            </w:r>
            <w:r>
              <w:rPr>
                <w:rFonts w:hint="eastAsia" w:ascii="宋体" w:hAnsi="宋体" w:eastAsia="宋体" w:cs="宋体"/>
                <w:b w:val="0"/>
                <w:bCs w:val="0"/>
                <w:color w:val="auto"/>
                <w:sz w:val="21"/>
                <w:szCs w:val="21"/>
                <w:highlight w:val="none"/>
                <w:u w:val="none"/>
                <w:lang w:bidi="ar"/>
              </w:rPr>
              <w:t>）</w:t>
            </w: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76C8E2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136AC46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68EBD31F">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2800" w:type="dxa"/>
            <w:tcBorders>
              <w:tl2br w:val="nil"/>
              <w:tr2bl w:val="nil"/>
            </w:tcBorders>
            <w:shd w:val="clear" w:color="auto" w:fill="auto"/>
            <w:vAlign w:val="center"/>
          </w:tcPr>
          <w:p w14:paraId="28DF0FD8">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jc w:val="left"/>
              <w:textAlignment w:val="top"/>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★8.具备H.265、H.264、MJPEG视频编码格式，音频编码：G.711、AAC。</w:t>
            </w:r>
          </w:p>
        </w:tc>
        <w:tc>
          <w:tcPr>
            <w:tcW w:w="3796" w:type="dxa"/>
            <w:tcBorders>
              <w:tl2br w:val="nil"/>
              <w:tr2bl w:val="nil"/>
            </w:tcBorders>
            <w:shd w:val="clear" w:color="auto" w:fill="auto"/>
            <w:vAlign w:val="center"/>
          </w:tcPr>
          <w:p w14:paraId="26A8725A">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jc w:val="left"/>
              <w:textAlignment w:val="top"/>
              <w:rPr>
                <w:rFonts w:hint="eastAsia"/>
                <w:color w:val="auto"/>
                <w:lang w:val="en-US" w:eastAsia="zh-CN"/>
              </w:rPr>
            </w:pPr>
            <w:r>
              <w:rPr>
                <w:rFonts w:hint="eastAsia" w:ascii="宋体" w:hAnsi="宋体" w:eastAsia="宋体" w:cs="宋体"/>
                <w:b w:val="0"/>
                <w:bCs w:val="0"/>
                <w:i w:val="0"/>
                <w:iCs w:val="0"/>
                <w:color w:val="auto"/>
                <w:kern w:val="0"/>
                <w:sz w:val="21"/>
                <w:szCs w:val="21"/>
                <w:highlight w:val="none"/>
                <w:u w:val="none"/>
                <w:lang w:val="en-US" w:eastAsia="zh-CN" w:bidi="ar"/>
              </w:rPr>
              <w:t>提供原厂公开技术文档（白皮书、彩页、官网规格页截图及链接地址）。内置MIC（根据项目需求确定）。</w:t>
            </w:r>
          </w:p>
        </w:tc>
      </w:tr>
      <w:tr w14:paraId="359A44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3C05C70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7B72F0C1">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2800" w:type="dxa"/>
            <w:tcBorders>
              <w:tl2br w:val="nil"/>
              <w:tr2bl w:val="nil"/>
            </w:tcBorders>
            <w:shd w:val="clear" w:color="auto" w:fill="auto"/>
            <w:vAlign w:val="center"/>
          </w:tcPr>
          <w:p w14:paraId="65B9E75B">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jc w:val="left"/>
              <w:textAlignment w:val="top"/>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★10.具备绊线或越界入侵、区域入侵、徘徊、人员聚集、停车、物品遗留或搬移（移除）等行为分析功能，具备联动抓拍或录像、报警。</w:t>
            </w:r>
          </w:p>
        </w:tc>
        <w:tc>
          <w:tcPr>
            <w:tcW w:w="3796" w:type="dxa"/>
            <w:tcBorders>
              <w:tl2br w:val="nil"/>
              <w:tr2bl w:val="nil"/>
            </w:tcBorders>
            <w:shd w:val="clear" w:color="auto" w:fill="auto"/>
            <w:vAlign w:val="center"/>
          </w:tcPr>
          <w:p w14:paraId="57DD8B4D">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color w:val="auto"/>
                <w:lang w:val="en-US" w:eastAsia="zh-CN"/>
              </w:rPr>
            </w:pPr>
            <w:r>
              <w:rPr>
                <w:rFonts w:hint="eastAsia" w:ascii="宋体" w:hAnsi="宋体" w:eastAsia="宋体" w:cs="宋体"/>
                <w:b w:val="0"/>
                <w:bCs w:val="0"/>
                <w:i w:val="0"/>
                <w:iCs w:val="0"/>
                <w:color w:val="auto"/>
                <w:kern w:val="0"/>
                <w:sz w:val="21"/>
                <w:szCs w:val="21"/>
                <w:highlight w:val="none"/>
                <w:u w:val="none"/>
                <w:lang w:val="en-US" w:eastAsia="zh-CN" w:bidi="ar"/>
              </w:rPr>
              <w:t>提供所投产品原厂技术白皮书。</w:t>
            </w:r>
          </w:p>
        </w:tc>
      </w:tr>
      <w:tr w14:paraId="6ABEAA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0927B83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71958B87">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2800" w:type="dxa"/>
            <w:tcBorders>
              <w:tl2br w:val="nil"/>
              <w:tr2bl w:val="nil"/>
            </w:tcBorders>
            <w:shd w:val="clear" w:color="auto" w:fill="auto"/>
            <w:vAlign w:val="center"/>
          </w:tcPr>
          <w:p w14:paraId="3B9F351B">
            <w:pPr>
              <w:pStyle w:val="15"/>
              <w:keepNext w:val="0"/>
              <w:keepLines w:val="0"/>
              <w:pageBreakBefore w:val="0"/>
              <w:kinsoku/>
              <w:wordWrap/>
              <w:overflowPunct/>
              <w:topLinePunct w:val="0"/>
              <w:autoSpaceDE/>
              <w:autoSpaceDN/>
              <w:bidi w:val="0"/>
              <w:adjustRightInd/>
              <w:snapToGrid/>
              <w:spacing w:line="400" w:lineRule="exact"/>
              <w:ind w:left="0" w:leftChars="0"/>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★16.符合GB/T 28181现行协议标准。</w:t>
            </w:r>
          </w:p>
        </w:tc>
        <w:tc>
          <w:tcPr>
            <w:tcW w:w="3796" w:type="dxa"/>
            <w:tcBorders>
              <w:tl2br w:val="nil"/>
              <w:tr2bl w:val="nil"/>
            </w:tcBorders>
            <w:shd w:val="clear" w:color="auto" w:fill="auto"/>
            <w:vAlign w:val="center"/>
          </w:tcPr>
          <w:p w14:paraId="0E579A5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color w:val="auto"/>
                <w:lang w:val="en-US" w:eastAsia="zh-CN"/>
              </w:rPr>
            </w:pPr>
            <w:r>
              <w:rPr>
                <w:rFonts w:hint="eastAsia" w:ascii="宋体" w:hAnsi="宋体" w:eastAsia="宋体" w:cs="宋体"/>
                <w:b w:val="0"/>
                <w:bCs w:val="0"/>
                <w:i w:val="0"/>
                <w:iCs w:val="0"/>
                <w:color w:val="auto"/>
                <w:kern w:val="0"/>
                <w:sz w:val="21"/>
                <w:szCs w:val="21"/>
                <w:highlight w:val="none"/>
                <w:u w:val="none"/>
                <w:lang w:val="en-US" w:eastAsia="zh-CN" w:bidi="ar"/>
              </w:rPr>
              <w:t>提供所投产品原厂公开技术文档（白皮书、彩页、官网规格页截图及链接地址）或提供承诺函（格式自拟）。</w:t>
            </w:r>
          </w:p>
        </w:tc>
      </w:tr>
      <w:tr w14:paraId="24BBFA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5CD5E8E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7A9D89F6">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2800" w:type="dxa"/>
            <w:tcBorders>
              <w:tl2br w:val="nil"/>
              <w:tr2bl w:val="nil"/>
            </w:tcBorders>
            <w:shd w:val="clear" w:color="auto" w:fill="auto"/>
            <w:vAlign w:val="center"/>
          </w:tcPr>
          <w:p w14:paraId="23D9EA10">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jc w:val="left"/>
              <w:textAlignment w:val="top"/>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★19.浪涌（冲击）抗扰度测试、防浪涌。</w:t>
            </w:r>
          </w:p>
        </w:tc>
        <w:tc>
          <w:tcPr>
            <w:tcW w:w="3796" w:type="dxa"/>
            <w:tcBorders>
              <w:tl2br w:val="nil"/>
              <w:tr2bl w:val="nil"/>
            </w:tcBorders>
            <w:shd w:val="clear" w:color="auto" w:fill="auto"/>
            <w:vAlign w:val="center"/>
          </w:tcPr>
          <w:p w14:paraId="493643E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color w:val="auto"/>
                <w:lang w:val="en-US" w:eastAsia="zh-CN"/>
              </w:rPr>
            </w:pPr>
            <w:r>
              <w:rPr>
                <w:rFonts w:hint="eastAsia" w:ascii="宋体" w:hAnsi="宋体" w:eastAsia="宋体" w:cs="宋体"/>
                <w:b w:val="0"/>
                <w:bCs w:val="0"/>
                <w:color w:val="auto"/>
                <w:sz w:val="21"/>
                <w:szCs w:val="21"/>
                <w:highlight w:val="none"/>
                <w:lang w:val="en-US" w:eastAsia="zh-CN" w:bidi="ar"/>
              </w:rPr>
              <w:t>承诺</w:t>
            </w:r>
            <w:r>
              <w:rPr>
                <w:rFonts w:hint="eastAsia" w:ascii="宋体" w:hAnsi="宋体" w:eastAsia="宋体" w:cs="宋体"/>
                <w:b w:val="0"/>
                <w:bCs w:val="0"/>
                <w:color w:val="auto"/>
                <w:sz w:val="21"/>
                <w:szCs w:val="21"/>
                <w:highlight w:val="none"/>
                <w:lang w:bidi="ar"/>
              </w:rPr>
              <w:t>符合</w:t>
            </w:r>
            <w:r>
              <w:rPr>
                <w:rFonts w:hint="eastAsia" w:ascii="宋体" w:hAnsi="宋体" w:eastAsia="宋体" w:cs="宋体"/>
                <w:b w:val="0"/>
                <w:bCs w:val="0"/>
                <w:i w:val="0"/>
                <w:iCs w:val="0"/>
                <w:color w:val="auto"/>
                <w:kern w:val="0"/>
                <w:sz w:val="21"/>
                <w:szCs w:val="21"/>
                <w:highlight w:val="none"/>
                <w:u w:val="none"/>
                <w:lang w:val="en-US" w:eastAsia="zh-CN" w:bidi="ar"/>
              </w:rPr>
              <w:t>GA/T 1127-2013或</w:t>
            </w:r>
            <w:r>
              <w:rPr>
                <w:rFonts w:hint="eastAsia" w:ascii="宋体" w:hAnsi="宋体" w:eastAsia="宋体" w:cs="宋体"/>
                <w:b w:val="0"/>
                <w:bCs w:val="0"/>
                <w:color w:val="auto"/>
                <w:sz w:val="21"/>
                <w:szCs w:val="21"/>
                <w:highlight w:val="none"/>
                <w:lang w:bidi="ar"/>
              </w:rPr>
              <w:t>GB/T 17626.5-</w:t>
            </w:r>
            <w:r>
              <w:rPr>
                <w:rFonts w:hint="eastAsia" w:ascii="宋体" w:hAnsi="宋体" w:eastAsia="宋体" w:cs="宋体"/>
                <w:b w:val="0"/>
                <w:bCs w:val="0"/>
                <w:color w:val="auto"/>
                <w:sz w:val="21"/>
                <w:szCs w:val="21"/>
                <w:highlight w:val="none"/>
                <w:lang w:val="en-US" w:eastAsia="zh-CN" w:bidi="ar"/>
              </w:rPr>
              <w:t>2008/</w:t>
            </w:r>
            <w:r>
              <w:rPr>
                <w:rFonts w:hint="eastAsia" w:ascii="宋体" w:hAnsi="宋体" w:eastAsia="宋体" w:cs="宋体"/>
                <w:b w:val="0"/>
                <w:bCs w:val="0"/>
                <w:color w:val="auto"/>
                <w:sz w:val="21"/>
                <w:szCs w:val="21"/>
                <w:highlight w:val="none"/>
                <w:lang w:bidi="ar"/>
              </w:rPr>
              <w:t>2019</w:t>
            </w:r>
            <w:r>
              <w:rPr>
                <w:rFonts w:hint="eastAsia" w:ascii="宋体" w:hAnsi="宋体" w:eastAsia="宋体" w:cs="宋体"/>
                <w:b w:val="0"/>
                <w:bCs w:val="0"/>
                <w:color w:val="auto"/>
                <w:sz w:val="21"/>
                <w:szCs w:val="21"/>
                <w:highlight w:val="none"/>
                <w:lang w:val="en-US" w:eastAsia="zh-CN" w:bidi="ar"/>
              </w:rPr>
              <w:t>对摄像机的</w:t>
            </w:r>
            <w:r>
              <w:rPr>
                <w:rFonts w:hint="eastAsia" w:ascii="宋体" w:hAnsi="宋体" w:eastAsia="宋体" w:cs="宋体"/>
                <w:b w:val="0"/>
                <w:bCs w:val="0"/>
                <w:i w:val="0"/>
                <w:iCs w:val="0"/>
                <w:color w:val="auto"/>
                <w:kern w:val="0"/>
                <w:sz w:val="21"/>
                <w:szCs w:val="21"/>
                <w:highlight w:val="none"/>
                <w:u w:val="none"/>
                <w:lang w:val="en-US" w:eastAsia="zh-CN" w:bidi="ar"/>
              </w:rPr>
              <w:t>防浪涌</w:t>
            </w:r>
            <w:r>
              <w:rPr>
                <w:rFonts w:hint="eastAsia" w:ascii="宋体" w:hAnsi="宋体" w:eastAsia="宋体" w:cs="宋体"/>
                <w:b w:val="0"/>
                <w:bCs w:val="0"/>
                <w:color w:val="auto"/>
                <w:sz w:val="21"/>
                <w:szCs w:val="21"/>
                <w:highlight w:val="none"/>
                <w:lang w:val="en-US" w:eastAsia="zh-CN" w:bidi="ar"/>
              </w:rPr>
              <w:t>要求</w:t>
            </w:r>
            <w:r>
              <w:rPr>
                <w:rFonts w:hint="eastAsia" w:ascii="宋体" w:hAnsi="宋体" w:eastAsia="宋体" w:cs="宋体"/>
                <w:b w:val="0"/>
                <w:bCs w:val="0"/>
                <w:color w:val="auto"/>
                <w:sz w:val="21"/>
                <w:szCs w:val="21"/>
                <w:highlight w:val="none"/>
                <w:lang w:eastAsia="zh-CN" w:bidi="ar"/>
              </w:rPr>
              <w:t>。</w:t>
            </w:r>
          </w:p>
        </w:tc>
      </w:tr>
      <w:tr w14:paraId="7D8500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635EEAF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15368CB0">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2800" w:type="dxa"/>
            <w:tcBorders>
              <w:tl2br w:val="nil"/>
              <w:tr2bl w:val="nil"/>
            </w:tcBorders>
            <w:shd w:val="clear" w:color="auto" w:fill="auto"/>
            <w:vAlign w:val="center"/>
          </w:tcPr>
          <w:p w14:paraId="2C46FDBB">
            <w:pPr>
              <w:pStyle w:val="15"/>
              <w:keepNext w:val="0"/>
              <w:keepLines w:val="0"/>
              <w:pageBreakBefore w:val="0"/>
              <w:kinsoku/>
              <w:wordWrap/>
              <w:overflowPunct/>
              <w:topLinePunct w:val="0"/>
              <w:autoSpaceDE/>
              <w:autoSpaceDN/>
              <w:bidi w:val="0"/>
              <w:adjustRightInd/>
              <w:snapToGrid/>
              <w:spacing w:line="400" w:lineRule="exact"/>
              <w:ind w:left="0" w:leftChars="0"/>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★21.防护等级：≥IP67。</w:t>
            </w:r>
          </w:p>
        </w:tc>
        <w:tc>
          <w:tcPr>
            <w:tcW w:w="3796" w:type="dxa"/>
            <w:tcBorders>
              <w:tl2br w:val="nil"/>
              <w:tr2bl w:val="nil"/>
            </w:tcBorders>
            <w:shd w:val="clear" w:color="auto" w:fill="auto"/>
            <w:vAlign w:val="center"/>
          </w:tcPr>
          <w:p w14:paraId="0241CD54">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color w:val="auto"/>
                <w:lang w:val="en-US" w:eastAsia="zh-CN"/>
              </w:rPr>
            </w:pPr>
            <w:r>
              <w:rPr>
                <w:rFonts w:hint="eastAsia" w:ascii="宋体" w:hAnsi="宋体" w:eastAsia="宋体" w:cs="宋体"/>
                <w:b w:val="0"/>
                <w:bCs w:val="0"/>
                <w:i w:val="0"/>
                <w:iCs w:val="0"/>
                <w:color w:val="auto"/>
                <w:kern w:val="0"/>
                <w:sz w:val="21"/>
                <w:szCs w:val="21"/>
                <w:highlight w:val="none"/>
                <w:u w:val="none"/>
                <w:lang w:val="en-US" w:eastAsia="zh-CN" w:bidi="ar"/>
              </w:rPr>
              <w:t>提供所投产品的检测报告原件关键页扫描件（依据GB/T 15211-2013或GA/T 1127-2013或</w:t>
            </w:r>
            <w:r>
              <w:rPr>
                <w:rFonts w:hint="eastAsia" w:ascii="宋体" w:hAnsi="宋体" w:eastAsia="宋体" w:cs="宋体"/>
                <w:b w:val="0"/>
                <w:bCs w:val="0"/>
                <w:color w:val="auto"/>
                <w:sz w:val="21"/>
                <w:szCs w:val="21"/>
                <w:highlight w:val="none"/>
              </w:rPr>
              <w:t>GB/T4208-2017标准</w:t>
            </w:r>
            <w:r>
              <w:rPr>
                <w:rFonts w:hint="eastAsia" w:ascii="宋体" w:hAnsi="宋体" w:eastAsia="宋体" w:cs="宋体"/>
                <w:b w:val="0"/>
                <w:bCs w:val="0"/>
                <w:i w:val="0"/>
                <w:iCs w:val="0"/>
                <w:color w:val="auto"/>
                <w:kern w:val="0"/>
                <w:sz w:val="21"/>
                <w:szCs w:val="21"/>
                <w:highlight w:val="none"/>
                <w:u w:val="none"/>
                <w:lang w:val="en-US" w:eastAsia="zh-CN" w:bidi="ar"/>
              </w:rPr>
              <w:t>）等相关现行国家标准）。</w:t>
            </w:r>
          </w:p>
        </w:tc>
      </w:tr>
      <w:tr w14:paraId="5479D2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6BE690F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38B83D43">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2800" w:type="dxa"/>
            <w:tcBorders>
              <w:tl2br w:val="nil"/>
              <w:tr2bl w:val="nil"/>
            </w:tcBorders>
            <w:shd w:val="clear" w:color="auto" w:fill="auto"/>
            <w:vAlign w:val="center"/>
          </w:tcPr>
          <w:p w14:paraId="2C56E85D">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★22.具备POE供电功能。</w:t>
            </w:r>
          </w:p>
        </w:tc>
        <w:tc>
          <w:tcPr>
            <w:tcW w:w="3796" w:type="dxa"/>
            <w:tcBorders>
              <w:tl2br w:val="nil"/>
              <w:tr2bl w:val="nil"/>
            </w:tcBorders>
            <w:shd w:val="clear" w:color="auto" w:fill="auto"/>
            <w:vAlign w:val="center"/>
          </w:tcPr>
          <w:p w14:paraId="26EA52A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imes New Roman" w:hAnsi="Times New Roman" w:eastAsia="宋体" w:cs="Times New Roman"/>
                <w:color w:val="auto"/>
                <w:kern w:val="2"/>
                <w:sz w:val="21"/>
                <w:szCs w:val="21"/>
                <w:lang w:val="en-US" w:eastAsia="zh-CN" w:bidi="ar-SA"/>
              </w:rPr>
            </w:pPr>
            <w:r>
              <w:rPr>
                <w:rFonts w:hint="eastAsia" w:ascii="宋体" w:hAnsi="宋体" w:eastAsia="宋体" w:cs="宋体"/>
                <w:b w:val="0"/>
                <w:bCs w:val="0"/>
                <w:i w:val="0"/>
                <w:iCs w:val="0"/>
                <w:color w:val="auto"/>
                <w:kern w:val="0"/>
                <w:sz w:val="21"/>
                <w:szCs w:val="21"/>
                <w:highlight w:val="none"/>
                <w:u w:val="none"/>
                <w:lang w:val="en-US" w:eastAsia="zh-CN" w:bidi="ar"/>
              </w:rPr>
              <w:t>提供原厂公开技术文档（白皮书、彩页、官网规格页截图及链接地址均可）。</w:t>
            </w:r>
          </w:p>
        </w:tc>
      </w:tr>
      <w:tr w14:paraId="6673F9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80" w:hRule="atLeast"/>
          <w:jc w:val="center"/>
        </w:trPr>
        <w:tc>
          <w:tcPr>
            <w:tcW w:w="737" w:type="dxa"/>
            <w:vMerge w:val="continue"/>
            <w:tcBorders>
              <w:tl2br w:val="nil"/>
              <w:tr2bl w:val="nil"/>
            </w:tcBorders>
            <w:shd w:val="clear" w:color="auto" w:fill="auto"/>
            <w:vAlign w:val="center"/>
          </w:tcPr>
          <w:p w14:paraId="50BA468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4C7B5B32">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2800" w:type="dxa"/>
            <w:tcBorders>
              <w:tl2br w:val="nil"/>
              <w:tr2bl w:val="nil"/>
            </w:tcBorders>
            <w:shd w:val="clear" w:color="auto" w:fill="auto"/>
            <w:vAlign w:val="center"/>
          </w:tcPr>
          <w:p w14:paraId="1F6B5BB4">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leftChars="0" w:firstLine="0" w:firstLineChars="0"/>
              <w:jc w:val="left"/>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★23.符合GB/T 28181、Onvif、IPv4/IPv6协议标准。</w:t>
            </w:r>
          </w:p>
        </w:tc>
        <w:tc>
          <w:tcPr>
            <w:tcW w:w="3796" w:type="dxa"/>
            <w:tcBorders>
              <w:tl2br w:val="nil"/>
              <w:tr2bl w:val="nil"/>
            </w:tcBorders>
            <w:shd w:val="clear" w:color="auto" w:fill="auto"/>
            <w:vAlign w:val="center"/>
          </w:tcPr>
          <w:p w14:paraId="4E94A442">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b/>
                <w:bCs/>
                <w:color w:val="auto"/>
                <w:kern w:val="0"/>
                <w:sz w:val="21"/>
                <w:szCs w:val="21"/>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提供所投产品原厂公开技术文档（白皮书、彩页、官网规格页截图及链接地址）或提供承诺函（格式自拟）</w:t>
            </w:r>
            <w:r>
              <w:rPr>
                <w:rFonts w:hint="eastAsia" w:ascii="宋体" w:hAnsi="宋体" w:eastAsia="宋体" w:cs="宋体"/>
                <w:b w:val="0"/>
                <w:bCs w:val="0"/>
                <w:color w:val="auto"/>
                <w:sz w:val="21"/>
                <w:szCs w:val="21"/>
                <w:highlight w:val="none"/>
                <w:u w:val="none"/>
                <w:lang w:val="en-US" w:eastAsia="zh-CN" w:bidi="ar"/>
              </w:rPr>
              <w:t>。</w:t>
            </w:r>
          </w:p>
        </w:tc>
      </w:tr>
      <w:tr w14:paraId="7DD0BB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tcBorders>
              <w:tl2br w:val="nil"/>
              <w:tr2bl w:val="nil"/>
            </w:tcBorders>
            <w:shd w:val="clear" w:color="auto" w:fill="auto"/>
            <w:vAlign w:val="center"/>
          </w:tcPr>
          <w:p w14:paraId="4852E8C6">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b/>
                <w:bCs/>
                <w:i w:val="0"/>
                <w:iCs w:val="0"/>
                <w:color w:val="auto"/>
                <w:kern w:val="2"/>
                <w:sz w:val="21"/>
                <w:szCs w:val="21"/>
                <w:u w:val="none"/>
                <w:lang w:val="en-US" w:eastAsia="zh-CN" w:bidi="ar-SA"/>
              </w:rPr>
            </w:pPr>
            <w:r>
              <w:rPr>
                <w:rFonts w:hint="eastAsia" w:asciiTheme="minorEastAsia" w:hAnsiTheme="minorEastAsia" w:eastAsiaTheme="minorEastAsia" w:cstheme="minorEastAsia"/>
                <w:b/>
                <w:bCs/>
                <w:i w:val="0"/>
                <w:iCs w:val="0"/>
                <w:color w:val="auto"/>
                <w:kern w:val="0"/>
                <w:sz w:val="21"/>
                <w:szCs w:val="21"/>
                <w:u w:val="none"/>
                <w:lang w:val="en-US" w:eastAsia="zh-CN" w:bidi="ar"/>
              </w:rPr>
              <w:t>三</w:t>
            </w:r>
          </w:p>
        </w:tc>
        <w:tc>
          <w:tcPr>
            <w:tcW w:w="8034" w:type="dxa"/>
            <w:gridSpan w:val="3"/>
            <w:tcBorders>
              <w:tl2br w:val="nil"/>
              <w:tr2bl w:val="nil"/>
            </w:tcBorders>
            <w:shd w:val="clear" w:color="auto" w:fill="auto"/>
            <w:vAlign w:val="center"/>
          </w:tcPr>
          <w:p w14:paraId="2D098E21">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b/>
                <w:bCs/>
                <w:i w:val="0"/>
                <w:iCs w:val="0"/>
                <w:color w:val="auto"/>
                <w:kern w:val="0"/>
                <w:sz w:val="21"/>
                <w:szCs w:val="21"/>
                <w:u w:val="none"/>
                <w:lang w:val="en-US" w:eastAsia="zh-CN" w:bidi="ar"/>
              </w:rPr>
              <w:t>管线敷设</w:t>
            </w:r>
          </w:p>
        </w:tc>
      </w:tr>
      <w:tr w14:paraId="046852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restart"/>
            <w:tcBorders>
              <w:tl2br w:val="nil"/>
              <w:tr2bl w:val="nil"/>
            </w:tcBorders>
            <w:shd w:val="clear" w:color="auto" w:fill="auto"/>
            <w:vAlign w:val="center"/>
          </w:tcPr>
          <w:p w14:paraId="74C36AE8">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default" w:asciiTheme="minorEastAsia" w:hAnsiTheme="minorEastAsia" w:eastAsiaTheme="minorEastAsia" w:cstheme="minorEastAsia"/>
                <w:b/>
                <w:bCs/>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2</w:t>
            </w:r>
          </w:p>
        </w:tc>
        <w:tc>
          <w:tcPr>
            <w:tcW w:w="1438" w:type="dxa"/>
            <w:vMerge w:val="restart"/>
            <w:tcBorders>
              <w:tl2br w:val="nil"/>
              <w:tr2bl w:val="nil"/>
            </w:tcBorders>
            <w:shd w:val="clear" w:color="auto" w:fill="auto"/>
            <w:vAlign w:val="center"/>
          </w:tcPr>
          <w:p w14:paraId="20EC5620">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六类4对非屏蔽双绞线</w:t>
            </w:r>
          </w:p>
        </w:tc>
        <w:tc>
          <w:tcPr>
            <w:tcW w:w="2800" w:type="dxa"/>
            <w:tcBorders>
              <w:tl2br w:val="nil"/>
              <w:tr2bl w:val="nil"/>
            </w:tcBorders>
            <w:shd w:val="clear" w:color="auto" w:fill="auto"/>
            <w:vAlign w:val="center"/>
          </w:tcPr>
          <w:p w14:paraId="40845CCB">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leftChars="0" w:firstLine="0" w:firstLineChars="0"/>
              <w:jc w:val="left"/>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★1.线规：6类电缆（250MHz），23AWG、导体材料为纯度不低于99.9%实心无氧铜（OFC），线芯：带十字芯骨架。</w:t>
            </w:r>
          </w:p>
        </w:tc>
        <w:tc>
          <w:tcPr>
            <w:tcW w:w="3796" w:type="dxa"/>
            <w:tcBorders>
              <w:tl2br w:val="nil"/>
              <w:tr2bl w:val="nil"/>
            </w:tcBorders>
            <w:shd w:val="clear" w:color="auto" w:fill="auto"/>
            <w:vAlign w:val="center"/>
          </w:tcPr>
          <w:p w14:paraId="721F0414">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提供所投产品符合现行国家或行业标准的检测报告原件关键页扫描件或者提供所投产品生产企业的产品技术规格书；提供检测报告的，检测依据应符合相关标准并按第四章商务要求（其他要求的第2条）中明确的要求、提供相关佐证材料。</w:t>
            </w:r>
          </w:p>
        </w:tc>
      </w:tr>
      <w:tr w14:paraId="2C8CAE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3D11560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09F518E7">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5D22A342">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leftChars="0" w:firstLine="0" w:firstLineChars="0"/>
              <w:jc w:val="left"/>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提供所投六类非屏蔽低烟无卤双绞线不少于以下技术参数的检测报告：单根导体直流电阻、近端串音衰减(NEXT)、近端串音衰减功率和（PSNEXT）、衰减远端串音比(ACR-F)、衰减远端串音比功率和(PSACR-F)、特性阻抗(Zm)、回波损耗（ReturnLoss）。</w:t>
            </w:r>
          </w:p>
        </w:tc>
        <w:tc>
          <w:tcPr>
            <w:tcW w:w="3796" w:type="dxa"/>
            <w:tcBorders>
              <w:tl2br w:val="nil"/>
              <w:tr2bl w:val="nil"/>
            </w:tcBorders>
            <w:shd w:val="clear" w:color="auto" w:fill="auto"/>
            <w:vAlign w:val="center"/>
          </w:tcPr>
          <w:p w14:paraId="6BFDE634">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提供所投产品的检测报告原件扫描件（依据YD/T1019-2023等现行国家或行业标准），检测报告数量不作要求；按第四章商务要求（其他要求的第2条）中明确的要求、提供相关佐证材料。</w:t>
            </w:r>
          </w:p>
        </w:tc>
      </w:tr>
      <w:tr w14:paraId="2F7CCA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143A318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691AAB23">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5B17851C">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leftChars="0" w:firstLine="0" w:firstLineChars="0"/>
              <w:jc w:val="left"/>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★4.燃烧性能要求：所投六类非屏蔽低烟无卤双绞线至少达到单根电缆火焰垂直蔓延试验要求。</w:t>
            </w:r>
          </w:p>
        </w:tc>
        <w:tc>
          <w:tcPr>
            <w:tcW w:w="3796" w:type="dxa"/>
            <w:tcBorders>
              <w:tl2br w:val="nil"/>
              <w:tr2bl w:val="nil"/>
            </w:tcBorders>
            <w:shd w:val="clear" w:color="auto" w:fill="auto"/>
            <w:vAlign w:val="center"/>
          </w:tcPr>
          <w:p w14:paraId="6FB1FA84">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提供所投产品检测报告原件扫描件（符合GB/T18380.12-2022或IEC60332-1-2：2015标准中的单根电缆火焰垂直蔓延试验要求）；按第四章商务要求（其他要求的第2条）中明确的要求、提供相关佐证材料。</w:t>
            </w:r>
          </w:p>
        </w:tc>
      </w:tr>
      <w:tr w14:paraId="6907B5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19A51EC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458957B8">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714F9C96">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leftChars="0" w:firstLine="0" w:firstLineChars="0"/>
              <w:jc w:val="left"/>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★5.烟密度：透光率应不小于50%。</w:t>
            </w:r>
          </w:p>
        </w:tc>
        <w:tc>
          <w:tcPr>
            <w:tcW w:w="3796" w:type="dxa"/>
            <w:tcBorders>
              <w:tl2br w:val="nil"/>
              <w:tr2bl w:val="nil"/>
            </w:tcBorders>
            <w:shd w:val="clear" w:color="auto" w:fill="auto"/>
            <w:vAlign w:val="center"/>
          </w:tcPr>
          <w:p w14:paraId="008BA7FB">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提供所投产品的检测报告原件关键页扫描件（符合GB/T17651.2-2021或IEC61034-2:2019标准）；按第四章商务要求（其他要求的第2条）中明确的要求、提供相关佐证材料。</w:t>
            </w:r>
          </w:p>
        </w:tc>
      </w:tr>
      <w:tr w14:paraId="5C3B52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7FE6AAB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4627186F">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40B7CDBA">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leftChars="0" w:firstLine="0" w:firstLineChars="0"/>
              <w:jc w:val="left"/>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★6.提供承诺函，承诺所投产品符合YD/T1019-2023等现行国家或行业标准针对双绞多芯对称电缆的要求，格式自拟。</w:t>
            </w:r>
          </w:p>
        </w:tc>
        <w:tc>
          <w:tcPr>
            <w:tcW w:w="3796" w:type="dxa"/>
            <w:tcBorders>
              <w:tl2br w:val="nil"/>
              <w:tr2bl w:val="nil"/>
            </w:tcBorders>
            <w:shd w:val="clear" w:color="auto" w:fill="auto"/>
            <w:vAlign w:val="center"/>
          </w:tcPr>
          <w:p w14:paraId="4C03E362">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提供承诺函，承诺所投产品符合YD/T1019-2023等现行国家或行业标准针对双绞多芯对称电缆的要求，格式自拟。</w:t>
            </w:r>
          </w:p>
        </w:tc>
      </w:tr>
      <w:tr w14:paraId="0D4258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tcBorders>
              <w:tl2br w:val="nil"/>
              <w:tr2bl w:val="nil"/>
            </w:tcBorders>
            <w:shd w:val="clear" w:color="auto" w:fill="auto"/>
            <w:vAlign w:val="center"/>
          </w:tcPr>
          <w:p w14:paraId="6F9DB76A">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b/>
                <w:bCs/>
                <w:i w:val="0"/>
                <w:iCs w:val="0"/>
                <w:color w:val="auto"/>
                <w:kern w:val="2"/>
                <w:sz w:val="21"/>
                <w:szCs w:val="21"/>
                <w:u w:val="none"/>
                <w:lang w:val="en-US" w:eastAsia="zh-CN" w:bidi="ar-SA"/>
              </w:rPr>
            </w:pPr>
            <w:r>
              <w:rPr>
                <w:rFonts w:hint="eastAsia" w:asciiTheme="minorEastAsia" w:hAnsiTheme="minorEastAsia" w:eastAsiaTheme="minorEastAsia" w:cstheme="minorEastAsia"/>
                <w:b/>
                <w:bCs/>
                <w:i w:val="0"/>
                <w:iCs w:val="0"/>
                <w:color w:val="auto"/>
                <w:kern w:val="0"/>
                <w:sz w:val="21"/>
                <w:szCs w:val="21"/>
                <w:u w:val="none"/>
                <w:lang w:val="en-US" w:eastAsia="zh-CN" w:bidi="ar"/>
              </w:rPr>
              <w:t>四</w:t>
            </w:r>
          </w:p>
        </w:tc>
        <w:tc>
          <w:tcPr>
            <w:tcW w:w="8034" w:type="dxa"/>
            <w:gridSpan w:val="3"/>
            <w:tcBorders>
              <w:tl2br w:val="nil"/>
              <w:tr2bl w:val="nil"/>
            </w:tcBorders>
            <w:shd w:val="clear" w:color="auto" w:fill="auto"/>
            <w:vAlign w:val="center"/>
          </w:tcPr>
          <w:p w14:paraId="76F49D64">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b w:val="0"/>
                <w:bCs w:val="0"/>
                <w:color w:val="auto"/>
                <w:sz w:val="21"/>
                <w:szCs w:val="21"/>
                <w:highlight w:val="none"/>
                <w:lang w:val="en-US" w:eastAsia="zh-CN"/>
              </w:rPr>
            </w:pPr>
            <w:r>
              <w:rPr>
                <w:rFonts w:hint="eastAsia" w:asciiTheme="minorEastAsia" w:hAnsiTheme="minorEastAsia" w:eastAsiaTheme="minorEastAsia" w:cstheme="minorEastAsia"/>
                <w:b/>
                <w:bCs/>
                <w:i w:val="0"/>
                <w:iCs w:val="0"/>
                <w:color w:val="auto"/>
                <w:kern w:val="0"/>
                <w:sz w:val="21"/>
                <w:szCs w:val="21"/>
                <w:u w:val="none"/>
                <w:lang w:val="en-US" w:eastAsia="zh-CN" w:bidi="ar"/>
              </w:rPr>
              <w:t>网络传输</w:t>
            </w:r>
          </w:p>
        </w:tc>
      </w:tr>
      <w:tr w14:paraId="19A2A6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restart"/>
            <w:tcBorders>
              <w:tl2br w:val="nil"/>
              <w:tr2bl w:val="nil"/>
            </w:tcBorders>
            <w:shd w:val="clear" w:color="auto" w:fill="auto"/>
            <w:vAlign w:val="center"/>
          </w:tcPr>
          <w:p w14:paraId="73766C0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heme="minorEastAsia" w:hAnsiTheme="minorEastAsia" w:eastAsiaTheme="minorEastAsia" w:cstheme="minorEastAsia"/>
                <w:b/>
                <w:bCs/>
                <w:i w:val="0"/>
                <w:iCs w:val="0"/>
                <w:color w:val="auto"/>
                <w:kern w:val="0"/>
                <w:sz w:val="21"/>
                <w:szCs w:val="21"/>
                <w:u w:val="none"/>
                <w:lang w:val="en-US" w:eastAsia="zh-CN" w:bidi="ar"/>
              </w:rPr>
            </w:pPr>
            <w:r>
              <w:rPr>
                <w:rFonts w:hint="eastAsia" w:asciiTheme="minorEastAsia" w:hAnsiTheme="minorEastAsia" w:eastAsiaTheme="minorEastAsia" w:cstheme="minorEastAsia"/>
                <w:b/>
                <w:bCs/>
                <w:i w:val="0"/>
                <w:iCs w:val="0"/>
                <w:color w:val="auto"/>
                <w:kern w:val="0"/>
                <w:sz w:val="21"/>
                <w:szCs w:val="21"/>
                <w:u w:val="none"/>
                <w:lang w:val="en-US" w:eastAsia="zh-CN" w:bidi="ar"/>
              </w:rPr>
              <w:t>1</w:t>
            </w:r>
          </w:p>
        </w:tc>
        <w:tc>
          <w:tcPr>
            <w:tcW w:w="1438" w:type="dxa"/>
            <w:vMerge w:val="restart"/>
            <w:tcBorders>
              <w:tl2br w:val="nil"/>
              <w:tr2bl w:val="nil"/>
            </w:tcBorders>
            <w:shd w:val="clear" w:color="auto" w:fill="auto"/>
            <w:vAlign w:val="center"/>
          </w:tcPr>
          <w:p w14:paraId="7C42CFC5">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24电口千兆POE交换机</w:t>
            </w:r>
          </w:p>
        </w:tc>
        <w:tc>
          <w:tcPr>
            <w:tcW w:w="2800" w:type="dxa"/>
            <w:tcBorders>
              <w:tl2br w:val="nil"/>
              <w:tr2bl w:val="nil"/>
            </w:tcBorders>
            <w:shd w:val="clear" w:color="auto" w:fill="auto"/>
            <w:vAlign w:val="center"/>
          </w:tcPr>
          <w:p w14:paraId="268F7ABD">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color w:val="auto"/>
                <w:sz w:val="21"/>
                <w:szCs w:val="21"/>
                <w:highlight w:val="none"/>
                <w:lang w:val="en-US" w:eastAsia="zh-CN"/>
              </w:rPr>
              <w:t>★1. 端口配置：提供 ≥24 个 10/100/1000M 自适应以太网电口（RJ45），全部支持不低于 IEEE 802.3at（PoE+）；提供 ≥4 个 千兆SFP光口。</w:t>
            </w:r>
          </w:p>
        </w:tc>
        <w:tc>
          <w:tcPr>
            <w:tcW w:w="3796" w:type="dxa"/>
            <w:tcBorders>
              <w:tl2br w:val="nil"/>
              <w:tr2bl w:val="nil"/>
            </w:tcBorders>
            <w:shd w:val="clear" w:color="auto" w:fill="auto"/>
            <w:vAlign w:val="center"/>
          </w:tcPr>
          <w:p w14:paraId="3AE1C9A0">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color w:val="auto"/>
                <w:sz w:val="21"/>
                <w:szCs w:val="21"/>
                <w:highlight w:val="none"/>
                <w:lang w:val="en-US" w:eastAsia="zh-CN"/>
              </w:rPr>
              <w:t>提供原厂公开技术文档（白皮书、彩页、官网规格页截图及链接地址均可）</w:t>
            </w:r>
          </w:p>
        </w:tc>
      </w:tr>
      <w:tr w14:paraId="721FAB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2052831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4E8A95DB">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1ADA89D8">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 交换性能：</w:t>
            </w:r>
          </w:p>
          <w:p w14:paraId="1ACA4B52">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color w:val="auto"/>
                <w:sz w:val="21"/>
                <w:szCs w:val="21"/>
                <w:highlight w:val="none"/>
                <w:lang w:val="en-US" w:eastAsia="zh-CN"/>
              </w:rPr>
              <w:t>整机交换容量 ≥600 Gbps；整机包转发率 ≥ 120 Mpps。</w:t>
            </w:r>
          </w:p>
        </w:tc>
        <w:tc>
          <w:tcPr>
            <w:tcW w:w="3796" w:type="dxa"/>
            <w:tcBorders>
              <w:tl2br w:val="nil"/>
              <w:tr2bl w:val="nil"/>
            </w:tcBorders>
            <w:shd w:val="clear" w:color="auto" w:fill="auto"/>
            <w:vAlign w:val="center"/>
          </w:tcPr>
          <w:p w14:paraId="65D4B0C6">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r>
      <w:tr w14:paraId="1BD62E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5036945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2B249476">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2B2812E7">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color w:val="auto"/>
                <w:sz w:val="21"/>
                <w:szCs w:val="21"/>
                <w:highlight w:val="none"/>
                <w:lang w:val="en-US" w:eastAsia="zh-CN"/>
              </w:rPr>
              <w:t>★3. PoE标准与功率：至少支持 IEEE 802.3at（PoE+），同时可POE供电端口≥24个；整机可用PoE功率 ≥ 370W。（实际供电需满足学校使用需求）。</w:t>
            </w:r>
          </w:p>
        </w:tc>
        <w:tc>
          <w:tcPr>
            <w:tcW w:w="3796" w:type="dxa"/>
            <w:tcBorders>
              <w:tl2br w:val="nil"/>
              <w:tr2bl w:val="nil"/>
            </w:tcBorders>
            <w:shd w:val="clear" w:color="auto" w:fill="auto"/>
            <w:vAlign w:val="center"/>
          </w:tcPr>
          <w:p w14:paraId="47DE9474">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color w:val="auto"/>
                <w:sz w:val="21"/>
                <w:szCs w:val="21"/>
                <w:highlight w:val="none"/>
                <w:lang w:val="en-US" w:eastAsia="zh-CN"/>
              </w:rPr>
              <w:t>提供原厂公开技术文档（白皮书、彩页、官网规格页截图及链接地址均可）</w:t>
            </w:r>
          </w:p>
        </w:tc>
      </w:tr>
      <w:tr w14:paraId="60F92A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676CFD8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32787B1F">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0995537C">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leftChars="0" w:firstLine="0" w:firstLineChars="0"/>
              <w:jc w:val="left"/>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color w:val="auto"/>
                <w:sz w:val="21"/>
                <w:szCs w:val="21"/>
                <w:highlight w:val="none"/>
                <w:lang w:val="en-US" w:eastAsia="zh-CN"/>
              </w:rPr>
              <w:t>★13. 电信设备进网许可（CTA）：所投产品必须具备工业和信息化部核发的有效《电信设备进网许可证》。</w:t>
            </w:r>
          </w:p>
        </w:tc>
        <w:tc>
          <w:tcPr>
            <w:tcW w:w="3796" w:type="dxa"/>
            <w:tcBorders>
              <w:tl2br w:val="nil"/>
              <w:tr2bl w:val="nil"/>
            </w:tcBorders>
            <w:shd w:val="clear" w:color="auto" w:fill="auto"/>
            <w:vAlign w:val="center"/>
          </w:tcPr>
          <w:p w14:paraId="2C9044E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color w:val="auto"/>
                <w:sz w:val="21"/>
                <w:szCs w:val="21"/>
                <w:highlight w:val="none"/>
                <w:lang w:val="en-US" w:eastAsia="zh-CN"/>
              </w:rPr>
              <w:t>投标时须提供：进网许可证清晰扫描件；工信部官网查询结果截图，显示设备型号、生产企业、许可证编号及状态为“有效”。</w:t>
            </w:r>
          </w:p>
        </w:tc>
      </w:tr>
      <w:tr w14:paraId="5A0D4E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restart"/>
            <w:tcBorders>
              <w:tl2br w:val="nil"/>
              <w:tr2bl w:val="nil"/>
            </w:tcBorders>
            <w:shd w:val="clear" w:color="auto" w:fill="auto"/>
            <w:vAlign w:val="center"/>
          </w:tcPr>
          <w:p w14:paraId="02B85ACC">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p w14:paraId="1A57F89B">
            <w:pPr>
              <w:keepNext w:val="0"/>
              <w:keepLines w:val="0"/>
              <w:pageBreakBefore w:val="0"/>
              <w:widowControl/>
              <w:suppressLineNumbers w:val="0"/>
              <w:kinsoku/>
              <w:wordWrap/>
              <w:overflowPunct/>
              <w:topLinePunct w:val="0"/>
              <w:autoSpaceDE/>
              <w:autoSpaceDN/>
              <w:bidi w:val="0"/>
              <w:adjustRightInd/>
              <w:snapToGrid/>
              <w:spacing w:line="360" w:lineRule="exact"/>
              <w:ind w:firstLine="211" w:firstLineChars="100"/>
              <w:jc w:val="both"/>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Theme="minorEastAsia" w:hAnsiTheme="minorEastAsia" w:eastAsiaTheme="minorEastAsia" w:cstheme="minorEastAsia"/>
                <w:b/>
                <w:bCs/>
                <w:i w:val="0"/>
                <w:iCs w:val="0"/>
                <w:color w:val="auto"/>
                <w:kern w:val="0"/>
                <w:sz w:val="21"/>
                <w:szCs w:val="21"/>
                <w:u w:val="none"/>
                <w:lang w:val="en-US" w:eastAsia="zh-CN" w:bidi="ar"/>
              </w:rPr>
              <w:t>5</w:t>
            </w:r>
          </w:p>
          <w:p w14:paraId="70EED203">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restart"/>
            <w:tcBorders>
              <w:tl2br w:val="nil"/>
              <w:tr2bl w:val="nil"/>
            </w:tcBorders>
            <w:shd w:val="clear" w:color="auto" w:fill="auto"/>
            <w:vAlign w:val="center"/>
          </w:tcPr>
          <w:p w14:paraId="3152464C">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8电口千兆POE交换机</w:t>
            </w:r>
          </w:p>
        </w:tc>
        <w:tc>
          <w:tcPr>
            <w:tcW w:w="2800" w:type="dxa"/>
            <w:tcBorders>
              <w:tl2br w:val="nil"/>
              <w:tr2bl w:val="nil"/>
            </w:tcBorders>
            <w:shd w:val="clear" w:color="auto" w:fill="auto"/>
            <w:vAlign w:val="center"/>
          </w:tcPr>
          <w:p w14:paraId="08F9AFF3">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宋体" w:hAnsi="宋体" w:eastAsia="宋体" w:cs="宋体"/>
                <w:b w:val="0"/>
                <w:bCs w:val="0"/>
                <w:color w:val="auto"/>
                <w:sz w:val="21"/>
                <w:szCs w:val="21"/>
                <w:highlight w:val="none"/>
                <w:lang w:val="en-US" w:eastAsia="zh-CN"/>
              </w:rPr>
              <w:t>★1.交换能力≥256Gbps ，包转发速率≥25Mpps，≥8个千兆电口，≥1个1G SPF千兆光口</w:t>
            </w:r>
            <w:r>
              <w:rPr>
                <w:rFonts w:hint="eastAsia" w:ascii="宋体" w:hAnsi="宋体" w:cs="宋体"/>
                <w:b w:val="0"/>
                <w:bCs w:val="0"/>
                <w:color w:val="auto"/>
                <w:sz w:val="21"/>
                <w:szCs w:val="21"/>
                <w:highlight w:val="none"/>
                <w:lang w:val="en-US" w:eastAsia="zh-CN"/>
              </w:rPr>
              <w:t>。</w:t>
            </w:r>
          </w:p>
        </w:tc>
        <w:tc>
          <w:tcPr>
            <w:tcW w:w="3796" w:type="dxa"/>
            <w:tcBorders>
              <w:tl2br w:val="nil"/>
              <w:tr2bl w:val="nil"/>
            </w:tcBorders>
            <w:shd w:val="clear" w:color="auto" w:fill="auto"/>
            <w:vAlign w:val="center"/>
          </w:tcPr>
          <w:p w14:paraId="47AB220F">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宋体" w:hAnsi="宋体" w:eastAsia="宋体" w:cs="宋体"/>
                <w:b w:val="0"/>
                <w:bCs w:val="0"/>
                <w:color w:val="auto"/>
                <w:sz w:val="21"/>
                <w:szCs w:val="21"/>
                <w:highlight w:val="none"/>
                <w:lang w:val="en-US" w:eastAsia="zh-CN"/>
              </w:rPr>
              <w:t>提供官网截图或原厂白皮书或检测报告加盖公章。</w:t>
            </w:r>
          </w:p>
        </w:tc>
      </w:tr>
      <w:tr w14:paraId="1F1A12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13DB267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72BD2039">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3C90F7AE">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宋体" w:hAnsi="宋体" w:eastAsia="宋体" w:cs="宋体"/>
                <w:b w:val="0"/>
                <w:bCs w:val="0"/>
                <w:color w:val="auto"/>
                <w:sz w:val="21"/>
                <w:szCs w:val="21"/>
                <w:highlight w:val="none"/>
                <w:lang w:val="en-US" w:eastAsia="zh-CN"/>
              </w:rPr>
              <w:t>★2.支持802.3at POE+功能 ；POE功率≥120W</w:t>
            </w:r>
            <w:r>
              <w:rPr>
                <w:rFonts w:hint="eastAsia" w:ascii="宋体" w:hAnsi="宋体" w:cs="宋体"/>
                <w:b w:val="0"/>
                <w:bCs w:val="0"/>
                <w:color w:val="auto"/>
                <w:sz w:val="21"/>
                <w:szCs w:val="21"/>
                <w:highlight w:val="none"/>
                <w:lang w:val="en-US" w:eastAsia="zh-CN"/>
              </w:rPr>
              <w:t>。</w:t>
            </w:r>
          </w:p>
        </w:tc>
        <w:tc>
          <w:tcPr>
            <w:tcW w:w="3796" w:type="dxa"/>
            <w:tcBorders>
              <w:tl2br w:val="nil"/>
              <w:tr2bl w:val="nil"/>
            </w:tcBorders>
            <w:shd w:val="clear" w:color="auto" w:fill="auto"/>
            <w:vAlign w:val="center"/>
          </w:tcPr>
          <w:p w14:paraId="300F7903">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宋体" w:hAnsi="宋体" w:eastAsia="宋体" w:cs="宋体"/>
                <w:b w:val="0"/>
                <w:bCs w:val="0"/>
                <w:color w:val="auto"/>
                <w:sz w:val="21"/>
                <w:szCs w:val="21"/>
                <w:highlight w:val="none"/>
                <w:lang w:val="en-US" w:eastAsia="zh-CN"/>
              </w:rPr>
              <w:t>提供原厂白皮书或者产品彩页或者官网截图（带链接）（实际供电需满足学校使用需求）。</w:t>
            </w:r>
          </w:p>
        </w:tc>
      </w:tr>
      <w:tr w14:paraId="55CC27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5BA2B38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6323BAA0">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6491283A">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leftChars="0" w:firstLine="0" w:firstLineChars="0"/>
              <w:jc w:val="left"/>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宋体" w:hAnsi="宋体" w:eastAsia="宋体" w:cs="宋体"/>
                <w:b w:val="0"/>
                <w:bCs w:val="0"/>
                <w:color w:val="auto"/>
                <w:sz w:val="21"/>
                <w:szCs w:val="21"/>
                <w:highlight w:val="none"/>
                <w:lang w:val="en-US" w:eastAsia="zh-CN"/>
              </w:rPr>
              <w:t>★11.所投产品具备工业和信息化部颁发的进网许可证（CTA认证）</w:t>
            </w:r>
            <w:r>
              <w:rPr>
                <w:rFonts w:hint="eastAsia" w:ascii="宋体" w:hAnsi="宋体" w:cs="宋体"/>
                <w:b w:val="0"/>
                <w:bCs w:val="0"/>
                <w:color w:val="auto"/>
                <w:sz w:val="21"/>
                <w:szCs w:val="21"/>
                <w:highlight w:val="none"/>
                <w:lang w:val="en-US" w:eastAsia="zh-CN"/>
              </w:rPr>
              <w:t>。</w:t>
            </w:r>
          </w:p>
        </w:tc>
        <w:tc>
          <w:tcPr>
            <w:tcW w:w="3796" w:type="dxa"/>
            <w:tcBorders>
              <w:tl2br w:val="nil"/>
              <w:tr2bl w:val="nil"/>
            </w:tcBorders>
            <w:shd w:val="clear" w:color="auto" w:fill="auto"/>
            <w:vAlign w:val="center"/>
          </w:tcPr>
          <w:p w14:paraId="697DEA1B">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宋体" w:hAnsi="宋体" w:eastAsia="宋体" w:cs="宋体"/>
                <w:b w:val="0"/>
                <w:bCs w:val="0"/>
                <w:color w:val="auto"/>
                <w:sz w:val="21"/>
                <w:szCs w:val="21"/>
                <w:highlight w:val="none"/>
                <w:lang w:val="en-US" w:eastAsia="zh-CN"/>
              </w:rPr>
              <w:t>提供证书扫描件和工信部网站查询的进网许可截图。</w:t>
            </w:r>
          </w:p>
        </w:tc>
      </w:tr>
    </w:tbl>
    <w:p w14:paraId="635D69A4">
      <w:pPr>
        <w:pStyle w:val="6"/>
        <w:numPr>
          <w:ilvl w:val="0"/>
          <w:numId w:val="73"/>
        </w:numPr>
        <w:topLinePunct w:val="0"/>
        <w:ind w:left="0" w:leftChars="0" w:firstLine="0" w:firstLineChars="0"/>
        <w:rPr>
          <w:b w:val="0"/>
        </w:rPr>
      </w:pPr>
      <w:r>
        <w:rPr>
          <w:rFonts w:hint="eastAsia"/>
          <w:lang w:val="en-US" w:eastAsia="zh-CN"/>
        </w:rPr>
        <w:t>常州市花园中学</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737"/>
        <w:gridCol w:w="1438"/>
        <w:gridCol w:w="2800"/>
        <w:gridCol w:w="3796"/>
      </w:tblGrid>
      <w:tr w14:paraId="5C858C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37" w:type="dxa"/>
            <w:tcBorders>
              <w:tl2br w:val="nil"/>
              <w:tr2bl w:val="nil"/>
            </w:tcBorders>
            <w:shd w:val="clear" w:color="auto" w:fill="auto"/>
            <w:vAlign w:val="center"/>
          </w:tcPr>
          <w:p w14:paraId="7736A0C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b/>
                <w:bCs/>
                <w:i w:val="0"/>
                <w:iCs w:val="0"/>
                <w:color w:val="auto"/>
                <w:kern w:val="0"/>
                <w:sz w:val="21"/>
                <w:szCs w:val="21"/>
                <w:u w:val="none"/>
                <w:lang w:val="en-US" w:eastAsia="zh-CN" w:bidi="ar"/>
              </w:rPr>
              <w:t>设备序号</w:t>
            </w:r>
          </w:p>
        </w:tc>
        <w:tc>
          <w:tcPr>
            <w:tcW w:w="1438" w:type="dxa"/>
            <w:tcBorders>
              <w:tl2br w:val="nil"/>
              <w:tr2bl w:val="nil"/>
            </w:tcBorders>
            <w:shd w:val="clear" w:color="auto" w:fill="auto"/>
            <w:vAlign w:val="center"/>
          </w:tcPr>
          <w:p w14:paraId="605657D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sz w:val="21"/>
                <w:szCs w:val="21"/>
                <w:u w:val="none"/>
                <w:lang w:val="en-US"/>
              </w:rPr>
            </w:pPr>
            <w:r>
              <w:rPr>
                <w:rFonts w:hint="eastAsia" w:asciiTheme="minorEastAsia" w:hAnsiTheme="minorEastAsia" w:eastAsiaTheme="minorEastAsia" w:cstheme="minorEastAsia"/>
                <w:b/>
                <w:bCs/>
                <w:i w:val="0"/>
                <w:iCs w:val="0"/>
                <w:color w:val="auto"/>
                <w:kern w:val="0"/>
                <w:sz w:val="21"/>
                <w:szCs w:val="21"/>
                <w:u w:val="none"/>
                <w:lang w:val="en-US" w:eastAsia="zh-CN" w:bidi="ar"/>
              </w:rPr>
              <w:t>设备名称</w:t>
            </w:r>
          </w:p>
        </w:tc>
        <w:tc>
          <w:tcPr>
            <w:tcW w:w="2800" w:type="dxa"/>
            <w:tcBorders>
              <w:tl2br w:val="nil"/>
              <w:tr2bl w:val="nil"/>
            </w:tcBorders>
            <w:shd w:val="clear" w:color="auto" w:fill="auto"/>
            <w:vAlign w:val="center"/>
          </w:tcPr>
          <w:p w14:paraId="06C012A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sz w:val="21"/>
                <w:szCs w:val="21"/>
                <w:u w:val="none"/>
                <w:lang w:val="en-US"/>
              </w:rPr>
            </w:pPr>
            <w:r>
              <w:rPr>
                <w:rFonts w:hint="eastAsia" w:asciiTheme="minorEastAsia" w:hAnsiTheme="minorEastAsia" w:eastAsiaTheme="minorEastAsia" w:cstheme="minorEastAsia"/>
                <w:b/>
                <w:bCs/>
                <w:i w:val="0"/>
                <w:iCs w:val="0"/>
                <w:color w:val="auto"/>
                <w:kern w:val="0"/>
                <w:sz w:val="21"/>
                <w:szCs w:val="21"/>
                <w:u w:val="none"/>
                <w:lang w:val="en-US" w:eastAsia="zh-CN" w:bidi="ar"/>
              </w:rPr>
              <w:t>技术参数或要求</w:t>
            </w:r>
          </w:p>
        </w:tc>
        <w:tc>
          <w:tcPr>
            <w:tcW w:w="3796" w:type="dxa"/>
            <w:tcBorders>
              <w:tl2br w:val="nil"/>
              <w:tr2bl w:val="nil"/>
            </w:tcBorders>
            <w:shd w:val="clear" w:color="auto" w:fill="auto"/>
            <w:vAlign w:val="center"/>
          </w:tcPr>
          <w:p w14:paraId="21E8D45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sz w:val="21"/>
                <w:szCs w:val="21"/>
                <w:u w:val="none"/>
                <w:lang w:val="en-US"/>
              </w:rPr>
            </w:pPr>
            <w:r>
              <w:rPr>
                <w:rFonts w:hint="eastAsia" w:asciiTheme="minorEastAsia" w:hAnsiTheme="minorEastAsia" w:eastAsiaTheme="minorEastAsia" w:cstheme="minorEastAsia"/>
                <w:b/>
                <w:bCs/>
                <w:i w:val="0"/>
                <w:iCs w:val="0"/>
                <w:color w:val="auto"/>
                <w:kern w:val="0"/>
                <w:sz w:val="21"/>
                <w:szCs w:val="21"/>
                <w:u w:val="none"/>
                <w:lang w:val="en-US" w:eastAsia="zh-CN" w:bidi="ar"/>
              </w:rPr>
              <w:t>证明材料</w:t>
            </w:r>
          </w:p>
        </w:tc>
      </w:tr>
      <w:tr w14:paraId="6B5461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37" w:type="dxa"/>
            <w:vMerge w:val="restart"/>
            <w:tcBorders>
              <w:tl2br w:val="nil"/>
              <w:tr2bl w:val="nil"/>
            </w:tcBorders>
            <w:shd w:val="clear" w:color="auto" w:fill="auto"/>
            <w:vAlign w:val="center"/>
          </w:tcPr>
          <w:p w14:paraId="04E54855">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default" w:asciiTheme="minorEastAsia" w:hAnsiTheme="minorEastAsia" w:eastAsiaTheme="minorEastAsia" w:cstheme="minorEastAsia"/>
                <w:b/>
                <w:bCs/>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1</w:t>
            </w:r>
          </w:p>
        </w:tc>
        <w:tc>
          <w:tcPr>
            <w:tcW w:w="1438" w:type="dxa"/>
            <w:vMerge w:val="restart"/>
            <w:tcBorders>
              <w:tl2br w:val="nil"/>
              <w:tr2bl w:val="nil"/>
            </w:tcBorders>
            <w:shd w:val="clear" w:color="auto" w:fill="auto"/>
            <w:vAlign w:val="center"/>
          </w:tcPr>
          <w:p w14:paraId="529CE8F4">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六类4对非屏蔽双绞线</w:t>
            </w:r>
          </w:p>
        </w:tc>
        <w:tc>
          <w:tcPr>
            <w:tcW w:w="2800" w:type="dxa"/>
            <w:tcBorders>
              <w:tl2br w:val="nil"/>
              <w:tr2bl w:val="nil"/>
            </w:tcBorders>
            <w:shd w:val="clear" w:color="auto" w:fill="auto"/>
            <w:vAlign w:val="center"/>
          </w:tcPr>
          <w:p w14:paraId="7DFFE706">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leftChars="0" w:firstLine="0" w:firstLineChars="0"/>
              <w:jc w:val="left"/>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★1.线规：6类电缆（250MHz），23AWG、导体材料为纯度不低于99.9%实心无氧铜（OFC），线芯：带十字芯骨架。</w:t>
            </w:r>
          </w:p>
        </w:tc>
        <w:tc>
          <w:tcPr>
            <w:tcW w:w="3796" w:type="dxa"/>
            <w:tcBorders>
              <w:tl2br w:val="nil"/>
              <w:tr2bl w:val="nil"/>
            </w:tcBorders>
            <w:shd w:val="clear" w:color="auto" w:fill="auto"/>
            <w:vAlign w:val="center"/>
          </w:tcPr>
          <w:p w14:paraId="5B515FF8">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提供所投产品符合现行国家或行业标准的检测报告原件关键页扫描件或者提供所投产品生产企业的产品技术规格书；提供检测报告的，检测依据应符合相关标准并按第四章商务要求（其他要求的第2条）中明确的要求、提供相关佐证材料。</w:t>
            </w:r>
          </w:p>
        </w:tc>
      </w:tr>
      <w:tr w14:paraId="74B706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1149A78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5312BDB9">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2800" w:type="dxa"/>
            <w:tcBorders>
              <w:tl2br w:val="nil"/>
              <w:tr2bl w:val="nil"/>
            </w:tcBorders>
            <w:shd w:val="clear" w:color="auto" w:fill="auto"/>
            <w:vAlign w:val="center"/>
          </w:tcPr>
          <w:p w14:paraId="37CCE7F3">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leftChars="0" w:firstLine="0" w:firstLineChars="0"/>
              <w:jc w:val="left"/>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提供所投六类非屏蔽低烟无卤双绞线不少于以下技术参数的检测报告：单根导体直流电阻、近端串音衰减(NEXT)、近端串音衰减功率和（PSNEXT）、衰减远端串音比(ACR-F)、衰减远端串音比功率和(PSACR-F)、特性阻抗(Zm)、回波损耗（ReturnLoss）。</w:t>
            </w:r>
          </w:p>
        </w:tc>
        <w:tc>
          <w:tcPr>
            <w:tcW w:w="3796" w:type="dxa"/>
            <w:tcBorders>
              <w:tl2br w:val="nil"/>
              <w:tr2bl w:val="nil"/>
            </w:tcBorders>
            <w:shd w:val="clear" w:color="auto" w:fill="auto"/>
            <w:vAlign w:val="center"/>
          </w:tcPr>
          <w:p w14:paraId="0871687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提供所投产品的检测报告原件扫描件（依据YD/T1019-2023等现行国家或行业标准），检测报告数量不作要求；按第四章商务要求（其他要求的第2条）中明确的要求、提供相关佐证材料。</w:t>
            </w:r>
          </w:p>
        </w:tc>
      </w:tr>
      <w:tr w14:paraId="15E807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4FD753D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29724C65">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2800" w:type="dxa"/>
            <w:tcBorders>
              <w:tl2br w:val="nil"/>
              <w:tr2bl w:val="nil"/>
            </w:tcBorders>
            <w:shd w:val="clear" w:color="auto" w:fill="auto"/>
            <w:vAlign w:val="center"/>
          </w:tcPr>
          <w:p w14:paraId="06184112">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leftChars="0" w:firstLine="0" w:firstLineChars="0"/>
              <w:jc w:val="left"/>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★4.燃烧性能要求：所投六类非屏蔽低烟无卤双绞线至少达到单根电缆火焰垂直蔓延试验要求。</w:t>
            </w:r>
          </w:p>
        </w:tc>
        <w:tc>
          <w:tcPr>
            <w:tcW w:w="3796" w:type="dxa"/>
            <w:tcBorders>
              <w:tl2br w:val="nil"/>
              <w:tr2bl w:val="nil"/>
            </w:tcBorders>
            <w:shd w:val="clear" w:color="auto" w:fill="auto"/>
            <w:vAlign w:val="center"/>
          </w:tcPr>
          <w:p w14:paraId="23CE7DCA">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提供所投产品检测报告原件扫描件（符合GB/T18380.12-2022或IEC60332-1-2：2015标准中的单根电缆火焰垂直蔓延试验要求）；按第四章商务要求（其他要求的第2条）中明确的要求、提供相关佐证材料。</w:t>
            </w:r>
          </w:p>
        </w:tc>
      </w:tr>
      <w:tr w14:paraId="0293BE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01B4DE5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493D7D85">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2800" w:type="dxa"/>
            <w:tcBorders>
              <w:tl2br w:val="nil"/>
              <w:tr2bl w:val="nil"/>
            </w:tcBorders>
            <w:shd w:val="clear" w:color="auto" w:fill="auto"/>
            <w:vAlign w:val="center"/>
          </w:tcPr>
          <w:p w14:paraId="6384B1FD">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leftChars="0" w:firstLine="0" w:firstLineChars="0"/>
              <w:jc w:val="left"/>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★5.烟密度：透光率应不小于50%。</w:t>
            </w:r>
          </w:p>
        </w:tc>
        <w:tc>
          <w:tcPr>
            <w:tcW w:w="3796" w:type="dxa"/>
            <w:tcBorders>
              <w:tl2br w:val="nil"/>
              <w:tr2bl w:val="nil"/>
            </w:tcBorders>
            <w:shd w:val="clear" w:color="auto" w:fill="auto"/>
            <w:vAlign w:val="center"/>
          </w:tcPr>
          <w:p w14:paraId="66035C7B">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提供所投产品的检测报告原件关键页扫描件（符合GB/T17651.2-2021或IEC61034-2:2019标准）；按第四章商务要求（其他要求的第2条）中明确的要求、提供相关佐证材料。</w:t>
            </w:r>
          </w:p>
        </w:tc>
      </w:tr>
      <w:tr w14:paraId="095B68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3F3DADA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6CF708A3">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2800" w:type="dxa"/>
            <w:tcBorders>
              <w:tl2br w:val="nil"/>
              <w:tr2bl w:val="nil"/>
            </w:tcBorders>
            <w:shd w:val="clear" w:color="auto" w:fill="auto"/>
            <w:vAlign w:val="center"/>
          </w:tcPr>
          <w:p w14:paraId="590597C7">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leftChars="0" w:firstLine="0" w:firstLineChars="0"/>
              <w:jc w:val="left"/>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★6.提供承诺函，承诺所投产品符合YD/T1019-2023等现行国家或行业标准针对双绞多芯对称电缆的要求，格式自拟。</w:t>
            </w:r>
          </w:p>
        </w:tc>
        <w:tc>
          <w:tcPr>
            <w:tcW w:w="3796" w:type="dxa"/>
            <w:tcBorders>
              <w:tl2br w:val="nil"/>
              <w:tr2bl w:val="nil"/>
            </w:tcBorders>
            <w:shd w:val="clear" w:color="auto" w:fill="auto"/>
            <w:vAlign w:val="center"/>
          </w:tcPr>
          <w:p w14:paraId="796D0678">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提供承诺函，承诺所投产品符合YD/T1019-2023等现行国家或行业标准针对双绞多芯对称电缆的要求，格式自拟。</w:t>
            </w:r>
          </w:p>
        </w:tc>
      </w:tr>
      <w:tr w14:paraId="259149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restart"/>
            <w:tcBorders>
              <w:tl2br w:val="nil"/>
              <w:tr2bl w:val="nil"/>
            </w:tcBorders>
            <w:shd w:val="clear" w:color="auto" w:fill="auto"/>
            <w:vAlign w:val="center"/>
          </w:tcPr>
          <w:p w14:paraId="6A0BEEF7">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default" w:asciiTheme="minorEastAsia" w:hAnsiTheme="minorEastAsia" w:eastAsiaTheme="minorEastAsia" w:cstheme="minorEastAsia"/>
                <w:b/>
                <w:bCs/>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3</w:t>
            </w:r>
          </w:p>
        </w:tc>
        <w:tc>
          <w:tcPr>
            <w:tcW w:w="1438" w:type="dxa"/>
            <w:vMerge w:val="restart"/>
            <w:tcBorders>
              <w:tl2br w:val="nil"/>
              <w:tr2bl w:val="nil"/>
            </w:tcBorders>
            <w:shd w:val="clear" w:color="auto" w:fill="auto"/>
            <w:vAlign w:val="center"/>
          </w:tcPr>
          <w:p w14:paraId="1370C6A3">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高清网络摄像机</w:t>
            </w:r>
          </w:p>
        </w:tc>
        <w:tc>
          <w:tcPr>
            <w:tcW w:w="2800" w:type="dxa"/>
            <w:tcBorders>
              <w:tl2br w:val="nil"/>
              <w:tr2bl w:val="nil"/>
            </w:tcBorders>
            <w:shd w:val="clear" w:color="auto" w:fill="auto"/>
            <w:vAlign w:val="center"/>
          </w:tcPr>
          <w:p w14:paraId="289FEA12">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★2.像素≥400万或最大分辨率≥2560×1440。</w:t>
            </w:r>
          </w:p>
        </w:tc>
        <w:tc>
          <w:tcPr>
            <w:tcW w:w="3796" w:type="dxa"/>
            <w:tcBorders>
              <w:tl2br w:val="nil"/>
              <w:tr2bl w:val="nil"/>
            </w:tcBorders>
            <w:shd w:val="clear" w:color="auto" w:fill="auto"/>
            <w:vAlign w:val="center"/>
          </w:tcPr>
          <w:p w14:paraId="2609D80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imes New Roman" w:hAnsi="Times New Roman" w:eastAsia="宋体" w:cs="Times New Roman"/>
                <w:color w:val="auto"/>
                <w:kern w:val="2"/>
                <w:sz w:val="21"/>
                <w:szCs w:val="24"/>
                <w:lang w:val="en-US" w:eastAsia="zh-CN" w:bidi="ar-SA"/>
              </w:rPr>
            </w:pPr>
            <w:r>
              <w:rPr>
                <w:rFonts w:hint="eastAsia" w:ascii="宋体" w:hAnsi="宋体" w:eastAsia="宋体" w:cs="宋体"/>
                <w:b w:val="0"/>
                <w:bCs w:val="0"/>
                <w:i w:val="0"/>
                <w:iCs w:val="0"/>
                <w:color w:val="auto"/>
                <w:kern w:val="0"/>
                <w:sz w:val="21"/>
                <w:szCs w:val="21"/>
                <w:highlight w:val="none"/>
                <w:u w:val="none"/>
                <w:lang w:val="en-US" w:eastAsia="zh-CN" w:bidi="ar"/>
              </w:rPr>
              <w:t>提供所投产品</w:t>
            </w:r>
            <w:r>
              <w:rPr>
                <w:rFonts w:hint="eastAsia" w:ascii="宋体" w:hAnsi="宋体" w:eastAsia="宋体" w:cs="宋体"/>
                <w:b w:val="0"/>
                <w:bCs w:val="0"/>
                <w:color w:val="auto"/>
                <w:sz w:val="21"/>
                <w:szCs w:val="21"/>
                <w:highlight w:val="none"/>
                <w:u w:val="none"/>
                <w:lang w:bidi="ar"/>
              </w:rPr>
              <w:t>由具备有效CMA资质的检测机构出具的封面盖有CMA专用印章的检测报告原件关键页扫描件(</w:t>
            </w:r>
            <w:r>
              <w:rPr>
                <w:rFonts w:hint="eastAsia" w:ascii="宋体" w:hAnsi="宋体" w:eastAsia="宋体" w:cs="宋体"/>
                <w:b w:val="0"/>
                <w:bCs w:val="0"/>
                <w:i w:val="0"/>
                <w:iCs w:val="0"/>
                <w:color w:val="auto"/>
                <w:kern w:val="0"/>
                <w:sz w:val="21"/>
                <w:szCs w:val="21"/>
                <w:highlight w:val="none"/>
                <w:u w:val="none"/>
                <w:lang w:val="en-US" w:eastAsia="zh-CN" w:bidi="ar"/>
              </w:rPr>
              <w:t>依据标准GA/T 1127-2013等现行国家标准</w:t>
            </w:r>
            <w:r>
              <w:rPr>
                <w:rFonts w:hint="eastAsia" w:ascii="宋体" w:hAnsi="宋体" w:eastAsia="宋体" w:cs="宋体"/>
                <w:b w:val="0"/>
                <w:bCs w:val="0"/>
                <w:color w:val="auto"/>
                <w:sz w:val="21"/>
                <w:szCs w:val="21"/>
                <w:highlight w:val="none"/>
                <w:u w:val="none"/>
                <w:lang w:bidi="ar"/>
              </w:rPr>
              <w:t>）</w:t>
            </w: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591D2E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1973777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04EC8A20">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0D115F8A">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★3.具备最低照度彩色不劣于0.001Lux，黑白不劣于0.0001Lux。</w:t>
            </w:r>
          </w:p>
        </w:tc>
        <w:tc>
          <w:tcPr>
            <w:tcW w:w="3796" w:type="dxa"/>
            <w:tcBorders>
              <w:tl2br w:val="nil"/>
              <w:tr2bl w:val="nil"/>
            </w:tcBorders>
            <w:shd w:val="clear" w:color="auto" w:fill="auto"/>
            <w:vAlign w:val="center"/>
          </w:tcPr>
          <w:p w14:paraId="26C847F7">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imes New Roman" w:hAnsi="Times New Roman" w:eastAsia="宋体" w:cs="Times New Roman"/>
                <w:color w:val="auto"/>
                <w:kern w:val="2"/>
                <w:sz w:val="21"/>
                <w:szCs w:val="24"/>
                <w:lang w:val="en-US" w:eastAsia="zh-CN" w:bidi="ar-SA"/>
              </w:rPr>
            </w:pPr>
            <w:r>
              <w:rPr>
                <w:rFonts w:hint="eastAsia" w:ascii="宋体" w:hAnsi="宋体" w:eastAsia="宋体" w:cs="宋体"/>
                <w:b w:val="0"/>
                <w:bCs w:val="0"/>
                <w:i w:val="0"/>
                <w:iCs w:val="0"/>
                <w:color w:val="auto"/>
                <w:sz w:val="21"/>
                <w:szCs w:val="21"/>
                <w:highlight w:val="none"/>
                <w:u w:val="none"/>
                <w:lang w:val="en-US" w:eastAsia="zh-CN" w:bidi="ar"/>
              </w:rPr>
              <w:t>提供第三方机构出具的具有CMA标志的检测报告（依据标准</w:t>
            </w:r>
            <w:r>
              <w:rPr>
                <w:rFonts w:hint="eastAsia" w:ascii="宋体" w:hAnsi="宋体" w:eastAsia="宋体" w:cs="宋体"/>
                <w:b w:val="0"/>
                <w:bCs w:val="0"/>
                <w:i w:val="0"/>
                <w:iCs w:val="0"/>
                <w:color w:val="auto"/>
                <w:kern w:val="0"/>
                <w:sz w:val="21"/>
                <w:szCs w:val="21"/>
                <w:highlight w:val="none"/>
                <w:u w:val="none"/>
                <w:lang w:val="en-US" w:eastAsia="zh-CN" w:bidi="ar"/>
              </w:rPr>
              <w:t>GA/T 1127-2013或</w:t>
            </w:r>
            <w:r>
              <w:rPr>
                <w:rFonts w:hint="eastAsia" w:ascii="宋体" w:hAnsi="宋体" w:eastAsia="宋体" w:cs="宋体"/>
                <w:b w:val="0"/>
                <w:bCs w:val="0"/>
                <w:i w:val="0"/>
                <w:iCs w:val="0"/>
                <w:color w:val="auto"/>
                <w:sz w:val="21"/>
                <w:szCs w:val="21"/>
                <w:highlight w:val="none"/>
                <w:u w:val="none"/>
                <w:lang w:val="en-US" w:eastAsia="zh-CN" w:bidi="ar"/>
              </w:rPr>
              <w:t>GB 16796-2022</w:t>
            </w:r>
            <w:r>
              <w:rPr>
                <w:rFonts w:hint="eastAsia" w:ascii="宋体" w:hAnsi="宋体" w:eastAsia="宋体" w:cs="宋体"/>
                <w:b w:val="0"/>
                <w:bCs w:val="0"/>
                <w:color w:val="auto"/>
                <w:sz w:val="21"/>
                <w:szCs w:val="21"/>
                <w:highlight w:val="none"/>
                <w:u w:val="none"/>
                <w:lang w:bidi="ar"/>
              </w:rPr>
              <w:t>或GB/T 15211-2013</w:t>
            </w:r>
            <w:r>
              <w:rPr>
                <w:rFonts w:hint="eastAsia" w:ascii="宋体" w:hAnsi="宋体" w:eastAsia="宋体" w:cs="宋体"/>
                <w:b w:val="0"/>
                <w:bCs w:val="0"/>
                <w:i w:val="0"/>
                <w:iCs w:val="0"/>
                <w:color w:val="auto"/>
                <w:sz w:val="21"/>
                <w:szCs w:val="21"/>
                <w:highlight w:val="none"/>
                <w:u w:val="none"/>
                <w:lang w:val="en-US" w:eastAsia="zh-CN" w:bidi="ar"/>
              </w:rPr>
              <w:t>等现行国家标准）</w:t>
            </w:r>
            <w:r>
              <w:rPr>
                <w:rFonts w:hint="eastAsia" w:ascii="宋体" w:hAnsi="宋体" w:eastAsia="宋体" w:cs="宋体"/>
                <w:b w:val="0"/>
                <w:bCs w:val="0"/>
                <w:color w:val="auto"/>
                <w:sz w:val="21"/>
                <w:szCs w:val="21"/>
                <w:highlight w:val="none"/>
                <w:u w:val="none"/>
                <w:lang w:val="en-US" w:eastAsia="zh-CN" w:bidi="ar"/>
              </w:rPr>
              <w:t>。</w:t>
            </w:r>
          </w:p>
        </w:tc>
      </w:tr>
      <w:tr w14:paraId="224B43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0E43CBF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79C3F657">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679864F1">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jc w:val="left"/>
              <w:textAlignment w:val="top"/>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★7.宽动态能力综合得分≥80。</w:t>
            </w:r>
          </w:p>
        </w:tc>
        <w:tc>
          <w:tcPr>
            <w:tcW w:w="3796" w:type="dxa"/>
            <w:tcBorders>
              <w:tl2br w:val="nil"/>
              <w:tr2bl w:val="nil"/>
            </w:tcBorders>
            <w:shd w:val="clear" w:color="auto" w:fill="auto"/>
            <w:vAlign w:val="center"/>
          </w:tcPr>
          <w:p w14:paraId="65291387">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imes New Roman" w:hAnsi="Times New Roman" w:eastAsia="宋体" w:cs="Times New Roman"/>
                <w:color w:val="auto"/>
                <w:kern w:val="2"/>
                <w:sz w:val="21"/>
                <w:szCs w:val="24"/>
                <w:lang w:val="en-US" w:eastAsia="zh-CN" w:bidi="ar-SA"/>
              </w:rPr>
            </w:pPr>
            <w:r>
              <w:rPr>
                <w:rFonts w:hint="eastAsia" w:ascii="宋体" w:hAnsi="宋体" w:eastAsia="宋体" w:cs="宋体"/>
                <w:b w:val="0"/>
                <w:bCs w:val="0"/>
                <w:i w:val="0"/>
                <w:iCs w:val="0"/>
                <w:color w:val="auto"/>
                <w:kern w:val="0"/>
                <w:sz w:val="21"/>
                <w:szCs w:val="21"/>
                <w:highlight w:val="none"/>
                <w:u w:val="none"/>
                <w:lang w:val="en-US" w:eastAsia="zh-CN" w:bidi="ar"/>
              </w:rPr>
              <w:t>提供所投产品</w:t>
            </w:r>
            <w:r>
              <w:rPr>
                <w:rFonts w:hint="eastAsia" w:ascii="宋体" w:hAnsi="宋体" w:eastAsia="宋体" w:cs="宋体"/>
                <w:b w:val="0"/>
                <w:bCs w:val="0"/>
                <w:color w:val="auto"/>
                <w:sz w:val="21"/>
                <w:szCs w:val="21"/>
                <w:highlight w:val="none"/>
                <w:u w:val="none"/>
                <w:lang w:bidi="ar"/>
              </w:rPr>
              <w:t>由具备有效CMA资质的检测机构出具的封面盖有CMA专用印章的检测报告原件关键页扫描件(</w:t>
            </w:r>
            <w:r>
              <w:rPr>
                <w:rFonts w:hint="eastAsia" w:ascii="宋体" w:hAnsi="宋体" w:eastAsia="宋体" w:cs="宋体"/>
                <w:b w:val="0"/>
                <w:bCs w:val="0"/>
                <w:i w:val="0"/>
                <w:iCs w:val="0"/>
                <w:color w:val="auto"/>
                <w:kern w:val="0"/>
                <w:sz w:val="21"/>
                <w:szCs w:val="21"/>
                <w:highlight w:val="none"/>
                <w:u w:val="none"/>
                <w:lang w:val="en-US" w:eastAsia="zh-CN" w:bidi="ar"/>
              </w:rPr>
              <w:t>依据标准GA/T 1127-2013等现行国家标准</w:t>
            </w:r>
            <w:r>
              <w:rPr>
                <w:rFonts w:hint="eastAsia" w:ascii="宋体" w:hAnsi="宋体" w:eastAsia="宋体" w:cs="宋体"/>
                <w:b w:val="0"/>
                <w:bCs w:val="0"/>
                <w:color w:val="auto"/>
                <w:sz w:val="21"/>
                <w:szCs w:val="21"/>
                <w:highlight w:val="none"/>
                <w:u w:val="none"/>
                <w:lang w:bidi="ar"/>
              </w:rPr>
              <w:t>）</w:t>
            </w: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4D355A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3071715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5F892384">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1D197D87">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jc w:val="left"/>
              <w:textAlignment w:val="top"/>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★8.具备H.265、H.264、MJPEG视频编码格式，音频编码：G.711、AAC。</w:t>
            </w:r>
          </w:p>
        </w:tc>
        <w:tc>
          <w:tcPr>
            <w:tcW w:w="3796" w:type="dxa"/>
            <w:tcBorders>
              <w:tl2br w:val="nil"/>
              <w:tr2bl w:val="nil"/>
            </w:tcBorders>
            <w:shd w:val="clear" w:color="auto" w:fill="auto"/>
            <w:vAlign w:val="center"/>
          </w:tcPr>
          <w:p w14:paraId="585D7A2B">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jc w:val="left"/>
              <w:textAlignment w:val="top"/>
              <w:rPr>
                <w:rFonts w:hint="eastAsia" w:ascii="Times New Roman" w:hAnsi="Times New Roman" w:eastAsia="宋体" w:cs="Times New Roman"/>
                <w:color w:val="auto"/>
                <w:kern w:val="2"/>
                <w:sz w:val="21"/>
                <w:szCs w:val="24"/>
                <w:lang w:val="en-US" w:eastAsia="zh-CN" w:bidi="ar-SA"/>
              </w:rPr>
            </w:pPr>
            <w:r>
              <w:rPr>
                <w:rFonts w:hint="eastAsia" w:ascii="宋体" w:hAnsi="宋体" w:eastAsia="宋体" w:cs="宋体"/>
                <w:b w:val="0"/>
                <w:bCs w:val="0"/>
                <w:i w:val="0"/>
                <w:iCs w:val="0"/>
                <w:color w:val="auto"/>
                <w:kern w:val="0"/>
                <w:sz w:val="21"/>
                <w:szCs w:val="21"/>
                <w:highlight w:val="none"/>
                <w:u w:val="none"/>
                <w:lang w:val="en-US" w:eastAsia="zh-CN" w:bidi="ar"/>
              </w:rPr>
              <w:t>提供原厂公开技术文档（白皮书、彩页、官网规格页截图及链接地址）。内置MIC（根据项目需求确定）。</w:t>
            </w:r>
          </w:p>
        </w:tc>
      </w:tr>
      <w:tr w14:paraId="088C22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4B1964D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5BA871B0">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50AAAA8F">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jc w:val="left"/>
              <w:textAlignment w:val="top"/>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★10.具备绊线或越界入侵、区域入侵、徘徊、人员聚集、停车、物品遗留或搬移（移除）等行为分析功能，具备联动抓拍或录像、报警。</w:t>
            </w:r>
          </w:p>
        </w:tc>
        <w:tc>
          <w:tcPr>
            <w:tcW w:w="3796" w:type="dxa"/>
            <w:tcBorders>
              <w:tl2br w:val="nil"/>
              <w:tr2bl w:val="nil"/>
            </w:tcBorders>
            <w:shd w:val="clear" w:color="auto" w:fill="auto"/>
            <w:vAlign w:val="center"/>
          </w:tcPr>
          <w:p w14:paraId="2ABD7858">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imes New Roman" w:hAnsi="Times New Roman" w:eastAsia="宋体" w:cs="Times New Roman"/>
                <w:color w:val="auto"/>
                <w:kern w:val="2"/>
                <w:sz w:val="21"/>
                <w:szCs w:val="24"/>
                <w:lang w:val="en-US" w:eastAsia="zh-CN" w:bidi="ar-SA"/>
              </w:rPr>
            </w:pPr>
            <w:r>
              <w:rPr>
                <w:rFonts w:hint="eastAsia" w:ascii="宋体" w:hAnsi="宋体" w:eastAsia="宋体" w:cs="宋体"/>
                <w:b w:val="0"/>
                <w:bCs w:val="0"/>
                <w:i w:val="0"/>
                <w:iCs w:val="0"/>
                <w:color w:val="auto"/>
                <w:kern w:val="0"/>
                <w:sz w:val="21"/>
                <w:szCs w:val="21"/>
                <w:highlight w:val="none"/>
                <w:u w:val="none"/>
                <w:lang w:val="en-US" w:eastAsia="zh-CN" w:bidi="ar"/>
              </w:rPr>
              <w:t>提供所投产品原厂技术白皮书。</w:t>
            </w:r>
          </w:p>
        </w:tc>
      </w:tr>
      <w:tr w14:paraId="236146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72B324B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1774F3CD">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55AFC34C">
            <w:pPr>
              <w:pStyle w:val="15"/>
              <w:keepNext w:val="0"/>
              <w:keepLines w:val="0"/>
              <w:pageBreakBefore w:val="0"/>
              <w:kinsoku/>
              <w:wordWrap/>
              <w:overflowPunct/>
              <w:topLinePunct w:val="0"/>
              <w:autoSpaceDE/>
              <w:autoSpaceDN/>
              <w:bidi w:val="0"/>
              <w:adjustRightInd/>
              <w:snapToGrid/>
              <w:spacing w:line="400" w:lineRule="exact"/>
              <w:ind w:left="0" w:leftChars="0"/>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★16.符合GB/T 28181现行协议标准。</w:t>
            </w:r>
          </w:p>
        </w:tc>
        <w:tc>
          <w:tcPr>
            <w:tcW w:w="3796" w:type="dxa"/>
            <w:tcBorders>
              <w:tl2br w:val="nil"/>
              <w:tr2bl w:val="nil"/>
            </w:tcBorders>
            <w:shd w:val="clear" w:color="auto" w:fill="auto"/>
            <w:vAlign w:val="center"/>
          </w:tcPr>
          <w:p w14:paraId="5AF328B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imes New Roman" w:hAnsi="Times New Roman" w:eastAsia="宋体" w:cs="Times New Roman"/>
                <w:color w:val="auto"/>
                <w:kern w:val="2"/>
                <w:sz w:val="21"/>
                <w:szCs w:val="24"/>
                <w:lang w:val="en-US" w:eastAsia="zh-CN" w:bidi="ar-SA"/>
              </w:rPr>
            </w:pPr>
            <w:r>
              <w:rPr>
                <w:rFonts w:hint="eastAsia" w:ascii="宋体" w:hAnsi="宋体" w:eastAsia="宋体" w:cs="宋体"/>
                <w:b w:val="0"/>
                <w:bCs w:val="0"/>
                <w:i w:val="0"/>
                <w:iCs w:val="0"/>
                <w:color w:val="auto"/>
                <w:kern w:val="0"/>
                <w:sz w:val="21"/>
                <w:szCs w:val="21"/>
                <w:highlight w:val="none"/>
                <w:u w:val="none"/>
                <w:lang w:val="en-US" w:eastAsia="zh-CN" w:bidi="ar"/>
              </w:rPr>
              <w:t>提供所投产品原厂公开技术文档（白皮书、彩页、官网规格页截图及链接地址）或提供承诺函（格式自拟）。</w:t>
            </w:r>
          </w:p>
        </w:tc>
      </w:tr>
      <w:tr w14:paraId="4AE3BD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5C75DA7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6EE52036">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6E7B5D46">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jc w:val="left"/>
              <w:textAlignment w:val="top"/>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★19.浪涌（冲击）抗扰度测试、防浪涌。</w:t>
            </w:r>
          </w:p>
        </w:tc>
        <w:tc>
          <w:tcPr>
            <w:tcW w:w="3796" w:type="dxa"/>
            <w:tcBorders>
              <w:tl2br w:val="nil"/>
              <w:tr2bl w:val="nil"/>
            </w:tcBorders>
            <w:shd w:val="clear" w:color="auto" w:fill="auto"/>
            <w:vAlign w:val="center"/>
          </w:tcPr>
          <w:p w14:paraId="031AADA4">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imes New Roman" w:hAnsi="Times New Roman" w:eastAsia="宋体" w:cs="Times New Roman"/>
                <w:color w:val="auto"/>
                <w:kern w:val="2"/>
                <w:sz w:val="21"/>
                <w:szCs w:val="24"/>
                <w:lang w:val="en-US" w:eastAsia="zh-CN" w:bidi="ar-SA"/>
              </w:rPr>
            </w:pPr>
            <w:r>
              <w:rPr>
                <w:rFonts w:hint="eastAsia" w:ascii="宋体" w:hAnsi="宋体" w:eastAsia="宋体" w:cs="宋体"/>
                <w:b w:val="0"/>
                <w:bCs w:val="0"/>
                <w:color w:val="auto"/>
                <w:sz w:val="21"/>
                <w:szCs w:val="21"/>
                <w:highlight w:val="none"/>
                <w:lang w:val="en-US" w:eastAsia="zh-CN" w:bidi="ar"/>
              </w:rPr>
              <w:t>承诺</w:t>
            </w:r>
            <w:r>
              <w:rPr>
                <w:rFonts w:hint="eastAsia" w:ascii="宋体" w:hAnsi="宋体" w:eastAsia="宋体" w:cs="宋体"/>
                <w:b w:val="0"/>
                <w:bCs w:val="0"/>
                <w:color w:val="auto"/>
                <w:sz w:val="21"/>
                <w:szCs w:val="21"/>
                <w:highlight w:val="none"/>
                <w:lang w:bidi="ar"/>
              </w:rPr>
              <w:t>符合</w:t>
            </w:r>
            <w:r>
              <w:rPr>
                <w:rFonts w:hint="eastAsia" w:ascii="宋体" w:hAnsi="宋体" w:eastAsia="宋体" w:cs="宋体"/>
                <w:b w:val="0"/>
                <w:bCs w:val="0"/>
                <w:i w:val="0"/>
                <w:iCs w:val="0"/>
                <w:color w:val="auto"/>
                <w:kern w:val="0"/>
                <w:sz w:val="21"/>
                <w:szCs w:val="21"/>
                <w:highlight w:val="none"/>
                <w:u w:val="none"/>
                <w:lang w:val="en-US" w:eastAsia="zh-CN" w:bidi="ar"/>
              </w:rPr>
              <w:t>GA/T 1127-2013或</w:t>
            </w:r>
            <w:r>
              <w:rPr>
                <w:rFonts w:hint="eastAsia" w:ascii="宋体" w:hAnsi="宋体" w:eastAsia="宋体" w:cs="宋体"/>
                <w:b w:val="0"/>
                <w:bCs w:val="0"/>
                <w:color w:val="auto"/>
                <w:sz w:val="21"/>
                <w:szCs w:val="21"/>
                <w:highlight w:val="none"/>
                <w:lang w:bidi="ar"/>
              </w:rPr>
              <w:t>GB/T 17626.5-</w:t>
            </w:r>
            <w:r>
              <w:rPr>
                <w:rFonts w:hint="eastAsia" w:ascii="宋体" w:hAnsi="宋体" w:eastAsia="宋体" w:cs="宋体"/>
                <w:b w:val="0"/>
                <w:bCs w:val="0"/>
                <w:color w:val="auto"/>
                <w:sz w:val="21"/>
                <w:szCs w:val="21"/>
                <w:highlight w:val="none"/>
                <w:lang w:val="en-US" w:eastAsia="zh-CN" w:bidi="ar"/>
              </w:rPr>
              <w:t>2008/</w:t>
            </w:r>
            <w:r>
              <w:rPr>
                <w:rFonts w:hint="eastAsia" w:ascii="宋体" w:hAnsi="宋体" w:eastAsia="宋体" w:cs="宋体"/>
                <w:b w:val="0"/>
                <w:bCs w:val="0"/>
                <w:color w:val="auto"/>
                <w:sz w:val="21"/>
                <w:szCs w:val="21"/>
                <w:highlight w:val="none"/>
                <w:lang w:bidi="ar"/>
              </w:rPr>
              <w:t>2019</w:t>
            </w:r>
            <w:r>
              <w:rPr>
                <w:rFonts w:hint="eastAsia" w:ascii="宋体" w:hAnsi="宋体" w:eastAsia="宋体" w:cs="宋体"/>
                <w:b w:val="0"/>
                <w:bCs w:val="0"/>
                <w:color w:val="auto"/>
                <w:sz w:val="21"/>
                <w:szCs w:val="21"/>
                <w:highlight w:val="none"/>
                <w:lang w:val="en-US" w:eastAsia="zh-CN" w:bidi="ar"/>
              </w:rPr>
              <w:t>对摄像机的</w:t>
            </w:r>
            <w:r>
              <w:rPr>
                <w:rFonts w:hint="eastAsia" w:ascii="宋体" w:hAnsi="宋体" w:eastAsia="宋体" w:cs="宋体"/>
                <w:b w:val="0"/>
                <w:bCs w:val="0"/>
                <w:i w:val="0"/>
                <w:iCs w:val="0"/>
                <w:color w:val="auto"/>
                <w:kern w:val="0"/>
                <w:sz w:val="21"/>
                <w:szCs w:val="21"/>
                <w:highlight w:val="none"/>
                <w:u w:val="none"/>
                <w:lang w:val="en-US" w:eastAsia="zh-CN" w:bidi="ar"/>
              </w:rPr>
              <w:t>防浪涌</w:t>
            </w:r>
            <w:r>
              <w:rPr>
                <w:rFonts w:hint="eastAsia" w:ascii="宋体" w:hAnsi="宋体" w:eastAsia="宋体" w:cs="宋体"/>
                <w:b w:val="0"/>
                <w:bCs w:val="0"/>
                <w:color w:val="auto"/>
                <w:sz w:val="21"/>
                <w:szCs w:val="21"/>
                <w:highlight w:val="none"/>
                <w:lang w:val="en-US" w:eastAsia="zh-CN" w:bidi="ar"/>
              </w:rPr>
              <w:t>要求</w:t>
            </w:r>
            <w:r>
              <w:rPr>
                <w:rFonts w:hint="eastAsia" w:ascii="宋体" w:hAnsi="宋体" w:eastAsia="宋体" w:cs="宋体"/>
                <w:b w:val="0"/>
                <w:bCs w:val="0"/>
                <w:color w:val="auto"/>
                <w:sz w:val="21"/>
                <w:szCs w:val="21"/>
                <w:highlight w:val="none"/>
                <w:lang w:eastAsia="zh-CN" w:bidi="ar"/>
              </w:rPr>
              <w:t>。</w:t>
            </w:r>
          </w:p>
        </w:tc>
      </w:tr>
      <w:tr w14:paraId="76E817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3FD17C4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454A8CC6">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7C73BFC6">
            <w:pPr>
              <w:pStyle w:val="15"/>
              <w:keepNext w:val="0"/>
              <w:keepLines w:val="0"/>
              <w:pageBreakBefore w:val="0"/>
              <w:kinsoku/>
              <w:wordWrap/>
              <w:overflowPunct/>
              <w:topLinePunct w:val="0"/>
              <w:autoSpaceDE/>
              <w:autoSpaceDN/>
              <w:bidi w:val="0"/>
              <w:adjustRightInd/>
              <w:snapToGrid/>
              <w:spacing w:line="400" w:lineRule="exact"/>
              <w:ind w:left="0" w:leftChars="0"/>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★21.防护等级：≥IP67。</w:t>
            </w:r>
          </w:p>
        </w:tc>
        <w:tc>
          <w:tcPr>
            <w:tcW w:w="3796" w:type="dxa"/>
            <w:tcBorders>
              <w:tl2br w:val="nil"/>
              <w:tr2bl w:val="nil"/>
            </w:tcBorders>
            <w:shd w:val="clear" w:color="auto" w:fill="auto"/>
            <w:vAlign w:val="center"/>
          </w:tcPr>
          <w:p w14:paraId="5CE703B1">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imes New Roman" w:hAnsi="Times New Roman" w:eastAsia="宋体" w:cs="Times New Roman"/>
                <w:color w:val="auto"/>
                <w:kern w:val="2"/>
                <w:sz w:val="21"/>
                <w:szCs w:val="24"/>
                <w:lang w:val="en-US" w:eastAsia="zh-CN" w:bidi="ar-SA"/>
              </w:rPr>
            </w:pPr>
            <w:r>
              <w:rPr>
                <w:rFonts w:hint="eastAsia" w:ascii="宋体" w:hAnsi="宋体" w:eastAsia="宋体" w:cs="宋体"/>
                <w:b w:val="0"/>
                <w:bCs w:val="0"/>
                <w:i w:val="0"/>
                <w:iCs w:val="0"/>
                <w:color w:val="auto"/>
                <w:kern w:val="0"/>
                <w:sz w:val="21"/>
                <w:szCs w:val="21"/>
                <w:highlight w:val="none"/>
                <w:u w:val="none"/>
                <w:lang w:val="en-US" w:eastAsia="zh-CN" w:bidi="ar"/>
              </w:rPr>
              <w:t>提供所投产品的检测报告原件关键页扫描件（依据GB/T 15211-2013或GA/T 1127-2013或</w:t>
            </w:r>
            <w:r>
              <w:rPr>
                <w:rFonts w:hint="eastAsia" w:ascii="宋体" w:hAnsi="宋体" w:eastAsia="宋体" w:cs="宋体"/>
                <w:b w:val="0"/>
                <w:bCs w:val="0"/>
                <w:color w:val="auto"/>
                <w:sz w:val="21"/>
                <w:szCs w:val="21"/>
                <w:highlight w:val="none"/>
              </w:rPr>
              <w:t>GB/T4208-2017标准</w:t>
            </w:r>
            <w:r>
              <w:rPr>
                <w:rFonts w:hint="eastAsia" w:ascii="宋体" w:hAnsi="宋体" w:eastAsia="宋体" w:cs="宋体"/>
                <w:b w:val="0"/>
                <w:bCs w:val="0"/>
                <w:i w:val="0"/>
                <w:iCs w:val="0"/>
                <w:color w:val="auto"/>
                <w:kern w:val="0"/>
                <w:sz w:val="21"/>
                <w:szCs w:val="21"/>
                <w:highlight w:val="none"/>
                <w:u w:val="none"/>
                <w:lang w:val="en-US" w:eastAsia="zh-CN" w:bidi="ar"/>
              </w:rPr>
              <w:t>）等相关现行国家标准）。</w:t>
            </w:r>
          </w:p>
        </w:tc>
      </w:tr>
      <w:tr w14:paraId="7A2969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05D15F5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06A1DFCD">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55B464C6">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★22.具备POE供电功能。</w:t>
            </w:r>
          </w:p>
        </w:tc>
        <w:tc>
          <w:tcPr>
            <w:tcW w:w="3796" w:type="dxa"/>
            <w:tcBorders>
              <w:tl2br w:val="nil"/>
              <w:tr2bl w:val="nil"/>
            </w:tcBorders>
            <w:shd w:val="clear" w:color="auto" w:fill="auto"/>
            <w:vAlign w:val="center"/>
          </w:tcPr>
          <w:p w14:paraId="0511FF5A">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imes New Roman" w:hAnsi="Times New Roman" w:eastAsia="宋体" w:cs="Times New Roman"/>
                <w:color w:val="auto"/>
                <w:kern w:val="2"/>
                <w:sz w:val="21"/>
                <w:szCs w:val="21"/>
                <w:lang w:val="en-US" w:eastAsia="zh-CN" w:bidi="ar-SA"/>
              </w:rPr>
            </w:pPr>
            <w:r>
              <w:rPr>
                <w:rFonts w:hint="eastAsia" w:ascii="宋体" w:hAnsi="宋体" w:eastAsia="宋体" w:cs="宋体"/>
                <w:b w:val="0"/>
                <w:bCs w:val="0"/>
                <w:i w:val="0"/>
                <w:iCs w:val="0"/>
                <w:color w:val="auto"/>
                <w:kern w:val="0"/>
                <w:sz w:val="21"/>
                <w:szCs w:val="21"/>
                <w:highlight w:val="none"/>
                <w:u w:val="none"/>
                <w:lang w:val="en-US" w:eastAsia="zh-CN" w:bidi="ar"/>
              </w:rPr>
              <w:t>提供原厂公开技术文档（白皮书、彩页、官网规格页截图及链接地址均可）。</w:t>
            </w:r>
          </w:p>
        </w:tc>
      </w:tr>
      <w:tr w14:paraId="724E38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3AADB09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6A2B4DAB">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2EB05F5C">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leftChars="0" w:firstLine="0" w:firstLineChars="0"/>
              <w:jc w:val="left"/>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★23.符合GB/T 28181、Onvif、IPv4/IPv6协议标准。</w:t>
            </w:r>
          </w:p>
        </w:tc>
        <w:tc>
          <w:tcPr>
            <w:tcW w:w="3796" w:type="dxa"/>
            <w:tcBorders>
              <w:tl2br w:val="nil"/>
              <w:tr2bl w:val="nil"/>
            </w:tcBorders>
            <w:shd w:val="clear" w:color="auto" w:fill="auto"/>
            <w:vAlign w:val="center"/>
          </w:tcPr>
          <w:p w14:paraId="31F69BA1">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b/>
                <w:bCs/>
                <w:color w:val="auto"/>
                <w:kern w:val="0"/>
                <w:sz w:val="21"/>
                <w:szCs w:val="21"/>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提供所投产品原厂公开技术文档（白皮书、彩页、官网规格页截图及链接地址）或提供承诺函（格式自拟）</w:t>
            </w:r>
            <w:r>
              <w:rPr>
                <w:rFonts w:hint="eastAsia" w:ascii="宋体" w:hAnsi="宋体" w:eastAsia="宋体" w:cs="宋体"/>
                <w:b w:val="0"/>
                <w:bCs w:val="0"/>
                <w:color w:val="auto"/>
                <w:sz w:val="21"/>
                <w:szCs w:val="21"/>
                <w:highlight w:val="none"/>
                <w:u w:val="none"/>
                <w:lang w:val="en-US" w:eastAsia="zh-CN" w:bidi="ar"/>
              </w:rPr>
              <w:t>。</w:t>
            </w:r>
          </w:p>
        </w:tc>
      </w:tr>
      <w:tr w14:paraId="2D4350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restart"/>
            <w:tcBorders>
              <w:tl2br w:val="nil"/>
              <w:tr2bl w:val="nil"/>
            </w:tcBorders>
            <w:shd w:val="clear" w:color="auto" w:fill="auto"/>
            <w:vAlign w:val="center"/>
          </w:tcPr>
          <w:p w14:paraId="6D3612D6">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default" w:asciiTheme="minorEastAsia" w:hAnsiTheme="minorEastAsia" w:eastAsiaTheme="minorEastAsia" w:cstheme="minorEastAsia"/>
                <w:b/>
                <w:bCs/>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5</w:t>
            </w:r>
          </w:p>
        </w:tc>
        <w:tc>
          <w:tcPr>
            <w:tcW w:w="1438" w:type="dxa"/>
            <w:vMerge w:val="restart"/>
            <w:tcBorders>
              <w:tl2br w:val="nil"/>
              <w:tr2bl w:val="nil"/>
            </w:tcBorders>
            <w:shd w:val="clear" w:color="auto" w:fill="auto"/>
            <w:vAlign w:val="center"/>
          </w:tcPr>
          <w:p w14:paraId="0EE059E4">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24电口千兆POE交换机</w:t>
            </w:r>
          </w:p>
        </w:tc>
        <w:tc>
          <w:tcPr>
            <w:tcW w:w="2800" w:type="dxa"/>
            <w:tcBorders>
              <w:tl2br w:val="nil"/>
              <w:tr2bl w:val="nil"/>
            </w:tcBorders>
            <w:shd w:val="clear" w:color="auto" w:fill="auto"/>
            <w:vAlign w:val="center"/>
          </w:tcPr>
          <w:p w14:paraId="6DD4C1B9">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color w:val="auto"/>
                <w:sz w:val="21"/>
                <w:szCs w:val="21"/>
                <w:highlight w:val="none"/>
                <w:lang w:val="en-US" w:eastAsia="zh-CN"/>
              </w:rPr>
              <w:t>★1. 端口配置：提供 ≥24 个 10/100/1000M 自适应以太网电口（RJ45），全部支持不低于 IEEE 802.3at（PoE+）；提供 ≥4 个 千兆SFP光口。</w:t>
            </w:r>
          </w:p>
        </w:tc>
        <w:tc>
          <w:tcPr>
            <w:tcW w:w="3796" w:type="dxa"/>
            <w:tcBorders>
              <w:tl2br w:val="nil"/>
              <w:tr2bl w:val="nil"/>
            </w:tcBorders>
            <w:shd w:val="clear" w:color="auto" w:fill="auto"/>
            <w:vAlign w:val="center"/>
          </w:tcPr>
          <w:p w14:paraId="3BA1D51F">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color w:val="auto"/>
                <w:sz w:val="21"/>
                <w:szCs w:val="21"/>
                <w:highlight w:val="none"/>
                <w:lang w:val="en-US" w:eastAsia="zh-CN"/>
              </w:rPr>
              <w:t>提供原厂公开技术文档（白皮书、彩页、官网规格页截图及链接地址均可）</w:t>
            </w:r>
          </w:p>
        </w:tc>
      </w:tr>
      <w:tr w14:paraId="34AF83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1112E68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5B7B50F4">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0026BF58">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 交换性能：</w:t>
            </w:r>
          </w:p>
          <w:p w14:paraId="15E39A7E">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color w:val="auto"/>
                <w:sz w:val="21"/>
                <w:szCs w:val="21"/>
                <w:highlight w:val="none"/>
                <w:lang w:val="en-US" w:eastAsia="zh-CN"/>
              </w:rPr>
              <w:t>整机交换容量 ≥600 Gbps；整机包转发率 ≥ 120 Mpps。</w:t>
            </w:r>
          </w:p>
        </w:tc>
        <w:tc>
          <w:tcPr>
            <w:tcW w:w="3796" w:type="dxa"/>
            <w:tcBorders>
              <w:tl2br w:val="nil"/>
              <w:tr2bl w:val="nil"/>
            </w:tcBorders>
            <w:shd w:val="clear" w:color="auto" w:fill="auto"/>
            <w:vAlign w:val="center"/>
          </w:tcPr>
          <w:p w14:paraId="710ABDD6">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r>
      <w:tr w14:paraId="2AC865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4AC95A7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0C4B6346">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344C1946">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color w:val="auto"/>
                <w:sz w:val="21"/>
                <w:szCs w:val="21"/>
                <w:highlight w:val="none"/>
                <w:lang w:val="en-US" w:eastAsia="zh-CN"/>
              </w:rPr>
              <w:t>★3. PoE标准与功率：至少支持 IEEE 802.3at（PoE+），同时可POE供电端口≥24个；整机可用PoE功率 ≥ 370W。（实际供电需满足学校使用需求）。</w:t>
            </w:r>
          </w:p>
        </w:tc>
        <w:tc>
          <w:tcPr>
            <w:tcW w:w="3796" w:type="dxa"/>
            <w:tcBorders>
              <w:tl2br w:val="nil"/>
              <w:tr2bl w:val="nil"/>
            </w:tcBorders>
            <w:shd w:val="clear" w:color="auto" w:fill="auto"/>
            <w:vAlign w:val="center"/>
          </w:tcPr>
          <w:p w14:paraId="60887802">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color w:val="auto"/>
                <w:sz w:val="21"/>
                <w:szCs w:val="21"/>
                <w:highlight w:val="none"/>
                <w:lang w:val="en-US" w:eastAsia="zh-CN"/>
              </w:rPr>
              <w:t>提供原厂公开技术文档（白皮书、彩页、官网规格页截图及链接地址均可）</w:t>
            </w:r>
          </w:p>
        </w:tc>
      </w:tr>
      <w:tr w14:paraId="4FC6B7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51DCFCB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1A849103">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564FCF25">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leftChars="0" w:firstLine="0" w:firstLineChars="0"/>
              <w:jc w:val="left"/>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color w:val="auto"/>
                <w:sz w:val="21"/>
                <w:szCs w:val="21"/>
                <w:highlight w:val="none"/>
                <w:lang w:val="en-US" w:eastAsia="zh-CN"/>
              </w:rPr>
              <w:t>★13. 电信设备进网许可（CTA）：所投产品必须具备工业和信息化部核发的有效《电信设备进网许可证》。</w:t>
            </w:r>
          </w:p>
        </w:tc>
        <w:tc>
          <w:tcPr>
            <w:tcW w:w="3796" w:type="dxa"/>
            <w:tcBorders>
              <w:tl2br w:val="nil"/>
              <w:tr2bl w:val="nil"/>
            </w:tcBorders>
            <w:shd w:val="clear" w:color="auto" w:fill="auto"/>
            <w:vAlign w:val="center"/>
          </w:tcPr>
          <w:p w14:paraId="6792AFD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val="0"/>
                <w:bCs w:val="0"/>
                <w:color w:val="auto"/>
                <w:sz w:val="21"/>
                <w:szCs w:val="21"/>
                <w:highlight w:val="none"/>
                <w:lang w:val="en-US" w:eastAsia="zh-CN"/>
              </w:rPr>
              <w:t>投标时须提供：进网许可证清晰扫描件；工信部官网查询结果截图，显示设备型号、生产企业、许可证编号及状态为“有效”。</w:t>
            </w:r>
          </w:p>
        </w:tc>
      </w:tr>
      <w:tr w14:paraId="7D6D89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restart"/>
            <w:tcBorders>
              <w:tl2br w:val="nil"/>
              <w:tr2bl w:val="nil"/>
            </w:tcBorders>
            <w:shd w:val="clear" w:color="auto" w:fill="auto"/>
            <w:vAlign w:val="center"/>
          </w:tcPr>
          <w:p w14:paraId="2CEC8813">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default" w:asciiTheme="minorEastAsia" w:hAnsiTheme="minorEastAsia" w:eastAsiaTheme="minorEastAsia" w:cstheme="minorEastAsia"/>
                <w:b/>
                <w:bCs/>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6</w:t>
            </w:r>
          </w:p>
        </w:tc>
        <w:tc>
          <w:tcPr>
            <w:tcW w:w="1438" w:type="dxa"/>
            <w:vMerge w:val="restart"/>
            <w:tcBorders>
              <w:tl2br w:val="nil"/>
              <w:tr2bl w:val="nil"/>
            </w:tcBorders>
            <w:shd w:val="clear" w:color="auto" w:fill="auto"/>
            <w:vAlign w:val="center"/>
          </w:tcPr>
          <w:p w14:paraId="0EF20971">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8电口POE千兆交换机</w:t>
            </w:r>
          </w:p>
        </w:tc>
        <w:tc>
          <w:tcPr>
            <w:tcW w:w="2800" w:type="dxa"/>
            <w:tcBorders>
              <w:tl2br w:val="nil"/>
              <w:tr2bl w:val="nil"/>
            </w:tcBorders>
            <w:shd w:val="clear" w:color="auto" w:fill="auto"/>
            <w:vAlign w:val="center"/>
          </w:tcPr>
          <w:p w14:paraId="7D623E06">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宋体" w:hAnsi="宋体" w:eastAsia="宋体" w:cs="宋体"/>
                <w:b w:val="0"/>
                <w:bCs w:val="0"/>
                <w:color w:val="auto"/>
                <w:sz w:val="21"/>
                <w:szCs w:val="21"/>
                <w:highlight w:val="none"/>
                <w:lang w:val="en-US" w:eastAsia="zh-CN"/>
              </w:rPr>
              <w:t>★1.交换能力≥256Gbps ，包转发速率≥25Mpps，≥8个千兆电口，≥1个1G SPF千兆光口</w:t>
            </w:r>
            <w:r>
              <w:rPr>
                <w:rFonts w:hint="eastAsia" w:ascii="宋体" w:hAnsi="宋体" w:cs="宋体"/>
                <w:b w:val="0"/>
                <w:bCs w:val="0"/>
                <w:color w:val="auto"/>
                <w:sz w:val="21"/>
                <w:szCs w:val="21"/>
                <w:highlight w:val="none"/>
                <w:lang w:val="en-US" w:eastAsia="zh-CN"/>
              </w:rPr>
              <w:t>。</w:t>
            </w:r>
          </w:p>
        </w:tc>
        <w:tc>
          <w:tcPr>
            <w:tcW w:w="3796" w:type="dxa"/>
            <w:tcBorders>
              <w:tl2br w:val="nil"/>
              <w:tr2bl w:val="nil"/>
            </w:tcBorders>
            <w:shd w:val="clear" w:color="auto" w:fill="auto"/>
            <w:vAlign w:val="center"/>
          </w:tcPr>
          <w:p w14:paraId="243E7058">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宋体" w:hAnsi="宋体" w:eastAsia="宋体" w:cs="宋体"/>
                <w:b w:val="0"/>
                <w:bCs w:val="0"/>
                <w:color w:val="auto"/>
                <w:sz w:val="21"/>
                <w:szCs w:val="21"/>
                <w:highlight w:val="none"/>
                <w:lang w:val="en-US" w:eastAsia="zh-CN"/>
              </w:rPr>
              <w:t>提供官网截图或原厂白皮书或检测报告加盖公章。</w:t>
            </w:r>
          </w:p>
        </w:tc>
      </w:tr>
      <w:tr w14:paraId="030D6A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3A3E442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2605AFE4">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538C908A">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宋体" w:hAnsi="宋体" w:eastAsia="宋体" w:cs="宋体"/>
                <w:b w:val="0"/>
                <w:bCs w:val="0"/>
                <w:color w:val="auto"/>
                <w:sz w:val="21"/>
                <w:szCs w:val="21"/>
                <w:highlight w:val="none"/>
                <w:lang w:val="en-US" w:eastAsia="zh-CN"/>
              </w:rPr>
              <w:t>★2.支持802.3at POE+功能 ；POE功率≥120W</w:t>
            </w:r>
            <w:r>
              <w:rPr>
                <w:rFonts w:hint="eastAsia" w:ascii="宋体" w:hAnsi="宋体" w:cs="宋体"/>
                <w:b w:val="0"/>
                <w:bCs w:val="0"/>
                <w:color w:val="auto"/>
                <w:sz w:val="21"/>
                <w:szCs w:val="21"/>
                <w:highlight w:val="none"/>
                <w:lang w:val="en-US" w:eastAsia="zh-CN"/>
              </w:rPr>
              <w:t>。</w:t>
            </w:r>
          </w:p>
        </w:tc>
        <w:tc>
          <w:tcPr>
            <w:tcW w:w="3796" w:type="dxa"/>
            <w:tcBorders>
              <w:tl2br w:val="nil"/>
              <w:tr2bl w:val="nil"/>
            </w:tcBorders>
            <w:shd w:val="clear" w:color="auto" w:fill="auto"/>
            <w:vAlign w:val="center"/>
          </w:tcPr>
          <w:p w14:paraId="3FB7F44F">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宋体" w:hAnsi="宋体" w:eastAsia="宋体" w:cs="宋体"/>
                <w:b w:val="0"/>
                <w:bCs w:val="0"/>
                <w:color w:val="auto"/>
                <w:sz w:val="21"/>
                <w:szCs w:val="21"/>
                <w:highlight w:val="none"/>
                <w:lang w:val="en-US" w:eastAsia="zh-CN"/>
              </w:rPr>
              <w:t>提供原厂白皮书或者产品彩页或者官网截图（带链接）（实际供电需满足学校使用需求）。</w:t>
            </w:r>
          </w:p>
        </w:tc>
      </w:tr>
      <w:tr w14:paraId="1FADC9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02B33A7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heme="minorEastAsia" w:hAnsiTheme="minorEastAsia" w:eastAsiaTheme="minorEastAsia" w:cstheme="minorEastAsia"/>
                <w:b/>
                <w:bCs/>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58D21857">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5450B47E">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leftChars="0" w:firstLine="0" w:firstLineChars="0"/>
              <w:jc w:val="left"/>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宋体" w:hAnsi="宋体" w:eastAsia="宋体" w:cs="宋体"/>
                <w:b w:val="0"/>
                <w:bCs w:val="0"/>
                <w:color w:val="auto"/>
                <w:sz w:val="21"/>
                <w:szCs w:val="21"/>
                <w:highlight w:val="none"/>
                <w:lang w:val="en-US" w:eastAsia="zh-CN"/>
              </w:rPr>
              <w:t>★11.所投产品具备工业和信息化部颁发的进网许可证（CTA认证）</w:t>
            </w:r>
            <w:r>
              <w:rPr>
                <w:rFonts w:hint="eastAsia" w:ascii="宋体" w:hAnsi="宋体" w:cs="宋体"/>
                <w:b w:val="0"/>
                <w:bCs w:val="0"/>
                <w:color w:val="auto"/>
                <w:sz w:val="21"/>
                <w:szCs w:val="21"/>
                <w:highlight w:val="none"/>
                <w:lang w:val="en-US" w:eastAsia="zh-CN"/>
              </w:rPr>
              <w:t>。</w:t>
            </w:r>
          </w:p>
        </w:tc>
        <w:tc>
          <w:tcPr>
            <w:tcW w:w="3796" w:type="dxa"/>
            <w:tcBorders>
              <w:tl2br w:val="nil"/>
              <w:tr2bl w:val="nil"/>
            </w:tcBorders>
            <w:shd w:val="clear" w:color="auto" w:fill="auto"/>
            <w:vAlign w:val="center"/>
          </w:tcPr>
          <w:p w14:paraId="41E8307D">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宋体" w:hAnsi="宋体" w:eastAsia="宋体" w:cs="宋体"/>
                <w:b w:val="0"/>
                <w:bCs w:val="0"/>
                <w:color w:val="auto"/>
                <w:sz w:val="21"/>
                <w:szCs w:val="21"/>
                <w:highlight w:val="none"/>
                <w:lang w:val="en-US" w:eastAsia="zh-CN"/>
              </w:rPr>
              <w:t>提供证书扫描件和工信部网站查询的进网许可截图。</w:t>
            </w:r>
          </w:p>
        </w:tc>
      </w:tr>
      <w:tr w14:paraId="6DD30A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restart"/>
            <w:tcBorders>
              <w:tl2br w:val="nil"/>
              <w:tr2bl w:val="nil"/>
            </w:tcBorders>
            <w:shd w:val="clear" w:color="auto" w:fill="auto"/>
            <w:vAlign w:val="center"/>
          </w:tcPr>
          <w:p w14:paraId="6A14A6B7">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default" w:asciiTheme="minorEastAsia" w:hAnsiTheme="minorEastAsia" w:eastAsiaTheme="minorEastAsia" w:cstheme="minorEastAsia"/>
                <w:b/>
                <w:bCs/>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9</w:t>
            </w:r>
          </w:p>
        </w:tc>
        <w:tc>
          <w:tcPr>
            <w:tcW w:w="1438" w:type="dxa"/>
            <w:vMerge w:val="restart"/>
            <w:tcBorders>
              <w:tl2br w:val="nil"/>
              <w:tr2bl w:val="nil"/>
            </w:tcBorders>
            <w:shd w:val="clear" w:color="auto" w:fill="auto"/>
            <w:vAlign w:val="center"/>
          </w:tcPr>
          <w:p w14:paraId="0B8E304C">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48盘位存储</w:t>
            </w:r>
          </w:p>
        </w:tc>
        <w:tc>
          <w:tcPr>
            <w:tcW w:w="2800" w:type="dxa"/>
            <w:tcBorders>
              <w:tl2br w:val="nil"/>
              <w:tr2bl w:val="nil"/>
            </w:tcBorders>
            <w:shd w:val="clear" w:color="auto" w:fill="auto"/>
            <w:vAlign w:val="center"/>
          </w:tcPr>
          <w:p w14:paraId="0B7CE7F8">
            <w:pPr>
              <w:keepNext w:val="0"/>
              <w:keepLines w:val="0"/>
              <w:pageBreakBefore w:val="0"/>
              <w:widowControl/>
              <w:numPr>
                <w:ilvl w:val="0"/>
                <w:numId w:val="72"/>
              </w:numPr>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性能与业务能力</w:t>
            </w:r>
          </w:p>
          <w:p w14:paraId="6F40AEC7">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leftChars="0" w:firstLine="0" w:firstLineChars="0"/>
              <w:jc w:val="left"/>
              <w:textAlignment w:val="top"/>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i w:val="0"/>
                <w:iCs w:val="0"/>
                <w:color w:val="auto"/>
                <w:sz w:val="21"/>
                <w:szCs w:val="21"/>
                <w:highlight w:val="none"/>
                <w:u w:val="none"/>
                <w:lang w:val="en-US" w:eastAsia="zh-CN" w:bidi="ar"/>
              </w:rPr>
              <w:t>★</w:t>
            </w:r>
            <w:r>
              <w:rPr>
                <w:rFonts w:hint="eastAsia" w:ascii="宋体" w:hAnsi="宋体" w:eastAsia="宋体" w:cs="宋体"/>
                <w:color w:val="auto"/>
                <w:sz w:val="21"/>
                <w:szCs w:val="21"/>
                <w:highlight w:val="none"/>
                <w:lang w:val="en-US" w:eastAsia="zh-CN"/>
              </w:rPr>
              <w:t>5.音视频处理性能：最大并发 写入（存储+转发）带宽 ≥ 2048 Mbps；最大并发 回放带宽 ≥ 1024 Mbps。 注：性能指标应基于 H.264/H.265 主码流实测值，不含压缩比虚标。</w:t>
            </w:r>
          </w:p>
        </w:tc>
        <w:tc>
          <w:tcPr>
            <w:tcW w:w="3796" w:type="dxa"/>
            <w:tcBorders>
              <w:tl2br w:val="nil"/>
              <w:tr2bl w:val="nil"/>
            </w:tcBorders>
            <w:shd w:val="clear" w:color="auto" w:fill="auto"/>
            <w:vAlign w:val="center"/>
          </w:tcPr>
          <w:p w14:paraId="4FEED6BC">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bCs/>
                <w:color w:val="auto"/>
                <w:kern w:val="0"/>
                <w:sz w:val="21"/>
                <w:szCs w:val="21"/>
                <w:highlight w:val="none"/>
                <w:lang w:val="en-US" w:eastAsia="zh-CN" w:bidi="ar"/>
              </w:rPr>
              <w:t>提供原厂公开技术文档（白皮书、彩页、官网规格页截图及链接地址均可）</w:t>
            </w:r>
            <w:r>
              <w:rPr>
                <w:rFonts w:hint="eastAsia" w:ascii="宋体" w:hAnsi="宋体" w:eastAsia="宋体" w:cs="宋体"/>
                <w:color w:val="auto"/>
                <w:sz w:val="21"/>
                <w:szCs w:val="21"/>
                <w:highlight w:val="none"/>
                <w:lang w:val="en-US" w:eastAsia="zh-CN"/>
              </w:rPr>
              <w:t>。</w:t>
            </w:r>
          </w:p>
        </w:tc>
      </w:tr>
      <w:tr w14:paraId="790E7D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4887E267">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36A4D239">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7CB6F491">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jc w:val="left"/>
              <w:textAlignment w:val="top"/>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i w:val="0"/>
                <w:iCs w:val="0"/>
                <w:color w:val="auto"/>
                <w:sz w:val="21"/>
                <w:szCs w:val="21"/>
                <w:highlight w:val="none"/>
                <w:u w:val="none"/>
                <w:lang w:val="en-US" w:eastAsia="zh-CN" w:bidi="ar"/>
              </w:rPr>
              <w:t>★</w:t>
            </w:r>
            <w:r>
              <w:rPr>
                <w:rFonts w:hint="eastAsia" w:ascii="宋体" w:hAnsi="宋体" w:eastAsia="宋体" w:cs="宋体"/>
                <w:color w:val="auto"/>
                <w:sz w:val="21"/>
                <w:szCs w:val="21"/>
                <w:highlight w:val="none"/>
                <w:lang w:val="en-US" w:eastAsia="zh-CN"/>
              </w:rPr>
              <w:t>6.直存与协议支持：支持 视频流与图片流直写存储（即前端IPC/NVR通过标准协议直接写入存储，无需中间服务器）；支持标准协议接入：ONVIF、GB/T 28181、RTSP、RTP、PSIA、SIP；支持 IPv4/IPv6 双栈网络。</w:t>
            </w:r>
          </w:p>
        </w:tc>
        <w:tc>
          <w:tcPr>
            <w:tcW w:w="3796" w:type="dxa"/>
            <w:tcBorders>
              <w:tl2br w:val="nil"/>
              <w:tr2bl w:val="nil"/>
            </w:tcBorders>
            <w:shd w:val="clear" w:color="auto" w:fill="auto"/>
            <w:vAlign w:val="center"/>
          </w:tcPr>
          <w:p w14:paraId="149C4013">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bCs/>
                <w:color w:val="auto"/>
                <w:kern w:val="0"/>
                <w:sz w:val="21"/>
                <w:szCs w:val="21"/>
                <w:highlight w:val="none"/>
                <w:lang w:val="en-US" w:eastAsia="zh-CN" w:bidi="ar"/>
              </w:rPr>
              <w:t>提供原厂公开技术文档（白皮书、彩页、官网规格页截图及链接地址均可）</w:t>
            </w:r>
            <w:r>
              <w:rPr>
                <w:rFonts w:hint="eastAsia" w:ascii="宋体" w:hAnsi="宋体" w:eastAsia="宋体" w:cs="宋体"/>
                <w:color w:val="auto"/>
                <w:sz w:val="21"/>
                <w:szCs w:val="21"/>
                <w:highlight w:val="none"/>
                <w:lang w:val="en-US" w:eastAsia="zh-CN"/>
              </w:rPr>
              <w:t>。</w:t>
            </w:r>
          </w:p>
        </w:tc>
      </w:tr>
      <w:tr w14:paraId="42AD37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712FEFBA">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7D5B4DE4">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1AA0E13B">
            <w:pPr>
              <w:keepNext w:val="0"/>
              <w:keepLines w:val="0"/>
              <w:pageBreakBefore w:val="0"/>
              <w:widowControl/>
              <w:suppressLineNumbers w:val="0"/>
              <w:kinsoku/>
              <w:wordWrap/>
              <w:overflowPunct/>
              <w:topLinePunct w:val="0"/>
              <w:autoSpaceDE/>
              <w:autoSpaceDN/>
              <w:bidi w:val="0"/>
              <w:adjustRightInd/>
              <w:snapToGrid/>
              <w:spacing w:line="400" w:lineRule="exact"/>
              <w:ind w:left="0"/>
              <w:jc w:val="left"/>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w:t>
            </w:r>
            <w:r>
              <w:rPr>
                <w:rFonts w:hint="eastAsia" w:ascii="宋体" w:hAnsi="宋体" w:eastAsia="宋体" w:cs="宋体"/>
                <w:color w:val="auto"/>
                <w:sz w:val="21"/>
                <w:szCs w:val="21"/>
                <w:highlight w:val="none"/>
                <w:lang w:val="en-US" w:eastAsia="zh-CN"/>
              </w:rPr>
              <w:t>四、数据保护与可靠性。</w:t>
            </w:r>
          </w:p>
          <w:p w14:paraId="5104237D">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jc w:val="left"/>
              <w:textAlignment w:val="top"/>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color w:val="auto"/>
                <w:sz w:val="21"/>
                <w:szCs w:val="21"/>
                <w:highlight w:val="none"/>
                <w:lang w:val="en-US" w:eastAsia="zh-CN"/>
              </w:rPr>
              <w:t>8. RAID 与热备：支持 RAID 0/1/3/5/6/10/50/60 及 JBOD 模式；支持 全局热备盘（Global Hot Spare）与局部热备盘（Dedicated Hot Spare），故障硬盘自动重建。</w:t>
            </w:r>
          </w:p>
        </w:tc>
        <w:tc>
          <w:tcPr>
            <w:tcW w:w="3796" w:type="dxa"/>
            <w:vMerge w:val="restart"/>
            <w:tcBorders>
              <w:tl2br w:val="nil"/>
              <w:tr2bl w:val="nil"/>
            </w:tcBorders>
            <w:shd w:val="clear" w:color="auto" w:fill="auto"/>
            <w:vAlign w:val="center"/>
          </w:tcPr>
          <w:p w14:paraId="6979C8EC">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color w:val="auto"/>
                <w:sz w:val="21"/>
                <w:szCs w:val="21"/>
                <w:highlight w:val="none"/>
                <w:lang w:val="en-US" w:eastAsia="zh-CN"/>
              </w:rPr>
              <w:t>（本部分每一条参数均要</w:t>
            </w:r>
            <w:r>
              <w:rPr>
                <w:rFonts w:hint="eastAsia" w:ascii="宋体" w:hAnsi="宋体" w:eastAsia="宋体" w:cs="宋体"/>
                <w:b/>
                <w:bCs/>
                <w:color w:val="auto"/>
                <w:kern w:val="0"/>
                <w:sz w:val="21"/>
                <w:szCs w:val="21"/>
                <w:highlight w:val="none"/>
                <w:lang w:val="en-US" w:eastAsia="zh-CN" w:bidi="ar"/>
              </w:rPr>
              <w:t>提供原厂公开技术文档（白皮书、彩页、官网规格页截图及链接地址均可）</w:t>
            </w:r>
          </w:p>
        </w:tc>
      </w:tr>
      <w:tr w14:paraId="60C0B9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061DF3AA">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1C3F53E3">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13EF8F60">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jc w:val="left"/>
              <w:textAlignment w:val="top"/>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color w:val="auto"/>
                <w:sz w:val="21"/>
                <w:szCs w:val="21"/>
                <w:highlight w:val="none"/>
                <w:lang w:val="en-US" w:eastAsia="zh-CN"/>
              </w:rPr>
              <w:t>9. 数据可靠性技术：支持 纠删码（Erasure Coding）或同等数据冗余技术，在多盘故障场景下仍可保障数据可恢复性（适用于高可靠部署）。</w:t>
            </w:r>
          </w:p>
        </w:tc>
        <w:tc>
          <w:tcPr>
            <w:tcW w:w="3796" w:type="dxa"/>
            <w:vMerge w:val="continue"/>
            <w:tcBorders>
              <w:tl2br w:val="nil"/>
              <w:tr2bl w:val="nil"/>
            </w:tcBorders>
            <w:shd w:val="clear" w:color="auto" w:fill="auto"/>
            <w:vAlign w:val="center"/>
          </w:tcPr>
          <w:p w14:paraId="3B53CB00">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r>
      <w:tr w14:paraId="709D81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1501AA8A">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201C040C">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5164617E">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jc w:val="left"/>
              <w:textAlignment w:val="top"/>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color w:val="auto"/>
                <w:sz w:val="21"/>
                <w:szCs w:val="21"/>
                <w:highlight w:val="none"/>
                <w:lang w:val="en-US" w:eastAsia="zh-CN"/>
              </w:rPr>
              <w:t>10. 硬件与系统监控告警：设备应能对以下异常事件主动告警（至少支持平台推送）：IP/MAC 地址冲突；网口速率降级（如千兆降至百兆）；电源、风扇、电池故障；无硬盘、RAID 异常、存储空间满；录像丢帧、SSD 健康度预警；无热备盘、网络安全异常（如非法登录锁定）。</w:t>
            </w:r>
          </w:p>
        </w:tc>
        <w:tc>
          <w:tcPr>
            <w:tcW w:w="3796" w:type="dxa"/>
            <w:vMerge w:val="continue"/>
            <w:tcBorders>
              <w:tl2br w:val="nil"/>
              <w:tr2bl w:val="nil"/>
            </w:tcBorders>
            <w:shd w:val="clear" w:color="auto" w:fill="auto"/>
            <w:vAlign w:val="center"/>
          </w:tcPr>
          <w:p w14:paraId="0259ED6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p>
        </w:tc>
      </w:tr>
      <w:tr w14:paraId="165C30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2FF7D0D9">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58AF28D6">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477EE446">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color w:val="auto"/>
                <w:sz w:val="21"/>
                <w:szCs w:val="21"/>
                <w:highlight w:val="none"/>
                <w:lang w:val="en-US" w:eastAsia="zh-CN"/>
              </w:rPr>
              <w:t>★12. 强制性认证：所投设备须具备以下有效期CCC 证书清晰扫描件和节能认证证书扫描件。</w:t>
            </w:r>
          </w:p>
        </w:tc>
        <w:tc>
          <w:tcPr>
            <w:tcW w:w="3796" w:type="dxa"/>
            <w:tcBorders>
              <w:tl2br w:val="nil"/>
              <w:tr2bl w:val="nil"/>
            </w:tcBorders>
            <w:shd w:val="clear" w:color="auto" w:fill="auto"/>
            <w:vAlign w:val="center"/>
          </w:tcPr>
          <w:p w14:paraId="1147FA12">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color w:val="auto"/>
                <w:sz w:val="21"/>
                <w:szCs w:val="21"/>
                <w:highlight w:val="none"/>
                <w:lang w:val="en-US" w:eastAsia="zh-CN"/>
              </w:rPr>
              <w:t>所投设备须具备以下有效期CCC 证书清晰扫描件和节能认证证书扫描件。</w:t>
            </w:r>
          </w:p>
        </w:tc>
      </w:tr>
      <w:tr w14:paraId="5A3648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737" w:type="dxa"/>
            <w:vMerge w:val="continue"/>
            <w:tcBorders>
              <w:tl2br w:val="nil"/>
              <w:tr2bl w:val="nil"/>
            </w:tcBorders>
            <w:shd w:val="clear" w:color="auto" w:fill="auto"/>
            <w:vAlign w:val="center"/>
          </w:tcPr>
          <w:p w14:paraId="43707595">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1438" w:type="dxa"/>
            <w:vMerge w:val="continue"/>
            <w:tcBorders>
              <w:tl2br w:val="nil"/>
              <w:tr2bl w:val="nil"/>
            </w:tcBorders>
            <w:shd w:val="clear" w:color="auto" w:fill="auto"/>
            <w:vAlign w:val="center"/>
          </w:tcPr>
          <w:p w14:paraId="26E7ABB2">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2800" w:type="dxa"/>
            <w:tcBorders>
              <w:tl2br w:val="nil"/>
              <w:tr2bl w:val="nil"/>
            </w:tcBorders>
            <w:shd w:val="clear" w:color="auto" w:fill="auto"/>
            <w:vAlign w:val="center"/>
          </w:tcPr>
          <w:p w14:paraId="16DEEA58">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0" w:leftChars="0" w:firstLine="0" w:firstLineChars="0"/>
              <w:jc w:val="left"/>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w:t>
            </w:r>
            <w:r>
              <w:rPr>
                <w:rFonts w:hint="eastAsia" w:ascii="宋体" w:hAnsi="宋体" w:eastAsia="宋体" w:cs="宋体"/>
                <w:color w:val="auto"/>
                <w:kern w:val="0"/>
                <w:sz w:val="21"/>
                <w:szCs w:val="21"/>
                <w:highlight w:val="none"/>
                <w:lang w:val="en-US" w:eastAsia="zh-CN" w:bidi="ar"/>
              </w:rPr>
              <w:t>13</w:t>
            </w:r>
            <w:r>
              <w:rPr>
                <w:rFonts w:hint="eastAsia" w:ascii="宋体" w:hAnsi="宋体" w:eastAsia="宋体" w:cs="宋体"/>
                <w:color w:val="auto"/>
                <w:kern w:val="0"/>
                <w:sz w:val="21"/>
                <w:szCs w:val="21"/>
                <w:highlight w:val="none"/>
                <w:lang w:bidi="ar"/>
              </w:rPr>
              <w:t>、支持Onvif、RTSP协议接入，支持国标GB28181接入 。</w:t>
            </w:r>
          </w:p>
        </w:tc>
        <w:tc>
          <w:tcPr>
            <w:tcW w:w="3796" w:type="dxa"/>
            <w:tcBorders>
              <w:tl2br w:val="nil"/>
              <w:tr2bl w:val="nil"/>
            </w:tcBorders>
            <w:shd w:val="clear" w:color="auto" w:fill="auto"/>
            <w:vAlign w:val="center"/>
          </w:tcPr>
          <w:p w14:paraId="0079B7F7">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b/>
                <w:bCs/>
                <w:i w:val="0"/>
                <w:iCs w:val="0"/>
                <w:color w:val="auto"/>
                <w:kern w:val="0"/>
                <w:sz w:val="21"/>
                <w:szCs w:val="21"/>
                <w:u w:val="none"/>
                <w:lang w:val="en-US" w:eastAsia="zh-CN" w:bidi="ar"/>
              </w:rPr>
            </w:pPr>
            <w:r>
              <w:rPr>
                <w:rFonts w:hint="eastAsia" w:ascii="宋体" w:hAnsi="宋体" w:eastAsia="宋体" w:cs="宋体"/>
                <w:b/>
                <w:bCs/>
                <w:color w:val="auto"/>
                <w:kern w:val="0"/>
                <w:sz w:val="21"/>
                <w:szCs w:val="21"/>
                <w:highlight w:val="none"/>
                <w:lang w:val="en-US" w:eastAsia="zh-CN" w:bidi="ar"/>
              </w:rPr>
              <w:t>提供原厂公开技术文档（白皮书、彩页、官网规格页截图及链接地址均可）。</w:t>
            </w:r>
          </w:p>
        </w:tc>
      </w:tr>
    </w:tbl>
    <w:p w14:paraId="7FB3D5DE">
      <w:pPr>
        <w:pStyle w:val="18"/>
        <w:rPr>
          <w:rFonts w:hint="eastAsia"/>
        </w:rPr>
      </w:pPr>
    </w:p>
    <w:p w14:paraId="31BC0073">
      <w:pPr>
        <w:pStyle w:val="18"/>
        <w:rPr>
          <w:rFonts w:hint="eastAsia"/>
        </w:rPr>
      </w:pPr>
    </w:p>
    <w:p w14:paraId="1BDBC3FF">
      <w:pPr>
        <w:pStyle w:val="4"/>
        <w:numPr>
          <w:ilvl w:val="0"/>
          <w:numId w:val="69"/>
        </w:numPr>
        <w:ind w:left="0" w:leftChars="0" w:firstLine="0" w:firstLineChars="0"/>
        <w:rPr>
          <w:b w:val="0"/>
          <w:color w:val="auto"/>
        </w:rPr>
      </w:pPr>
      <w:r>
        <w:rPr>
          <w:color w:val="auto"/>
        </w:rPr>
        <w:t>样品及演示要求：</w:t>
      </w:r>
    </w:p>
    <w:p w14:paraId="0F89F6E5">
      <w:pPr>
        <w:pStyle w:val="17"/>
        <w:rPr>
          <w:color w:val="auto"/>
        </w:rPr>
      </w:pPr>
      <w:r>
        <w:rPr>
          <w:color w:val="auto"/>
        </w:rPr>
        <w:t>无</w:t>
      </w:r>
    </w:p>
    <w:p w14:paraId="79DB423E">
      <w:pPr>
        <w:pStyle w:val="4"/>
        <w:numPr>
          <w:ilvl w:val="0"/>
          <w:numId w:val="69"/>
        </w:numPr>
        <w:ind w:left="0" w:leftChars="0" w:firstLine="0" w:firstLineChars="0"/>
        <w:rPr>
          <w:b w:val="0"/>
          <w:color w:val="auto"/>
        </w:rPr>
      </w:pPr>
      <w:r>
        <w:rPr>
          <w:color w:val="auto"/>
        </w:rPr>
        <w:t>采购标的对应的中小企业划分标准所属行业一览表</w:t>
      </w:r>
    </w:p>
    <w:p w14:paraId="48C9FB97">
      <w:pPr>
        <w:pStyle w:val="6"/>
        <w:numPr>
          <w:ilvl w:val="0"/>
          <w:numId w:val="75"/>
        </w:numPr>
        <w:topLinePunct w:val="0"/>
        <w:ind w:left="0" w:leftChars="0" w:firstLine="0" w:firstLineChars="0"/>
        <w:rPr>
          <w:b w:val="0"/>
        </w:rPr>
      </w:pPr>
      <w:r>
        <w:rPr>
          <w:rFonts w:hint="eastAsia"/>
          <w:lang w:val="en-US" w:eastAsia="zh-CN"/>
        </w:rPr>
        <w:t>常州市第二十四中学</w:t>
      </w:r>
    </w:p>
    <w:tbl>
      <w:tblPr>
        <w:tblStyle w:val="43"/>
        <w:tblW w:w="805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40"/>
        <w:gridCol w:w="5151"/>
        <w:gridCol w:w="2066"/>
      </w:tblGrid>
      <w:tr w14:paraId="53B070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EB51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b/>
                <w:bCs/>
                <w:i w:val="0"/>
                <w:iCs w:val="0"/>
                <w:color w:val="auto"/>
                <w:kern w:val="0"/>
                <w:sz w:val="21"/>
                <w:szCs w:val="21"/>
                <w:u w:val="none"/>
                <w:lang w:val="en-US" w:eastAsia="zh-CN" w:bidi="ar"/>
              </w:rPr>
              <w:t>序号</w:t>
            </w:r>
          </w:p>
        </w:tc>
        <w:tc>
          <w:tcPr>
            <w:tcW w:w="5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B8AF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b/>
                <w:bCs/>
                <w:i w:val="0"/>
                <w:iCs w:val="0"/>
                <w:color w:val="auto"/>
                <w:sz w:val="21"/>
                <w:szCs w:val="21"/>
                <w:u w:val="none"/>
                <w:lang w:val="en-US"/>
              </w:rPr>
            </w:pPr>
            <w:r>
              <w:rPr>
                <w:rFonts w:hint="eastAsia" w:asciiTheme="minorEastAsia" w:hAnsiTheme="minorEastAsia" w:eastAsiaTheme="minorEastAsia" w:cstheme="minorEastAsia"/>
                <w:b/>
                <w:bCs/>
                <w:i w:val="0"/>
                <w:iCs w:val="0"/>
                <w:color w:val="auto"/>
                <w:kern w:val="0"/>
                <w:sz w:val="21"/>
                <w:szCs w:val="21"/>
                <w:u w:val="none"/>
                <w:lang w:val="en-US" w:eastAsia="zh-CN" w:bidi="ar"/>
              </w:rPr>
              <w:t>采购标的</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9E1D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b/>
                <w:bCs/>
                <w:i w:val="0"/>
                <w:iCs w:val="0"/>
                <w:color w:val="auto"/>
                <w:kern w:val="0"/>
                <w:sz w:val="21"/>
                <w:szCs w:val="21"/>
                <w:u w:val="none"/>
                <w:lang w:val="en-US" w:eastAsia="zh-CN" w:bidi="ar"/>
              </w:rPr>
              <w:t>对应中小企业划分标准所属行业</w:t>
            </w:r>
          </w:p>
        </w:tc>
      </w:tr>
      <w:tr w14:paraId="0E34C1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95D37">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default" w:asciiTheme="minorEastAsia" w:hAnsiTheme="minorEastAsia" w:eastAsiaTheme="minorEastAsia" w:cstheme="minorEastAsia"/>
                <w:i w:val="0"/>
                <w:iCs w:val="0"/>
                <w:color w:val="auto"/>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1</w:t>
            </w:r>
          </w:p>
        </w:tc>
        <w:tc>
          <w:tcPr>
            <w:tcW w:w="5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3BCC9">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半球型摄像机</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37DC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6CD84B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4F69D">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default" w:asciiTheme="minorEastAsia" w:hAnsiTheme="minorEastAsia" w:eastAsiaTheme="minorEastAsia" w:cstheme="minorEastAsia"/>
                <w:i w:val="0"/>
                <w:iCs w:val="0"/>
                <w:color w:val="auto"/>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2</w:t>
            </w:r>
          </w:p>
        </w:tc>
        <w:tc>
          <w:tcPr>
            <w:tcW w:w="5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81DAB">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枪机</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41CB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660A84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31977">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default"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3</w:t>
            </w:r>
          </w:p>
        </w:tc>
        <w:tc>
          <w:tcPr>
            <w:tcW w:w="5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43EC3">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筒机支架</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6C1C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5888EA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E444E">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default"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4</w:t>
            </w:r>
          </w:p>
        </w:tc>
        <w:tc>
          <w:tcPr>
            <w:tcW w:w="5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60A83">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电梯半球</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8552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6952CF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EBDDA">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default"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5</w:t>
            </w:r>
          </w:p>
        </w:tc>
        <w:tc>
          <w:tcPr>
            <w:tcW w:w="5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4853A">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智能球型摄像机</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CF9A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678F51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A5EB4">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6</w:t>
            </w:r>
          </w:p>
        </w:tc>
        <w:tc>
          <w:tcPr>
            <w:tcW w:w="5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CC60D">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电梯网桥</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7B58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565CD9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6AF7E">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7</w:t>
            </w:r>
          </w:p>
        </w:tc>
        <w:tc>
          <w:tcPr>
            <w:tcW w:w="5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EBE90">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8电口POE千兆交换机</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428B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0B5F4E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C6253">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8</w:t>
            </w:r>
          </w:p>
        </w:tc>
        <w:tc>
          <w:tcPr>
            <w:tcW w:w="5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6DF89">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24口POE交换机</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A0CB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28AB5A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F49DD">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9</w:t>
            </w:r>
          </w:p>
        </w:tc>
        <w:tc>
          <w:tcPr>
            <w:tcW w:w="5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B3765">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千兆光模块</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9447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08855D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79A24">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10</w:t>
            </w:r>
          </w:p>
        </w:tc>
        <w:tc>
          <w:tcPr>
            <w:tcW w:w="5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5C0E7">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3米单模双芯光纤跳线</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3E30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683A75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7A9FF">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11</w:t>
            </w:r>
          </w:p>
        </w:tc>
        <w:tc>
          <w:tcPr>
            <w:tcW w:w="5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5484D">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六类4对非屏蔽双绞线</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4F02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57C9BE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0E6E9">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12</w:t>
            </w:r>
          </w:p>
        </w:tc>
        <w:tc>
          <w:tcPr>
            <w:tcW w:w="5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95B19">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PVC25管</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4D1C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1967F7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908EC">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13</w:t>
            </w:r>
          </w:p>
        </w:tc>
        <w:tc>
          <w:tcPr>
            <w:tcW w:w="5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FA4E3">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48盘位存储</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2B08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300EFD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6DD47">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14</w:t>
            </w:r>
          </w:p>
        </w:tc>
        <w:tc>
          <w:tcPr>
            <w:tcW w:w="5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72447">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8T企业硬盘</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352A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bl>
    <w:p w14:paraId="1D4B8F5F">
      <w:pPr>
        <w:pStyle w:val="6"/>
        <w:numPr>
          <w:ilvl w:val="0"/>
          <w:numId w:val="75"/>
        </w:numPr>
        <w:topLinePunct w:val="0"/>
        <w:ind w:left="0" w:leftChars="0" w:firstLine="0" w:firstLineChars="0"/>
        <w:rPr>
          <w:b w:val="0"/>
        </w:rPr>
      </w:pPr>
      <w:r>
        <w:rPr>
          <w:rFonts w:hint="eastAsia"/>
          <w:lang w:val="en-US" w:eastAsia="zh-CN"/>
        </w:rPr>
        <w:t>常州市北郊高级中学</w:t>
      </w:r>
    </w:p>
    <w:tbl>
      <w:tblPr>
        <w:tblStyle w:val="43"/>
        <w:tblW w:w="805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25"/>
        <w:gridCol w:w="5166"/>
        <w:gridCol w:w="2066"/>
      </w:tblGrid>
      <w:tr w14:paraId="1FE0FD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C56B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b/>
                <w:bCs/>
                <w:i w:val="0"/>
                <w:iCs w:val="0"/>
                <w:color w:val="auto"/>
                <w:kern w:val="0"/>
                <w:sz w:val="21"/>
                <w:szCs w:val="21"/>
                <w:u w:val="none"/>
                <w:lang w:val="en-US" w:eastAsia="zh-CN" w:bidi="ar"/>
              </w:rPr>
              <w:t>序号</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F643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b/>
                <w:bCs/>
                <w:i w:val="0"/>
                <w:iCs w:val="0"/>
                <w:color w:val="auto"/>
                <w:sz w:val="21"/>
                <w:szCs w:val="21"/>
                <w:u w:val="none"/>
                <w:lang w:val="en-US"/>
              </w:rPr>
            </w:pPr>
            <w:r>
              <w:rPr>
                <w:rFonts w:hint="eastAsia" w:asciiTheme="minorEastAsia" w:hAnsiTheme="minorEastAsia" w:eastAsiaTheme="minorEastAsia" w:cstheme="minorEastAsia"/>
                <w:b/>
                <w:bCs/>
                <w:i w:val="0"/>
                <w:iCs w:val="0"/>
                <w:color w:val="auto"/>
                <w:kern w:val="0"/>
                <w:sz w:val="21"/>
                <w:szCs w:val="21"/>
                <w:u w:val="none"/>
                <w:lang w:val="en-US" w:eastAsia="zh-CN" w:bidi="ar"/>
              </w:rPr>
              <w:t>采购标的</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DDF1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b/>
                <w:bCs/>
                <w:i w:val="0"/>
                <w:iCs w:val="0"/>
                <w:color w:val="auto"/>
                <w:kern w:val="0"/>
                <w:sz w:val="21"/>
                <w:szCs w:val="21"/>
                <w:u w:val="none"/>
                <w:lang w:val="en-US" w:eastAsia="zh-CN" w:bidi="ar"/>
              </w:rPr>
              <w:t>对应中小企业划分标准所属行业</w:t>
            </w:r>
          </w:p>
        </w:tc>
      </w:tr>
      <w:tr w14:paraId="2B68F6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3F44777">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default" w:asciiTheme="minorEastAsia" w:hAnsiTheme="minorEastAsia" w:eastAsiaTheme="minorEastAsia" w:cstheme="minorEastAsia"/>
                <w:i w:val="0"/>
                <w:iCs w:val="0"/>
                <w:color w:val="auto"/>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1</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729C9DA">
            <w:pPr>
              <w:keepNext w:val="0"/>
              <w:keepLines w:val="0"/>
              <w:pageBreakBefore w:val="0"/>
              <w:widowControl/>
              <w:suppressLineNumbers w:val="0"/>
              <w:wordWrap/>
              <w:topLinePunct w:val="0"/>
              <w:bidi w:val="0"/>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六类4对非屏蔽双绞线</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45D4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6366B1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B73626">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default" w:asciiTheme="minorEastAsia" w:hAnsiTheme="minorEastAsia" w:eastAsiaTheme="minorEastAsia" w:cstheme="minorEastAsia"/>
                <w:i w:val="0"/>
                <w:iCs w:val="0"/>
                <w:color w:val="auto"/>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2</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A145E54">
            <w:pPr>
              <w:keepNext w:val="0"/>
              <w:keepLines w:val="0"/>
              <w:pageBreakBefore w:val="0"/>
              <w:widowControl/>
              <w:suppressLineNumbers w:val="0"/>
              <w:wordWrap/>
              <w:topLinePunct w:val="0"/>
              <w:bidi w:val="0"/>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1.2M,22U线缆管理机柜,600mm*600mm</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3975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297CC1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3D11C30">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default"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3</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7BFB57">
            <w:pPr>
              <w:keepNext w:val="0"/>
              <w:keepLines w:val="0"/>
              <w:pageBreakBefore w:val="0"/>
              <w:widowControl/>
              <w:suppressLineNumbers w:val="0"/>
              <w:wordWrap/>
              <w:topLinePunct w:val="0"/>
              <w:bidi w:val="0"/>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PVC护线管</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7F50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5A4182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AAE3516">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default"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4</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B0A5CBA">
            <w:pPr>
              <w:keepNext w:val="0"/>
              <w:keepLines w:val="0"/>
              <w:pageBreakBefore w:val="0"/>
              <w:widowControl/>
              <w:suppressLineNumbers w:val="0"/>
              <w:wordWrap/>
              <w:topLinePunct w:val="0"/>
              <w:bidi w:val="0"/>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水平桥架</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F42F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2EC2C1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1A6E57C">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default"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5</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71E775">
            <w:pPr>
              <w:keepNext w:val="0"/>
              <w:keepLines w:val="0"/>
              <w:pageBreakBefore w:val="0"/>
              <w:widowControl/>
              <w:suppressLineNumbers w:val="0"/>
              <w:wordWrap/>
              <w:topLinePunct w:val="0"/>
              <w:bidi w:val="0"/>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垂直桥架</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6585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3A9AC3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879F213">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default"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6</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9A0A21">
            <w:pPr>
              <w:keepNext w:val="0"/>
              <w:keepLines w:val="0"/>
              <w:pageBreakBefore w:val="0"/>
              <w:widowControl/>
              <w:suppressLineNumbers w:val="0"/>
              <w:wordWrap/>
              <w:topLinePunct w:val="0"/>
              <w:bidi w:val="0"/>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监控电源线</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DB33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537830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808766">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default"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7</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2CC8BC8">
            <w:pPr>
              <w:keepNext w:val="0"/>
              <w:keepLines w:val="0"/>
              <w:pageBreakBefore w:val="0"/>
              <w:widowControl/>
              <w:suppressLineNumbers w:val="0"/>
              <w:wordWrap/>
              <w:topLinePunct w:val="0"/>
              <w:bidi w:val="0"/>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六类非屏蔽模块</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AC08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1A07C3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3F7FEB9">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default"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8</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329859E">
            <w:pPr>
              <w:keepNext w:val="0"/>
              <w:keepLines w:val="0"/>
              <w:pageBreakBefore w:val="0"/>
              <w:widowControl/>
              <w:suppressLineNumbers w:val="0"/>
              <w:wordWrap/>
              <w:topLinePunct w:val="0"/>
              <w:bidi w:val="0"/>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86型单口面板</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818C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1AF660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1B7744">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default"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9</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1692CD">
            <w:pPr>
              <w:keepNext w:val="0"/>
              <w:keepLines w:val="0"/>
              <w:pageBreakBefore w:val="0"/>
              <w:widowControl/>
              <w:suppressLineNumbers w:val="0"/>
              <w:wordWrap/>
              <w:topLinePunct w:val="0"/>
              <w:bidi w:val="0"/>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86型双口面板</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166D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79C7FB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7B3860">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default"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10</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D215E07">
            <w:pPr>
              <w:keepNext w:val="0"/>
              <w:keepLines w:val="0"/>
              <w:pageBreakBefore w:val="0"/>
              <w:widowControl/>
              <w:suppressLineNumbers w:val="0"/>
              <w:wordWrap/>
              <w:topLinePunct w:val="0"/>
              <w:bidi w:val="0"/>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8芯室内单模光缆</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F2A4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6AA578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23A73DF">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default"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11</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29EB01">
            <w:pPr>
              <w:keepNext w:val="0"/>
              <w:keepLines w:val="0"/>
              <w:pageBreakBefore w:val="0"/>
              <w:widowControl/>
              <w:suppressLineNumbers w:val="0"/>
              <w:wordWrap/>
              <w:topLinePunct w:val="0"/>
              <w:bidi w:val="0"/>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光纤熔接</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B366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10D27C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6F450EA">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default"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12</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304B2E6">
            <w:pPr>
              <w:keepNext w:val="0"/>
              <w:keepLines w:val="0"/>
              <w:pageBreakBefore w:val="0"/>
              <w:widowControl/>
              <w:suppressLineNumbers w:val="0"/>
              <w:wordWrap/>
              <w:topLinePunct w:val="0"/>
              <w:bidi w:val="0"/>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光纤终端</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B896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0A9977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5DC6B5">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13</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3888D1EE">
            <w:pPr>
              <w:pStyle w:val="18"/>
              <w:pageBreakBefore w:val="0"/>
              <w:wordWrap/>
              <w:topLinePunct w:val="0"/>
              <w:bidi w:val="0"/>
              <w:spacing w:beforeAutospacing="0" w:afterAutospacing="0" w:line="400" w:lineRule="exact"/>
              <w:ind w:left="0" w:leftChars="0" w:right="0" w:rightChars="0" w:firstLine="0" w:firstLineChars="0"/>
              <w:jc w:val="both"/>
              <w:rPr>
                <w:rFonts w:hint="eastAsia" w:ascii="宋体" w:hAnsi="宋体" w:eastAsia="宋体" w:cs="宋体"/>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防油污摄像机</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5449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4F75AB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40E543">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14</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48F969E9">
            <w:pPr>
              <w:pStyle w:val="18"/>
              <w:pageBreakBefore w:val="0"/>
              <w:wordWrap/>
              <w:topLinePunct w:val="0"/>
              <w:bidi w:val="0"/>
              <w:spacing w:beforeAutospacing="0" w:afterAutospacing="0" w:line="400" w:lineRule="exact"/>
              <w:ind w:left="0" w:leftChars="0" w:right="0" w:rightChars="0" w:firstLine="0" w:firstLineChars="0"/>
              <w:jc w:val="both"/>
              <w:rPr>
                <w:rFonts w:hint="eastAsia" w:ascii="宋体" w:hAnsi="宋体" w:eastAsia="宋体" w:cs="宋体"/>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防油污摄像机支架</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9C1F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4CA641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394F60">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15</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0175ADE3">
            <w:pPr>
              <w:pStyle w:val="18"/>
              <w:pageBreakBefore w:val="0"/>
              <w:wordWrap/>
              <w:topLinePunct w:val="0"/>
              <w:bidi w:val="0"/>
              <w:spacing w:beforeAutospacing="0" w:afterAutospacing="0" w:line="400" w:lineRule="exact"/>
              <w:ind w:left="0" w:leftChars="0" w:right="0" w:rightChars="0" w:firstLine="0" w:firstLineChars="0"/>
              <w:jc w:val="both"/>
              <w:rPr>
                <w:rFonts w:hint="eastAsia" w:ascii="宋体" w:hAnsi="宋体" w:eastAsia="宋体" w:cs="宋体"/>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高清网络电梯专用摄像机</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40DC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5A9308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3F32175">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16</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2374D3C">
            <w:pPr>
              <w:keepNext w:val="0"/>
              <w:keepLines w:val="0"/>
              <w:pageBreakBefore w:val="0"/>
              <w:widowControl/>
              <w:suppressLineNumbers w:val="0"/>
              <w:wordWrap/>
              <w:topLinePunct w:val="0"/>
              <w:bidi w:val="0"/>
              <w:spacing w:beforeAutospacing="0" w:afterAutospacing="0" w:line="400" w:lineRule="exact"/>
              <w:ind w:left="0" w:leftChars="0" w:right="0" w:rightChars="0"/>
              <w:jc w:val="both"/>
              <w:textAlignment w:val="bottom"/>
              <w:rPr>
                <w:rFonts w:hint="eastAsia" w:ascii="宋体" w:hAnsi="宋体" w:eastAsia="宋体" w:cs="宋体"/>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无线网桥</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64F6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248A0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CCD15B">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17</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8F35D69">
            <w:pPr>
              <w:keepNext w:val="0"/>
              <w:keepLines w:val="0"/>
              <w:pageBreakBefore w:val="0"/>
              <w:widowControl/>
              <w:suppressLineNumbers w:val="0"/>
              <w:wordWrap/>
              <w:topLinePunct w:val="0"/>
              <w:bidi w:val="0"/>
              <w:spacing w:beforeAutospacing="0" w:afterAutospacing="0" w:line="400" w:lineRule="exact"/>
              <w:ind w:left="0" w:leftChars="0" w:right="0" w:rightChars="0"/>
              <w:jc w:val="both"/>
              <w:textAlignment w:val="bottom"/>
              <w:rPr>
                <w:rFonts w:hint="eastAsia" w:ascii="宋体" w:hAnsi="宋体" w:eastAsia="宋体" w:cs="宋体"/>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智能球型摄像机</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7749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041D17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D62E624">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18</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ACF43FC">
            <w:pPr>
              <w:keepNext w:val="0"/>
              <w:keepLines w:val="0"/>
              <w:pageBreakBefore w:val="0"/>
              <w:widowControl/>
              <w:suppressLineNumbers w:val="0"/>
              <w:wordWrap/>
              <w:topLinePunct w:val="0"/>
              <w:bidi w:val="0"/>
              <w:spacing w:beforeAutospacing="0" w:afterAutospacing="0" w:line="400" w:lineRule="exact"/>
              <w:ind w:left="0" w:leftChars="0" w:right="0" w:rightChars="0"/>
              <w:jc w:val="both"/>
              <w:textAlignment w:val="bottom"/>
              <w:rPr>
                <w:rFonts w:hint="eastAsia" w:ascii="宋体" w:hAnsi="宋体" w:eastAsia="宋体" w:cs="宋体"/>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高清网络摄像机</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0725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5E9A4B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41B1984">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19</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83976B1">
            <w:pPr>
              <w:keepNext w:val="0"/>
              <w:keepLines w:val="0"/>
              <w:pageBreakBefore w:val="0"/>
              <w:widowControl/>
              <w:suppressLineNumbers w:val="0"/>
              <w:wordWrap/>
              <w:topLinePunct w:val="0"/>
              <w:bidi w:val="0"/>
              <w:spacing w:beforeAutospacing="0" w:afterAutospacing="0" w:line="400" w:lineRule="exact"/>
              <w:ind w:left="0" w:leftChars="0" w:right="0" w:rightChars="0"/>
              <w:jc w:val="both"/>
              <w:textAlignment w:val="bottom"/>
              <w:rPr>
                <w:rFonts w:hint="eastAsia" w:ascii="宋体" w:hAnsi="宋体" w:eastAsia="宋体" w:cs="宋体"/>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高清网络摄像机支架</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E8D9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7E3619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AF1519">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20</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987A0B">
            <w:pPr>
              <w:keepNext w:val="0"/>
              <w:keepLines w:val="0"/>
              <w:pageBreakBefore w:val="0"/>
              <w:widowControl/>
              <w:suppressLineNumbers w:val="0"/>
              <w:wordWrap/>
              <w:topLinePunct w:val="0"/>
              <w:bidi w:val="0"/>
              <w:spacing w:beforeAutospacing="0" w:afterAutospacing="0" w:line="400" w:lineRule="exact"/>
              <w:ind w:left="0" w:leftChars="0" w:right="0" w:rightChars="0"/>
              <w:jc w:val="both"/>
              <w:textAlignment w:val="bottom"/>
              <w:rPr>
                <w:rFonts w:hint="eastAsia" w:ascii="宋体" w:hAnsi="宋体" w:eastAsia="宋体" w:cs="宋体"/>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24电口千兆POE交换机</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5C77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566B04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4F26BBA">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21</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B8F324">
            <w:pPr>
              <w:keepNext w:val="0"/>
              <w:keepLines w:val="0"/>
              <w:pageBreakBefore w:val="0"/>
              <w:widowControl/>
              <w:suppressLineNumbers w:val="0"/>
              <w:wordWrap/>
              <w:topLinePunct w:val="0"/>
              <w:bidi w:val="0"/>
              <w:spacing w:beforeAutospacing="0" w:afterAutospacing="0" w:line="400" w:lineRule="exact"/>
              <w:ind w:left="0" w:leftChars="0" w:right="0" w:rightChars="0"/>
              <w:jc w:val="both"/>
              <w:textAlignment w:val="bottom"/>
              <w:rPr>
                <w:rFonts w:hint="eastAsia" w:ascii="宋体" w:hAnsi="宋体" w:eastAsia="宋体" w:cs="宋体"/>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8电口POE千兆交换机</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42D2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38BEB6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3BC93C">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22</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A2882CE">
            <w:pPr>
              <w:keepNext w:val="0"/>
              <w:keepLines w:val="0"/>
              <w:pageBreakBefore w:val="0"/>
              <w:widowControl/>
              <w:suppressLineNumbers w:val="0"/>
              <w:wordWrap/>
              <w:topLinePunct w:val="0"/>
              <w:bidi w:val="0"/>
              <w:spacing w:beforeAutospacing="0" w:afterAutospacing="0" w:line="400" w:lineRule="exact"/>
              <w:ind w:left="0" w:leftChars="0" w:right="0" w:rightChars="0"/>
              <w:jc w:val="both"/>
              <w:textAlignment w:val="bottom"/>
              <w:rPr>
                <w:rFonts w:hint="eastAsia" w:ascii="宋体" w:hAnsi="宋体" w:eastAsia="宋体" w:cs="宋体"/>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24口千兆交换机</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67A7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18A059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1A673A">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23</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F2E938">
            <w:pPr>
              <w:keepNext w:val="0"/>
              <w:keepLines w:val="0"/>
              <w:pageBreakBefore w:val="0"/>
              <w:widowControl/>
              <w:suppressLineNumbers w:val="0"/>
              <w:wordWrap/>
              <w:topLinePunct w:val="0"/>
              <w:bidi w:val="0"/>
              <w:spacing w:beforeAutospacing="0" w:afterAutospacing="0" w:line="400" w:lineRule="exact"/>
              <w:ind w:left="0" w:leftChars="0" w:right="0" w:rightChars="0"/>
              <w:jc w:val="both"/>
              <w:textAlignment w:val="bottom"/>
              <w:rPr>
                <w:rFonts w:hint="eastAsia" w:ascii="宋体" w:hAnsi="宋体" w:eastAsia="宋体" w:cs="宋体"/>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千兆光模块</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7896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671038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23F1843">
            <w:pPr>
              <w:keepNext w:val="0"/>
              <w:keepLines w:val="0"/>
              <w:pageBreakBefore w:val="0"/>
              <w:widowControl/>
              <w:suppressLineNumbers w:val="0"/>
              <w:wordWrap/>
              <w:topLinePunct w:val="0"/>
              <w:bidi w:val="0"/>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24</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F3DCD5">
            <w:pPr>
              <w:keepNext w:val="0"/>
              <w:keepLines w:val="0"/>
              <w:pageBreakBefore w:val="0"/>
              <w:widowControl/>
              <w:suppressLineNumbers w:val="0"/>
              <w:wordWrap/>
              <w:topLinePunct w:val="0"/>
              <w:bidi w:val="0"/>
              <w:spacing w:beforeAutospacing="0" w:afterAutospacing="0" w:line="400" w:lineRule="exact"/>
              <w:ind w:left="0" w:leftChars="0" w:right="0" w:rightChars="0"/>
              <w:jc w:val="both"/>
              <w:textAlignment w:val="bottom"/>
              <w:rPr>
                <w:rFonts w:hint="eastAsia" w:ascii="宋体" w:hAnsi="宋体" w:eastAsia="宋体" w:cs="宋体"/>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尾纤</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29FD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bl>
    <w:p w14:paraId="4DF17AC5">
      <w:pPr>
        <w:pStyle w:val="6"/>
        <w:numPr>
          <w:ilvl w:val="0"/>
          <w:numId w:val="75"/>
        </w:numPr>
        <w:topLinePunct w:val="0"/>
        <w:ind w:left="0" w:leftChars="0" w:firstLine="0" w:firstLineChars="0"/>
        <w:rPr>
          <w:b w:val="0"/>
        </w:rPr>
      </w:pPr>
      <w:r>
        <w:rPr>
          <w:rFonts w:hint="eastAsia"/>
          <w:lang w:val="en-US" w:eastAsia="zh-CN"/>
        </w:rPr>
        <w:t>常州市田家炳高级中学</w:t>
      </w:r>
    </w:p>
    <w:tbl>
      <w:tblPr>
        <w:tblStyle w:val="43"/>
        <w:tblW w:w="805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25"/>
        <w:gridCol w:w="5166"/>
        <w:gridCol w:w="2066"/>
      </w:tblGrid>
      <w:tr w14:paraId="7CEF83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C1CF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b/>
                <w:bCs/>
                <w:i w:val="0"/>
                <w:iCs w:val="0"/>
                <w:color w:val="auto"/>
                <w:kern w:val="0"/>
                <w:sz w:val="21"/>
                <w:szCs w:val="21"/>
                <w:u w:val="none"/>
                <w:lang w:val="en-US" w:eastAsia="zh-CN" w:bidi="ar"/>
              </w:rPr>
              <w:t>序号</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DEC3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b/>
                <w:bCs/>
                <w:i w:val="0"/>
                <w:iCs w:val="0"/>
                <w:color w:val="auto"/>
                <w:sz w:val="21"/>
                <w:szCs w:val="21"/>
                <w:u w:val="none"/>
                <w:lang w:val="en-US"/>
              </w:rPr>
            </w:pPr>
            <w:r>
              <w:rPr>
                <w:rFonts w:hint="eastAsia" w:asciiTheme="minorEastAsia" w:hAnsiTheme="minorEastAsia" w:eastAsiaTheme="minorEastAsia" w:cstheme="minorEastAsia"/>
                <w:b/>
                <w:bCs/>
                <w:i w:val="0"/>
                <w:iCs w:val="0"/>
                <w:color w:val="auto"/>
                <w:kern w:val="0"/>
                <w:sz w:val="21"/>
                <w:szCs w:val="21"/>
                <w:u w:val="none"/>
                <w:lang w:val="en-US" w:eastAsia="zh-CN" w:bidi="ar"/>
              </w:rPr>
              <w:t>采购标的</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E5DB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b/>
                <w:bCs/>
                <w:i w:val="0"/>
                <w:iCs w:val="0"/>
                <w:color w:val="auto"/>
                <w:kern w:val="0"/>
                <w:sz w:val="21"/>
                <w:szCs w:val="21"/>
                <w:u w:val="none"/>
                <w:lang w:val="en-US" w:eastAsia="zh-CN" w:bidi="ar"/>
              </w:rPr>
              <w:t>对应中小企业划分标准所属行业</w:t>
            </w:r>
          </w:p>
        </w:tc>
      </w:tr>
      <w:tr w14:paraId="729179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9DE85BC">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default" w:asciiTheme="minorEastAsia" w:hAnsiTheme="minorEastAsia" w:eastAsiaTheme="minorEastAsia" w:cstheme="minorEastAsia"/>
                <w:i w:val="0"/>
                <w:iCs w:val="0"/>
                <w:color w:val="auto"/>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1</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438076E">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枪机</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E282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04BA2D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2A0BA9B">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default" w:asciiTheme="minorEastAsia" w:hAnsiTheme="minorEastAsia" w:eastAsiaTheme="minorEastAsia" w:cstheme="minorEastAsia"/>
                <w:i w:val="0"/>
                <w:iCs w:val="0"/>
                <w:color w:val="auto"/>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2</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47FFE6">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球机</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DEF9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3A4253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A0499D">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default"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3</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112518">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半球支架</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D386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615FBA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F59204">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default"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4</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6E9709">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球机支架</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E0D6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2D1B1E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18BB8F">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default"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5</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16BFD4A">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半球型摄像机</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BD83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14B285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CAEBCA">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default"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6</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1D110EF">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筒机支架</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6CC9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47563C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88F386">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default"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7</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A325FA">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48盘位存储</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4AD9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4585ED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122BB04">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default"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8</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2E8D71B">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千兆光模块</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DCA5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341BF9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D0423ED">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default"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9</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1474599">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3米单模双芯光纤跳线</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E31A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1FB1F2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4DB348">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default"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10</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2A5531">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PVC护线管</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4A12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6CACCF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D63EF6">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default"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11</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D366ED">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线槽</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C28A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59065D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62A2AC">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default"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12</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F0663A">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球机电源线</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74E4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4E5A53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1A35048">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13</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8F871A5">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bottom"/>
              <w:rPr>
                <w:rFonts w:hint="eastAsia" w:ascii="宋体" w:hAnsi="宋体" w:eastAsia="宋体" w:cs="宋体"/>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8T企业硬盘</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2AF7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1F595B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D0906A">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14</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6E0EAB">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bottom"/>
              <w:rPr>
                <w:rFonts w:hint="eastAsia" w:ascii="宋体" w:hAnsi="宋体" w:eastAsia="宋体" w:cs="宋体"/>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24口POE交换机</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A373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6A1DCA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8EEB9A2">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15</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3F3FFE">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bottom"/>
              <w:rPr>
                <w:rFonts w:hint="eastAsia" w:ascii="宋体" w:hAnsi="宋体" w:eastAsia="宋体" w:cs="宋体"/>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防水六类4对非屏蔽双绞线</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0AA3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45581A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846243">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16</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3777F2B">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bottom"/>
              <w:rPr>
                <w:rFonts w:hint="eastAsia" w:ascii="宋体" w:hAnsi="宋体" w:eastAsia="宋体" w:cs="宋体"/>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8电口POE千兆交换机</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CAED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069826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8DF3F4E">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bottom"/>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17</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3664C7F">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bottom"/>
              <w:rPr>
                <w:rFonts w:hint="eastAsia" w:ascii="宋体" w:hAnsi="宋体" w:eastAsia="宋体" w:cs="宋体"/>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六类4对非屏蔽双绞线</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BC52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bl>
    <w:p w14:paraId="1632B3CB">
      <w:pPr>
        <w:pStyle w:val="6"/>
        <w:numPr>
          <w:ilvl w:val="0"/>
          <w:numId w:val="75"/>
        </w:numPr>
        <w:topLinePunct w:val="0"/>
        <w:ind w:left="0" w:leftChars="0" w:firstLine="0" w:firstLineChars="0"/>
        <w:rPr>
          <w:b w:val="0"/>
        </w:rPr>
      </w:pPr>
      <w:r>
        <w:rPr>
          <w:rFonts w:hint="eastAsia"/>
          <w:lang w:val="en-US" w:eastAsia="zh-CN"/>
        </w:rPr>
        <w:t>常州市实验初级中学</w:t>
      </w:r>
    </w:p>
    <w:tbl>
      <w:tblPr>
        <w:tblStyle w:val="43"/>
        <w:tblW w:w="805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25"/>
        <w:gridCol w:w="5166"/>
        <w:gridCol w:w="2066"/>
      </w:tblGrid>
      <w:tr w14:paraId="5821D4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6F01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b/>
                <w:bCs/>
                <w:i w:val="0"/>
                <w:iCs w:val="0"/>
                <w:color w:val="auto"/>
                <w:kern w:val="0"/>
                <w:sz w:val="21"/>
                <w:szCs w:val="21"/>
                <w:u w:val="none"/>
                <w:lang w:val="en-US" w:eastAsia="zh-CN" w:bidi="ar"/>
              </w:rPr>
              <w:t>序号</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2B11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b/>
                <w:bCs/>
                <w:i w:val="0"/>
                <w:iCs w:val="0"/>
                <w:color w:val="auto"/>
                <w:sz w:val="21"/>
                <w:szCs w:val="21"/>
                <w:u w:val="none"/>
                <w:lang w:val="en-US"/>
              </w:rPr>
            </w:pPr>
            <w:r>
              <w:rPr>
                <w:rFonts w:hint="eastAsia" w:asciiTheme="minorEastAsia" w:hAnsiTheme="minorEastAsia" w:eastAsiaTheme="minorEastAsia" w:cstheme="minorEastAsia"/>
                <w:b/>
                <w:bCs/>
                <w:i w:val="0"/>
                <w:iCs w:val="0"/>
                <w:color w:val="auto"/>
                <w:kern w:val="0"/>
                <w:sz w:val="21"/>
                <w:szCs w:val="21"/>
                <w:u w:val="none"/>
                <w:lang w:val="en-US" w:eastAsia="zh-CN" w:bidi="ar"/>
              </w:rPr>
              <w:t>采购标的</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1D01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b/>
                <w:bCs/>
                <w:i w:val="0"/>
                <w:iCs w:val="0"/>
                <w:color w:val="auto"/>
                <w:kern w:val="0"/>
                <w:sz w:val="21"/>
                <w:szCs w:val="21"/>
                <w:u w:val="none"/>
                <w:lang w:val="en-US" w:eastAsia="zh-CN" w:bidi="ar"/>
              </w:rPr>
              <w:t>对应中小企业划分标准所属行业</w:t>
            </w:r>
          </w:p>
        </w:tc>
      </w:tr>
      <w:tr w14:paraId="60DDD3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452F9">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default" w:asciiTheme="minorEastAsia" w:hAnsiTheme="minorEastAsia" w:eastAsiaTheme="minorEastAsia" w:cstheme="minorEastAsia"/>
                <w:i w:val="0"/>
                <w:iCs w:val="0"/>
                <w:color w:val="auto"/>
                <w:sz w:val="21"/>
                <w:szCs w:val="21"/>
                <w:u w:val="none"/>
                <w:lang w:val="en-US" w:eastAsia="zh-CN" w:bidi="ar-SA"/>
              </w:rPr>
            </w:pPr>
            <w:r>
              <w:rPr>
                <w:rFonts w:hint="eastAsia" w:asciiTheme="minorEastAsia" w:hAnsiTheme="minorEastAsia" w:eastAsiaTheme="minorEastAsia" w:cstheme="minorEastAsia"/>
                <w:b/>
                <w:bCs/>
                <w:i w:val="0"/>
                <w:iCs w:val="0"/>
                <w:color w:val="auto"/>
                <w:kern w:val="0"/>
                <w:sz w:val="21"/>
                <w:szCs w:val="21"/>
                <w:u w:val="none"/>
                <w:lang w:val="en-US" w:eastAsia="zh-CN" w:bidi="ar"/>
              </w:rPr>
              <w:t>一</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FF61E">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b/>
                <w:bCs/>
                <w:i w:val="0"/>
                <w:iCs w:val="0"/>
                <w:color w:val="auto"/>
                <w:kern w:val="0"/>
                <w:sz w:val="21"/>
                <w:szCs w:val="21"/>
                <w:u w:val="none"/>
                <w:lang w:val="en-US" w:eastAsia="zh-CN" w:bidi="ar"/>
              </w:rPr>
              <w:t>视频监控增补</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7FDE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sz w:val="21"/>
                <w:szCs w:val="21"/>
                <w:u w:val="none"/>
                <w:lang w:val="en-US" w:eastAsia="zh-CN" w:bidi="ar-SA"/>
              </w:rPr>
            </w:pPr>
          </w:p>
        </w:tc>
      </w:tr>
      <w:tr w14:paraId="6D081D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4728E">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default" w:asciiTheme="minorEastAsia" w:hAnsiTheme="minorEastAsia" w:eastAsiaTheme="minorEastAsia" w:cstheme="minorEastAsia"/>
                <w:i w:val="0"/>
                <w:iCs w:val="0"/>
                <w:color w:val="auto"/>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1</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D2E9B">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400万筒形网络摄像机</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796A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62569F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86DC9">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default"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2</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7A1A3">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摄像机支架</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1B61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7AAB1E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53B8E">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default"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b/>
                <w:bCs/>
                <w:i w:val="0"/>
                <w:iCs w:val="0"/>
                <w:color w:val="auto"/>
                <w:kern w:val="0"/>
                <w:sz w:val="21"/>
                <w:szCs w:val="21"/>
                <w:u w:val="none"/>
                <w:lang w:val="en-US" w:eastAsia="zh-CN" w:bidi="ar"/>
              </w:rPr>
              <w:t>二</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08C25">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b/>
                <w:bCs/>
                <w:i w:val="0"/>
                <w:iCs w:val="0"/>
                <w:color w:val="auto"/>
                <w:kern w:val="0"/>
                <w:sz w:val="21"/>
                <w:szCs w:val="21"/>
                <w:u w:val="none"/>
                <w:lang w:val="en-US" w:eastAsia="zh-CN" w:bidi="ar"/>
              </w:rPr>
              <w:t>存储增加</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F5E9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sz w:val="21"/>
                <w:szCs w:val="21"/>
                <w:u w:val="none"/>
                <w:lang w:val="en-US" w:eastAsia="zh-CN" w:bidi="ar-SA"/>
              </w:rPr>
            </w:pPr>
          </w:p>
        </w:tc>
      </w:tr>
      <w:tr w14:paraId="45450C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81C2C">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default"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1</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CC436">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16T企业级安防硬盘</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29A1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382F70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4E512">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default"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b/>
                <w:bCs/>
                <w:i w:val="0"/>
                <w:iCs w:val="0"/>
                <w:color w:val="auto"/>
                <w:kern w:val="0"/>
                <w:sz w:val="21"/>
                <w:szCs w:val="21"/>
                <w:u w:val="none"/>
                <w:lang w:val="en-US" w:eastAsia="zh-CN" w:bidi="ar"/>
              </w:rPr>
              <w:t>三</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A1DFD">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b/>
                <w:bCs/>
                <w:i w:val="0"/>
                <w:iCs w:val="0"/>
                <w:color w:val="auto"/>
                <w:kern w:val="0"/>
                <w:sz w:val="21"/>
                <w:szCs w:val="21"/>
                <w:u w:val="none"/>
                <w:lang w:val="en-US" w:eastAsia="zh-CN" w:bidi="ar"/>
              </w:rPr>
              <w:t>管线敷设</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193C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p>
        </w:tc>
      </w:tr>
      <w:tr w14:paraId="302EDD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8380A">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default"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1</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B15B2">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护线管</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A337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15573B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44C63">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default"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2</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ACC26">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六类4对非屏蔽双绞线</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9839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332F3F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7818B">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default"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b/>
                <w:bCs/>
                <w:i w:val="0"/>
                <w:iCs w:val="0"/>
                <w:color w:val="auto"/>
                <w:kern w:val="0"/>
                <w:sz w:val="21"/>
                <w:szCs w:val="21"/>
                <w:u w:val="none"/>
                <w:lang w:val="en-US" w:eastAsia="zh-CN" w:bidi="ar"/>
              </w:rPr>
              <w:t>四</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2FAF2">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b/>
                <w:bCs/>
                <w:i w:val="0"/>
                <w:iCs w:val="0"/>
                <w:color w:val="auto"/>
                <w:kern w:val="0"/>
                <w:sz w:val="21"/>
                <w:szCs w:val="21"/>
                <w:u w:val="none"/>
                <w:lang w:val="en-US" w:eastAsia="zh-CN" w:bidi="ar"/>
              </w:rPr>
              <w:t>网络传输</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7B18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p>
        </w:tc>
      </w:tr>
      <w:tr w14:paraId="4F173D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5CD66">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default"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1</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EEAB4">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24电口千兆POE交换机</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60D1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78116F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1B013">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default"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2</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AB3C0">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8电口千兆POE交换机</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3741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266747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2EDCA">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default"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3</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13546">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千兆光模块</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3C9C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71AB17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ED968">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4</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34F0D">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3米单模双芯光纤跳线</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2CB6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bl>
    <w:p w14:paraId="45C8FEDB">
      <w:pPr>
        <w:pStyle w:val="6"/>
        <w:numPr>
          <w:ilvl w:val="0"/>
          <w:numId w:val="75"/>
        </w:numPr>
        <w:topLinePunct w:val="0"/>
        <w:ind w:left="0" w:leftChars="0" w:firstLine="0" w:firstLineChars="0"/>
        <w:rPr>
          <w:b w:val="0"/>
        </w:rPr>
      </w:pPr>
      <w:r>
        <w:rPr>
          <w:rFonts w:hint="eastAsia"/>
          <w:lang w:val="en-US" w:eastAsia="zh-CN"/>
        </w:rPr>
        <w:t>常州市花园中学</w:t>
      </w:r>
    </w:p>
    <w:tbl>
      <w:tblPr>
        <w:tblStyle w:val="43"/>
        <w:tblW w:w="805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25"/>
        <w:gridCol w:w="5166"/>
        <w:gridCol w:w="2066"/>
      </w:tblGrid>
      <w:tr w14:paraId="105D99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3402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b/>
                <w:bCs/>
                <w:i w:val="0"/>
                <w:iCs w:val="0"/>
                <w:color w:val="auto"/>
                <w:kern w:val="0"/>
                <w:sz w:val="21"/>
                <w:szCs w:val="21"/>
                <w:u w:val="none"/>
                <w:lang w:val="en-US" w:eastAsia="zh-CN" w:bidi="ar"/>
              </w:rPr>
              <w:t>序号</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D180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b/>
                <w:bCs/>
                <w:i w:val="0"/>
                <w:iCs w:val="0"/>
                <w:color w:val="auto"/>
                <w:sz w:val="21"/>
                <w:szCs w:val="21"/>
                <w:u w:val="none"/>
                <w:lang w:val="en-US"/>
              </w:rPr>
            </w:pPr>
            <w:r>
              <w:rPr>
                <w:rFonts w:hint="eastAsia" w:asciiTheme="minorEastAsia" w:hAnsiTheme="minorEastAsia" w:eastAsiaTheme="minorEastAsia" w:cstheme="minorEastAsia"/>
                <w:b/>
                <w:bCs/>
                <w:i w:val="0"/>
                <w:iCs w:val="0"/>
                <w:color w:val="auto"/>
                <w:kern w:val="0"/>
                <w:sz w:val="21"/>
                <w:szCs w:val="21"/>
                <w:u w:val="none"/>
                <w:lang w:val="en-US" w:eastAsia="zh-CN" w:bidi="ar"/>
              </w:rPr>
              <w:t>采购标的</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3C2B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b/>
                <w:bCs/>
                <w:i w:val="0"/>
                <w:iCs w:val="0"/>
                <w:color w:val="auto"/>
                <w:kern w:val="0"/>
                <w:sz w:val="21"/>
                <w:szCs w:val="21"/>
                <w:u w:val="none"/>
                <w:lang w:val="en-US" w:eastAsia="zh-CN" w:bidi="ar"/>
              </w:rPr>
              <w:t>对应中小企业划分标准所属行业</w:t>
            </w:r>
          </w:p>
        </w:tc>
      </w:tr>
      <w:tr w14:paraId="53CF1F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2D649">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default" w:asciiTheme="minorEastAsia" w:hAnsiTheme="minorEastAsia" w:eastAsiaTheme="minorEastAsia" w:cstheme="minorEastAsia"/>
                <w:i w:val="0"/>
                <w:iCs w:val="0"/>
                <w:color w:val="auto"/>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1</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3B8FC">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六类4对非屏蔽双绞线</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FB67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6B0FA4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E7261">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default" w:asciiTheme="minorEastAsia" w:hAnsiTheme="minorEastAsia" w:eastAsiaTheme="minorEastAsia" w:cstheme="minorEastAsia"/>
                <w:i w:val="0"/>
                <w:iCs w:val="0"/>
                <w:color w:val="auto"/>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2</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67C2F">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PVC护线管</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B0F5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564C96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EA04F">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default"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3</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9EC47">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高清网络摄像机</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B86C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73A47A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450F7">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default"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4</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D66AF">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筒机支架</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161F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sz w:val="21"/>
                <w:szCs w:val="21"/>
                <w:u w:val="none"/>
                <w:lang w:val="en-US" w:eastAsia="zh-CN" w:bidi="ar-SA"/>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134F8A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DA312">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default"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5</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4F70F">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24电口千兆POE交换机</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BE6C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4855B5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95B27">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default"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6</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36313">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8电口POE千兆交换机</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C2DC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45846C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D53BC">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default"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7</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359F5">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千兆光模块</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4AA9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287168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F9751">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default"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8</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F65E1">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3米单模双芯光纤跳线</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3313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3AD739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BB2AA">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default"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9</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DD805">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48盘位存储</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2141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r w14:paraId="08D1CD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1E9C6">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center"/>
              <w:textAlignment w:val="center"/>
              <w:rPr>
                <w:rFonts w:hint="default"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10</w:t>
            </w:r>
          </w:p>
        </w:tc>
        <w:tc>
          <w:tcPr>
            <w:tcW w:w="51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7C283">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8T企业硬盘</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3C91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工业</w:t>
            </w:r>
          </w:p>
        </w:tc>
      </w:tr>
    </w:tbl>
    <w:p w14:paraId="27980326">
      <w:pPr>
        <w:pStyle w:val="18"/>
        <w:rPr>
          <w:color w:val="auto"/>
        </w:rPr>
      </w:pPr>
    </w:p>
    <w:p w14:paraId="3CF7A60C">
      <w:pPr>
        <w:pStyle w:val="3"/>
        <w:numPr>
          <w:ilvl w:val="0"/>
          <w:numId w:val="66"/>
        </w:numPr>
        <w:topLinePunct w:val="0"/>
        <w:ind w:left="0" w:leftChars="0" w:firstLine="0" w:firstLineChars="0"/>
        <w:rPr>
          <w:b w:val="0"/>
          <w:color w:val="auto"/>
        </w:rPr>
      </w:pPr>
      <w:r>
        <w:rPr>
          <w:color w:val="auto"/>
        </w:rPr>
        <w:t>其他要求</w:t>
      </w:r>
    </w:p>
    <w:p w14:paraId="0546CB3A">
      <w:pPr>
        <w:pStyle w:val="17"/>
        <w:rPr>
          <w:color w:val="auto"/>
        </w:rPr>
      </w:pPr>
      <w:r>
        <w:rPr>
          <w:color w:val="auto"/>
          <w:highlight w:val="none"/>
        </w:rPr>
        <w:t>1、按照《政府采购促进中小企业发展管理办法》（财库〔2020〕46号）的相关要求，采购人应当面向中小企业预留采购份额，本项目面向中小企业预留份额</w:t>
      </w:r>
      <w:r>
        <w:rPr>
          <w:b/>
          <w:color w:val="auto"/>
          <w:highlight w:val="none"/>
          <w:u w:val="single"/>
        </w:rPr>
        <w:t xml:space="preserve"> 0 </w:t>
      </w:r>
      <w:r>
        <w:rPr>
          <w:color w:val="auto"/>
          <w:highlight w:val="none"/>
        </w:rPr>
        <w:t>%，如果未设置预留份额情形，请附相关情况说明</w:t>
      </w:r>
      <w:r>
        <w:rPr>
          <w:color w:val="auto"/>
        </w:rPr>
        <w:t>（根据采购需求部分设备为大型企业生产、无法要求所有标的物均为中小企业生产或制造，中小企业可以按政策享受优惠政策）。</w:t>
      </w:r>
    </w:p>
    <w:p w14:paraId="7BC3C047">
      <w:pPr>
        <w:autoSpaceDE w:val="0"/>
        <w:autoSpaceDN w:val="0"/>
        <w:rPr>
          <w:bCs/>
          <w:color w:val="auto"/>
        </w:rPr>
      </w:pPr>
    </w:p>
    <w:p w14:paraId="0C81F09B">
      <w:pPr>
        <w:spacing w:line="360" w:lineRule="auto"/>
        <w:jc w:val="center"/>
        <w:outlineLvl w:val="0"/>
        <w:rPr>
          <w:rFonts w:ascii="Times New Roman" w:hAnsi="Times New Roman" w:eastAsia="黑体" w:cs="Times New Roman"/>
          <w:color w:val="auto"/>
          <w:kern w:val="44"/>
          <w:sz w:val="44"/>
          <w:szCs w:val="44"/>
          <w:lang w:bidi="ar-SA"/>
        </w:rPr>
      </w:pPr>
      <w:r>
        <w:rPr>
          <w:b/>
          <w:color w:val="auto"/>
          <w:sz w:val="36"/>
          <w:szCs w:val="36"/>
        </w:rPr>
        <w:br w:type="page"/>
      </w:r>
      <w:bookmarkStart w:id="582" w:name="_Toc99301349"/>
      <w:r>
        <w:rPr>
          <w:rFonts w:ascii="Times New Roman" w:hAnsi="Times New Roman" w:eastAsia="黑体" w:cs="Times New Roman"/>
          <w:color w:val="auto"/>
          <w:kern w:val="44"/>
          <w:sz w:val="44"/>
          <w:szCs w:val="44"/>
          <w:lang w:bidi="ar-SA"/>
        </w:rPr>
        <w:t xml:space="preserve">第五章   </w:t>
      </w:r>
      <w:r>
        <w:rPr>
          <w:rFonts w:hint="eastAsia" w:ascii="Times New Roman" w:hAnsi="Times New Roman" w:eastAsia="黑体" w:cs="Times New Roman"/>
          <w:color w:val="auto"/>
          <w:kern w:val="44"/>
          <w:sz w:val="44"/>
          <w:szCs w:val="44"/>
          <w:lang w:bidi="ar-SA"/>
        </w:rPr>
        <w:t>拟签订</w:t>
      </w:r>
      <w:r>
        <w:rPr>
          <w:rFonts w:ascii="Times New Roman" w:hAnsi="Times New Roman" w:eastAsia="黑体" w:cs="Times New Roman"/>
          <w:color w:val="auto"/>
          <w:kern w:val="44"/>
          <w:sz w:val="44"/>
          <w:szCs w:val="44"/>
          <w:lang w:bidi="ar-SA"/>
        </w:rPr>
        <w:t>的合同文本</w:t>
      </w:r>
      <w:bookmarkEnd w:id="582"/>
    </w:p>
    <w:p w14:paraId="2211667F">
      <w:pPr>
        <w:widowControl/>
        <w:jc w:val="left"/>
        <w:rPr>
          <w:b/>
          <w:color w:val="auto"/>
          <w:sz w:val="36"/>
          <w:szCs w:val="36"/>
        </w:rPr>
      </w:pPr>
    </w:p>
    <w:p w14:paraId="6AB04951">
      <w:pPr>
        <w:spacing w:line="500" w:lineRule="exact"/>
        <w:ind w:firstLine="480" w:firstLineChars="200"/>
        <w:rPr>
          <w:rFonts w:hint="eastAsia" w:ascii="宋体" w:hAnsi="宋体"/>
          <w:bCs/>
          <w:color w:val="auto"/>
          <w:sz w:val="24"/>
          <w:szCs w:val="21"/>
        </w:rPr>
      </w:pPr>
      <w:r>
        <w:rPr>
          <w:rFonts w:hint="eastAsia" w:ascii="宋体" w:hAnsi="宋体"/>
          <w:bCs/>
          <w:color w:val="auto"/>
          <w:sz w:val="24"/>
          <w:szCs w:val="21"/>
        </w:rPr>
        <w:t>以下为成交后签定本项目合同的通用条款，成交供应商不得提出实质性的修改。</w:t>
      </w:r>
    </w:p>
    <w:p w14:paraId="5AA851E2">
      <w:pPr>
        <w:snapToGrid w:val="0"/>
        <w:spacing w:before="156" w:beforeLines="50" w:after="156" w:afterLines="50"/>
        <w:jc w:val="center"/>
        <w:outlineLvl w:val="0"/>
        <w:rPr>
          <w:rFonts w:hint="eastAsia" w:ascii="宋体" w:hAnsi="宋体"/>
          <w:b/>
          <w:color w:val="auto"/>
          <w:sz w:val="30"/>
          <w:szCs w:val="21"/>
        </w:rPr>
      </w:pPr>
    </w:p>
    <w:p w14:paraId="62B48A2D">
      <w:pPr>
        <w:snapToGrid w:val="0"/>
        <w:spacing w:before="156" w:beforeLines="50" w:after="156" w:afterLines="50"/>
        <w:jc w:val="center"/>
        <w:outlineLvl w:val="0"/>
        <w:rPr>
          <w:rFonts w:ascii="宋体" w:hAnsi="宋体"/>
          <w:b/>
          <w:bCs/>
          <w:color w:val="auto"/>
          <w:sz w:val="30"/>
          <w:szCs w:val="20"/>
        </w:rPr>
      </w:pPr>
      <w:r>
        <w:rPr>
          <w:rFonts w:hint="eastAsia" w:ascii="宋体" w:hAnsi="宋体"/>
          <w:b/>
          <w:color w:val="auto"/>
          <w:sz w:val="30"/>
          <w:szCs w:val="21"/>
        </w:rPr>
        <w:t>常州市政府采购合同（合同编号）</w:t>
      </w:r>
    </w:p>
    <w:p w14:paraId="7E7B58B6">
      <w:pPr>
        <w:snapToGrid w:val="0"/>
        <w:spacing w:before="120" w:after="120"/>
        <w:rPr>
          <w:rFonts w:ascii="宋体" w:hAnsi="宋体" w:cs="Courier New"/>
          <w:color w:val="auto"/>
          <w:sz w:val="24"/>
          <w:szCs w:val="24"/>
        </w:rPr>
      </w:pPr>
      <w:r>
        <w:rPr>
          <w:rFonts w:ascii="宋体" w:hAnsi="宋体" w:cs="Courier New"/>
          <w:color w:val="auto"/>
          <w:sz w:val="24"/>
          <w:szCs w:val="24"/>
        </w:rPr>
        <w:t>项目名称：                                       项目编号：</w:t>
      </w:r>
    </w:p>
    <w:p w14:paraId="5CE64B23">
      <w:pPr>
        <w:snapToGrid w:val="0"/>
        <w:spacing w:before="120" w:after="120"/>
        <w:rPr>
          <w:rFonts w:ascii="宋体" w:hAnsi="宋体" w:cs="Courier New"/>
          <w:color w:val="auto"/>
          <w:sz w:val="24"/>
          <w:szCs w:val="24"/>
        </w:rPr>
      </w:pPr>
      <w:r>
        <w:rPr>
          <w:rFonts w:ascii="宋体" w:hAnsi="宋体" w:cs="Courier New"/>
          <w:color w:val="auto"/>
          <w:sz w:val="24"/>
          <w:szCs w:val="24"/>
        </w:rPr>
        <w:t>甲方：（买方）_________</w:t>
      </w:r>
    </w:p>
    <w:p w14:paraId="0FF48462">
      <w:pPr>
        <w:snapToGrid w:val="0"/>
        <w:spacing w:before="120" w:after="120"/>
        <w:rPr>
          <w:rFonts w:hint="eastAsia" w:ascii="宋体" w:hAnsi="宋体" w:cs="Courier New"/>
          <w:color w:val="auto"/>
          <w:sz w:val="24"/>
          <w:szCs w:val="24"/>
        </w:rPr>
      </w:pPr>
      <w:r>
        <w:rPr>
          <w:rFonts w:ascii="宋体" w:hAnsi="宋体" w:cs="Courier New"/>
          <w:color w:val="auto"/>
          <w:sz w:val="24"/>
          <w:szCs w:val="24"/>
        </w:rPr>
        <w:t>乙方：（卖方）_________</w:t>
      </w:r>
    </w:p>
    <w:p w14:paraId="531B8E03">
      <w:pPr>
        <w:snapToGrid w:val="0"/>
        <w:spacing w:before="120" w:after="120"/>
        <w:rPr>
          <w:rFonts w:ascii="宋体" w:hAnsi="宋体" w:cs="Courier New"/>
          <w:b/>
          <w:color w:val="auto"/>
          <w:sz w:val="24"/>
          <w:szCs w:val="24"/>
        </w:rPr>
      </w:pPr>
      <w:r>
        <w:rPr>
          <w:rFonts w:ascii="宋体" w:hAnsi="宋体" w:cs="Courier New"/>
          <w:b/>
          <w:color w:val="auto"/>
          <w:sz w:val="24"/>
          <w:szCs w:val="24"/>
        </w:rPr>
        <w:t xml:space="preserve">   </w:t>
      </w:r>
      <w:r>
        <w:rPr>
          <w:rFonts w:ascii="宋体" w:hAnsi="宋体" w:cs="Courier New"/>
          <w:color w:val="auto"/>
          <w:sz w:val="24"/>
          <w:szCs w:val="24"/>
        </w:rPr>
        <w:t>甲、乙双方根据</w:t>
      </w:r>
      <w:r>
        <w:rPr>
          <w:rFonts w:hint="eastAsia" w:ascii="宋体" w:hAnsi="宋体" w:cs="Courier New"/>
          <w:color w:val="auto"/>
          <w:sz w:val="24"/>
          <w:szCs w:val="24"/>
          <w:lang w:val="en-US" w:eastAsia="zh-CN"/>
        </w:rPr>
        <w:t>常州市教育基本建设与装备管理中心</w:t>
      </w:r>
      <w:r>
        <w:rPr>
          <w:rFonts w:hint="eastAsia" w:ascii="宋体" w:hAnsi="宋体" w:cs="Courier New"/>
          <w:color w:val="auto"/>
          <w:sz w:val="24"/>
          <w:szCs w:val="24"/>
          <w:u w:val="single"/>
        </w:rPr>
        <w:t xml:space="preserve">         </w:t>
      </w:r>
      <w:r>
        <w:rPr>
          <w:rFonts w:ascii="宋体" w:hAnsi="宋体" w:cs="Courier New"/>
          <w:color w:val="auto"/>
          <w:sz w:val="24"/>
          <w:szCs w:val="24"/>
        </w:rPr>
        <w:t>项目</w:t>
      </w:r>
      <w:r>
        <w:rPr>
          <w:rFonts w:hint="eastAsia" w:ascii="宋体" w:hAnsi="宋体" w:cs="Courier New"/>
          <w:color w:val="auto"/>
          <w:sz w:val="24"/>
          <w:szCs w:val="24"/>
          <w:lang w:val="en-US" w:eastAsia="zh-CN"/>
        </w:rPr>
        <w:t>询价</w:t>
      </w:r>
      <w:r>
        <w:rPr>
          <w:rFonts w:ascii="宋体" w:hAnsi="宋体" w:cs="Courier New"/>
          <w:color w:val="auto"/>
          <w:sz w:val="24"/>
          <w:szCs w:val="24"/>
        </w:rPr>
        <w:t>的结果，签署本合同。</w:t>
      </w:r>
    </w:p>
    <w:p w14:paraId="3AB167C0">
      <w:pPr>
        <w:snapToGrid w:val="0"/>
        <w:spacing w:before="120" w:after="120"/>
        <w:rPr>
          <w:rFonts w:ascii="宋体" w:hAnsi="宋体" w:cs="Courier New"/>
          <w:b/>
          <w:color w:val="auto"/>
          <w:sz w:val="24"/>
          <w:szCs w:val="24"/>
        </w:rPr>
      </w:pPr>
      <w:r>
        <w:rPr>
          <w:rFonts w:ascii="宋体" w:hAnsi="宋体" w:cs="Courier New"/>
          <w:b/>
          <w:color w:val="auto"/>
          <w:sz w:val="24"/>
          <w:szCs w:val="24"/>
        </w:rPr>
        <w:t>一、</w:t>
      </w:r>
      <w:r>
        <w:rPr>
          <w:rFonts w:hint="eastAsia" w:ascii="宋体" w:hAnsi="宋体" w:cs="Courier New"/>
          <w:b/>
          <w:color w:val="auto"/>
          <w:sz w:val="24"/>
          <w:szCs w:val="24"/>
        </w:rPr>
        <w:t>合同</w:t>
      </w:r>
      <w:r>
        <w:rPr>
          <w:rFonts w:ascii="宋体" w:hAnsi="宋体" w:cs="Courier New"/>
          <w:b/>
          <w:color w:val="auto"/>
          <w:sz w:val="24"/>
          <w:szCs w:val="24"/>
        </w:rPr>
        <w:t>内容</w:t>
      </w:r>
    </w:p>
    <w:p w14:paraId="0CB0212F">
      <w:pPr>
        <w:snapToGrid w:val="0"/>
        <w:spacing w:before="120" w:after="120"/>
        <w:rPr>
          <w:rFonts w:ascii="宋体" w:hAnsi="宋体" w:cs="Courier New"/>
          <w:color w:val="auto"/>
          <w:sz w:val="24"/>
          <w:szCs w:val="24"/>
        </w:rPr>
      </w:pPr>
      <w:r>
        <w:rPr>
          <w:rFonts w:ascii="宋体" w:hAnsi="宋体" w:cs="Courier New"/>
          <w:color w:val="auto"/>
          <w:sz w:val="24"/>
          <w:szCs w:val="24"/>
        </w:rPr>
        <w:t xml:space="preserve">1.1 </w:t>
      </w:r>
      <w:r>
        <w:rPr>
          <w:rFonts w:hint="eastAsia" w:ascii="宋体" w:hAnsi="宋体" w:cs="Courier New"/>
          <w:color w:val="auto"/>
          <w:sz w:val="24"/>
          <w:szCs w:val="24"/>
        </w:rPr>
        <w:t>标的</w:t>
      </w:r>
      <w:r>
        <w:rPr>
          <w:rFonts w:ascii="宋体" w:hAnsi="宋体" w:cs="Courier New"/>
          <w:color w:val="auto"/>
          <w:sz w:val="24"/>
          <w:szCs w:val="24"/>
        </w:rPr>
        <w:t>名称：</w:t>
      </w:r>
    </w:p>
    <w:p w14:paraId="238A1B7D">
      <w:pPr>
        <w:snapToGrid w:val="0"/>
        <w:spacing w:before="120" w:after="120"/>
        <w:rPr>
          <w:rFonts w:hint="eastAsia" w:ascii="宋体" w:hAnsi="宋体" w:cs="Courier New"/>
          <w:color w:val="auto"/>
          <w:sz w:val="24"/>
          <w:szCs w:val="24"/>
        </w:rPr>
      </w:pPr>
      <w:r>
        <w:rPr>
          <w:rFonts w:ascii="宋体" w:hAnsi="宋体" w:cs="Courier New"/>
          <w:color w:val="auto"/>
          <w:sz w:val="24"/>
          <w:szCs w:val="24"/>
        </w:rPr>
        <w:t xml:space="preserve">1.2 </w:t>
      </w:r>
      <w:r>
        <w:rPr>
          <w:rFonts w:hint="eastAsia" w:ascii="宋体" w:hAnsi="宋体" w:cs="Courier New"/>
          <w:color w:val="auto"/>
          <w:sz w:val="24"/>
          <w:szCs w:val="24"/>
        </w:rPr>
        <w:t>标的质量：</w:t>
      </w:r>
    </w:p>
    <w:p w14:paraId="34822B09">
      <w:pPr>
        <w:snapToGrid w:val="0"/>
        <w:spacing w:before="120" w:after="120"/>
        <w:rPr>
          <w:rFonts w:hint="eastAsia" w:ascii="宋体" w:hAnsi="宋体" w:cs="Courier New"/>
          <w:color w:val="auto"/>
          <w:sz w:val="24"/>
          <w:szCs w:val="24"/>
        </w:rPr>
      </w:pPr>
      <w:r>
        <w:rPr>
          <w:rFonts w:hint="eastAsia" w:ascii="宋体" w:hAnsi="宋体" w:cs="Courier New"/>
          <w:color w:val="auto"/>
          <w:sz w:val="24"/>
          <w:szCs w:val="24"/>
        </w:rPr>
        <w:t>1.3 标的数量（规模）：</w:t>
      </w:r>
    </w:p>
    <w:p w14:paraId="54CAF73F">
      <w:pPr>
        <w:snapToGrid w:val="0"/>
        <w:spacing w:before="120" w:after="120"/>
        <w:rPr>
          <w:rFonts w:hint="eastAsia" w:ascii="宋体" w:hAnsi="宋体" w:cs="Courier New"/>
          <w:color w:val="auto"/>
          <w:sz w:val="24"/>
          <w:szCs w:val="24"/>
        </w:rPr>
      </w:pPr>
      <w:r>
        <w:rPr>
          <w:rFonts w:hint="eastAsia" w:ascii="宋体" w:hAnsi="宋体" w:cs="Courier New"/>
          <w:color w:val="auto"/>
          <w:sz w:val="24"/>
          <w:szCs w:val="24"/>
        </w:rPr>
        <w:t>1.4 履行时间（期限）：</w:t>
      </w:r>
    </w:p>
    <w:p w14:paraId="37132F74">
      <w:pPr>
        <w:snapToGrid w:val="0"/>
        <w:spacing w:before="120" w:after="120"/>
        <w:rPr>
          <w:rFonts w:ascii="宋体" w:hAnsi="宋体" w:cs="Courier New"/>
          <w:color w:val="auto"/>
          <w:sz w:val="24"/>
          <w:szCs w:val="24"/>
        </w:rPr>
      </w:pPr>
      <w:r>
        <w:rPr>
          <w:rFonts w:hint="eastAsia" w:ascii="宋体" w:hAnsi="宋体" w:cs="Courier New"/>
          <w:color w:val="auto"/>
          <w:sz w:val="24"/>
          <w:szCs w:val="24"/>
        </w:rPr>
        <w:t>1.5 履行地点：</w:t>
      </w:r>
    </w:p>
    <w:p w14:paraId="12046981">
      <w:pPr>
        <w:snapToGrid w:val="0"/>
        <w:spacing w:before="120" w:after="120"/>
        <w:rPr>
          <w:rFonts w:ascii="宋体" w:hAnsi="宋体" w:cs="Courier New"/>
          <w:color w:val="auto"/>
          <w:sz w:val="24"/>
          <w:szCs w:val="24"/>
        </w:rPr>
      </w:pPr>
      <w:r>
        <w:rPr>
          <w:rFonts w:ascii="宋体" w:hAnsi="宋体" w:cs="Courier New"/>
          <w:color w:val="auto"/>
          <w:sz w:val="24"/>
          <w:szCs w:val="24"/>
        </w:rPr>
        <w:t>1.</w:t>
      </w:r>
      <w:r>
        <w:rPr>
          <w:rFonts w:hint="eastAsia" w:ascii="宋体" w:hAnsi="宋体" w:cs="Courier New"/>
          <w:color w:val="auto"/>
          <w:sz w:val="24"/>
          <w:szCs w:val="24"/>
        </w:rPr>
        <w:t>6</w:t>
      </w:r>
      <w:r>
        <w:rPr>
          <w:rFonts w:ascii="宋体" w:hAnsi="宋体" w:cs="Courier New"/>
          <w:color w:val="auto"/>
          <w:sz w:val="24"/>
          <w:szCs w:val="24"/>
        </w:rPr>
        <w:t xml:space="preserve"> </w:t>
      </w:r>
      <w:r>
        <w:rPr>
          <w:rFonts w:hint="eastAsia" w:ascii="宋体" w:hAnsi="宋体" w:cs="Courier New"/>
          <w:color w:val="auto"/>
          <w:sz w:val="24"/>
          <w:szCs w:val="24"/>
        </w:rPr>
        <w:t>履行方式：</w:t>
      </w:r>
    </w:p>
    <w:p w14:paraId="500ED9EB">
      <w:pPr>
        <w:snapToGrid w:val="0"/>
        <w:spacing w:before="120" w:after="120"/>
        <w:rPr>
          <w:rFonts w:hint="eastAsia" w:ascii="宋体" w:hAnsi="宋体" w:cs="Courier New"/>
          <w:color w:val="auto"/>
          <w:sz w:val="24"/>
          <w:szCs w:val="24"/>
        </w:rPr>
      </w:pPr>
      <w:r>
        <w:rPr>
          <w:rFonts w:hint="eastAsia" w:ascii="宋体" w:hAnsi="宋体" w:cs="Courier New"/>
          <w:color w:val="auto"/>
          <w:sz w:val="24"/>
          <w:szCs w:val="24"/>
        </w:rPr>
        <w:t>1.7 包装方式：</w:t>
      </w:r>
    </w:p>
    <w:p w14:paraId="07F091CF">
      <w:pPr>
        <w:snapToGrid w:val="0"/>
        <w:spacing w:before="120" w:after="120"/>
        <w:rPr>
          <w:rFonts w:hint="default" w:ascii="宋体" w:hAnsi="宋体" w:eastAsia="宋体" w:cs="Courier New"/>
          <w:color w:val="auto"/>
          <w:sz w:val="24"/>
          <w:szCs w:val="24"/>
          <w:lang w:val="en-US" w:eastAsia="zh-CN"/>
        </w:rPr>
      </w:pPr>
      <w:r>
        <w:rPr>
          <w:rFonts w:hint="eastAsia" w:ascii="宋体" w:hAnsi="宋体" w:cs="Courier New"/>
          <w:color w:val="auto"/>
          <w:sz w:val="24"/>
          <w:szCs w:val="24"/>
          <w:lang w:val="en-US" w:eastAsia="zh-CN"/>
        </w:rPr>
        <w:t>1.8 采购清单以附件形式提供</w:t>
      </w:r>
    </w:p>
    <w:p w14:paraId="412FF439">
      <w:pPr>
        <w:snapToGrid w:val="0"/>
        <w:spacing w:before="120" w:after="120"/>
        <w:rPr>
          <w:rFonts w:ascii="宋体" w:hAnsi="宋体" w:cs="Courier New"/>
          <w:b/>
          <w:color w:val="auto"/>
          <w:sz w:val="24"/>
          <w:szCs w:val="24"/>
        </w:rPr>
      </w:pPr>
      <w:r>
        <w:rPr>
          <w:rFonts w:ascii="宋体" w:hAnsi="宋体" w:cs="Courier New"/>
          <w:b/>
          <w:color w:val="auto"/>
          <w:sz w:val="24"/>
          <w:szCs w:val="24"/>
        </w:rPr>
        <w:t>二、合同金额</w:t>
      </w:r>
    </w:p>
    <w:p w14:paraId="532098BB">
      <w:pPr>
        <w:snapToGrid w:val="0"/>
        <w:spacing w:before="120" w:after="120"/>
        <w:ind w:left="410" w:hanging="410" w:hangingChars="171"/>
        <w:rPr>
          <w:rFonts w:ascii="宋体" w:hAnsi="宋体" w:cs="Courier New"/>
          <w:color w:val="auto"/>
          <w:sz w:val="24"/>
          <w:szCs w:val="24"/>
        </w:rPr>
      </w:pPr>
      <w:r>
        <w:rPr>
          <w:rFonts w:ascii="宋体" w:hAnsi="宋体" w:cs="Courier New"/>
          <w:color w:val="auto"/>
          <w:sz w:val="24"/>
          <w:szCs w:val="24"/>
        </w:rPr>
        <w:t>2.1 本合同金额为（大写）：____________________________________</w:t>
      </w:r>
      <w:r>
        <w:rPr>
          <w:rFonts w:hint="eastAsia" w:ascii="宋体" w:hAnsi="宋体" w:cs="Courier New"/>
          <w:color w:val="auto"/>
          <w:sz w:val="24"/>
          <w:szCs w:val="24"/>
        </w:rPr>
        <w:t>圆</w:t>
      </w:r>
      <w:r>
        <w:rPr>
          <w:rFonts w:ascii="宋体" w:hAnsi="宋体" w:cs="Courier New"/>
          <w:color w:val="auto"/>
          <w:sz w:val="24"/>
          <w:szCs w:val="24"/>
        </w:rPr>
        <w:t>（_______________元）人民币</w:t>
      </w:r>
      <w:r>
        <w:rPr>
          <w:rFonts w:hint="eastAsia" w:ascii="宋体" w:hAnsi="宋体" w:cs="Courier New"/>
          <w:color w:val="auto"/>
          <w:sz w:val="24"/>
          <w:szCs w:val="24"/>
        </w:rPr>
        <w:t>或其他币种</w:t>
      </w:r>
      <w:r>
        <w:rPr>
          <w:rFonts w:ascii="宋体" w:hAnsi="宋体" w:cs="Courier New"/>
          <w:color w:val="auto"/>
          <w:sz w:val="24"/>
          <w:szCs w:val="24"/>
        </w:rPr>
        <w:t>。</w:t>
      </w:r>
    </w:p>
    <w:p w14:paraId="206FA053">
      <w:pPr>
        <w:snapToGrid w:val="0"/>
        <w:spacing w:before="120" w:after="120"/>
        <w:rPr>
          <w:rFonts w:ascii="宋体" w:hAnsi="宋体" w:cs="Courier New"/>
          <w:b/>
          <w:color w:val="auto"/>
          <w:sz w:val="24"/>
          <w:szCs w:val="24"/>
        </w:rPr>
      </w:pPr>
      <w:r>
        <w:rPr>
          <w:rFonts w:ascii="宋体" w:hAnsi="宋体" w:cs="Courier New"/>
          <w:b/>
          <w:color w:val="auto"/>
          <w:sz w:val="24"/>
          <w:szCs w:val="24"/>
        </w:rPr>
        <w:t>三、技术资料</w:t>
      </w:r>
    </w:p>
    <w:p w14:paraId="0D6032F5">
      <w:pPr>
        <w:snapToGrid w:val="0"/>
        <w:spacing w:before="120" w:after="120"/>
        <w:ind w:left="410" w:hanging="410" w:hangingChars="171"/>
        <w:rPr>
          <w:rFonts w:hint="eastAsia" w:ascii="宋体" w:hAnsi="宋体" w:cs="Courier New"/>
          <w:color w:val="auto"/>
          <w:sz w:val="24"/>
          <w:szCs w:val="24"/>
        </w:rPr>
      </w:pPr>
      <w:r>
        <w:rPr>
          <w:rFonts w:ascii="宋体" w:hAnsi="宋体" w:cs="Courier New"/>
          <w:color w:val="auto"/>
          <w:sz w:val="24"/>
          <w:szCs w:val="24"/>
        </w:rPr>
        <w:t>3.1乙方应按</w:t>
      </w:r>
      <w:r>
        <w:rPr>
          <w:rFonts w:hint="eastAsia" w:ascii="宋体" w:hAnsi="宋体" w:cs="Courier New"/>
          <w:color w:val="auto"/>
          <w:sz w:val="24"/>
          <w:szCs w:val="24"/>
          <w:lang w:eastAsia="zh-CN"/>
        </w:rPr>
        <w:t>询价文件</w:t>
      </w:r>
      <w:r>
        <w:rPr>
          <w:rFonts w:ascii="宋体" w:hAnsi="宋体" w:cs="Courier New"/>
          <w:color w:val="auto"/>
          <w:sz w:val="24"/>
          <w:szCs w:val="24"/>
        </w:rPr>
        <w:t>规定的时间向甲方提供</w:t>
      </w:r>
      <w:r>
        <w:rPr>
          <w:rFonts w:hint="eastAsia" w:ascii="宋体" w:hAnsi="宋体" w:cs="Courier New"/>
          <w:color w:val="auto"/>
          <w:sz w:val="24"/>
          <w:szCs w:val="24"/>
        </w:rPr>
        <w:t>与合同标的</w:t>
      </w:r>
      <w:r>
        <w:rPr>
          <w:rFonts w:ascii="宋体" w:hAnsi="宋体" w:cs="Courier New"/>
          <w:color w:val="auto"/>
          <w:sz w:val="24"/>
          <w:szCs w:val="24"/>
        </w:rPr>
        <w:t>有关的技术资料。</w:t>
      </w:r>
    </w:p>
    <w:p w14:paraId="2208C9BC">
      <w:pPr>
        <w:snapToGrid w:val="0"/>
        <w:spacing w:before="120" w:after="120"/>
        <w:ind w:left="410" w:hanging="410" w:hangingChars="171"/>
        <w:rPr>
          <w:rFonts w:ascii="宋体" w:hAnsi="宋体" w:cs="Courier New"/>
          <w:color w:val="auto"/>
          <w:sz w:val="24"/>
          <w:szCs w:val="24"/>
        </w:rPr>
      </w:pPr>
      <w:r>
        <w:rPr>
          <w:rFonts w:ascii="宋体" w:hAnsi="宋体" w:cs="Courier New"/>
          <w:color w:val="auto"/>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EC43545">
      <w:pPr>
        <w:snapToGrid w:val="0"/>
        <w:spacing w:before="120" w:after="120"/>
        <w:ind w:left="412" w:hanging="412" w:hangingChars="171"/>
        <w:rPr>
          <w:rFonts w:ascii="宋体" w:hAnsi="宋体" w:cs="Courier New"/>
          <w:b/>
          <w:color w:val="auto"/>
          <w:sz w:val="24"/>
          <w:szCs w:val="24"/>
        </w:rPr>
      </w:pPr>
      <w:r>
        <w:rPr>
          <w:rFonts w:ascii="宋体" w:hAnsi="宋体" w:cs="Courier New"/>
          <w:b/>
          <w:color w:val="auto"/>
          <w:sz w:val="24"/>
          <w:szCs w:val="24"/>
        </w:rPr>
        <w:t>四、知识产权</w:t>
      </w:r>
    </w:p>
    <w:p w14:paraId="03833EA7">
      <w:pPr>
        <w:snapToGrid w:val="0"/>
        <w:spacing w:before="120" w:after="120"/>
        <w:ind w:left="408" w:hanging="408" w:hangingChars="170"/>
        <w:rPr>
          <w:rFonts w:hint="eastAsia" w:ascii="宋体" w:hAnsi="宋体" w:cs="Courier New"/>
          <w:color w:val="auto"/>
          <w:sz w:val="24"/>
          <w:szCs w:val="24"/>
        </w:rPr>
      </w:pPr>
      <w:r>
        <w:rPr>
          <w:rFonts w:ascii="宋体" w:hAnsi="宋体" w:cs="Courier New"/>
          <w:color w:val="auto"/>
          <w:sz w:val="24"/>
          <w:szCs w:val="24"/>
        </w:rPr>
        <w:t>4.1乙</w:t>
      </w:r>
      <w:r>
        <w:rPr>
          <w:rFonts w:hint="eastAsia" w:ascii="宋体" w:hAnsi="宋体" w:cs="Courier New"/>
          <w:color w:val="auto"/>
          <w:sz w:val="24"/>
          <w:szCs w:val="24"/>
        </w:rPr>
        <w:t>方应保证甲方在使用、接受本合同标的或其任何一部分时不受第三方提出侵犯其专利权、版权、商标权和工业设计权等知识产权的起诉。一旦出现侵权，由乙方负全部责任。</w:t>
      </w:r>
    </w:p>
    <w:p w14:paraId="17B6D45D">
      <w:pPr>
        <w:snapToGrid w:val="0"/>
        <w:spacing w:before="120" w:after="120"/>
        <w:rPr>
          <w:rFonts w:ascii="宋体" w:hAnsi="宋体" w:cs="Courier New"/>
          <w:color w:val="auto"/>
          <w:sz w:val="24"/>
          <w:szCs w:val="24"/>
          <w:u w:val="single"/>
        </w:rPr>
      </w:pPr>
      <w:r>
        <w:rPr>
          <w:rFonts w:ascii="宋体" w:hAnsi="宋体" w:cs="Courier New"/>
          <w:b/>
          <w:color w:val="auto"/>
          <w:sz w:val="24"/>
          <w:szCs w:val="24"/>
        </w:rPr>
        <w:t>五、产权担保</w:t>
      </w:r>
    </w:p>
    <w:p w14:paraId="061B9EDD">
      <w:pPr>
        <w:snapToGrid w:val="0"/>
        <w:spacing w:before="120" w:after="120"/>
        <w:ind w:left="408" w:hanging="408" w:hangingChars="170"/>
        <w:rPr>
          <w:rFonts w:ascii="宋体" w:hAnsi="宋体" w:cs="Courier New"/>
          <w:color w:val="auto"/>
          <w:sz w:val="24"/>
          <w:szCs w:val="24"/>
          <w:u w:val="single"/>
        </w:rPr>
      </w:pPr>
      <w:r>
        <w:rPr>
          <w:rFonts w:ascii="宋体" w:hAnsi="宋体" w:cs="Courier New"/>
          <w:color w:val="auto"/>
          <w:sz w:val="24"/>
          <w:szCs w:val="24"/>
        </w:rPr>
        <w:t>5.1 乙方保证所交付的</w:t>
      </w:r>
      <w:r>
        <w:rPr>
          <w:rFonts w:hint="eastAsia" w:ascii="宋体" w:hAnsi="宋体" w:cs="Courier New"/>
          <w:color w:val="auto"/>
          <w:sz w:val="24"/>
          <w:szCs w:val="24"/>
        </w:rPr>
        <w:t>合同标的</w:t>
      </w:r>
      <w:r>
        <w:rPr>
          <w:rFonts w:ascii="宋体" w:hAnsi="宋体" w:cs="Courier New"/>
          <w:color w:val="auto"/>
          <w:sz w:val="24"/>
          <w:szCs w:val="24"/>
        </w:rPr>
        <w:t>的所有权完全属于乙方且无任何抵押、查封等产权瑕疵。</w:t>
      </w:r>
    </w:p>
    <w:p w14:paraId="146655AB">
      <w:pPr>
        <w:snapToGrid w:val="0"/>
        <w:spacing w:before="120" w:after="120"/>
        <w:ind w:left="410" w:hanging="410" w:hangingChars="170"/>
        <w:rPr>
          <w:rFonts w:ascii="宋体" w:hAnsi="宋体" w:cs="Courier New"/>
          <w:b/>
          <w:color w:val="auto"/>
          <w:sz w:val="24"/>
          <w:szCs w:val="24"/>
        </w:rPr>
      </w:pPr>
      <w:r>
        <w:rPr>
          <w:rFonts w:ascii="宋体" w:hAnsi="宋体" w:cs="Courier New"/>
          <w:b/>
          <w:color w:val="auto"/>
          <w:sz w:val="24"/>
          <w:szCs w:val="24"/>
        </w:rPr>
        <w:t>六、履约保证金</w:t>
      </w:r>
    </w:p>
    <w:p w14:paraId="26977FD9">
      <w:pPr>
        <w:pStyle w:val="23"/>
        <w:snapToGrid w:val="0"/>
        <w:spacing w:before="120" w:after="120"/>
        <w:ind w:left="408" w:hanging="408" w:hangingChars="170"/>
        <w:rPr>
          <w:rFonts w:hAnsi="宋体"/>
          <w:color w:val="auto"/>
          <w:sz w:val="24"/>
          <w:szCs w:val="24"/>
        </w:rPr>
      </w:pPr>
      <w:r>
        <w:rPr>
          <w:rFonts w:hint="eastAsia" w:hAnsi="宋体"/>
          <w:color w:val="auto"/>
          <w:sz w:val="24"/>
          <w:szCs w:val="24"/>
        </w:rPr>
        <w:t>本项目</w:t>
      </w:r>
      <w:r>
        <w:rPr>
          <w:rFonts w:hint="eastAsia" w:hAnsi="宋体"/>
          <w:color w:val="auto"/>
          <w:sz w:val="24"/>
          <w:szCs w:val="24"/>
          <w:u w:val="single"/>
          <w:lang w:val="en-US" w:eastAsia="zh-CN"/>
        </w:rPr>
        <w:t>不收取</w:t>
      </w:r>
      <w:r>
        <w:rPr>
          <w:rFonts w:hint="eastAsia" w:hAnsi="宋体"/>
          <w:color w:val="auto"/>
          <w:sz w:val="24"/>
          <w:szCs w:val="24"/>
        </w:rPr>
        <w:t>履约保证金。</w:t>
      </w:r>
    </w:p>
    <w:p w14:paraId="5CA56F94">
      <w:pPr>
        <w:snapToGrid w:val="0"/>
        <w:spacing w:before="156" w:beforeLines="50" w:after="156" w:afterLines="50"/>
        <w:rPr>
          <w:rFonts w:ascii="宋体" w:hAnsi="宋体" w:eastAsia="仿宋_GB2312"/>
          <w:b/>
          <w:color w:val="auto"/>
          <w:sz w:val="24"/>
          <w:szCs w:val="24"/>
        </w:rPr>
      </w:pPr>
      <w:r>
        <w:rPr>
          <w:rFonts w:hint="eastAsia" w:ascii="宋体" w:hAnsi="宋体"/>
          <w:b/>
          <w:color w:val="auto"/>
          <w:sz w:val="24"/>
          <w:szCs w:val="24"/>
        </w:rPr>
        <w:t>七、合同转包或分包</w:t>
      </w:r>
    </w:p>
    <w:p w14:paraId="1642B825">
      <w:pPr>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7.1乙方不得将合同标的转包给他人履行。</w:t>
      </w:r>
    </w:p>
    <w:p w14:paraId="568E9CCE">
      <w:pPr>
        <w:snapToGrid w:val="0"/>
        <w:spacing w:before="156" w:beforeLines="50" w:after="156" w:afterLines="50"/>
        <w:rPr>
          <w:rFonts w:hint="eastAsia" w:ascii="宋体" w:hAnsi="宋体"/>
          <w:color w:val="auto"/>
          <w:sz w:val="24"/>
          <w:szCs w:val="24"/>
        </w:rPr>
      </w:pPr>
      <w:r>
        <w:rPr>
          <w:rFonts w:ascii="宋体" w:hAnsi="宋体"/>
          <w:color w:val="auto"/>
          <w:sz w:val="24"/>
          <w:szCs w:val="24"/>
        </w:rPr>
        <w:t>7.2</w:t>
      </w:r>
      <w:r>
        <w:rPr>
          <w:rFonts w:hint="eastAsia" w:ascii="宋体" w:hAnsi="宋体"/>
          <w:color w:val="auto"/>
          <w:sz w:val="24"/>
          <w:szCs w:val="24"/>
        </w:rPr>
        <w:t>乙方不得将合同标的分包给他人履行。</w:t>
      </w:r>
    </w:p>
    <w:p w14:paraId="2E3E4F50">
      <w:pPr>
        <w:snapToGrid w:val="0"/>
        <w:spacing w:before="156" w:beforeLines="50" w:after="156" w:afterLines="50"/>
        <w:rPr>
          <w:rFonts w:ascii="宋体" w:hAnsi="宋体" w:eastAsia="仿宋_GB2312"/>
          <w:color w:val="auto"/>
          <w:sz w:val="24"/>
          <w:szCs w:val="24"/>
        </w:rPr>
      </w:pPr>
      <w:r>
        <w:rPr>
          <w:rFonts w:ascii="宋体" w:hAnsi="宋体"/>
          <w:color w:val="auto"/>
          <w:sz w:val="24"/>
          <w:szCs w:val="24"/>
        </w:rPr>
        <w:t>7.3</w:t>
      </w:r>
      <w:r>
        <w:rPr>
          <w:rFonts w:hint="eastAsia" w:ascii="宋体" w:hAnsi="宋体"/>
          <w:color w:val="auto"/>
          <w:sz w:val="24"/>
          <w:szCs w:val="24"/>
        </w:rPr>
        <w:t>乙方如有转包或未经甲方同意的分包行为，甲方有权解除合同。</w:t>
      </w:r>
    </w:p>
    <w:p w14:paraId="7BFE0202">
      <w:pPr>
        <w:snapToGrid w:val="0"/>
        <w:spacing w:before="120" w:after="120"/>
        <w:rPr>
          <w:rFonts w:ascii="宋体" w:hAnsi="宋体" w:cs="Courier New"/>
          <w:b/>
          <w:color w:val="auto"/>
          <w:sz w:val="24"/>
          <w:szCs w:val="24"/>
        </w:rPr>
      </w:pPr>
      <w:r>
        <w:rPr>
          <w:rFonts w:hint="eastAsia" w:ascii="宋体" w:hAnsi="宋体" w:cs="Courier New"/>
          <w:b/>
          <w:color w:val="auto"/>
          <w:sz w:val="24"/>
          <w:szCs w:val="24"/>
        </w:rPr>
        <w:t>八</w:t>
      </w:r>
      <w:r>
        <w:rPr>
          <w:rFonts w:ascii="宋体" w:hAnsi="宋体" w:cs="Courier New"/>
          <w:b/>
          <w:color w:val="auto"/>
          <w:sz w:val="24"/>
          <w:szCs w:val="24"/>
        </w:rPr>
        <w:t>、</w:t>
      </w:r>
      <w:r>
        <w:rPr>
          <w:rFonts w:hint="eastAsia" w:ascii="宋体" w:hAnsi="宋体" w:cs="Courier New"/>
          <w:b/>
          <w:color w:val="auto"/>
          <w:sz w:val="24"/>
          <w:szCs w:val="24"/>
        </w:rPr>
        <w:t>合同款项</w:t>
      </w:r>
      <w:r>
        <w:rPr>
          <w:rFonts w:ascii="宋体" w:hAnsi="宋体" w:cs="Courier New"/>
          <w:b/>
          <w:color w:val="auto"/>
          <w:sz w:val="24"/>
          <w:szCs w:val="24"/>
        </w:rPr>
        <w:t>支付</w:t>
      </w:r>
    </w:p>
    <w:p w14:paraId="47EDB2ED">
      <w:pPr>
        <w:snapToGrid w:val="0"/>
        <w:spacing w:before="156" w:beforeLines="50" w:after="156" w:afterLines="50"/>
        <w:rPr>
          <w:rFonts w:ascii="宋体" w:hAnsi="宋体"/>
          <w:color w:val="auto"/>
          <w:sz w:val="24"/>
        </w:rPr>
      </w:pPr>
      <w:r>
        <w:rPr>
          <w:rFonts w:hint="eastAsia" w:ascii="宋体" w:hAnsi="宋体"/>
          <w:color w:val="auto"/>
          <w:sz w:val="24"/>
        </w:rPr>
        <w:t>8.1分期付款：</w:t>
      </w:r>
      <w:r>
        <w:rPr>
          <w:rFonts w:hint="eastAsia" w:ascii="宋体" w:hAnsi="宋体"/>
          <w:color w:val="auto"/>
          <w:sz w:val="24"/>
          <w:u w:val="single"/>
        </w:rPr>
        <w:t xml:space="preserve">  </w:t>
      </w:r>
      <w:r>
        <w:rPr>
          <w:rFonts w:hint="eastAsia" w:ascii="宋体" w:hAnsi="宋体"/>
          <w:color w:val="auto"/>
          <w:sz w:val="24"/>
          <w:u w:val="single"/>
          <w:lang w:val="en-US" w:eastAsia="zh-CN"/>
        </w:rPr>
        <w:t xml:space="preserve">                              </w:t>
      </w:r>
      <w:r>
        <w:rPr>
          <w:rFonts w:hint="eastAsia" w:ascii="宋体" w:hAnsi="宋体"/>
          <w:color w:val="auto"/>
          <w:sz w:val="24"/>
          <w:u w:val="single"/>
        </w:rPr>
        <w:t xml:space="preserve"> </w:t>
      </w:r>
      <w:r>
        <w:rPr>
          <w:rFonts w:hint="eastAsia" w:ascii="宋体" w:hAnsi="宋体"/>
          <w:color w:val="auto"/>
          <w:sz w:val="24"/>
        </w:rPr>
        <w:t>。满足合同约定支付条件的，自收到发票后10个工作日内支付。</w:t>
      </w:r>
    </w:p>
    <w:p w14:paraId="08F9B158">
      <w:pPr>
        <w:snapToGrid w:val="0"/>
        <w:spacing w:before="156" w:beforeLines="50" w:after="156" w:afterLines="50"/>
        <w:rPr>
          <w:rFonts w:ascii="宋体" w:hAnsi="宋体" w:eastAsia="仿宋_GB2312"/>
          <w:b/>
          <w:color w:val="auto"/>
          <w:sz w:val="24"/>
          <w:szCs w:val="24"/>
        </w:rPr>
      </w:pPr>
      <w:r>
        <w:rPr>
          <w:rFonts w:hint="eastAsia" w:ascii="宋体" w:hAnsi="宋体"/>
          <w:b/>
          <w:color w:val="auto"/>
          <w:sz w:val="24"/>
          <w:szCs w:val="24"/>
        </w:rPr>
        <w:t>九、税费</w:t>
      </w:r>
    </w:p>
    <w:p w14:paraId="29FF2A20">
      <w:pPr>
        <w:snapToGrid w:val="0"/>
        <w:spacing w:before="156" w:beforeLines="50" w:after="156" w:afterLines="50"/>
        <w:rPr>
          <w:rFonts w:ascii="宋体" w:hAnsi="宋体" w:eastAsia="仿宋_GB2312"/>
          <w:color w:val="auto"/>
          <w:sz w:val="24"/>
          <w:szCs w:val="24"/>
        </w:rPr>
      </w:pPr>
      <w:r>
        <w:rPr>
          <w:rFonts w:hint="eastAsia" w:ascii="宋体" w:hAnsi="宋体"/>
          <w:color w:val="auto"/>
          <w:sz w:val="24"/>
          <w:szCs w:val="24"/>
        </w:rPr>
        <w:t>9</w:t>
      </w:r>
      <w:r>
        <w:rPr>
          <w:rFonts w:ascii="宋体" w:hAnsi="宋体"/>
          <w:color w:val="auto"/>
          <w:sz w:val="24"/>
          <w:szCs w:val="24"/>
        </w:rPr>
        <w:t>.1</w:t>
      </w:r>
      <w:r>
        <w:rPr>
          <w:rFonts w:hint="eastAsia" w:ascii="宋体" w:hAnsi="宋体"/>
          <w:color w:val="auto"/>
          <w:sz w:val="24"/>
          <w:szCs w:val="24"/>
        </w:rPr>
        <w:t>本合同执行中相关的一切税费均由乙方负担。</w:t>
      </w:r>
    </w:p>
    <w:p w14:paraId="634D70CD">
      <w:pPr>
        <w:snapToGrid w:val="0"/>
        <w:spacing w:before="120" w:after="120"/>
        <w:rPr>
          <w:rFonts w:ascii="宋体" w:hAnsi="宋体" w:cs="Courier New"/>
          <w:b/>
          <w:color w:val="auto"/>
          <w:sz w:val="24"/>
          <w:szCs w:val="24"/>
        </w:rPr>
      </w:pPr>
      <w:r>
        <w:rPr>
          <w:rFonts w:ascii="宋体" w:hAnsi="宋体" w:cs="Courier New"/>
          <w:b/>
          <w:color w:val="auto"/>
          <w:sz w:val="24"/>
          <w:szCs w:val="24"/>
        </w:rPr>
        <w:t>十、</w:t>
      </w:r>
      <w:r>
        <w:rPr>
          <w:rFonts w:hint="eastAsia" w:ascii="宋体" w:hAnsi="宋体" w:cs="Courier New"/>
          <w:b/>
          <w:color w:val="auto"/>
          <w:sz w:val="24"/>
          <w:szCs w:val="24"/>
        </w:rPr>
        <w:t>项目</w:t>
      </w:r>
      <w:r>
        <w:rPr>
          <w:rFonts w:ascii="宋体" w:hAnsi="宋体" w:cs="Courier New"/>
          <w:b/>
          <w:color w:val="auto"/>
          <w:sz w:val="24"/>
          <w:szCs w:val="24"/>
        </w:rPr>
        <w:t>验收</w:t>
      </w:r>
    </w:p>
    <w:p w14:paraId="3D2E4866">
      <w:pPr>
        <w:snapToGrid w:val="0"/>
        <w:spacing w:before="120" w:after="120"/>
        <w:ind w:left="480" w:hanging="480" w:hangingChars="200"/>
        <w:rPr>
          <w:rFonts w:hint="eastAsia" w:ascii="宋体" w:hAnsi="宋体" w:cs="Courier New"/>
          <w:color w:val="auto"/>
          <w:sz w:val="24"/>
          <w:szCs w:val="24"/>
        </w:rPr>
      </w:pPr>
      <w:r>
        <w:rPr>
          <w:rFonts w:hint="eastAsia" w:ascii="宋体" w:hAnsi="宋体" w:cs="Courier New"/>
          <w:color w:val="auto"/>
          <w:sz w:val="24"/>
          <w:szCs w:val="24"/>
        </w:rPr>
        <w:t>10.1 甲方依法组织履约验收工作。</w:t>
      </w:r>
    </w:p>
    <w:p w14:paraId="73CE4ACF">
      <w:pPr>
        <w:snapToGrid w:val="0"/>
        <w:spacing w:before="120" w:after="120"/>
        <w:ind w:left="480" w:hanging="480" w:hangingChars="200"/>
        <w:rPr>
          <w:rFonts w:hint="eastAsia" w:ascii="宋体" w:hAnsi="宋体" w:cs="Courier New"/>
          <w:color w:val="auto"/>
          <w:sz w:val="24"/>
          <w:szCs w:val="24"/>
        </w:rPr>
      </w:pPr>
      <w:r>
        <w:rPr>
          <w:rFonts w:hint="eastAsia" w:ascii="宋体" w:hAnsi="宋体" w:cs="Courier New"/>
          <w:color w:val="auto"/>
          <w:sz w:val="24"/>
          <w:szCs w:val="24"/>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0F9919B4">
      <w:pPr>
        <w:snapToGrid w:val="0"/>
        <w:spacing w:before="120" w:after="120"/>
        <w:ind w:left="480" w:hanging="480" w:hangingChars="200"/>
        <w:rPr>
          <w:rFonts w:hint="eastAsia" w:ascii="宋体" w:hAnsi="宋体" w:cs="Courier New"/>
          <w:color w:val="auto"/>
          <w:sz w:val="24"/>
          <w:szCs w:val="24"/>
        </w:rPr>
      </w:pPr>
      <w:r>
        <w:rPr>
          <w:rFonts w:hint="eastAsia" w:ascii="宋体" w:hAnsi="宋体" w:cs="Courier New"/>
          <w:color w:val="auto"/>
          <w:sz w:val="24"/>
          <w:szCs w:val="24"/>
        </w:rPr>
        <w:t>10.3 对于实际使用人和甲方分离的项目，甲方邀请实际使用人参与验收。</w:t>
      </w:r>
    </w:p>
    <w:p w14:paraId="1230AAE3">
      <w:pPr>
        <w:snapToGrid w:val="0"/>
        <w:spacing w:before="120" w:after="120"/>
        <w:ind w:left="480" w:hanging="480" w:hangingChars="200"/>
        <w:rPr>
          <w:rFonts w:hint="eastAsia" w:ascii="宋体" w:hAnsi="宋体" w:cs="Courier New"/>
          <w:color w:val="auto"/>
          <w:sz w:val="24"/>
          <w:szCs w:val="24"/>
        </w:rPr>
      </w:pPr>
      <w:r>
        <w:rPr>
          <w:rFonts w:hint="eastAsia" w:ascii="宋体" w:hAnsi="宋体" w:cs="Courier New"/>
          <w:color w:val="auto"/>
          <w:sz w:val="24"/>
          <w:szCs w:val="24"/>
        </w:rPr>
        <w:t>10.4 如有必要，甲方邀请参加本项目的其他供应商或第三方专业机构及专家参与验收，相关意见将作为验收书的参考资料。</w:t>
      </w:r>
    </w:p>
    <w:p w14:paraId="2B8E0EED">
      <w:pPr>
        <w:snapToGrid w:val="0"/>
        <w:spacing w:before="120" w:after="120"/>
        <w:ind w:left="480" w:hanging="480" w:hangingChars="200"/>
        <w:rPr>
          <w:rFonts w:hint="eastAsia" w:ascii="宋体" w:hAnsi="宋体" w:cs="Courier New"/>
          <w:color w:val="auto"/>
          <w:sz w:val="24"/>
          <w:szCs w:val="24"/>
        </w:rPr>
      </w:pPr>
      <w:r>
        <w:rPr>
          <w:rFonts w:hint="eastAsia" w:ascii="宋体" w:hAnsi="宋体" w:cs="Courier New"/>
          <w:color w:val="auto"/>
          <w:sz w:val="24"/>
          <w:szCs w:val="24"/>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425B6852">
      <w:pPr>
        <w:snapToGrid w:val="0"/>
        <w:spacing w:before="120" w:after="120"/>
        <w:ind w:left="480" w:hanging="480" w:hangingChars="200"/>
        <w:rPr>
          <w:rFonts w:ascii="宋体" w:hAnsi="宋体" w:cs="Courier New"/>
          <w:color w:val="auto"/>
          <w:sz w:val="24"/>
          <w:szCs w:val="24"/>
        </w:rPr>
      </w:pPr>
      <w:r>
        <w:rPr>
          <w:rFonts w:hint="eastAsia" w:ascii="宋体" w:hAnsi="宋体" w:cs="Courier New"/>
          <w:color w:val="auto"/>
          <w:sz w:val="24"/>
          <w:szCs w:val="24"/>
        </w:rPr>
        <w:t>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14F79923">
      <w:pPr>
        <w:snapToGrid w:val="0"/>
        <w:spacing w:before="120" w:after="120"/>
        <w:rPr>
          <w:rFonts w:ascii="宋体" w:hAnsi="宋体" w:cs="Courier New"/>
          <w:b/>
          <w:color w:val="auto"/>
          <w:sz w:val="24"/>
          <w:szCs w:val="24"/>
        </w:rPr>
      </w:pPr>
      <w:r>
        <w:rPr>
          <w:rFonts w:ascii="宋体" w:hAnsi="宋体" w:cs="Courier New"/>
          <w:b/>
          <w:color w:val="auto"/>
          <w:sz w:val="24"/>
          <w:szCs w:val="24"/>
        </w:rPr>
        <w:t>十</w:t>
      </w:r>
      <w:r>
        <w:rPr>
          <w:rFonts w:hint="eastAsia" w:ascii="宋体" w:hAnsi="宋体" w:cs="Courier New"/>
          <w:b/>
          <w:color w:val="auto"/>
          <w:sz w:val="24"/>
          <w:szCs w:val="24"/>
        </w:rPr>
        <w:t>一</w:t>
      </w:r>
      <w:r>
        <w:rPr>
          <w:rFonts w:ascii="宋体" w:hAnsi="宋体" w:cs="Courier New"/>
          <w:b/>
          <w:color w:val="auto"/>
          <w:sz w:val="24"/>
          <w:szCs w:val="24"/>
        </w:rPr>
        <w:t>、货物</w:t>
      </w:r>
      <w:r>
        <w:rPr>
          <w:rFonts w:hint="eastAsia" w:ascii="宋体" w:hAnsi="宋体" w:cs="Courier New"/>
          <w:b/>
          <w:color w:val="auto"/>
          <w:sz w:val="24"/>
          <w:szCs w:val="24"/>
        </w:rPr>
        <w:t>的</w:t>
      </w:r>
      <w:r>
        <w:rPr>
          <w:rFonts w:ascii="宋体" w:hAnsi="宋体" w:cs="Courier New"/>
          <w:b/>
          <w:color w:val="auto"/>
          <w:sz w:val="24"/>
          <w:szCs w:val="24"/>
        </w:rPr>
        <w:t>包装、发运及运输</w:t>
      </w:r>
    </w:p>
    <w:p w14:paraId="70968A5F">
      <w:pPr>
        <w:snapToGrid w:val="0"/>
        <w:spacing w:before="120" w:after="120"/>
        <w:ind w:left="480" w:hanging="480" w:hangingChars="200"/>
        <w:rPr>
          <w:rFonts w:ascii="宋体" w:hAnsi="宋体" w:cs="Courier New"/>
          <w:color w:val="auto"/>
          <w:sz w:val="24"/>
          <w:szCs w:val="24"/>
        </w:rPr>
      </w:pPr>
      <w:r>
        <w:rPr>
          <w:rFonts w:ascii="宋体" w:hAnsi="宋体" w:cs="Courier New"/>
          <w:color w:val="auto"/>
          <w:sz w:val="24"/>
          <w:szCs w:val="24"/>
        </w:rPr>
        <w:t>1</w:t>
      </w:r>
      <w:r>
        <w:rPr>
          <w:rFonts w:hint="eastAsia" w:ascii="宋体" w:hAnsi="宋体" w:cs="Courier New"/>
          <w:color w:val="auto"/>
          <w:sz w:val="24"/>
          <w:szCs w:val="24"/>
        </w:rPr>
        <w:t>1</w:t>
      </w:r>
      <w:r>
        <w:rPr>
          <w:rFonts w:ascii="宋体" w:hAnsi="宋体" w:cs="Courier New"/>
          <w:color w:val="auto"/>
          <w:sz w:val="24"/>
          <w:szCs w:val="24"/>
        </w:rPr>
        <w:t>.1 乙方应在货物发运前对其进行满足运输距离、防潮、防震、防锈和防破损装卸等要求包装，以保证货物安全运达甲方指定地点。</w:t>
      </w:r>
      <w:r>
        <w:rPr>
          <w:rFonts w:hint="eastAsia" w:ascii="宋体" w:hAnsi="宋体"/>
          <w:color w:val="auto"/>
          <w:sz w:val="24"/>
          <w:szCs w:val="24"/>
        </w:rPr>
        <w:t>乙方对货物的包装应符合《商品包装政府采购需求标准（试行）》、《快递包装政府采购需求标准（试行）》的规定。</w:t>
      </w:r>
    </w:p>
    <w:p w14:paraId="130F30D3">
      <w:pPr>
        <w:snapToGrid w:val="0"/>
        <w:spacing w:before="120" w:after="120"/>
        <w:ind w:left="480" w:hanging="480" w:hangingChars="200"/>
        <w:rPr>
          <w:rFonts w:ascii="宋体" w:hAnsi="宋体" w:cs="Courier New"/>
          <w:color w:val="auto"/>
          <w:sz w:val="24"/>
          <w:szCs w:val="24"/>
        </w:rPr>
      </w:pPr>
      <w:r>
        <w:rPr>
          <w:rFonts w:ascii="宋体" w:hAnsi="宋体" w:cs="Courier New"/>
          <w:color w:val="auto"/>
          <w:sz w:val="24"/>
          <w:szCs w:val="24"/>
        </w:rPr>
        <w:t>1</w:t>
      </w:r>
      <w:r>
        <w:rPr>
          <w:rFonts w:hint="eastAsia" w:ascii="宋体" w:hAnsi="宋体" w:cs="Courier New"/>
          <w:color w:val="auto"/>
          <w:sz w:val="24"/>
          <w:szCs w:val="24"/>
        </w:rPr>
        <w:t>1</w:t>
      </w:r>
      <w:r>
        <w:rPr>
          <w:rFonts w:ascii="宋体" w:hAnsi="宋体" w:cs="Courier New"/>
          <w:color w:val="auto"/>
          <w:sz w:val="24"/>
          <w:szCs w:val="24"/>
        </w:rPr>
        <w:t>.2 使用说明书、质量检验证明书、随配附件和工具以及清单一并附于货物内。</w:t>
      </w:r>
    </w:p>
    <w:p w14:paraId="29A62DAB">
      <w:pPr>
        <w:snapToGrid w:val="0"/>
        <w:spacing w:before="120" w:after="120"/>
        <w:ind w:left="480" w:hanging="480" w:hangingChars="200"/>
        <w:rPr>
          <w:rFonts w:ascii="宋体" w:hAnsi="宋体" w:cs="Courier New"/>
          <w:color w:val="auto"/>
          <w:sz w:val="24"/>
          <w:szCs w:val="24"/>
        </w:rPr>
      </w:pPr>
      <w:r>
        <w:rPr>
          <w:rFonts w:ascii="宋体" w:hAnsi="宋体" w:cs="Courier New"/>
          <w:color w:val="auto"/>
          <w:sz w:val="24"/>
          <w:szCs w:val="24"/>
        </w:rPr>
        <w:t>1</w:t>
      </w:r>
      <w:r>
        <w:rPr>
          <w:rFonts w:hint="eastAsia" w:ascii="宋体" w:hAnsi="宋体" w:cs="Courier New"/>
          <w:color w:val="auto"/>
          <w:sz w:val="24"/>
          <w:szCs w:val="24"/>
        </w:rPr>
        <w:t>1</w:t>
      </w:r>
      <w:r>
        <w:rPr>
          <w:rFonts w:ascii="宋体" w:hAnsi="宋体" w:cs="Courier New"/>
          <w:color w:val="auto"/>
          <w:sz w:val="24"/>
          <w:szCs w:val="24"/>
        </w:rPr>
        <w:t>.3 乙方在货物发运手续办理完毕后24小时内或货到甲方48小时前通知甲方，以准备接货。</w:t>
      </w:r>
    </w:p>
    <w:p w14:paraId="45CCE848">
      <w:pPr>
        <w:snapToGrid w:val="0"/>
        <w:spacing w:before="120" w:after="120"/>
        <w:ind w:left="480" w:hanging="480" w:hangingChars="200"/>
        <w:rPr>
          <w:rFonts w:ascii="宋体" w:hAnsi="宋体" w:cs="Courier New"/>
          <w:color w:val="auto"/>
          <w:sz w:val="24"/>
          <w:szCs w:val="24"/>
        </w:rPr>
      </w:pPr>
      <w:r>
        <w:rPr>
          <w:rFonts w:ascii="宋体" w:hAnsi="宋体" w:cs="Courier New"/>
          <w:color w:val="auto"/>
          <w:sz w:val="24"/>
          <w:szCs w:val="24"/>
        </w:rPr>
        <w:t>1</w:t>
      </w:r>
      <w:r>
        <w:rPr>
          <w:rFonts w:hint="eastAsia" w:ascii="宋体" w:hAnsi="宋体" w:cs="Courier New"/>
          <w:color w:val="auto"/>
          <w:sz w:val="24"/>
          <w:szCs w:val="24"/>
        </w:rPr>
        <w:t>1</w:t>
      </w:r>
      <w:r>
        <w:rPr>
          <w:rFonts w:ascii="宋体" w:hAnsi="宋体" w:cs="Courier New"/>
          <w:color w:val="auto"/>
          <w:sz w:val="24"/>
          <w:szCs w:val="24"/>
        </w:rPr>
        <w:t>.4 货物在交付甲方前发生的风险均由乙方负责。</w:t>
      </w:r>
    </w:p>
    <w:p w14:paraId="2925521C">
      <w:pPr>
        <w:snapToGrid w:val="0"/>
        <w:spacing w:before="156" w:after="156"/>
        <w:ind w:left="480" w:right="26" w:hanging="480" w:hangingChars="200"/>
        <w:rPr>
          <w:rFonts w:hint="eastAsia" w:ascii="宋体" w:hAnsi="宋体" w:cs="Courier New"/>
          <w:color w:val="auto"/>
          <w:sz w:val="24"/>
          <w:szCs w:val="24"/>
        </w:rPr>
      </w:pPr>
      <w:r>
        <w:rPr>
          <w:rFonts w:ascii="宋体" w:hAnsi="宋体" w:cs="Courier New"/>
          <w:color w:val="auto"/>
          <w:sz w:val="24"/>
          <w:szCs w:val="24"/>
        </w:rPr>
        <w:t>1</w:t>
      </w:r>
      <w:r>
        <w:rPr>
          <w:rFonts w:hint="eastAsia" w:ascii="宋体" w:hAnsi="宋体" w:cs="Courier New"/>
          <w:color w:val="auto"/>
          <w:sz w:val="24"/>
          <w:szCs w:val="24"/>
        </w:rPr>
        <w:t>1</w:t>
      </w:r>
      <w:r>
        <w:rPr>
          <w:rFonts w:ascii="宋体" w:hAnsi="宋体" w:cs="Courier New"/>
          <w:color w:val="auto"/>
          <w:sz w:val="24"/>
          <w:szCs w:val="24"/>
        </w:rPr>
        <w:t>.5 货物在规定的交付期限内由乙方送达甲方指定的地点视为交付，乙方同时需通知甲方货物已送达。</w:t>
      </w:r>
    </w:p>
    <w:p w14:paraId="5FB02556">
      <w:pPr>
        <w:snapToGrid w:val="0"/>
        <w:spacing w:before="120" w:after="120"/>
        <w:rPr>
          <w:rFonts w:ascii="宋体" w:hAnsi="宋体" w:cs="Courier New"/>
          <w:b/>
          <w:color w:val="auto"/>
          <w:sz w:val="24"/>
          <w:szCs w:val="24"/>
        </w:rPr>
      </w:pPr>
      <w:r>
        <w:rPr>
          <w:rFonts w:ascii="宋体" w:hAnsi="宋体" w:cs="Courier New"/>
          <w:b/>
          <w:color w:val="auto"/>
          <w:sz w:val="24"/>
          <w:szCs w:val="24"/>
        </w:rPr>
        <w:t>十</w:t>
      </w:r>
      <w:r>
        <w:rPr>
          <w:rFonts w:hint="eastAsia" w:ascii="宋体" w:hAnsi="宋体" w:cs="Courier New"/>
          <w:b/>
          <w:color w:val="auto"/>
          <w:sz w:val="24"/>
          <w:szCs w:val="24"/>
        </w:rPr>
        <w:t>一</w:t>
      </w:r>
      <w:r>
        <w:rPr>
          <w:rFonts w:ascii="宋体" w:hAnsi="宋体" w:cs="Courier New"/>
          <w:b/>
          <w:color w:val="auto"/>
          <w:sz w:val="24"/>
          <w:szCs w:val="24"/>
        </w:rPr>
        <w:t>、违约责任</w:t>
      </w:r>
    </w:p>
    <w:p w14:paraId="08C9DB51">
      <w:pPr>
        <w:snapToGrid w:val="0"/>
        <w:spacing w:before="120" w:after="120"/>
        <w:ind w:left="410" w:hanging="410" w:hangingChars="171"/>
        <w:rPr>
          <w:rFonts w:ascii="宋体" w:hAnsi="宋体" w:cs="Courier New"/>
          <w:color w:val="auto"/>
          <w:sz w:val="24"/>
          <w:szCs w:val="24"/>
        </w:rPr>
      </w:pPr>
      <w:r>
        <w:rPr>
          <w:rFonts w:ascii="宋体" w:hAnsi="宋体" w:cs="Courier New"/>
          <w:color w:val="auto"/>
          <w:sz w:val="24"/>
          <w:szCs w:val="24"/>
        </w:rPr>
        <w:t>1</w:t>
      </w:r>
      <w:r>
        <w:rPr>
          <w:rFonts w:hint="eastAsia" w:ascii="宋体" w:hAnsi="宋体" w:cs="Courier New"/>
          <w:color w:val="auto"/>
          <w:sz w:val="24"/>
          <w:szCs w:val="24"/>
        </w:rPr>
        <w:t>1</w:t>
      </w:r>
      <w:r>
        <w:rPr>
          <w:rFonts w:ascii="宋体" w:hAnsi="宋体" w:cs="Courier New"/>
          <w:color w:val="auto"/>
          <w:sz w:val="24"/>
          <w:szCs w:val="24"/>
        </w:rPr>
        <w:t>.1 甲方无正当理由</w:t>
      </w:r>
      <w:r>
        <w:rPr>
          <w:rFonts w:hint="eastAsia" w:ascii="宋体" w:hAnsi="宋体" w:cs="Courier New"/>
          <w:color w:val="auto"/>
          <w:sz w:val="24"/>
          <w:szCs w:val="24"/>
        </w:rPr>
        <w:t>拒绝接受乙方提供的合同标的</w:t>
      </w:r>
      <w:r>
        <w:rPr>
          <w:rFonts w:ascii="宋体" w:hAnsi="宋体" w:cs="Courier New"/>
          <w:color w:val="auto"/>
          <w:sz w:val="24"/>
          <w:szCs w:val="24"/>
        </w:rPr>
        <w:t>的，甲方向乙方偿付</w:t>
      </w:r>
      <w:r>
        <w:rPr>
          <w:rFonts w:hint="eastAsia" w:ascii="宋体" w:hAnsi="宋体" w:cs="Courier New"/>
          <w:color w:val="auto"/>
          <w:sz w:val="24"/>
          <w:szCs w:val="24"/>
        </w:rPr>
        <w:t>拒绝接受合同价款</w:t>
      </w:r>
      <w:r>
        <w:rPr>
          <w:rFonts w:ascii="宋体" w:hAnsi="宋体" w:cs="Courier New"/>
          <w:color w:val="auto"/>
          <w:sz w:val="24"/>
          <w:szCs w:val="24"/>
        </w:rPr>
        <w:t>总值</w:t>
      </w:r>
      <w:r>
        <w:rPr>
          <w:rFonts w:hint="eastAsia" w:ascii="宋体" w:hAnsi="宋体" w:cs="Courier New"/>
          <w:color w:val="auto"/>
          <w:sz w:val="24"/>
          <w:szCs w:val="24"/>
          <w:u w:val="single"/>
        </w:rPr>
        <w:t xml:space="preserve">  </w:t>
      </w:r>
      <w:r>
        <w:rPr>
          <w:rFonts w:hint="eastAsia" w:ascii="宋体" w:hAnsi="宋体" w:cs="Courier New"/>
          <w:color w:val="auto"/>
          <w:sz w:val="24"/>
          <w:szCs w:val="24"/>
          <w:u w:val="single"/>
          <w:lang w:val="en-US" w:eastAsia="zh-CN"/>
        </w:rPr>
        <w:t>5%</w:t>
      </w:r>
      <w:r>
        <w:rPr>
          <w:rFonts w:hint="eastAsia" w:ascii="宋体" w:hAnsi="宋体" w:cs="Courier New"/>
          <w:color w:val="auto"/>
          <w:sz w:val="24"/>
          <w:szCs w:val="24"/>
          <w:u w:val="single"/>
        </w:rPr>
        <w:t xml:space="preserve">  </w:t>
      </w:r>
      <w:r>
        <w:rPr>
          <w:rFonts w:ascii="宋体" w:hAnsi="宋体" w:cs="Courier New"/>
          <w:color w:val="auto"/>
          <w:sz w:val="24"/>
          <w:szCs w:val="24"/>
        </w:rPr>
        <w:t>的违约金。</w:t>
      </w:r>
    </w:p>
    <w:p w14:paraId="76CB1249">
      <w:pPr>
        <w:snapToGrid w:val="0"/>
        <w:spacing w:before="120" w:after="120"/>
        <w:ind w:left="410" w:hanging="410" w:hangingChars="171"/>
        <w:rPr>
          <w:rFonts w:ascii="宋体" w:hAnsi="宋体" w:cs="Courier New"/>
          <w:color w:val="auto"/>
          <w:sz w:val="24"/>
          <w:szCs w:val="24"/>
        </w:rPr>
      </w:pPr>
      <w:r>
        <w:rPr>
          <w:rFonts w:ascii="宋体" w:hAnsi="宋体" w:cs="Courier New"/>
          <w:color w:val="auto"/>
          <w:sz w:val="24"/>
          <w:szCs w:val="24"/>
        </w:rPr>
        <w:t>1</w:t>
      </w:r>
      <w:r>
        <w:rPr>
          <w:rFonts w:hint="eastAsia" w:ascii="宋体" w:hAnsi="宋体" w:cs="Courier New"/>
          <w:color w:val="auto"/>
          <w:sz w:val="24"/>
          <w:szCs w:val="24"/>
        </w:rPr>
        <w:t>1</w:t>
      </w:r>
      <w:r>
        <w:rPr>
          <w:rFonts w:ascii="宋体" w:hAnsi="宋体" w:cs="Courier New"/>
          <w:color w:val="auto"/>
          <w:sz w:val="24"/>
          <w:szCs w:val="24"/>
        </w:rPr>
        <w:t>.2 甲方无故逾期验收和办理</w:t>
      </w:r>
      <w:r>
        <w:rPr>
          <w:rFonts w:hint="eastAsia" w:ascii="宋体" w:hAnsi="宋体" w:cs="Courier New"/>
          <w:color w:val="auto"/>
          <w:sz w:val="24"/>
          <w:szCs w:val="24"/>
        </w:rPr>
        <w:t>合同款项</w:t>
      </w:r>
      <w:r>
        <w:rPr>
          <w:rFonts w:ascii="宋体" w:hAnsi="宋体" w:cs="Courier New"/>
          <w:color w:val="auto"/>
          <w:sz w:val="24"/>
          <w:szCs w:val="24"/>
        </w:rPr>
        <w:t>支付手续的,甲方应按逾期付款总额</w:t>
      </w:r>
      <w:r>
        <w:rPr>
          <w:rFonts w:hint="eastAsia" w:ascii="宋体" w:hAnsi="宋体" w:cs="Courier New"/>
          <w:color w:val="auto"/>
          <w:sz w:val="24"/>
          <w:szCs w:val="24"/>
          <w:u w:val="single"/>
        </w:rPr>
        <w:t xml:space="preserve"> </w:t>
      </w:r>
      <w:r>
        <w:rPr>
          <w:rFonts w:hint="eastAsia" w:ascii="宋体" w:hAnsi="宋体" w:cs="Courier New"/>
          <w:color w:val="auto"/>
          <w:sz w:val="24"/>
          <w:szCs w:val="24"/>
          <w:u w:val="single"/>
          <w:lang w:val="en-US" w:eastAsia="zh-CN"/>
        </w:rPr>
        <w:t xml:space="preserve"> ‌6‰‌</w:t>
      </w:r>
      <w:r>
        <w:rPr>
          <w:rFonts w:hint="eastAsia" w:ascii="宋体" w:hAnsi="宋体" w:cs="Courier New"/>
          <w:color w:val="auto"/>
          <w:sz w:val="24"/>
          <w:szCs w:val="24"/>
          <w:u w:val="single"/>
        </w:rPr>
        <w:t xml:space="preserve">  </w:t>
      </w:r>
      <w:r>
        <w:rPr>
          <w:rFonts w:ascii="宋体" w:hAnsi="宋体" w:cs="Courier New"/>
          <w:color w:val="auto"/>
          <w:sz w:val="24"/>
          <w:szCs w:val="24"/>
        </w:rPr>
        <w:t>每日向乙方支付违约金。</w:t>
      </w:r>
    </w:p>
    <w:p w14:paraId="7D7B6D61">
      <w:pPr>
        <w:snapToGrid w:val="0"/>
        <w:spacing w:before="120" w:after="120"/>
        <w:ind w:left="410" w:hanging="410" w:hangingChars="171"/>
        <w:rPr>
          <w:rFonts w:ascii="宋体" w:hAnsi="宋体" w:cs="Courier New"/>
          <w:color w:val="auto"/>
          <w:sz w:val="24"/>
          <w:szCs w:val="24"/>
        </w:rPr>
      </w:pPr>
      <w:r>
        <w:rPr>
          <w:rFonts w:ascii="宋体" w:hAnsi="宋体" w:cs="Courier New"/>
          <w:color w:val="auto"/>
          <w:sz w:val="24"/>
          <w:szCs w:val="24"/>
        </w:rPr>
        <w:t>1</w:t>
      </w:r>
      <w:r>
        <w:rPr>
          <w:rFonts w:hint="eastAsia" w:ascii="宋体" w:hAnsi="宋体" w:cs="Courier New"/>
          <w:color w:val="auto"/>
          <w:sz w:val="24"/>
          <w:szCs w:val="24"/>
        </w:rPr>
        <w:t>1</w:t>
      </w:r>
      <w:r>
        <w:rPr>
          <w:rFonts w:ascii="宋体" w:hAnsi="宋体" w:cs="Courier New"/>
          <w:color w:val="auto"/>
          <w:sz w:val="24"/>
          <w:szCs w:val="24"/>
        </w:rPr>
        <w:t>.3 乙方逾期</w:t>
      </w:r>
      <w:r>
        <w:rPr>
          <w:rFonts w:hint="eastAsia" w:ascii="宋体" w:hAnsi="宋体" w:cs="Courier New"/>
          <w:color w:val="auto"/>
          <w:sz w:val="24"/>
          <w:szCs w:val="24"/>
        </w:rPr>
        <w:t>交付合同标的</w:t>
      </w:r>
      <w:r>
        <w:rPr>
          <w:rFonts w:ascii="宋体" w:hAnsi="宋体" w:cs="Courier New"/>
          <w:color w:val="auto"/>
          <w:sz w:val="24"/>
          <w:szCs w:val="24"/>
        </w:rPr>
        <w:t>的，乙方应按逾期</w:t>
      </w:r>
      <w:r>
        <w:rPr>
          <w:rFonts w:hint="eastAsia" w:ascii="宋体" w:hAnsi="宋体" w:cs="Courier New"/>
          <w:color w:val="auto"/>
          <w:sz w:val="24"/>
          <w:szCs w:val="24"/>
        </w:rPr>
        <w:t>交付合同</w:t>
      </w:r>
      <w:r>
        <w:rPr>
          <w:rFonts w:ascii="宋体" w:hAnsi="宋体" w:cs="Courier New"/>
          <w:color w:val="auto"/>
          <w:sz w:val="24"/>
          <w:szCs w:val="24"/>
        </w:rPr>
        <w:t>总额每日千分之六向甲方支付违约金，由甲方从待付</w:t>
      </w:r>
      <w:r>
        <w:rPr>
          <w:rFonts w:hint="eastAsia" w:ascii="宋体" w:hAnsi="宋体" w:cs="Courier New"/>
          <w:color w:val="auto"/>
          <w:sz w:val="24"/>
          <w:szCs w:val="24"/>
        </w:rPr>
        <w:t>合同款项</w:t>
      </w:r>
      <w:r>
        <w:rPr>
          <w:rFonts w:ascii="宋体" w:hAnsi="宋体" w:cs="Courier New"/>
          <w:color w:val="auto"/>
          <w:sz w:val="24"/>
          <w:szCs w:val="24"/>
        </w:rPr>
        <w:t>中扣除。逾期超过约定日期10个工作日不能</w:t>
      </w:r>
      <w:r>
        <w:rPr>
          <w:rFonts w:hint="eastAsia" w:ascii="宋体" w:hAnsi="宋体" w:cs="Courier New"/>
          <w:color w:val="auto"/>
          <w:sz w:val="24"/>
          <w:szCs w:val="24"/>
        </w:rPr>
        <w:t>交付合同标的</w:t>
      </w:r>
      <w:r>
        <w:rPr>
          <w:rFonts w:ascii="宋体" w:hAnsi="宋体" w:cs="Courier New"/>
          <w:color w:val="auto"/>
          <w:sz w:val="24"/>
          <w:szCs w:val="24"/>
        </w:rPr>
        <w:t>的，甲方可解除本合同。乙方因逾期</w:t>
      </w:r>
      <w:r>
        <w:rPr>
          <w:rFonts w:hint="eastAsia" w:ascii="宋体" w:hAnsi="宋体" w:cs="Courier New"/>
          <w:color w:val="auto"/>
          <w:sz w:val="24"/>
          <w:szCs w:val="24"/>
        </w:rPr>
        <w:t>交付合同标的</w:t>
      </w:r>
      <w:r>
        <w:rPr>
          <w:rFonts w:ascii="宋体" w:hAnsi="宋体" w:cs="Courier New"/>
          <w:color w:val="auto"/>
          <w:sz w:val="24"/>
          <w:szCs w:val="24"/>
        </w:rPr>
        <w:t>或因其他违约行为导致甲方解除合同的，乙方应向甲方支付合同</w:t>
      </w:r>
      <w:r>
        <w:rPr>
          <w:rFonts w:hint="eastAsia" w:ascii="宋体" w:hAnsi="宋体" w:cs="Courier New"/>
          <w:color w:val="auto"/>
          <w:sz w:val="24"/>
          <w:szCs w:val="24"/>
        </w:rPr>
        <w:t>价款总额</w:t>
      </w:r>
      <w:r>
        <w:rPr>
          <w:rFonts w:hint="eastAsia" w:ascii="宋体" w:hAnsi="宋体" w:cs="Courier New"/>
          <w:color w:val="auto"/>
          <w:sz w:val="24"/>
          <w:szCs w:val="24"/>
          <w:u w:val="single"/>
        </w:rPr>
        <w:t xml:space="preserve">  </w:t>
      </w:r>
      <w:r>
        <w:rPr>
          <w:rFonts w:hint="eastAsia" w:ascii="宋体" w:hAnsi="宋体" w:cs="Courier New"/>
          <w:color w:val="auto"/>
          <w:sz w:val="24"/>
          <w:szCs w:val="24"/>
          <w:u w:val="single"/>
          <w:lang w:val="en-US" w:eastAsia="zh-CN"/>
        </w:rPr>
        <w:t>5%</w:t>
      </w:r>
      <w:r>
        <w:rPr>
          <w:rFonts w:hint="eastAsia" w:ascii="宋体" w:hAnsi="宋体" w:cs="Courier New"/>
          <w:color w:val="auto"/>
          <w:sz w:val="24"/>
          <w:szCs w:val="24"/>
          <w:u w:val="single"/>
        </w:rPr>
        <w:t xml:space="preserve">   </w:t>
      </w:r>
      <w:r>
        <w:rPr>
          <w:rFonts w:ascii="宋体" w:hAnsi="宋体" w:cs="Courier New"/>
          <w:color w:val="auto"/>
          <w:sz w:val="24"/>
          <w:szCs w:val="24"/>
        </w:rPr>
        <w:t xml:space="preserve">的违约金，如造成甲方损失超过违约金的，超出部分由乙方继续承担赔偿责任。 </w:t>
      </w:r>
    </w:p>
    <w:p w14:paraId="217001D2">
      <w:pPr>
        <w:snapToGrid w:val="0"/>
        <w:spacing w:before="120" w:after="120"/>
        <w:ind w:left="410" w:hanging="410" w:hangingChars="171"/>
        <w:rPr>
          <w:rFonts w:ascii="宋体" w:hAnsi="宋体" w:cs="Courier New"/>
          <w:color w:val="auto"/>
          <w:sz w:val="24"/>
          <w:szCs w:val="24"/>
        </w:rPr>
      </w:pPr>
      <w:r>
        <w:rPr>
          <w:rFonts w:ascii="宋体" w:hAnsi="宋体" w:cs="Courier New"/>
          <w:color w:val="auto"/>
          <w:sz w:val="24"/>
          <w:szCs w:val="24"/>
        </w:rPr>
        <w:t>1</w:t>
      </w:r>
      <w:r>
        <w:rPr>
          <w:rFonts w:hint="eastAsia" w:ascii="宋体" w:hAnsi="宋体" w:cs="Courier New"/>
          <w:color w:val="auto"/>
          <w:sz w:val="24"/>
          <w:szCs w:val="24"/>
        </w:rPr>
        <w:t>1</w:t>
      </w:r>
      <w:r>
        <w:rPr>
          <w:rFonts w:ascii="宋体" w:hAnsi="宋体" w:cs="Courier New"/>
          <w:color w:val="auto"/>
          <w:sz w:val="24"/>
          <w:szCs w:val="24"/>
        </w:rPr>
        <w:t>.4 乙方</w:t>
      </w:r>
      <w:r>
        <w:rPr>
          <w:rFonts w:hint="eastAsia" w:ascii="宋体" w:hAnsi="宋体" w:cs="Courier New"/>
          <w:color w:val="auto"/>
          <w:sz w:val="24"/>
          <w:szCs w:val="24"/>
        </w:rPr>
        <w:t>交付合同标的的标准</w:t>
      </w:r>
      <w:r>
        <w:rPr>
          <w:rFonts w:ascii="宋体" w:hAnsi="宋体" w:cs="Courier New"/>
          <w:color w:val="auto"/>
          <w:sz w:val="24"/>
          <w:szCs w:val="24"/>
        </w:rPr>
        <w:t>不符合合同规定及</w:t>
      </w:r>
      <w:r>
        <w:rPr>
          <w:rFonts w:hint="eastAsia" w:ascii="宋体" w:hAnsi="宋体" w:cs="Courier New"/>
          <w:color w:val="auto"/>
          <w:sz w:val="24"/>
          <w:szCs w:val="24"/>
          <w:lang w:eastAsia="zh-CN"/>
        </w:rPr>
        <w:t>询价文件</w:t>
      </w:r>
      <w:r>
        <w:rPr>
          <w:rFonts w:ascii="宋体" w:hAnsi="宋体" w:cs="Courier New"/>
          <w:color w:val="auto"/>
          <w:sz w:val="24"/>
          <w:szCs w:val="24"/>
        </w:rPr>
        <w:t>规定标准的，甲方有权</w:t>
      </w:r>
      <w:r>
        <w:rPr>
          <w:rFonts w:hint="eastAsia" w:ascii="宋体" w:hAnsi="宋体" w:cs="Courier New"/>
          <w:color w:val="auto"/>
          <w:sz w:val="24"/>
          <w:szCs w:val="24"/>
        </w:rPr>
        <w:t>拒绝接受合同标的</w:t>
      </w:r>
      <w:r>
        <w:rPr>
          <w:rFonts w:ascii="宋体" w:hAnsi="宋体" w:cs="Courier New"/>
          <w:color w:val="auto"/>
          <w:sz w:val="24"/>
          <w:szCs w:val="24"/>
        </w:rPr>
        <w:t>，</w:t>
      </w:r>
      <w:r>
        <w:rPr>
          <w:rFonts w:hint="eastAsia" w:ascii="宋体" w:hAnsi="宋体" w:cs="Courier New"/>
          <w:color w:val="auto"/>
          <w:sz w:val="24"/>
          <w:szCs w:val="24"/>
        </w:rPr>
        <w:t>并</w:t>
      </w:r>
      <w:r>
        <w:rPr>
          <w:rFonts w:ascii="宋体" w:hAnsi="宋体" w:cs="Courier New"/>
          <w:color w:val="auto"/>
          <w:sz w:val="24"/>
          <w:szCs w:val="24"/>
        </w:rPr>
        <w:t>可单方面解除合同。</w:t>
      </w:r>
    </w:p>
    <w:p w14:paraId="22FD8F80">
      <w:pPr>
        <w:snapToGrid w:val="0"/>
        <w:spacing w:before="120" w:after="120"/>
        <w:rPr>
          <w:rFonts w:ascii="宋体" w:hAnsi="宋体" w:cs="Courier New"/>
          <w:b/>
          <w:color w:val="auto"/>
          <w:sz w:val="24"/>
          <w:szCs w:val="24"/>
        </w:rPr>
      </w:pPr>
      <w:r>
        <w:rPr>
          <w:rFonts w:ascii="宋体" w:hAnsi="宋体" w:cs="Courier New"/>
          <w:b/>
          <w:color w:val="auto"/>
          <w:sz w:val="24"/>
          <w:szCs w:val="24"/>
        </w:rPr>
        <w:t>十</w:t>
      </w:r>
      <w:r>
        <w:rPr>
          <w:rFonts w:hint="eastAsia" w:ascii="宋体" w:hAnsi="宋体" w:cs="Courier New"/>
          <w:b/>
          <w:color w:val="auto"/>
          <w:sz w:val="24"/>
          <w:szCs w:val="24"/>
        </w:rPr>
        <w:t>二</w:t>
      </w:r>
      <w:r>
        <w:rPr>
          <w:rFonts w:ascii="宋体" w:hAnsi="宋体" w:cs="Courier New"/>
          <w:b/>
          <w:color w:val="auto"/>
          <w:sz w:val="24"/>
          <w:szCs w:val="24"/>
        </w:rPr>
        <w:t>、不可抗力事件处理</w:t>
      </w:r>
    </w:p>
    <w:p w14:paraId="2CB585B7">
      <w:pPr>
        <w:snapToGrid w:val="0"/>
        <w:spacing w:before="120" w:after="120"/>
        <w:ind w:left="480" w:hanging="480" w:hangingChars="200"/>
        <w:rPr>
          <w:rFonts w:ascii="宋体" w:hAnsi="宋体" w:cs="Courier New"/>
          <w:color w:val="auto"/>
          <w:sz w:val="24"/>
          <w:szCs w:val="24"/>
        </w:rPr>
      </w:pPr>
      <w:r>
        <w:rPr>
          <w:rFonts w:ascii="宋体" w:hAnsi="宋体" w:cs="Courier New"/>
          <w:color w:val="auto"/>
          <w:sz w:val="24"/>
          <w:szCs w:val="24"/>
        </w:rPr>
        <w:t>1</w:t>
      </w:r>
      <w:r>
        <w:rPr>
          <w:rFonts w:hint="eastAsia" w:ascii="宋体" w:hAnsi="宋体" w:cs="Courier New"/>
          <w:color w:val="auto"/>
          <w:sz w:val="24"/>
          <w:szCs w:val="24"/>
        </w:rPr>
        <w:t>2</w:t>
      </w:r>
      <w:r>
        <w:rPr>
          <w:rFonts w:ascii="宋体" w:hAnsi="宋体" w:cs="Courier New"/>
          <w:color w:val="auto"/>
          <w:sz w:val="24"/>
          <w:szCs w:val="24"/>
        </w:rPr>
        <w:t>.1 在合同有效期内，任何一方因不可抗力事件导致不能履行合同，则合同履行期可延长，其延长期与不可抗力影响</w:t>
      </w:r>
      <w:r>
        <w:rPr>
          <w:rFonts w:hint="eastAsia" w:ascii="宋体" w:hAnsi="宋体" w:cs="Courier New"/>
          <w:color w:val="auto"/>
          <w:sz w:val="24"/>
          <w:szCs w:val="24"/>
        </w:rPr>
        <w:t xml:space="preserve"> </w:t>
      </w:r>
      <w:r>
        <w:rPr>
          <w:rFonts w:ascii="宋体" w:hAnsi="宋体" w:cs="Courier New"/>
          <w:color w:val="auto"/>
          <w:sz w:val="24"/>
          <w:szCs w:val="24"/>
        </w:rPr>
        <w:t>期相同。</w:t>
      </w:r>
    </w:p>
    <w:p w14:paraId="4DF7B569">
      <w:pPr>
        <w:snapToGrid w:val="0"/>
        <w:spacing w:before="120" w:after="120"/>
        <w:rPr>
          <w:rFonts w:ascii="宋体" w:hAnsi="宋体" w:cs="Courier New"/>
          <w:color w:val="auto"/>
          <w:sz w:val="24"/>
          <w:szCs w:val="24"/>
        </w:rPr>
      </w:pPr>
      <w:r>
        <w:rPr>
          <w:rFonts w:ascii="宋体" w:hAnsi="宋体" w:cs="Courier New"/>
          <w:color w:val="auto"/>
          <w:sz w:val="24"/>
          <w:szCs w:val="24"/>
        </w:rPr>
        <w:t>1</w:t>
      </w:r>
      <w:r>
        <w:rPr>
          <w:rFonts w:hint="eastAsia" w:ascii="宋体" w:hAnsi="宋体" w:cs="Courier New"/>
          <w:color w:val="auto"/>
          <w:sz w:val="24"/>
          <w:szCs w:val="24"/>
        </w:rPr>
        <w:t>2</w:t>
      </w:r>
      <w:r>
        <w:rPr>
          <w:rFonts w:ascii="宋体" w:hAnsi="宋体" w:cs="Courier New"/>
          <w:color w:val="auto"/>
          <w:sz w:val="24"/>
          <w:szCs w:val="24"/>
        </w:rPr>
        <w:t>.2 不可抗力事件发生后，应立即通知对方，并寄送有关权威机构出具的证明。</w:t>
      </w:r>
    </w:p>
    <w:p w14:paraId="46428F61">
      <w:pPr>
        <w:snapToGrid w:val="0"/>
        <w:spacing w:before="120" w:after="120"/>
        <w:rPr>
          <w:rFonts w:ascii="宋体" w:hAnsi="宋体" w:cs="Courier New"/>
          <w:color w:val="auto"/>
          <w:sz w:val="24"/>
          <w:szCs w:val="24"/>
        </w:rPr>
      </w:pPr>
      <w:r>
        <w:rPr>
          <w:rFonts w:ascii="宋体" w:hAnsi="宋体" w:cs="Courier New"/>
          <w:color w:val="auto"/>
          <w:sz w:val="24"/>
          <w:szCs w:val="24"/>
        </w:rPr>
        <w:t>1</w:t>
      </w:r>
      <w:r>
        <w:rPr>
          <w:rFonts w:hint="eastAsia" w:ascii="宋体" w:hAnsi="宋体" w:cs="Courier New"/>
          <w:color w:val="auto"/>
          <w:sz w:val="24"/>
          <w:szCs w:val="24"/>
        </w:rPr>
        <w:t>2</w:t>
      </w:r>
      <w:r>
        <w:rPr>
          <w:rFonts w:ascii="宋体" w:hAnsi="宋体" w:cs="Courier New"/>
          <w:color w:val="auto"/>
          <w:sz w:val="24"/>
          <w:szCs w:val="24"/>
        </w:rPr>
        <w:t>.3 不可抗力事件延续120天以上，双方应通过友好协商，确定是否继续履行合同。</w:t>
      </w:r>
    </w:p>
    <w:p w14:paraId="46067C3D">
      <w:pPr>
        <w:snapToGrid w:val="0"/>
        <w:spacing w:before="120" w:after="120"/>
        <w:rPr>
          <w:rFonts w:ascii="宋体" w:hAnsi="宋体" w:cs="Courier New"/>
          <w:b/>
          <w:color w:val="auto"/>
          <w:sz w:val="24"/>
          <w:szCs w:val="24"/>
        </w:rPr>
      </w:pPr>
      <w:r>
        <w:rPr>
          <w:rFonts w:ascii="宋体" w:hAnsi="宋体" w:cs="Courier New"/>
          <w:b/>
          <w:color w:val="auto"/>
          <w:sz w:val="24"/>
          <w:szCs w:val="24"/>
        </w:rPr>
        <w:t>十</w:t>
      </w:r>
      <w:r>
        <w:rPr>
          <w:rFonts w:hint="eastAsia" w:ascii="宋体" w:hAnsi="宋体" w:cs="Courier New"/>
          <w:b/>
          <w:color w:val="auto"/>
          <w:sz w:val="24"/>
          <w:szCs w:val="24"/>
        </w:rPr>
        <w:t>三</w:t>
      </w:r>
      <w:r>
        <w:rPr>
          <w:rFonts w:ascii="宋体" w:hAnsi="宋体" w:cs="Courier New"/>
          <w:b/>
          <w:color w:val="auto"/>
          <w:sz w:val="24"/>
          <w:szCs w:val="24"/>
        </w:rPr>
        <w:t>、</w:t>
      </w:r>
      <w:r>
        <w:rPr>
          <w:rFonts w:hint="eastAsia" w:ascii="宋体" w:hAnsi="宋体" w:cs="Courier New"/>
          <w:b/>
          <w:color w:val="auto"/>
          <w:sz w:val="24"/>
          <w:szCs w:val="24"/>
        </w:rPr>
        <w:t>解决争议的方法</w:t>
      </w:r>
    </w:p>
    <w:p w14:paraId="6E2DF905">
      <w:pPr>
        <w:snapToGrid w:val="0"/>
        <w:spacing w:before="120" w:after="120"/>
        <w:rPr>
          <w:rFonts w:hint="eastAsia" w:ascii="宋体" w:hAnsi="宋体" w:cs="Courier New"/>
          <w:color w:val="auto"/>
          <w:sz w:val="24"/>
          <w:szCs w:val="24"/>
        </w:rPr>
      </w:pPr>
      <w:r>
        <w:rPr>
          <w:rFonts w:hint="eastAsia" w:ascii="宋体" w:hAnsi="宋体" w:cs="Courier New"/>
          <w:color w:val="auto"/>
          <w:sz w:val="24"/>
          <w:szCs w:val="24"/>
        </w:rPr>
        <w:t>13.1双方在签订、履行合同中所发生的一切争议，应通过友好协商解决。如协商不成，由甲方住所地人民法院管辖。</w:t>
      </w:r>
    </w:p>
    <w:p w14:paraId="7CE8B9FC">
      <w:pPr>
        <w:snapToGrid w:val="0"/>
        <w:spacing w:before="120" w:after="120"/>
        <w:rPr>
          <w:rFonts w:ascii="宋体" w:hAnsi="宋体" w:cs="Courier New"/>
          <w:b/>
          <w:color w:val="auto"/>
          <w:sz w:val="24"/>
          <w:szCs w:val="24"/>
        </w:rPr>
      </w:pPr>
      <w:r>
        <w:rPr>
          <w:rFonts w:ascii="宋体" w:hAnsi="宋体" w:cs="Courier New"/>
          <w:b/>
          <w:color w:val="auto"/>
          <w:sz w:val="24"/>
          <w:szCs w:val="24"/>
        </w:rPr>
        <w:t>十</w:t>
      </w:r>
      <w:r>
        <w:rPr>
          <w:rFonts w:hint="eastAsia" w:ascii="宋体" w:hAnsi="宋体" w:cs="Courier New"/>
          <w:b/>
          <w:color w:val="auto"/>
          <w:sz w:val="24"/>
          <w:szCs w:val="24"/>
        </w:rPr>
        <w:t>四</w:t>
      </w:r>
      <w:r>
        <w:rPr>
          <w:rFonts w:ascii="宋体" w:hAnsi="宋体" w:cs="Courier New"/>
          <w:b/>
          <w:color w:val="auto"/>
          <w:sz w:val="24"/>
          <w:szCs w:val="24"/>
        </w:rPr>
        <w:t>、合同生效及其它</w:t>
      </w:r>
    </w:p>
    <w:p w14:paraId="63E89469">
      <w:pPr>
        <w:snapToGrid w:val="0"/>
        <w:spacing w:before="120" w:after="120"/>
        <w:rPr>
          <w:rFonts w:ascii="宋体" w:hAnsi="宋体" w:cs="Courier New"/>
          <w:color w:val="auto"/>
          <w:sz w:val="24"/>
          <w:szCs w:val="24"/>
        </w:rPr>
      </w:pPr>
      <w:r>
        <w:rPr>
          <w:rFonts w:ascii="宋体" w:hAnsi="宋体" w:cs="Courier New"/>
          <w:color w:val="auto"/>
          <w:sz w:val="24"/>
          <w:szCs w:val="24"/>
        </w:rPr>
        <w:t>1</w:t>
      </w:r>
      <w:r>
        <w:rPr>
          <w:rFonts w:hint="eastAsia" w:ascii="宋体" w:hAnsi="宋体" w:cs="Courier New"/>
          <w:color w:val="auto"/>
          <w:sz w:val="24"/>
          <w:szCs w:val="24"/>
        </w:rPr>
        <w:t>4</w:t>
      </w:r>
      <w:r>
        <w:rPr>
          <w:rFonts w:ascii="宋体" w:hAnsi="宋体" w:cs="Courier New"/>
          <w:color w:val="auto"/>
          <w:sz w:val="24"/>
          <w:szCs w:val="24"/>
        </w:rPr>
        <w:t>.1 合同经双方法定代表人或授权委托代</w:t>
      </w:r>
      <w:r>
        <w:rPr>
          <w:rFonts w:hint="eastAsia" w:ascii="宋体" w:hAnsi="宋体" w:cs="Courier New"/>
          <w:color w:val="auto"/>
          <w:sz w:val="24"/>
          <w:szCs w:val="24"/>
        </w:rPr>
        <w:t>表</w:t>
      </w:r>
      <w:r>
        <w:rPr>
          <w:rFonts w:ascii="宋体" w:hAnsi="宋体" w:cs="Courier New"/>
          <w:color w:val="auto"/>
          <w:sz w:val="24"/>
          <w:szCs w:val="24"/>
        </w:rPr>
        <w:t>人签字并加盖单位公章后生效。</w:t>
      </w:r>
    </w:p>
    <w:p w14:paraId="5D2AE63F">
      <w:pPr>
        <w:snapToGrid w:val="0"/>
        <w:spacing w:before="120" w:after="120"/>
        <w:rPr>
          <w:rFonts w:ascii="宋体" w:hAnsi="宋体" w:cs="Courier New"/>
          <w:color w:val="auto"/>
          <w:sz w:val="24"/>
          <w:szCs w:val="24"/>
        </w:rPr>
      </w:pPr>
      <w:r>
        <w:rPr>
          <w:rFonts w:ascii="宋体" w:hAnsi="宋体" w:cs="Courier New"/>
          <w:color w:val="auto"/>
          <w:sz w:val="24"/>
          <w:szCs w:val="24"/>
        </w:rPr>
        <w:t>1</w:t>
      </w:r>
      <w:r>
        <w:rPr>
          <w:rFonts w:hint="eastAsia" w:ascii="宋体" w:hAnsi="宋体" w:cs="Courier New"/>
          <w:color w:val="auto"/>
          <w:sz w:val="24"/>
          <w:szCs w:val="24"/>
        </w:rPr>
        <w:t>4</w:t>
      </w:r>
      <w:r>
        <w:rPr>
          <w:rFonts w:ascii="宋体" w:hAnsi="宋体" w:cs="Courier New"/>
          <w:color w:val="auto"/>
          <w:sz w:val="24"/>
          <w:szCs w:val="24"/>
        </w:rPr>
        <w:t>.2本合同未尽事宜，遵照</w:t>
      </w:r>
      <w:r>
        <w:rPr>
          <w:rFonts w:hint="eastAsia" w:ascii="宋体" w:hAnsi="宋体" w:cs="Courier New"/>
          <w:color w:val="auto"/>
          <w:sz w:val="24"/>
          <w:szCs w:val="24"/>
        </w:rPr>
        <w:t>《民法典》、《政府采购法》</w:t>
      </w:r>
      <w:r>
        <w:rPr>
          <w:rFonts w:ascii="宋体" w:hAnsi="宋体" w:cs="Courier New"/>
          <w:color w:val="auto"/>
          <w:sz w:val="24"/>
          <w:szCs w:val="24"/>
        </w:rPr>
        <w:t>有关条文执行。</w:t>
      </w:r>
    </w:p>
    <w:p w14:paraId="7CC51286">
      <w:pPr>
        <w:snapToGrid w:val="0"/>
        <w:spacing w:before="120" w:after="120"/>
        <w:ind w:left="480" w:hanging="480" w:hangingChars="200"/>
        <w:rPr>
          <w:rFonts w:ascii="宋体" w:hAnsi="宋体" w:cs="Courier New"/>
          <w:color w:val="auto"/>
          <w:sz w:val="24"/>
          <w:szCs w:val="24"/>
        </w:rPr>
      </w:pPr>
      <w:r>
        <w:rPr>
          <w:rFonts w:ascii="宋体" w:hAnsi="宋体" w:cs="Courier New"/>
          <w:color w:val="auto"/>
          <w:sz w:val="24"/>
          <w:szCs w:val="24"/>
        </w:rPr>
        <w:t>1</w:t>
      </w:r>
      <w:r>
        <w:rPr>
          <w:rFonts w:hint="eastAsia" w:ascii="宋体" w:hAnsi="宋体" w:cs="Courier New"/>
          <w:color w:val="auto"/>
          <w:sz w:val="24"/>
          <w:szCs w:val="24"/>
        </w:rPr>
        <w:t>4</w:t>
      </w:r>
      <w:r>
        <w:rPr>
          <w:rFonts w:ascii="宋体" w:hAnsi="宋体" w:cs="Courier New"/>
          <w:color w:val="auto"/>
          <w:sz w:val="24"/>
          <w:szCs w:val="24"/>
        </w:rPr>
        <w:t>.</w:t>
      </w:r>
      <w:r>
        <w:rPr>
          <w:rFonts w:hint="eastAsia" w:ascii="宋体" w:hAnsi="宋体" w:cs="Courier New"/>
          <w:color w:val="auto"/>
          <w:sz w:val="24"/>
          <w:szCs w:val="24"/>
        </w:rPr>
        <w:t>3</w:t>
      </w:r>
      <w:r>
        <w:rPr>
          <w:rFonts w:ascii="宋体" w:hAnsi="宋体" w:cs="Courier New"/>
          <w:color w:val="auto"/>
          <w:sz w:val="24"/>
          <w:szCs w:val="24"/>
        </w:rPr>
        <w:t xml:space="preserve"> 本合同正本一式</w:t>
      </w:r>
      <w:r>
        <w:rPr>
          <w:rFonts w:hint="eastAsia" w:ascii="宋体" w:hAnsi="宋体" w:cs="Courier New"/>
          <w:color w:val="auto"/>
          <w:sz w:val="24"/>
          <w:szCs w:val="24"/>
        </w:rPr>
        <w:t>两</w:t>
      </w:r>
      <w:r>
        <w:rPr>
          <w:rFonts w:ascii="宋体" w:hAnsi="宋体" w:cs="Courier New"/>
          <w:color w:val="auto"/>
          <w:sz w:val="24"/>
          <w:szCs w:val="24"/>
        </w:rPr>
        <w:t>份，具有同等法律效力，甲</w:t>
      </w:r>
      <w:r>
        <w:rPr>
          <w:rFonts w:hint="eastAsia" w:ascii="宋体" w:hAnsi="宋体" w:cs="Courier New"/>
          <w:color w:val="auto"/>
          <w:sz w:val="24"/>
          <w:szCs w:val="24"/>
        </w:rPr>
        <w:t>方、</w:t>
      </w:r>
      <w:r>
        <w:rPr>
          <w:rFonts w:ascii="宋体" w:hAnsi="宋体" w:cs="Courier New"/>
          <w:color w:val="auto"/>
          <w:sz w:val="24"/>
          <w:szCs w:val="24"/>
        </w:rPr>
        <w:t>乙方各执一份。</w:t>
      </w:r>
    </w:p>
    <w:p w14:paraId="609992CD">
      <w:pPr>
        <w:snapToGrid w:val="0"/>
        <w:spacing w:before="120" w:after="120" w:line="0" w:lineRule="atLeast"/>
        <w:ind w:left="480" w:hanging="480" w:hangingChars="200"/>
        <w:rPr>
          <w:rFonts w:ascii="宋体" w:hAnsi="宋体" w:cs="Courier New"/>
          <w:color w:val="auto"/>
          <w:sz w:val="24"/>
          <w:szCs w:val="24"/>
        </w:rPr>
      </w:pPr>
      <w:r>
        <w:rPr>
          <w:rFonts w:ascii="宋体" w:hAnsi="宋体" w:cs="Courier New"/>
          <w:color w:val="auto"/>
          <w:sz w:val="24"/>
          <w:szCs w:val="24"/>
        </w:rPr>
        <w:t xml:space="preserve">  甲方：                        乙方： </w:t>
      </w:r>
    </w:p>
    <w:p w14:paraId="326C299D">
      <w:pPr>
        <w:snapToGrid w:val="0"/>
        <w:spacing w:before="120" w:after="120" w:line="0" w:lineRule="atLeast"/>
        <w:rPr>
          <w:rFonts w:ascii="宋体" w:hAnsi="宋体" w:cs="Courier New"/>
          <w:color w:val="auto"/>
          <w:sz w:val="24"/>
          <w:szCs w:val="24"/>
        </w:rPr>
      </w:pPr>
      <w:r>
        <w:rPr>
          <w:rFonts w:ascii="宋体" w:hAnsi="宋体" w:cs="Courier New"/>
          <w:color w:val="auto"/>
          <w:sz w:val="24"/>
          <w:szCs w:val="24"/>
        </w:rPr>
        <w:t xml:space="preserve">  地址：                       </w:t>
      </w:r>
      <w:r>
        <w:rPr>
          <w:rFonts w:hint="eastAsia" w:ascii="宋体" w:hAnsi="宋体" w:cs="Courier New"/>
          <w:color w:val="auto"/>
          <w:sz w:val="24"/>
          <w:szCs w:val="24"/>
        </w:rPr>
        <w:t xml:space="preserve"> </w:t>
      </w:r>
      <w:r>
        <w:rPr>
          <w:rFonts w:ascii="宋体" w:hAnsi="宋体" w:cs="Courier New"/>
          <w:color w:val="auto"/>
          <w:sz w:val="24"/>
          <w:szCs w:val="24"/>
        </w:rPr>
        <w:t xml:space="preserve">地址： </w:t>
      </w:r>
    </w:p>
    <w:p w14:paraId="62900EDD">
      <w:pPr>
        <w:snapToGrid w:val="0"/>
        <w:spacing w:before="120" w:after="120" w:line="0" w:lineRule="atLeast"/>
        <w:rPr>
          <w:rFonts w:ascii="宋体" w:hAnsi="宋体" w:cs="Courier New"/>
          <w:color w:val="auto"/>
          <w:sz w:val="24"/>
          <w:szCs w:val="24"/>
        </w:rPr>
      </w:pPr>
      <w:r>
        <w:rPr>
          <w:rFonts w:ascii="宋体" w:hAnsi="宋体" w:cs="Courier New"/>
          <w:color w:val="auto"/>
          <w:sz w:val="24"/>
          <w:szCs w:val="24"/>
        </w:rPr>
        <w:t xml:space="preserve">  法定代表人</w:t>
      </w:r>
      <w:r>
        <w:rPr>
          <w:rFonts w:hint="eastAsia" w:ascii="宋体" w:hAnsi="宋体" w:cs="Courier New"/>
          <w:color w:val="auto"/>
          <w:sz w:val="24"/>
          <w:szCs w:val="24"/>
        </w:rPr>
        <w:t>或授权代表</w:t>
      </w:r>
      <w:r>
        <w:rPr>
          <w:rFonts w:ascii="宋体" w:hAnsi="宋体" w:cs="Courier New"/>
          <w:color w:val="auto"/>
          <w:sz w:val="24"/>
          <w:szCs w:val="24"/>
        </w:rPr>
        <w:t>：        法定代表人</w:t>
      </w:r>
      <w:r>
        <w:rPr>
          <w:rFonts w:hint="eastAsia" w:ascii="宋体" w:hAnsi="宋体" w:cs="Courier New"/>
          <w:color w:val="auto"/>
          <w:sz w:val="24"/>
          <w:szCs w:val="24"/>
        </w:rPr>
        <w:t>或授权代表</w:t>
      </w:r>
      <w:r>
        <w:rPr>
          <w:rFonts w:ascii="宋体" w:hAnsi="宋体" w:cs="Courier New"/>
          <w:color w:val="auto"/>
          <w:sz w:val="24"/>
          <w:szCs w:val="24"/>
        </w:rPr>
        <w:t>：</w:t>
      </w:r>
    </w:p>
    <w:p w14:paraId="74299D49">
      <w:pPr>
        <w:snapToGrid w:val="0"/>
        <w:spacing w:before="120" w:after="120" w:line="0" w:lineRule="atLeast"/>
        <w:ind w:firstLine="240" w:firstLineChars="100"/>
        <w:rPr>
          <w:rFonts w:hint="eastAsia" w:ascii="宋体" w:hAnsi="Courier New" w:cs="Courier New"/>
          <w:color w:val="auto"/>
          <w:szCs w:val="21"/>
        </w:rPr>
      </w:pPr>
      <w:r>
        <w:rPr>
          <w:rFonts w:hint="eastAsia" w:ascii="宋体" w:hAnsi="宋体" w:cs="Courier New"/>
          <w:color w:val="auto"/>
          <w:sz w:val="24"/>
          <w:szCs w:val="24"/>
        </w:rPr>
        <w:t xml:space="preserve">联系电话：                    联系电话：          </w:t>
      </w:r>
    </w:p>
    <w:p w14:paraId="15B33ABB">
      <w:pPr>
        <w:spacing w:line="500" w:lineRule="exact"/>
        <w:ind w:firstLine="420" w:firstLineChars="200"/>
        <w:rPr>
          <w:rFonts w:hint="eastAsia" w:ascii="Times New Roman" w:hAnsi="Times New Roman"/>
          <w:color w:val="auto"/>
          <w:szCs w:val="21"/>
        </w:rPr>
      </w:pPr>
      <w:r>
        <w:rPr>
          <w:rFonts w:hint="eastAsia" w:ascii="Times New Roman" w:hAnsi="Times New Roman"/>
          <w:color w:val="auto"/>
          <w:szCs w:val="21"/>
        </w:rPr>
        <w:t xml:space="preserve">                                          </w:t>
      </w:r>
      <w:r>
        <w:rPr>
          <w:rFonts w:ascii="Times New Roman" w:hAnsi="Times New Roman"/>
          <w:color w:val="auto"/>
          <w:szCs w:val="21"/>
        </w:rPr>
        <w:t xml:space="preserve">签订日期：      年  </w:t>
      </w:r>
      <w:r>
        <w:rPr>
          <w:rFonts w:hint="eastAsia" w:ascii="Times New Roman" w:hAnsi="Times New Roman"/>
          <w:color w:val="auto"/>
          <w:szCs w:val="21"/>
        </w:rPr>
        <w:t xml:space="preserve">  </w:t>
      </w:r>
      <w:r>
        <w:rPr>
          <w:rFonts w:ascii="Times New Roman" w:hAnsi="Times New Roman"/>
          <w:color w:val="auto"/>
          <w:szCs w:val="21"/>
        </w:rPr>
        <w:t xml:space="preserve">月  </w:t>
      </w:r>
      <w:r>
        <w:rPr>
          <w:rFonts w:hint="eastAsia" w:ascii="Times New Roman" w:hAnsi="Times New Roman"/>
          <w:color w:val="auto"/>
          <w:szCs w:val="21"/>
        </w:rPr>
        <w:t xml:space="preserve"> </w:t>
      </w:r>
      <w:r>
        <w:rPr>
          <w:rFonts w:ascii="Times New Roman" w:hAnsi="Times New Roman"/>
          <w:color w:val="auto"/>
          <w:szCs w:val="21"/>
        </w:rPr>
        <w:t>日</w:t>
      </w:r>
    </w:p>
    <w:p w14:paraId="5082E6A4">
      <w:pPr>
        <w:widowControl/>
        <w:jc w:val="left"/>
        <w:rPr>
          <w:b w:val="0"/>
          <w:color w:val="auto"/>
        </w:rPr>
      </w:pPr>
    </w:p>
    <w:p w14:paraId="464104C8">
      <w:pPr>
        <w:widowControl/>
        <w:jc w:val="left"/>
        <w:rPr>
          <w:b/>
          <w:color w:val="auto"/>
          <w:sz w:val="36"/>
          <w:szCs w:val="36"/>
        </w:rPr>
      </w:pPr>
    </w:p>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p w14:paraId="2ABC8890">
      <w:pPr>
        <w:pStyle w:val="18"/>
        <w:rPr>
          <w:rFonts w:hint="eastAsia"/>
          <w:color w:val="auto"/>
        </w:rPr>
      </w:pPr>
    </w:p>
    <w:p w14:paraId="79F29ECD">
      <w:pPr>
        <w:jc w:val="center"/>
        <w:rPr>
          <w:rFonts w:hint="eastAsia"/>
          <w:b/>
          <w:bCs/>
          <w:color w:val="auto"/>
        </w:rPr>
      </w:pPr>
    </w:p>
    <w:p w14:paraId="091290FF">
      <w:pPr>
        <w:pStyle w:val="17"/>
        <w:rPr>
          <w:rFonts w:hint="eastAsia"/>
          <w:b/>
          <w:bCs/>
          <w:color w:val="auto"/>
        </w:rPr>
      </w:pPr>
    </w:p>
    <w:p w14:paraId="43E84F11">
      <w:pPr>
        <w:rPr>
          <w:rFonts w:hint="eastAsia"/>
          <w:b/>
          <w:bCs/>
          <w:color w:val="auto"/>
        </w:rPr>
      </w:pPr>
    </w:p>
    <w:p w14:paraId="63482832">
      <w:pPr>
        <w:pStyle w:val="17"/>
        <w:rPr>
          <w:rFonts w:hint="eastAsia"/>
          <w:color w:val="auto"/>
        </w:rPr>
      </w:pPr>
    </w:p>
    <w:p w14:paraId="0754C293">
      <w:pPr>
        <w:pStyle w:val="2"/>
        <w:numPr>
          <w:ilvl w:val="0"/>
          <w:numId w:val="0"/>
        </w:numPr>
        <w:ind w:leftChars="0"/>
        <w:jc w:val="center"/>
        <w:rPr>
          <w:rFonts w:ascii="Times New Roman" w:hAnsi="Times New Roman" w:eastAsia="黑体" w:cs="Times New Roman"/>
          <w:color w:val="auto"/>
          <w:kern w:val="44"/>
          <w:sz w:val="44"/>
          <w:szCs w:val="44"/>
          <w:lang w:val="en-US" w:eastAsia="zh-CN" w:bidi="ar-SA"/>
        </w:rPr>
      </w:pPr>
      <w:bookmarkStart w:id="583" w:name="_Toc20741"/>
      <w:r>
        <w:rPr>
          <w:rFonts w:hint="eastAsia" w:ascii="Times New Roman" w:hAnsi="Times New Roman" w:cs="Times New Roman"/>
          <w:color w:val="auto"/>
          <w:kern w:val="44"/>
          <w:sz w:val="44"/>
          <w:szCs w:val="44"/>
          <w:lang w:val="en-US" w:eastAsia="zh-CN" w:bidi="ar-SA"/>
        </w:rPr>
        <w:t xml:space="preserve">第六章  </w:t>
      </w:r>
      <w:r>
        <w:rPr>
          <w:rFonts w:ascii="Times New Roman" w:hAnsi="Times New Roman" w:eastAsia="黑体" w:cs="Times New Roman"/>
          <w:color w:val="auto"/>
          <w:kern w:val="44"/>
          <w:sz w:val="44"/>
          <w:szCs w:val="44"/>
          <w:lang w:val="en-US" w:eastAsia="zh-CN" w:bidi="ar-SA"/>
        </w:rPr>
        <w:t>响应文件格式</w:t>
      </w:r>
      <w:bookmarkEnd w:id="583"/>
    </w:p>
    <w:p w14:paraId="1D965F69">
      <w:pPr>
        <w:widowControl/>
        <w:spacing w:line="360" w:lineRule="auto"/>
        <w:jc w:val="left"/>
        <w:rPr>
          <w:b/>
          <w:color w:val="auto"/>
          <w:sz w:val="24"/>
        </w:rPr>
      </w:pPr>
    </w:p>
    <w:p w14:paraId="62594575">
      <w:pPr>
        <w:widowControl/>
        <w:spacing w:line="360" w:lineRule="auto"/>
        <w:jc w:val="left"/>
        <w:rPr>
          <w:b/>
          <w:color w:val="auto"/>
          <w:sz w:val="24"/>
        </w:rPr>
      </w:pPr>
    </w:p>
    <w:p w14:paraId="7C6D942B">
      <w:pPr>
        <w:pStyle w:val="2"/>
        <w:rPr>
          <w:color w:val="auto"/>
        </w:rPr>
      </w:pPr>
      <w:bookmarkStart w:id="584" w:name="_Toc11602"/>
      <w:r>
        <w:rPr>
          <w:color w:val="auto"/>
        </w:rPr>
        <w:t>供应商编制文件须知</w:t>
      </w:r>
      <w:bookmarkEnd w:id="584"/>
    </w:p>
    <w:p w14:paraId="0B1318A0">
      <w:pPr>
        <w:pStyle w:val="17"/>
        <w:numPr>
          <w:ilvl w:val="0"/>
          <w:numId w:val="76"/>
        </w:numPr>
        <w:topLinePunct w:val="0"/>
        <w:ind w:left="0" w:leftChars="0" w:firstLine="480" w:firstLineChars="0"/>
        <w:rPr>
          <w:b w:val="0"/>
          <w:color w:val="auto"/>
        </w:rPr>
      </w:pPr>
      <w:r>
        <w:rPr>
          <w:color w:val="auto"/>
        </w:rPr>
        <w:t>供应商按照本部分的顺序编制响应文件，编制中涉及格式资料的，应按照本部分提供的内容和格式（所有表格的格式可扩展）填写提交。</w:t>
      </w:r>
    </w:p>
    <w:p w14:paraId="275F06A9">
      <w:pPr>
        <w:pStyle w:val="17"/>
        <w:numPr>
          <w:ilvl w:val="0"/>
          <w:numId w:val="76"/>
        </w:numPr>
        <w:topLinePunct w:val="0"/>
        <w:ind w:left="0" w:leftChars="0" w:firstLine="480" w:firstLineChars="0"/>
        <w:rPr>
          <w:b w:val="0"/>
          <w:color w:val="auto"/>
        </w:rPr>
      </w:pPr>
      <w:r>
        <w:rPr>
          <w:color w:val="auto"/>
        </w:rPr>
        <w:t>对于询价通知书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b/>
          <w:color w:val="auto"/>
        </w:rPr>
        <w:t>响应无效</w:t>
      </w:r>
      <w:r>
        <w:rPr>
          <w:color w:val="auto"/>
        </w:rPr>
        <w:t>。未标记“实质性格式”的文件和询价通知书未提供格式的内容，可由供应商自行编写。</w:t>
      </w:r>
    </w:p>
    <w:p w14:paraId="66127456">
      <w:pPr>
        <w:pStyle w:val="17"/>
        <w:numPr>
          <w:ilvl w:val="0"/>
          <w:numId w:val="76"/>
        </w:numPr>
        <w:topLinePunct w:val="0"/>
        <w:ind w:left="0" w:leftChars="0" w:firstLine="480" w:firstLineChars="0"/>
        <w:rPr>
          <w:b w:val="0"/>
          <w:color w:val="auto"/>
        </w:rPr>
      </w:pPr>
      <w:r>
        <w:rPr>
          <w:color w:val="auto"/>
        </w:rPr>
        <w:t>全部声明和问题的回答及所附材料必须是真实的、准确的和完整的。</w:t>
      </w:r>
    </w:p>
    <w:p w14:paraId="38E88463">
      <w:pPr>
        <w:tabs>
          <w:tab w:val="left" w:pos="900"/>
          <w:tab w:val="left" w:pos="1980"/>
        </w:tabs>
        <w:snapToGrid w:val="0"/>
        <w:spacing w:line="360" w:lineRule="auto"/>
        <w:ind w:left="142"/>
        <w:rPr>
          <w:color w:val="auto"/>
          <w:sz w:val="24"/>
        </w:rPr>
      </w:pPr>
    </w:p>
    <w:p w14:paraId="0BE33E23">
      <w:pPr>
        <w:widowControl/>
        <w:jc w:val="left"/>
        <w:rPr>
          <w:color w:val="auto"/>
          <w:sz w:val="24"/>
        </w:rPr>
      </w:pPr>
      <w:r>
        <w:rPr>
          <w:color w:val="auto"/>
          <w:sz w:val="24"/>
        </w:rPr>
        <w:br w:type="page"/>
      </w:r>
    </w:p>
    <w:p w14:paraId="1329495D">
      <w:pPr>
        <w:pStyle w:val="2"/>
        <w:rPr>
          <w:color w:val="auto"/>
        </w:rPr>
      </w:pPr>
      <w:bookmarkStart w:id="585" w:name="_Toc7025"/>
      <w:r>
        <w:rPr>
          <w:color w:val="auto"/>
        </w:rPr>
        <w:t>响应文件封面（非实质性格式）</w:t>
      </w:r>
      <w:bookmarkEnd w:id="585"/>
    </w:p>
    <w:p w14:paraId="035328BB">
      <w:pPr>
        <w:jc w:val="center"/>
        <w:rPr>
          <w:color w:val="auto"/>
          <w:szCs w:val="21"/>
        </w:rPr>
      </w:pPr>
    </w:p>
    <w:p w14:paraId="2EBB46DC">
      <w:pPr>
        <w:pStyle w:val="264"/>
        <w:rPr>
          <w:color w:val="auto"/>
        </w:rPr>
      </w:pPr>
      <w:r>
        <w:rPr>
          <w:color w:val="auto"/>
        </w:rPr>
        <w:t>响 应 文 件</w:t>
      </w:r>
    </w:p>
    <w:p w14:paraId="7314C832">
      <w:pPr>
        <w:ind w:firstLine="963" w:firstLineChars="150"/>
        <w:rPr>
          <w:b/>
          <w:color w:val="auto"/>
          <w:spacing w:val="60"/>
          <w:sz w:val="52"/>
          <w:szCs w:val="52"/>
        </w:rPr>
      </w:pPr>
    </w:p>
    <w:p w14:paraId="547ED110">
      <w:pPr>
        <w:ind w:firstLine="542" w:firstLineChars="150"/>
        <w:rPr>
          <w:b/>
          <w:color w:val="auto"/>
          <w:spacing w:val="20"/>
          <w:sz w:val="32"/>
          <w:szCs w:val="32"/>
        </w:rPr>
      </w:pPr>
    </w:p>
    <w:p w14:paraId="4E2C4210">
      <w:pPr>
        <w:ind w:firstLine="542" w:firstLineChars="150"/>
        <w:rPr>
          <w:b/>
          <w:color w:val="auto"/>
          <w:spacing w:val="20"/>
          <w:sz w:val="32"/>
          <w:szCs w:val="32"/>
        </w:rPr>
      </w:pPr>
    </w:p>
    <w:p w14:paraId="7007CDA0">
      <w:pPr>
        <w:ind w:firstLine="1084" w:firstLineChars="300"/>
        <w:rPr>
          <w:rFonts w:ascii="宋体" w:hAnsi="宋体"/>
          <w:b/>
          <w:color w:val="auto"/>
          <w:sz w:val="36"/>
        </w:rPr>
      </w:pPr>
      <w:r>
        <w:rPr>
          <w:rFonts w:hint="eastAsia" w:ascii="宋体" w:hAnsi="宋体"/>
          <w:b/>
          <w:color w:val="auto"/>
          <w:sz w:val="36"/>
        </w:rPr>
        <w:t>项 目 名 称：</w:t>
      </w:r>
      <w:r>
        <w:rPr>
          <w:rFonts w:hint="eastAsia" w:ascii="宋体" w:hAnsi="宋体"/>
          <w:b/>
          <w:color w:val="auto"/>
          <w:sz w:val="36"/>
          <w:u w:val="single"/>
        </w:rPr>
        <w:t xml:space="preserve">               </w:t>
      </w:r>
    </w:p>
    <w:p w14:paraId="4393203B">
      <w:pPr>
        <w:ind w:firstLine="1084" w:firstLineChars="300"/>
        <w:rPr>
          <w:rFonts w:ascii="宋体" w:hAnsi="宋体"/>
          <w:b/>
          <w:color w:val="auto"/>
          <w:sz w:val="36"/>
          <w:u w:val="single"/>
        </w:rPr>
      </w:pPr>
      <w:r>
        <w:rPr>
          <w:rFonts w:hint="eastAsia" w:ascii="宋体" w:hAnsi="宋体"/>
          <w:b/>
          <w:color w:val="auto"/>
          <w:sz w:val="36"/>
        </w:rPr>
        <w:t>项 目 编 号：</w:t>
      </w:r>
      <w:r>
        <w:rPr>
          <w:rFonts w:hint="eastAsia" w:ascii="宋体" w:hAnsi="宋体"/>
          <w:b/>
          <w:color w:val="auto"/>
          <w:sz w:val="36"/>
          <w:u w:val="single"/>
        </w:rPr>
        <w:t xml:space="preserve">               </w:t>
      </w:r>
    </w:p>
    <w:p w14:paraId="55F74CAF">
      <w:pPr>
        <w:rPr>
          <w:rFonts w:ascii="宋体" w:hAnsi="宋体"/>
          <w:b/>
          <w:color w:val="auto"/>
          <w:sz w:val="36"/>
          <w:u w:val="single"/>
        </w:rPr>
      </w:pPr>
      <w:r>
        <w:rPr>
          <w:rFonts w:hint="eastAsia" w:ascii="宋体" w:hAnsi="宋体"/>
          <w:b/>
          <w:color w:val="auto"/>
          <w:sz w:val="36"/>
        </w:rPr>
        <w:t xml:space="preserve">      供应商名称 ：</w:t>
      </w:r>
      <w:r>
        <w:rPr>
          <w:rFonts w:hint="eastAsia" w:ascii="宋体" w:hAnsi="宋体"/>
          <w:b/>
          <w:color w:val="auto"/>
          <w:sz w:val="36"/>
          <w:u w:val="single"/>
        </w:rPr>
        <w:t xml:space="preserve">               </w:t>
      </w:r>
    </w:p>
    <w:p w14:paraId="225319A0">
      <w:pPr>
        <w:rPr>
          <w:rFonts w:ascii="宋体" w:hAnsi="宋体"/>
          <w:b/>
          <w:color w:val="auto"/>
          <w:sz w:val="36"/>
        </w:rPr>
      </w:pPr>
      <w:r>
        <w:rPr>
          <w:rFonts w:hint="eastAsia" w:ascii="宋体" w:hAnsi="宋体"/>
          <w:b/>
          <w:color w:val="auto"/>
          <w:sz w:val="36"/>
        </w:rPr>
        <w:t xml:space="preserve">      日      期 ：</w:t>
      </w:r>
      <w:r>
        <w:rPr>
          <w:rFonts w:hint="eastAsia" w:ascii="宋体" w:hAnsi="宋体"/>
          <w:b/>
          <w:color w:val="auto"/>
          <w:sz w:val="36"/>
          <w:u w:val="single"/>
        </w:rPr>
        <w:t xml:space="preserve">               </w:t>
      </w:r>
    </w:p>
    <w:p w14:paraId="18EBC633">
      <w:pPr>
        <w:jc w:val="center"/>
        <w:rPr>
          <w:b/>
          <w:color w:val="auto"/>
          <w:sz w:val="32"/>
          <w:szCs w:val="32"/>
        </w:rPr>
      </w:pPr>
    </w:p>
    <w:p w14:paraId="53CB6287">
      <w:pPr>
        <w:rPr>
          <w:b/>
          <w:color w:val="auto"/>
        </w:rPr>
      </w:pPr>
      <w:r>
        <w:rPr>
          <w:b/>
          <w:color w:val="auto"/>
          <w:spacing w:val="20"/>
          <w:sz w:val="32"/>
          <w:szCs w:val="32"/>
        </w:rPr>
        <w:br w:type="page"/>
      </w:r>
    </w:p>
    <w:p w14:paraId="350BAD86">
      <w:pPr>
        <w:pStyle w:val="2"/>
        <w:numPr>
          <w:ilvl w:val="0"/>
          <w:numId w:val="77"/>
        </w:numPr>
        <w:topLinePunct w:val="0"/>
        <w:ind w:left="0" w:leftChars="0" w:firstLine="0" w:firstLineChars="0"/>
        <w:rPr>
          <w:b w:val="0"/>
          <w:color w:val="auto"/>
        </w:rPr>
      </w:pPr>
      <w:bookmarkStart w:id="586" w:name="_Toc7216"/>
      <w:r>
        <w:rPr>
          <w:color w:val="auto"/>
        </w:rPr>
        <w:t>资格证明文件</w:t>
      </w:r>
      <w:bookmarkEnd w:id="586"/>
    </w:p>
    <w:p w14:paraId="24A6EBAA">
      <w:pPr>
        <w:pStyle w:val="3"/>
        <w:numPr>
          <w:ilvl w:val="0"/>
          <w:numId w:val="78"/>
        </w:numPr>
        <w:ind w:left="0" w:leftChars="0" w:firstLine="0" w:firstLineChars="0"/>
        <w:rPr>
          <w:b w:val="0"/>
          <w:color w:val="auto"/>
        </w:rPr>
      </w:pPr>
      <w:r>
        <w:rPr>
          <w:color w:val="auto"/>
        </w:rPr>
        <w:t>满足《中华人民共和国政府采购法》第二十二条规定及法律法规的其他规定</w:t>
      </w:r>
    </w:p>
    <w:p w14:paraId="464E0EF7">
      <w:pPr>
        <w:pStyle w:val="17"/>
        <w:numPr>
          <w:ilvl w:val="0"/>
          <w:numId w:val="79"/>
        </w:numPr>
        <w:ind w:left="0" w:leftChars="0" w:firstLine="480" w:firstLineChars="0"/>
        <w:rPr>
          <w:b w:val="0"/>
          <w:color w:val="auto"/>
          <w:u w:val="none"/>
        </w:rPr>
      </w:pPr>
      <w:r>
        <w:rPr>
          <w:b w:val="0"/>
          <w:color w:val="auto"/>
          <w:u w:val="none"/>
        </w:rPr>
        <w:t>供应商资格声明函（实质性格式）</w:t>
      </w:r>
    </w:p>
    <w:p w14:paraId="45A76E63">
      <w:pPr>
        <w:widowControl/>
        <w:adjustRightInd w:val="0"/>
        <w:snapToGrid w:val="0"/>
        <w:spacing w:before="120" w:beforeLines="50" w:line="360" w:lineRule="auto"/>
        <w:jc w:val="center"/>
        <w:rPr>
          <w:rFonts w:hint="eastAsia" w:ascii="宋体" w:hAnsi="宋体" w:cs="宋体"/>
          <w:b/>
          <w:color w:val="auto"/>
          <w:sz w:val="28"/>
          <w:szCs w:val="28"/>
        </w:rPr>
      </w:pPr>
    </w:p>
    <w:p w14:paraId="2418C51D">
      <w:pPr>
        <w:widowControl/>
        <w:adjustRightInd w:val="0"/>
        <w:snapToGrid w:val="0"/>
        <w:spacing w:before="120" w:beforeLines="50" w:line="360" w:lineRule="auto"/>
        <w:jc w:val="center"/>
        <w:rPr>
          <w:rFonts w:ascii="宋体" w:hAnsi="宋体" w:cs="宋体"/>
          <w:color w:val="auto"/>
          <w:szCs w:val="21"/>
        </w:rPr>
      </w:pPr>
      <w:r>
        <w:rPr>
          <w:rFonts w:hint="eastAsia" w:ascii="宋体" w:hAnsi="宋体" w:cs="宋体"/>
          <w:b/>
          <w:color w:val="auto"/>
          <w:sz w:val="28"/>
          <w:szCs w:val="28"/>
        </w:rPr>
        <w:t>供应商资格声明函</w:t>
      </w:r>
    </w:p>
    <w:p w14:paraId="14241A89">
      <w:pPr>
        <w:pStyle w:val="5"/>
        <w:spacing w:line="460" w:lineRule="exact"/>
        <w:ind w:firstLine="480"/>
        <w:rPr>
          <w:color w:val="auto"/>
        </w:rPr>
      </w:pPr>
    </w:p>
    <w:p w14:paraId="2F4D3425">
      <w:pPr>
        <w:pStyle w:val="17"/>
        <w:rPr>
          <w:color w:val="auto"/>
        </w:rPr>
      </w:pPr>
      <w:r>
        <w:rPr>
          <w:color w:val="auto"/>
        </w:rPr>
        <w:t>致：常州市教育基本建设与装备管理中心</w:t>
      </w:r>
    </w:p>
    <w:p w14:paraId="03707110">
      <w:pPr>
        <w:pStyle w:val="17"/>
        <w:rPr>
          <w:color w:val="auto"/>
          <w:u w:val="single"/>
        </w:rPr>
      </w:pPr>
      <w:r>
        <w:rPr>
          <w:color w:val="auto"/>
          <w:u w:val="single"/>
        </w:rPr>
        <w:t>（采购人名称）</w:t>
      </w:r>
    </w:p>
    <w:p w14:paraId="59B387F3">
      <w:pPr>
        <w:pStyle w:val="5"/>
        <w:spacing w:line="460" w:lineRule="exact"/>
        <w:ind w:firstLine="480"/>
        <w:rPr>
          <w:color w:val="auto"/>
        </w:rPr>
      </w:pPr>
    </w:p>
    <w:p w14:paraId="58101CA3">
      <w:pPr>
        <w:pStyle w:val="17"/>
        <w:rPr>
          <w:color w:val="auto"/>
        </w:rPr>
      </w:pPr>
      <w:r>
        <w:rPr>
          <w:color w:val="auto"/>
        </w:rPr>
        <w:t>按照《中华人民共和国政府采购法》第二十二条和询价通知书的规定，我单位郑重声明如下：</w:t>
      </w:r>
    </w:p>
    <w:p w14:paraId="2C5F1248">
      <w:pPr>
        <w:pStyle w:val="17"/>
        <w:numPr>
          <w:ilvl w:val="0"/>
          <w:numId w:val="80"/>
        </w:numPr>
        <w:topLinePunct w:val="0"/>
        <w:ind w:left="0" w:leftChars="0" w:firstLine="480" w:firstLineChars="0"/>
        <w:rPr>
          <w:b w:val="0"/>
          <w:color w:val="auto"/>
        </w:rPr>
      </w:pPr>
      <w:r>
        <w:rPr>
          <w:color w:val="auto"/>
        </w:rPr>
        <w:t>我单位是按照中华人民共和国法律规定登记注册的，注册地点为</w:t>
      </w:r>
      <w:r>
        <w:rPr>
          <w:color w:val="auto"/>
          <w:u w:val="single"/>
        </w:rPr>
        <w:t xml:space="preserve">         </w:t>
      </w:r>
      <w:r>
        <w:rPr>
          <w:color w:val="auto"/>
        </w:rPr>
        <w:t>，全称为</w:t>
      </w:r>
      <w:r>
        <w:rPr>
          <w:color w:val="auto"/>
          <w:u w:val="single"/>
        </w:rPr>
        <w:t xml:space="preserve">        </w:t>
      </w:r>
      <w:r>
        <w:rPr>
          <w:color w:val="auto"/>
        </w:rPr>
        <w:t>，统一社会信用代码为</w:t>
      </w:r>
      <w:r>
        <w:rPr>
          <w:color w:val="auto"/>
          <w:u w:val="single"/>
        </w:rPr>
        <w:t xml:space="preserve">           </w:t>
      </w:r>
      <w:r>
        <w:rPr>
          <w:color w:val="auto"/>
        </w:rPr>
        <w:t xml:space="preserve"> ，法定代表人（单位负责人）为</w:t>
      </w:r>
      <w:r>
        <w:rPr>
          <w:color w:val="auto"/>
          <w:u w:val="single"/>
        </w:rPr>
        <w:t xml:space="preserve">         </w:t>
      </w:r>
      <w:r>
        <w:rPr>
          <w:color w:val="auto"/>
        </w:rPr>
        <w:t>，具有独立承担民事责任的能力</w:t>
      </w:r>
      <w:r>
        <w:rPr>
          <w:b/>
          <w:color w:val="auto"/>
        </w:rPr>
        <w:t>（如属于分公司经总公司授权参与项目，由总公司承担民事责任的，需提供总公司项目授权书）</w:t>
      </w:r>
      <w:r>
        <w:rPr>
          <w:color w:val="auto"/>
        </w:rPr>
        <w:t>。</w:t>
      </w:r>
    </w:p>
    <w:p w14:paraId="72AFEC24">
      <w:pPr>
        <w:pStyle w:val="17"/>
        <w:numPr>
          <w:ilvl w:val="0"/>
          <w:numId w:val="80"/>
        </w:numPr>
        <w:topLinePunct w:val="0"/>
        <w:ind w:left="0" w:leftChars="0" w:firstLine="480" w:firstLineChars="0"/>
        <w:rPr>
          <w:b w:val="0"/>
          <w:color w:val="auto"/>
        </w:rPr>
      </w:pPr>
      <w:r>
        <w:rPr>
          <w:color w:val="auto"/>
        </w:rPr>
        <w:t>我单位未被“国家企业信用信息系统”列入经营异常名录或者严重违法企业名单。</w:t>
      </w:r>
    </w:p>
    <w:p w14:paraId="68C8D065">
      <w:pPr>
        <w:pStyle w:val="17"/>
        <w:numPr>
          <w:ilvl w:val="0"/>
          <w:numId w:val="80"/>
        </w:numPr>
        <w:topLinePunct w:val="0"/>
        <w:ind w:left="0" w:leftChars="0" w:firstLine="480" w:firstLineChars="0"/>
        <w:rPr>
          <w:b w:val="0"/>
          <w:color w:val="auto"/>
        </w:rPr>
      </w:pPr>
      <w:r>
        <w:rPr>
          <w:color w:val="auto"/>
        </w:rPr>
        <w:t>我单位具有良好的商业信誉（指供应商经营状况良好，无本资格声明第十条情形）和健全的财务会计制度。</w:t>
      </w:r>
    </w:p>
    <w:p w14:paraId="2C0865AD">
      <w:pPr>
        <w:pStyle w:val="17"/>
        <w:numPr>
          <w:ilvl w:val="0"/>
          <w:numId w:val="80"/>
        </w:numPr>
        <w:topLinePunct w:val="0"/>
        <w:ind w:left="0" w:leftChars="0" w:firstLine="480" w:firstLineChars="0"/>
        <w:rPr>
          <w:b w:val="0"/>
          <w:color w:val="auto"/>
        </w:rPr>
      </w:pPr>
      <w:r>
        <w:rPr>
          <w:color w:val="auto"/>
        </w:rPr>
        <w:t>我单位依法进行纳税和社会保险申报并实际履行了义务。</w:t>
      </w:r>
    </w:p>
    <w:p w14:paraId="34DAD4AE">
      <w:pPr>
        <w:pStyle w:val="17"/>
        <w:numPr>
          <w:ilvl w:val="0"/>
          <w:numId w:val="80"/>
        </w:numPr>
        <w:topLinePunct w:val="0"/>
        <w:ind w:left="0" w:leftChars="0" w:firstLine="480" w:firstLineChars="0"/>
        <w:rPr>
          <w:b w:val="0"/>
          <w:color w:val="auto"/>
        </w:rPr>
      </w:pPr>
      <w:r>
        <w:rPr>
          <w:color w:val="auto"/>
        </w:rPr>
        <w:t>我单位具有履行本项目采购合同所必需的设备和专业技术能力，并具有履行合同的良好记录。为履行本项采购合同我单位具备如下主要设备和主要专业技术能力:</w:t>
      </w:r>
    </w:p>
    <w:p w14:paraId="1D5C827C">
      <w:pPr>
        <w:pStyle w:val="17"/>
        <w:rPr>
          <w:color w:val="auto"/>
        </w:rPr>
      </w:pPr>
      <w:r>
        <w:rPr>
          <w:color w:val="auto"/>
        </w:rPr>
        <w:t>主要设备有：</w:t>
      </w:r>
      <w:r>
        <w:rPr>
          <w:color w:val="auto"/>
          <w:u w:val="single"/>
        </w:rPr>
        <w:t xml:space="preserve">            </w:t>
      </w:r>
    </w:p>
    <w:p w14:paraId="17FB210A">
      <w:pPr>
        <w:pStyle w:val="17"/>
        <w:rPr>
          <w:color w:val="auto"/>
        </w:rPr>
      </w:pPr>
      <w:r>
        <w:rPr>
          <w:color w:val="auto"/>
        </w:rPr>
        <w:t>主要专业技术能力有</w:t>
      </w:r>
      <w:r>
        <w:rPr>
          <w:color w:val="auto"/>
          <w:u w:val="single"/>
        </w:rPr>
        <w:t xml:space="preserve">                 </w:t>
      </w:r>
    </w:p>
    <w:p w14:paraId="6A4B58E5">
      <w:pPr>
        <w:pStyle w:val="17"/>
        <w:numPr>
          <w:ilvl w:val="0"/>
          <w:numId w:val="80"/>
        </w:numPr>
        <w:topLinePunct w:val="0"/>
        <w:ind w:left="0" w:leftChars="0" w:firstLine="480" w:firstLineChars="0"/>
        <w:rPr>
          <w:b w:val="0"/>
          <w:color w:val="auto"/>
        </w:rPr>
      </w:pPr>
      <w:r>
        <w:rPr>
          <w:color w:val="auto"/>
        </w:rPr>
        <w:t>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12E9E937">
      <w:pPr>
        <w:pStyle w:val="17"/>
        <w:numPr>
          <w:ilvl w:val="0"/>
          <w:numId w:val="80"/>
        </w:numPr>
        <w:topLinePunct w:val="0"/>
        <w:ind w:left="0" w:leftChars="0" w:firstLine="480" w:firstLineChars="0"/>
        <w:rPr>
          <w:b w:val="0"/>
          <w:color w:val="auto"/>
        </w:rPr>
      </w:pPr>
      <w:r>
        <w:rPr>
          <w:color w:val="auto"/>
        </w:rPr>
        <w:t>我单位具备法律、行政法规规定的其他条件。</w:t>
      </w:r>
    </w:p>
    <w:p w14:paraId="5C7837FB">
      <w:pPr>
        <w:pStyle w:val="17"/>
        <w:numPr>
          <w:ilvl w:val="0"/>
          <w:numId w:val="80"/>
        </w:numPr>
        <w:topLinePunct w:val="0"/>
        <w:ind w:left="0" w:leftChars="0" w:firstLine="480" w:firstLineChars="0"/>
        <w:rPr>
          <w:b w:val="0"/>
          <w:color w:val="auto"/>
        </w:rPr>
      </w:pPr>
      <w:r>
        <w:rPr>
          <w:color w:val="auto"/>
        </w:rPr>
        <w:t>与我单位存在“单位负责人为同一人或者存在直接控股、管理关系”的其他单位信息如下（如无此情形的，填写“无”）：</w:t>
      </w:r>
    </w:p>
    <w:p w14:paraId="1AA76274">
      <w:pPr>
        <w:pStyle w:val="17"/>
        <w:numPr>
          <w:ilvl w:val="0"/>
          <w:numId w:val="81"/>
        </w:numPr>
        <w:topLinePunct w:val="0"/>
        <w:ind w:left="0" w:leftChars="0" w:firstLine="480" w:firstLineChars="0"/>
        <w:rPr>
          <w:b w:val="0"/>
          <w:color w:val="auto"/>
        </w:rPr>
      </w:pPr>
      <w:r>
        <w:rPr>
          <w:color w:val="auto"/>
        </w:rPr>
        <w:t>与我单位的法定代表人（单位负责人）为同一人的其他单位如下：</w:t>
      </w:r>
      <w:r>
        <w:rPr>
          <w:color w:val="auto"/>
          <w:u w:val="single"/>
        </w:rPr>
        <w:t xml:space="preserve">     </w:t>
      </w:r>
      <w:r>
        <w:rPr>
          <w:color w:val="auto"/>
        </w:rPr>
        <w:t xml:space="preserve">          </w:t>
      </w:r>
    </w:p>
    <w:p w14:paraId="4C404F7F">
      <w:pPr>
        <w:pStyle w:val="17"/>
        <w:numPr>
          <w:ilvl w:val="0"/>
          <w:numId w:val="81"/>
        </w:numPr>
        <w:topLinePunct w:val="0"/>
        <w:ind w:left="0" w:leftChars="0" w:firstLine="480" w:firstLineChars="0"/>
        <w:rPr>
          <w:b w:val="0"/>
          <w:color w:val="auto"/>
        </w:rPr>
      </w:pPr>
      <w:r>
        <w:rPr>
          <w:color w:val="auto"/>
        </w:rPr>
        <w:t>我单位直接控股的其他单位如下：</w:t>
      </w:r>
      <w:r>
        <w:rPr>
          <w:color w:val="auto"/>
          <w:u w:val="single"/>
        </w:rPr>
        <w:t xml:space="preserve">                    </w:t>
      </w:r>
      <w:r>
        <w:rPr>
          <w:color w:val="auto"/>
        </w:rPr>
        <w:t xml:space="preserve"> </w:t>
      </w:r>
    </w:p>
    <w:p w14:paraId="1F458A6D">
      <w:pPr>
        <w:pStyle w:val="17"/>
        <w:numPr>
          <w:ilvl w:val="0"/>
          <w:numId w:val="81"/>
        </w:numPr>
        <w:topLinePunct w:val="0"/>
        <w:ind w:left="0" w:leftChars="0" w:firstLine="480" w:firstLineChars="0"/>
        <w:rPr>
          <w:b w:val="0"/>
          <w:color w:val="auto"/>
        </w:rPr>
      </w:pPr>
      <w:r>
        <w:rPr>
          <w:color w:val="auto"/>
        </w:rPr>
        <w:t>与我单位存在管理关系的其他单位如下：</w:t>
      </w:r>
      <w:r>
        <w:rPr>
          <w:color w:val="auto"/>
          <w:u w:val="single"/>
        </w:rPr>
        <w:t xml:space="preserve">              </w:t>
      </w:r>
      <w:r>
        <w:rPr>
          <w:color w:val="auto"/>
        </w:rPr>
        <w:t xml:space="preserve"> </w:t>
      </w:r>
    </w:p>
    <w:p w14:paraId="7942E8CD">
      <w:pPr>
        <w:pStyle w:val="17"/>
        <w:numPr>
          <w:ilvl w:val="0"/>
          <w:numId w:val="80"/>
        </w:numPr>
        <w:topLinePunct w:val="0"/>
        <w:ind w:left="0" w:leftChars="0" w:firstLine="480" w:firstLineChars="0"/>
        <w:rPr>
          <w:b w:val="0"/>
          <w:color w:val="auto"/>
        </w:rPr>
      </w:pPr>
      <w:r>
        <w:rPr>
          <w:color w:val="auto"/>
        </w:rPr>
        <w:t>我单位不属于为本项目提供整体设计、规范编制或者项目管理、监理、检测等服务的供应商。</w:t>
      </w:r>
    </w:p>
    <w:p w14:paraId="6F51EDC4">
      <w:pPr>
        <w:pStyle w:val="17"/>
        <w:numPr>
          <w:ilvl w:val="0"/>
          <w:numId w:val="80"/>
        </w:numPr>
        <w:topLinePunct w:val="0"/>
        <w:ind w:left="0" w:leftChars="0" w:firstLine="480" w:firstLineChars="0"/>
        <w:rPr>
          <w:b w:val="0"/>
          <w:color w:val="auto"/>
        </w:rPr>
      </w:pPr>
      <w:r>
        <w:rPr>
          <w:color w:val="auto"/>
        </w:rPr>
        <w:t>我单位无以下不良信用记录情形：</w:t>
      </w:r>
    </w:p>
    <w:p w14:paraId="56CA2939">
      <w:pPr>
        <w:pStyle w:val="17"/>
        <w:numPr>
          <w:ilvl w:val="0"/>
          <w:numId w:val="82"/>
        </w:numPr>
        <w:topLinePunct w:val="0"/>
        <w:ind w:left="0" w:leftChars="0" w:firstLine="480" w:firstLineChars="0"/>
        <w:rPr>
          <w:b w:val="0"/>
          <w:color w:val="auto"/>
        </w:rPr>
      </w:pPr>
      <w:r>
        <w:rPr>
          <w:color w:val="auto"/>
        </w:rPr>
        <w:t>在“信用中国”网站被列入失信被执行人和重大税收违法案件当事人名单；</w:t>
      </w:r>
    </w:p>
    <w:p w14:paraId="6B4CE4AA">
      <w:pPr>
        <w:pStyle w:val="17"/>
        <w:numPr>
          <w:ilvl w:val="0"/>
          <w:numId w:val="82"/>
        </w:numPr>
        <w:topLinePunct w:val="0"/>
        <w:ind w:left="0" w:leftChars="0" w:firstLine="480" w:firstLineChars="0"/>
        <w:rPr>
          <w:b w:val="0"/>
          <w:color w:val="auto"/>
        </w:rPr>
      </w:pPr>
      <w:r>
        <w:rPr>
          <w:color w:val="auto"/>
        </w:rPr>
        <w:t>在“中国政府采购网”网站被列入政府采购严重违法失信行为记录名单；</w:t>
      </w:r>
    </w:p>
    <w:p w14:paraId="2D60C081">
      <w:pPr>
        <w:pStyle w:val="17"/>
        <w:numPr>
          <w:ilvl w:val="0"/>
          <w:numId w:val="82"/>
        </w:numPr>
        <w:topLinePunct w:val="0"/>
        <w:ind w:left="0" w:leftChars="0" w:firstLine="480" w:firstLineChars="0"/>
        <w:rPr>
          <w:b w:val="0"/>
          <w:color w:val="auto"/>
        </w:rPr>
      </w:pPr>
      <w:r>
        <w:rPr>
          <w:color w:val="auto"/>
        </w:rPr>
        <w:t>不符合《政府采购法》第二十二条规定的条件。</w:t>
      </w:r>
    </w:p>
    <w:p w14:paraId="6FC9BC1A">
      <w:pPr>
        <w:pStyle w:val="5"/>
        <w:spacing w:line="460" w:lineRule="exact"/>
        <w:ind w:firstLine="480"/>
        <w:rPr>
          <w:color w:val="auto"/>
        </w:rPr>
      </w:pPr>
    </w:p>
    <w:p w14:paraId="00F5BD5B">
      <w:pPr>
        <w:pStyle w:val="17"/>
        <w:rPr>
          <w:color w:val="auto"/>
        </w:rPr>
      </w:pPr>
      <w:r>
        <w:rPr>
          <w:color w:val="auto"/>
        </w:rPr>
        <w:t>我单位保证上述声明的事项都是真实的，如有虚假，我单位愿意承担相应的法律责任，并承担因此所造成的一切损失。</w:t>
      </w:r>
    </w:p>
    <w:p w14:paraId="531C4823">
      <w:pPr>
        <w:pStyle w:val="5"/>
        <w:spacing w:line="460" w:lineRule="exact"/>
        <w:ind w:firstLine="480"/>
        <w:rPr>
          <w:color w:val="auto"/>
        </w:rPr>
      </w:pPr>
    </w:p>
    <w:p w14:paraId="4D1E1659">
      <w:pPr>
        <w:pStyle w:val="5"/>
        <w:spacing w:line="460" w:lineRule="exact"/>
        <w:ind w:firstLine="480"/>
        <w:rPr>
          <w:color w:val="auto"/>
        </w:rPr>
      </w:pPr>
    </w:p>
    <w:p w14:paraId="5872CEC2">
      <w:pPr>
        <w:pStyle w:val="5"/>
        <w:spacing w:line="460" w:lineRule="exact"/>
        <w:ind w:firstLine="480"/>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供应商：（加盖公章）</w:t>
      </w:r>
    </w:p>
    <w:p w14:paraId="057F14DE">
      <w:pPr>
        <w:pStyle w:val="5"/>
        <w:spacing w:line="460" w:lineRule="exact"/>
        <w:ind w:firstLine="480"/>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法定代表人（或单位负责人）签字或盖章：</w:t>
      </w:r>
    </w:p>
    <w:p w14:paraId="17025379">
      <w:pPr>
        <w:pStyle w:val="5"/>
        <w:spacing w:line="460" w:lineRule="exact"/>
        <w:ind w:firstLine="4920" w:firstLineChars="2050"/>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日期：    年    月    日</w:t>
      </w:r>
    </w:p>
    <w:p w14:paraId="09D5B36C">
      <w:pPr>
        <w:spacing w:line="360" w:lineRule="auto"/>
        <w:rPr>
          <w:rFonts w:hint="eastAsia"/>
          <w:color w:val="auto"/>
          <w:sz w:val="24"/>
        </w:rPr>
      </w:pPr>
    </w:p>
    <w:p w14:paraId="5524C11D">
      <w:pPr>
        <w:spacing w:line="360" w:lineRule="auto"/>
        <w:rPr>
          <w:rFonts w:hint="eastAsia"/>
          <w:color w:val="auto"/>
          <w:sz w:val="24"/>
        </w:rPr>
      </w:pPr>
    </w:p>
    <w:p w14:paraId="5A97B513">
      <w:pPr>
        <w:spacing w:line="360" w:lineRule="auto"/>
        <w:rPr>
          <w:rFonts w:hint="eastAsia"/>
          <w:color w:val="auto"/>
          <w:sz w:val="24"/>
        </w:rPr>
      </w:pPr>
    </w:p>
    <w:p w14:paraId="39127513">
      <w:pPr>
        <w:pStyle w:val="17"/>
        <w:rPr>
          <w:color w:val="auto"/>
        </w:rPr>
      </w:pPr>
      <w:r>
        <w:rPr>
          <w:color w:val="auto"/>
        </w:rPr>
        <w:t>说明：供应商承诺不实的，依据《政府采购法》第七十七条“提供虚假材料谋取中标、成交的”有关规定予以处理。</w:t>
      </w:r>
    </w:p>
    <w:p w14:paraId="28C69942">
      <w:pPr>
        <w:tabs>
          <w:tab w:val="left" w:pos="5580"/>
        </w:tabs>
        <w:spacing w:line="360" w:lineRule="auto"/>
        <w:rPr>
          <w:color w:val="auto"/>
          <w:sz w:val="24"/>
        </w:rPr>
      </w:pPr>
    </w:p>
    <w:p w14:paraId="230C87EB">
      <w:pPr>
        <w:pStyle w:val="18"/>
        <w:rPr>
          <w:color w:val="auto"/>
        </w:rPr>
      </w:pPr>
    </w:p>
    <w:p w14:paraId="3AEF6803">
      <w:pPr>
        <w:pStyle w:val="18"/>
        <w:rPr>
          <w:color w:val="auto"/>
        </w:rPr>
      </w:pPr>
    </w:p>
    <w:p w14:paraId="30D63A50">
      <w:pPr>
        <w:pStyle w:val="17"/>
        <w:numPr>
          <w:ilvl w:val="0"/>
          <w:numId w:val="79"/>
        </w:numPr>
        <w:ind w:left="0" w:leftChars="0" w:firstLine="480" w:firstLineChars="0"/>
        <w:rPr>
          <w:b w:val="0"/>
          <w:color w:val="auto"/>
          <w:u w:val="none"/>
        </w:rPr>
      </w:pPr>
      <w:r>
        <w:rPr>
          <w:b w:val="0"/>
          <w:color w:val="auto"/>
          <w:u w:val="none"/>
        </w:rPr>
        <w:t>法人或者其他组织的营业执照等证明文件（如为自然人则提供身份证明复印件）（非实质性格式）</w:t>
      </w:r>
    </w:p>
    <w:p w14:paraId="76F3534C">
      <w:pPr>
        <w:tabs>
          <w:tab w:val="left" w:pos="5580"/>
        </w:tabs>
        <w:spacing w:line="360" w:lineRule="auto"/>
        <w:rPr>
          <w:rFonts w:hint="eastAsia"/>
          <w:color w:val="auto"/>
          <w:sz w:val="24"/>
        </w:rPr>
      </w:pPr>
    </w:p>
    <w:p w14:paraId="1AE8CD17">
      <w:pPr>
        <w:tabs>
          <w:tab w:val="left" w:pos="5580"/>
        </w:tabs>
        <w:spacing w:line="360" w:lineRule="auto"/>
        <w:rPr>
          <w:rFonts w:hint="eastAsia"/>
          <w:color w:val="auto"/>
          <w:sz w:val="24"/>
        </w:rPr>
      </w:pPr>
    </w:p>
    <w:p w14:paraId="3B86D599">
      <w:pPr>
        <w:tabs>
          <w:tab w:val="left" w:pos="5580"/>
        </w:tabs>
        <w:spacing w:line="360" w:lineRule="auto"/>
        <w:rPr>
          <w:rFonts w:hint="eastAsia"/>
          <w:color w:val="auto"/>
          <w:sz w:val="24"/>
        </w:rPr>
      </w:pPr>
    </w:p>
    <w:p w14:paraId="3B1F14EB">
      <w:pPr>
        <w:pStyle w:val="18"/>
        <w:rPr>
          <w:color w:val="auto"/>
        </w:rPr>
        <w:sectPr>
          <w:pgSz w:w="11907" w:h="16840"/>
          <w:pgMar w:top="1418" w:right="1134" w:bottom="1418" w:left="1701" w:header="851" w:footer="851" w:gutter="0"/>
          <w:pgBorders>
            <w:top w:val="none" w:sz="0" w:space="0"/>
            <w:left w:val="none" w:sz="0" w:space="0"/>
            <w:bottom w:val="none" w:sz="0" w:space="0"/>
            <w:right w:val="none" w:sz="0" w:space="0"/>
          </w:pgBorders>
          <w:cols w:space="720" w:num="1"/>
          <w:docGrid w:linePitch="462" w:charSpace="0"/>
        </w:sectPr>
      </w:pPr>
    </w:p>
    <w:p w14:paraId="4B53E39C">
      <w:pPr>
        <w:pStyle w:val="3"/>
        <w:numPr>
          <w:ilvl w:val="0"/>
          <w:numId w:val="78"/>
        </w:numPr>
        <w:ind w:left="0" w:leftChars="0" w:firstLine="0" w:firstLineChars="0"/>
        <w:rPr>
          <w:b w:val="0"/>
          <w:color w:val="auto"/>
        </w:rPr>
      </w:pPr>
      <w:r>
        <w:rPr>
          <w:color w:val="auto"/>
        </w:rPr>
        <w:t>落实政府采购政策需满足的资格要求</w:t>
      </w:r>
    </w:p>
    <w:p w14:paraId="4C1563C0">
      <w:pPr>
        <w:pStyle w:val="17"/>
        <w:numPr>
          <w:ilvl w:val="0"/>
          <w:numId w:val="83"/>
        </w:numPr>
        <w:ind w:left="0" w:leftChars="0" w:firstLine="480" w:firstLineChars="0"/>
        <w:rPr>
          <w:b w:val="0"/>
          <w:color w:val="auto"/>
        </w:rPr>
      </w:pPr>
      <w:r>
        <w:rPr>
          <w:color w:val="auto"/>
        </w:rPr>
        <w:t>中小企业声明函（实质性格式）（如项目（包）是专门面向中小企业采购的，必须提供。格式见二、中小企业声明函）</w:t>
      </w:r>
    </w:p>
    <w:p w14:paraId="0F0C5AC7">
      <w:pPr>
        <w:tabs>
          <w:tab w:val="left" w:pos="5580"/>
        </w:tabs>
        <w:spacing w:line="360" w:lineRule="auto"/>
        <w:rPr>
          <w:color w:val="auto"/>
          <w:sz w:val="24"/>
        </w:rPr>
      </w:pPr>
    </w:p>
    <w:p w14:paraId="29BA6429">
      <w:pPr>
        <w:pStyle w:val="17"/>
        <w:numPr>
          <w:ilvl w:val="0"/>
          <w:numId w:val="83"/>
        </w:numPr>
        <w:ind w:left="0" w:leftChars="0" w:firstLine="480" w:firstLineChars="0"/>
        <w:rPr>
          <w:b w:val="0"/>
          <w:color w:val="auto"/>
        </w:rPr>
      </w:pPr>
      <w:r>
        <w:rPr>
          <w:color w:val="auto"/>
        </w:rPr>
        <w:t>其它落实政府采购政策的资格要求（按“第一章 采购邀请”2.2款提供）</w:t>
      </w:r>
    </w:p>
    <w:p w14:paraId="2CB6A753">
      <w:pPr>
        <w:widowControl/>
        <w:jc w:val="left"/>
        <w:rPr>
          <w:color w:val="auto"/>
          <w:sz w:val="24"/>
        </w:rPr>
      </w:pPr>
    </w:p>
    <w:p w14:paraId="755744EA">
      <w:pPr>
        <w:widowControl/>
        <w:jc w:val="left"/>
        <w:rPr>
          <w:color w:val="auto"/>
          <w:sz w:val="24"/>
        </w:rPr>
      </w:pPr>
      <w:r>
        <w:rPr>
          <w:color w:val="auto"/>
          <w:sz w:val="24"/>
        </w:rPr>
        <w:br w:type="page"/>
      </w:r>
    </w:p>
    <w:p w14:paraId="549F58AC">
      <w:pPr>
        <w:pStyle w:val="3"/>
        <w:numPr>
          <w:ilvl w:val="0"/>
          <w:numId w:val="78"/>
        </w:numPr>
        <w:ind w:left="0" w:leftChars="0" w:firstLine="0" w:firstLineChars="0"/>
        <w:rPr>
          <w:b w:val="0"/>
          <w:color w:val="auto"/>
        </w:rPr>
      </w:pPr>
      <w:r>
        <w:rPr>
          <w:color w:val="auto"/>
        </w:rPr>
        <w:t>本项目的特定资格要求</w:t>
      </w:r>
    </w:p>
    <w:p w14:paraId="5ED20D55">
      <w:pPr>
        <w:pStyle w:val="17"/>
        <w:rPr>
          <w:color w:val="auto"/>
        </w:rPr>
      </w:pPr>
      <w:r>
        <w:rPr>
          <w:color w:val="auto"/>
        </w:rPr>
        <w:t>3-1其他特定资格要求（按“第一章 采购邀请”3.2款提供）</w:t>
      </w:r>
    </w:p>
    <w:p w14:paraId="63DDB0C6">
      <w:pPr>
        <w:tabs>
          <w:tab w:val="left" w:pos="5580"/>
        </w:tabs>
        <w:spacing w:line="360" w:lineRule="auto"/>
        <w:rPr>
          <w:color w:val="auto"/>
          <w:sz w:val="24"/>
          <w:szCs w:val="20"/>
        </w:rPr>
      </w:pPr>
    </w:p>
    <w:p w14:paraId="571E6995">
      <w:pPr>
        <w:pStyle w:val="2"/>
        <w:widowControl/>
        <w:rPr>
          <w:color w:val="auto"/>
        </w:rPr>
      </w:pPr>
      <w:r>
        <w:rPr>
          <w:color w:val="auto"/>
        </w:rPr>
        <w:br w:type="page"/>
      </w:r>
      <w:bookmarkStart w:id="587" w:name="_Toc31765"/>
      <w:bookmarkStart w:id="588" w:name="_Toc142311059"/>
      <w:bookmarkStart w:id="589" w:name="_Toc226337253"/>
      <w:bookmarkStart w:id="590" w:name="_Toc226309801"/>
      <w:bookmarkStart w:id="591" w:name="_Toc226965830"/>
      <w:bookmarkStart w:id="592" w:name="_Toc265228395"/>
      <w:bookmarkStart w:id="593" w:name="_Toc305158899"/>
      <w:bookmarkStart w:id="594" w:name="_Ref467988705"/>
      <w:bookmarkStart w:id="595" w:name="_Toc480942350"/>
      <w:bookmarkStart w:id="596" w:name="_Toc226965747"/>
      <w:bookmarkStart w:id="597" w:name="_Toc150480795"/>
      <w:bookmarkStart w:id="598" w:name="_Toc195842922"/>
      <w:bookmarkStart w:id="599" w:name="_Toc305158825"/>
      <w:bookmarkStart w:id="600" w:name="_Toc264969247"/>
      <w:bookmarkStart w:id="601" w:name="_Toc150774762"/>
      <w:bookmarkStart w:id="602" w:name="_Toc127151557"/>
      <w:bookmarkStart w:id="603" w:name="_Toc520356218"/>
      <w:r>
        <w:rPr>
          <w:color w:val="auto"/>
        </w:rPr>
        <w:t>二、中小企业声明函</w:t>
      </w:r>
      <w:bookmarkEnd w:id="587"/>
    </w:p>
    <w:p w14:paraId="28057CBC">
      <w:pPr>
        <w:rPr>
          <w:color w:val="auto"/>
        </w:rPr>
      </w:pPr>
    </w:p>
    <w:p w14:paraId="78E682CB">
      <w:pPr>
        <w:pStyle w:val="40"/>
        <w:rPr>
          <w:color w:val="auto"/>
        </w:rPr>
      </w:pPr>
      <w:r>
        <w:rPr>
          <w:color w:val="auto"/>
        </w:rPr>
        <w:t>中小企业声明函（货物类）格式</w:t>
      </w:r>
    </w:p>
    <w:p w14:paraId="5F6085DA">
      <w:pPr>
        <w:jc w:val="center"/>
        <w:rPr>
          <w:color w:val="auto"/>
          <w:sz w:val="36"/>
          <w:szCs w:val="36"/>
        </w:rPr>
      </w:pPr>
    </w:p>
    <w:p w14:paraId="08C1EBBA">
      <w:pPr>
        <w:pStyle w:val="17"/>
        <w:rPr>
          <w:color w:val="auto"/>
        </w:rPr>
      </w:pPr>
      <w:r>
        <w:rPr>
          <w:color w:val="auto"/>
        </w:rPr>
        <w:t>本公司（联合体）郑重声明，根据《政府采购促进中小企业发展管理办法》（财库﹝2020﹞46 号）的规定，本公司（联合体）参加</w:t>
      </w:r>
      <w:r>
        <w:rPr>
          <w:i/>
          <w:color w:val="auto"/>
          <w:u w:val="single"/>
        </w:rPr>
        <w:t>（采购人）</w:t>
      </w:r>
      <w:r>
        <w:rPr>
          <w:color w:val="auto"/>
        </w:rPr>
        <w:t>的</w:t>
      </w:r>
      <w:r>
        <w:rPr>
          <w:i/>
          <w:color w:val="auto"/>
          <w:u w:val="single"/>
        </w:rPr>
        <w:t>（项目名称）</w:t>
      </w:r>
      <w:r>
        <w:rPr>
          <w:color w:val="auto"/>
        </w:rPr>
        <w:t>采购活动，提供的货物全部由符合政策要求的中小企业制造。相关企业（含联合体中的中小企业、签订分包意向协议的中小企业）的具体情况如下：</w:t>
      </w:r>
    </w:p>
    <w:p w14:paraId="6CEEEEBC">
      <w:pPr>
        <w:pStyle w:val="17"/>
        <w:numPr>
          <w:ilvl w:val="0"/>
          <w:numId w:val="84"/>
        </w:numPr>
        <w:ind w:left="0" w:leftChars="0" w:firstLine="480" w:firstLineChars="0"/>
        <w:rPr>
          <w:b w:val="0"/>
          <w:color w:val="auto"/>
        </w:rPr>
      </w:pPr>
      <w:r>
        <w:rPr>
          <w:i/>
          <w:color w:val="auto"/>
          <w:u w:val="single"/>
        </w:rPr>
        <w:t>（标的名称）</w:t>
      </w:r>
      <w:r>
        <w:rPr>
          <w:color w:val="auto"/>
        </w:rPr>
        <w:t>，属于</w:t>
      </w:r>
      <w:r>
        <w:rPr>
          <w:i/>
          <w:color w:val="auto"/>
          <w:u w:val="single"/>
        </w:rPr>
        <w:t>（采购文件中明确的所属行业）</w:t>
      </w:r>
      <w:r>
        <w:rPr>
          <w:color w:val="auto"/>
        </w:rPr>
        <w:t>行业；制造商为</w:t>
      </w:r>
      <w:r>
        <w:rPr>
          <w:i/>
          <w:color w:val="auto"/>
          <w:u w:val="single"/>
        </w:rPr>
        <w:t>（企业名称）</w:t>
      </w:r>
      <w:r>
        <w:rPr>
          <w:color w:val="auto"/>
        </w:rPr>
        <w:t>，从业人员______人，营业收入为______万元，资产总额为______万元</w:t>
      </w:r>
      <w:r>
        <w:rPr>
          <w:color w:val="auto"/>
          <w:vertAlign w:val="superscript"/>
        </w:rPr>
        <w:t>1</w:t>
      </w:r>
      <w:r>
        <w:rPr>
          <w:color w:val="auto"/>
        </w:rPr>
        <w:t>，属于（中型企业、小型企业、微型企业）；</w:t>
      </w:r>
    </w:p>
    <w:p w14:paraId="785EDA1A">
      <w:pPr>
        <w:pStyle w:val="17"/>
        <w:numPr>
          <w:ilvl w:val="0"/>
          <w:numId w:val="84"/>
        </w:numPr>
        <w:ind w:left="0" w:leftChars="0" w:firstLine="480" w:firstLineChars="0"/>
        <w:rPr>
          <w:b w:val="0"/>
          <w:color w:val="auto"/>
        </w:rPr>
      </w:pPr>
      <w:r>
        <w:rPr>
          <w:i/>
          <w:color w:val="auto"/>
          <w:u w:val="single"/>
        </w:rPr>
        <w:t>（标的名称）</w:t>
      </w:r>
      <w:r>
        <w:rPr>
          <w:color w:val="auto"/>
        </w:rPr>
        <w:t>，属于</w:t>
      </w:r>
      <w:r>
        <w:rPr>
          <w:i/>
          <w:color w:val="auto"/>
          <w:u w:val="single"/>
        </w:rPr>
        <w:t>（采购文件中明确的所属行业）</w:t>
      </w:r>
      <w:r>
        <w:rPr>
          <w:color w:val="auto"/>
        </w:rPr>
        <w:t>行业；制造商为</w:t>
      </w:r>
      <w:r>
        <w:rPr>
          <w:i/>
          <w:color w:val="auto"/>
          <w:u w:val="single"/>
        </w:rPr>
        <w:t>（企业名称）</w:t>
      </w:r>
      <w:r>
        <w:rPr>
          <w:color w:val="auto"/>
        </w:rPr>
        <w:t>，从业人员______人，营业收入为______万元，资产总额为______万元</w:t>
      </w:r>
      <w:r>
        <w:rPr>
          <w:color w:val="auto"/>
          <w:vertAlign w:val="superscript"/>
        </w:rPr>
        <w:t>1</w:t>
      </w:r>
      <w:r>
        <w:rPr>
          <w:color w:val="auto"/>
        </w:rPr>
        <w:t>，属于（中型企业、小型企业、微型企业）；</w:t>
      </w:r>
    </w:p>
    <w:p w14:paraId="2F4CCE1F">
      <w:pPr>
        <w:pStyle w:val="17"/>
        <w:rPr>
          <w:color w:val="auto"/>
        </w:rPr>
      </w:pPr>
      <w:r>
        <w:rPr>
          <w:color w:val="auto"/>
        </w:rPr>
        <w:t>……</w:t>
      </w:r>
    </w:p>
    <w:p w14:paraId="342FAB9C">
      <w:pPr>
        <w:pStyle w:val="17"/>
        <w:rPr>
          <w:color w:val="auto"/>
        </w:rPr>
      </w:pPr>
      <w:r>
        <w:rPr>
          <w:color w:val="auto"/>
        </w:rPr>
        <w:t>以上企业，不属于大企业的分支机构，不存在控股股东为大企业的情形，也不存在与大企业的负责人为同一人的情形。</w:t>
      </w:r>
    </w:p>
    <w:p w14:paraId="3BB006C7">
      <w:pPr>
        <w:pStyle w:val="17"/>
        <w:rPr>
          <w:color w:val="auto"/>
        </w:rPr>
      </w:pPr>
      <w:r>
        <w:rPr>
          <w:color w:val="auto"/>
        </w:rPr>
        <w:t>本企业对上述声明内容的真实性负责。如有虚假，将依法承担相应责任。</w:t>
      </w:r>
    </w:p>
    <w:p w14:paraId="5F419317">
      <w:pPr>
        <w:spacing w:line="360" w:lineRule="auto"/>
        <w:ind w:firstLine="504"/>
        <w:rPr>
          <w:color w:val="auto"/>
          <w:spacing w:val="6"/>
          <w:sz w:val="24"/>
        </w:rPr>
      </w:pPr>
    </w:p>
    <w:p w14:paraId="7627F329">
      <w:pPr>
        <w:spacing w:line="360" w:lineRule="auto"/>
        <w:ind w:right="360" w:firstLine="480"/>
        <w:jc w:val="right"/>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企业名称（盖章）：________</w:t>
      </w:r>
    </w:p>
    <w:p w14:paraId="5E5E591D">
      <w:pPr>
        <w:spacing w:line="360" w:lineRule="auto"/>
        <w:ind w:right="360" w:firstLine="480"/>
        <w:jc w:val="right"/>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日 期：________</w:t>
      </w:r>
    </w:p>
    <w:p w14:paraId="49BEDE1E">
      <w:pPr>
        <w:spacing w:line="360" w:lineRule="auto"/>
        <w:ind w:right="360" w:firstLine="480"/>
        <w:jc w:val="right"/>
        <w:rPr>
          <w:color w:val="auto"/>
          <w:sz w:val="24"/>
        </w:rPr>
      </w:pPr>
    </w:p>
    <w:p w14:paraId="4E707B30">
      <w:pPr>
        <w:spacing w:line="360" w:lineRule="auto"/>
        <w:ind w:right="360" w:firstLine="480"/>
        <w:jc w:val="right"/>
        <w:rPr>
          <w:color w:val="auto"/>
          <w:sz w:val="24"/>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5096F6F5">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14:paraId="1C677365">
            <w:pPr>
              <w:adjustRightInd w:val="0"/>
              <w:snapToGrid w:val="0"/>
              <w:jc w:val="left"/>
              <w:rPr>
                <w:color w:val="auto"/>
                <w:szCs w:val="21"/>
              </w:rPr>
            </w:pPr>
            <w:r>
              <w:rPr>
                <w:color w:val="auto"/>
                <w:szCs w:val="21"/>
                <w:vertAlign w:val="superscript"/>
              </w:rPr>
              <w:t>1</w:t>
            </w:r>
            <w:r>
              <w:rPr>
                <w:color w:val="auto"/>
                <w:szCs w:val="21"/>
              </w:rPr>
              <w:t>从业人员、营业收入、资产总额填报上一年度数据，无上一年度数据的新成立企业可不填报。</w:t>
            </w:r>
          </w:p>
        </w:tc>
      </w:tr>
    </w:tbl>
    <w:p w14:paraId="66C480BE">
      <w:pPr>
        <w:autoSpaceDE w:val="0"/>
        <w:autoSpaceDN w:val="0"/>
        <w:adjustRightInd w:val="0"/>
        <w:ind w:firstLine="420"/>
        <w:jc w:val="left"/>
        <w:rPr>
          <w:color w:val="auto"/>
          <w:sz w:val="24"/>
        </w:rPr>
      </w:pPr>
    </w:p>
    <w:p w14:paraId="781FBAF7">
      <w:pPr>
        <w:spacing w:line="360" w:lineRule="auto"/>
        <w:rPr>
          <w:color w:val="auto"/>
          <w:sz w:val="24"/>
        </w:rPr>
      </w:pPr>
    </w:p>
    <w:p w14:paraId="4E708E4B">
      <w:pPr>
        <w:spacing w:before="240" w:beforeLines="100" w:after="240" w:afterLines="100" w:line="360" w:lineRule="auto"/>
        <w:jc w:val="center"/>
        <w:rPr>
          <w:color w:val="auto"/>
          <w:sz w:val="24"/>
          <w:szCs w:val="20"/>
        </w:rPr>
      </w:pPr>
      <w:r>
        <w:rPr>
          <w:color w:val="auto"/>
          <w:sz w:val="24"/>
        </w:rPr>
        <w:br w:type="page"/>
      </w:r>
    </w:p>
    <w:p w14:paraId="2AE20AB2">
      <w:pPr>
        <w:jc w:val="center"/>
        <w:rPr>
          <w:b/>
          <w:color w:val="auto"/>
          <w:sz w:val="36"/>
          <w:szCs w:val="36"/>
        </w:rPr>
      </w:pPr>
      <w:r>
        <w:rPr>
          <w:rFonts w:hint="eastAsia"/>
          <w:b/>
          <w:color w:val="auto"/>
          <w:sz w:val="36"/>
          <w:szCs w:val="36"/>
        </w:rPr>
        <w:t>残疾人福利性单位声明函格式</w:t>
      </w:r>
      <w:r>
        <w:rPr>
          <w:b/>
          <w:color w:val="auto"/>
          <w:sz w:val="36"/>
          <w:szCs w:val="36"/>
        </w:rPr>
        <w:t xml:space="preserve">       </w:t>
      </w:r>
    </w:p>
    <w:p w14:paraId="1A296916">
      <w:pPr>
        <w:jc w:val="center"/>
        <w:rPr>
          <w:color w:val="auto"/>
          <w:sz w:val="36"/>
          <w:szCs w:val="36"/>
        </w:rPr>
      </w:pPr>
    </w:p>
    <w:p w14:paraId="6F09C8CB">
      <w:pPr>
        <w:pStyle w:val="17"/>
        <w:rPr>
          <w:color w:val="auto"/>
        </w:rPr>
      </w:pPr>
      <w:r>
        <w:rPr>
          <w:color w:val="auto"/>
        </w:rPr>
        <w:t>本单位郑重声明，根据《财政部 民政部 中国残疾人联合会关于促进残疾人就业政府采购政策的通知》（财库〔2017〕 141号）的规定，本单位</w:t>
      </w:r>
      <w:r>
        <w:rPr>
          <w:b/>
          <w:color w:val="auto"/>
        </w:rPr>
        <w:t>（请进行勾选）</w:t>
      </w:r>
      <w:r>
        <w:rPr>
          <w:color w:val="auto"/>
        </w:rPr>
        <w:t>：</w:t>
      </w:r>
    </w:p>
    <w:p w14:paraId="75E577A9">
      <w:pPr>
        <w:pStyle w:val="17"/>
        <w:rPr>
          <w:b/>
          <w:color w:val="auto"/>
        </w:rPr>
      </w:pPr>
      <w:r>
        <w:rPr>
          <w:b/>
          <w:color w:val="auto"/>
        </w:rPr>
        <w:t>□不属于符合条件的残疾人福利性单位。</w:t>
      </w:r>
    </w:p>
    <w:p w14:paraId="1CF69D50">
      <w:pPr>
        <w:pStyle w:val="17"/>
        <w:rPr>
          <w:color w:val="auto"/>
        </w:rPr>
      </w:pPr>
      <w:r>
        <w:rPr>
          <w:b/>
          <w:color w:val="auto"/>
        </w:rPr>
        <w:t>□属于符合条件的残疾人福利性单位，</w:t>
      </w:r>
      <w:r>
        <w:rPr>
          <w:color w:val="auto"/>
        </w:rPr>
        <w:t>且本单位参加______单位的______项目采购活动提供本单位制造的货物（由本单位承担工程/提供服务），或者提供其他残疾人福利性单位制造的货物（不包括使用非残疾人福利性单位注册商标的货物）。</w:t>
      </w:r>
    </w:p>
    <w:p w14:paraId="0441F2AA">
      <w:pPr>
        <w:pStyle w:val="17"/>
        <w:rPr>
          <w:color w:val="auto"/>
        </w:rPr>
      </w:pPr>
      <w:r>
        <w:rPr>
          <w:b/>
          <w:color w:val="auto"/>
        </w:rPr>
        <w:t>本单位对上述声明的真实性负责。如有虚假，将依法承担相应责任。</w:t>
      </w:r>
    </w:p>
    <w:p w14:paraId="08489C53">
      <w:pPr>
        <w:spacing w:line="588" w:lineRule="exact"/>
        <w:ind w:firstLine="504" w:firstLineChars="200"/>
        <w:rPr>
          <w:color w:val="auto"/>
          <w:spacing w:val="6"/>
          <w:sz w:val="24"/>
        </w:rPr>
      </w:pPr>
    </w:p>
    <w:p w14:paraId="64493DD7">
      <w:pPr>
        <w:spacing w:line="588" w:lineRule="exact"/>
        <w:ind w:firstLine="504" w:firstLineChars="200"/>
        <w:rPr>
          <w:color w:val="auto"/>
          <w:spacing w:val="6"/>
          <w:sz w:val="24"/>
        </w:rPr>
      </w:pPr>
    </w:p>
    <w:p w14:paraId="6065C8D3">
      <w:pPr>
        <w:tabs>
          <w:tab w:val="left" w:pos="4860"/>
        </w:tabs>
        <w:spacing w:line="588" w:lineRule="exact"/>
        <w:ind w:right="1560" w:firstLine="504" w:firstLineChars="200"/>
        <w:jc w:val="center"/>
        <w:rPr>
          <w:rFonts w:ascii="Times New Roman" w:hAnsi="Times New Roman" w:eastAsia="宋体" w:cs="Times New Roman"/>
          <w:color w:val="auto"/>
          <w:spacing w:val="6"/>
          <w:sz w:val="24"/>
          <w:szCs w:val="24"/>
        </w:rPr>
      </w:pPr>
      <w:r>
        <w:rPr>
          <w:rFonts w:ascii="Times New Roman" w:hAnsi="Times New Roman" w:eastAsia="宋体" w:cs="Times New Roman"/>
          <w:color w:val="auto"/>
          <w:spacing w:val="6"/>
          <w:sz w:val="24"/>
          <w:szCs w:val="24"/>
        </w:rPr>
        <w:t xml:space="preserve">               单位名称（盖章）：</w:t>
      </w:r>
    </w:p>
    <w:p w14:paraId="3F797AB9">
      <w:pPr>
        <w:tabs>
          <w:tab w:val="left" w:pos="4860"/>
        </w:tabs>
        <w:spacing w:line="588" w:lineRule="exact"/>
        <w:ind w:right="1560" w:firstLine="504" w:firstLineChars="200"/>
        <w:jc w:val="center"/>
        <w:rPr>
          <w:rFonts w:ascii="Times New Roman" w:hAnsi="Times New Roman" w:eastAsia="宋体" w:cs="Times New Roman"/>
          <w:color w:val="auto"/>
          <w:spacing w:val="6"/>
          <w:sz w:val="24"/>
          <w:szCs w:val="24"/>
        </w:rPr>
      </w:pPr>
      <w:r>
        <w:rPr>
          <w:rFonts w:ascii="Times New Roman" w:hAnsi="Times New Roman" w:eastAsia="宋体" w:cs="Times New Roman"/>
          <w:color w:val="auto"/>
          <w:spacing w:val="6"/>
          <w:sz w:val="24"/>
          <w:szCs w:val="24"/>
        </w:rPr>
        <w:t xml:space="preserve">       日  期：</w:t>
      </w:r>
    </w:p>
    <w:p w14:paraId="5F645554">
      <w:pPr>
        <w:rPr>
          <w:color w:val="auto"/>
        </w:rPr>
      </w:pPr>
      <w:r>
        <w:rPr>
          <w:color w:val="auto"/>
        </w:rPr>
        <w:br w:type="page"/>
      </w:r>
    </w:p>
    <w:p w14:paraId="37B08C06">
      <w:pPr>
        <w:pStyle w:val="17"/>
        <w:rPr>
          <w:color w:val="auto"/>
        </w:rPr>
      </w:pPr>
      <w:r>
        <w:rPr>
          <w:color w:val="auto"/>
        </w:rPr>
        <w:t>说明：</w:t>
      </w:r>
    </w:p>
    <w:p w14:paraId="44C270D2">
      <w:pPr>
        <w:pStyle w:val="17"/>
        <w:numPr>
          <w:ilvl w:val="0"/>
          <w:numId w:val="85"/>
        </w:numPr>
        <w:topLinePunct w:val="0"/>
        <w:ind w:left="0" w:leftChars="0" w:firstLine="480" w:firstLineChars="0"/>
        <w:rPr>
          <w:b w:val="0"/>
          <w:color w:val="auto"/>
        </w:rPr>
      </w:pPr>
      <w:r>
        <w:rPr>
          <w:color w:val="auto"/>
        </w:rPr>
        <w:t>如本项目（包）专门面向中小/小微企业采购，必须提供《中小企业声明函》，此时声明函属于实质性格式。</w:t>
      </w:r>
    </w:p>
    <w:p w14:paraId="32E7124A">
      <w:pPr>
        <w:pStyle w:val="17"/>
        <w:numPr>
          <w:ilvl w:val="0"/>
          <w:numId w:val="85"/>
        </w:numPr>
        <w:topLinePunct w:val="0"/>
        <w:ind w:left="0" w:leftChars="0" w:firstLine="480" w:firstLineChars="0"/>
        <w:rPr>
          <w:b w:val="0"/>
          <w:color w:val="auto"/>
        </w:rPr>
      </w:pPr>
      <w:r>
        <w:rPr>
          <w:color w:val="auto"/>
        </w:rPr>
        <w:t>如本项目（包）不专门面向中小企业预留采购份额，资格证明文件部分无需提供《中小企业声明函》。</w:t>
      </w:r>
    </w:p>
    <w:p w14:paraId="7D500FC3">
      <w:pPr>
        <w:pStyle w:val="17"/>
        <w:numPr>
          <w:ilvl w:val="0"/>
          <w:numId w:val="85"/>
        </w:numPr>
        <w:topLinePunct w:val="0"/>
        <w:ind w:left="0" w:leftChars="0" w:firstLine="480" w:firstLineChars="0"/>
        <w:rPr>
          <w:b w:val="0"/>
          <w:color w:val="auto"/>
        </w:rPr>
      </w:pPr>
      <w:r>
        <w:rPr>
          <w:color w:val="auto"/>
        </w:rPr>
        <w:t>如本项目（包）是预留部分采购项目预算专门面向中小企业采购，如是要求投标</w:t>
      </w:r>
      <w:r>
        <w:rPr>
          <w:rFonts w:hint="eastAsia"/>
          <w:color w:val="auto"/>
          <w:lang w:eastAsia="zh-CN"/>
        </w:rPr>
        <w:t>（</w:t>
      </w:r>
      <w:r>
        <w:rPr>
          <w:rFonts w:hint="eastAsia"/>
          <w:color w:val="auto"/>
          <w:lang w:val="en-US" w:eastAsia="zh-CN"/>
        </w:rPr>
        <w:t>响应</w:t>
      </w:r>
      <w:r>
        <w:rPr>
          <w:rFonts w:hint="eastAsia"/>
          <w:color w:val="auto"/>
          <w:lang w:eastAsia="zh-CN"/>
        </w:rPr>
        <w:t>）</w:t>
      </w:r>
      <w:r>
        <w:rPr>
          <w:color w:val="auto"/>
        </w:rPr>
        <w:t>人以联合体形式参加采购活动，且联合体中中小企业承担的部分达到一定比例的，须提供《联合协议》；如是要求获得采购合同的投标</w:t>
      </w:r>
      <w:r>
        <w:rPr>
          <w:rFonts w:hint="eastAsia"/>
          <w:color w:val="auto"/>
          <w:lang w:eastAsia="zh-CN"/>
        </w:rPr>
        <w:t>（</w:t>
      </w:r>
      <w:r>
        <w:rPr>
          <w:rFonts w:hint="eastAsia"/>
          <w:color w:val="auto"/>
          <w:lang w:val="en-US" w:eastAsia="zh-CN"/>
        </w:rPr>
        <w:t>响应</w:t>
      </w:r>
      <w:r>
        <w:rPr>
          <w:rFonts w:hint="eastAsia"/>
          <w:color w:val="auto"/>
          <w:lang w:eastAsia="zh-CN"/>
        </w:rPr>
        <w:t>）</w:t>
      </w:r>
      <w:r>
        <w:rPr>
          <w:color w:val="auto"/>
        </w:rPr>
        <w:t>人将采购项目中的一定比例分包给一家或者多家中小企业的，须提供《拟分包情况说明及分包意向协议（类型一）》。</w:t>
      </w:r>
    </w:p>
    <w:p w14:paraId="610F5AC6">
      <w:pPr>
        <w:pStyle w:val="3"/>
        <w:numPr>
          <w:ilvl w:val="0"/>
          <w:numId w:val="85"/>
        </w:numPr>
        <w:topLinePunct w:val="0"/>
        <w:ind w:left="0" w:leftChars="0" w:firstLine="480" w:firstLineChars="0"/>
        <w:rPr>
          <w:b w:val="0"/>
          <w:color w:val="auto"/>
        </w:rPr>
      </w:pPr>
      <w:r>
        <w:rPr>
          <w:color w:val="auto"/>
        </w:rPr>
        <w:t>其他</w:t>
      </w:r>
    </w:p>
    <w:p w14:paraId="3051ACEB">
      <w:pPr>
        <w:pStyle w:val="17"/>
        <w:rPr>
          <w:color w:val="auto"/>
        </w:rPr>
      </w:pPr>
      <w:r>
        <w:rPr>
          <w:color w:val="auto"/>
        </w:rPr>
        <w:t>1）中小企业、残疾人福利性单位参加政府采购活动，应当出具此格式文件，未提供的将不享受有关政策。《中小企业声明函》由参加政府采购活动的投标</w:t>
      </w:r>
      <w:r>
        <w:rPr>
          <w:rFonts w:hint="eastAsia"/>
          <w:color w:val="auto"/>
          <w:lang w:eastAsia="zh-CN"/>
        </w:rPr>
        <w:t>（</w:t>
      </w:r>
      <w:r>
        <w:rPr>
          <w:rFonts w:hint="eastAsia"/>
          <w:color w:val="auto"/>
          <w:lang w:val="en-US" w:eastAsia="zh-CN"/>
        </w:rPr>
        <w:t>响应</w:t>
      </w:r>
      <w:r>
        <w:rPr>
          <w:rFonts w:hint="eastAsia"/>
          <w:color w:val="auto"/>
          <w:lang w:eastAsia="zh-CN"/>
        </w:rPr>
        <w:t>）</w:t>
      </w:r>
      <w:r>
        <w:rPr>
          <w:color w:val="auto"/>
        </w:rPr>
        <w:t>人出具。联合体投标</w:t>
      </w:r>
      <w:r>
        <w:rPr>
          <w:rFonts w:hint="eastAsia"/>
          <w:color w:val="auto"/>
          <w:lang w:eastAsia="zh-CN"/>
        </w:rPr>
        <w:t>（</w:t>
      </w:r>
      <w:r>
        <w:rPr>
          <w:rFonts w:hint="eastAsia"/>
          <w:color w:val="auto"/>
          <w:lang w:val="en-US" w:eastAsia="zh-CN"/>
        </w:rPr>
        <w:t>响应</w:t>
      </w:r>
      <w:r>
        <w:rPr>
          <w:rFonts w:hint="eastAsia"/>
          <w:color w:val="auto"/>
          <w:lang w:eastAsia="zh-CN"/>
        </w:rPr>
        <w:t>）</w:t>
      </w:r>
      <w:r>
        <w:rPr>
          <w:color w:val="auto"/>
        </w:rPr>
        <w:t>的，《中小企业声明函》由牵头人出具。</w:t>
      </w:r>
    </w:p>
    <w:p w14:paraId="2E84188F">
      <w:pPr>
        <w:pStyle w:val="17"/>
        <w:numPr>
          <w:ilvl w:val="0"/>
          <w:numId w:val="84"/>
        </w:numPr>
        <w:ind w:left="0" w:leftChars="0" w:firstLine="480" w:firstLineChars="0"/>
        <w:rPr>
          <w:b w:val="0"/>
          <w:color w:val="auto"/>
        </w:rPr>
      </w:pPr>
      <w:r>
        <w:rPr>
          <w:color w:val="auto"/>
        </w:rPr>
        <w:t>）对于联合体中由中小企业承担的部分，或者分包给中小企业的部分，必须全部由中小企业制造、承建或者承接。投标</w:t>
      </w:r>
      <w:r>
        <w:rPr>
          <w:rFonts w:hint="eastAsia"/>
          <w:color w:val="auto"/>
          <w:lang w:eastAsia="zh-CN"/>
        </w:rPr>
        <w:t>（</w:t>
      </w:r>
      <w:r>
        <w:rPr>
          <w:rFonts w:hint="eastAsia"/>
          <w:color w:val="auto"/>
          <w:lang w:val="en-US" w:eastAsia="zh-CN"/>
        </w:rPr>
        <w:t>响应</w:t>
      </w:r>
      <w:r>
        <w:rPr>
          <w:rFonts w:hint="eastAsia"/>
          <w:color w:val="auto"/>
          <w:lang w:eastAsia="zh-CN"/>
        </w:rPr>
        <w:t>）</w:t>
      </w:r>
      <w:r>
        <w:rPr>
          <w:color w:val="auto"/>
        </w:rPr>
        <w:t>人应当在声明函“项目名称”部分标明联合体中中小企业承担的具体内容或者中小企业的具体分包内容。</w:t>
      </w:r>
    </w:p>
    <w:p w14:paraId="730F029E">
      <w:pPr>
        <w:pStyle w:val="17"/>
        <w:numPr>
          <w:ilvl w:val="0"/>
          <w:numId w:val="86"/>
        </w:numPr>
        <w:topLinePunct w:val="0"/>
        <w:ind w:left="0" w:leftChars="0" w:firstLine="480" w:firstLineChars="0"/>
        <w:rPr>
          <w:b w:val="0"/>
          <w:color w:val="auto"/>
        </w:rPr>
      </w:pPr>
      <w:r>
        <w:rPr>
          <w:color w:val="auto"/>
        </w:rPr>
        <w:t>对于多标的的采购项目，投标</w:t>
      </w:r>
      <w:r>
        <w:rPr>
          <w:rFonts w:hint="eastAsia"/>
          <w:color w:val="auto"/>
          <w:lang w:eastAsia="zh-CN"/>
        </w:rPr>
        <w:t>（</w:t>
      </w:r>
      <w:r>
        <w:rPr>
          <w:rFonts w:hint="eastAsia"/>
          <w:color w:val="auto"/>
          <w:lang w:val="en-US" w:eastAsia="zh-CN"/>
        </w:rPr>
        <w:t>响应</w:t>
      </w:r>
      <w:r>
        <w:rPr>
          <w:rFonts w:hint="eastAsia"/>
          <w:color w:val="auto"/>
          <w:lang w:eastAsia="zh-CN"/>
        </w:rPr>
        <w:t>）</w:t>
      </w:r>
      <w:r>
        <w:rPr>
          <w:color w:val="auto"/>
        </w:rPr>
        <w:t>人应充分、准确地了解所投产品制造企业信息。对相关情况了解不清楚的，不建议填报本声明函。</w:t>
      </w:r>
    </w:p>
    <w:p w14:paraId="594E3640">
      <w:pPr>
        <w:pStyle w:val="17"/>
        <w:numPr>
          <w:ilvl w:val="0"/>
          <w:numId w:val="86"/>
        </w:numPr>
        <w:topLinePunct w:val="0"/>
        <w:ind w:left="0" w:leftChars="0" w:firstLine="480" w:firstLineChars="0"/>
        <w:rPr>
          <w:b w:val="0"/>
          <w:color w:val="auto"/>
        </w:rPr>
      </w:pPr>
      <w:r>
        <w:rPr>
          <w:color w:val="auto"/>
        </w:rPr>
        <w:t>中小企业认定标准以《关于印发中小企业划型标准规定的通知》（工信部联企业〔2011〕300号）文件规定为准。</w:t>
      </w:r>
    </w:p>
    <w:p w14:paraId="40A8A0D8">
      <w:pPr>
        <w:pStyle w:val="17"/>
        <w:numPr>
          <w:ilvl w:val="0"/>
          <w:numId w:val="86"/>
        </w:numPr>
        <w:topLinePunct w:val="0"/>
        <w:ind w:left="0" w:leftChars="0" w:firstLine="480" w:firstLineChars="0"/>
        <w:rPr>
          <w:b w:val="0"/>
          <w:color w:val="auto"/>
        </w:rPr>
      </w:pPr>
      <w:r>
        <w:rPr>
          <w:color w:val="auto"/>
        </w:rPr>
        <w:t>温馨提示：为方便广大中小企业识别企业规模类型，工业和信息化部组织开发了中小企业规模类型自测小程序，在国务院客户端和工业和信息化部网站上均有链接，投标</w:t>
      </w:r>
      <w:r>
        <w:rPr>
          <w:rFonts w:hint="eastAsia"/>
          <w:color w:val="auto"/>
          <w:lang w:eastAsia="zh-CN"/>
        </w:rPr>
        <w:t>（</w:t>
      </w:r>
      <w:r>
        <w:rPr>
          <w:rFonts w:hint="eastAsia"/>
          <w:color w:val="auto"/>
          <w:lang w:val="en-US" w:eastAsia="zh-CN"/>
        </w:rPr>
        <w:t>响应</w:t>
      </w:r>
      <w:r>
        <w:rPr>
          <w:rFonts w:hint="eastAsia"/>
          <w:color w:val="auto"/>
          <w:lang w:eastAsia="zh-CN"/>
        </w:rPr>
        <w:t>）</w:t>
      </w:r>
      <w:r>
        <w:rPr>
          <w:color w:val="auto"/>
        </w:rPr>
        <w:t>人填写所属的行业和指标数据可自动生成企业规模类型测试结果。（工信部网址：</w:t>
      </w:r>
      <w:r>
        <w:rPr>
          <w:color w:val="auto"/>
        </w:rPr>
        <w:fldChar w:fldCharType="begin"/>
      </w:r>
      <w:r>
        <w:rPr>
          <w:color w:val="auto"/>
        </w:rPr>
        <w:instrText xml:space="preserve"> HYPERLINK "http://202.106.120.146/baosong/appweb/orgScale.html" </w:instrText>
      </w:r>
      <w:r>
        <w:rPr>
          <w:color w:val="auto"/>
        </w:rPr>
        <w:fldChar w:fldCharType="separate"/>
      </w:r>
      <w:r>
        <w:rPr>
          <w:rStyle w:val="49"/>
          <w:color w:val="auto"/>
        </w:rPr>
        <w:t>http://202.106.120.146/baosong/appweb/orgScale.html</w:t>
      </w:r>
      <w:r>
        <w:rPr>
          <w:color w:val="auto"/>
        </w:rPr>
        <w:fldChar w:fldCharType="end"/>
      </w:r>
      <w:r>
        <w:rPr>
          <w:color w:val="auto"/>
        </w:rPr>
        <w:t>）</w:t>
      </w:r>
    </w:p>
    <w:p w14:paraId="1458D239">
      <w:pPr>
        <w:pStyle w:val="17"/>
        <w:numPr>
          <w:ilvl w:val="0"/>
          <w:numId w:val="86"/>
        </w:numPr>
        <w:topLinePunct w:val="0"/>
        <w:ind w:left="0" w:leftChars="0" w:firstLine="480" w:firstLineChars="0"/>
        <w:rPr>
          <w:b w:val="0"/>
          <w:color w:val="auto"/>
        </w:rPr>
      </w:pPr>
      <w:r>
        <w:rPr>
          <w:color w:val="auto"/>
        </w:rPr>
        <w:t>小微企业、残疾人福利性单位未提供声明函的，监狱企业未提供证明的，价格分评审不予价格扣除。</w:t>
      </w:r>
    </w:p>
    <w:p w14:paraId="4BD44F0B">
      <w:pPr>
        <w:pStyle w:val="17"/>
        <w:rPr>
          <w:color w:val="auto"/>
        </w:rPr>
      </w:pPr>
      <w:r>
        <w:rPr>
          <w:color w:val="auto"/>
        </w:rPr>
        <w:t>7）在货物采购项目中，投标</w:t>
      </w:r>
      <w:r>
        <w:rPr>
          <w:rFonts w:hint="eastAsia"/>
          <w:color w:val="auto"/>
          <w:lang w:eastAsia="zh-CN"/>
        </w:rPr>
        <w:t>（</w:t>
      </w:r>
      <w:r>
        <w:rPr>
          <w:rFonts w:hint="eastAsia"/>
          <w:color w:val="auto"/>
          <w:lang w:val="en-US" w:eastAsia="zh-CN"/>
        </w:rPr>
        <w:t>响应</w:t>
      </w:r>
      <w:r>
        <w:rPr>
          <w:rFonts w:hint="eastAsia"/>
          <w:color w:val="auto"/>
          <w:lang w:eastAsia="zh-CN"/>
        </w:rPr>
        <w:t>）</w:t>
      </w:r>
      <w:r>
        <w:rPr>
          <w:color w:val="auto"/>
        </w:rPr>
        <w:t>人提供的货物既有大中型企业制造货物，也有小微企业制造货物的，不享受小微企业扶持政策，不予价格扣除。</w:t>
      </w:r>
    </w:p>
    <w:p w14:paraId="50C081F8">
      <w:pPr>
        <w:spacing w:line="360" w:lineRule="auto"/>
        <w:outlineLvl w:val="9"/>
        <w:rPr>
          <w:rFonts w:hint="eastAsia"/>
          <w:color w:val="auto"/>
          <w:sz w:val="24"/>
        </w:rPr>
      </w:pPr>
    </w:p>
    <w:p w14:paraId="22FB7832">
      <w:pPr>
        <w:spacing w:line="360" w:lineRule="auto"/>
        <w:outlineLvl w:val="9"/>
        <w:rPr>
          <w:rFonts w:hint="eastAsia"/>
          <w:color w:val="auto"/>
          <w:sz w:val="24"/>
        </w:rPr>
      </w:pPr>
    </w:p>
    <w:p w14:paraId="0A431441">
      <w:pPr>
        <w:spacing w:line="360" w:lineRule="auto"/>
        <w:outlineLvl w:val="9"/>
        <w:rPr>
          <w:rFonts w:hint="eastAsia"/>
          <w:color w:val="auto"/>
          <w:sz w:val="24"/>
        </w:rPr>
      </w:pPr>
    </w:p>
    <w:p w14:paraId="50CA71BE">
      <w:pPr>
        <w:pStyle w:val="2"/>
        <w:numPr>
          <w:ilvl w:val="0"/>
          <w:numId w:val="0"/>
        </w:numPr>
        <w:rPr>
          <w:color w:val="auto"/>
        </w:rPr>
      </w:pPr>
      <w:bookmarkStart w:id="604" w:name="_Toc11185"/>
      <w:r>
        <w:rPr>
          <w:color w:val="auto"/>
        </w:rPr>
        <w:t>三、商务技术文件格式</w:t>
      </w:r>
      <w:bookmarkEnd w:id="604"/>
    </w:p>
    <w:p w14:paraId="720768CC">
      <w:pPr>
        <w:pStyle w:val="3"/>
        <w:numPr>
          <w:ilvl w:val="0"/>
          <w:numId w:val="84"/>
        </w:numPr>
        <w:ind w:left="0" w:leftChars="0" w:firstLine="480" w:firstLineChars="0"/>
        <w:rPr>
          <w:b w:val="0"/>
          <w:color w:val="auto"/>
        </w:rPr>
      </w:pPr>
      <w:r>
        <w:rPr>
          <w:color w:val="auto"/>
        </w:rPr>
        <w:t>响应函（实质性格式）</w:t>
      </w:r>
    </w:p>
    <w:p w14:paraId="64CD27D1">
      <w:pPr>
        <w:tabs>
          <w:tab w:val="left" w:pos="5580"/>
        </w:tabs>
        <w:spacing w:line="360" w:lineRule="auto"/>
        <w:rPr>
          <w:color w:val="auto"/>
          <w:sz w:val="24"/>
        </w:rPr>
      </w:pPr>
    </w:p>
    <w:p w14:paraId="5EE6B4AF">
      <w:pPr>
        <w:spacing w:line="360" w:lineRule="auto"/>
        <w:jc w:val="center"/>
        <w:rPr>
          <w:b/>
          <w:color w:val="auto"/>
          <w:sz w:val="36"/>
          <w:szCs w:val="36"/>
        </w:rPr>
      </w:pPr>
      <w:r>
        <w:rPr>
          <w:rFonts w:hint="eastAsia"/>
          <w:b/>
          <w:color w:val="auto"/>
          <w:sz w:val="36"/>
          <w:szCs w:val="36"/>
        </w:rPr>
        <w:t>响应函</w:t>
      </w:r>
    </w:p>
    <w:p w14:paraId="753EDEB8">
      <w:pPr>
        <w:pStyle w:val="17"/>
        <w:rPr>
          <w:color w:val="auto"/>
        </w:rPr>
      </w:pPr>
      <w:r>
        <w:rPr>
          <w:color w:val="auto"/>
        </w:rPr>
        <w:t>致：</w:t>
      </w:r>
      <w:r>
        <w:rPr>
          <w:color w:val="auto"/>
          <w:u w:val="single"/>
        </w:rPr>
        <w:t>（采购人或采购代理机构）</w:t>
      </w:r>
    </w:p>
    <w:p w14:paraId="24112152">
      <w:pPr>
        <w:tabs>
          <w:tab w:val="left" w:pos="5580"/>
        </w:tabs>
        <w:spacing w:line="360" w:lineRule="auto"/>
        <w:rPr>
          <w:color w:val="auto"/>
          <w:sz w:val="24"/>
          <w:szCs w:val="20"/>
        </w:rPr>
      </w:pPr>
    </w:p>
    <w:p w14:paraId="75E623DB">
      <w:pPr>
        <w:pStyle w:val="17"/>
        <w:rPr>
          <w:color w:val="auto"/>
        </w:rPr>
      </w:pPr>
      <w:r>
        <w:rPr>
          <w:color w:val="auto"/>
        </w:rPr>
        <w:t>我方参加你方就___________（项目名称，项目编号/包号）组织的政府采购活动，并对此项目进行响应。</w:t>
      </w:r>
    </w:p>
    <w:p w14:paraId="5BB523EA">
      <w:pPr>
        <w:pStyle w:val="17"/>
        <w:numPr>
          <w:ilvl w:val="0"/>
          <w:numId w:val="87"/>
        </w:numPr>
        <w:ind w:left="0" w:leftChars="0" w:firstLine="480" w:firstLineChars="0"/>
        <w:rPr>
          <w:b w:val="0"/>
          <w:color w:val="auto"/>
        </w:rPr>
      </w:pPr>
      <w:r>
        <w:rPr>
          <w:color w:val="auto"/>
        </w:rPr>
        <w:t>我方已详细审查全部询价通知书，自愿参与响应并承诺如下：</w:t>
      </w:r>
    </w:p>
    <w:p w14:paraId="6C912CC1">
      <w:pPr>
        <w:pStyle w:val="17"/>
        <w:numPr>
          <w:ilvl w:val="0"/>
          <w:numId w:val="88"/>
        </w:numPr>
        <w:topLinePunct w:val="0"/>
        <w:ind w:left="0" w:leftChars="0" w:firstLine="480" w:firstLineChars="0"/>
        <w:rPr>
          <w:b w:val="0"/>
          <w:color w:val="auto"/>
        </w:rPr>
      </w:pPr>
      <w:r>
        <w:rPr>
          <w:color w:val="auto"/>
        </w:rPr>
        <w:t>本响应有效期为自提交响应文件的截止之日起60个日历日。</w:t>
      </w:r>
    </w:p>
    <w:p w14:paraId="06CEAD1A">
      <w:pPr>
        <w:pStyle w:val="17"/>
        <w:numPr>
          <w:ilvl w:val="0"/>
          <w:numId w:val="88"/>
        </w:numPr>
        <w:topLinePunct w:val="0"/>
        <w:ind w:left="0" w:leftChars="0" w:firstLine="480" w:firstLineChars="0"/>
        <w:rPr>
          <w:b w:val="0"/>
          <w:color w:val="auto"/>
        </w:rPr>
      </w:pPr>
      <w:r>
        <w:rPr>
          <w:color w:val="auto"/>
        </w:rPr>
        <w:t>除合同条款及采购需求偏离表列出的偏离外，我方响应询价通知书的全部要求。</w:t>
      </w:r>
    </w:p>
    <w:p w14:paraId="686F18DF">
      <w:pPr>
        <w:pStyle w:val="17"/>
        <w:numPr>
          <w:ilvl w:val="0"/>
          <w:numId w:val="88"/>
        </w:numPr>
        <w:topLinePunct w:val="0"/>
        <w:ind w:left="0" w:leftChars="0" w:firstLine="480" w:firstLineChars="0"/>
        <w:rPr>
          <w:b w:val="0"/>
          <w:color w:val="auto"/>
        </w:rPr>
      </w:pPr>
      <w:r>
        <w:rPr>
          <w:color w:val="auto"/>
        </w:rPr>
        <w:t>我方已提供的全部文件资料是真实、准确的，并对此承担一切法律后果。</w:t>
      </w:r>
    </w:p>
    <w:p w14:paraId="00EA8A11">
      <w:pPr>
        <w:pStyle w:val="17"/>
        <w:numPr>
          <w:ilvl w:val="0"/>
          <w:numId w:val="88"/>
        </w:numPr>
        <w:topLinePunct w:val="0"/>
        <w:ind w:left="0" w:leftChars="0" w:firstLine="480" w:firstLineChars="0"/>
        <w:rPr>
          <w:b w:val="0"/>
          <w:color w:val="auto"/>
        </w:rPr>
      </w:pPr>
      <w:r>
        <w:rPr>
          <w:color w:val="auto"/>
        </w:rPr>
        <w:t>如我方中标，我方将在法律规定的期限内与你方签订合同，按照询价通知书要求提交履约保证金，并在合同约定的期限内完成合同规定的全部义务。</w:t>
      </w:r>
    </w:p>
    <w:p w14:paraId="7CC36D8D">
      <w:pPr>
        <w:pStyle w:val="17"/>
        <w:numPr>
          <w:ilvl w:val="0"/>
          <w:numId w:val="87"/>
        </w:numPr>
        <w:ind w:left="0" w:leftChars="0" w:firstLine="480" w:firstLineChars="0"/>
        <w:rPr>
          <w:b w:val="0"/>
          <w:color w:val="auto"/>
        </w:rPr>
      </w:pPr>
      <w:r>
        <w:rPr>
          <w:color w:val="auto"/>
        </w:rPr>
        <w:t>其他补充条款（如有）：___________。</w:t>
      </w:r>
    </w:p>
    <w:p w14:paraId="6A1A5778">
      <w:pPr>
        <w:pStyle w:val="17"/>
        <w:rPr>
          <w:color w:val="auto"/>
        </w:rPr>
      </w:pPr>
      <w:r>
        <w:rPr>
          <w:color w:val="auto"/>
        </w:rPr>
        <w:t>与本响应有关的一切正式往来信函请寄：</w:t>
      </w:r>
    </w:p>
    <w:p w14:paraId="67CFF7F3">
      <w:pPr>
        <w:tabs>
          <w:tab w:val="left" w:pos="5580"/>
        </w:tabs>
        <w:spacing w:line="360" w:lineRule="auto"/>
        <w:ind w:left="420"/>
        <w:rPr>
          <w:color w:val="auto"/>
          <w:sz w:val="24"/>
          <w:szCs w:val="20"/>
        </w:rPr>
      </w:pPr>
    </w:p>
    <w:p w14:paraId="6AFE3A95">
      <w:pPr>
        <w:pStyle w:val="17"/>
        <w:rPr>
          <w:color w:val="auto"/>
        </w:rPr>
      </w:pPr>
      <w:r>
        <w:rPr>
          <w:color w:val="auto"/>
        </w:rPr>
        <w:t>地址_________________________     传真____________________________</w:t>
      </w:r>
    </w:p>
    <w:p w14:paraId="066C01EC">
      <w:pPr>
        <w:pStyle w:val="17"/>
        <w:rPr>
          <w:color w:val="auto"/>
        </w:rPr>
      </w:pPr>
      <w:r>
        <w:rPr>
          <w:color w:val="auto"/>
        </w:rPr>
        <w:t>电话_________________________     电子函件________________________</w:t>
      </w:r>
    </w:p>
    <w:p w14:paraId="1F540DB3">
      <w:pPr>
        <w:tabs>
          <w:tab w:val="left" w:pos="5580"/>
        </w:tabs>
        <w:spacing w:line="360" w:lineRule="auto"/>
        <w:ind w:left="420"/>
        <w:rPr>
          <w:color w:val="auto"/>
          <w:sz w:val="24"/>
          <w:szCs w:val="20"/>
        </w:rPr>
      </w:pPr>
    </w:p>
    <w:p w14:paraId="2567A94D">
      <w:pPr>
        <w:tabs>
          <w:tab w:val="left" w:pos="5580"/>
        </w:tabs>
        <w:spacing w:line="360" w:lineRule="auto"/>
        <w:ind w:left="420"/>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供应商名称（加盖公章） ___________</w:t>
      </w:r>
    </w:p>
    <w:p w14:paraId="77AECA62">
      <w:pPr>
        <w:tabs>
          <w:tab w:val="left" w:pos="5580"/>
        </w:tabs>
        <w:spacing w:line="360" w:lineRule="auto"/>
        <w:ind w:left="420"/>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 xml:space="preserve">日期：_____年______月______日    </w:t>
      </w:r>
    </w:p>
    <w:p w14:paraId="19457ECC">
      <w:pPr>
        <w:tabs>
          <w:tab w:val="left" w:pos="5580"/>
        </w:tabs>
        <w:spacing w:line="360" w:lineRule="auto"/>
        <w:ind w:left="420"/>
        <w:rPr>
          <w:color w:val="auto"/>
          <w:sz w:val="24"/>
          <w:szCs w:val="20"/>
          <w:u w:val="single"/>
        </w:rPr>
      </w:pPr>
    </w:p>
    <w:p w14:paraId="28775459">
      <w:pPr>
        <w:widowControl/>
        <w:jc w:val="left"/>
        <w:rPr>
          <w:rFonts w:hint="eastAsia"/>
          <w:color w:val="auto"/>
          <w:sz w:val="24"/>
        </w:rPr>
      </w:pPr>
      <w:bookmarkStart w:id="605" w:name="_Hlt520355938"/>
      <w:bookmarkEnd w:id="605"/>
      <w:bookmarkStart w:id="606" w:name="_Hlt520356243"/>
      <w:bookmarkEnd w:id="606"/>
      <w:r>
        <w:rPr>
          <w:color w:val="auto"/>
          <w:sz w:val="24"/>
        </w:rPr>
        <w:br w:type="page"/>
      </w:r>
    </w:p>
    <w:p w14:paraId="2AFBEF18">
      <w:pPr>
        <w:pStyle w:val="3"/>
        <w:numPr>
          <w:ilvl w:val="0"/>
          <w:numId w:val="84"/>
        </w:numPr>
        <w:ind w:left="0" w:leftChars="0" w:firstLine="480" w:firstLineChars="0"/>
        <w:rPr>
          <w:b w:val="0"/>
          <w:color w:val="auto"/>
        </w:rPr>
      </w:pPr>
      <w:r>
        <w:rPr>
          <w:color w:val="auto"/>
        </w:rPr>
        <w:t>法定代表人资格证明书（实质性格式）</w:t>
      </w:r>
    </w:p>
    <w:p w14:paraId="58DEA7AC">
      <w:pPr>
        <w:spacing w:line="360" w:lineRule="auto"/>
        <w:jc w:val="center"/>
        <w:rPr>
          <w:rFonts w:hint="eastAsia" w:ascii="宋体" w:hAnsi="宋体"/>
          <w:b/>
          <w:color w:val="auto"/>
          <w:sz w:val="32"/>
          <w:szCs w:val="32"/>
        </w:rPr>
      </w:pPr>
    </w:p>
    <w:p w14:paraId="18441643">
      <w:pPr>
        <w:pStyle w:val="105"/>
        <w:rPr>
          <w:color w:val="auto"/>
        </w:rPr>
      </w:pPr>
      <w:bookmarkStart w:id="607" w:name="_Toc3564"/>
      <w:r>
        <w:rPr>
          <w:color w:val="auto"/>
        </w:rPr>
        <w:t>法定代表人资格证明书</w:t>
      </w:r>
      <w:bookmarkEnd w:id="607"/>
    </w:p>
    <w:p w14:paraId="1F46ECB7">
      <w:pPr>
        <w:pStyle w:val="17"/>
        <w:rPr>
          <w:color w:val="auto"/>
        </w:rPr>
      </w:pPr>
      <w:r>
        <w:rPr>
          <w:color w:val="auto"/>
        </w:rPr>
        <w:t>单位名称:</w:t>
      </w:r>
    </w:p>
    <w:p w14:paraId="376F3948">
      <w:pPr>
        <w:pStyle w:val="17"/>
        <w:rPr>
          <w:color w:val="auto"/>
        </w:rPr>
      </w:pPr>
      <w:r>
        <w:rPr>
          <w:color w:val="auto"/>
        </w:rPr>
        <w:t>地址:</w:t>
      </w:r>
    </w:p>
    <w:p w14:paraId="3ABB7CC7">
      <w:pPr>
        <w:pStyle w:val="17"/>
        <w:rPr>
          <w:color w:val="auto"/>
        </w:rPr>
      </w:pPr>
      <w:r>
        <w:rPr>
          <w:color w:val="auto"/>
        </w:rPr>
        <w:t>姓名:     性别:       年龄:      职务:</w:t>
      </w:r>
    </w:p>
    <w:p w14:paraId="5CE03136">
      <w:pPr>
        <w:pStyle w:val="17"/>
        <w:rPr>
          <w:color w:val="auto"/>
        </w:rPr>
      </w:pPr>
      <w:r>
        <w:rPr>
          <w:color w:val="auto"/>
        </w:rPr>
        <w:t>系</w:t>
      </w:r>
      <w:r>
        <w:rPr>
          <w:color w:val="auto"/>
          <w:u w:val="single"/>
        </w:rPr>
        <w:t>（供应商名称）</w:t>
      </w:r>
      <w:r>
        <w:rPr>
          <w:color w:val="auto"/>
        </w:rPr>
        <w:t>的法定代表人。为参与</w:t>
      </w:r>
      <w:r>
        <w:rPr>
          <w:color w:val="auto"/>
          <w:u w:val="single"/>
        </w:rPr>
        <w:t>（项目名称）</w:t>
      </w:r>
      <w:r>
        <w:rPr>
          <w:color w:val="auto"/>
        </w:rPr>
        <w:t>的政府采购活动，签署、澄清确认、递交、撤回、修改上述项目的响应文件、进行合同谈判、签署合同和处理与之有关的一切事务。</w:t>
      </w:r>
    </w:p>
    <w:p w14:paraId="2367E354">
      <w:pPr>
        <w:pStyle w:val="17"/>
        <w:rPr>
          <w:color w:val="auto"/>
        </w:rPr>
      </w:pPr>
      <w:r>
        <w:rPr>
          <w:color w:val="auto"/>
        </w:rPr>
        <w:t>特此证明。</w:t>
      </w:r>
    </w:p>
    <w:p w14:paraId="5C99BC28">
      <w:pPr>
        <w:spacing w:line="560" w:lineRule="exact"/>
        <w:rPr>
          <w:rFonts w:ascii="宋体" w:hAnsi="宋体"/>
          <w:color w:val="auto"/>
          <w:sz w:val="24"/>
        </w:rPr>
      </w:pPr>
    </w:p>
    <w:p w14:paraId="5B9C669A">
      <w:pPr>
        <w:pStyle w:val="17"/>
        <w:rPr>
          <w:color w:val="auto"/>
        </w:rPr>
      </w:pPr>
      <w:r>
        <w:rPr>
          <w:color w:val="auto"/>
        </w:rPr>
        <w:t>附：法定代表人（单位负责人）有效期内的身份证正反面电子件。</w:t>
      </w:r>
    </w:p>
    <w:tbl>
      <w:tblPr>
        <w:tblStyle w:val="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20F48F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150" w:hRule="atLeast"/>
        </w:trPr>
        <w:tc>
          <w:tcPr>
            <w:tcW w:w="4673" w:type="dxa"/>
            <w:noWrap w:val="0"/>
            <w:vAlign w:val="top"/>
          </w:tcPr>
          <w:p w14:paraId="4E19AE9F">
            <w:pPr>
              <w:tabs>
                <w:tab w:val="left" w:pos="5580"/>
              </w:tabs>
              <w:spacing w:line="360" w:lineRule="auto"/>
              <w:jc w:val="left"/>
              <w:rPr>
                <w:rFonts w:ascii="宋体" w:hAnsi="宋体"/>
                <w:color w:val="auto"/>
                <w:sz w:val="24"/>
                <w:szCs w:val="20"/>
              </w:rPr>
            </w:pPr>
          </w:p>
          <w:p w14:paraId="713D018F">
            <w:pPr>
              <w:tabs>
                <w:tab w:val="left" w:pos="5580"/>
              </w:tabs>
              <w:spacing w:line="360" w:lineRule="auto"/>
              <w:jc w:val="left"/>
              <w:rPr>
                <w:rFonts w:ascii="宋体" w:hAnsi="宋体"/>
                <w:color w:val="auto"/>
                <w:sz w:val="24"/>
                <w:szCs w:val="20"/>
              </w:rPr>
            </w:pPr>
          </w:p>
          <w:p w14:paraId="15F1904C">
            <w:pPr>
              <w:tabs>
                <w:tab w:val="left" w:pos="5580"/>
              </w:tabs>
              <w:spacing w:line="360" w:lineRule="auto"/>
              <w:jc w:val="left"/>
              <w:rPr>
                <w:rFonts w:ascii="宋体" w:hAnsi="宋体"/>
                <w:color w:val="auto"/>
                <w:sz w:val="24"/>
                <w:szCs w:val="20"/>
              </w:rPr>
            </w:pPr>
          </w:p>
        </w:tc>
        <w:tc>
          <w:tcPr>
            <w:tcW w:w="4536" w:type="dxa"/>
            <w:noWrap w:val="0"/>
            <w:vAlign w:val="top"/>
          </w:tcPr>
          <w:p w14:paraId="1D985076">
            <w:pPr>
              <w:tabs>
                <w:tab w:val="left" w:pos="5580"/>
              </w:tabs>
              <w:spacing w:line="360" w:lineRule="auto"/>
              <w:jc w:val="left"/>
              <w:rPr>
                <w:rFonts w:ascii="宋体" w:hAnsi="宋体"/>
                <w:color w:val="auto"/>
                <w:sz w:val="24"/>
                <w:szCs w:val="20"/>
              </w:rPr>
            </w:pPr>
          </w:p>
          <w:p w14:paraId="23B3DC0C">
            <w:pPr>
              <w:tabs>
                <w:tab w:val="left" w:pos="5580"/>
              </w:tabs>
              <w:spacing w:line="360" w:lineRule="auto"/>
              <w:jc w:val="left"/>
              <w:rPr>
                <w:rFonts w:ascii="宋体" w:hAnsi="宋体"/>
                <w:color w:val="auto"/>
                <w:sz w:val="24"/>
                <w:szCs w:val="20"/>
              </w:rPr>
            </w:pPr>
          </w:p>
          <w:p w14:paraId="2895DE8A">
            <w:pPr>
              <w:tabs>
                <w:tab w:val="left" w:pos="5580"/>
              </w:tabs>
              <w:spacing w:line="360" w:lineRule="auto"/>
              <w:jc w:val="left"/>
              <w:rPr>
                <w:rFonts w:ascii="宋体" w:hAnsi="宋体"/>
                <w:color w:val="auto"/>
                <w:sz w:val="24"/>
                <w:szCs w:val="20"/>
              </w:rPr>
            </w:pPr>
          </w:p>
        </w:tc>
      </w:tr>
    </w:tbl>
    <w:p w14:paraId="5A350579">
      <w:pPr>
        <w:spacing w:line="560" w:lineRule="exact"/>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供应商：（加盖公章）</w:t>
      </w:r>
    </w:p>
    <w:p w14:paraId="2AD267FF">
      <w:pPr>
        <w:spacing w:line="560" w:lineRule="exact"/>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法定代表人</w:t>
      </w:r>
      <w:r>
        <w:rPr>
          <w:rFonts w:ascii="Times New Roman" w:hAnsi="Times New Roman" w:eastAsia="宋体" w:cs="Times New Roman"/>
          <w:color w:val="auto"/>
          <w:sz w:val="24"/>
          <w:szCs w:val="24"/>
        </w:rPr>
        <w:t>签字</w:t>
      </w:r>
      <w:r>
        <w:rPr>
          <w:rFonts w:hint="eastAsia" w:ascii="Times New Roman" w:hAnsi="Times New Roman" w:eastAsia="宋体" w:cs="Times New Roman"/>
          <w:color w:val="auto"/>
          <w:sz w:val="24"/>
          <w:szCs w:val="24"/>
        </w:rPr>
        <w:t>、签章</w:t>
      </w:r>
      <w:r>
        <w:rPr>
          <w:rFonts w:ascii="Times New Roman" w:hAnsi="Times New Roman" w:eastAsia="宋体" w:cs="Times New Roman"/>
          <w:color w:val="auto"/>
          <w:sz w:val="24"/>
          <w:szCs w:val="24"/>
        </w:rPr>
        <w:t>或</w:t>
      </w:r>
      <w:r>
        <w:rPr>
          <w:rFonts w:hint="eastAsia" w:ascii="Times New Roman" w:hAnsi="Times New Roman" w:eastAsia="宋体" w:cs="Times New Roman"/>
          <w:color w:val="auto"/>
          <w:sz w:val="24"/>
          <w:szCs w:val="24"/>
        </w:rPr>
        <w:t>印鉴：</w:t>
      </w:r>
    </w:p>
    <w:p w14:paraId="262064CB">
      <w:pPr>
        <w:spacing w:line="560" w:lineRule="exact"/>
        <w:ind w:firstLine="4320" w:firstLineChars="1800"/>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日期：    年    月    日</w:t>
      </w:r>
    </w:p>
    <w:p w14:paraId="21BC331F">
      <w:pPr>
        <w:widowControl/>
        <w:jc w:val="left"/>
        <w:rPr>
          <w:rFonts w:hint="eastAsia"/>
          <w:color w:val="auto"/>
          <w:sz w:val="24"/>
        </w:rPr>
      </w:pPr>
    </w:p>
    <w:p w14:paraId="5B448F1E">
      <w:pPr>
        <w:widowControl/>
        <w:jc w:val="left"/>
        <w:rPr>
          <w:rFonts w:hint="eastAsia"/>
          <w:color w:val="auto"/>
          <w:sz w:val="24"/>
        </w:rPr>
      </w:pPr>
    </w:p>
    <w:p w14:paraId="2A958DD3">
      <w:pPr>
        <w:widowControl/>
        <w:jc w:val="left"/>
        <w:rPr>
          <w:rFonts w:hint="eastAsia"/>
          <w:color w:val="auto"/>
          <w:sz w:val="24"/>
        </w:rPr>
      </w:pPr>
    </w:p>
    <w:p w14:paraId="1FAF9F83">
      <w:pPr>
        <w:pStyle w:val="17"/>
        <w:rPr>
          <w:color w:val="auto"/>
        </w:rPr>
      </w:pPr>
      <w:r>
        <w:rPr>
          <w:color w:val="auto"/>
        </w:rPr>
        <w:t>说明：</w:t>
      </w:r>
    </w:p>
    <w:p w14:paraId="76B6C36E">
      <w:pPr>
        <w:pStyle w:val="17"/>
        <w:numPr>
          <w:ilvl w:val="0"/>
          <w:numId w:val="89"/>
        </w:numPr>
        <w:ind w:left="0" w:leftChars="0" w:firstLine="480" w:firstLineChars="0"/>
        <w:rPr>
          <w:b w:val="0"/>
          <w:color w:val="auto"/>
        </w:rPr>
      </w:pPr>
      <w:r>
        <w:rPr>
          <w:color w:val="auto"/>
        </w:rPr>
        <w:t>若供应商为事业单位或其他组织或分支机构（仅当询价通知书注明允许分支机构响应的），则法定代表人（单位负责人）处的签署人可为单位负责人。</w:t>
      </w:r>
    </w:p>
    <w:p w14:paraId="253AB1CA">
      <w:pPr>
        <w:widowControl/>
        <w:jc w:val="left"/>
        <w:rPr>
          <w:rFonts w:hint="eastAsia"/>
          <w:color w:val="auto"/>
          <w:sz w:val="24"/>
        </w:rPr>
      </w:pPr>
    </w:p>
    <w:p w14:paraId="47597453">
      <w:pPr>
        <w:widowControl/>
        <w:jc w:val="left"/>
        <w:rPr>
          <w:rFonts w:hint="eastAsia"/>
          <w:color w:val="auto"/>
          <w:sz w:val="24"/>
        </w:rPr>
      </w:pPr>
    </w:p>
    <w:p w14:paraId="5D2578B0">
      <w:pPr>
        <w:widowControl/>
        <w:jc w:val="left"/>
        <w:rPr>
          <w:rFonts w:hint="eastAsia"/>
          <w:color w:val="auto"/>
          <w:sz w:val="24"/>
        </w:rPr>
      </w:pPr>
    </w:p>
    <w:p w14:paraId="010D3004">
      <w:pPr>
        <w:pStyle w:val="3"/>
        <w:numPr>
          <w:ilvl w:val="0"/>
          <w:numId w:val="89"/>
        </w:numPr>
        <w:ind w:left="0" w:leftChars="0" w:firstLine="480" w:firstLineChars="0"/>
        <w:rPr>
          <w:b w:val="0"/>
          <w:color w:val="auto"/>
        </w:rPr>
      </w:pPr>
      <w:r>
        <w:rPr>
          <w:color w:val="auto"/>
        </w:rPr>
        <w:t>授权委托书（实质性格式）</w:t>
      </w:r>
    </w:p>
    <w:p w14:paraId="1A70B32E">
      <w:pPr>
        <w:spacing w:line="360" w:lineRule="auto"/>
        <w:jc w:val="center"/>
        <w:rPr>
          <w:rFonts w:hint="eastAsia" w:ascii="宋体" w:hAnsi="宋体"/>
          <w:b/>
          <w:color w:val="auto"/>
          <w:sz w:val="32"/>
          <w:szCs w:val="32"/>
        </w:rPr>
      </w:pPr>
      <w:r>
        <w:rPr>
          <w:rFonts w:hint="eastAsia" w:ascii="宋体" w:hAnsi="宋体"/>
          <w:b/>
          <w:color w:val="auto"/>
          <w:sz w:val="32"/>
          <w:szCs w:val="32"/>
        </w:rPr>
        <w:t>授权委托书</w:t>
      </w:r>
    </w:p>
    <w:p w14:paraId="18EBC690">
      <w:pPr>
        <w:pStyle w:val="17"/>
        <w:rPr>
          <w:color w:val="auto"/>
        </w:rPr>
      </w:pPr>
      <w:r>
        <w:rPr>
          <w:color w:val="auto"/>
        </w:rPr>
        <w:t>本授权委托书声明：</w:t>
      </w:r>
      <w:r>
        <w:rPr>
          <w:color w:val="auto"/>
          <w:u w:val="single"/>
        </w:rPr>
        <w:t>（供应商名称）</w:t>
      </w:r>
      <w:r>
        <w:rPr>
          <w:color w:val="auto"/>
        </w:rPr>
        <w:t>的</w:t>
      </w:r>
      <w:r>
        <w:rPr>
          <w:color w:val="auto"/>
          <w:u w:val="single"/>
        </w:rPr>
        <w:t>（法定代表人姓名、职务）</w:t>
      </w:r>
      <w:r>
        <w:rPr>
          <w:color w:val="auto"/>
        </w:rPr>
        <w:t>代表投标</w:t>
      </w:r>
      <w:r>
        <w:rPr>
          <w:rFonts w:hint="eastAsia"/>
          <w:color w:val="auto"/>
          <w:lang w:eastAsia="zh-CN"/>
        </w:rPr>
        <w:t>（</w:t>
      </w:r>
      <w:r>
        <w:rPr>
          <w:rFonts w:hint="eastAsia"/>
          <w:color w:val="auto"/>
          <w:lang w:val="en-US" w:eastAsia="zh-CN"/>
        </w:rPr>
        <w:t>响应</w:t>
      </w:r>
      <w:r>
        <w:rPr>
          <w:rFonts w:hint="eastAsia"/>
          <w:color w:val="auto"/>
          <w:lang w:eastAsia="zh-CN"/>
        </w:rPr>
        <w:t>）</w:t>
      </w:r>
      <w:r>
        <w:rPr>
          <w:color w:val="auto"/>
        </w:rPr>
        <w:t>人授权</w:t>
      </w:r>
      <w:r>
        <w:rPr>
          <w:color w:val="auto"/>
          <w:u w:val="single"/>
        </w:rPr>
        <w:t>（被授权人的姓名、职务）</w:t>
      </w:r>
      <w:r>
        <w:rPr>
          <w:color w:val="auto"/>
        </w:rPr>
        <w:t>为</w:t>
      </w:r>
      <w:r>
        <w:rPr>
          <w:color w:val="auto"/>
          <w:u w:val="single"/>
        </w:rPr>
        <w:t>（项目名称）（</w:t>
      </w:r>
      <w:r>
        <w:rPr>
          <w:rFonts w:hint="eastAsia"/>
          <w:color w:val="auto"/>
          <w:u w:val="single"/>
        </w:rPr>
        <w:t>常教装内采询[2026]00X号</w:t>
      </w:r>
      <w:r>
        <w:rPr>
          <w:color w:val="auto"/>
          <w:u w:val="single"/>
        </w:rPr>
        <w:t>）</w:t>
      </w:r>
      <w:r>
        <w:rPr>
          <w:color w:val="auto"/>
        </w:rPr>
        <w:t>项目投标</w:t>
      </w:r>
      <w:r>
        <w:rPr>
          <w:rFonts w:hint="eastAsia"/>
          <w:color w:val="auto"/>
          <w:lang w:eastAsia="zh-CN"/>
        </w:rPr>
        <w:t>（</w:t>
      </w:r>
      <w:r>
        <w:rPr>
          <w:rFonts w:hint="eastAsia"/>
          <w:color w:val="auto"/>
          <w:lang w:val="en-US" w:eastAsia="zh-CN"/>
        </w:rPr>
        <w:t>响应</w:t>
      </w:r>
      <w:r>
        <w:rPr>
          <w:rFonts w:hint="eastAsia"/>
          <w:color w:val="auto"/>
          <w:lang w:eastAsia="zh-CN"/>
        </w:rPr>
        <w:t>）</w:t>
      </w:r>
      <w:r>
        <w:rPr>
          <w:color w:val="auto"/>
        </w:rPr>
        <w:t>的合法代理人，全权负责上述项目的投标</w:t>
      </w:r>
      <w:r>
        <w:rPr>
          <w:rFonts w:hint="eastAsia"/>
          <w:color w:val="auto"/>
          <w:lang w:eastAsia="zh-CN"/>
        </w:rPr>
        <w:t>（</w:t>
      </w:r>
      <w:r>
        <w:rPr>
          <w:rFonts w:hint="eastAsia"/>
          <w:color w:val="auto"/>
          <w:lang w:val="en-US" w:eastAsia="zh-CN"/>
        </w:rPr>
        <w:t>响应</w:t>
      </w:r>
      <w:r>
        <w:rPr>
          <w:rFonts w:hint="eastAsia"/>
          <w:color w:val="auto"/>
          <w:lang w:eastAsia="zh-CN"/>
        </w:rPr>
        <w:t>）</w:t>
      </w:r>
      <w:r>
        <w:rPr>
          <w:color w:val="auto"/>
        </w:rPr>
        <w:t>、进行合同谈判、签署合同和处理与之有关的一切事务。本投标</w:t>
      </w:r>
      <w:r>
        <w:rPr>
          <w:rFonts w:hint="eastAsia"/>
          <w:color w:val="auto"/>
          <w:lang w:eastAsia="zh-CN"/>
        </w:rPr>
        <w:t>（</w:t>
      </w:r>
      <w:r>
        <w:rPr>
          <w:rFonts w:hint="eastAsia"/>
          <w:color w:val="auto"/>
          <w:lang w:val="en-US" w:eastAsia="zh-CN"/>
        </w:rPr>
        <w:t>响应</w:t>
      </w:r>
      <w:r>
        <w:rPr>
          <w:rFonts w:hint="eastAsia"/>
          <w:color w:val="auto"/>
          <w:lang w:eastAsia="zh-CN"/>
        </w:rPr>
        <w:t>）</w:t>
      </w:r>
      <w:r>
        <w:rPr>
          <w:color w:val="auto"/>
        </w:rPr>
        <w:t>人对代理人的所有签名负全部责任。</w:t>
      </w:r>
    </w:p>
    <w:p w14:paraId="6751222A">
      <w:pPr>
        <w:pStyle w:val="17"/>
        <w:rPr>
          <w:color w:val="auto"/>
        </w:rPr>
      </w:pPr>
      <w:r>
        <w:rPr>
          <w:color w:val="auto"/>
        </w:rPr>
        <w:t>本授权书于__________年_______月________日签字生效，特此声明。</w:t>
      </w:r>
    </w:p>
    <w:p w14:paraId="286C4288">
      <w:pPr>
        <w:spacing w:line="560" w:lineRule="exact"/>
        <w:rPr>
          <w:rFonts w:hint="eastAsia" w:ascii="宋体" w:hAnsi="宋体"/>
          <w:color w:val="auto"/>
          <w:sz w:val="24"/>
        </w:rPr>
      </w:pPr>
    </w:p>
    <w:p w14:paraId="5D928CA7">
      <w:pPr>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法定代表人签字或盖章：</w:t>
      </w:r>
      <w:r>
        <w:rPr>
          <w:rFonts w:ascii="Times New Roman" w:hAnsi="Times New Roman" w:eastAsia="宋体" w:cs="Times New Roman"/>
          <w:color w:val="auto"/>
          <w:sz w:val="24"/>
          <w:szCs w:val="24"/>
        </w:rPr>
        <w:t xml:space="preserve">                    </w:t>
      </w:r>
      <w:r>
        <w:rPr>
          <w:rFonts w:hint="eastAsia" w:ascii="Times New Roman" w:hAnsi="Times New Roman" w:eastAsia="宋体" w:cs="Times New Roman"/>
          <w:color w:val="auto"/>
          <w:sz w:val="24"/>
          <w:szCs w:val="24"/>
        </w:rPr>
        <w:t>日期：</w:t>
      </w:r>
    </w:p>
    <w:p w14:paraId="3ECB9A74">
      <w:pPr>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职务：</w:t>
      </w:r>
      <w:r>
        <w:rPr>
          <w:rFonts w:ascii="Times New Roman" w:hAnsi="Times New Roman" w:eastAsia="宋体" w:cs="Times New Roman"/>
          <w:color w:val="auto"/>
          <w:sz w:val="24"/>
          <w:szCs w:val="24"/>
        </w:rPr>
        <w:t xml:space="preserve">                          </w:t>
      </w:r>
      <w:r>
        <w:rPr>
          <w:rFonts w:hint="eastAsia" w:ascii="Times New Roman" w:hAnsi="Times New Roman" w:eastAsia="宋体" w:cs="Times New Roman"/>
          <w:color w:val="auto"/>
          <w:sz w:val="24"/>
          <w:szCs w:val="24"/>
        </w:rPr>
        <w:t>联系电话：</w:t>
      </w:r>
    </w:p>
    <w:p w14:paraId="0F02B2C2">
      <w:pPr>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单位名称：</w:t>
      </w:r>
      <w:r>
        <w:rPr>
          <w:rFonts w:ascii="Times New Roman" w:hAnsi="Times New Roman" w:eastAsia="宋体" w:cs="Times New Roman"/>
          <w:color w:val="auto"/>
          <w:sz w:val="24"/>
          <w:szCs w:val="24"/>
        </w:rPr>
        <w:t xml:space="preserve">                      </w:t>
      </w:r>
      <w:r>
        <w:rPr>
          <w:rFonts w:hint="eastAsia" w:ascii="Times New Roman" w:hAnsi="Times New Roman" w:eastAsia="宋体" w:cs="Times New Roman"/>
          <w:color w:val="auto"/>
          <w:sz w:val="24"/>
          <w:szCs w:val="24"/>
        </w:rPr>
        <w:t>地址：</w:t>
      </w:r>
    </w:p>
    <w:p w14:paraId="62DFAEA0">
      <w:pPr>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身份证号码：</w:t>
      </w:r>
    </w:p>
    <w:p w14:paraId="5BF150AB">
      <w:pPr>
        <w:spacing w:line="360" w:lineRule="auto"/>
        <w:rPr>
          <w:rFonts w:ascii="宋体" w:hAnsi="宋体"/>
          <w:color w:val="auto"/>
          <w:szCs w:val="21"/>
        </w:rPr>
      </w:pPr>
    </w:p>
    <w:p w14:paraId="5FBDD294">
      <w:pPr>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委托代理人签字或盖章：</w:t>
      </w:r>
      <w:r>
        <w:rPr>
          <w:rFonts w:ascii="Times New Roman" w:hAnsi="Times New Roman" w:eastAsia="宋体" w:cs="Times New Roman"/>
          <w:color w:val="auto"/>
          <w:sz w:val="24"/>
          <w:szCs w:val="24"/>
        </w:rPr>
        <w:t xml:space="preserve">             </w:t>
      </w:r>
      <w:r>
        <w:rPr>
          <w:rFonts w:hint="eastAsia" w:ascii="Times New Roman" w:hAnsi="Times New Roman" w:eastAsia="宋体" w:cs="Times New Roman"/>
          <w:color w:val="auto"/>
          <w:sz w:val="24"/>
          <w:szCs w:val="24"/>
        </w:rPr>
        <w:t xml:space="preserve">       日期：</w:t>
      </w:r>
    </w:p>
    <w:p w14:paraId="15AFC2FD">
      <w:pPr>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职务：</w:t>
      </w:r>
      <w:r>
        <w:rPr>
          <w:rFonts w:ascii="Times New Roman" w:hAnsi="Times New Roman" w:eastAsia="宋体" w:cs="Times New Roman"/>
          <w:color w:val="auto"/>
          <w:sz w:val="24"/>
          <w:szCs w:val="24"/>
        </w:rPr>
        <w:t xml:space="preserve">                         </w:t>
      </w:r>
      <w:r>
        <w:rPr>
          <w:rFonts w:hint="eastAsia" w:ascii="Times New Roman" w:hAnsi="Times New Roman" w:eastAsia="宋体" w:cs="Times New Roman"/>
          <w:color w:val="auto"/>
          <w:sz w:val="24"/>
          <w:szCs w:val="24"/>
        </w:rPr>
        <w:t>联系电话：</w:t>
      </w:r>
    </w:p>
    <w:p w14:paraId="60C4AF6C">
      <w:pPr>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单位名称：</w:t>
      </w:r>
      <w:r>
        <w:rPr>
          <w:rFonts w:ascii="Times New Roman" w:hAnsi="Times New Roman" w:eastAsia="宋体" w:cs="Times New Roman"/>
          <w:color w:val="auto"/>
          <w:sz w:val="24"/>
          <w:szCs w:val="24"/>
        </w:rPr>
        <w:t xml:space="preserve">                         </w:t>
      </w:r>
      <w:r>
        <w:rPr>
          <w:rFonts w:hint="eastAsia" w:ascii="Times New Roman" w:hAnsi="Times New Roman" w:eastAsia="宋体" w:cs="Times New Roman"/>
          <w:color w:val="auto"/>
          <w:sz w:val="24"/>
          <w:szCs w:val="24"/>
        </w:rPr>
        <w:t>地址：</w:t>
      </w:r>
    </w:p>
    <w:p w14:paraId="1B47F185">
      <w:pPr>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身份证号码：</w:t>
      </w:r>
    </w:p>
    <w:p w14:paraId="5E8E61EB">
      <w:pPr>
        <w:spacing w:line="360" w:lineRule="auto"/>
        <w:rPr>
          <w:rFonts w:hint="eastAsia" w:ascii="宋体" w:hAnsi="宋体"/>
          <w:color w:val="auto"/>
          <w:szCs w:val="21"/>
        </w:rPr>
      </w:pPr>
    </w:p>
    <w:p w14:paraId="17D15589">
      <w:pPr>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投标</w:t>
      </w:r>
      <w:r>
        <w:rPr>
          <w:rFonts w:hint="eastAsia" w:cs="Times New Roman"/>
          <w:color w:val="auto"/>
          <w:sz w:val="24"/>
          <w:szCs w:val="24"/>
          <w:lang w:eastAsia="zh-CN"/>
        </w:rPr>
        <w:t>（</w:t>
      </w:r>
      <w:r>
        <w:rPr>
          <w:rFonts w:hint="eastAsia" w:cs="Times New Roman"/>
          <w:color w:val="auto"/>
          <w:sz w:val="24"/>
          <w:szCs w:val="24"/>
          <w:lang w:val="en-US" w:eastAsia="zh-CN"/>
        </w:rPr>
        <w:t>响应</w:t>
      </w:r>
      <w:r>
        <w:rPr>
          <w:rFonts w:hint="eastAsia" w:cs="Times New Roman"/>
          <w:color w:val="auto"/>
          <w:sz w:val="24"/>
          <w:szCs w:val="24"/>
          <w:lang w:eastAsia="zh-CN"/>
        </w:rPr>
        <w:t>）</w:t>
      </w:r>
      <w:r>
        <w:rPr>
          <w:rFonts w:hint="eastAsia" w:ascii="Times New Roman" w:hAnsi="Times New Roman" w:eastAsia="宋体" w:cs="Times New Roman"/>
          <w:color w:val="auto"/>
          <w:sz w:val="24"/>
          <w:szCs w:val="24"/>
        </w:rPr>
        <w:t>人公章：</w:t>
      </w:r>
    </w:p>
    <w:p w14:paraId="5056D3AF">
      <w:pPr>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地址：</w:t>
      </w:r>
      <w:r>
        <w:rPr>
          <w:rFonts w:ascii="Times New Roman" w:hAnsi="Times New Roman" w:eastAsia="宋体" w:cs="Times New Roman"/>
          <w:color w:val="auto"/>
          <w:sz w:val="24"/>
          <w:szCs w:val="24"/>
        </w:rPr>
        <w:t xml:space="preserve">                        </w:t>
      </w:r>
      <w:r>
        <w:rPr>
          <w:rFonts w:hint="eastAsia" w:ascii="Times New Roman" w:hAnsi="Times New Roman" w:eastAsia="宋体" w:cs="Times New Roman"/>
          <w:color w:val="auto"/>
          <w:sz w:val="24"/>
          <w:szCs w:val="24"/>
        </w:rPr>
        <w:t>联系电话：</w:t>
      </w:r>
    </w:p>
    <w:p w14:paraId="5A4475B1">
      <w:pPr>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传真：</w:t>
      </w:r>
      <w:r>
        <w:rPr>
          <w:rFonts w:ascii="Times New Roman" w:hAnsi="Times New Roman" w:eastAsia="宋体" w:cs="Times New Roman"/>
          <w:color w:val="auto"/>
          <w:sz w:val="24"/>
          <w:szCs w:val="24"/>
        </w:rPr>
        <w:t xml:space="preserve">                          </w:t>
      </w:r>
      <w:r>
        <w:rPr>
          <w:rFonts w:hint="eastAsia" w:ascii="Times New Roman" w:hAnsi="Times New Roman" w:eastAsia="宋体" w:cs="Times New Roman"/>
          <w:color w:val="auto"/>
          <w:sz w:val="24"/>
          <w:szCs w:val="24"/>
        </w:rPr>
        <w:t>邮编：</w:t>
      </w:r>
    </w:p>
    <w:p w14:paraId="13D50BF4">
      <w:pPr>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开户行：</w:t>
      </w:r>
    </w:p>
    <w:p w14:paraId="4892A6B3">
      <w:pPr>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帐号：</w:t>
      </w:r>
    </w:p>
    <w:p w14:paraId="1C1A2F1A">
      <w:pPr>
        <w:spacing w:line="360" w:lineRule="auto"/>
        <w:rPr>
          <w:rFonts w:ascii="宋体" w:hAnsi="宋体"/>
          <w:color w:val="auto"/>
          <w:szCs w:val="21"/>
        </w:rPr>
      </w:pPr>
    </w:p>
    <w:p w14:paraId="60BE9FEC">
      <w:pPr>
        <w:pStyle w:val="18"/>
        <w:rPr>
          <w:color w:val="auto"/>
        </w:rPr>
      </w:pPr>
    </w:p>
    <w:p w14:paraId="59032143">
      <w:pPr>
        <w:pStyle w:val="17"/>
        <w:rPr>
          <w:color w:val="auto"/>
        </w:rPr>
      </w:pPr>
      <w:r>
        <w:rPr>
          <w:color w:val="auto"/>
        </w:rPr>
        <w:t>备注：</w:t>
      </w:r>
    </w:p>
    <w:p w14:paraId="758CE9BC">
      <w:pPr>
        <w:pStyle w:val="17"/>
        <w:numPr>
          <w:ilvl w:val="0"/>
          <w:numId w:val="90"/>
        </w:numPr>
        <w:topLinePunct w:val="0"/>
        <w:ind w:left="0" w:leftChars="0" w:firstLine="480" w:firstLineChars="0"/>
        <w:rPr>
          <w:b w:val="0"/>
          <w:color w:val="auto"/>
        </w:rPr>
      </w:pPr>
      <w:r>
        <w:rPr>
          <w:color w:val="auto"/>
        </w:rPr>
        <w:t>法定代表人参加投标</w:t>
      </w:r>
      <w:r>
        <w:rPr>
          <w:rFonts w:hint="eastAsia"/>
          <w:color w:val="auto"/>
          <w:lang w:eastAsia="zh-CN"/>
        </w:rPr>
        <w:t>（</w:t>
      </w:r>
      <w:r>
        <w:rPr>
          <w:rFonts w:hint="eastAsia"/>
          <w:color w:val="auto"/>
          <w:lang w:val="en-US" w:eastAsia="zh-CN"/>
        </w:rPr>
        <w:t>响应</w:t>
      </w:r>
      <w:r>
        <w:rPr>
          <w:rFonts w:hint="eastAsia"/>
          <w:color w:val="auto"/>
          <w:lang w:eastAsia="zh-CN"/>
        </w:rPr>
        <w:t>）</w:t>
      </w:r>
      <w:r>
        <w:rPr>
          <w:color w:val="auto"/>
        </w:rPr>
        <w:t>时，仅须提供法定代表人资格证明和本人身份证原件。</w:t>
      </w:r>
    </w:p>
    <w:p w14:paraId="18148BA3">
      <w:pPr>
        <w:pStyle w:val="17"/>
        <w:numPr>
          <w:ilvl w:val="0"/>
          <w:numId w:val="90"/>
        </w:numPr>
        <w:topLinePunct w:val="0"/>
        <w:ind w:left="0" w:leftChars="0" w:firstLine="480" w:firstLineChars="0"/>
        <w:rPr>
          <w:b w:val="0"/>
          <w:color w:val="auto"/>
        </w:rPr>
      </w:pPr>
      <w:r>
        <w:rPr>
          <w:color w:val="auto"/>
        </w:rPr>
        <w:t>委托代理人参加投标</w:t>
      </w:r>
      <w:r>
        <w:rPr>
          <w:rFonts w:hint="eastAsia"/>
          <w:color w:val="auto"/>
          <w:lang w:eastAsia="zh-CN"/>
        </w:rPr>
        <w:t>（</w:t>
      </w:r>
      <w:r>
        <w:rPr>
          <w:rFonts w:hint="eastAsia"/>
          <w:color w:val="auto"/>
          <w:lang w:val="en-US" w:eastAsia="zh-CN"/>
        </w:rPr>
        <w:t>响应</w:t>
      </w:r>
      <w:r>
        <w:rPr>
          <w:rFonts w:hint="eastAsia"/>
          <w:color w:val="auto"/>
          <w:lang w:eastAsia="zh-CN"/>
        </w:rPr>
        <w:t>）</w:t>
      </w:r>
      <w:r>
        <w:rPr>
          <w:color w:val="auto"/>
        </w:rPr>
        <w:t>时，提供授权委托书和本人身份证原件。</w:t>
      </w:r>
    </w:p>
    <w:p w14:paraId="181FC3F1">
      <w:pPr>
        <w:pStyle w:val="17"/>
        <w:numPr>
          <w:ilvl w:val="0"/>
          <w:numId w:val="90"/>
        </w:numPr>
        <w:topLinePunct w:val="0"/>
        <w:ind w:left="0" w:leftChars="0" w:firstLine="480" w:firstLineChars="0"/>
        <w:rPr>
          <w:b w:val="0"/>
          <w:color w:val="auto"/>
        </w:rPr>
      </w:pPr>
      <w:r>
        <w:rPr>
          <w:color w:val="auto"/>
        </w:rPr>
        <w:t>须同时提供投标</w:t>
      </w:r>
      <w:r>
        <w:rPr>
          <w:rFonts w:hint="eastAsia"/>
          <w:color w:val="auto"/>
          <w:lang w:eastAsia="zh-CN"/>
        </w:rPr>
        <w:t>（</w:t>
      </w:r>
      <w:r>
        <w:rPr>
          <w:rFonts w:hint="eastAsia"/>
          <w:color w:val="auto"/>
          <w:lang w:val="en-US" w:eastAsia="zh-CN"/>
        </w:rPr>
        <w:t>响应</w:t>
      </w:r>
      <w:r>
        <w:rPr>
          <w:rFonts w:hint="eastAsia"/>
          <w:color w:val="auto"/>
          <w:lang w:eastAsia="zh-CN"/>
        </w:rPr>
        <w:t>）</w:t>
      </w:r>
      <w:r>
        <w:rPr>
          <w:color w:val="auto"/>
        </w:rPr>
        <w:t>人截止开标时间前连续3个月为委托代理人缴纳养老保险的证明复印件（委托代理人为中国境外公民，则无需提供缴纳养老保险的证明），否则视为</w:t>
      </w:r>
      <w:r>
        <w:rPr>
          <w:b/>
          <w:color w:val="auto"/>
        </w:rPr>
        <w:t>投标</w:t>
      </w:r>
      <w:r>
        <w:rPr>
          <w:rFonts w:hint="eastAsia"/>
          <w:b/>
          <w:color w:val="auto"/>
          <w:lang w:eastAsia="zh-CN"/>
        </w:rPr>
        <w:t>（</w:t>
      </w:r>
      <w:r>
        <w:rPr>
          <w:rFonts w:hint="eastAsia"/>
          <w:b/>
          <w:color w:val="auto"/>
          <w:lang w:val="en-US" w:eastAsia="zh-CN"/>
        </w:rPr>
        <w:t>响应</w:t>
      </w:r>
      <w:r>
        <w:rPr>
          <w:rFonts w:hint="eastAsia"/>
          <w:b/>
          <w:color w:val="auto"/>
          <w:lang w:eastAsia="zh-CN"/>
        </w:rPr>
        <w:t>）</w:t>
      </w:r>
      <w:r>
        <w:rPr>
          <w:b/>
          <w:color w:val="auto"/>
        </w:rPr>
        <w:t>无效</w:t>
      </w:r>
      <w:r>
        <w:rPr>
          <w:color w:val="auto"/>
        </w:rPr>
        <w:t>。</w:t>
      </w:r>
    </w:p>
    <w:p w14:paraId="0F7806A3">
      <w:pPr>
        <w:pStyle w:val="17"/>
        <w:ind w:left="900" w:leftChars="200" w:hanging="480" w:hangingChars="200"/>
        <w:rPr>
          <w:color w:val="auto"/>
        </w:rPr>
      </w:pPr>
      <w:r>
        <w:rPr>
          <w:color w:val="auto"/>
        </w:rPr>
        <w:t>附：（1）代理人有效期内的身份证正反面复件件粘贴处。</w:t>
      </w:r>
    </w:p>
    <w:tbl>
      <w:tblPr>
        <w:tblStyle w:val="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503277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5" w:hRule="atLeast"/>
        </w:trPr>
        <w:tc>
          <w:tcPr>
            <w:tcW w:w="4673" w:type="dxa"/>
            <w:noWrap w:val="0"/>
            <w:vAlign w:val="top"/>
          </w:tcPr>
          <w:p w14:paraId="24463750">
            <w:pPr>
              <w:tabs>
                <w:tab w:val="left" w:pos="5580"/>
              </w:tabs>
              <w:spacing w:line="360" w:lineRule="auto"/>
              <w:jc w:val="left"/>
              <w:rPr>
                <w:rFonts w:ascii="宋体" w:hAnsi="宋体"/>
                <w:color w:val="auto"/>
                <w:sz w:val="24"/>
                <w:szCs w:val="20"/>
              </w:rPr>
            </w:pPr>
          </w:p>
          <w:p w14:paraId="6E4B133F">
            <w:pPr>
              <w:tabs>
                <w:tab w:val="left" w:pos="5580"/>
              </w:tabs>
              <w:spacing w:line="360" w:lineRule="auto"/>
              <w:jc w:val="left"/>
              <w:rPr>
                <w:rFonts w:ascii="宋体" w:hAnsi="宋体"/>
                <w:color w:val="auto"/>
                <w:sz w:val="24"/>
                <w:szCs w:val="20"/>
              </w:rPr>
            </w:pPr>
          </w:p>
          <w:p w14:paraId="170618FC">
            <w:pPr>
              <w:tabs>
                <w:tab w:val="left" w:pos="5580"/>
              </w:tabs>
              <w:spacing w:line="360" w:lineRule="auto"/>
              <w:jc w:val="left"/>
              <w:rPr>
                <w:rFonts w:ascii="宋体" w:hAnsi="宋体"/>
                <w:color w:val="auto"/>
                <w:sz w:val="24"/>
                <w:szCs w:val="20"/>
              </w:rPr>
            </w:pPr>
          </w:p>
        </w:tc>
        <w:tc>
          <w:tcPr>
            <w:tcW w:w="4536" w:type="dxa"/>
            <w:noWrap w:val="0"/>
            <w:vAlign w:val="top"/>
          </w:tcPr>
          <w:p w14:paraId="55485115">
            <w:pPr>
              <w:tabs>
                <w:tab w:val="left" w:pos="5580"/>
              </w:tabs>
              <w:spacing w:line="360" w:lineRule="auto"/>
              <w:jc w:val="left"/>
              <w:rPr>
                <w:rFonts w:ascii="宋体" w:hAnsi="宋体"/>
                <w:color w:val="auto"/>
                <w:sz w:val="24"/>
                <w:szCs w:val="20"/>
              </w:rPr>
            </w:pPr>
          </w:p>
          <w:p w14:paraId="2964E544">
            <w:pPr>
              <w:tabs>
                <w:tab w:val="left" w:pos="5580"/>
              </w:tabs>
              <w:spacing w:line="360" w:lineRule="auto"/>
              <w:jc w:val="left"/>
              <w:rPr>
                <w:rFonts w:ascii="宋体" w:hAnsi="宋体"/>
                <w:color w:val="auto"/>
                <w:sz w:val="24"/>
                <w:szCs w:val="20"/>
              </w:rPr>
            </w:pPr>
          </w:p>
          <w:p w14:paraId="1F11FA92">
            <w:pPr>
              <w:tabs>
                <w:tab w:val="left" w:pos="5580"/>
              </w:tabs>
              <w:spacing w:line="360" w:lineRule="auto"/>
              <w:jc w:val="left"/>
              <w:rPr>
                <w:rFonts w:ascii="宋体" w:hAnsi="宋体"/>
                <w:color w:val="auto"/>
                <w:sz w:val="24"/>
                <w:szCs w:val="20"/>
              </w:rPr>
            </w:pPr>
          </w:p>
        </w:tc>
      </w:tr>
    </w:tbl>
    <w:p w14:paraId="5D77F692">
      <w:pPr>
        <w:pStyle w:val="18"/>
        <w:rPr>
          <w:rFonts w:hint="eastAsia"/>
          <w:color w:val="auto"/>
        </w:rPr>
      </w:pPr>
    </w:p>
    <w:p w14:paraId="3CD1534A">
      <w:pPr>
        <w:pStyle w:val="18"/>
        <w:rPr>
          <w:rFonts w:hint="eastAsia"/>
          <w:color w:val="auto"/>
        </w:rPr>
      </w:pPr>
    </w:p>
    <w:p w14:paraId="3578849C">
      <w:pPr>
        <w:pStyle w:val="18"/>
        <w:rPr>
          <w:rFonts w:hint="eastAsia"/>
          <w:color w:val="auto"/>
        </w:rPr>
      </w:pPr>
    </w:p>
    <w:p w14:paraId="7FA7F6CA">
      <w:pPr>
        <w:pStyle w:val="18"/>
        <w:rPr>
          <w:rFonts w:hint="eastAsia"/>
          <w:color w:val="auto"/>
        </w:rPr>
      </w:pPr>
    </w:p>
    <w:p w14:paraId="2AD673F9">
      <w:pPr>
        <w:pStyle w:val="17"/>
        <w:topLinePunct w:val="0"/>
        <w:ind w:left="840" w:leftChars="400" w:firstLine="0" w:firstLineChars="0"/>
        <w:rPr>
          <w:b/>
          <w:color w:val="auto"/>
        </w:rPr>
      </w:pPr>
      <w:r>
        <w:rPr>
          <w:color w:val="auto"/>
        </w:rPr>
        <w:t>（2）提供截止开标时间前连续3个月供应商为委托代理人缴纳养老保险的证明复印件（委托代理人为中国境外公民，则无需提供缴纳养老保险的证明）</w:t>
      </w:r>
    </w:p>
    <w:p w14:paraId="30863BD3">
      <w:pPr>
        <w:pStyle w:val="18"/>
        <w:rPr>
          <w:rFonts w:hint="eastAsia"/>
          <w:b/>
          <w:bCs/>
          <w:color w:val="auto"/>
        </w:rPr>
      </w:pPr>
    </w:p>
    <w:p w14:paraId="5EC1D33A">
      <w:pPr>
        <w:rPr>
          <w:rFonts w:hint="eastAsia"/>
          <w:color w:val="auto"/>
        </w:rPr>
      </w:pPr>
    </w:p>
    <w:p w14:paraId="27BF8D2A">
      <w:pPr>
        <w:widowControl/>
        <w:jc w:val="left"/>
        <w:rPr>
          <w:rFonts w:hint="eastAsia"/>
          <w:color w:val="auto"/>
          <w:sz w:val="24"/>
        </w:rPr>
      </w:pPr>
    </w:p>
    <w:p w14:paraId="3ADEE553">
      <w:pPr>
        <w:widowControl/>
        <w:jc w:val="left"/>
        <w:rPr>
          <w:rFonts w:hint="eastAsia"/>
          <w:color w:val="auto"/>
          <w:sz w:val="24"/>
        </w:rPr>
      </w:pPr>
    </w:p>
    <w:p w14:paraId="1B5347D5">
      <w:pPr>
        <w:widowControl/>
        <w:jc w:val="left"/>
        <w:rPr>
          <w:rFonts w:hint="eastAsia"/>
          <w:color w:val="auto"/>
          <w:sz w:val="24"/>
        </w:rPr>
      </w:pPr>
    </w:p>
    <w:p w14:paraId="31642893">
      <w:pPr>
        <w:pStyle w:val="17"/>
        <w:tabs>
          <w:tab w:val="left" w:pos="567"/>
        </w:tabs>
        <w:rPr>
          <w:rFonts w:hint="eastAsia"/>
          <w:color w:val="auto"/>
        </w:rPr>
      </w:pPr>
    </w:p>
    <w:p w14:paraId="62E696A0">
      <w:pPr>
        <w:rPr>
          <w:rFonts w:hint="eastAsia"/>
          <w:color w:val="auto"/>
          <w:sz w:val="24"/>
        </w:rPr>
      </w:pPr>
    </w:p>
    <w:p w14:paraId="335F1333">
      <w:pPr>
        <w:pStyle w:val="17"/>
        <w:tabs>
          <w:tab w:val="left" w:pos="567"/>
        </w:tabs>
        <w:rPr>
          <w:rFonts w:hint="eastAsia"/>
          <w:color w:val="auto"/>
        </w:rPr>
      </w:pPr>
    </w:p>
    <w:p w14:paraId="428CD6FC">
      <w:pPr>
        <w:widowControl/>
        <w:jc w:val="left"/>
        <w:rPr>
          <w:rFonts w:hint="eastAsia"/>
          <w:color w:val="auto"/>
          <w:sz w:val="24"/>
        </w:rPr>
      </w:pPr>
    </w:p>
    <w:p w14:paraId="08C2D38E">
      <w:pPr>
        <w:widowControl/>
        <w:jc w:val="left"/>
        <w:rPr>
          <w:rFonts w:hint="eastAsia"/>
          <w:color w:val="auto"/>
          <w:sz w:val="24"/>
        </w:rPr>
      </w:pPr>
    </w:p>
    <w:p w14:paraId="00F5B4A0">
      <w:pPr>
        <w:widowControl/>
        <w:jc w:val="left"/>
        <w:rPr>
          <w:rFonts w:hint="eastAsia"/>
          <w:color w:val="auto"/>
          <w:sz w:val="24"/>
        </w:rPr>
      </w:pPr>
    </w:p>
    <w:p w14:paraId="0F1A2047">
      <w:pPr>
        <w:widowControl/>
        <w:jc w:val="left"/>
        <w:rPr>
          <w:rFonts w:hint="eastAsia"/>
          <w:color w:val="auto"/>
          <w:sz w:val="24"/>
        </w:rPr>
      </w:pPr>
    </w:p>
    <w:p w14:paraId="507A0848">
      <w:pPr>
        <w:widowControl/>
        <w:jc w:val="left"/>
        <w:rPr>
          <w:rFonts w:hint="eastAsia"/>
          <w:color w:val="auto"/>
          <w:sz w:val="24"/>
        </w:rPr>
      </w:pPr>
    </w:p>
    <w:p w14:paraId="34EF6533">
      <w:pPr>
        <w:widowControl/>
        <w:jc w:val="left"/>
        <w:rPr>
          <w:rFonts w:hint="eastAsia"/>
          <w:color w:val="auto"/>
          <w:sz w:val="24"/>
        </w:rPr>
      </w:pPr>
    </w:p>
    <w:p w14:paraId="4DF45F21">
      <w:pPr>
        <w:widowControl/>
        <w:jc w:val="left"/>
        <w:rPr>
          <w:rFonts w:hint="eastAsia"/>
          <w:color w:val="auto"/>
          <w:sz w:val="24"/>
        </w:rPr>
      </w:pPr>
    </w:p>
    <w:p w14:paraId="405E8B2F">
      <w:pPr>
        <w:widowControl/>
        <w:jc w:val="left"/>
        <w:rPr>
          <w:rFonts w:hint="eastAsia"/>
          <w:color w:val="auto"/>
          <w:sz w:val="24"/>
        </w:rPr>
      </w:pPr>
    </w:p>
    <w:p w14:paraId="0A5719E9">
      <w:pPr>
        <w:widowControl/>
        <w:jc w:val="left"/>
        <w:rPr>
          <w:rFonts w:hint="eastAsia"/>
          <w:color w:val="auto"/>
          <w:sz w:val="24"/>
        </w:rPr>
      </w:pPr>
    </w:p>
    <w:p w14:paraId="5E0654A2">
      <w:pPr>
        <w:widowControl/>
        <w:jc w:val="left"/>
        <w:rPr>
          <w:rFonts w:hint="eastAsia"/>
          <w:color w:val="auto"/>
          <w:sz w:val="24"/>
        </w:rPr>
      </w:pPr>
    </w:p>
    <w:p w14:paraId="1206AA9D">
      <w:pPr>
        <w:pStyle w:val="18"/>
        <w:rPr>
          <w:rFonts w:hint="eastAsia"/>
          <w:color w:val="auto"/>
        </w:rPr>
      </w:pPr>
    </w:p>
    <w:p w14:paraId="604C3D48">
      <w:pPr>
        <w:pStyle w:val="18"/>
        <w:rPr>
          <w:rFonts w:hint="eastAsia"/>
          <w:color w:val="auto"/>
        </w:rPr>
      </w:pPr>
    </w:p>
    <w:p w14:paraId="5D22CA7D">
      <w:pPr>
        <w:pStyle w:val="18"/>
        <w:rPr>
          <w:rFonts w:hint="eastAsia"/>
          <w:color w:val="auto"/>
        </w:rPr>
      </w:pPr>
    </w:p>
    <w:p w14:paraId="5F794212">
      <w:pPr>
        <w:pStyle w:val="18"/>
        <w:rPr>
          <w:rFonts w:hint="eastAsia"/>
          <w:color w:val="auto"/>
        </w:rPr>
      </w:pPr>
    </w:p>
    <w:p w14:paraId="560846BD">
      <w:pPr>
        <w:pStyle w:val="18"/>
        <w:rPr>
          <w:rFonts w:hint="eastAsia"/>
          <w:color w:val="auto"/>
        </w:rPr>
      </w:pPr>
    </w:p>
    <w:p w14:paraId="4B42B088">
      <w:pPr>
        <w:pStyle w:val="3"/>
        <w:numPr>
          <w:ilvl w:val="0"/>
          <w:numId w:val="89"/>
        </w:numPr>
        <w:ind w:left="0" w:leftChars="0" w:firstLine="480" w:firstLineChars="0"/>
        <w:rPr>
          <w:b w:val="0"/>
          <w:color w:val="auto"/>
        </w:rPr>
      </w:pPr>
      <w:r>
        <w:rPr>
          <w:color w:val="auto"/>
        </w:rPr>
        <w:t>政府采购供应商信用承诺书（实质性格式）</w:t>
      </w:r>
    </w:p>
    <w:p w14:paraId="41404499">
      <w:pPr>
        <w:spacing w:line="560" w:lineRule="exact"/>
        <w:ind w:firstLine="321" w:firstLineChars="100"/>
        <w:jc w:val="center"/>
        <w:rPr>
          <w:rFonts w:hint="eastAsia" w:ascii="黑体" w:hAnsi="黑体" w:eastAsia="黑体"/>
          <w:b/>
          <w:color w:val="auto"/>
          <w:sz w:val="32"/>
          <w:szCs w:val="32"/>
        </w:rPr>
      </w:pPr>
    </w:p>
    <w:p w14:paraId="08EA8173">
      <w:pPr>
        <w:pStyle w:val="40"/>
        <w:rPr>
          <w:color w:val="auto"/>
        </w:rPr>
      </w:pPr>
      <w:r>
        <w:rPr>
          <w:color w:val="auto"/>
        </w:rPr>
        <w:t>政府采购供应商信用承诺书</w:t>
      </w:r>
    </w:p>
    <w:p w14:paraId="2BC5A998">
      <w:pPr>
        <w:ind w:firstLine="640"/>
        <w:rPr>
          <w:snapToGrid w:val="0"/>
          <w:color w:val="auto"/>
          <w:kern w:val="0"/>
        </w:rPr>
      </w:pPr>
    </w:p>
    <w:p w14:paraId="2A3DBE49">
      <w:pPr>
        <w:pStyle w:val="17"/>
        <w:rPr>
          <w:color w:val="auto"/>
        </w:rPr>
      </w:pPr>
      <w:r>
        <w:rPr>
          <w:color w:val="auto"/>
        </w:rPr>
        <w:t>为维护公开、公平、公正的政府采购市场秩序，树立诚实守信的供应商形象，本单位在参与政府采购活动中,自愿作出以下承诺：</w:t>
      </w:r>
    </w:p>
    <w:p w14:paraId="4BC11B40">
      <w:pPr>
        <w:pStyle w:val="17"/>
        <w:numPr>
          <w:ilvl w:val="0"/>
          <w:numId w:val="91"/>
        </w:numPr>
        <w:topLinePunct w:val="0"/>
        <w:ind w:left="0" w:leftChars="0" w:firstLine="480" w:firstLineChars="0"/>
        <w:rPr>
          <w:b w:val="0"/>
          <w:color w:val="auto"/>
        </w:rPr>
      </w:pPr>
      <w:r>
        <w:rPr>
          <w:color w:val="auto"/>
        </w:rPr>
        <w:t>严格遵守国家法律、法规和规章，全面履行应尽的责任和义务，全面做到履约守信，具备《政府采购法》第二十二条第一款规定的条件。</w:t>
      </w:r>
    </w:p>
    <w:p w14:paraId="1665FB31">
      <w:pPr>
        <w:pStyle w:val="17"/>
        <w:numPr>
          <w:ilvl w:val="0"/>
          <w:numId w:val="91"/>
        </w:numPr>
        <w:topLinePunct w:val="0"/>
        <w:ind w:left="0" w:leftChars="0" w:firstLine="480" w:firstLineChars="0"/>
        <w:rPr>
          <w:b w:val="0"/>
          <w:color w:val="auto"/>
        </w:rPr>
      </w:pPr>
      <w:r>
        <w:rPr>
          <w:color w:val="auto"/>
        </w:rPr>
        <w:t>本单位已经阅读并充分理解《常州市政府采购供应商信用管理暂行办法》，自愿按照《常州市政府采购供应商信用管理暂行办法》规定，发生失信行为将记录并公开到“信用常州”、常州市政府采购网。</w:t>
      </w:r>
    </w:p>
    <w:p w14:paraId="78F63594">
      <w:pPr>
        <w:pStyle w:val="17"/>
        <w:numPr>
          <w:ilvl w:val="0"/>
          <w:numId w:val="91"/>
        </w:numPr>
        <w:topLinePunct w:val="0"/>
        <w:ind w:left="0" w:leftChars="0" w:firstLine="480" w:firstLineChars="0"/>
        <w:rPr>
          <w:b w:val="0"/>
          <w:color w:val="auto"/>
        </w:rPr>
      </w:pPr>
      <w:r>
        <w:rPr>
          <w:color w:val="auto"/>
        </w:rPr>
        <w:t>本单位提供给注册登记部门、行业管理部门、司法部门、行业组织以及在政府采购活动中提交的所有资料均合法、真实、有效，无任何伪造、修改、虚假成份，并对所提供资料的真实性负责。</w:t>
      </w:r>
    </w:p>
    <w:p w14:paraId="16A03EAA">
      <w:pPr>
        <w:pStyle w:val="17"/>
        <w:numPr>
          <w:ilvl w:val="0"/>
          <w:numId w:val="91"/>
        </w:numPr>
        <w:topLinePunct w:val="0"/>
        <w:ind w:left="0" w:leftChars="0" w:firstLine="480" w:firstLineChars="0"/>
        <w:rPr>
          <w:b w:val="0"/>
          <w:color w:val="auto"/>
        </w:rPr>
      </w:pPr>
      <w:r>
        <w:rPr>
          <w:color w:val="auto"/>
        </w:rPr>
        <w:t>严格依法开展生产经营活动，主动接受行业监管，自愿接受依法开展的日常检查；违法失信经营后将自愿接受约束和惩戒，并依法承担相应责任。</w:t>
      </w:r>
    </w:p>
    <w:p w14:paraId="7914956B">
      <w:pPr>
        <w:pStyle w:val="17"/>
        <w:numPr>
          <w:ilvl w:val="0"/>
          <w:numId w:val="91"/>
        </w:numPr>
        <w:topLinePunct w:val="0"/>
        <w:ind w:left="0" w:leftChars="0" w:firstLine="480" w:firstLineChars="0"/>
        <w:rPr>
          <w:b w:val="0"/>
          <w:color w:val="auto"/>
        </w:rPr>
      </w:pPr>
      <w:r>
        <w:rPr>
          <w:color w:val="auto"/>
        </w:rPr>
        <w:t xml:space="preserve">承诺本单位自觉接受行政管理部门、行业组织、社会公众、新闻舆论的监督。 </w:t>
      </w:r>
    </w:p>
    <w:p w14:paraId="6E087F04">
      <w:pPr>
        <w:pStyle w:val="17"/>
        <w:numPr>
          <w:ilvl w:val="0"/>
          <w:numId w:val="91"/>
        </w:numPr>
        <w:topLinePunct w:val="0"/>
        <w:ind w:left="0" w:leftChars="0" w:firstLine="480" w:firstLineChars="0"/>
        <w:rPr>
          <w:b w:val="0"/>
          <w:color w:val="auto"/>
        </w:rPr>
      </w:pPr>
      <w:r>
        <w:rPr>
          <w:color w:val="auto"/>
        </w:rPr>
        <w:t xml:space="preserve">承诺本单位自我约束、自我管理，重合同、守信用，不制假售假、商标侵权、虚假宣传、违约毁约、恶意逃债、偷税漏税、价格欺诈、垄断和不正当竞争，维护经营者、消费者的合法权益。 </w:t>
      </w:r>
    </w:p>
    <w:p w14:paraId="306B18FC">
      <w:pPr>
        <w:pStyle w:val="17"/>
        <w:numPr>
          <w:ilvl w:val="0"/>
          <w:numId w:val="91"/>
        </w:numPr>
        <w:topLinePunct w:val="0"/>
        <w:ind w:left="0" w:leftChars="0" w:firstLine="480" w:firstLineChars="0"/>
        <w:rPr>
          <w:b w:val="0"/>
          <w:color w:val="auto"/>
        </w:rPr>
      </w:pPr>
      <w:r>
        <w:rPr>
          <w:color w:val="auto"/>
        </w:rPr>
        <w:t xml:space="preserve">承诺本单位在信用中国（江苏）网站中无违法违规、较重或严重失信记录。 </w:t>
      </w:r>
    </w:p>
    <w:p w14:paraId="4D512CB0">
      <w:pPr>
        <w:pStyle w:val="17"/>
        <w:numPr>
          <w:ilvl w:val="0"/>
          <w:numId w:val="91"/>
        </w:numPr>
        <w:topLinePunct w:val="0"/>
        <w:ind w:left="0" w:leftChars="0" w:firstLine="480" w:firstLineChars="0"/>
        <w:rPr>
          <w:b w:val="0"/>
          <w:color w:val="auto"/>
        </w:rPr>
      </w:pPr>
      <w:r>
        <w:rPr>
          <w:color w:val="auto"/>
        </w:rPr>
        <w:t>承诺本单位提出政府采购质疑和投诉坚持依法依规、诚实信用原则。</w:t>
      </w:r>
    </w:p>
    <w:p w14:paraId="71A62A82">
      <w:pPr>
        <w:pStyle w:val="17"/>
        <w:numPr>
          <w:ilvl w:val="0"/>
          <w:numId w:val="91"/>
        </w:numPr>
        <w:topLinePunct w:val="0"/>
        <w:ind w:left="0" w:leftChars="0" w:firstLine="480" w:firstLineChars="0"/>
        <w:rPr>
          <w:b w:val="0"/>
          <w:color w:val="auto"/>
        </w:rPr>
      </w:pPr>
      <w:r>
        <w:rPr>
          <w:color w:val="auto"/>
        </w:rPr>
        <w:t xml:space="preserve">根据政府采购相关法律法规的规定需要作出的其他承诺。 </w:t>
      </w:r>
    </w:p>
    <w:p w14:paraId="39B04A86">
      <w:pPr>
        <w:pStyle w:val="17"/>
        <w:numPr>
          <w:ilvl w:val="0"/>
          <w:numId w:val="91"/>
        </w:numPr>
        <w:topLinePunct w:val="0"/>
        <w:ind w:left="0" w:leftChars="0" w:firstLine="480" w:firstLineChars="0"/>
        <w:rPr>
          <w:b w:val="0"/>
          <w:color w:val="auto"/>
        </w:rPr>
      </w:pPr>
      <w:r>
        <w:rPr>
          <w:color w:val="auto"/>
        </w:rPr>
        <w:t>承诺本单位若违背承诺约定，经查实，愿意接受行业主管部门和信用管理部门相应的规定处罚，承担违约责任，并依法承担相应的法律责任。</w:t>
      </w:r>
    </w:p>
    <w:p w14:paraId="4C517F99">
      <w:pPr>
        <w:pStyle w:val="17"/>
        <w:numPr>
          <w:ilvl w:val="0"/>
          <w:numId w:val="91"/>
        </w:numPr>
        <w:topLinePunct w:val="0"/>
        <w:ind w:left="0" w:leftChars="0" w:firstLine="480" w:firstLineChars="0"/>
        <w:rPr>
          <w:b w:val="0"/>
          <w:color w:val="auto"/>
        </w:rPr>
      </w:pPr>
      <w:r>
        <w:rPr>
          <w:color w:val="auto"/>
        </w:rPr>
        <w:t>承诺本单位同意将以上承诺事项上网公示，违背承诺约定行为将作为失信信息，记录到常州市公共信用信息系统，并予以公开。</w:t>
      </w:r>
    </w:p>
    <w:p w14:paraId="158303C6">
      <w:pPr>
        <w:pStyle w:val="249"/>
        <w:spacing w:line="276" w:lineRule="auto"/>
        <w:ind w:right="1050" w:rightChars="500" w:firstLine="2880" w:firstLineChars="1200"/>
        <w:jc w:val="both"/>
        <w:rPr>
          <w:rFonts w:ascii="宋体" w:hAnsi="宋体" w:eastAsia="宋体"/>
          <w:color w:val="auto"/>
          <w:sz w:val="24"/>
          <w:szCs w:val="22"/>
        </w:rPr>
      </w:pPr>
    </w:p>
    <w:p w14:paraId="3E78A8C6">
      <w:pPr>
        <w:autoSpaceDE w:val="0"/>
        <w:autoSpaceDN w:val="0"/>
        <w:adjustRightInd w:val="0"/>
        <w:snapToGrid w:val="0"/>
        <w:spacing w:before="25" w:after="25" w:line="360" w:lineRule="auto"/>
        <w:rPr>
          <w:rFonts w:ascii="Times New Roman" w:hAnsi="Times New Roman" w:eastAsia="宋体" w:cs="Times New Roman"/>
          <w:color w:val="auto"/>
          <w:sz w:val="24"/>
          <w:szCs w:val="24"/>
          <w:lang w:val="zh-CN"/>
        </w:rPr>
      </w:pPr>
      <w:r>
        <w:rPr>
          <w:rFonts w:ascii="Times New Roman" w:hAnsi="Times New Roman" w:eastAsia="宋体" w:cs="Times New Roman"/>
          <w:color w:val="auto"/>
          <w:sz w:val="24"/>
          <w:szCs w:val="24"/>
        </w:rPr>
        <w:t>供应商名称（加盖公章）</w:t>
      </w:r>
      <w:r>
        <w:rPr>
          <w:rFonts w:ascii="Times New Roman" w:hAnsi="Times New Roman" w:eastAsia="宋体" w:cs="Times New Roman"/>
          <w:color w:val="auto"/>
          <w:sz w:val="24"/>
          <w:szCs w:val="24"/>
          <w:lang w:val="zh-CN"/>
        </w:rPr>
        <w:t>：____________</w:t>
      </w:r>
    </w:p>
    <w:p w14:paraId="56470981">
      <w:pPr>
        <w:autoSpaceDE w:val="0"/>
        <w:autoSpaceDN w:val="0"/>
        <w:adjustRightInd w:val="0"/>
        <w:snapToGrid w:val="0"/>
        <w:spacing w:before="25" w:after="25" w:line="360" w:lineRule="auto"/>
        <w:rPr>
          <w:rFonts w:ascii="Times New Roman" w:hAnsi="Times New Roman" w:eastAsia="宋体" w:cs="Times New Roman"/>
          <w:color w:val="auto"/>
          <w:sz w:val="24"/>
          <w:szCs w:val="24"/>
          <w:lang w:val="zh-CN"/>
        </w:rPr>
      </w:pPr>
      <w:r>
        <w:rPr>
          <w:rFonts w:ascii="Times New Roman" w:hAnsi="Times New Roman" w:eastAsia="宋体" w:cs="Times New Roman"/>
          <w:color w:val="auto"/>
          <w:sz w:val="24"/>
          <w:szCs w:val="24"/>
        </w:rPr>
        <w:t xml:space="preserve">日期：_____年______月______日   </w:t>
      </w:r>
    </w:p>
    <w:p w14:paraId="07939997">
      <w:pPr>
        <w:spacing w:line="276" w:lineRule="auto"/>
        <w:ind w:firstLine="480"/>
        <w:rPr>
          <w:rFonts w:hint="eastAsia" w:ascii="宋体" w:hAnsi="宋体"/>
          <w:color w:val="auto"/>
          <w:sz w:val="24"/>
        </w:rPr>
      </w:pPr>
    </w:p>
    <w:p w14:paraId="3276D62B">
      <w:pPr>
        <w:pStyle w:val="3"/>
        <w:numPr>
          <w:ilvl w:val="0"/>
          <w:numId w:val="92"/>
        </w:numPr>
        <w:ind w:left="0" w:leftChars="0" w:firstLine="0" w:firstLineChars="0"/>
        <w:rPr>
          <w:b w:val="0"/>
          <w:color w:val="auto"/>
        </w:rPr>
      </w:pPr>
      <w:r>
        <w:rPr>
          <w:color w:val="auto"/>
        </w:rPr>
        <w:t>报价一览表</w:t>
      </w:r>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p>
    <w:p w14:paraId="0CA9931D">
      <w:pPr>
        <w:pStyle w:val="265"/>
        <w:rPr>
          <w:color w:val="auto"/>
        </w:rPr>
      </w:pPr>
      <w:bookmarkStart w:id="608" w:name="_Toc164608827"/>
      <w:bookmarkStart w:id="609" w:name="_Toc265228396"/>
      <w:bookmarkStart w:id="610" w:name="_Toc264969248"/>
      <w:bookmarkStart w:id="611" w:name="_Toc226309802"/>
      <w:bookmarkStart w:id="612" w:name="_Toc305158900"/>
      <w:bookmarkStart w:id="613" w:name="_Toc305158826"/>
      <w:bookmarkStart w:id="614" w:name="_Toc226965831"/>
      <w:bookmarkStart w:id="615" w:name="_Toc195842923"/>
      <w:bookmarkStart w:id="616" w:name="_Toc226965748"/>
      <w:bookmarkStart w:id="617" w:name="_Toc164608672"/>
      <w:bookmarkStart w:id="618" w:name="_Toc226337254"/>
      <w:r>
        <w:rPr>
          <w:color w:val="auto"/>
        </w:rPr>
        <w:t>报价一览表</w:t>
      </w:r>
      <w:bookmarkEnd w:id="608"/>
      <w:bookmarkEnd w:id="609"/>
      <w:bookmarkEnd w:id="610"/>
      <w:bookmarkEnd w:id="611"/>
      <w:bookmarkEnd w:id="612"/>
      <w:bookmarkEnd w:id="613"/>
      <w:bookmarkEnd w:id="614"/>
      <w:bookmarkEnd w:id="615"/>
      <w:bookmarkEnd w:id="616"/>
      <w:bookmarkEnd w:id="617"/>
      <w:bookmarkEnd w:id="618"/>
    </w:p>
    <w:p w14:paraId="1A89DEB8">
      <w:pPr>
        <w:tabs>
          <w:tab w:val="left" w:pos="1800"/>
          <w:tab w:val="left" w:pos="5580"/>
        </w:tabs>
        <w:spacing w:line="360" w:lineRule="auto"/>
        <w:jc w:val="left"/>
        <w:rPr>
          <w:color w:val="auto"/>
          <w:sz w:val="24"/>
        </w:rPr>
      </w:pPr>
    </w:p>
    <w:p w14:paraId="038B244D">
      <w:pPr>
        <w:pStyle w:val="17"/>
        <w:rPr>
          <w:color w:val="auto"/>
          <w:u w:val="single"/>
        </w:rPr>
      </w:pPr>
      <w:r>
        <w:rPr>
          <w:color w:val="auto"/>
        </w:rPr>
        <w:t>项目编号/包号：_____________________     项目名称：_______________________</w:t>
      </w:r>
    </w:p>
    <w:tbl>
      <w:tblPr>
        <w:tblStyle w:val="43"/>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31"/>
        <w:gridCol w:w="3284"/>
        <w:gridCol w:w="2076"/>
        <w:gridCol w:w="2185"/>
      </w:tblGrid>
      <w:tr w14:paraId="616B5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96" w:type="pct"/>
            <w:vMerge w:val="restart"/>
            <w:tcBorders>
              <w:top w:val="single" w:color="auto" w:sz="4" w:space="0"/>
              <w:left w:val="single" w:color="auto" w:sz="4" w:space="0"/>
              <w:bottom w:val="single" w:color="auto" w:sz="4" w:space="0"/>
              <w:right w:val="single" w:color="auto" w:sz="4" w:space="0"/>
            </w:tcBorders>
            <w:noWrap w:val="0"/>
            <w:vAlign w:val="center"/>
          </w:tcPr>
          <w:p w14:paraId="6090DE40">
            <w:pPr>
              <w:tabs>
                <w:tab w:val="left" w:pos="5580"/>
              </w:tabs>
              <w:jc w:val="center"/>
              <w:rPr>
                <w:b/>
                <w:color w:val="auto"/>
                <w:sz w:val="24"/>
              </w:rPr>
            </w:pPr>
            <w:r>
              <w:rPr>
                <w:rFonts w:hint="eastAsia"/>
                <w:b/>
                <w:color w:val="auto"/>
                <w:sz w:val="24"/>
              </w:rPr>
              <w:t>序号</w:t>
            </w:r>
          </w:p>
        </w:tc>
        <w:tc>
          <w:tcPr>
            <w:tcW w:w="1960" w:type="pct"/>
            <w:vMerge w:val="restart"/>
            <w:tcBorders>
              <w:top w:val="single" w:color="auto" w:sz="4" w:space="0"/>
              <w:left w:val="single" w:color="auto" w:sz="4" w:space="0"/>
              <w:bottom w:val="single" w:color="auto" w:sz="4" w:space="0"/>
              <w:right w:val="single" w:color="auto" w:sz="4" w:space="0"/>
            </w:tcBorders>
            <w:noWrap w:val="0"/>
            <w:vAlign w:val="center"/>
          </w:tcPr>
          <w:p w14:paraId="22180425">
            <w:pPr>
              <w:tabs>
                <w:tab w:val="left" w:pos="5580"/>
              </w:tabs>
              <w:jc w:val="center"/>
              <w:rPr>
                <w:b/>
                <w:color w:val="auto"/>
                <w:sz w:val="24"/>
              </w:rPr>
            </w:pPr>
            <w:r>
              <w:rPr>
                <w:rFonts w:hint="eastAsia"/>
                <w:b/>
                <w:color w:val="auto"/>
                <w:sz w:val="24"/>
              </w:rPr>
              <w:t>供应商名称</w:t>
            </w:r>
          </w:p>
        </w:tc>
        <w:tc>
          <w:tcPr>
            <w:tcW w:w="2543" w:type="pct"/>
            <w:gridSpan w:val="2"/>
            <w:tcBorders>
              <w:top w:val="single" w:color="auto" w:sz="4" w:space="0"/>
              <w:left w:val="single" w:color="auto" w:sz="4" w:space="0"/>
              <w:bottom w:val="single" w:color="auto" w:sz="4" w:space="0"/>
              <w:right w:val="single" w:color="auto" w:sz="4" w:space="0"/>
            </w:tcBorders>
            <w:noWrap w:val="0"/>
            <w:vAlign w:val="center"/>
          </w:tcPr>
          <w:p w14:paraId="585A6DA2">
            <w:pPr>
              <w:tabs>
                <w:tab w:val="left" w:pos="5580"/>
              </w:tabs>
              <w:jc w:val="center"/>
              <w:rPr>
                <w:b/>
                <w:color w:val="auto"/>
                <w:sz w:val="24"/>
              </w:rPr>
            </w:pPr>
            <w:r>
              <w:rPr>
                <w:rFonts w:hint="eastAsia"/>
                <w:b/>
                <w:color w:val="auto"/>
                <w:sz w:val="24"/>
              </w:rPr>
              <w:t>报价</w:t>
            </w:r>
          </w:p>
        </w:tc>
      </w:tr>
      <w:tr w14:paraId="4D0E3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26E38B24">
            <w:pPr>
              <w:widowControl/>
              <w:jc w:val="left"/>
              <w:rPr>
                <w:b/>
                <w:color w:val="auto"/>
                <w:sz w:val="24"/>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2EA41D1C">
            <w:pPr>
              <w:widowControl/>
              <w:jc w:val="left"/>
              <w:rPr>
                <w:b/>
                <w:color w:val="auto"/>
                <w:sz w:val="24"/>
              </w:rPr>
            </w:pPr>
          </w:p>
        </w:tc>
        <w:tc>
          <w:tcPr>
            <w:tcW w:w="1239" w:type="pct"/>
            <w:tcBorders>
              <w:top w:val="single" w:color="auto" w:sz="4" w:space="0"/>
              <w:left w:val="single" w:color="auto" w:sz="4" w:space="0"/>
              <w:bottom w:val="single" w:color="auto" w:sz="4" w:space="0"/>
              <w:right w:val="single" w:color="auto" w:sz="4" w:space="0"/>
            </w:tcBorders>
            <w:noWrap w:val="0"/>
            <w:vAlign w:val="center"/>
          </w:tcPr>
          <w:p w14:paraId="464DB1D5">
            <w:pPr>
              <w:tabs>
                <w:tab w:val="left" w:pos="5580"/>
              </w:tabs>
              <w:jc w:val="center"/>
              <w:rPr>
                <w:b/>
                <w:color w:val="auto"/>
                <w:sz w:val="24"/>
              </w:rPr>
            </w:pPr>
            <w:r>
              <w:rPr>
                <w:rFonts w:hint="eastAsia"/>
                <w:b/>
                <w:color w:val="auto"/>
                <w:sz w:val="24"/>
              </w:rPr>
              <w:t>大写</w:t>
            </w:r>
          </w:p>
        </w:tc>
        <w:tc>
          <w:tcPr>
            <w:tcW w:w="1304" w:type="pct"/>
            <w:tcBorders>
              <w:top w:val="single" w:color="auto" w:sz="4" w:space="0"/>
              <w:left w:val="single" w:color="auto" w:sz="4" w:space="0"/>
              <w:bottom w:val="single" w:color="auto" w:sz="4" w:space="0"/>
              <w:right w:val="single" w:color="auto" w:sz="4" w:space="0"/>
            </w:tcBorders>
            <w:noWrap w:val="0"/>
            <w:vAlign w:val="center"/>
          </w:tcPr>
          <w:p w14:paraId="6827C4B9">
            <w:pPr>
              <w:tabs>
                <w:tab w:val="left" w:pos="5580"/>
              </w:tabs>
              <w:jc w:val="center"/>
              <w:rPr>
                <w:b/>
                <w:color w:val="auto"/>
                <w:sz w:val="24"/>
              </w:rPr>
            </w:pPr>
            <w:r>
              <w:rPr>
                <w:rFonts w:hint="eastAsia"/>
                <w:b/>
                <w:color w:val="auto"/>
                <w:sz w:val="24"/>
              </w:rPr>
              <w:t>小写</w:t>
            </w:r>
          </w:p>
        </w:tc>
      </w:tr>
      <w:tr w14:paraId="30BAD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6" w:type="pct"/>
            <w:tcBorders>
              <w:top w:val="single" w:color="auto" w:sz="4" w:space="0"/>
              <w:left w:val="single" w:color="auto" w:sz="4" w:space="0"/>
              <w:bottom w:val="single" w:color="auto" w:sz="4" w:space="0"/>
              <w:right w:val="single" w:color="auto" w:sz="4" w:space="0"/>
            </w:tcBorders>
            <w:noWrap w:val="0"/>
            <w:vAlign w:val="center"/>
          </w:tcPr>
          <w:p w14:paraId="35FB487E">
            <w:pPr>
              <w:tabs>
                <w:tab w:val="left" w:pos="5580"/>
              </w:tabs>
              <w:jc w:val="center"/>
              <w:rPr>
                <w:color w:val="auto"/>
                <w:sz w:val="24"/>
              </w:rPr>
            </w:pPr>
          </w:p>
        </w:tc>
        <w:tc>
          <w:tcPr>
            <w:tcW w:w="1960" w:type="pct"/>
            <w:tcBorders>
              <w:top w:val="single" w:color="auto" w:sz="4" w:space="0"/>
              <w:left w:val="single" w:color="auto" w:sz="4" w:space="0"/>
              <w:bottom w:val="single" w:color="auto" w:sz="4" w:space="0"/>
              <w:right w:val="single" w:color="auto" w:sz="4" w:space="0"/>
            </w:tcBorders>
            <w:noWrap w:val="0"/>
            <w:vAlign w:val="center"/>
          </w:tcPr>
          <w:p w14:paraId="442614A2">
            <w:pPr>
              <w:tabs>
                <w:tab w:val="left" w:pos="5580"/>
              </w:tabs>
              <w:jc w:val="center"/>
              <w:rPr>
                <w:color w:val="auto"/>
                <w:sz w:val="24"/>
              </w:rPr>
            </w:pPr>
          </w:p>
        </w:tc>
        <w:tc>
          <w:tcPr>
            <w:tcW w:w="1239" w:type="pct"/>
            <w:tcBorders>
              <w:top w:val="single" w:color="auto" w:sz="4" w:space="0"/>
              <w:left w:val="single" w:color="auto" w:sz="4" w:space="0"/>
              <w:bottom w:val="single" w:color="auto" w:sz="4" w:space="0"/>
              <w:right w:val="single" w:color="auto" w:sz="4" w:space="0"/>
            </w:tcBorders>
            <w:noWrap w:val="0"/>
            <w:vAlign w:val="center"/>
          </w:tcPr>
          <w:p w14:paraId="76BDC3DE">
            <w:pPr>
              <w:tabs>
                <w:tab w:val="left" w:pos="5580"/>
              </w:tabs>
              <w:jc w:val="center"/>
              <w:rPr>
                <w:color w:val="auto"/>
                <w:sz w:val="24"/>
              </w:rPr>
            </w:pPr>
          </w:p>
        </w:tc>
        <w:tc>
          <w:tcPr>
            <w:tcW w:w="1304" w:type="pct"/>
            <w:tcBorders>
              <w:top w:val="single" w:color="auto" w:sz="4" w:space="0"/>
              <w:left w:val="single" w:color="auto" w:sz="4" w:space="0"/>
              <w:bottom w:val="single" w:color="auto" w:sz="4" w:space="0"/>
              <w:right w:val="single" w:color="auto" w:sz="4" w:space="0"/>
            </w:tcBorders>
            <w:noWrap w:val="0"/>
            <w:vAlign w:val="center"/>
          </w:tcPr>
          <w:p w14:paraId="52D00381">
            <w:pPr>
              <w:tabs>
                <w:tab w:val="left" w:pos="5580"/>
              </w:tabs>
              <w:jc w:val="center"/>
              <w:rPr>
                <w:color w:val="auto"/>
                <w:sz w:val="24"/>
              </w:rPr>
            </w:pPr>
          </w:p>
        </w:tc>
      </w:tr>
    </w:tbl>
    <w:p w14:paraId="00E8F74D">
      <w:pPr>
        <w:autoSpaceDE w:val="0"/>
        <w:autoSpaceDN w:val="0"/>
        <w:adjustRightInd w:val="0"/>
        <w:jc w:val="left"/>
        <w:rPr>
          <w:color w:val="auto"/>
          <w:kern w:val="0"/>
          <w:sz w:val="24"/>
        </w:rPr>
      </w:pPr>
    </w:p>
    <w:p w14:paraId="12AFE2B6">
      <w:pPr>
        <w:pStyle w:val="17"/>
        <w:ind w:left="900" w:leftChars="200" w:hanging="480" w:hangingChars="200"/>
        <w:rPr>
          <w:color w:val="auto"/>
        </w:rPr>
      </w:pPr>
      <w:r>
        <w:rPr>
          <w:color w:val="auto"/>
        </w:rPr>
        <w:t>注：1.此表中，每包的报价应和《分项报价表》中的总价相一致。</w:t>
      </w:r>
    </w:p>
    <w:p w14:paraId="5BFCA926">
      <w:pPr>
        <w:pStyle w:val="17"/>
        <w:ind w:left="840" w:leftChars="400" w:firstLine="0" w:firstLineChars="0"/>
        <w:rPr>
          <w:color w:val="auto"/>
        </w:rPr>
      </w:pPr>
      <w:r>
        <w:rPr>
          <w:color w:val="auto"/>
        </w:rPr>
        <w:t>2.本表必须按包分别填写。</w:t>
      </w:r>
    </w:p>
    <w:p w14:paraId="1892A98E">
      <w:pPr>
        <w:autoSpaceDE w:val="0"/>
        <w:autoSpaceDN w:val="0"/>
        <w:adjustRightInd w:val="0"/>
        <w:snapToGrid w:val="0"/>
        <w:spacing w:before="25" w:after="25" w:line="360" w:lineRule="auto"/>
        <w:rPr>
          <w:color w:val="auto"/>
          <w:sz w:val="24"/>
          <w:lang w:val="zh-CN"/>
        </w:rPr>
      </w:pPr>
    </w:p>
    <w:p w14:paraId="7CB43500">
      <w:pPr>
        <w:autoSpaceDE w:val="0"/>
        <w:autoSpaceDN w:val="0"/>
        <w:adjustRightInd w:val="0"/>
        <w:snapToGrid w:val="0"/>
        <w:spacing w:before="25" w:after="25" w:line="360" w:lineRule="auto"/>
        <w:rPr>
          <w:color w:val="auto"/>
          <w:sz w:val="24"/>
          <w:lang w:val="zh-CN"/>
        </w:rPr>
      </w:pPr>
      <w:r>
        <w:rPr>
          <w:color w:val="auto"/>
          <w:sz w:val="24"/>
          <w:lang w:val="zh-CN"/>
        </w:rPr>
        <w:t xml:space="preserve">                         </w:t>
      </w:r>
    </w:p>
    <w:p w14:paraId="3DB0DEA5">
      <w:pPr>
        <w:autoSpaceDE w:val="0"/>
        <w:autoSpaceDN w:val="0"/>
        <w:adjustRightInd w:val="0"/>
        <w:snapToGrid w:val="0"/>
        <w:spacing w:before="25" w:after="25" w:line="360" w:lineRule="auto"/>
        <w:rPr>
          <w:rFonts w:ascii="Times New Roman" w:hAnsi="Times New Roman" w:eastAsia="宋体" w:cs="Times New Roman"/>
          <w:color w:val="auto"/>
          <w:sz w:val="24"/>
          <w:szCs w:val="24"/>
          <w:lang w:val="zh-CN"/>
        </w:rPr>
      </w:pPr>
      <w:r>
        <w:rPr>
          <w:rFonts w:ascii="Times New Roman" w:hAnsi="Times New Roman" w:eastAsia="宋体" w:cs="Times New Roman"/>
          <w:color w:val="auto"/>
          <w:sz w:val="24"/>
          <w:szCs w:val="24"/>
        </w:rPr>
        <w:t>供应商名称（加盖公章）</w:t>
      </w:r>
      <w:r>
        <w:rPr>
          <w:rFonts w:ascii="Times New Roman" w:hAnsi="Times New Roman" w:eastAsia="宋体" w:cs="Times New Roman"/>
          <w:color w:val="auto"/>
          <w:sz w:val="24"/>
          <w:szCs w:val="24"/>
          <w:lang w:val="zh-CN"/>
        </w:rPr>
        <w:t>：____________</w:t>
      </w:r>
    </w:p>
    <w:p w14:paraId="0A7F947F">
      <w:pPr>
        <w:autoSpaceDE w:val="0"/>
        <w:autoSpaceDN w:val="0"/>
        <w:adjustRightInd w:val="0"/>
        <w:snapToGrid w:val="0"/>
        <w:spacing w:before="25" w:after="25" w:line="360" w:lineRule="auto"/>
        <w:rPr>
          <w:rFonts w:ascii="Times New Roman" w:hAnsi="Times New Roman" w:eastAsia="宋体" w:cs="Times New Roman"/>
          <w:color w:val="auto"/>
          <w:sz w:val="24"/>
          <w:szCs w:val="24"/>
          <w:lang w:val="zh-CN"/>
        </w:rPr>
      </w:pPr>
      <w:r>
        <w:rPr>
          <w:rFonts w:ascii="Times New Roman" w:hAnsi="Times New Roman" w:eastAsia="宋体" w:cs="Times New Roman"/>
          <w:color w:val="auto"/>
          <w:sz w:val="24"/>
          <w:szCs w:val="24"/>
        </w:rPr>
        <w:t xml:space="preserve">日期：_____年______月______日   </w:t>
      </w:r>
    </w:p>
    <w:p w14:paraId="779BDAD1">
      <w:pPr>
        <w:widowControl/>
        <w:jc w:val="left"/>
        <w:rPr>
          <w:color w:val="auto"/>
          <w:sz w:val="24"/>
          <w:szCs w:val="20"/>
        </w:rPr>
      </w:pPr>
      <w:bookmarkStart w:id="619" w:name="_Toc127151558"/>
      <w:bookmarkStart w:id="620" w:name="_Toc195842924"/>
      <w:bookmarkStart w:id="621" w:name="_Toc142311060"/>
      <w:bookmarkStart w:id="622" w:name="_Toc226337255"/>
      <w:bookmarkStart w:id="623" w:name="_Toc265228397"/>
      <w:bookmarkStart w:id="624" w:name="_Toc226965832"/>
      <w:bookmarkStart w:id="625" w:name="_Toc305158901"/>
      <w:bookmarkStart w:id="626" w:name="_Toc226965749"/>
      <w:bookmarkStart w:id="627" w:name="_Toc305158827"/>
      <w:bookmarkStart w:id="628" w:name="_Toc150774763"/>
      <w:bookmarkStart w:id="629" w:name="_Toc150480796"/>
      <w:bookmarkStart w:id="630" w:name="_Toc226309803"/>
      <w:bookmarkStart w:id="631" w:name="_Toc264969249"/>
      <w:r>
        <w:rPr>
          <w:color w:val="auto"/>
          <w:sz w:val="24"/>
          <w:szCs w:val="20"/>
        </w:rPr>
        <w:br w:type="page"/>
      </w:r>
    </w:p>
    <w:p w14:paraId="66440FA7">
      <w:pPr>
        <w:pStyle w:val="3"/>
        <w:numPr>
          <w:ilvl w:val="0"/>
          <w:numId w:val="92"/>
        </w:numPr>
        <w:ind w:left="0" w:leftChars="0" w:firstLine="0" w:firstLineChars="0"/>
        <w:rPr>
          <w:b w:val="0"/>
          <w:color w:val="auto"/>
        </w:rPr>
      </w:pPr>
      <w:r>
        <w:rPr>
          <w:color w:val="auto"/>
        </w:rPr>
        <w:t>分项报价表</w:t>
      </w:r>
      <w:bookmarkEnd w:id="619"/>
      <w:bookmarkEnd w:id="620"/>
      <w:bookmarkEnd w:id="621"/>
      <w:bookmarkEnd w:id="622"/>
      <w:bookmarkEnd w:id="623"/>
      <w:bookmarkEnd w:id="624"/>
      <w:bookmarkEnd w:id="625"/>
      <w:bookmarkEnd w:id="626"/>
      <w:bookmarkEnd w:id="627"/>
      <w:bookmarkEnd w:id="628"/>
      <w:bookmarkEnd w:id="629"/>
      <w:bookmarkEnd w:id="630"/>
      <w:bookmarkEnd w:id="631"/>
    </w:p>
    <w:p w14:paraId="4193FDAC">
      <w:pPr>
        <w:spacing w:line="360" w:lineRule="exact"/>
        <w:jc w:val="center"/>
        <w:rPr>
          <w:color w:val="auto"/>
          <w:sz w:val="36"/>
          <w:szCs w:val="36"/>
        </w:rPr>
      </w:pPr>
    </w:p>
    <w:p w14:paraId="007E4A8F">
      <w:pPr>
        <w:pStyle w:val="265"/>
        <w:rPr>
          <w:color w:val="auto"/>
        </w:rPr>
      </w:pPr>
      <w:r>
        <w:rPr>
          <w:color w:val="auto"/>
        </w:rPr>
        <w:t>分项报价表</w:t>
      </w:r>
    </w:p>
    <w:p w14:paraId="309F3F8D">
      <w:pPr>
        <w:spacing w:line="260" w:lineRule="exact"/>
        <w:jc w:val="center"/>
        <w:rPr>
          <w:color w:val="auto"/>
          <w:sz w:val="36"/>
          <w:szCs w:val="36"/>
        </w:rPr>
      </w:pPr>
    </w:p>
    <w:p w14:paraId="55B76EB9">
      <w:pPr>
        <w:pStyle w:val="17"/>
        <w:rPr>
          <w:color w:val="auto"/>
        </w:rPr>
      </w:pPr>
      <w:bookmarkStart w:id="632" w:name="_Toc226965835"/>
      <w:bookmarkStart w:id="633" w:name="_Toc265228400"/>
      <w:bookmarkStart w:id="634" w:name="_Toc150774765"/>
      <w:bookmarkStart w:id="635" w:name="_Toc226309806"/>
      <w:bookmarkStart w:id="636" w:name="_Toc226337258"/>
      <w:bookmarkStart w:id="637" w:name="_Toc142311062"/>
      <w:bookmarkStart w:id="638" w:name="_Toc127151562"/>
      <w:bookmarkStart w:id="639" w:name="_Toc150480798"/>
      <w:bookmarkStart w:id="640" w:name="_Toc264969252"/>
      <w:bookmarkStart w:id="641" w:name="_Toc195842927"/>
      <w:bookmarkStart w:id="642" w:name="_Toc305158904"/>
      <w:bookmarkStart w:id="643" w:name="_Toc226965752"/>
      <w:bookmarkStart w:id="644" w:name="_Toc305158830"/>
      <w:bookmarkStart w:id="645" w:name="_Toc142311061"/>
      <w:bookmarkStart w:id="646" w:name="_Toc195842926"/>
      <w:bookmarkStart w:id="647" w:name="_Toc226965751"/>
      <w:bookmarkStart w:id="648" w:name="_Toc127151561"/>
      <w:bookmarkStart w:id="649" w:name="_Toc226965834"/>
      <w:bookmarkStart w:id="650" w:name="_Toc226337257"/>
      <w:bookmarkStart w:id="651" w:name="_Toc150480797"/>
      <w:bookmarkStart w:id="652" w:name="_Toc305158829"/>
      <w:bookmarkStart w:id="653" w:name="_Toc264969251"/>
      <w:bookmarkStart w:id="654" w:name="_Toc265228399"/>
      <w:bookmarkStart w:id="655" w:name="_Toc150774764"/>
      <w:bookmarkStart w:id="656" w:name="_Toc226309805"/>
      <w:bookmarkStart w:id="657" w:name="_Toc305158903"/>
      <w:r>
        <w:rPr>
          <w:color w:val="auto"/>
        </w:rPr>
        <w:t>项目编号/包号：___________ 项目名称：__________报价单位：人民币元</w:t>
      </w:r>
    </w:p>
    <w:tbl>
      <w:tblPr>
        <w:tblStyle w:val="43"/>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6"/>
        <w:gridCol w:w="874"/>
        <w:gridCol w:w="819"/>
        <w:gridCol w:w="1300"/>
        <w:gridCol w:w="732"/>
        <w:gridCol w:w="759"/>
        <w:gridCol w:w="717"/>
        <w:gridCol w:w="875"/>
        <w:gridCol w:w="2735"/>
      </w:tblGrid>
      <w:tr w14:paraId="68D6B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365" w:type="pct"/>
            <w:vMerge w:val="restart"/>
            <w:tcBorders>
              <w:top w:val="single" w:color="auto" w:sz="4" w:space="0"/>
              <w:left w:val="single" w:color="auto" w:sz="4" w:space="0"/>
              <w:bottom w:val="single" w:color="auto" w:sz="4" w:space="0"/>
              <w:right w:val="single" w:color="auto" w:sz="4" w:space="0"/>
            </w:tcBorders>
            <w:noWrap w:val="0"/>
            <w:vAlign w:val="center"/>
          </w:tcPr>
          <w:p w14:paraId="23D6B86A">
            <w:pPr>
              <w:widowControl/>
              <w:snapToGrid w:val="0"/>
              <w:spacing w:line="360" w:lineRule="auto"/>
              <w:jc w:val="center"/>
              <w:rPr>
                <w:rFonts w:ascii="宋体" w:hAnsi="宋体" w:cs="Arial"/>
                <w:color w:val="auto"/>
                <w:kern w:val="0"/>
                <w:sz w:val="24"/>
              </w:rPr>
            </w:pPr>
            <w:r>
              <w:rPr>
                <w:rFonts w:hint="eastAsia" w:ascii="宋体" w:hAnsi="宋体" w:cs="Arial"/>
                <w:color w:val="auto"/>
                <w:kern w:val="0"/>
                <w:sz w:val="24"/>
              </w:rPr>
              <w:t>序号</w:t>
            </w:r>
          </w:p>
        </w:tc>
        <w:tc>
          <w:tcPr>
            <w:tcW w:w="460" w:type="pct"/>
            <w:vMerge w:val="restart"/>
            <w:tcBorders>
              <w:top w:val="single" w:color="auto" w:sz="4" w:space="0"/>
              <w:left w:val="single" w:color="auto" w:sz="4" w:space="0"/>
              <w:bottom w:val="single" w:color="auto" w:sz="4" w:space="0"/>
              <w:right w:val="single" w:color="auto" w:sz="4" w:space="0"/>
            </w:tcBorders>
            <w:noWrap w:val="0"/>
            <w:vAlign w:val="center"/>
          </w:tcPr>
          <w:p w14:paraId="4A2FB729">
            <w:pPr>
              <w:widowControl/>
              <w:snapToGrid w:val="0"/>
              <w:spacing w:line="360" w:lineRule="auto"/>
              <w:jc w:val="center"/>
              <w:rPr>
                <w:rFonts w:ascii="宋体" w:hAnsi="宋体" w:cs="Arial"/>
                <w:color w:val="auto"/>
                <w:kern w:val="0"/>
                <w:sz w:val="24"/>
              </w:rPr>
            </w:pPr>
            <w:r>
              <w:rPr>
                <w:rFonts w:hint="eastAsia" w:ascii="宋体" w:hAnsi="宋体" w:cs="Arial"/>
                <w:color w:val="auto"/>
                <w:kern w:val="0"/>
                <w:sz w:val="24"/>
              </w:rPr>
              <w:t>分项</w:t>
            </w:r>
          </w:p>
          <w:p w14:paraId="3DE5A70A">
            <w:pPr>
              <w:widowControl/>
              <w:snapToGrid w:val="0"/>
              <w:spacing w:line="360" w:lineRule="auto"/>
              <w:jc w:val="center"/>
              <w:rPr>
                <w:rFonts w:ascii="宋体" w:hAnsi="宋体" w:cs="Arial"/>
                <w:color w:val="auto"/>
                <w:kern w:val="0"/>
                <w:sz w:val="24"/>
              </w:rPr>
            </w:pPr>
            <w:r>
              <w:rPr>
                <w:rFonts w:hint="eastAsia" w:ascii="宋体" w:hAnsi="宋体" w:cs="Arial"/>
                <w:color w:val="auto"/>
                <w:kern w:val="0"/>
                <w:sz w:val="24"/>
              </w:rPr>
              <w:t>名称</w:t>
            </w:r>
          </w:p>
        </w:tc>
        <w:tc>
          <w:tcPr>
            <w:tcW w:w="431" w:type="pct"/>
            <w:vMerge w:val="restart"/>
            <w:tcBorders>
              <w:top w:val="single" w:color="auto" w:sz="4" w:space="0"/>
              <w:left w:val="single" w:color="auto" w:sz="4" w:space="0"/>
              <w:bottom w:val="single" w:color="auto" w:sz="4" w:space="0"/>
              <w:right w:val="single" w:color="auto" w:sz="4" w:space="0"/>
            </w:tcBorders>
            <w:noWrap w:val="0"/>
            <w:vAlign w:val="center"/>
          </w:tcPr>
          <w:p w14:paraId="5E7D2659">
            <w:pPr>
              <w:widowControl/>
              <w:snapToGrid w:val="0"/>
              <w:spacing w:line="360" w:lineRule="auto"/>
              <w:jc w:val="center"/>
              <w:rPr>
                <w:rFonts w:ascii="宋体" w:hAnsi="宋体" w:cs="Arial"/>
                <w:color w:val="auto"/>
                <w:kern w:val="0"/>
                <w:sz w:val="24"/>
              </w:rPr>
            </w:pPr>
            <w:r>
              <w:rPr>
                <w:rFonts w:hint="eastAsia" w:ascii="宋体" w:hAnsi="宋体" w:cs="Arial"/>
                <w:color w:val="auto"/>
                <w:kern w:val="0"/>
                <w:sz w:val="24"/>
              </w:rPr>
              <w:t>品牌商标</w:t>
            </w:r>
          </w:p>
        </w:tc>
        <w:tc>
          <w:tcPr>
            <w:tcW w:w="684" w:type="pct"/>
            <w:vMerge w:val="restart"/>
            <w:tcBorders>
              <w:top w:val="single" w:color="auto" w:sz="4" w:space="0"/>
              <w:left w:val="single" w:color="auto" w:sz="4" w:space="0"/>
              <w:bottom w:val="single" w:color="auto" w:sz="4" w:space="0"/>
              <w:right w:val="single" w:color="auto" w:sz="4" w:space="0"/>
            </w:tcBorders>
            <w:noWrap w:val="0"/>
            <w:vAlign w:val="center"/>
          </w:tcPr>
          <w:p w14:paraId="0798887D">
            <w:pPr>
              <w:widowControl/>
              <w:snapToGrid w:val="0"/>
              <w:spacing w:line="360" w:lineRule="auto"/>
              <w:jc w:val="center"/>
              <w:rPr>
                <w:rFonts w:ascii="宋体" w:hAnsi="宋体" w:cs="Arial"/>
                <w:color w:val="auto"/>
                <w:kern w:val="0"/>
                <w:sz w:val="24"/>
              </w:rPr>
            </w:pPr>
            <w:r>
              <w:rPr>
                <w:rFonts w:hint="eastAsia" w:ascii="宋体" w:hAnsi="宋体" w:cs="Arial"/>
                <w:color w:val="auto"/>
                <w:kern w:val="0"/>
                <w:sz w:val="24"/>
              </w:rPr>
              <w:t>规格型号</w:t>
            </w:r>
          </w:p>
        </w:tc>
        <w:tc>
          <w:tcPr>
            <w:tcW w:w="385" w:type="pct"/>
            <w:vMerge w:val="restart"/>
            <w:tcBorders>
              <w:top w:val="single" w:color="auto" w:sz="4" w:space="0"/>
              <w:left w:val="single" w:color="auto" w:sz="4" w:space="0"/>
              <w:bottom w:val="single" w:color="auto" w:sz="4" w:space="0"/>
              <w:right w:val="single" w:color="auto" w:sz="4" w:space="0"/>
            </w:tcBorders>
            <w:noWrap w:val="0"/>
            <w:vAlign w:val="center"/>
          </w:tcPr>
          <w:p w14:paraId="03479145">
            <w:pPr>
              <w:widowControl/>
              <w:snapToGrid w:val="0"/>
              <w:spacing w:line="360" w:lineRule="auto"/>
              <w:jc w:val="center"/>
              <w:rPr>
                <w:rFonts w:ascii="宋体" w:hAnsi="宋体" w:cs="Arial"/>
                <w:color w:val="auto"/>
                <w:kern w:val="0"/>
                <w:sz w:val="24"/>
              </w:rPr>
            </w:pPr>
            <w:r>
              <w:rPr>
                <w:rFonts w:hint="eastAsia" w:ascii="宋体" w:hAnsi="宋体" w:cs="Arial"/>
                <w:color w:val="auto"/>
                <w:kern w:val="0"/>
                <w:sz w:val="24"/>
              </w:rPr>
              <w:t>数量</w:t>
            </w:r>
          </w:p>
        </w:tc>
        <w:tc>
          <w:tcPr>
            <w:tcW w:w="396" w:type="pct"/>
            <w:vMerge w:val="restart"/>
            <w:tcBorders>
              <w:top w:val="single" w:color="auto" w:sz="4" w:space="0"/>
              <w:left w:val="single" w:color="auto" w:sz="4" w:space="0"/>
              <w:bottom w:val="single" w:color="auto" w:sz="4" w:space="0"/>
              <w:right w:val="single" w:color="auto" w:sz="4" w:space="0"/>
            </w:tcBorders>
            <w:noWrap w:val="0"/>
            <w:vAlign w:val="center"/>
          </w:tcPr>
          <w:p w14:paraId="6A102352">
            <w:pPr>
              <w:widowControl/>
              <w:snapToGrid w:val="0"/>
              <w:spacing w:line="360" w:lineRule="auto"/>
              <w:jc w:val="center"/>
              <w:rPr>
                <w:rFonts w:ascii="宋体" w:hAnsi="宋体" w:cs="Arial"/>
                <w:color w:val="auto"/>
                <w:kern w:val="0"/>
                <w:sz w:val="24"/>
              </w:rPr>
            </w:pPr>
            <w:r>
              <w:rPr>
                <w:rFonts w:hint="eastAsia" w:ascii="宋体" w:hAnsi="宋体" w:cs="Arial"/>
                <w:color w:val="auto"/>
                <w:kern w:val="0"/>
                <w:sz w:val="24"/>
              </w:rPr>
              <w:t>单位</w:t>
            </w:r>
          </w:p>
        </w:tc>
        <w:tc>
          <w:tcPr>
            <w:tcW w:w="837" w:type="pct"/>
            <w:gridSpan w:val="2"/>
            <w:tcBorders>
              <w:top w:val="single" w:color="auto" w:sz="4" w:space="0"/>
              <w:left w:val="single" w:color="auto" w:sz="4" w:space="0"/>
              <w:bottom w:val="single" w:color="auto" w:sz="4" w:space="0"/>
              <w:right w:val="single" w:color="auto" w:sz="4" w:space="0"/>
            </w:tcBorders>
            <w:noWrap w:val="0"/>
            <w:vAlign w:val="center"/>
          </w:tcPr>
          <w:p w14:paraId="024A8B71">
            <w:pPr>
              <w:widowControl/>
              <w:snapToGrid w:val="0"/>
              <w:spacing w:line="360" w:lineRule="auto"/>
              <w:jc w:val="center"/>
              <w:rPr>
                <w:rFonts w:ascii="宋体" w:hAnsi="宋体" w:cs="Arial"/>
                <w:color w:val="auto"/>
                <w:kern w:val="0"/>
                <w:sz w:val="24"/>
              </w:rPr>
            </w:pPr>
            <w:r>
              <w:rPr>
                <w:rFonts w:hint="eastAsia" w:ascii="宋体" w:hAnsi="宋体" w:cs="Arial"/>
                <w:color w:val="auto"/>
                <w:kern w:val="0"/>
                <w:sz w:val="24"/>
              </w:rPr>
              <w:t>响应价格</w:t>
            </w:r>
          </w:p>
        </w:tc>
        <w:tc>
          <w:tcPr>
            <w:tcW w:w="1438" w:type="pct"/>
            <w:vMerge w:val="restart"/>
            <w:tcBorders>
              <w:top w:val="single" w:color="auto" w:sz="4" w:space="0"/>
              <w:left w:val="single" w:color="auto" w:sz="4" w:space="0"/>
              <w:right w:val="single" w:color="auto" w:sz="4" w:space="0"/>
            </w:tcBorders>
            <w:noWrap w:val="0"/>
            <w:vAlign w:val="center"/>
          </w:tcPr>
          <w:p w14:paraId="5ACED462">
            <w:pPr>
              <w:widowControl/>
              <w:snapToGrid w:val="0"/>
              <w:spacing w:line="360" w:lineRule="auto"/>
              <w:jc w:val="center"/>
              <w:rPr>
                <w:rFonts w:hint="eastAsia" w:ascii="宋体" w:hAnsi="宋体" w:eastAsia="宋体" w:cs="Arial"/>
                <w:color w:val="auto"/>
                <w:kern w:val="0"/>
                <w:sz w:val="24"/>
                <w:lang w:eastAsia="zh-CN"/>
              </w:rPr>
            </w:pPr>
            <w:r>
              <w:rPr>
                <w:rFonts w:hint="eastAsia" w:asciiTheme="minorEastAsia" w:hAnsiTheme="minorEastAsia" w:eastAsiaTheme="minorEastAsia" w:cstheme="minorEastAsia"/>
                <w:color w:val="auto"/>
                <w:sz w:val="24"/>
                <w:szCs w:val="24"/>
                <w:lang w:val="en-US" w:eastAsia="zh-CN"/>
              </w:rPr>
              <w:t>备注</w:t>
            </w:r>
          </w:p>
        </w:tc>
      </w:tr>
      <w:tr w14:paraId="74A8B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365" w:type="pct"/>
            <w:vMerge w:val="continue"/>
            <w:tcBorders>
              <w:top w:val="single" w:color="auto" w:sz="4" w:space="0"/>
              <w:left w:val="single" w:color="auto" w:sz="4" w:space="0"/>
              <w:bottom w:val="single" w:color="auto" w:sz="4" w:space="0"/>
              <w:right w:val="single" w:color="auto" w:sz="4" w:space="0"/>
            </w:tcBorders>
            <w:noWrap w:val="0"/>
            <w:vAlign w:val="center"/>
          </w:tcPr>
          <w:p w14:paraId="413A5CC4">
            <w:pPr>
              <w:widowControl/>
              <w:jc w:val="left"/>
              <w:rPr>
                <w:rFonts w:ascii="宋体" w:hAnsi="宋体" w:cs="Arial"/>
                <w:color w:val="auto"/>
                <w:kern w:val="0"/>
                <w:sz w:val="24"/>
              </w:rPr>
            </w:pPr>
          </w:p>
        </w:tc>
        <w:tc>
          <w:tcPr>
            <w:tcW w:w="460" w:type="pct"/>
            <w:vMerge w:val="continue"/>
            <w:tcBorders>
              <w:top w:val="single" w:color="auto" w:sz="4" w:space="0"/>
              <w:left w:val="single" w:color="auto" w:sz="4" w:space="0"/>
              <w:bottom w:val="single" w:color="auto" w:sz="4" w:space="0"/>
              <w:right w:val="single" w:color="auto" w:sz="4" w:space="0"/>
            </w:tcBorders>
            <w:noWrap w:val="0"/>
            <w:vAlign w:val="center"/>
          </w:tcPr>
          <w:p w14:paraId="6D3A5348">
            <w:pPr>
              <w:widowControl/>
              <w:jc w:val="left"/>
              <w:rPr>
                <w:rFonts w:ascii="宋体" w:hAnsi="宋体" w:cs="Arial"/>
                <w:color w:val="auto"/>
                <w:kern w:val="0"/>
                <w:sz w:val="24"/>
              </w:rPr>
            </w:pPr>
          </w:p>
        </w:tc>
        <w:tc>
          <w:tcPr>
            <w:tcW w:w="431" w:type="pct"/>
            <w:vMerge w:val="continue"/>
            <w:tcBorders>
              <w:top w:val="single" w:color="auto" w:sz="4" w:space="0"/>
              <w:left w:val="single" w:color="auto" w:sz="4" w:space="0"/>
              <w:bottom w:val="single" w:color="auto" w:sz="4" w:space="0"/>
              <w:right w:val="single" w:color="auto" w:sz="4" w:space="0"/>
            </w:tcBorders>
            <w:noWrap w:val="0"/>
            <w:vAlign w:val="center"/>
          </w:tcPr>
          <w:p w14:paraId="39077E37">
            <w:pPr>
              <w:widowControl/>
              <w:jc w:val="left"/>
              <w:rPr>
                <w:rFonts w:ascii="宋体" w:hAnsi="宋体" w:cs="Arial"/>
                <w:color w:val="auto"/>
                <w:kern w:val="0"/>
                <w:sz w:val="24"/>
              </w:rPr>
            </w:pPr>
          </w:p>
        </w:tc>
        <w:tc>
          <w:tcPr>
            <w:tcW w:w="684" w:type="pct"/>
            <w:vMerge w:val="continue"/>
            <w:tcBorders>
              <w:top w:val="single" w:color="auto" w:sz="4" w:space="0"/>
              <w:left w:val="single" w:color="auto" w:sz="4" w:space="0"/>
              <w:bottom w:val="single" w:color="auto" w:sz="4" w:space="0"/>
              <w:right w:val="single" w:color="auto" w:sz="4" w:space="0"/>
            </w:tcBorders>
            <w:noWrap w:val="0"/>
            <w:vAlign w:val="center"/>
          </w:tcPr>
          <w:p w14:paraId="2DCC8DE3">
            <w:pPr>
              <w:widowControl/>
              <w:jc w:val="left"/>
              <w:rPr>
                <w:rFonts w:ascii="宋体" w:hAnsi="宋体" w:cs="Arial"/>
                <w:color w:val="auto"/>
                <w:kern w:val="0"/>
                <w:sz w:val="24"/>
              </w:rPr>
            </w:pPr>
          </w:p>
        </w:tc>
        <w:tc>
          <w:tcPr>
            <w:tcW w:w="385" w:type="pct"/>
            <w:vMerge w:val="continue"/>
            <w:tcBorders>
              <w:top w:val="single" w:color="auto" w:sz="4" w:space="0"/>
              <w:left w:val="single" w:color="auto" w:sz="4" w:space="0"/>
              <w:bottom w:val="single" w:color="auto" w:sz="4" w:space="0"/>
              <w:right w:val="single" w:color="auto" w:sz="4" w:space="0"/>
            </w:tcBorders>
            <w:noWrap w:val="0"/>
            <w:vAlign w:val="center"/>
          </w:tcPr>
          <w:p w14:paraId="08E3AF7E">
            <w:pPr>
              <w:widowControl/>
              <w:jc w:val="left"/>
              <w:rPr>
                <w:rFonts w:ascii="宋体" w:hAnsi="宋体" w:cs="Arial"/>
                <w:color w:val="auto"/>
                <w:kern w:val="0"/>
                <w:sz w:val="24"/>
              </w:rPr>
            </w:pPr>
          </w:p>
        </w:tc>
        <w:tc>
          <w:tcPr>
            <w:tcW w:w="396" w:type="pct"/>
            <w:vMerge w:val="continue"/>
            <w:tcBorders>
              <w:top w:val="single" w:color="auto" w:sz="4" w:space="0"/>
              <w:left w:val="single" w:color="auto" w:sz="4" w:space="0"/>
              <w:bottom w:val="single" w:color="auto" w:sz="4" w:space="0"/>
              <w:right w:val="single" w:color="auto" w:sz="4" w:space="0"/>
            </w:tcBorders>
            <w:noWrap w:val="0"/>
            <w:vAlign w:val="center"/>
          </w:tcPr>
          <w:p w14:paraId="694BFF29">
            <w:pPr>
              <w:widowControl/>
              <w:jc w:val="left"/>
              <w:rPr>
                <w:rFonts w:ascii="宋体" w:hAnsi="宋体" w:cs="Arial"/>
                <w:color w:val="auto"/>
                <w:kern w:val="0"/>
                <w:sz w:val="24"/>
              </w:rPr>
            </w:pPr>
          </w:p>
        </w:tc>
        <w:tc>
          <w:tcPr>
            <w:tcW w:w="377" w:type="pct"/>
            <w:tcBorders>
              <w:top w:val="single" w:color="auto" w:sz="4" w:space="0"/>
              <w:left w:val="single" w:color="auto" w:sz="4" w:space="0"/>
              <w:bottom w:val="single" w:color="auto" w:sz="4" w:space="0"/>
              <w:right w:val="single" w:color="auto" w:sz="4" w:space="0"/>
            </w:tcBorders>
            <w:noWrap w:val="0"/>
            <w:vAlign w:val="center"/>
          </w:tcPr>
          <w:p w14:paraId="54F631EA">
            <w:pPr>
              <w:widowControl/>
              <w:snapToGrid w:val="0"/>
              <w:spacing w:line="360" w:lineRule="auto"/>
              <w:jc w:val="center"/>
              <w:rPr>
                <w:rFonts w:ascii="宋体" w:hAnsi="宋体" w:cs="Arial"/>
                <w:color w:val="auto"/>
                <w:kern w:val="0"/>
                <w:sz w:val="24"/>
              </w:rPr>
            </w:pPr>
            <w:r>
              <w:rPr>
                <w:rFonts w:hint="eastAsia" w:ascii="宋体" w:hAnsi="宋体" w:cs="Arial"/>
                <w:color w:val="auto"/>
                <w:kern w:val="0"/>
                <w:sz w:val="24"/>
              </w:rPr>
              <w:t>单价</w:t>
            </w:r>
          </w:p>
        </w:tc>
        <w:tc>
          <w:tcPr>
            <w:tcW w:w="460" w:type="pct"/>
            <w:tcBorders>
              <w:top w:val="single" w:color="auto" w:sz="4" w:space="0"/>
              <w:left w:val="single" w:color="auto" w:sz="4" w:space="0"/>
              <w:bottom w:val="single" w:color="auto" w:sz="4" w:space="0"/>
              <w:right w:val="single" w:color="auto" w:sz="4" w:space="0"/>
            </w:tcBorders>
            <w:noWrap w:val="0"/>
            <w:vAlign w:val="center"/>
          </w:tcPr>
          <w:p w14:paraId="16D944FA">
            <w:pPr>
              <w:widowControl/>
              <w:snapToGrid w:val="0"/>
              <w:spacing w:line="360" w:lineRule="auto"/>
              <w:jc w:val="center"/>
              <w:rPr>
                <w:rFonts w:ascii="宋体" w:hAnsi="宋体" w:cs="Arial"/>
                <w:color w:val="auto"/>
                <w:kern w:val="0"/>
                <w:sz w:val="24"/>
              </w:rPr>
            </w:pPr>
            <w:r>
              <w:rPr>
                <w:rFonts w:hint="eastAsia" w:ascii="宋体" w:hAnsi="宋体" w:cs="Arial"/>
                <w:color w:val="auto"/>
                <w:kern w:val="0"/>
                <w:sz w:val="24"/>
              </w:rPr>
              <w:t>合价</w:t>
            </w:r>
          </w:p>
        </w:tc>
        <w:tc>
          <w:tcPr>
            <w:tcW w:w="1438" w:type="pct"/>
            <w:vMerge w:val="continue"/>
            <w:tcBorders>
              <w:left w:val="single" w:color="auto" w:sz="4" w:space="0"/>
              <w:bottom w:val="single" w:color="auto" w:sz="4" w:space="0"/>
              <w:right w:val="single" w:color="auto" w:sz="4" w:space="0"/>
            </w:tcBorders>
            <w:noWrap w:val="0"/>
            <w:vAlign w:val="center"/>
          </w:tcPr>
          <w:p w14:paraId="4EF08A08">
            <w:pPr>
              <w:widowControl/>
              <w:snapToGrid w:val="0"/>
              <w:spacing w:line="360" w:lineRule="auto"/>
              <w:jc w:val="center"/>
              <w:rPr>
                <w:rFonts w:hint="eastAsia" w:ascii="宋体" w:hAnsi="宋体" w:cs="Arial"/>
                <w:color w:val="auto"/>
                <w:kern w:val="0"/>
                <w:sz w:val="24"/>
              </w:rPr>
            </w:pPr>
          </w:p>
        </w:tc>
      </w:tr>
      <w:tr w14:paraId="79670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365" w:type="pct"/>
            <w:tcBorders>
              <w:top w:val="single" w:color="auto" w:sz="4" w:space="0"/>
              <w:left w:val="single" w:color="auto" w:sz="4" w:space="0"/>
              <w:bottom w:val="single" w:color="auto" w:sz="4" w:space="0"/>
              <w:right w:val="single" w:color="auto" w:sz="4" w:space="0"/>
            </w:tcBorders>
            <w:noWrap w:val="0"/>
            <w:vAlign w:val="center"/>
          </w:tcPr>
          <w:p w14:paraId="090ACEF7">
            <w:pPr>
              <w:widowControl/>
              <w:snapToGrid w:val="0"/>
              <w:spacing w:line="360" w:lineRule="auto"/>
              <w:jc w:val="center"/>
              <w:rPr>
                <w:rFonts w:ascii="宋体" w:hAnsi="宋体" w:cs="Arial"/>
                <w:color w:val="auto"/>
                <w:kern w:val="0"/>
                <w:sz w:val="24"/>
              </w:rPr>
            </w:pPr>
            <w:r>
              <w:rPr>
                <w:rFonts w:hint="eastAsia" w:ascii="宋体" w:hAnsi="宋体" w:cs="Arial"/>
                <w:color w:val="auto"/>
                <w:kern w:val="0"/>
                <w:sz w:val="24"/>
              </w:rPr>
              <w:t>1</w:t>
            </w:r>
          </w:p>
        </w:tc>
        <w:tc>
          <w:tcPr>
            <w:tcW w:w="460" w:type="pct"/>
            <w:tcBorders>
              <w:top w:val="single" w:color="auto" w:sz="4" w:space="0"/>
              <w:left w:val="single" w:color="auto" w:sz="4" w:space="0"/>
              <w:bottom w:val="single" w:color="auto" w:sz="4" w:space="0"/>
              <w:right w:val="single" w:color="auto" w:sz="4" w:space="0"/>
            </w:tcBorders>
            <w:noWrap w:val="0"/>
            <w:vAlign w:val="center"/>
          </w:tcPr>
          <w:p w14:paraId="0A199ECD">
            <w:pPr>
              <w:widowControl/>
              <w:snapToGrid w:val="0"/>
              <w:spacing w:line="360" w:lineRule="auto"/>
              <w:jc w:val="center"/>
              <w:rPr>
                <w:rFonts w:ascii="宋体" w:hAnsi="宋体" w:cs="Arial"/>
                <w:b/>
                <w:bCs/>
                <w:color w:val="auto"/>
                <w:kern w:val="0"/>
                <w:sz w:val="24"/>
              </w:rPr>
            </w:pPr>
          </w:p>
        </w:tc>
        <w:tc>
          <w:tcPr>
            <w:tcW w:w="431" w:type="pct"/>
            <w:tcBorders>
              <w:top w:val="single" w:color="auto" w:sz="4" w:space="0"/>
              <w:left w:val="single" w:color="auto" w:sz="4" w:space="0"/>
              <w:bottom w:val="single" w:color="auto" w:sz="4" w:space="0"/>
              <w:right w:val="single" w:color="auto" w:sz="4" w:space="0"/>
            </w:tcBorders>
            <w:noWrap w:val="0"/>
            <w:vAlign w:val="center"/>
          </w:tcPr>
          <w:p w14:paraId="6B2C7F0B">
            <w:pPr>
              <w:widowControl/>
              <w:snapToGrid w:val="0"/>
              <w:spacing w:line="360" w:lineRule="auto"/>
              <w:jc w:val="center"/>
              <w:rPr>
                <w:rFonts w:ascii="宋体" w:hAnsi="宋体" w:cs="Arial"/>
                <w:color w:val="auto"/>
                <w:kern w:val="0"/>
                <w:sz w:val="24"/>
              </w:rPr>
            </w:pPr>
          </w:p>
        </w:tc>
        <w:tc>
          <w:tcPr>
            <w:tcW w:w="684" w:type="pct"/>
            <w:tcBorders>
              <w:top w:val="single" w:color="auto" w:sz="4" w:space="0"/>
              <w:left w:val="single" w:color="auto" w:sz="4" w:space="0"/>
              <w:bottom w:val="single" w:color="auto" w:sz="4" w:space="0"/>
              <w:right w:val="single" w:color="auto" w:sz="4" w:space="0"/>
            </w:tcBorders>
            <w:noWrap w:val="0"/>
            <w:vAlign w:val="center"/>
          </w:tcPr>
          <w:p w14:paraId="4A1C774C">
            <w:pPr>
              <w:widowControl/>
              <w:snapToGrid w:val="0"/>
              <w:spacing w:line="360" w:lineRule="auto"/>
              <w:jc w:val="center"/>
              <w:rPr>
                <w:rFonts w:ascii="宋体" w:hAnsi="宋体" w:cs="Arial"/>
                <w:color w:val="auto"/>
                <w:kern w:val="0"/>
                <w:sz w:val="24"/>
              </w:rPr>
            </w:pPr>
          </w:p>
        </w:tc>
        <w:tc>
          <w:tcPr>
            <w:tcW w:w="385" w:type="pct"/>
            <w:tcBorders>
              <w:top w:val="single" w:color="auto" w:sz="4" w:space="0"/>
              <w:left w:val="single" w:color="auto" w:sz="4" w:space="0"/>
              <w:bottom w:val="single" w:color="auto" w:sz="4" w:space="0"/>
              <w:right w:val="single" w:color="auto" w:sz="4" w:space="0"/>
            </w:tcBorders>
            <w:noWrap w:val="0"/>
            <w:vAlign w:val="center"/>
          </w:tcPr>
          <w:p w14:paraId="7E5BF662">
            <w:pPr>
              <w:widowControl/>
              <w:snapToGrid w:val="0"/>
              <w:spacing w:line="360" w:lineRule="auto"/>
              <w:jc w:val="center"/>
              <w:rPr>
                <w:rFonts w:ascii="宋体" w:hAnsi="宋体" w:cs="Arial"/>
                <w:color w:val="auto"/>
                <w:kern w:val="0"/>
                <w:sz w:val="24"/>
              </w:rPr>
            </w:pPr>
          </w:p>
        </w:tc>
        <w:tc>
          <w:tcPr>
            <w:tcW w:w="396" w:type="pct"/>
            <w:tcBorders>
              <w:top w:val="single" w:color="auto" w:sz="4" w:space="0"/>
              <w:left w:val="single" w:color="auto" w:sz="4" w:space="0"/>
              <w:bottom w:val="single" w:color="auto" w:sz="4" w:space="0"/>
              <w:right w:val="single" w:color="auto" w:sz="4" w:space="0"/>
            </w:tcBorders>
            <w:noWrap w:val="0"/>
            <w:vAlign w:val="center"/>
          </w:tcPr>
          <w:p w14:paraId="43484AD3">
            <w:pPr>
              <w:widowControl/>
              <w:snapToGrid w:val="0"/>
              <w:spacing w:line="360" w:lineRule="auto"/>
              <w:jc w:val="center"/>
              <w:rPr>
                <w:rFonts w:ascii="宋体" w:hAnsi="宋体" w:cs="Arial"/>
                <w:color w:val="auto"/>
                <w:kern w:val="0"/>
                <w:sz w:val="24"/>
              </w:rPr>
            </w:pPr>
          </w:p>
        </w:tc>
        <w:tc>
          <w:tcPr>
            <w:tcW w:w="377" w:type="pct"/>
            <w:tcBorders>
              <w:top w:val="single" w:color="auto" w:sz="4" w:space="0"/>
              <w:left w:val="single" w:color="auto" w:sz="4" w:space="0"/>
              <w:bottom w:val="single" w:color="auto" w:sz="4" w:space="0"/>
              <w:right w:val="single" w:color="auto" w:sz="4" w:space="0"/>
            </w:tcBorders>
            <w:noWrap w:val="0"/>
            <w:vAlign w:val="center"/>
          </w:tcPr>
          <w:p w14:paraId="7C8F21BD">
            <w:pPr>
              <w:widowControl/>
              <w:snapToGrid w:val="0"/>
              <w:spacing w:line="360" w:lineRule="auto"/>
              <w:jc w:val="center"/>
              <w:rPr>
                <w:rFonts w:ascii="宋体" w:hAnsi="宋体" w:cs="Arial"/>
                <w:color w:val="auto"/>
                <w:kern w:val="0"/>
                <w:sz w:val="24"/>
              </w:rPr>
            </w:pPr>
          </w:p>
        </w:tc>
        <w:tc>
          <w:tcPr>
            <w:tcW w:w="460" w:type="pct"/>
            <w:tcBorders>
              <w:top w:val="single" w:color="auto" w:sz="4" w:space="0"/>
              <w:left w:val="single" w:color="auto" w:sz="4" w:space="0"/>
              <w:bottom w:val="single" w:color="auto" w:sz="4" w:space="0"/>
              <w:right w:val="single" w:color="auto" w:sz="4" w:space="0"/>
            </w:tcBorders>
            <w:noWrap w:val="0"/>
            <w:vAlign w:val="center"/>
          </w:tcPr>
          <w:p w14:paraId="76A121CC">
            <w:pPr>
              <w:widowControl/>
              <w:snapToGrid w:val="0"/>
              <w:spacing w:line="360" w:lineRule="auto"/>
              <w:jc w:val="center"/>
              <w:rPr>
                <w:rFonts w:ascii="宋体" w:hAnsi="宋体" w:cs="Arial"/>
                <w:color w:val="auto"/>
                <w:kern w:val="0"/>
                <w:sz w:val="24"/>
              </w:rPr>
            </w:pPr>
          </w:p>
        </w:tc>
        <w:tc>
          <w:tcPr>
            <w:tcW w:w="1438" w:type="pct"/>
            <w:vMerge w:val="restart"/>
            <w:tcBorders>
              <w:top w:val="single" w:color="auto" w:sz="4" w:space="0"/>
              <w:left w:val="single" w:color="auto" w:sz="4" w:space="0"/>
              <w:right w:val="single" w:color="auto" w:sz="4" w:space="0"/>
            </w:tcBorders>
            <w:noWrap w:val="0"/>
            <w:vAlign w:val="center"/>
          </w:tcPr>
          <w:p w14:paraId="74EF61A7">
            <w:pPr>
              <w:widowControl/>
              <w:snapToGrid w:val="0"/>
              <w:spacing w:line="360" w:lineRule="auto"/>
              <w:jc w:val="center"/>
              <w:rPr>
                <w:rFonts w:ascii="宋体" w:hAnsi="宋体" w:cs="Arial"/>
                <w:color w:val="auto"/>
                <w:kern w:val="0"/>
                <w:sz w:val="24"/>
              </w:rPr>
            </w:pPr>
          </w:p>
        </w:tc>
      </w:tr>
      <w:tr w14:paraId="6FAF2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365" w:type="pct"/>
            <w:tcBorders>
              <w:top w:val="single" w:color="auto" w:sz="4" w:space="0"/>
              <w:left w:val="single" w:color="auto" w:sz="4" w:space="0"/>
              <w:bottom w:val="single" w:color="auto" w:sz="4" w:space="0"/>
              <w:right w:val="single" w:color="auto" w:sz="4" w:space="0"/>
            </w:tcBorders>
            <w:noWrap w:val="0"/>
            <w:vAlign w:val="center"/>
          </w:tcPr>
          <w:p w14:paraId="3CF771CF">
            <w:pPr>
              <w:widowControl/>
              <w:snapToGrid w:val="0"/>
              <w:spacing w:line="360" w:lineRule="auto"/>
              <w:jc w:val="center"/>
              <w:rPr>
                <w:rFonts w:ascii="宋体" w:hAnsi="宋体" w:cs="Arial"/>
                <w:color w:val="auto"/>
                <w:kern w:val="0"/>
                <w:sz w:val="24"/>
              </w:rPr>
            </w:pPr>
            <w:r>
              <w:rPr>
                <w:rFonts w:hint="eastAsia" w:ascii="宋体" w:hAnsi="宋体" w:cs="Arial"/>
                <w:color w:val="auto"/>
                <w:kern w:val="0"/>
                <w:sz w:val="24"/>
              </w:rPr>
              <w:t>2</w:t>
            </w:r>
          </w:p>
        </w:tc>
        <w:tc>
          <w:tcPr>
            <w:tcW w:w="460" w:type="pct"/>
            <w:tcBorders>
              <w:top w:val="single" w:color="auto" w:sz="4" w:space="0"/>
              <w:left w:val="single" w:color="auto" w:sz="4" w:space="0"/>
              <w:bottom w:val="single" w:color="auto" w:sz="4" w:space="0"/>
              <w:right w:val="single" w:color="auto" w:sz="4" w:space="0"/>
            </w:tcBorders>
            <w:noWrap w:val="0"/>
            <w:vAlign w:val="center"/>
          </w:tcPr>
          <w:p w14:paraId="22EF6EEF">
            <w:pPr>
              <w:widowControl/>
              <w:snapToGrid w:val="0"/>
              <w:spacing w:line="360" w:lineRule="auto"/>
              <w:jc w:val="center"/>
              <w:rPr>
                <w:rFonts w:ascii="宋体" w:hAnsi="宋体" w:cs="Arial"/>
                <w:b/>
                <w:bCs/>
                <w:color w:val="auto"/>
                <w:kern w:val="0"/>
                <w:sz w:val="24"/>
              </w:rPr>
            </w:pPr>
          </w:p>
        </w:tc>
        <w:tc>
          <w:tcPr>
            <w:tcW w:w="431" w:type="pct"/>
            <w:tcBorders>
              <w:top w:val="single" w:color="auto" w:sz="4" w:space="0"/>
              <w:left w:val="single" w:color="auto" w:sz="4" w:space="0"/>
              <w:bottom w:val="single" w:color="auto" w:sz="4" w:space="0"/>
              <w:right w:val="single" w:color="auto" w:sz="4" w:space="0"/>
            </w:tcBorders>
            <w:noWrap w:val="0"/>
            <w:vAlign w:val="center"/>
          </w:tcPr>
          <w:p w14:paraId="3564EAFD">
            <w:pPr>
              <w:widowControl/>
              <w:snapToGrid w:val="0"/>
              <w:spacing w:line="360" w:lineRule="auto"/>
              <w:jc w:val="center"/>
              <w:rPr>
                <w:rFonts w:ascii="宋体" w:hAnsi="宋体" w:cs="Arial"/>
                <w:color w:val="auto"/>
                <w:kern w:val="0"/>
                <w:sz w:val="24"/>
              </w:rPr>
            </w:pPr>
          </w:p>
        </w:tc>
        <w:tc>
          <w:tcPr>
            <w:tcW w:w="684" w:type="pct"/>
            <w:tcBorders>
              <w:top w:val="single" w:color="auto" w:sz="4" w:space="0"/>
              <w:left w:val="single" w:color="auto" w:sz="4" w:space="0"/>
              <w:bottom w:val="single" w:color="auto" w:sz="4" w:space="0"/>
              <w:right w:val="single" w:color="auto" w:sz="4" w:space="0"/>
            </w:tcBorders>
            <w:noWrap w:val="0"/>
            <w:vAlign w:val="center"/>
          </w:tcPr>
          <w:p w14:paraId="00863F3A">
            <w:pPr>
              <w:widowControl/>
              <w:snapToGrid w:val="0"/>
              <w:spacing w:line="360" w:lineRule="auto"/>
              <w:jc w:val="center"/>
              <w:rPr>
                <w:rFonts w:ascii="宋体" w:hAnsi="宋体" w:cs="Arial"/>
                <w:color w:val="auto"/>
                <w:kern w:val="0"/>
                <w:sz w:val="24"/>
              </w:rPr>
            </w:pPr>
          </w:p>
        </w:tc>
        <w:tc>
          <w:tcPr>
            <w:tcW w:w="385" w:type="pct"/>
            <w:tcBorders>
              <w:top w:val="single" w:color="auto" w:sz="4" w:space="0"/>
              <w:left w:val="single" w:color="auto" w:sz="4" w:space="0"/>
              <w:bottom w:val="single" w:color="auto" w:sz="4" w:space="0"/>
              <w:right w:val="single" w:color="auto" w:sz="4" w:space="0"/>
            </w:tcBorders>
            <w:noWrap w:val="0"/>
            <w:vAlign w:val="center"/>
          </w:tcPr>
          <w:p w14:paraId="494E048A">
            <w:pPr>
              <w:widowControl/>
              <w:snapToGrid w:val="0"/>
              <w:spacing w:line="360" w:lineRule="auto"/>
              <w:jc w:val="center"/>
              <w:rPr>
                <w:rFonts w:ascii="宋体" w:hAnsi="宋体" w:cs="Arial"/>
                <w:color w:val="auto"/>
                <w:kern w:val="0"/>
                <w:sz w:val="24"/>
              </w:rPr>
            </w:pPr>
          </w:p>
        </w:tc>
        <w:tc>
          <w:tcPr>
            <w:tcW w:w="396" w:type="pct"/>
            <w:tcBorders>
              <w:top w:val="single" w:color="auto" w:sz="4" w:space="0"/>
              <w:left w:val="single" w:color="auto" w:sz="4" w:space="0"/>
              <w:bottom w:val="single" w:color="auto" w:sz="4" w:space="0"/>
              <w:right w:val="single" w:color="auto" w:sz="4" w:space="0"/>
            </w:tcBorders>
            <w:noWrap w:val="0"/>
            <w:vAlign w:val="center"/>
          </w:tcPr>
          <w:p w14:paraId="13FFA7D2">
            <w:pPr>
              <w:widowControl/>
              <w:snapToGrid w:val="0"/>
              <w:spacing w:line="360" w:lineRule="auto"/>
              <w:jc w:val="center"/>
              <w:rPr>
                <w:rFonts w:ascii="宋体" w:hAnsi="宋体" w:cs="Arial"/>
                <w:color w:val="auto"/>
                <w:kern w:val="0"/>
                <w:sz w:val="24"/>
              </w:rPr>
            </w:pPr>
          </w:p>
        </w:tc>
        <w:tc>
          <w:tcPr>
            <w:tcW w:w="377" w:type="pct"/>
            <w:tcBorders>
              <w:top w:val="single" w:color="auto" w:sz="4" w:space="0"/>
              <w:left w:val="single" w:color="auto" w:sz="4" w:space="0"/>
              <w:bottom w:val="single" w:color="auto" w:sz="4" w:space="0"/>
              <w:right w:val="single" w:color="auto" w:sz="4" w:space="0"/>
            </w:tcBorders>
            <w:noWrap w:val="0"/>
            <w:vAlign w:val="center"/>
          </w:tcPr>
          <w:p w14:paraId="38826929">
            <w:pPr>
              <w:widowControl/>
              <w:snapToGrid w:val="0"/>
              <w:spacing w:line="360" w:lineRule="auto"/>
              <w:jc w:val="center"/>
              <w:rPr>
                <w:rFonts w:ascii="宋体" w:hAnsi="宋体" w:cs="Arial"/>
                <w:color w:val="auto"/>
                <w:kern w:val="0"/>
                <w:sz w:val="24"/>
              </w:rPr>
            </w:pPr>
          </w:p>
        </w:tc>
        <w:tc>
          <w:tcPr>
            <w:tcW w:w="460" w:type="pct"/>
            <w:tcBorders>
              <w:top w:val="single" w:color="auto" w:sz="4" w:space="0"/>
              <w:left w:val="single" w:color="auto" w:sz="4" w:space="0"/>
              <w:bottom w:val="single" w:color="auto" w:sz="4" w:space="0"/>
              <w:right w:val="single" w:color="auto" w:sz="4" w:space="0"/>
            </w:tcBorders>
            <w:noWrap w:val="0"/>
            <w:vAlign w:val="center"/>
          </w:tcPr>
          <w:p w14:paraId="0003BFFB">
            <w:pPr>
              <w:widowControl/>
              <w:snapToGrid w:val="0"/>
              <w:spacing w:line="360" w:lineRule="auto"/>
              <w:jc w:val="center"/>
              <w:rPr>
                <w:rFonts w:ascii="宋体" w:hAnsi="宋体" w:cs="Arial"/>
                <w:color w:val="auto"/>
                <w:kern w:val="0"/>
                <w:sz w:val="24"/>
              </w:rPr>
            </w:pPr>
          </w:p>
        </w:tc>
        <w:tc>
          <w:tcPr>
            <w:tcW w:w="1438" w:type="pct"/>
            <w:vMerge w:val="continue"/>
            <w:tcBorders>
              <w:left w:val="single" w:color="auto" w:sz="4" w:space="0"/>
              <w:right w:val="single" w:color="auto" w:sz="4" w:space="0"/>
            </w:tcBorders>
            <w:noWrap w:val="0"/>
            <w:vAlign w:val="center"/>
          </w:tcPr>
          <w:p w14:paraId="496DCC4A">
            <w:pPr>
              <w:widowControl/>
              <w:snapToGrid w:val="0"/>
              <w:spacing w:line="360" w:lineRule="auto"/>
              <w:jc w:val="center"/>
              <w:rPr>
                <w:rFonts w:ascii="宋体" w:hAnsi="宋体" w:cs="Arial"/>
                <w:color w:val="auto"/>
                <w:kern w:val="0"/>
                <w:sz w:val="24"/>
              </w:rPr>
            </w:pPr>
          </w:p>
        </w:tc>
      </w:tr>
      <w:tr w14:paraId="130ED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365" w:type="pct"/>
            <w:tcBorders>
              <w:top w:val="single" w:color="auto" w:sz="4" w:space="0"/>
              <w:left w:val="single" w:color="auto" w:sz="4" w:space="0"/>
              <w:bottom w:val="single" w:color="auto" w:sz="4" w:space="0"/>
              <w:right w:val="single" w:color="auto" w:sz="4" w:space="0"/>
            </w:tcBorders>
            <w:noWrap w:val="0"/>
            <w:vAlign w:val="center"/>
          </w:tcPr>
          <w:p w14:paraId="1514715B">
            <w:pPr>
              <w:widowControl/>
              <w:snapToGrid w:val="0"/>
              <w:spacing w:line="360" w:lineRule="auto"/>
              <w:jc w:val="center"/>
              <w:rPr>
                <w:rFonts w:ascii="宋体" w:hAnsi="宋体" w:cs="Arial"/>
                <w:color w:val="auto"/>
                <w:kern w:val="0"/>
                <w:sz w:val="24"/>
              </w:rPr>
            </w:pPr>
            <w:r>
              <w:rPr>
                <w:rFonts w:hint="eastAsia" w:ascii="宋体" w:hAnsi="宋体" w:cs="Arial"/>
                <w:color w:val="auto"/>
                <w:kern w:val="0"/>
                <w:sz w:val="24"/>
              </w:rPr>
              <w:t>3</w:t>
            </w:r>
          </w:p>
        </w:tc>
        <w:tc>
          <w:tcPr>
            <w:tcW w:w="460" w:type="pct"/>
            <w:tcBorders>
              <w:top w:val="single" w:color="auto" w:sz="4" w:space="0"/>
              <w:left w:val="single" w:color="auto" w:sz="4" w:space="0"/>
              <w:bottom w:val="single" w:color="auto" w:sz="4" w:space="0"/>
              <w:right w:val="single" w:color="auto" w:sz="4" w:space="0"/>
            </w:tcBorders>
            <w:noWrap w:val="0"/>
            <w:vAlign w:val="center"/>
          </w:tcPr>
          <w:p w14:paraId="436F8CFE">
            <w:pPr>
              <w:widowControl/>
              <w:snapToGrid w:val="0"/>
              <w:spacing w:line="360" w:lineRule="auto"/>
              <w:jc w:val="center"/>
              <w:rPr>
                <w:rFonts w:ascii="宋体" w:hAnsi="宋体" w:cs="Arial"/>
                <w:b/>
                <w:bCs/>
                <w:color w:val="auto"/>
                <w:kern w:val="0"/>
                <w:sz w:val="24"/>
              </w:rPr>
            </w:pPr>
          </w:p>
        </w:tc>
        <w:tc>
          <w:tcPr>
            <w:tcW w:w="431" w:type="pct"/>
            <w:tcBorders>
              <w:top w:val="single" w:color="auto" w:sz="4" w:space="0"/>
              <w:left w:val="single" w:color="auto" w:sz="4" w:space="0"/>
              <w:bottom w:val="single" w:color="auto" w:sz="4" w:space="0"/>
              <w:right w:val="single" w:color="auto" w:sz="4" w:space="0"/>
            </w:tcBorders>
            <w:noWrap w:val="0"/>
            <w:vAlign w:val="center"/>
          </w:tcPr>
          <w:p w14:paraId="426FC6BE">
            <w:pPr>
              <w:widowControl/>
              <w:snapToGrid w:val="0"/>
              <w:spacing w:line="360" w:lineRule="auto"/>
              <w:jc w:val="center"/>
              <w:rPr>
                <w:rFonts w:ascii="宋体" w:hAnsi="宋体" w:cs="Arial"/>
                <w:color w:val="auto"/>
                <w:kern w:val="0"/>
                <w:sz w:val="24"/>
              </w:rPr>
            </w:pPr>
          </w:p>
        </w:tc>
        <w:tc>
          <w:tcPr>
            <w:tcW w:w="684" w:type="pct"/>
            <w:tcBorders>
              <w:top w:val="single" w:color="auto" w:sz="4" w:space="0"/>
              <w:left w:val="single" w:color="auto" w:sz="4" w:space="0"/>
              <w:bottom w:val="single" w:color="auto" w:sz="4" w:space="0"/>
              <w:right w:val="single" w:color="auto" w:sz="4" w:space="0"/>
            </w:tcBorders>
            <w:noWrap w:val="0"/>
            <w:vAlign w:val="center"/>
          </w:tcPr>
          <w:p w14:paraId="22C66E9C">
            <w:pPr>
              <w:widowControl/>
              <w:snapToGrid w:val="0"/>
              <w:spacing w:line="360" w:lineRule="auto"/>
              <w:jc w:val="center"/>
              <w:rPr>
                <w:rFonts w:ascii="宋体" w:hAnsi="宋体" w:cs="Arial"/>
                <w:color w:val="auto"/>
                <w:kern w:val="0"/>
                <w:sz w:val="24"/>
              </w:rPr>
            </w:pPr>
          </w:p>
        </w:tc>
        <w:tc>
          <w:tcPr>
            <w:tcW w:w="385" w:type="pct"/>
            <w:tcBorders>
              <w:top w:val="single" w:color="auto" w:sz="4" w:space="0"/>
              <w:left w:val="single" w:color="auto" w:sz="4" w:space="0"/>
              <w:bottom w:val="single" w:color="auto" w:sz="4" w:space="0"/>
              <w:right w:val="single" w:color="auto" w:sz="4" w:space="0"/>
            </w:tcBorders>
            <w:noWrap w:val="0"/>
            <w:vAlign w:val="center"/>
          </w:tcPr>
          <w:p w14:paraId="6E616E9B">
            <w:pPr>
              <w:widowControl/>
              <w:snapToGrid w:val="0"/>
              <w:spacing w:line="360" w:lineRule="auto"/>
              <w:jc w:val="center"/>
              <w:rPr>
                <w:rFonts w:ascii="宋体" w:hAnsi="宋体" w:cs="Arial"/>
                <w:color w:val="auto"/>
                <w:kern w:val="0"/>
                <w:sz w:val="24"/>
              </w:rPr>
            </w:pPr>
          </w:p>
        </w:tc>
        <w:tc>
          <w:tcPr>
            <w:tcW w:w="396" w:type="pct"/>
            <w:tcBorders>
              <w:top w:val="single" w:color="auto" w:sz="4" w:space="0"/>
              <w:left w:val="single" w:color="auto" w:sz="4" w:space="0"/>
              <w:bottom w:val="single" w:color="auto" w:sz="4" w:space="0"/>
              <w:right w:val="single" w:color="auto" w:sz="4" w:space="0"/>
            </w:tcBorders>
            <w:noWrap w:val="0"/>
            <w:vAlign w:val="center"/>
          </w:tcPr>
          <w:p w14:paraId="03C124D7">
            <w:pPr>
              <w:widowControl/>
              <w:snapToGrid w:val="0"/>
              <w:spacing w:line="360" w:lineRule="auto"/>
              <w:jc w:val="center"/>
              <w:rPr>
                <w:rFonts w:ascii="宋体" w:hAnsi="宋体" w:cs="Arial"/>
                <w:color w:val="auto"/>
                <w:kern w:val="0"/>
                <w:sz w:val="24"/>
              </w:rPr>
            </w:pPr>
          </w:p>
        </w:tc>
        <w:tc>
          <w:tcPr>
            <w:tcW w:w="377" w:type="pct"/>
            <w:tcBorders>
              <w:top w:val="single" w:color="auto" w:sz="4" w:space="0"/>
              <w:left w:val="single" w:color="auto" w:sz="4" w:space="0"/>
              <w:bottom w:val="single" w:color="auto" w:sz="4" w:space="0"/>
              <w:right w:val="single" w:color="auto" w:sz="4" w:space="0"/>
            </w:tcBorders>
            <w:noWrap w:val="0"/>
            <w:vAlign w:val="center"/>
          </w:tcPr>
          <w:p w14:paraId="00E89895">
            <w:pPr>
              <w:widowControl/>
              <w:snapToGrid w:val="0"/>
              <w:spacing w:line="360" w:lineRule="auto"/>
              <w:jc w:val="center"/>
              <w:rPr>
                <w:rFonts w:ascii="宋体" w:hAnsi="宋体" w:cs="Arial"/>
                <w:color w:val="auto"/>
                <w:kern w:val="0"/>
                <w:sz w:val="24"/>
              </w:rPr>
            </w:pPr>
          </w:p>
        </w:tc>
        <w:tc>
          <w:tcPr>
            <w:tcW w:w="460" w:type="pct"/>
            <w:tcBorders>
              <w:top w:val="single" w:color="auto" w:sz="4" w:space="0"/>
              <w:left w:val="single" w:color="auto" w:sz="4" w:space="0"/>
              <w:bottom w:val="single" w:color="auto" w:sz="4" w:space="0"/>
              <w:right w:val="single" w:color="auto" w:sz="4" w:space="0"/>
            </w:tcBorders>
            <w:noWrap w:val="0"/>
            <w:vAlign w:val="center"/>
          </w:tcPr>
          <w:p w14:paraId="04B845D3">
            <w:pPr>
              <w:widowControl/>
              <w:snapToGrid w:val="0"/>
              <w:spacing w:line="360" w:lineRule="auto"/>
              <w:jc w:val="center"/>
              <w:rPr>
                <w:rFonts w:ascii="宋体" w:hAnsi="宋体" w:cs="Arial"/>
                <w:color w:val="auto"/>
                <w:kern w:val="0"/>
                <w:sz w:val="24"/>
              </w:rPr>
            </w:pPr>
          </w:p>
        </w:tc>
        <w:tc>
          <w:tcPr>
            <w:tcW w:w="1438" w:type="pct"/>
            <w:vMerge w:val="continue"/>
            <w:tcBorders>
              <w:left w:val="single" w:color="auto" w:sz="4" w:space="0"/>
              <w:right w:val="single" w:color="auto" w:sz="4" w:space="0"/>
            </w:tcBorders>
            <w:noWrap w:val="0"/>
            <w:vAlign w:val="center"/>
          </w:tcPr>
          <w:p w14:paraId="12955DD0">
            <w:pPr>
              <w:widowControl/>
              <w:snapToGrid w:val="0"/>
              <w:spacing w:line="360" w:lineRule="auto"/>
              <w:jc w:val="center"/>
              <w:rPr>
                <w:rFonts w:ascii="宋体" w:hAnsi="宋体" w:cs="Arial"/>
                <w:color w:val="auto"/>
                <w:kern w:val="0"/>
                <w:sz w:val="24"/>
              </w:rPr>
            </w:pPr>
          </w:p>
        </w:tc>
      </w:tr>
      <w:tr w14:paraId="5DF30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365" w:type="pct"/>
            <w:tcBorders>
              <w:top w:val="single" w:color="auto" w:sz="4" w:space="0"/>
              <w:left w:val="single" w:color="auto" w:sz="4" w:space="0"/>
              <w:bottom w:val="single" w:color="auto" w:sz="4" w:space="0"/>
              <w:right w:val="single" w:color="auto" w:sz="4" w:space="0"/>
            </w:tcBorders>
            <w:noWrap w:val="0"/>
            <w:vAlign w:val="center"/>
          </w:tcPr>
          <w:p w14:paraId="12B53466">
            <w:pPr>
              <w:widowControl/>
              <w:snapToGrid w:val="0"/>
              <w:spacing w:line="360" w:lineRule="auto"/>
              <w:jc w:val="center"/>
              <w:rPr>
                <w:rFonts w:ascii="宋体" w:hAnsi="宋体" w:cs="Arial"/>
                <w:color w:val="auto"/>
                <w:kern w:val="0"/>
                <w:sz w:val="24"/>
              </w:rPr>
            </w:pPr>
            <w:r>
              <w:rPr>
                <w:rFonts w:hint="eastAsia" w:ascii="宋体" w:hAnsi="宋体" w:cs="Arial"/>
                <w:color w:val="auto"/>
                <w:kern w:val="0"/>
                <w:sz w:val="24"/>
              </w:rPr>
              <w:t>4</w:t>
            </w:r>
          </w:p>
        </w:tc>
        <w:tc>
          <w:tcPr>
            <w:tcW w:w="460" w:type="pct"/>
            <w:tcBorders>
              <w:top w:val="single" w:color="auto" w:sz="4" w:space="0"/>
              <w:left w:val="single" w:color="auto" w:sz="4" w:space="0"/>
              <w:bottom w:val="single" w:color="auto" w:sz="4" w:space="0"/>
              <w:right w:val="single" w:color="auto" w:sz="4" w:space="0"/>
            </w:tcBorders>
            <w:noWrap w:val="0"/>
            <w:vAlign w:val="center"/>
          </w:tcPr>
          <w:p w14:paraId="6996FC3B">
            <w:pPr>
              <w:widowControl/>
              <w:snapToGrid w:val="0"/>
              <w:spacing w:line="360" w:lineRule="auto"/>
              <w:jc w:val="center"/>
              <w:rPr>
                <w:rFonts w:ascii="宋体" w:hAnsi="宋体" w:cs="Arial"/>
                <w:b/>
                <w:bCs/>
                <w:color w:val="auto"/>
                <w:kern w:val="0"/>
                <w:sz w:val="24"/>
              </w:rPr>
            </w:pPr>
          </w:p>
        </w:tc>
        <w:tc>
          <w:tcPr>
            <w:tcW w:w="431" w:type="pct"/>
            <w:tcBorders>
              <w:top w:val="single" w:color="auto" w:sz="4" w:space="0"/>
              <w:left w:val="single" w:color="auto" w:sz="4" w:space="0"/>
              <w:bottom w:val="single" w:color="auto" w:sz="4" w:space="0"/>
              <w:right w:val="single" w:color="auto" w:sz="4" w:space="0"/>
            </w:tcBorders>
            <w:noWrap w:val="0"/>
            <w:vAlign w:val="center"/>
          </w:tcPr>
          <w:p w14:paraId="06FCCCAD">
            <w:pPr>
              <w:widowControl/>
              <w:snapToGrid w:val="0"/>
              <w:spacing w:line="360" w:lineRule="auto"/>
              <w:jc w:val="center"/>
              <w:rPr>
                <w:rFonts w:ascii="宋体" w:hAnsi="宋体" w:cs="Arial"/>
                <w:color w:val="auto"/>
                <w:kern w:val="0"/>
                <w:sz w:val="24"/>
              </w:rPr>
            </w:pPr>
          </w:p>
        </w:tc>
        <w:tc>
          <w:tcPr>
            <w:tcW w:w="684" w:type="pct"/>
            <w:tcBorders>
              <w:top w:val="single" w:color="auto" w:sz="4" w:space="0"/>
              <w:left w:val="single" w:color="auto" w:sz="4" w:space="0"/>
              <w:bottom w:val="single" w:color="auto" w:sz="4" w:space="0"/>
              <w:right w:val="single" w:color="auto" w:sz="4" w:space="0"/>
            </w:tcBorders>
            <w:noWrap w:val="0"/>
            <w:vAlign w:val="center"/>
          </w:tcPr>
          <w:p w14:paraId="36C8C168">
            <w:pPr>
              <w:widowControl/>
              <w:snapToGrid w:val="0"/>
              <w:spacing w:line="360" w:lineRule="auto"/>
              <w:jc w:val="center"/>
              <w:rPr>
                <w:rFonts w:ascii="宋体" w:hAnsi="宋体" w:cs="Arial"/>
                <w:color w:val="auto"/>
                <w:kern w:val="0"/>
                <w:sz w:val="24"/>
              </w:rPr>
            </w:pPr>
          </w:p>
        </w:tc>
        <w:tc>
          <w:tcPr>
            <w:tcW w:w="385" w:type="pct"/>
            <w:tcBorders>
              <w:top w:val="single" w:color="auto" w:sz="4" w:space="0"/>
              <w:left w:val="single" w:color="auto" w:sz="4" w:space="0"/>
              <w:bottom w:val="single" w:color="auto" w:sz="4" w:space="0"/>
              <w:right w:val="single" w:color="auto" w:sz="4" w:space="0"/>
            </w:tcBorders>
            <w:noWrap w:val="0"/>
            <w:vAlign w:val="center"/>
          </w:tcPr>
          <w:p w14:paraId="0A08C410">
            <w:pPr>
              <w:widowControl/>
              <w:snapToGrid w:val="0"/>
              <w:spacing w:line="360" w:lineRule="auto"/>
              <w:jc w:val="center"/>
              <w:rPr>
                <w:rFonts w:ascii="宋体" w:hAnsi="宋体" w:cs="Arial"/>
                <w:color w:val="auto"/>
                <w:kern w:val="0"/>
                <w:sz w:val="24"/>
              </w:rPr>
            </w:pPr>
          </w:p>
        </w:tc>
        <w:tc>
          <w:tcPr>
            <w:tcW w:w="396" w:type="pct"/>
            <w:tcBorders>
              <w:top w:val="single" w:color="auto" w:sz="4" w:space="0"/>
              <w:left w:val="single" w:color="auto" w:sz="4" w:space="0"/>
              <w:bottom w:val="single" w:color="auto" w:sz="4" w:space="0"/>
              <w:right w:val="single" w:color="auto" w:sz="4" w:space="0"/>
            </w:tcBorders>
            <w:noWrap w:val="0"/>
            <w:vAlign w:val="center"/>
          </w:tcPr>
          <w:p w14:paraId="5519C8F1">
            <w:pPr>
              <w:widowControl/>
              <w:snapToGrid w:val="0"/>
              <w:spacing w:line="360" w:lineRule="auto"/>
              <w:jc w:val="center"/>
              <w:rPr>
                <w:rFonts w:ascii="宋体" w:hAnsi="宋体" w:cs="Arial"/>
                <w:color w:val="auto"/>
                <w:kern w:val="0"/>
                <w:sz w:val="24"/>
              </w:rPr>
            </w:pPr>
          </w:p>
        </w:tc>
        <w:tc>
          <w:tcPr>
            <w:tcW w:w="377" w:type="pct"/>
            <w:tcBorders>
              <w:top w:val="single" w:color="auto" w:sz="4" w:space="0"/>
              <w:left w:val="single" w:color="auto" w:sz="4" w:space="0"/>
              <w:bottom w:val="single" w:color="auto" w:sz="4" w:space="0"/>
              <w:right w:val="single" w:color="auto" w:sz="4" w:space="0"/>
            </w:tcBorders>
            <w:noWrap w:val="0"/>
            <w:vAlign w:val="center"/>
          </w:tcPr>
          <w:p w14:paraId="06FB5808">
            <w:pPr>
              <w:widowControl/>
              <w:snapToGrid w:val="0"/>
              <w:spacing w:line="360" w:lineRule="auto"/>
              <w:jc w:val="center"/>
              <w:rPr>
                <w:rFonts w:ascii="宋体" w:hAnsi="宋体" w:cs="Arial"/>
                <w:color w:val="auto"/>
                <w:kern w:val="0"/>
                <w:sz w:val="24"/>
              </w:rPr>
            </w:pPr>
          </w:p>
        </w:tc>
        <w:tc>
          <w:tcPr>
            <w:tcW w:w="460" w:type="pct"/>
            <w:tcBorders>
              <w:top w:val="single" w:color="auto" w:sz="4" w:space="0"/>
              <w:left w:val="single" w:color="auto" w:sz="4" w:space="0"/>
              <w:bottom w:val="single" w:color="auto" w:sz="4" w:space="0"/>
              <w:right w:val="single" w:color="auto" w:sz="4" w:space="0"/>
            </w:tcBorders>
            <w:noWrap w:val="0"/>
            <w:vAlign w:val="center"/>
          </w:tcPr>
          <w:p w14:paraId="31E9B86D">
            <w:pPr>
              <w:widowControl/>
              <w:snapToGrid w:val="0"/>
              <w:spacing w:line="360" w:lineRule="auto"/>
              <w:jc w:val="center"/>
              <w:rPr>
                <w:rFonts w:ascii="宋体" w:hAnsi="宋体" w:cs="Arial"/>
                <w:color w:val="auto"/>
                <w:kern w:val="0"/>
                <w:sz w:val="24"/>
              </w:rPr>
            </w:pPr>
          </w:p>
        </w:tc>
        <w:tc>
          <w:tcPr>
            <w:tcW w:w="1438" w:type="pct"/>
            <w:vMerge w:val="continue"/>
            <w:tcBorders>
              <w:left w:val="single" w:color="auto" w:sz="4" w:space="0"/>
              <w:right w:val="single" w:color="auto" w:sz="4" w:space="0"/>
            </w:tcBorders>
            <w:noWrap w:val="0"/>
            <w:vAlign w:val="center"/>
          </w:tcPr>
          <w:p w14:paraId="5E8BBC54">
            <w:pPr>
              <w:widowControl/>
              <w:snapToGrid w:val="0"/>
              <w:spacing w:line="360" w:lineRule="auto"/>
              <w:jc w:val="center"/>
              <w:rPr>
                <w:rFonts w:ascii="宋体" w:hAnsi="宋体" w:cs="Arial"/>
                <w:color w:val="auto"/>
                <w:kern w:val="0"/>
                <w:sz w:val="24"/>
              </w:rPr>
            </w:pPr>
          </w:p>
        </w:tc>
      </w:tr>
      <w:tr w14:paraId="011DB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365" w:type="pct"/>
            <w:tcBorders>
              <w:top w:val="single" w:color="auto" w:sz="4" w:space="0"/>
              <w:left w:val="single" w:color="auto" w:sz="4" w:space="0"/>
              <w:bottom w:val="single" w:color="auto" w:sz="4" w:space="0"/>
              <w:right w:val="single" w:color="auto" w:sz="4" w:space="0"/>
            </w:tcBorders>
            <w:noWrap w:val="0"/>
            <w:vAlign w:val="center"/>
          </w:tcPr>
          <w:p w14:paraId="05CC44CD">
            <w:pPr>
              <w:widowControl/>
              <w:snapToGrid w:val="0"/>
              <w:spacing w:line="360" w:lineRule="auto"/>
              <w:jc w:val="center"/>
              <w:rPr>
                <w:rFonts w:ascii="宋体" w:hAnsi="宋体" w:cs="Arial"/>
                <w:color w:val="auto"/>
                <w:kern w:val="0"/>
                <w:sz w:val="24"/>
              </w:rPr>
            </w:pPr>
            <w:r>
              <w:rPr>
                <w:rFonts w:hint="eastAsia" w:ascii="宋体" w:hAnsi="宋体" w:cs="Arial"/>
                <w:color w:val="auto"/>
                <w:kern w:val="0"/>
                <w:sz w:val="24"/>
              </w:rPr>
              <w:t>5</w:t>
            </w:r>
          </w:p>
        </w:tc>
        <w:tc>
          <w:tcPr>
            <w:tcW w:w="460" w:type="pct"/>
            <w:tcBorders>
              <w:top w:val="single" w:color="auto" w:sz="4" w:space="0"/>
              <w:left w:val="single" w:color="auto" w:sz="4" w:space="0"/>
              <w:bottom w:val="single" w:color="auto" w:sz="4" w:space="0"/>
              <w:right w:val="single" w:color="auto" w:sz="4" w:space="0"/>
            </w:tcBorders>
            <w:noWrap w:val="0"/>
            <w:vAlign w:val="center"/>
          </w:tcPr>
          <w:p w14:paraId="62DDEB49">
            <w:pPr>
              <w:widowControl/>
              <w:snapToGrid w:val="0"/>
              <w:spacing w:line="360" w:lineRule="auto"/>
              <w:jc w:val="center"/>
              <w:rPr>
                <w:rFonts w:ascii="宋体" w:hAnsi="宋体" w:cs="Arial"/>
                <w:b/>
                <w:bCs/>
                <w:color w:val="auto"/>
                <w:kern w:val="0"/>
                <w:sz w:val="24"/>
              </w:rPr>
            </w:pPr>
          </w:p>
        </w:tc>
        <w:tc>
          <w:tcPr>
            <w:tcW w:w="431" w:type="pct"/>
            <w:tcBorders>
              <w:top w:val="single" w:color="auto" w:sz="4" w:space="0"/>
              <w:left w:val="single" w:color="auto" w:sz="4" w:space="0"/>
              <w:bottom w:val="single" w:color="auto" w:sz="4" w:space="0"/>
              <w:right w:val="single" w:color="auto" w:sz="4" w:space="0"/>
            </w:tcBorders>
            <w:noWrap w:val="0"/>
            <w:vAlign w:val="center"/>
          </w:tcPr>
          <w:p w14:paraId="5A4D9AAA">
            <w:pPr>
              <w:widowControl/>
              <w:snapToGrid w:val="0"/>
              <w:spacing w:line="360" w:lineRule="auto"/>
              <w:jc w:val="center"/>
              <w:rPr>
                <w:rFonts w:ascii="宋体" w:hAnsi="宋体" w:cs="Arial"/>
                <w:color w:val="auto"/>
                <w:kern w:val="0"/>
                <w:sz w:val="24"/>
              </w:rPr>
            </w:pPr>
          </w:p>
        </w:tc>
        <w:tc>
          <w:tcPr>
            <w:tcW w:w="684" w:type="pct"/>
            <w:tcBorders>
              <w:top w:val="single" w:color="auto" w:sz="4" w:space="0"/>
              <w:left w:val="single" w:color="auto" w:sz="4" w:space="0"/>
              <w:bottom w:val="single" w:color="auto" w:sz="4" w:space="0"/>
              <w:right w:val="single" w:color="auto" w:sz="4" w:space="0"/>
            </w:tcBorders>
            <w:noWrap w:val="0"/>
            <w:vAlign w:val="center"/>
          </w:tcPr>
          <w:p w14:paraId="126B1EA9">
            <w:pPr>
              <w:widowControl/>
              <w:snapToGrid w:val="0"/>
              <w:spacing w:line="360" w:lineRule="auto"/>
              <w:jc w:val="center"/>
              <w:rPr>
                <w:rFonts w:ascii="宋体" w:hAnsi="宋体" w:cs="Arial"/>
                <w:color w:val="auto"/>
                <w:kern w:val="0"/>
                <w:sz w:val="24"/>
              </w:rPr>
            </w:pPr>
          </w:p>
        </w:tc>
        <w:tc>
          <w:tcPr>
            <w:tcW w:w="385" w:type="pct"/>
            <w:tcBorders>
              <w:top w:val="single" w:color="auto" w:sz="4" w:space="0"/>
              <w:left w:val="single" w:color="auto" w:sz="4" w:space="0"/>
              <w:bottom w:val="single" w:color="auto" w:sz="4" w:space="0"/>
              <w:right w:val="single" w:color="auto" w:sz="4" w:space="0"/>
            </w:tcBorders>
            <w:noWrap w:val="0"/>
            <w:vAlign w:val="center"/>
          </w:tcPr>
          <w:p w14:paraId="0777D0A7">
            <w:pPr>
              <w:widowControl/>
              <w:snapToGrid w:val="0"/>
              <w:spacing w:line="360" w:lineRule="auto"/>
              <w:jc w:val="center"/>
              <w:rPr>
                <w:rFonts w:ascii="宋体" w:hAnsi="宋体" w:cs="Arial"/>
                <w:color w:val="auto"/>
                <w:kern w:val="0"/>
                <w:sz w:val="24"/>
              </w:rPr>
            </w:pPr>
          </w:p>
        </w:tc>
        <w:tc>
          <w:tcPr>
            <w:tcW w:w="396" w:type="pct"/>
            <w:tcBorders>
              <w:top w:val="single" w:color="auto" w:sz="4" w:space="0"/>
              <w:left w:val="single" w:color="auto" w:sz="4" w:space="0"/>
              <w:bottom w:val="single" w:color="auto" w:sz="4" w:space="0"/>
              <w:right w:val="single" w:color="auto" w:sz="4" w:space="0"/>
            </w:tcBorders>
            <w:noWrap w:val="0"/>
            <w:vAlign w:val="center"/>
          </w:tcPr>
          <w:p w14:paraId="480E5116">
            <w:pPr>
              <w:widowControl/>
              <w:snapToGrid w:val="0"/>
              <w:spacing w:line="360" w:lineRule="auto"/>
              <w:jc w:val="center"/>
              <w:rPr>
                <w:rFonts w:ascii="宋体" w:hAnsi="宋体" w:cs="Arial"/>
                <w:color w:val="auto"/>
                <w:kern w:val="0"/>
                <w:sz w:val="24"/>
              </w:rPr>
            </w:pPr>
          </w:p>
        </w:tc>
        <w:tc>
          <w:tcPr>
            <w:tcW w:w="377" w:type="pct"/>
            <w:tcBorders>
              <w:top w:val="single" w:color="auto" w:sz="4" w:space="0"/>
              <w:left w:val="single" w:color="auto" w:sz="4" w:space="0"/>
              <w:bottom w:val="single" w:color="auto" w:sz="4" w:space="0"/>
              <w:right w:val="single" w:color="auto" w:sz="4" w:space="0"/>
            </w:tcBorders>
            <w:noWrap w:val="0"/>
            <w:vAlign w:val="center"/>
          </w:tcPr>
          <w:p w14:paraId="2AF7B20F">
            <w:pPr>
              <w:widowControl/>
              <w:snapToGrid w:val="0"/>
              <w:spacing w:line="360" w:lineRule="auto"/>
              <w:jc w:val="center"/>
              <w:rPr>
                <w:rFonts w:ascii="宋体" w:hAnsi="宋体" w:cs="Arial"/>
                <w:color w:val="auto"/>
                <w:kern w:val="0"/>
                <w:sz w:val="24"/>
              </w:rPr>
            </w:pPr>
          </w:p>
        </w:tc>
        <w:tc>
          <w:tcPr>
            <w:tcW w:w="460" w:type="pct"/>
            <w:tcBorders>
              <w:top w:val="single" w:color="auto" w:sz="4" w:space="0"/>
              <w:left w:val="single" w:color="auto" w:sz="4" w:space="0"/>
              <w:bottom w:val="single" w:color="auto" w:sz="4" w:space="0"/>
              <w:right w:val="single" w:color="auto" w:sz="4" w:space="0"/>
            </w:tcBorders>
            <w:noWrap w:val="0"/>
            <w:vAlign w:val="center"/>
          </w:tcPr>
          <w:p w14:paraId="026933F0">
            <w:pPr>
              <w:widowControl/>
              <w:snapToGrid w:val="0"/>
              <w:spacing w:line="360" w:lineRule="auto"/>
              <w:jc w:val="center"/>
              <w:rPr>
                <w:rFonts w:ascii="宋体" w:hAnsi="宋体" w:cs="Arial"/>
                <w:color w:val="auto"/>
                <w:kern w:val="0"/>
                <w:sz w:val="24"/>
              </w:rPr>
            </w:pPr>
          </w:p>
        </w:tc>
        <w:tc>
          <w:tcPr>
            <w:tcW w:w="1438" w:type="pct"/>
            <w:vMerge w:val="continue"/>
            <w:tcBorders>
              <w:left w:val="single" w:color="auto" w:sz="4" w:space="0"/>
              <w:bottom w:val="single" w:color="auto" w:sz="4" w:space="0"/>
              <w:right w:val="single" w:color="auto" w:sz="4" w:space="0"/>
            </w:tcBorders>
            <w:noWrap w:val="0"/>
            <w:vAlign w:val="center"/>
          </w:tcPr>
          <w:p w14:paraId="50B2D375">
            <w:pPr>
              <w:widowControl/>
              <w:snapToGrid w:val="0"/>
              <w:spacing w:line="360" w:lineRule="auto"/>
              <w:jc w:val="center"/>
              <w:rPr>
                <w:rFonts w:ascii="宋体" w:hAnsi="宋体" w:cs="Arial"/>
                <w:color w:val="auto"/>
                <w:kern w:val="0"/>
                <w:sz w:val="24"/>
              </w:rPr>
            </w:pPr>
          </w:p>
        </w:tc>
      </w:tr>
      <w:tr w14:paraId="398E9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365" w:type="pct"/>
            <w:tcBorders>
              <w:top w:val="single" w:color="auto" w:sz="4" w:space="0"/>
              <w:left w:val="single" w:color="auto" w:sz="4" w:space="0"/>
              <w:bottom w:val="single" w:color="auto" w:sz="4" w:space="0"/>
              <w:right w:val="single" w:color="auto" w:sz="4" w:space="0"/>
            </w:tcBorders>
            <w:noWrap w:val="0"/>
            <w:vAlign w:val="center"/>
          </w:tcPr>
          <w:p w14:paraId="1CAE589A">
            <w:pPr>
              <w:widowControl/>
              <w:snapToGrid w:val="0"/>
              <w:spacing w:line="360" w:lineRule="auto"/>
              <w:jc w:val="center"/>
              <w:rPr>
                <w:rFonts w:ascii="宋体" w:hAnsi="宋体" w:cs="Arial"/>
                <w:color w:val="auto"/>
                <w:kern w:val="0"/>
                <w:sz w:val="24"/>
              </w:rPr>
            </w:pPr>
            <w:r>
              <w:rPr>
                <w:rFonts w:hint="eastAsia" w:ascii="宋体" w:hAnsi="宋体" w:cs="Arial"/>
                <w:color w:val="auto"/>
                <w:kern w:val="0"/>
                <w:sz w:val="24"/>
              </w:rPr>
              <w:t>……</w:t>
            </w:r>
          </w:p>
        </w:tc>
        <w:tc>
          <w:tcPr>
            <w:tcW w:w="460" w:type="pct"/>
            <w:tcBorders>
              <w:top w:val="single" w:color="auto" w:sz="4" w:space="0"/>
              <w:left w:val="single" w:color="auto" w:sz="4" w:space="0"/>
              <w:bottom w:val="single" w:color="auto" w:sz="4" w:space="0"/>
              <w:right w:val="single" w:color="auto" w:sz="4" w:space="0"/>
            </w:tcBorders>
            <w:noWrap w:val="0"/>
            <w:vAlign w:val="center"/>
          </w:tcPr>
          <w:p w14:paraId="3B5ABC70">
            <w:pPr>
              <w:widowControl/>
              <w:snapToGrid w:val="0"/>
              <w:spacing w:line="360" w:lineRule="auto"/>
              <w:jc w:val="center"/>
              <w:rPr>
                <w:rFonts w:ascii="宋体" w:hAnsi="宋体" w:cs="Arial"/>
                <w:b/>
                <w:bCs/>
                <w:color w:val="auto"/>
                <w:kern w:val="0"/>
                <w:sz w:val="24"/>
              </w:rPr>
            </w:pPr>
          </w:p>
        </w:tc>
        <w:tc>
          <w:tcPr>
            <w:tcW w:w="431" w:type="pct"/>
            <w:tcBorders>
              <w:top w:val="single" w:color="auto" w:sz="4" w:space="0"/>
              <w:left w:val="single" w:color="auto" w:sz="4" w:space="0"/>
              <w:bottom w:val="single" w:color="auto" w:sz="4" w:space="0"/>
              <w:right w:val="single" w:color="auto" w:sz="4" w:space="0"/>
            </w:tcBorders>
            <w:noWrap w:val="0"/>
            <w:vAlign w:val="center"/>
          </w:tcPr>
          <w:p w14:paraId="07CFEAC9">
            <w:pPr>
              <w:widowControl/>
              <w:snapToGrid w:val="0"/>
              <w:spacing w:line="360" w:lineRule="auto"/>
              <w:jc w:val="center"/>
              <w:rPr>
                <w:rFonts w:ascii="宋体" w:hAnsi="宋体" w:cs="Arial"/>
                <w:color w:val="auto"/>
                <w:kern w:val="0"/>
                <w:sz w:val="24"/>
              </w:rPr>
            </w:pPr>
          </w:p>
        </w:tc>
        <w:tc>
          <w:tcPr>
            <w:tcW w:w="684" w:type="pct"/>
            <w:tcBorders>
              <w:top w:val="single" w:color="auto" w:sz="4" w:space="0"/>
              <w:left w:val="single" w:color="auto" w:sz="4" w:space="0"/>
              <w:bottom w:val="single" w:color="auto" w:sz="4" w:space="0"/>
              <w:right w:val="single" w:color="auto" w:sz="4" w:space="0"/>
            </w:tcBorders>
            <w:noWrap w:val="0"/>
            <w:vAlign w:val="center"/>
          </w:tcPr>
          <w:p w14:paraId="0989C97D">
            <w:pPr>
              <w:widowControl/>
              <w:snapToGrid w:val="0"/>
              <w:spacing w:line="360" w:lineRule="auto"/>
              <w:jc w:val="center"/>
              <w:rPr>
                <w:rFonts w:ascii="宋体" w:hAnsi="宋体" w:cs="Arial"/>
                <w:color w:val="auto"/>
                <w:kern w:val="0"/>
                <w:sz w:val="24"/>
              </w:rPr>
            </w:pPr>
          </w:p>
        </w:tc>
        <w:tc>
          <w:tcPr>
            <w:tcW w:w="385" w:type="pct"/>
            <w:tcBorders>
              <w:top w:val="single" w:color="auto" w:sz="4" w:space="0"/>
              <w:left w:val="single" w:color="auto" w:sz="4" w:space="0"/>
              <w:bottom w:val="single" w:color="auto" w:sz="4" w:space="0"/>
              <w:right w:val="single" w:color="auto" w:sz="4" w:space="0"/>
            </w:tcBorders>
            <w:noWrap w:val="0"/>
            <w:vAlign w:val="center"/>
          </w:tcPr>
          <w:p w14:paraId="31F0368E">
            <w:pPr>
              <w:widowControl/>
              <w:snapToGrid w:val="0"/>
              <w:spacing w:line="360" w:lineRule="auto"/>
              <w:jc w:val="center"/>
              <w:rPr>
                <w:rFonts w:ascii="宋体" w:hAnsi="宋体" w:cs="Arial"/>
                <w:color w:val="auto"/>
                <w:kern w:val="0"/>
                <w:sz w:val="24"/>
              </w:rPr>
            </w:pPr>
          </w:p>
        </w:tc>
        <w:tc>
          <w:tcPr>
            <w:tcW w:w="396" w:type="pct"/>
            <w:tcBorders>
              <w:top w:val="single" w:color="auto" w:sz="4" w:space="0"/>
              <w:left w:val="single" w:color="auto" w:sz="4" w:space="0"/>
              <w:bottom w:val="single" w:color="auto" w:sz="4" w:space="0"/>
              <w:right w:val="single" w:color="auto" w:sz="4" w:space="0"/>
            </w:tcBorders>
            <w:noWrap w:val="0"/>
            <w:vAlign w:val="center"/>
          </w:tcPr>
          <w:p w14:paraId="63D8D1AF">
            <w:pPr>
              <w:widowControl/>
              <w:snapToGrid w:val="0"/>
              <w:spacing w:line="360" w:lineRule="auto"/>
              <w:jc w:val="center"/>
              <w:rPr>
                <w:rFonts w:ascii="宋体" w:hAnsi="宋体" w:cs="Arial"/>
                <w:color w:val="auto"/>
                <w:kern w:val="0"/>
                <w:sz w:val="24"/>
              </w:rPr>
            </w:pPr>
          </w:p>
        </w:tc>
        <w:tc>
          <w:tcPr>
            <w:tcW w:w="377" w:type="pct"/>
            <w:tcBorders>
              <w:top w:val="single" w:color="auto" w:sz="4" w:space="0"/>
              <w:left w:val="single" w:color="auto" w:sz="4" w:space="0"/>
              <w:bottom w:val="single" w:color="auto" w:sz="4" w:space="0"/>
              <w:right w:val="single" w:color="auto" w:sz="4" w:space="0"/>
            </w:tcBorders>
            <w:noWrap w:val="0"/>
            <w:vAlign w:val="center"/>
          </w:tcPr>
          <w:p w14:paraId="6A0678F0">
            <w:pPr>
              <w:widowControl/>
              <w:snapToGrid w:val="0"/>
              <w:spacing w:line="360" w:lineRule="auto"/>
              <w:jc w:val="center"/>
              <w:rPr>
                <w:rFonts w:ascii="宋体" w:hAnsi="宋体" w:cs="Arial"/>
                <w:color w:val="auto"/>
                <w:kern w:val="0"/>
                <w:sz w:val="24"/>
              </w:rPr>
            </w:pPr>
          </w:p>
        </w:tc>
        <w:tc>
          <w:tcPr>
            <w:tcW w:w="460" w:type="pct"/>
            <w:tcBorders>
              <w:top w:val="single" w:color="auto" w:sz="4" w:space="0"/>
              <w:left w:val="single" w:color="auto" w:sz="4" w:space="0"/>
              <w:bottom w:val="single" w:color="auto" w:sz="4" w:space="0"/>
              <w:right w:val="single" w:color="auto" w:sz="4" w:space="0"/>
            </w:tcBorders>
            <w:noWrap w:val="0"/>
            <w:vAlign w:val="center"/>
          </w:tcPr>
          <w:p w14:paraId="10EEFE5B">
            <w:pPr>
              <w:widowControl/>
              <w:snapToGrid w:val="0"/>
              <w:spacing w:line="360" w:lineRule="auto"/>
              <w:jc w:val="center"/>
              <w:rPr>
                <w:rFonts w:ascii="宋体" w:hAnsi="宋体" w:cs="Arial"/>
                <w:color w:val="auto"/>
                <w:kern w:val="0"/>
                <w:sz w:val="24"/>
              </w:rPr>
            </w:pPr>
          </w:p>
        </w:tc>
        <w:tc>
          <w:tcPr>
            <w:tcW w:w="1438" w:type="pct"/>
            <w:tcBorders>
              <w:top w:val="single" w:color="auto" w:sz="4" w:space="0"/>
              <w:left w:val="single" w:color="auto" w:sz="4" w:space="0"/>
              <w:bottom w:val="single" w:color="auto" w:sz="4" w:space="0"/>
              <w:right w:val="single" w:color="auto" w:sz="4" w:space="0"/>
            </w:tcBorders>
            <w:noWrap w:val="0"/>
            <w:vAlign w:val="center"/>
          </w:tcPr>
          <w:p w14:paraId="3341ADFA">
            <w:pPr>
              <w:widowControl/>
              <w:snapToGrid w:val="0"/>
              <w:spacing w:line="360" w:lineRule="auto"/>
              <w:jc w:val="center"/>
              <w:rPr>
                <w:rFonts w:ascii="宋体" w:hAnsi="宋体" w:cs="Arial"/>
                <w:color w:val="auto"/>
                <w:kern w:val="0"/>
                <w:sz w:val="24"/>
              </w:rPr>
            </w:pPr>
          </w:p>
        </w:tc>
      </w:tr>
      <w:tr w14:paraId="10117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2724" w:type="pct"/>
            <w:gridSpan w:val="6"/>
            <w:tcBorders>
              <w:top w:val="single" w:color="auto" w:sz="4" w:space="0"/>
              <w:left w:val="single" w:color="auto" w:sz="4" w:space="0"/>
              <w:bottom w:val="single" w:color="auto" w:sz="4" w:space="0"/>
              <w:right w:val="single" w:color="auto" w:sz="4" w:space="0"/>
            </w:tcBorders>
            <w:noWrap w:val="0"/>
            <w:vAlign w:val="center"/>
          </w:tcPr>
          <w:p w14:paraId="52B40F5F">
            <w:pPr>
              <w:widowControl/>
              <w:snapToGrid w:val="0"/>
              <w:spacing w:line="360" w:lineRule="auto"/>
              <w:jc w:val="center"/>
              <w:rPr>
                <w:rFonts w:hint="eastAsia" w:ascii="宋体" w:hAnsi="宋体" w:cs="Arial"/>
                <w:color w:val="auto"/>
                <w:kern w:val="0"/>
                <w:sz w:val="24"/>
              </w:rPr>
            </w:pPr>
            <w:r>
              <w:rPr>
                <w:rFonts w:hint="eastAsia" w:ascii="宋体" w:hAnsi="宋体" w:cs="Arial"/>
                <w:color w:val="auto"/>
                <w:kern w:val="0"/>
                <w:sz w:val="24"/>
              </w:rPr>
              <w:t>合     计</w:t>
            </w:r>
          </w:p>
        </w:tc>
        <w:tc>
          <w:tcPr>
            <w:tcW w:w="377" w:type="pct"/>
            <w:tcBorders>
              <w:top w:val="single" w:color="auto" w:sz="4" w:space="0"/>
              <w:left w:val="single" w:color="auto" w:sz="4" w:space="0"/>
              <w:bottom w:val="single" w:color="auto" w:sz="4" w:space="0"/>
              <w:right w:val="single" w:color="auto" w:sz="4" w:space="0"/>
            </w:tcBorders>
            <w:noWrap w:val="0"/>
            <w:vAlign w:val="center"/>
          </w:tcPr>
          <w:p w14:paraId="689A9CDB">
            <w:pPr>
              <w:widowControl/>
              <w:snapToGrid w:val="0"/>
              <w:spacing w:line="360" w:lineRule="auto"/>
              <w:jc w:val="center"/>
              <w:rPr>
                <w:rFonts w:ascii="宋体" w:hAnsi="宋体" w:cs="Arial"/>
                <w:color w:val="auto"/>
                <w:kern w:val="0"/>
                <w:sz w:val="24"/>
              </w:rPr>
            </w:pPr>
          </w:p>
        </w:tc>
        <w:tc>
          <w:tcPr>
            <w:tcW w:w="460" w:type="pct"/>
            <w:tcBorders>
              <w:top w:val="single" w:color="auto" w:sz="4" w:space="0"/>
              <w:left w:val="single" w:color="auto" w:sz="4" w:space="0"/>
              <w:bottom w:val="single" w:color="auto" w:sz="4" w:space="0"/>
              <w:right w:val="single" w:color="auto" w:sz="4" w:space="0"/>
            </w:tcBorders>
            <w:noWrap w:val="0"/>
            <w:vAlign w:val="center"/>
          </w:tcPr>
          <w:p w14:paraId="35D05F88">
            <w:pPr>
              <w:widowControl/>
              <w:snapToGrid w:val="0"/>
              <w:spacing w:line="360" w:lineRule="auto"/>
              <w:jc w:val="center"/>
              <w:rPr>
                <w:rFonts w:ascii="宋体" w:hAnsi="宋体" w:cs="Arial"/>
                <w:color w:val="auto"/>
                <w:kern w:val="0"/>
                <w:sz w:val="24"/>
              </w:rPr>
            </w:pPr>
          </w:p>
        </w:tc>
        <w:tc>
          <w:tcPr>
            <w:tcW w:w="1438" w:type="pct"/>
            <w:tcBorders>
              <w:top w:val="single" w:color="auto" w:sz="4" w:space="0"/>
              <w:left w:val="single" w:color="auto" w:sz="4" w:space="0"/>
              <w:bottom w:val="single" w:color="auto" w:sz="4" w:space="0"/>
              <w:right w:val="single" w:color="auto" w:sz="4" w:space="0"/>
            </w:tcBorders>
            <w:noWrap w:val="0"/>
            <w:vAlign w:val="center"/>
          </w:tcPr>
          <w:p w14:paraId="15B065C8">
            <w:pPr>
              <w:widowControl/>
              <w:snapToGrid w:val="0"/>
              <w:spacing w:line="360" w:lineRule="auto"/>
              <w:jc w:val="center"/>
              <w:rPr>
                <w:rFonts w:ascii="宋体" w:hAnsi="宋体" w:cs="Arial"/>
                <w:color w:val="auto"/>
                <w:kern w:val="0"/>
                <w:sz w:val="24"/>
              </w:rPr>
            </w:pPr>
          </w:p>
        </w:tc>
      </w:tr>
    </w:tbl>
    <w:p w14:paraId="01CA7F45">
      <w:pPr>
        <w:tabs>
          <w:tab w:val="left" w:pos="1800"/>
          <w:tab w:val="left" w:pos="5580"/>
        </w:tabs>
        <w:jc w:val="left"/>
        <w:rPr>
          <w:rFonts w:hint="eastAsia"/>
          <w:color w:val="auto"/>
          <w:sz w:val="24"/>
        </w:rPr>
      </w:pPr>
    </w:p>
    <w:p w14:paraId="0E707AFC">
      <w:pPr>
        <w:tabs>
          <w:tab w:val="left" w:pos="1800"/>
          <w:tab w:val="left" w:pos="5580"/>
        </w:tabs>
        <w:jc w:val="left"/>
        <w:rPr>
          <w:rFonts w:hint="eastAsia"/>
          <w:color w:val="auto"/>
          <w:sz w:val="24"/>
        </w:rPr>
      </w:pPr>
    </w:p>
    <w:p w14:paraId="0CAEF907">
      <w:pPr>
        <w:pStyle w:val="17"/>
        <w:ind w:left="900" w:leftChars="200" w:hanging="480" w:hangingChars="200"/>
        <w:rPr>
          <w:color w:val="auto"/>
        </w:rPr>
      </w:pPr>
      <w:r>
        <w:rPr>
          <w:color w:val="auto"/>
        </w:rPr>
        <w:t>注：1.本表应按包分别填写。</w:t>
      </w:r>
    </w:p>
    <w:p w14:paraId="5FD5AE84">
      <w:pPr>
        <w:pStyle w:val="17"/>
        <w:ind w:left="840" w:leftChars="400" w:firstLine="0" w:firstLineChars="0"/>
        <w:rPr>
          <w:color w:val="auto"/>
        </w:rPr>
      </w:pPr>
      <w:r>
        <w:rPr>
          <w:color w:val="auto"/>
        </w:rPr>
        <w:t>2.如果不提供分项报价将视为没有实质性响应询价通知书。</w:t>
      </w:r>
    </w:p>
    <w:p w14:paraId="3F6E4955">
      <w:pPr>
        <w:pStyle w:val="17"/>
        <w:ind w:left="840" w:leftChars="400" w:firstLine="0" w:firstLineChars="0"/>
        <w:rPr>
          <w:color w:val="auto"/>
        </w:rPr>
      </w:pPr>
      <w:r>
        <w:rPr>
          <w:color w:val="auto"/>
        </w:rPr>
        <w:t>3.本表行数可以按照项目分项情况增加。</w:t>
      </w:r>
    </w:p>
    <w:p w14:paraId="3F665938">
      <w:pPr>
        <w:pStyle w:val="17"/>
        <w:ind w:left="840" w:leftChars="400" w:firstLine="0" w:firstLineChars="0"/>
        <w:rPr>
          <w:color w:val="auto"/>
        </w:rPr>
      </w:pPr>
      <w:r>
        <w:rPr>
          <w:color w:val="auto"/>
        </w:rPr>
        <w:t>4.上述各项的详细规格、技术参数如表格中填写不下的，可以逐项另页描述。</w:t>
      </w:r>
    </w:p>
    <w:p w14:paraId="10206D1A">
      <w:pPr>
        <w:autoSpaceDE w:val="0"/>
        <w:autoSpaceDN w:val="0"/>
        <w:adjustRightInd w:val="0"/>
        <w:snapToGrid w:val="0"/>
        <w:spacing w:before="25" w:after="25" w:line="360" w:lineRule="auto"/>
        <w:rPr>
          <w:color w:val="auto"/>
          <w:sz w:val="24"/>
          <w:lang w:val="zh-CN"/>
        </w:rPr>
      </w:pPr>
      <w:r>
        <w:rPr>
          <w:color w:val="auto"/>
          <w:sz w:val="24"/>
          <w:lang w:val="zh-CN"/>
        </w:rPr>
        <w:t xml:space="preserve">                  </w:t>
      </w:r>
    </w:p>
    <w:p w14:paraId="537302B0">
      <w:pPr>
        <w:autoSpaceDE w:val="0"/>
        <w:autoSpaceDN w:val="0"/>
        <w:adjustRightInd w:val="0"/>
        <w:snapToGrid w:val="0"/>
        <w:spacing w:before="25" w:after="25" w:line="360" w:lineRule="auto"/>
        <w:rPr>
          <w:rFonts w:ascii="Times New Roman" w:hAnsi="Times New Roman" w:eastAsia="宋体" w:cs="Times New Roman"/>
          <w:color w:val="auto"/>
          <w:sz w:val="24"/>
          <w:szCs w:val="24"/>
          <w:lang w:val="zh-CN"/>
        </w:rPr>
      </w:pPr>
      <w:r>
        <w:rPr>
          <w:rFonts w:ascii="Times New Roman" w:hAnsi="Times New Roman" w:eastAsia="宋体" w:cs="Times New Roman"/>
          <w:color w:val="auto"/>
          <w:sz w:val="24"/>
          <w:szCs w:val="24"/>
        </w:rPr>
        <w:t>供应商名称（加盖公章）</w:t>
      </w:r>
      <w:r>
        <w:rPr>
          <w:rFonts w:ascii="Times New Roman" w:hAnsi="Times New Roman" w:eastAsia="宋体" w:cs="Times New Roman"/>
          <w:color w:val="auto"/>
          <w:sz w:val="24"/>
          <w:szCs w:val="24"/>
          <w:lang w:val="zh-CN"/>
        </w:rPr>
        <w:t>：____________</w:t>
      </w:r>
    </w:p>
    <w:p w14:paraId="7805BFA1">
      <w:pPr>
        <w:autoSpaceDE w:val="0"/>
        <w:autoSpaceDN w:val="0"/>
        <w:adjustRightInd w:val="0"/>
        <w:snapToGrid w:val="0"/>
        <w:spacing w:before="25" w:after="25" w:line="360" w:lineRule="auto"/>
        <w:rPr>
          <w:rFonts w:ascii="Times New Roman" w:hAnsi="Times New Roman" w:eastAsia="宋体" w:cs="Times New Roman"/>
          <w:color w:val="auto"/>
          <w:sz w:val="24"/>
          <w:szCs w:val="24"/>
          <w:lang w:val="zh-CN"/>
        </w:rPr>
      </w:pPr>
      <w:r>
        <w:rPr>
          <w:rFonts w:ascii="Times New Roman" w:hAnsi="Times New Roman" w:eastAsia="宋体" w:cs="Times New Roman"/>
          <w:color w:val="auto"/>
          <w:sz w:val="24"/>
          <w:szCs w:val="24"/>
        </w:rPr>
        <w:t xml:space="preserve">日期：_____年______月______日   </w:t>
      </w:r>
    </w:p>
    <w:p w14:paraId="2E414E86">
      <w:pPr>
        <w:tabs>
          <w:tab w:val="left" w:pos="1800"/>
          <w:tab w:val="left" w:pos="5580"/>
        </w:tabs>
        <w:spacing w:line="360" w:lineRule="auto"/>
        <w:ind w:firstLine="360" w:firstLineChars="150"/>
        <w:jc w:val="left"/>
        <w:rPr>
          <w:rFonts w:hint="eastAsia"/>
          <w:color w:val="auto"/>
          <w:sz w:val="24"/>
          <w:szCs w:val="20"/>
        </w:rPr>
      </w:pPr>
      <w:r>
        <w:rPr>
          <w:color w:val="auto"/>
          <w:sz w:val="24"/>
          <w:szCs w:val="20"/>
        </w:rPr>
        <w:br w:type="page"/>
      </w:r>
    </w:p>
    <w:p w14:paraId="09CF992F">
      <w:pPr>
        <w:pStyle w:val="3"/>
        <w:numPr>
          <w:ilvl w:val="0"/>
          <w:numId w:val="92"/>
        </w:numPr>
        <w:ind w:left="0" w:leftChars="0" w:firstLine="0" w:firstLineChars="0"/>
        <w:rPr>
          <w:b w:val="0"/>
          <w:color w:val="auto"/>
        </w:rPr>
      </w:pPr>
      <w:r>
        <w:rPr>
          <w:color w:val="auto"/>
        </w:rPr>
        <w:t>合同及商务条款偏离表</w:t>
      </w:r>
      <w:bookmarkEnd w:id="632"/>
      <w:bookmarkEnd w:id="633"/>
      <w:bookmarkEnd w:id="634"/>
      <w:bookmarkEnd w:id="635"/>
      <w:bookmarkEnd w:id="636"/>
      <w:bookmarkEnd w:id="637"/>
      <w:bookmarkEnd w:id="638"/>
      <w:bookmarkEnd w:id="639"/>
      <w:bookmarkEnd w:id="640"/>
      <w:bookmarkEnd w:id="641"/>
      <w:bookmarkEnd w:id="642"/>
      <w:bookmarkEnd w:id="643"/>
      <w:bookmarkEnd w:id="644"/>
      <w:r>
        <w:rPr>
          <w:color w:val="auto"/>
        </w:rPr>
        <w:t>（实质性格式，不接受负偏离）</w:t>
      </w:r>
    </w:p>
    <w:p w14:paraId="277C0BF7">
      <w:pPr>
        <w:spacing w:line="360" w:lineRule="auto"/>
        <w:rPr>
          <w:color w:val="auto"/>
          <w:sz w:val="24"/>
          <w:szCs w:val="20"/>
        </w:rPr>
      </w:pPr>
    </w:p>
    <w:p w14:paraId="1695CF3E">
      <w:pPr>
        <w:pStyle w:val="265"/>
        <w:rPr>
          <w:color w:val="auto"/>
        </w:rPr>
      </w:pPr>
      <w:r>
        <w:rPr>
          <w:color w:val="auto"/>
        </w:rPr>
        <w:t>合同及商务条款偏离表</w:t>
      </w:r>
    </w:p>
    <w:p w14:paraId="661EB275">
      <w:pPr>
        <w:jc w:val="center"/>
        <w:rPr>
          <w:color w:val="auto"/>
          <w:sz w:val="36"/>
          <w:szCs w:val="36"/>
        </w:rPr>
      </w:pPr>
    </w:p>
    <w:p w14:paraId="71FF9643">
      <w:pPr>
        <w:spacing w:line="360" w:lineRule="auto"/>
        <w:rPr>
          <w:color w:val="auto"/>
          <w:sz w:val="24"/>
          <w:szCs w:val="20"/>
        </w:rPr>
      </w:pPr>
    </w:p>
    <w:p w14:paraId="391DF936">
      <w:pPr>
        <w:pStyle w:val="17"/>
        <w:rPr>
          <w:color w:val="auto"/>
        </w:rPr>
      </w:pPr>
      <w:r>
        <w:rPr>
          <w:color w:val="auto"/>
        </w:rPr>
        <w:t>项目编号/包号：_______________     项目名称：_____________________</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3"/>
        <w:gridCol w:w="1317"/>
        <w:gridCol w:w="2031"/>
        <w:gridCol w:w="2032"/>
        <w:gridCol w:w="2487"/>
        <w:gridCol w:w="805"/>
      </w:tblGrid>
      <w:tr w14:paraId="4AA21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5000" w:type="pct"/>
            <w:gridSpan w:val="6"/>
            <w:noWrap w:val="0"/>
            <w:vAlign w:val="center"/>
          </w:tcPr>
          <w:p w14:paraId="76685242">
            <w:pPr>
              <w:adjustRightInd w:val="0"/>
              <w:snapToGrid w:val="0"/>
              <w:jc w:val="left"/>
              <w:rPr>
                <w:b/>
                <w:color w:val="auto"/>
                <w:sz w:val="24"/>
              </w:rPr>
            </w:pPr>
            <w:r>
              <w:rPr>
                <w:rFonts w:hint="eastAsia"/>
                <w:b/>
                <w:color w:val="auto"/>
                <w:sz w:val="24"/>
              </w:rPr>
              <w:t>对本项目合同及商务条款的偏离情况（请进行勾选）：</w:t>
            </w:r>
          </w:p>
          <w:p w14:paraId="0AD60BEA">
            <w:pPr>
              <w:adjustRightInd w:val="0"/>
              <w:snapToGrid w:val="0"/>
              <w:jc w:val="left"/>
              <w:rPr>
                <w:b/>
                <w:color w:val="auto"/>
                <w:sz w:val="24"/>
              </w:rPr>
            </w:pPr>
            <w:r>
              <w:rPr>
                <w:b/>
                <w:color w:val="auto"/>
                <w:sz w:val="24"/>
              </w:rPr>
              <w:t>□无偏离</w:t>
            </w:r>
            <w:r>
              <w:rPr>
                <w:color w:val="auto"/>
                <w:sz w:val="24"/>
              </w:rPr>
              <w:t>（</w:t>
            </w:r>
            <w:r>
              <w:rPr>
                <w:color w:val="auto"/>
                <w:sz w:val="24"/>
                <w:szCs w:val="21"/>
              </w:rPr>
              <w:t>如无偏离，仅勾选无偏离即可</w:t>
            </w:r>
            <w:r>
              <w:rPr>
                <w:color w:val="auto"/>
                <w:sz w:val="24"/>
              </w:rPr>
              <w:t>）</w:t>
            </w:r>
          </w:p>
          <w:p w14:paraId="1A33404E">
            <w:pPr>
              <w:adjustRightInd w:val="0"/>
              <w:snapToGrid w:val="0"/>
              <w:jc w:val="left"/>
              <w:rPr>
                <w:color w:val="auto"/>
                <w:sz w:val="24"/>
              </w:rPr>
            </w:pPr>
            <w:r>
              <w:rPr>
                <w:b/>
                <w:color w:val="auto"/>
                <w:sz w:val="24"/>
              </w:rPr>
              <w:t>□</w:t>
            </w:r>
            <w:r>
              <w:rPr>
                <w:rFonts w:hint="eastAsia"/>
                <w:b/>
                <w:color w:val="auto"/>
                <w:sz w:val="24"/>
              </w:rPr>
              <w:t>正</w:t>
            </w:r>
            <w:r>
              <w:rPr>
                <w:b/>
                <w:color w:val="auto"/>
                <w:sz w:val="24"/>
              </w:rPr>
              <w:t>偏离</w:t>
            </w:r>
            <w:r>
              <w:rPr>
                <w:color w:val="auto"/>
                <w:sz w:val="24"/>
              </w:rPr>
              <w:t>（</w:t>
            </w:r>
            <w:r>
              <w:rPr>
                <w:color w:val="auto"/>
                <w:sz w:val="24"/>
                <w:szCs w:val="21"/>
              </w:rPr>
              <w:t>如有</w:t>
            </w:r>
            <w:r>
              <w:rPr>
                <w:rFonts w:hint="eastAsia"/>
                <w:color w:val="auto"/>
                <w:sz w:val="24"/>
                <w:szCs w:val="21"/>
                <w:lang w:val="en-US" w:eastAsia="zh-CN"/>
              </w:rPr>
              <w:t>正</w:t>
            </w:r>
            <w:r>
              <w:rPr>
                <w:color w:val="auto"/>
                <w:sz w:val="24"/>
                <w:szCs w:val="21"/>
              </w:rPr>
              <w:t>偏离，</w:t>
            </w:r>
            <w:r>
              <w:rPr>
                <w:color w:val="auto"/>
                <w:sz w:val="24"/>
              </w:rPr>
              <w:t>则须在本表中对</w:t>
            </w:r>
            <w:r>
              <w:rPr>
                <w:rFonts w:hint="eastAsia"/>
                <w:color w:val="auto"/>
                <w:sz w:val="24"/>
                <w:lang w:val="en-US" w:eastAsia="zh-CN"/>
              </w:rPr>
              <w:t>正</w:t>
            </w:r>
            <w:r>
              <w:rPr>
                <w:color w:val="auto"/>
                <w:sz w:val="24"/>
              </w:rPr>
              <w:t>偏离项逐一列明）</w:t>
            </w:r>
          </w:p>
        </w:tc>
      </w:tr>
      <w:tr w14:paraId="5A84E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443" w:type="pct"/>
            <w:noWrap w:val="0"/>
            <w:vAlign w:val="center"/>
          </w:tcPr>
          <w:p w14:paraId="4632BEE1">
            <w:pPr>
              <w:adjustRightInd w:val="0"/>
              <w:snapToGrid w:val="0"/>
              <w:jc w:val="center"/>
              <w:rPr>
                <w:color w:val="auto"/>
                <w:sz w:val="24"/>
              </w:rPr>
            </w:pPr>
            <w:r>
              <w:rPr>
                <w:color w:val="auto"/>
                <w:sz w:val="24"/>
              </w:rPr>
              <w:t>序号</w:t>
            </w:r>
          </w:p>
        </w:tc>
        <w:tc>
          <w:tcPr>
            <w:tcW w:w="692" w:type="pct"/>
            <w:noWrap w:val="0"/>
            <w:vAlign w:val="center"/>
          </w:tcPr>
          <w:p w14:paraId="246BB70E">
            <w:pPr>
              <w:adjustRightInd w:val="0"/>
              <w:snapToGrid w:val="0"/>
              <w:jc w:val="center"/>
              <w:rPr>
                <w:color w:val="auto"/>
                <w:sz w:val="24"/>
              </w:rPr>
            </w:pPr>
            <w:r>
              <w:rPr>
                <w:color w:val="auto"/>
                <w:sz w:val="24"/>
                <w:szCs w:val="21"/>
              </w:rPr>
              <w:t>询价通知书</w:t>
            </w:r>
            <w:r>
              <w:rPr>
                <w:color w:val="auto"/>
                <w:sz w:val="24"/>
              </w:rPr>
              <w:t>条目号（页码）</w:t>
            </w:r>
          </w:p>
        </w:tc>
        <w:tc>
          <w:tcPr>
            <w:tcW w:w="1067" w:type="pct"/>
            <w:noWrap w:val="0"/>
            <w:vAlign w:val="center"/>
          </w:tcPr>
          <w:p w14:paraId="5F276823">
            <w:pPr>
              <w:adjustRightInd w:val="0"/>
              <w:snapToGrid w:val="0"/>
              <w:jc w:val="center"/>
              <w:rPr>
                <w:color w:val="auto"/>
                <w:sz w:val="24"/>
              </w:rPr>
            </w:pPr>
            <w:r>
              <w:rPr>
                <w:color w:val="auto"/>
                <w:sz w:val="24"/>
                <w:szCs w:val="21"/>
              </w:rPr>
              <w:t>询价通知书</w:t>
            </w:r>
            <w:r>
              <w:rPr>
                <w:color w:val="auto"/>
                <w:sz w:val="24"/>
              </w:rPr>
              <w:t>要求</w:t>
            </w:r>
          </w:p>
        </w:tc>
        <w:tc>
          <w:tcPr>
            <w:tcW w:w="1068" w:type="pct"/>
            <w:noWrap w:val="0"/>
            <w:vAlign w:val="center"/>
          </w:tcPr>
          <w:p w14:paraId="4F3BB90A">
            <w:pPr>
              <w:adjustRightInd w:val="0"/>
              <w:snapToGrid w:val="0"/>
              <w:jc w:val="center"/>
              <w:rPr>
                <w:color w:val="auto"/>
                <w:sz w:val="24"/>
              </w:rPr>
            </w:pPr>
            <w:r>
              <w:rPr>
                <w:color w:val="auto"/>
                <w:sz w:val="24"/>
              </w:rPr>
              <w:t>响应文件内容</w:t>
            </w:r>
          </w:p>
        </w:tc>
        <w:tc>
          <w:tcPr>
            <w:tcW w:w="1307" w:type="pct"/>
            <w:noWrap w:val="0"/>
            <w:vAlign w:val="center"/>
          </w:tcPr>
          <w:p w14:paraId="522387E9">
            <w:pPr>
              <w:adjustRightInd w:val="0"/>
              <w:snapToGrid w:val="0"/>
              <w:jc w:val="center"/>
              <w:rPr>
                <w:color w:val="auto"/>
                <w:sz w:val="24"/>
              </w:rPr>
            </w:pPr>
            <w:r>
              <w:rPr>
                <w:color w:val="auto"/>
                <w:sz w:val="24"/>
              </w:rPr>
              <w:t>偏离情况</w:t>
            </w:r>
          </w:p>
          <w:p w14:paraId="391A5147">
            <w:pPr>
              <w:adjustRightInd w:val="0"/>
              <w:snapToGrid w:val="0"/>
              <w:jc w:val="center"/>
              <w:rPr>
                <w:color w:val="auto"/>
                <w:sz w:val="24"/>
              </w:rPr>
            </w:pPr>
            <w:r>
              <w:rPr>
                <w:color w:val="auto"/>
                <w:sz w:val="24"/>
              </w:rPr>
              <w:t>（据实填写）</w:t>
            </w:r>
          </w:p>
        </w:tc>
        <w:tc>
          <w:tcPr>
            <w:tcW w:w="420" w:type="pct"/>
            <w:noWrap w:val="0"/>
            <w:vAlign w:val="center"/>
          </w:tcPr>
          <w:p w14:paraId="1FAF61F8">
            <w:pPr>
              <w:adjustRightInd w:val="0"/>
              <w:snapToGrid w:val="0"/>
              <w:jc w:val="center"/>
              <w:rPr>
                <w:color w:val="auto"/>
                <w:sz w:val="24"/>
              </w:rPr>
            </w:pPr>
            <w:r>
              <w:rPr>
                <w:color w:val="auto"/>
                <w:sz w:val="24"/>
              </w:rPr>
              <w:t>说明</w:t>
            </w:r>
          </w:p>
        </w:tc>
      </w:tr>
      <w:tr w14:paraId="69201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443" w:type="pct"/>
            <w:noWrap w:val="0"/>
            <w:vAlign w:val="center"/>
          </w:tcPr>
          <w:p w14:paraId="1DCB5443">
            <w:pPr>
              <w:adjustRightInd w:val="0"/>
              <w:snapToGrid w:val="0"/>
              <w:jc w:val="center"/>
              <w:rPr>
                <w:color w:val="auto"/>
                <w:sz w:val="24"/>
              </w:rPr>
            </w:pPr>
          </w:p>
        </w:tc>
        <w:tc>
          <w:tcPr>
            <w:tcW w:w="692" w:type="pct"/>
            <w:noWrap w:val="0"/>
            <w:vAlign w:val="center"/>
          </w:tcPr>
          <w:p w14:paraId="73FF245F">
            <w:pPr>
              <w:adjustRightInd w:val="0"/>
              <w:snapToGrid w:val="0"/>
              <w:jc w:val="center"/>
              <w:rPr>
                <w:color w:val="auto"/>
                <w:sz w:val="24"/>
              </w:rPr>
            </w:pPr>
          </w:p>
        </w:tc>
        <w:tc>
          <w:tcPr>
            <w:tcW w:w="1067" w:type="pct"/>
            <w:noWrap w:val="0"/>
            <w:vAlign w:val="center"/>
          </w:tcPr>
          <w:p w14:paraId="774487A8">
            <w:pPr>
              <w:adjustRightInd w:val="0"/>
              <w:snapToGrid w:val="0"/>
              <w:jc w:val="center"/>
              <w:rPr>
                <w:color w:val="auto"/>
                <w:sz w:val="24"/>
              </w:rPr>
            </w:pPr>
          </w:p>
        </w:tc>
        <w:tc>
          <w:tcPr>
            <w:tcW w:w="1068" w:type="pct"/>
            <w:noWrap w:val="0"/>
            <w:vAlign w:val="center"/>
          </w:tcPr>
          <w:p w14:paraId="22B808D0">
            <w:pPr>
              <w:adjustRightInd w:val="0"/>
              <w:snapToGrid w:val="0"/>
              <w:jc w:val="center"/>
              <w:rPr>
                <w:color w:val="auto"/>
                <w:sz w:val="24"/>
              </w:rPr>
            </w:pPr>
          </w:p>
        </w:tc>
        <w:tc>
          <w:tcPr>
            <w:tcW w:w="1307" w:type="pct"/>
            <w:noWrap w:val="0"/>
            <w:vAlign w:val="center"/>
          </w:tcPr>
          <w:p w14:paraId="688505C1">
            <w:pPr>
              <w:adjustRightInd w:val="0"/>
              <w:snapToGrid w:val="0"/>
              <w:jc w:val="center"/>
              <w:rPr>
                <w:color w:val="auto"/>
                <w:sz w:val="24"/>
              </w:rPr>
            </w:pPr>
          </w:p>
        </w:tc>
        <w:tc>
          <w:tcPr>
            <w:tcW w:w="420" w:type="pct"/>
            <w:noWrap w:val="0"/>
            <w:vAlign w:val="center"/>
          </w:tcPr>
          <w:p w14:paraId="0EA22CD5">
            <w:pPr>
              <w:adjustRightInd w:val="0"/>
              <w:snapToGrid w:val="0"/>
              <w:jc w:val="center"/>
              <w:rPr>
                <w:color w:val="auto"/>
                <w:sz w:val="24"/>
              </w:rPr>
            </w:pPr>
          </w:p>
        </w:tc>
      </w:tr>
      <w:tr w14:paraId="7B357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443" w:type="pct"/>
            <w:noWrap w:val="0"/>
            <w:vAlign w:val="center"/>
          </w:tcPr>
          <w:p w14:paraId="67735D0F">
            <w:pPr>
              <w:adjustRightInd w:val="0"/>
              <w:snapToGrid w:val="0"/>
              <w:jc w:val="center"/>
              <w:rPr>
                <w:color w:val="auto"/>
                <w:sz w:val="24"/>
              </w:rPr>
            </w:pPr>
          </w:p>
        </w:tc>
        <w:tc>
          <w:tcPr>
            <w:tcW w:w="692" w:type="pct"/>
            <w:noWrap w:val="0"/>
            <w:vAlign w:val="center"/>
          </w:tcPr>
          <w:p w14:paraId="65359C2C">
            <w:pPr>
              <w:adjustRightInd w:val="0"/>
              <w:snapToGrid w:val="0"/>
              <w:jc w:val="center"/>
              <w:rPr>
                <w:color w:val="auto"/>
                <w:sz w:val="24"/>
              </w:rPr>
            </w:pPr>
          </w:p>
        </w:tc>
        <w:tc>
          <w:tcPr>
            <w:tcW w:w="1067" w:type="pct"/>
            <w:noWrap w:val="0"/>
            <w:vAlign w:val="center"/>
          </w:tcPr>
          <w:p w14:paraId="38CFD766">
            <w:pPr>
              <w:adjustRightInd w:val="0"/>
              <w:snapToGrid w:val="0"/>
              <w:jc w:val="center"/>
              <w:rPr>
                <w:color w:val="auto"/>
                <w:sz w:val="24"/>
              </w:rPr>
            </w:pPr>
          </w:p>
        </w:tc>
        <w:tc>
          <w:tcPr>
            <w:tcW w:w="1068" w:type="pct"/>
            <w:noWrap w:val="0"/>
            <w:vAlign w:val="center"/>
          </w:tcPr>
          <w:p w14:paraId="60D642FF">
            <w:pPr>
              <w:adjustRightInd w:val="0"/>
              <w:snapToGrid w:val="0"/>
              <w:jc w:val="center"/>
              <w:rPr>
                <w:color w:val="auto"/>
                <w:sz w:val="24"/>
              </w:rPr>
            </w:pPr>
          </w:p>
        </w:tc>
        <w:tc>
          <w:tcPr>
            <w:tcW w:w="1307" w:type="pct"/>
            <w:noWrap w:val="0"/>
            <w:vAlign w:val="center"/>
          </w:tcPr>
          <w:p w14:paraId="037B2D8D">
            <w:pPr>
              <w:adjustRightInd w:val="0"/>
              <w:snapToGrid w:val="0"/>
              <w:jc w:val="center"/>
              <w:rPr>
                <w:color w:val="auto"/>
                <w:sz w:val="24"/>
              </w:rPr>
            </w:pPr>
          </w:p>
        </w:tc>
        <w:tc>
          <w:tcPr>
            <w:tcW w:w="420" w:type="pct"/>
            <w:noWrap w:val="0"/>
            <w:vAlign w:val="center"/>
          </w:tcPr>
          <w:p w14:paraId="20B01FB6">
            <w:pPr>
              <w:adjustRightInd w:val="0"/>
              <w:snapToGrid w:val="0"/>
              <w:jc w:val="center"/>
              <w:rPr>
                <w:color w:val="auto"/>
                <w:sz w:val="24"/>
              </w:rPr>
            </w:pPr>
          </w:p>
        </w:tc>
      </w:tr>
      <w:tr w14:paraId="64C55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443" w:type="pct"/>
            <w:noWrap w:val="0"/>
            <w:vAlign w:val="center"/>
          </w:tcPr>
          <w:p w14:paraId="4A6D6DF1">
            <w:pPr>
              <w:adjustRightInd w:val="0"/>
              <w:snapToGrid w:val="0"/>
              <w:jc w:val="center"/>
              <w:rPr>
                <w:color w:val="auto"/>
                <w:sz w:val="24"/>
              </w:rPr>
            </w:pPr>
          </w:p>
        </w:tc>
        <w:tc>
          <w:tcPr>
            <w:tcW w:w="692" w:type="pct"/>
            <w:noWrap w:val="0"/>
            <w:vAlign w:val="center"/>
          </w:tcPr>
          <w:p w14:paraId="04AA15FF">
            <w:pPr>
              <w:adjustRightInd w:val="0"/>
              <w:snapToGrid w:val="0"/>
              <w:jc w:val="center"/>
              <w:rPr>
                <w:color w:val="auto"/>
                <w:sz w:val="24"/>
              </w:rPr>
            </w:pPr>
          </w:p>
        </w:tc>
        <w:tc>
          <w:tcPr>
            <w:tcW w:w="1067" w:type="pct"/>
            <w:noWrap w:val="0"/>
            <w:vAlign w:val="center"/>
          </w:tcPr>
          <w:p w14:paraId="3D73D5EB">
            <w:pPr>
              <w:adjustRightInd w:val="0"/>
              <w:snapToGrid w:val="0"/>
              <w:jc w:val="center"/>
              <w:rPr>
                <w:color w:val="auto"/>
                <w:sz w:val="24"/>
              </w:rPr>
            </w:pPr>
          </w:p>
        </w:tc>
        <w:tc>
          <w:tcPr>
            <w:tcW w:w="1068" w:type="pct"/>
            <w:noWrap w:val="0"/>
            <w:vAlign w:val="center"/>
          </w:tcPr>
          <w:p w14:paraId="021EEEB0">
            <w:pPr>
              <w:adjustRightInd w:val="0"/>
              <w:snapToGrid w:val="0"/>
              <w:jc w:val="center"/>
              <w:rPr>
                <w:color w:val="auto"/>
                <w:sz w:val="24"/>
              </w:rPr>
            </w:pPr>
          </w:p>
        </w:tc>
        <w:tc>
          <w:tcPr>
            <w:tcW w:w="1307" w:type="pct"/>
            <w:noWrap w:val="0"/>
            <w:vAlign w:val="center"/>
          </w:tcPr>
          <w:p w14:paraId="1E1C224C">
            <w:pPr>
              <w:adjustRightInd w:val="0"/>
              <w:snapToGrid w:val="0"/>
              <w:jc w:val="center"/>
              <w:rPr>
                <w:color w:val="auto"/>
                <w:sz w:val="24"/>
              </w:rPr>
            </w:pPr>
          </w:p>
        </w:tc>
        <w:tc>
          <w:tcPr>
            <w:tcW w:w="420" w:type="pct"/>
            <w:noWrap w:val="0"/>
            <w:vAlign w:val="center"/>
          </w:tcPr>
          <w:p w14:paraId="634F93AA">
            <w:pPr>
              <w:adjustRightInd w:val="0"/>
              <w:snapToGrid w:val="0"/>
              <w:jc w:val="center"/>
              <w:rPr>
                <w:color w:val="auto"/>
                <w:sz w:val="24"/>
              </w:rPr>
            </w:pPr>
          </w:p>
        </w:tc>
      </w:tr>
      <w:tr w14:paraId="6870F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443" w:type="pct"/>
            <w:noWrap w:val="0"/>
            <w:vAlign w:val="center"/>
          </w:tcPr>
          <w:p w14:paraId="1E66495B">
            <w:pPr>
              <w:adjustRightInd w:val="0"/>
              <w:snapToGrid w:val="0"/>
              <w:jc w:val="center"/>
              <w:rPr>
                <w:color w:val="auto"/>
                <w:sz w:val="24"/>
              </w:rPr>
            </w:pPr>
          </w:p>
        </w:tc>
        <w:tc>
          <w:tcPr>
            <w:tcW w:w="692" w:type="pct"/>
            <w:noWrap w:val="0"/>
            <w:vAlign w:val="center"/>
          </w:tcPr>
          <w:p w14:paraId="130319AA">
            <w:pPr>
              <w:adjustRightInd w:val="0"/>
              <w:snapToGrid w:val="0"/>
              <w:jc w:val="center"/>
              <w:rPr>
                <w:color w:val="auto"/>
                <w:sz w:val="24"/>
              </w:rPr>
            </w:pPr>
          </w:p>
        </w:tc>
        <w:tc>
          <w:tcPr>
            <w:tcW w:w="1067" w:type="pct"/>
            <w:noWrap w:val="0"/>
            <w:vAlign w:val="center"/>
          </w:tcPr>
          <w:p w14:paraId="5C40FC39">
            <w:pPr>
              <w:adjustRightInd w:val="0"/>
              <w:snapToGrid w:val="0"/>
              <w:jc w:val="center"/>
              <w:rPr>
                <w:color w:val="auto"/>
                <w:sz w:val="24"/>
              </w:rPr>
            </w:pPr>
          </w:p>
        </w:tc>
        <w:tc>
          <w:tcPr>
            <w:tcW w:w="1068" w:type="pct"/>
            <w:noWrap w:val="0"/>
            <w:vAlign w:val="center"/>
          </w:tcPr>
          <w:p w14:paraId="3B78080C">
            <w:pPr>
              <w:adjustRightInd w:val="0"/>
              <w:snapToGrid w:val="0"/>
              <w:jc w:val="center"/>
              <w:rPr>
                <w:color w:val="auto"/>
                <w:sz w:val="24"/>
              </w:rPr>
            </w:pPr>
          </w:p>
        </w:tc>
        <w:tc>
          <w:tcPr>
            <w:tcW w:w="1307" w:type="pct"/>
            <w:noWrap w:val="0"/>
            <w:vAlign w:val="center"/>
          </w:tcPr>
          <w:p w14:paraId="3FB43017">
            <w:pPr>
              <w:adjustRightInd w:val="0"/>
              <w:snapToGrid w:val="0"/>
              <w:jc w:val="center"/>
              <w:rPr>
                <w:color w:val="auto"/>
                <w:sz w:val="24"/>
              </w:rPr>
            </w:pPr>
          </w:p>
        </w:tc>
        <w:tc>
          <w:tcPr>
            <w:tcW w:w="420" w:type="pct"/>
            <w:noWrap w:val="0"/>
            <w:vAlign w:val="center"/>
          </w:tcPr>
          <w:p w14:paraId="0287B8A3">
            <w:pPr>
              <w:adjustRightInd w:val="0"/>
              <w:snapToGrid w:val="0"/>
              <w:jc w:val="center"/>
              <w:rPr>
                <w:color w:val="auto"/>
                <w:sz w:val="24"/>
              </w:rPr>
            </w:pPr>
          </w:p>
        </w:tc>
      </w:tr>
    </w:tbl>
    <w:p w14:paraId="7B730396">
      <w:pPr>
        <w:tabs>
          <w:tab w:val="left" w:pos="1800"/>
          <w:tab w:val="left" w:pos="5580"/>
        </w:tabs>
        <w:jc w:val="left"/>
        <w:rPr>
          <w:color w:val="auto"/>
          <w:sz w:val="24"/>
        </w:rPr>
      </w:pPr>
    </w:p>
    <w:p w14:paraId="4DF06A2D">
      <w:pPr>
        <w:pStyle w:val="17"/>
        <w:rPr>
          <w:color w:val="auto"/>
        </w:rPr>
      </w:pPr>
      <w:r>
        <w:rPr>
          <w:color w:val="auto"/>
        </w:rPr>
        <w:t>注：</w:t>
      </w:r>
    </w:p>
    <w:p w14:paraId="2CEE9D9F">
      <w:pPr>
        <w:pStyle w:val="17"/>
        <w:numPr>
          <w:ilvl w:val="0"/>
          <w:numId w:val="93"/>
        </w:numPr>
        <w:ind w:left="0" w:leftChars="0" w:firstLine="480" w:firstLineChars="0"/>
        <w:rPr>
          <w:b w:val="0"/>
          <w:color w:val="auto"/>
        </w:rPr>
      </w:pPr>
      <w:r>
        <w:rPr>
          <w:color w:val="auto"/>
        </w:rPr>
        <w:t>对合同条款以及“第四章 采购需求”中“商务条款”的所有要求，除本表所列明的所有偏离外，均视作供应商已对之理解和响应。</w:t>
      </w:r>
    </w:p>
    <w:p w14:paraId="0927777D">
      <w:pPr>
        <w:pStyle w:val="17"/>
        <w:numPr>
          <w:ilvl w:val="0"/>
          <w:numId w:val="93"/>
        </w:numPr>
        <w:ind w:left="0" w:leftChars="0" w:firstLine="480" w:firstLineChars="0"/>
        <w:rPr>
          <w:b w:val="0"/>
          <w:color w:val="auto"/>
        </w:rPr>
      </w:pPr>
      <w:r>
        <w:rPr>
          <w:color w:val="auto"/>
        </w:rPr>
        <w:t>“偏离情况”列应据实填写“正偏离”。</w:t>
      </w:r>
    </w:p>
    <w:p w14:paraId="4C4674B4">
      <w:pPr>
        <w:spacing w:line="360" w:lineRule="auto"/>
        <w:rPr>
          <w:color w:val="auto"/>
          <w:sz w:val="24"/>
          <w:szCs w:val="20"/>
        </w:rPr>
      </w:pPr>
    </w:p>
    <w:p w14:paraId="0BDDC018">
      <w:pPr>
        <w:autoSpaceDE w:val="0"/>
        <w:autoSpaceDN w:val="0"/>
        <w:adjustRightInd w:val="0"/>
        <w:snapToGrid w:val="0"/>
        <w:spacing w:before="25" w:after="25" w:line="360" w:lineRule="auto"/>
        <w:rPr>
          <w:color w:val="auto"/>
          <w:sz w:val="24"/>
          <w:lang w:val="zh-CN"/>
        </w:rPr>
      </w:pPr>
      <w:r>
        <w:rPr>
          <w:color w:val="auto"/>
          <w:sz w:val="24"/>
          <w:lang w:val="zh-CN"/>
        </w:rPr>
        <w:t xml:space="preserve">                      </w:t>
      </w:r>
    </w:p>
    <w:p w14:paraId="0F7F552D">
      <w:pPr>
        <w:autoSpaceDE w:val="0"/>
        <w:autoSpaceDN w:val="0"/>
        <w:adjustRightInd w:val="0"/>
        <w:snapToGrid w:val="0"/>
        <w:spacing w:before="25" w:after="25" w:line="360" w:lineRule="auto"/>
        <w:rPr>
          <w:rFonts w:ascii="Times New Roman" w:hAnsi="Times New Roman" w:eastAsia="宋体" w:cs="Times New Roman"/>
          <w:color w:val="auto"/>
          <w:sz w:val="24"/>
          <w:szCs w:val="24"/>
          <w:lang w:val="zh-CN"/>
        </w:rPr>
      </w:pPr>
      <w:r>
        <w:rPr>
          <w:rFonts w:ascii="Times New Roman" w:hAnsi="Times New Roman" w:eastAsia="宋体" w:cs="Times New Roman"/>
          <w:color w:val="auto"/>
          <w:sz w:val="24"/>
          <w:szCs w:val="24"/>
        </w:rPr>
        <w:t>供应商名称（加盖公章）</w:t>
      </w:r>
      <w:r>
        <w:rPr>
          <w:rFonts w:ascii="Times New Roman" w:hAnsi="Times New Roman" w:eastAsia="宋体" w:cs="Times New Roman"/>
          <w:color w:val="auto"/>
          <w:sz w:val="24"/>
          <w:szCs w:val="24"/>
          <w:lang w:val="zh-CN"/>
        </w:rPr>
        <w:t>：    ____________</w:t>
      </w:r>
    </w:p>
    <w:p w14:paraId="7F6FB28E">
      <w:pPr>
        <w:autoSpaceDE w:val="0"/>
        <w:autoSpaceDN w:val="0"/>
        <w:adjustRightInd w:val="0"/>
        <w:snapToGrid w:val="0"/>
        <w:spacing w:before="25" w:after="25" w:line="360" w:lineRule="auto"/>
        <w:rPr>
          <w:rFonts w:ascii="Times New Roman" w:hAnsi="Times New Roman" w:eastAsia="宋体" w:cs="Times New Roman"/>
          <w:color w:val="auto"/>
          <w:sz w:val="24"/>
          <w:szCs w:val="24"/>
          <w:lang w:val="zh-CN"/>
        </w:rPr>
      </w:pPr>
      <w:r>
        <w:rPr>
          <w:rFonts w:ascii="Times New Roman" w:hAnsi="Times New Roman" w:eastAsia="宋体" w:cs="Times New Roman"/>
          <w:color w:val="auto"/>
          <w:sz w:val="24"/>
          <w:szCs w:val="24"/>
        </w:rPr>
        <w:t xml:space="preserve">日期：_____年______月______日   </w:t>
      </w:r>
    </w:p>
    <w:p w14:paraId="61A7FD86">
      <w:pPr>
        <w:tabs>
          <w:tab w:val="left" w:pos="1800"/>
          <w:tab w:val="left" w:pos="5580"/>
        </w:tabs>
        <w:spacing w:line="360" w:lineRule="auto"/>
        <w:ind w:firstLine="360" w:firstLineChars="150"/>
        <w:jc w:val="left"/>
        <w:rPr>
          <w:rFonts w:hint="eastAsia"/>
          <w:color w:val="auto"/>
          <w:sz w:val="24"/>
          <w:szCs w:val="20"/>
        </w:rPr>
      </w:pPr>
      <w:r>
        <w:rPr>
          <w:color w:val="auto"/>
          <w:sz w:val="24"/>
          <w:szCs w:val="20"/>
        </w:rPr>
        <w:br w:type="page"/>
      </w:r>
    </w:p>
    <w:bookmarkEnd w:id="645"/>
    <w:bookmarkEnd w:id="646"/>
    <w:bookmarkEnd w:id="647"/>
    <w:bookmarkEnd w:id="648"/>
    <w:bookmarkEnd w:id="649"/>
    <w:bookmarkEnd w:id="650"/>
    <w:bookmarkEnd w:id="651"/>
    <w:bookmarkEnd w:id="652"/>
    <w:bookmarkEnd w:id="653"/>
    <w:bookmarkEnd w:id="654"/>
    <w:bookmarkEnd w:id="655"/>
    <w:bookmarkEnd w:id="656"/>
    <w:bookmarkEnd w:id="657"/>
    <w:p w14:paraId="26A60CD2">
      <w:pPr>
        <w:pStyle w:val="3"/>
        <w:numPr>
          <w:ilvl w:val="0"/>
          <w:numId w:val="92"/>
        </w:numPr>
        <w:ind w:left="0" w:leftChars="0" w:firstLine="0" w:firstLineChars="0"/>
        <w:rPr>
          <w:b w:val="0"/>
          <w:color w:val="auto"/>
        </w:rPr>
      </w:pPr>
      <w:r>
        <w:rPr>
          <w:color w:val="auto"/>
        </w:rPr>
        <w:t>技术</w:t>
      </w:r>
      <w:r>
        <w:rPr>
          <w:rFonts w:hint="eastAsia"/>
          <w:color w:val="auto"/>
          <w:lang w:val="en-US" w:eastAsia="zh-CN"/>
        </w:rPr>
        <w:t>服务</w:t>
      </w:r>
      <w:r>
        <w:rPr>
          <w:color w:val="auto"/>
        </w:rPr>
        <w:t>偏离表（实质性格式）</w:t>
      </w:r>
    </w:p>
    <w:p w14:paraId="29D85A14">
      <w:pPr>
        <w:pStyle w:val="265"/>
        <w:rPr>
          <w:color w:val="auto"/>
        </w:rPr>
      </w:pPr>
      <w:r>
        <w:rPr>
          <w:color w:val="auto"/>
        </w:rPr>
        <w:t>技术参数偏离表</w:t>
      </w:r>
    </w:p>
    <w:p w14:paraId="64EE51C6">
      <w:pPr>
        <w:jc w:val="center"/>
        <w:rPr>
          <w:color w:val="auto"/>
          <w:sz w:val="36"/>
          <w:szCs w:val="36"/>
        </w:rPr>
      </w:pPr>
    </w:p>
    <w:p w14:paraId="71BD5322">
      <w:pPr>
        <w:pStyle w:val="17"/>
        <w:rPr>
          <w:color w:val="auto"/>
          <w:u w:val="single"/>
        </w:rPr>
      </w:pPr>
      <w:r>
        <w:rPr>
          <w:color w:val="auto"/>
        </w:rPr>
        <w:t>项目编号/包号：_____________________     项目名称：_______________________</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3"/>
        <w:gridCol w:w="1460"/>
        <w:gridCol w:w="2348"/>
        <w:gridCol w:w="2095"/>
        <w:gridCol w:w="1848"/>
        <w:gridCol w:w="1001"/>
      </w:tblGrid>
      <w:tr w14:paraId="5D564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5000" w:type="pct"/>
            <w:gridSpan w:val="6"/>
            <w:noWrap w:val="0"/>
            <w:vAlign w:val="center"/>
          </w:tcPr>
          <w:p w14:paraId="6C05E58C">
            <w:pPr>
              <w:adjustRightInd w:val="0"/>
              <w:snapToGrid w:val="0"/>
              <w:rPr>
                <w:rFonts w:hint="default" w:eastAsia="宋体"/>
                <w:b/>
                <w:bCs/>
                <w:color w:val="auto"/>
                <w:sz w:val="24"/>
                <w:lang w:val="en-US" w:eastAsia="zh-CN"/>
              </w:rPr>
            </w:pPr>
            <w:r>
              <w:rPr>
                <w:rFonts w:hint="eastAsia"/>
                <w:b/>
                <w:bCs/>
                <w:color w:val="auto"/>
                <w:sz w:val="24"/>
              </w:rPr>
              <w:t>对本项目采购文件要求的偏离情况</w:t>
            </w:r>
            <w:r>
              <w:rPr>
                <w:b/>
                <w:bCs/>
                <w:color w:val="auto"/>
                <w:sz w:val="24"/>
              </w:rPr>
              <w:t>(</w:t>
            </w:r>
            <w:r>
              <w:rPr>
                <w:rFonts w:hint="eastAsia"/>
                <w:b/>
                <w:bCs/>
                <w:color w:val="auto"/>
                <w:sz w:val="24"/>
              </w:rPr>
              <w:t>请进行勾选</w:t>
            </w:r>
            <w:r>
              <w:rPr>
                <w:b/>
                <w:bCs/>
                <w:color w:val="auto"/>
                <w:sz w:val="24"/>
              </w:rPr>
              <w:t>)</w:t>
            </w:r>
            <w:r>
              <w:rPr>
                <w:rFonts w:hint="eastAsia"/>
                <w:b/>
                <w:bCs/>
                <w:color w:val="auto"/>
                <w:sz w:val="24"/>
              </w:rPr>
              <w:t>：</w:t>
            </w:r>
          </w:p>
          <w:p w14:paraId="2152AFD5">
            <w:pPr>
              <w:adjustRightInd w:val="0"/>
              <w:snapToGrid w:val="0"/>
              <w:rPr>
                <w:color w:val="auto"/>
                <w:sz w:val="24"/>
              </w:rPr>
            </w:pPr>
            <w:r>
              <w:rPr>
                <w:rFonts w:hint="eastAsia"/>
                <w:color w:val="auto"/>
                <w:sz w:val="24"/>
              </w:rPr>
              <w:t>□无偏离（如无偏离，仅勾选无偏离即可）</w:t>
            </w:r>
          </w:p>
          <w:p w14:paraId="635B028B">
            <w:pPr>
              <w:adjustRightInd w:val="0"/>
              <w:snapToGrid w:val="0"/>
              <w:jc w:val="both"/>
              <w:rPr>
                <w:color w:val="auto"/>
                <w:sz w:val="24"/>
              </w:rPr>
            </w:pPr>
            <w:r>
              <w:rPr>
                <w:rFonts w:hint="eastAsia"/>
                <w:color w:val="auto"/>
                <w:sz w:val="24"/>
              </w:rPr>
              <w:t>□有偏离（如有偏离，则应在本表中对偏离项逐一罗列）</w:t>
            </w:r>
          </w:p>
        </w:tc>
      </w:tr>
      <w:tr w14:paraId="075AE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401" w:type="pct"/>
            <w:noWrap w:val="0"/>
            <w:vAlign w:val="center"/>
          </w:tcPr>
          <w:p w14:paraId="7E82382C">
            <w:pPr>
              <w:adjustRightInd w:val="0"/>
              <w:snapToGrid w:val="0"/>
              <w:jc w:val="center"/>
              <w:rPr>
                <w:color w:val="auto"/>
                <w:sz w:val="24"/>
              </w:rPr>
            </w:pPr>
            <w:r>
              <w:rPr>
                <w:color w:val="auto"/>
                <w:sz w:val="24"/>
              </w:rPr>
              <w:t>序号</w:t>
            </w:r>
          </w:p>
        </w:tc>
        <w:tc>
          <w:tcPr>
            <w:tcW w:w="767" w:type="pct"/>
            <w:noWrap w:val="0"/>
            <w:vAlign w:val="center"/>
          </w:tcPr>
          <w:p w14:paraId="22F8F900">
            <w:pPr>
              <w:adjustRightInd w:val="0"/>
              <w:snapToGrid w:val="0"/>
              <w:jc w:val="center"/>
              <w:rPr>
                <w:color w:val="auto"/>
                <w:sz w:val="24"/>
              </w:rPr>
            </w:pPr>
            <w:r>
              <w:rPr>
                <w:color w:val="auto"/>
                <w:sz w:val="24"/>
              </w:rPr>
              <w:t>询价通知书条目号(页码)</w:t>
            </w:r>
          </w:p>
        </w:tc>
        <w:tc>
          <w:tcPr>
            <w:tcW w:w="1234" w:type="pct"/>
            <w:noWrap w:val="0"/>
            <w:vAlign w:val="center"/>
          </w:tcPr>
          <w:p w14:paraId="62D88CEA">
            <w:pPr>
              <w:adjustRightInd w:val="0"/>
              <w:snapToGrid w:val="0"/>
              <w:jc w:val="center"/>
              <w:rPr>
                <w:color w:val="auto"/>
                <w:sz w:val="24"/>
              </w:rPr>
            </w:pPr>
            <w:r>
              <w:rPr>
                <w:color w:val="auto"/>
                <w:sz w:val="24"/>
              </w:rPr>
              <w:t>询价通知书要求</w:t>
            </w:r>
          </w:p>
        </w:tc>
        <w:tc>
          <w:tcPr>
            <w:tcW w:w="1101" w:type="pct"/>
            <w:noWrap w:val="0"/>
            <w:vAlign w:val="center"/>
          </w:tcPr>
          <w:p w14:paraId="0B8CD18E">
            <w:pPr>
              <w:adjustRightInd w:val="0"/>
              <w:snapToGrid w:val="0"/>
              <w:jc w:val="center"/>
              <w:rPr>
                <w:color w:val="auto"/>
                <w:sz w:val="24"/>
              </w:rPr>
            </w:pPr>
            <w:r>
              <w:rPr>
                <w:color w:val="auto"/>
                <w:sz w:val="24"/>
              </w:rPr>
              <w:t>响应内容</w:t>
            </w:r>
          </w:p>
        </w:tc>
        <w:tc>
          <w:tcPr>
            <w:tcW w:w="971" w:type="pct"/>
            <w:noWrap w:val="0"/>
            <w:vAlign w:val="center"/>
          </w:tcPr>
          <w:p w14:paraId="5687D41C">
            <w:pPr>
              <w:adjustRightInd w:val="0"/>
              <w:snapToGrid w:val="0"/>
              <w:jc w:val="center"/>
              <w:rPr>
                <w:color w:val="auto"/>
                <w:sz w:val="24"/>
              </w:rPr>
            </w:pPr>
            <w:r>
              <w:rPr>
                <w:color w:val="auto"/>
                <w:sz w:val="24"/>
              </w:rPr>
              <w:t>偏离情况</w:t>
            </w:r>
          </w:p>
          <w:p w14:paraId="6874B24A">
            <w:pPr>
              <w:adjustRightInd w:val="0"/>
              <w:snapToGrid w:val="0"/>
              <w:jc w:val="center"/>
              <w:rPr>
                <w:color w:val="auto"/>
                <w:sz w:val="24"/>
              </w:rPr>
            </w:pPr>
            <w:r>
              <w:rPr>
                <w:color w:val="auto"/>
                <w:sz w:val="24"/>
                <w:szCs w:val="21"/>
              </w:rPr>
              <w:t>（据实填写）</w:t>
            </w:r>
          </w:p>
        </w:tc>
        <w:tc>
          <w:tcPr>
            <w:tcW w:w="523" w:type="pct"/>
            <w:noWrap w:val="0"/>
            <w:vAlign w:val="center"/>
          </w:tcPr>
          <w:p w14:paraId="208978B5">
            <w:pPr>
              <w:adjustRightInd w:val="0"/>
              <w:snapToGrid w:val="0"/>
              <w:jc w:val="center"/>
              <w:rPr>
                <w:color w:val="auto"/>
                <w:sz w:val="24"/>
              </w:rPr>
            </w:pPr>
            <w:r>
              <w:rPr>
                <w:color w:val="auto"/>
                <w:sz w:val="24"/>
              </w:rPr>
              <w:t>说明</w:t>
            </w:r>
          </w:p>
        </w:tc>
      </w:tr>
      <w:tr w14:paraId="6CBAB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401" w:type="pct"/>
            <w:noWrap w:val="0"/>
            <w:vAlign w:val="center"/>
          </w:tcPr>
          <w:p w14:paraId="60E1A5B7">
            <w:pPr>
              <w:adjustRightInd w:val="0"/>
              <w:snapToGrid w:val="0"/>
              <w:jc w:val="center"/>
              <w:rPr>
                <w:color w:val="auto"/>
                <w:sz w:val="24"/>
              </w:rPr>
            </w:pPr>
          </w:p>
        </w:tc>
        <w:tc>
          <w:tcPr>
            <w:tcW w:w="767" w:type="pct"/>
            <w:noWrap w:val="0"/>
            <w:vAlign w:val="center"/>
          </w:tcPr>
          <w:p w14:paraId="55BE9BF1">
            <w:pPr>
              <w:adjustRightInd w:val="0"/>
              <w:snapToGrid w:val="0"/>
              <w:jc w:val="center"/>
              <w:rPr>
                <w:color w:val="auto"/>
                <w:sz w:val="24"/>
              </w:rPr>
            </w:pPr>
          </w:p>
        </w:tc>
        <w:tc>
          <w:tcPr>
            <w:tcW w:w="1234" w:type="pct"/>
            <w:noWrap w:val="0"/>
            <w:vAlign w:val="center"/>
          </w:tcPr>
          <w:p w14:paraId="423D8816">
            <w:pPr>
              <w:adjustRightInd w:val="0"/>
              <w:snapToGrid w:val="0"/>
              <w:jc w:val="center"/>
              <w:rPr>
                <w:color w:val="auto"/>
                <w:sz w:val="24"/>
              </w:rPr>
            </w:pPr>
          </w:p>
        </w:tc>
        <w:tc>
          <w:tcPr>
            <w:tcW w:w="1101" w:type="pct"/>
            <w:noWrap w:val="0"/>
            <w:vAlign w:val="center"/>
          </w:tcPr>
          <w:p w14:paraId="1E3C0C74">
            <w:pPr>
              <w:adjustRightInd w:val="0"/>
              <w:snapToGrid w:val="0"/>
              <w:jc w:val="center"/>
              <w:rPr>
                <w:color w:val="auto"/>
                <w:sz w:val="24"/>
              </w:rPr>
            </w:pPr>
          </w:p>
        </w:tc>
        <w:tc>
          <w:tcPr>
            <w:tcW w:w="971" w:type="pct"/>
            <w:noWrap w:val="0"/>
            <w:vAlign w:val="center"/>
          </w:tcPr>
          <w:p w14:paraId="29399BFC">
            <w:pPr>
              <w:adjustRightInd w:val="0"/>
              <w:snapToGrid w:val="0"/>
              <w:jc w:val="center"/>
              <w:rPr>
                <w:color w:val="auto"/>
                <w:sz w:val="24"/>
              </w:rPr>
            </w:pPr>
          </w:p>
        </w:tc>
        <w:tc>
          <w:tcPr>
            <w:tcW w:w="523" w:type="pct"/>
            <w:noWrap w:val="0"/>
            <w:vAlign w:val="center"/>
          </w:tcPr>
          <w:p w14:paraId="24257770">
            <w:pPr>
              <w:adjustRightInd w:val="0"/>
              <w:snapToGrid w:val="0"/>
              <w:jc w:val="center"/>
              <w:rPr>
                <w:color w:val="auto"/>
                <w:sz w:val="24"/>
              </w:rPr>
            </w:pPr>
          </w:p>
        </w:tc>
      </w:tr>
      <w:tr w14:paraId="11107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401" w:type="pct"/>
            <w:noWrap w:val="0"/>
            <w:vAlign w:val="center"/>
          </w:tcPr>
          <w:p w14:paraId="4AACC3C0">
            <w:pPr>
              <w:adjustRightInd w:val="0"/>
              <w:snapToGrid w:val="0"/>
              <w:jc w:val="center"/>
              <w:rPr>
                <w:color w:val="auto"/>
                <w:sz w:val="24"/>
              </w:rPr>
            </w:pPr>
          </w:p>
        </w:tc>
        <w:tc>
          <w:tcPr>
            <w:tcW w:w="767" w:type="pct"/>
            <w:noWrap w:val="0"/>
            <w:vAlign w:val="center"/>
          </w:tcPr>
          <w:p w14:paraId="1FE5A915">
            <w:pPr>
              <w:adjustRightInd w:val="0"/>
              <w:snapToGrid w:val="0"/>
              <w:jc w:val="center"/>
              <w:rPr>
                <w:color w:val="auto"/>
                <w:sz w:val="24"/>
              </w:rPr>
            </w:pPr>
          </w:p>
        </w:tc>
        <w:tc>
          <w:tcPr>
            <w:tcW w:w="1234" w:type="pct"/>
            <w:noWrap w:val="0"/>
            <w:vAlign w:val="center"/>
          </w:tcPr>
          <w:p w14:paraId="028CF5CD">
            <w:pPr>
              <w:adjustRightInd w:val="0"/>
              <w:snapToGrid w:val="0"/>
              <w:jc w:val="center"/>
              <w:rPr>
                <w:color w:val="auto"/>
                <w:sz w:val="24"/>
              </w:rPr>
            </w:pPr>
          </w:p>
        </w:tc>
        <w:tc>
          <w:tcPr>
            <w:tcW w:w="1101" w:type="pct"/>
            <w:noWrap w:val="0"/>
            <w:vAlign w:val="center"/>
          </w:tcPr>
          <w:p w14:paraId="00BAADF9">
            <w:pPr>
              <w:adjustRightInd w:val="0"/>
              <w:snapToGrid w:val="0"/>
              <w:jc w:val="center"/>
              <w:rPr>
                <w:color w:val="auto"/>
                <w:sz w:val="24"/>
              </w:rPr>
            </w:pPr>
          </w:p>
        </w:tc>
        <w:tc>
          <w:tcPr>
            <w:tcW w:w="971" w:type="pct"/>
            <w:noWrap w:val="0"/>
            <w:vAlign w:val="center"/>
          </w:tcPr>
          <w:p w14:paraId="02DC5830">
            <w:pPr>
              <w:adjustRightInd w:val="0"/>
              <w:snapToGrid w:val="0"/>
              <w:jc w:val="center"/>
              <w:rPr>
                <w:color w:val="auto"/>
                <w:sz w:val="24"/>
              </w:rPr>
            </w:pPr>
          </w:p>
        </w:tc>
        <w:tc>
          <w:tcPr>
            <w:tcW w:w="523" w:type="pct"/>
            <w:noWrap w:val="0"/>
            <w:vAlign w:val="center"/>
          </w:tcPr>
          <w:p w14:paraId="20AC6CC2">
            <w:pPr>
              <w:adjustRightInd w:val="0"/>
              <w:snapToGrid w:val="0"/>
              <w:jc w:val="center"/>
              <w:rPr>
                <w:color w:val="auto"/>
                <w:sz w:val="24"/>
              </w:rPr>
            </w:pPr>
          </w:p>
        </w:tc>
      </w:tr>
      <w:tr w14:paraId="3E1F7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401" w:type="pct"/>
            <w:noWrap w:val="0"/>
            <w:vAlign w:val="center"/>
          </w:tcPr>
          <w:p w14:paraId="6F0C88E6">
            <w:pPr>
              <w:adjustRightInd w:val="0"/>
              <w:snapToGrid w:val="0"/>
              <w:jc w:val="center"/>
              <w:rPr>
                <w:color w:val="auto"/>
                <w:sz w:val="24"/>
              </w:rPr>
            </w:pPr>
          </w:p>
        </w:tc>
        <w:tc>
          <w:tcPr>
            <w:tcW w:w="767" w:type="pct"/>
            <w:noWrap w:val="0"/>
            <w:vAlign w:val="center"/>
          </w:tcPr>
          <w:p w14:paraId="18CE4B10">
            <w:pPr>
              <w:adjustRightInd w:val="0"/>
              <w:snapToGrid w:val="0"/>
              <w:jc w:val="center"/>
              <w:rPr>
                <w:color w:val="auto"/>
                <w:sz w:val="24"/>
              </w:rPr>
            </w:pPr>
          </w:p>
        </w:tc>
        <w:tc>
          <w:tcPr>
            <w:tcW w:w="1234" w:type="pct"/>
            <w:noWrap w:val="0"/>
            <w:vAlign w:val="center"/>
          </w:tcPr>
          <w:p w14:paraId="334AE51A">
            <w:pPr>
              <w:adjustRightInd w:val="0"/>
              <w:snapToGrid w:val="0"/>
              <w:jc w:val="center"/>
              <w:rPr>
                <w:color w:val="auto"/>
                <w:sz w:val="24"/>
              </w:rPr>
            </w:pPr>
          </w:p>
        </w:tc>
        <w:tc>
          <w:tcPr>
            <w:tcW w:w="1101" w:type="pct"/>
            <w:noWrap w:val="0"/>
            <w:vAlign w:val="center"/>
          </w:tcPr>
          <w:p w14:paraId="6EC44A83">
            <w:pPr>
              <w:adjustRightInd w:val="0"/>
              <w:snapToGrid w:val="0"/>
              <w:jc w:val="center"/>
              <w:rPr>
                <w:color w:val="auto"/>
                <w:sz w:val="24"/>
              </w:rPr>
            </w:pPr>
          </w:p>
        </w:tc>
        <w:tc>
          <w:tcPr>
            <w:tcW w:w="971" w:type="pct"/>
            <w:noWrap w:val="0"/>
            <w:vAlign w:val="center"/>
          </w:tcPr>
          <w:p w14:paraId="11A5646B">
            <w:pPr>
              <w:adjustRightInd w:val="0"/>
              <w:snapToGrid w:val="0"/>
              <w:jc w:val="center"/>
              <w:rPr>
                <w:color w:val="auto"/>
                <w:sz w:val="24"/>
              </w:rPr>
            </w:pPr>
          </w:p>
        </w:tc>
        <w:tc>
          <w:tcPr>
            <w:tcW w:w="523" w:type="pct"/>
            <w:noWrap w:val="0"/>
            <w:vAlign w:val="center"/>
          </w:tcPr>
          <w:p w14:paraId="1F5B3337">
            <w:pPr>
              <w:adjustRightInd w:val="0"/>
              <w:snapToGrid w:val="0"/>
              <w:jc w:val="center"/>
              <w:rPr>
                <w:color w:val="auto"/>
                <w:sz w:val="24"/>
              </w:rPr>
            </w:pPr>
          </w:p>
        </w:tc>
      </w:tr>
      <w:tr w14:paraId="76E24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401" w:type="pct"/>
            <w:noWrap w:val="0"/>
            <w:vAlign w:val="center"/>
          </w:tcPr>
          <w:p w14:paraId="67920FC1">
            <w:pPr>
              <w:adjustRightInd w:val="0"/>
              <w:snapToGrid w:val="0"/>
              <w:jc w:val="center"/>
              <w:rPr>
                <w:color w:val="auto"/>
                <w:sz w:val="24"/>
              </w:rPr>
            </w:pPr>
          </w:p>
        </w:tc>
        <w:tc>
          <w:tcPr>
            <w:tcW w:w="767" w:type="pct"/>
            <w:noWrap w:val="0"/>
            <w:vAlign w:val="center"/>
          </w:tcPr>
          <w:p w14:paraId="78B6401A">
            <w:pPr>
              <w:adjustRightInd w:val="0"/>
              <w:snapToGrid w:val="0"/>
              <w:jc w:val="center"/>
              <w:rPr>
                <w:color w:val="auto"/>
                <w:sz w:val="24"/>
              </w:rPr>
            </w:pPr>
          </w:p>
        </w:tc>
        <w:tc>
          <w:tcPr>
            <w:tcW w:w="1234" w:type="pct"/>
            <w:noWrap w:val="0"/>
            <w:vAlign w:val="center"/>
          </w:tcPr>
          <w:p w14:paraId="6B35B882">
            <w:pPr>
              <w:adjustRightInd w:val="0"/>
              <w:snapToGrid w:val="0"/>
              <w:jc w:val="center"/>
              <w:rPr>
                <w:color w:val="auto"/>
                <w:sz w:val="24"/>
              </w:rPr>
            </w:pPr>
          </w:p>
        </w:tc>
        <w:tc>
          <w:tcPr>
            <w:tcW w:w="1101" w:type="pct"/>
            <w:noWrap w:val="0"/>
            <w:vAlign w:val="center"/>
          </w:tcPr>
          <w:p w14:paraId="71379F9D">
            <w:pPr>
              <w:adjustRightInd w:val="0"/>
              <w:snapToGrid w:val="0"/>
              <w:jc w:val="center"/>
              <w:rPr>
                <w:color w:val="auto"/>
                <w:sz w:val="24"/>
              </w:rPr>
            </w:pPr>
          </w:p>
        </w:tc>
        <w:tc>
          <w:tcPr>
            <w:tcW w:w="971" w:type="pct"/>
            <w:noWrap w:val="0"/>
            <w:vAlign w:val="center"/>
          </w:tcPr>
          <w:p w14:paraId="6FD13482">
            <w:pPr>
              <w:adjustRightInd w:val="0"/>
              <w:snapToGrid w:val="0"/>
              <w:jc w:val="center"/>
              <w:rPr>
                <w:color w:val="auto"/>
                <w:sz w:val="24"/>
              </w:rPr>
            </w:pPr>
          </w:p>
        </w:tc>
        <w:tc>
          <w:tcPr>
            <w:tcW w:w="523" w:type="pct"/>
            <w:noWrap w:val="0"/>
            <w:vAlign w:val="center"/>
          </w:tcPr>
          <w:p w14:paraId="7ACBFDDB">
            <w:pPr>
              <w:adjustRightInd w:val="0"/>
              <w:snapToGrid w:val="0"/>
              <w:jc w:val="center"/>
              <w:rPr>
                <w:color w:val="auto"/>
                <w:sz w:val="24"/>
              </w:rPr>
            </w:pPr>
          </w:p>
        </w:tc>
      </w:tr>
      <w:tr w14:paraId="3B872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401" w:type="pct"/>
            <w:noWrap w:val="0"/>
            <w:vAlign w:val="center"/>
          </w:tcPr>
          <w:p w14:paraId="25E9FC94">
            <w:pPr>
              <w:adjustRightInd w:val="0"/>
              <w:snapToGrid w:val="0"/>
              <w:jc w:val="center"/>
              <w:rPr>
                <w:color w:val="auto"/>
                <w:sz w:val="24"/>
              </w:rPr>
            </w:pPr>
          </w:p>
        </w:tc>
        <w:tc>
          <w:tcPr>
            <w:tcW w:w="767" w:type="pct"/>
            <w:noWrap w:val="0"/>
            <w:vAlign w:val="center"/>
          </w:tcPr>
          <w:p w14:paraId="7658CE5C">
            <w:pPr>
              <w:adjustRightInd w:val="0"/>
              <w:snapToGrid w:val="0"/>
              <w:jc w:val="center"/>
              <w:rPr>
                <w:color w:val="auto"/>
                <w:sz w:val="24"/>
              </w:rPr>
            </w:pPr>
          </w:p>
        </w:tc>
        <w:tc>
          <w:tcPr>
            <w:tcW w:w="1234" w:type="pct"/>
            <w:noWrap w:val="0"/>
            <w:vAlign w:val="center"/>
          </w:tcPr>
          <w:p w14:paraId="5A9A5348">
            <w:pPr>
              <w:adjustRightInd w:val="0"/>
              <w:snapToGrid w:val="0"/>
              <w:jc w:val="center"/>
              <w:rPr>
                <w:color w:val="auto"/>
                <w:sz w:val="24"/>
              </w:rPr>
            </w:pPr>
          </w:p>
        </w:tc>
        <w:tc>
          <w:tcPr>
            <w:tcW w:w="1101" w:type="pct"/>
            <w:noWrap w:val="0"/>
            <w:vAlign w:val="center"/>
          </w:tcPr>
          <w:p w14:paraId="7EEF169A">
            <w:pPr>
              <w:adjustRightInd w:val="0"/>
              <w:snapToGrid w:val="0"/>
              <w:jc w:val="center"/>
              <w:rPr>
                <w:color w:val="auto"/>
                <w:sz w:val="24"/>
              </w:rPr>
            </w:pPr>
          </w:p>
        </w:tc>
        <w:tc>
          <w:tcPr>
            <w:tcW w:w="971" w:type="pct"/>
            <w:noWrap w:val="0"/>
            <w:vAlign w:val="center"/>
          </w:tcPr>
          <w:p w14:paraId="5B604CDF">
            <w:pPr>
              <w:adjustRightInd w:val="0"/>
              <w:snapToGrid w:val="0"/>
              <w:jc w:val="center"/>
              <w:rPr>
                <w:color w:val="auto"/>
                <w:sz w:val="24"/>
              </w:rPr>
            </w:pPr>
          </w:p>
        </w:tc>
        <w:tc>
          <w:tcPr>
            <w:tcW w:w="523" w:type="pct"/>
            <w:noWrap w:val="0"/>
            <w:vAlign w:val="center"/>
          </w:tcPr>
          <w:p w14:paraId="172908A0">
            <w:pPr>
              <w:adjustRightInd w:val="0"/>
              <w:snapToGrid w:val="0"/>
              <w:jc w:val="center"/>
              <w:rPr>
                <w:color w:val="auto"/>
                <w:sz w:val="24"/>
              </w:rPr>
            </w:pPr>
          </w:p>
        </w:tc>
      </w:tr>
      <w:tr w14:paraId="75A05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401" w:type="pct"/>
            <w:noWrap w:val="0"/>
            <w:vAlign w:val="center"/>
          </w:tcPr>
          <w:p w14:paraId="403AF345">
            <w:pPr>
              <w:adjustRightInd w:val="0"/>
              <w:snapToGrid w:val="0"/>
              <w:jc w:val="center"/>
              <w:rPr>
                <w:color w:val="auto"/>
                <w:sz w:val="24"/>
              </w:rPr>
            </w:pPr>
          </w:p>
        </w:tc>
        <w:tc>
          <w:tcPr>
            <w:tcW w:w="767" w:type="pct"/>
            <w:noWrap w:val="0"/>
            <w:vAlign w:val="center"/>
          </w:tcPr>
          <w:p w14:paraId="3C958A24">
            <w:pPr>
              <w:adjustRightInd w:val="0"/>
              <w:snapToGrid w:val="0"/>
              <w:jc w:val="center"/>
              <w:rPr>
                <w:color w:val="auto"/>
                <w:sz w:val="24"/>
              </w:rPr>
            </w:pPr>
          </w:p>
        </w:tc>
        <w:tc>
          <w:tcPr>
            <w:tcW w:w="1234" w:type="pct"/>
            <w:noWrap w:val="0"/>
            <w:vAlign w:val="center"/>
          </w:tcPr>
          <w:p w14:paraId="01038F2A">
            <w:pPr>
              <w:adjustRightInd w:val="0"/>
              <w:snapToGrid w:val="0"/>
              <w:jc w:val="center"/>
              <w:rPr>
                <w:color w:val="auto"/>
                <w:sz w:val="24"/>
              </w:rPr>
            </w:pPr>
          </w:p>
        </w:tc>
        <w:tc>
          <w:tcPr>
            <w:tcW w:w="1101" w:type="pct"/>
            <w:noWrap w:val="0"/>
            <w:vAlign w:val="center"/>
          </w:tcPr>
          <w:p w14:paraId="6AB1BB81">
            <w:pPr>
              <w:adjustRightInd w:val="0"/>
              <w:snapToGrid w:val="0"/>
              <w:jc w:val="center"/>
              <w:rPr>
                <w:color w:val="auto"/>
                <w:sz w:val="24"/>
              </w:rPr>
            </w:pPr>
          </w:p>
        </w:tc>
        <w:tc>
          <w:tcPr>
            <w:tcW w:w="971" w:type="pct"/>
            <w:noWrap w:val="0"/>
            <w:vAlign w:val="center"/>
          </w:tcPr>
          <w:p w14:paraId="3F023FE5">
            <w:pPr>
              <w:adjustRightInd w:val="0"/>
              <w:snapToGrid w:val="0"/>
              <w:jc w:val="center"/>
              <w:rPr>
                <w:color w:val="auto"/>
                <w:sz w:val="24"/>
              </w:rPr>
            </w:pPr>
          </w:p>
        </w:tc>
        <w:tc>
          <w:tcPr>
            <w:tcW w:w="523" w:type="pct"/>
            <w:noWrap w:val="0"/>
            <w:vAlign w:val="center"/>
          </w:tcPr>
          <w:p w14:paraId="0CACF168">
            <w:pPr>
              <w:adjustRightInd w:val="0"/>
              <w:snapToGrid w:val="0"/>
              <w:jc w:val="center"/>
              <w:rPr>
                <w:color w:val="auto"/>
                <w:sz w:val="24"/>
              </w:rPr>
            </w:pPr>
          </w:p>
        </w:tc>
      </w:tr>
    </w:tbl>
    <w:p w14:paraId="0BA54D22">
      <w:pPr>
        <w:tabs>
          <w:tab w:val="left" w:pos="1800"/>
          <w:tab w:val="left" w:pos="5580"/>
        </w:tabs>
        <w:spacing w:line="360" w:lineRule="auto"/>
        <w:ind w:firstLine="360" w:firstLineChars="150"/>
        <w:jc w:val="left"/>
        <w:rPr>
          <w:color w:val="auto"/>
          <w:sz w:val="24"/>
          <w:u w:val="single"/>
        </w:rPr>
      </w:pPr>
    </w:p>
    <w:p w14:paraId="577A55B4">
      <w:pPr>
        <w:tabs>
          <w:tab w:val="left" w:pos="1800"/>
          <w:tab w:val="left" w:pos="5580"/>
        </w:tabs>
        <w:spacing w:line="360" w:lineRule="auto"/>
        <w:ind w:firstLine="360" w:firstLineChars="150"/>
        <w:jc w:val="left"/>
        <w:rPr>
          <w:color w:val="auto"/>
          <w:sz w:val="24"/>
          <w:u w:val="single"/>
        </w:rPr>
      </w:pPr>
    </w:p>
    <w:p w14:paraId="06BAC520">
      <w:pPr>
        <w:pStyle w:val="17"/>
        <w:rPr>
          <w:color w:val="auto"/>
        </w:rPr>
      </w:pPr>
      <w:r>
        <w:rPr>
          <w:color w:val="auto"/>
        </w:rPr>
        <w:t>注：</w:t>
      </w:r>
    </w:p>
    <w:p w14:paraId="6708CE77">
      <w:pPr>
        <w:pStyle w:val="17"/>
        <w:numPr>
          <w:ilvl w:val="0"/>
          <w:numId w:val="94"/>
        </w:numPr>
        <w:ind w:left="0" w:leftChars="0" w:firstLine="480" w:firstLineChars="0"/>
        <w:rPr>
          <w:b w:val="0"/>
          <w:color w:val="auto"/>
        </w:rPr>
      </w:pPr>
      <w:r>
        <w:rPr>
          <w:color w:val="auto"/>
        </w:rPr>
        <w:t>对询价通知书“第四章 采购需求”中的“采购清单及技术参数”要求，除本表所列明的所有偏离外，均视作供应商已对之理解和响应。此表中若无任何文字说明，内容为空白，视作</w:t>
      </w:r>
      <w:r>
        <w:rPr>
          <w:b/>
          <w:color w:val="auto"/>
        </w:rPr>
        <w:t>投标</w:t>
      </w:r>
      <w:r>
        <w:rPr>
          <w:rFonts w:hint="eastAsia"/>
          <w:b/>
          <w:color w:val="auto"/>
          <w:lang w:eastAsia="zh-CN"/>
        </w:rPr>
        <w:t>（</w:t>
      </w:r>
      <w:r>
        <w:rPr>
          <w:rFonts w:hint="eastAsia"/>
          <w:b/>
          <w:color w:val="auto"/>
          <w:lang w:val="en-US" w:eastAsia="zh-CN"/>
        </w:rPr>
        <w:t>响应</w:t>
      </w:r>
      <w:r>
        <w:rPr>
          <w:rFonts w:hint="eastAsia"/>
          <w:b/>
          <w:color w:val="auto"/>
          <w:lang w:eastAsia="zh-CN"/>
        </w:rPr>
        <w:t>）</w:t>
      </w:r>
      <w:r>
        <w:rPr>
          <w:b/>
          <w:color w:val="auto"/>
        </w:rPr>
        <w:t>无效。</w:t>
      </w:r>
    </w:p>
    <w:p w14:paraId="3C308D84">
      <w:pPr>
        <w:pStyle w:val="17"/>
        <w:numPr>
          <w:ilvl w:val="0"/>
          <w:numId w:val="94"/>
        </w:numPr>
        <w:ind w:left="0" w:leftChars="0" w:firstLine="480" w:firstLineChars="0"/>
        <w:rPr>
          <w:b w:val="0"/>
          <w:color w:val="auto"/>
        </w:rPr>
      </w:pPr>
      <w:r>
        <w:rPr>
          <w:color w:val="auto"/>
        </w:rPr>
        <w:t>“偏离情况”列应据实填写“正偏离”或“负偏离”或“无偏离”。</w:t>
      </w:r>
    </w:p>
    <w:p w14:paraId="30A66C74">
      <w:pPr>
        <w:pStyle w:val="17"/>
        <w:numPr>
          <w:ilvl w:val="0"/>
          <w:numId w:val="94"/>
        </w:numPr>
        <w:ind w:left="0" w:leftChars="0" w:firstLine="480" w:firstLineChars="0"/>
        <w:rPr>
          <w:b w:val="0"/>
          <w:color w:val="auto"/>
        </w:rPr>
      </w:pPr>
      <w:r>
        <w:rPr>
          <w:color w:val="auto"/>
        </w:rPr>
        <w:t>本页及承诺函供应商均应盖章，否则视作投标</w:t>
      </w:r>
      <w:r>
        <w:rPr>
          <w:rFonts w:hint="eastAsia"/>
          <w:color w:val="auto"/>
          <w:lang w:eastAsia="zh-CN"/>
        </w:rPr>
        <w:t>（</w:t>
      </w:r>
      <w:r>
        <w:rPr>
          <w:rFonts w:hint="eastAsia"/>
          <w:color w:val="auto"/>
          <w:lang w:val="en-US" w:eastAsia="zh-CN"/>
        </w:rPr>
        <w:t>响应</w:t>
      </w:r>
      <w:r>
        <w:rPr>
          <w:rFonts w:hint="eastAsia"/>
          <w:color w:val="auto"/>
          <w:lang w:eastAsia="zh-CN"/>
        </w:rPr>
        <w:t>）</w:t>
      </w:r>
      <w:r>
        <w:rPr>
          <w:color w:val="auto"/>
        </w:rPr>
        <w:t>无效。</w:t>
      </w:r>
    </w:p>
    <w:p w14:paraId="51277B0B">
      <w:pPr>
        <w:autoSpaceDE w:val="0"/>
        <w:autoSpaceDN w:val="0"/>
        <w:adjustRightInd w:val="0"/>
        <w:snapToGrid w:val="0"/>
        <w:spacing w:before="25" w:after="25" w:line="360" w:lineRule="auto"/>
        <w:rPr>
          <w:color w:val="auto"/>
          <w:sz w:val="24"/>
          <w:lang w:val="zh-CN"/>
        </w:rPr>
      </w:pPr>
      <w:r>
        <w:rPr>
          <w:color w:val="auto"/>
          <w:sz w:val="24"/>
          <w:lang w:val="zh-CN"/>
        </w:rPr>
        <w:t xml:space="preserve">                  </w:t>
      </w:r>
    </w:p>
    <w:p w14:paraId="6F2F6139">
      <w:pPr>
        <w:autoSpaceDE w:val="0"/>
        <w:autoSpaceDN w:val="0"/>
        <w:adjustRightInd w:val="0"/>
        <w:snapToGrid w:val="0"/>
        <w:spacing w:before="25" w:after="25" w:line="360" w:lineRule="auto"/>
        <w:rPr>
          <w:rFonts w:ascii="Times New Roman" w:hAnsi="Times New Roman" w:eastAsia="宋体" w:cs="Times New Roman"/>
          <w:color w:val="auto"/>
          <w:sz w:val="24"/>
          <w:szCs w:val="24"/>
          <w:lang w:val="zh-CN"/>
        </w:rPr>
      </w:pPr>
      <w:r>
        <w:rPr>
          <w:rFonts w:ascii="Times New Roman" w:hAnsi="Times New Roman" w:eastAsia="宋体" w:cs="Times New Roman"/>
          <w:color w:val="auto"/>
          <w:sz w:val="24"/>
          <w:szCs w:val="24"/>
        </w:rPr>
        <w:t>供应商名称（加盖公章）</w:t>
      </w:r>
      <w:r>
        <w:rPr>
          <w:rFonts w:ascii="Times New Roman" w:hAnsi="Times New Roman" w:eastAsia="宋体" w:cs="Times New Roman"/>
          <w:color w:val="auto"/>
          <w:sz w:val="24"/>
          <w:szCs w:val="24"/>
          <w:lang w:val="zh-CN"/>
        </w:rPr>
        <w:t>：    ____________</w:t>
      </w:r>
    </w:p>
    <w:p w14:paraId="7A52C0FE">
      <w:pPr>
        <w:autoSpaceDE w:val="0"/>
        <w:autoSpaceDN w:val="0"/>
        <w:adjustRightInd w:val="0"/>
        <w:snapToGrid w:val="0"/>
        <w:spacing w:before="25" w:after="25" w:line="360" w:lineRule="auto"/>
        <w:rPr>
          <w:rFonts w:ascii="Times New Roman" w:hAnsi="Times New Roman" w:eastAsia="宋体" w:cs="Times New Roman"/>
          <w:color w:val="auto"/>
          <w:sz w:val="24"/>
          <w:szCs w:val="24"/>
          <w:lang w:val="zh-CN"/>
        </w:rPr>
      </w:pPr>
      <w:r>
        <w:rPr>
          <w:rFonts w:ascii="Times New Roman" w:hAnsi="Times New Roman" w:eastAsia="宋体" w:cs="Times New Roman"/>
          <w:color w:val="auto"/>
          <w:sz w:val="24"/>
          <w:szCs w:val="24"/>
        </w:rPr>
        <w:t xml:space="preserve">日期：_____年______月______日   </w:t>
      </w:r>
    </w:p>
    <w:p w14:paraId="3C51ABDA">
      <w:pPr>
        <w:tabs>
          <w:tab w:val="left" w:pos="5580"/>
        </w:tabs>
        <w:spacing w:line="360" w:lineRule="auto"/>
        <w:rPr>
          <w:rFonts w:hint="eastAsia"/>
          <w:color w:val="auto"/>
          <w:sz w:val="24"/>
          <w:szCs w:val="20"/>
        </w:rPr>
      </w:pPr>
      <w:r>
        <w:rPr>
          <w:color w:val="auto"/>
          <w:sz w:val="24"/>
          <w:szCs w:val="20"/>
        </w:rPr>
        <w:br w:type="page"/>
      </w:r>
    </w:p>
    <w:p w14:paraId="30294A35">
      <w:pPr>
        <w:pStyle w:val="3"/>
        <w:numPr>
          <w:ilvl w:val="0"/>
          <w:numId w:val="92"/>
        </w:numPr>
        <w:ind w:left="0" w:leftChars="0" w:firstLine="0" w:firstLineChars="0"/>
        <w:rPr>
          <w:b w:val="0"/>
          <w:color w:val="auto"/>
        </w:rPr>
      </w:pPr>
      <w:r>
        <w:rPr>
          <w:color w:val="auto"/>
        </w:rPr>
        <w:t>实质性条款（★号条款）响应</w:t>
      </w:r>
    </w:p>
    <w:p w14:paraId="6034EFF5">
      <w:pPr>
        <w:pStyle w:val="17"/>
        <w:rPr>
          <w:color w:val="auto"/>
        </w:rPr>
      </w:pPr>
      <w:r>
        <w:rPr>
          <w:color w:val="auto"/>
        </w:rPr>
        <w:t>（按采购文件要求提供符合参数的承诺函并加盖公章）</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3"/>
        <w:gridCol w:w="4862"/>
        <w:gridCol w:w="1076"/>
        <w:gridCol w:w="2287"/>
      </w:tblGrid>
      <w:tr w14:paraId="0BA22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noWrap w:val="0"/>
            <w:vAlign w:val="center"/>
          </w:tcPr>
          <w:p w14:paraId="00B525B6">
            <w:pPr>
              <w:jc w:val="center"/>
              <w:rPr>
                <w:color w:val="auto"/>
              </w:rPr>
            </w:pPr>
            <w:r>
              <w:rPr>
                <w:rFonts w:hint="eastAsia"/>
                <w:color w:val="auto"/>
              </w:rPr>
              <w:t>序号</w:t>
            </w:r>
          </w:p>
        </w:tc>
        <w:tc>
          <w:tcPr>
            <w:tcW w:w="4862" w:type="dxa"/>
            <w:noWrap w:val="0"/>
            <w:vAlign w:val="center"/>
          </w:tcPr>
          <w:p w14:paraId="1EF2D566">
            <w:pPr>
              <w:jc w:val="center"/>
              <w:rPr>
                <w:color w:val="auto"/>
              </w:rPr>
            </w:pPr>
            <w:r>
              <w:rPr>
                <w:rFonts w:hint="eastAsia"/>
                <w:color w:val="auto"/>
              </w:rPr>
              <w:t>实质性条款</w:t>
            </w:r>
          </w:p>
        </w:tc>
        <w:tc>
          <w:tcPr>
            <w:tcW w:w="1076" w:type="dxa"/>
            <w:noWrap w:val="0"/>
            <w:vAlign w:val="center"/>
          </w:tcPr>
          <w:p w14:paraId="533DF45A">
            <w:pPr>
              <w:jc w:val="center"/>
              <w:rPr>
                <w:rFonts w:hint="eastAsia"/>
                <w:color w:val="auto"/>
              </w:rPr>
            </w:pPr>
            <w:r>
              <w:rPr>
                <w:rFonts w:hint="eastAsia"/>
                <w:color w:val="auto"/>
              </w:rPr>
              <w:t>是否响应</w:t>
            </w:r>
          </w:p>
          <w:p w14:paraId="072C53CD">
            <w:pPr>
              <w:jc w:val="center"/>
              <w:rPr>
                <w:color w:val="auto"/>
              </w:rPr>
            </w:pPr>
            <w:r>
              <w:rPr>
                <w:rFonts w:hint="eastAsia"/>
                <w:color w:val="auto"/>
              </w:rPr>
              <w:t>（是/否）</w:t>
            </w:r>
          </w:p>
        </w:tc>
        <w:tc>
          <w:tcPr>
            <w:tcW w:w="2287" w:type="dxa"/>
            <w:noWrap w:val="0"/>
            <w:vAlign w:val="center"/>
          </w:tcPr>
          <w:p w14:paraId="34F04147">
            <w:pPr>
              <w:jc w:val="center"/>
              <w:rPr>
                <w:rFonts w:hint="default" w:eastAsia="宋体"/>
                <w:color w:val="auto"/>
                <w:lang w:val="en-US" w:eastAsia="zh-CN"/>
              </w:rPr>
            </w:pPr>
            <w:r>
              <w:rPr>
                <w:rFonts w:hint="eastAsia"/>
                <w:color w:val="auto"/>
                <w:lang w:val="en-US" w:eastAsia="zh-CN"/>
              </w:rPr>
              <w:t>备注</w:t>
            </w:r>
          </w:p>
        </w:tc>
      </w:tr>
      <w:tr w14:paraId="48173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733" w:type="dxa"/>
            <w:noWrap w:val="0"/>
            <w:vAlign w:val="center"/>
          </w:tcPr>
          <w:p w14:paraId="784496DF">
            <w:pPr>
              <w:jc w:val="center"/>
              <w:rPr>
                <w:color w:val="auto"/>
              </w:rPr>
            </w:pPr>
            <w:r>
              <w:rPr>
                <w:rFonts w:hint="eastAsia"/>
                <w:color w:val="auto"/>
              </w:rPr>
              <w:t>1</w:t>
            </w:r>
          </w:p>
        </w:tc>
        <w:tc>
          <w:tcPr>
            <w:tcW w:w="4862" w:type="dxa"/>
            <w:noWrap w:val="0"/>
            <w:vAlign w:val="center"/>
          </w:tcPr>
          <w:p w14:paraId="45370C26">
            <w:pPr>
              <w:widowControl/>
              <w:jc w:val="left"/>
              <w:textAlignment w:val="top"/>
              <w:rPr>
                <w:color w:val="auto"/>
              </w:rPr>
            </w:pPr>
          </w:p>
        </w:tc>
        <w:tc>
          <w:tcPr>
            <w:tcW w:w="1076" w:type="dxa"/>
            <w:noWrap w:val="0"/>
            <w:vAlign w:val="center"/>
          </w:tcPr>
          <w:p w14:paraId="63F3AEF4">
            <w:pPr>
              <w:jc w:val="center"/>
              <w:rPr>
                <w:color w:val="auto"/>
              </w:rPr>
            </w:pPr>
          </w:p>
        </w:tc>
        <w:tc>
          <w:tcPr>
            <w:tcW w:w="2287" w:type="dxa"/>
            <w:noWrap w:val="0"/>
            <w:vAlign w:val="center"/>
          </w:tcPr>
          <w:p w14:paraId="1CD8958B">
            <w:pPr>
              <w:jc w:val="center"/>
              <w:rPr>
                <w:color w:val="auto"/>
              </w:rPr>
            </w:pPr>
          </w:p>
        </w:tc>
      </w:tr>
    </w:tbl>
    <w:p w14:paraId="0DFEFF66">
      <w:pPr>
        <w:rPr>
          <w:color w:val="auto"/>
        </w:rPr>
      </w:pPr>
    </w:p>
    <w:p w14:paraId="1ABC8A45">
      <w:pPr>
        <w:pStyle w:val="17"/>
        <w:rPr>
          <w:color w:val="auto"/>
        </w:rPr>
      </w:pPr>
      <w:r>
        <w:rPr>
          <w:color w:val="auto"/>
        </w:rPr>
        <w:t>备注：本页及承诺函供应商均应盖章，否则视作</w:t>
      </w:r>
      <w:r>
        <w:rPr>
          <w:b/>
          <w:color w:val="auto"/>
        </w:rPr>
        <w:t>投标</w:t>
      </w:r>
      <w:r>
        <w:rPr>
          <w:rFonts w:hint="eastAsia"/>
          <w:b/>
          <w:color w:val="auto"/>
          <w:lang w:eastAsia="zh-CN"/>
        </w:rPr>
        <w:t>（</w:t>
      </w:r>
      <w:r>
        <w:rPr>
          <w:rFonts w:hint="eastAsia"/>
          <w:b/>
          <w:color w:val="auto"/>
          <w:lang w:val="en-US" w:eastAsia="zh-CN"/>
        </w:rPr>
        <w:t>响应</w:t>
      </w:r>
      <w:r>
        <w:rPr>
          <w:rFonts w:hint="eastAsia"/>
          <w:b/>
          <w:color w:val="auto"/>
          <w:lang w:eastAsia="zh-CN"/>
        </w:rPr>
        <w:t>）</w:t>
      </w:r>
      <w:r>
        <w:rPr>
          <w:b/>
          <w:color w:val="auto"/>
        </w:rPr>
        <w:t>无效</w:t>
      </w:r>
      <w:r>
        <w:rPr>
          <w:color w:val="auto"/>
        </w:rPr>
        <w:t>。</w:t>
      </w:r>
    </w:p>
    <w:p w14:paraId="7D412A70">
      <w:pPr>
        <w:rPr>
          <w:rFonts w:hint="eastAsia"/>
          <w:color w:val="auto"/>
        </w:rPr>
      </w:pPr>
    </w:p>
    <w:p w14:paraId="794E0AB5">
      <w:pPr>
        <w:pStyle w:val="42"/>
        <w:ind w:firstLine="2891" w:firstLineChars="1200"/>
        <w:jc w:val="both"/>
        <w:rPr>
          <w:rFonts w:hint="eastAsia"/>
          <w:b/>
          <w:bCs/>
          <w:color w:val="auto"/>
          <w:lang w:val="en-US" w:eastAsia="zh-CN"/>
        </w:rPr>
      </w:pPr>
    </w:p>
    <w:p w14:paraId="13EE1F4A">
      <w:pPr>
        <w:pStyle w:val="42"/>
        <w:ind w:firstLine="2891" w:firstLineChars="1200"/>
        <w:jc w:val="both"/>
        <w:rPr>
          <w:rFonts w:hint="eastAsia"/>
          <w:b/>
          <w:bCs/>
          <w:color w:val="auto"/>
          <w:lang w:val="en-US" w:eastAsia="zh-CN"/>
        </w:rPr>
      </w:pPr>
    </w:p>
    <w:p w14:paraId="724F5DBB">
      <w:pPr>
        <w:pStyle w:val="42"/>
        <w:ind w:firstLine="2891" w:firstLineChars="1200"/>
        <w:jc w:val="both"/>
        <w:rPr>
          <w:rFonts w:hint="eastAsia"/>
          <w:b/>
          <w:bCs/>
          <w:color w:val="auto"/>
          <w:lang w:val="en-US" w:eastAsia="zh-CN"/>
        </w:rPr>
      </w:pPr>
    </w:p>
    <w:p w14:paraId="09960E2D">
      <w:pPr>
        <w:pStyle w:val="42"/>
        <w:ind w:firstLine="2891" w:firstLineChars="1200"/>
        <w:jc w:val="both"/>
        <w:rPr>
          <w:rFonts w:hint="eastAsia"/>
          <w:b/>
          <w:bCs/>
          <w:color w:val="auto"/>
          <w:lang w:val="en-US" w:eastAsia="zh-CN"/>
        </w:rPr>
      </w:pPr>
    </w:p>
    <w:p w14:paraId="3A875B17">
      <w:pPr>
        <w:pStyle w:val="42"/>
        <w:ind w:firstLine="2891" w:firstLineChars="1200"/>
        <w:jc w:val="both"/>
        <w:rPr>
          <w:rFonts w:hint="eastAsia"/>
          <w:b/>
          <w:bCs/>
          <w:color w:val="auto"/>
          <w:lang w:val="en-US" w:eastAsia="zh-CN"/>
        </w:rPr>
      </w:pPr>
    </w:p>
    <w:p w14:paraId="77139BAF">
      <w:pPr>
        <w:pStyle w:val="42"/>
        <w:ind w:firstLine="2891" w:firstLineChars="1200"/>
        <w:jc w:val="both"/>
        <w:rPr>
          <w:rFonts w:hint="eastAsia"/>
          <w:b/>
          <w:bCs/>
          <w:color w:val="auto"/>
          <w:lang w:val="en-US" w:eastAsia="zh-CN"/>
        </w:rPr>
      </w:pPr>
    </w:p>
    <w:p w14:paraId="45A45D72">
      <w:pPr>
        <w:pStyle w:val="42"/>
        <w:ind w:firstLine="2891" w:firstLineChars="1200"/>
        <w:jc w:val="both"/>
        <w:rPr>
          <w:rFonts w:hint="eastAsia"/>
          <w:b/>
          <w:bCs/>
          <w:color w:val="auto"/>
          <w:lang w:val="en-US" w:eastAsia="zh-CN"/>
        </w:rPr>
      </w:pPr>
    </w:p>
    <w:p w14:paraId="0C4A395A">
      <w:pPr>
        <w:pStyle w:val="42"/>
        <w:ind w:firstLine="2891" w:firstLineChars="1200"/>
        <w:jc w:val="both"/>
        <w:rPr>
          <w:rFonts w:hint="eastAsia"/>
          <w:b/>
          <w:bCs/>
          <w:color w:val="auto"/>
          <w:lang w:val="en-US" w:eastAsia="zh-CN"/>
        </w:rPr>
      </w:pPr>
    </w:p>
    <w:p w14:paraId="66371686">
      <w:pPr>
        <w:pStyle w:val="42"/>
        <w:ind w:firstLine="2891" w:firstLineChars="1200"/>
        <w:jc w:val="both"/>
        <w:rPr>
          <w:rFonts w:hint="eastAsia"/>
          <w:b/>
          <w:bCs/>
          <w:color w:val="auto"/>
          <w:lang w:val="en-US" w:eastAsia="zh-CN"/>
        </w:rPr>
      </w:pPr>
    </w:p>
    <w:p w14:paraId="1922593D">
      <w:pPr>
        <w:pStyle w:val="42"/>
        <w:ind w:firstLine="2891" w:firstLineChars="1200"/>
        <w:jc w:val="both"/>
        <w:rPr>
          <w:rFonts w:hint="eastAsia"/>
          <w:b/>
          <w:bCs/>
          <w:color w:val="auto"/>
          <w:lang w:val="en-US" w:eastAsia="zh-CN"/>
        </w:rPr>
      </w:pPr>
    </w:p>
    <w:p w14:paraId="4C0ACFDA">
      <w:pPr>
        <w:pStyle w:val="42"/>
        <w:ind w:firstLine="2891" w:firstLineChars="1200"/>
        <w:jc w:val="both"/>
        <w:rPr>
          <w:rFonts w:hint="eastAsia"/>
          <w:b/>
          <w:bCs/>
          <w:color w:val="auto"/>
          <w:lang w:val="en-US" w:eastAsia="zh-CN"/>
        </w:rPr>
      </w:pPr>
    </w:p>
    <w:p w14:paraId="04681700">
      <w:pPr>
        <w:pStyle w:val="42"/>
        <w:ind w:firstLine="2891" w:firstLineChars="1200"/>
        <w:jc w:val="both"/>
        <w:rPr>
          <w:rFonts w:hint="eastAsia"/>
          <w:b/>
          <w:bCs/>
          <w:color w:val="auto"/>
          <w:lang w:val="en-US" w:eastAsia="zh-CN"/>
        </w:rPr>
      </w:pPr>
    </w:p>
    <w:p w14:paraId="07E7BAD2">
      <w:pPr>
        <w:pStyle w:val="42"/>
        <w:ind w:firstLine="2891" w:firstLineChars="1200"/>
        <w:jc w:val="both"/>
        <w:rPr>
          <w:rFonts w:hint="eastAsia"/>
          <w:b/>
          <w:bCs/>
          <w:color w:val="auto"/>
          <w:lang w:val="en-US" w:eastAsia="zh-CN"/>
        </w:rPr>
      </w:pPr>
    </w:p>
    <w:p w14:paraId="138F0BE5">
      <w:pPr>
        <w:pStyle w:val="42"/>
        <w:ind w:firstLine="2891" w:firstLineChars="1200"/>
        <w:jc w:val="both"/>
        <w:rPr>
          <w:rFonts w:hint="eastAsia"/>
          <w:b/>
          <w:bCs/>
          <w:color w:val="auto"/>
          <w:lang w:val="en-US" w:eastAsia="zh-CN"/>
        </w:rPr>
      </w:pPr>
    </w:p>
    <w:p w14:paraId="74774D42">
      <w:pPr>
        <w:pStyle w:val="42"/>
        <w:ind w:firstLine="2891" w:firstLineChars="1200"/>
        <w:jc w:val="both"/>
        <w:rPr>
          <w:rFonts w:hint="eastAsia"/>
          <w:b/>
          <w:bCs/>
          <w:color w:val="auto"/>
          <w:lang w:val="en-US" w:eastAsia="zh-CN"/>
        </w:rPr>
      </w:pPr>
    </w:p>
    <w:p w14:paraId="7F3E992B">
      <w:pPr>
        <w:pStyle w:val="42"/>
        <w:ind w:firstLine="2891" w:firstLineChars="1200"/>
        <w:jc w:val="both"/>
        <w:rPr>
          <w:rFonts w:hint="eastAsia"/>
          <w:b/>
          <w:bCs/>
          <w:color w:val="auto"/>
          <w:lang w:val="en-US" w:eastAsia="zh-CN"/>
        </w:rPr>
      </w:pPr>
    </w:p>
    <w:p w14:paraId="0AF778E2">
      <w:pPr>
        <w:pStyle w:val="42"/>
        <w:ind w:firstLine="2891" w:firstLineChars="1200"/>
        <w:jc w:val="both"/>
        <w:rPr>
          <w:rFonts w:hint="eastAsia"/>
          <w:b/>
          <w:bCs/>
          <w:color w:val="auto"/>
          <w:lang w:val="en-US" w:eastAsia="zh-CN"/>
        </w:rPr>
      </w:pPr>
    </w:p>
    <w:p w14:paraId="5CEFF018">
      <w:pPr>
        <w:pStyle w:val="42"/>
        <w:ind w:firstLine="2891" w:firstLineChars="1200"/>
        <w:jc w:val="both"/>
        <w:rPr>
          <w:rFonts w:hint="eastAsia"/>
          <w:b/>
          <w:bCs/>
          <w:color w:val="auto"/>
          <w:lang w:val="en-US" w:eastAsia="zh-CN"/>
        </w:rPr>
      </w:pPr>
    </w:p>
    <w:p w14:paraId="12B00329">
      <w:pPr>
        <w:pStyle w:val="42"/>
        <w:ind w:firstLine="3855" w:firstLineChars="1200"/>
        <w:jc w:val="both"/>
        <w:rPr>
          <w:rFonts w:hint="default" w:eastAsia="宋体"/>
          <w:color w:val="auto"/>
          <w:sz w:val="32"/>
          <w:szCs w:val="22"/>
          <w:lang w:val="en-US" w:eastAsia="zh-CN"/>
        </w:rPr>
      </w:pPr>
      <w:r>
        <w:rPr>
          <w:rFonts w:hint="eastAsia"/>
          <w:b/>
          <w:bCs/>
          <w:color w:val="auto"/>
          <w:sz w:val="32"/>
          <w:szCs w:val="22"/>
          <w:lang w:val="en-US" w:eastAsia="zh-CN"/>
        </w:rPr>
        <w:t>承诺函</w:t>
      </w:r>
    </w:p>
    <w:p w14:paraId="77A06EEE">
      <w:pPr>
        <w:pStyle w:val="5"/>
        <w:spacing w:line="460" w:lineRule="exact"/>
        <w:ind w:firstLine="480"/>
        <w:rPr>
          <w:rFonts w:hint="eastAsia"/>
          <w:color w:val="auto"/>
        </w:rPr>
      </w:pPr>
    </w:p>
    <w:p w14:paraId="7EF78097">
      <w:pPr>
        <w:pStyle w:val="17"/>
        <w:rPr>
          <w:color w:val="auto"/>
        </w:rPr>
      </w:pPr>
      <w:r>
        <w:rPr>
          <w:color w:val="auto"/>
        </w:rPr>
        <w:t>致：</w:t>
      </w:r>
      <w:r>
        <w:rPr>
          <w:color w:val="auto"/>
          <w:u w:val="single"/>
        </w:rPr>
        <w:t>常州市教育基本建设与装备管理中心</w:t>
      </w:r>
    </w:p>
    <w:p w14:paraId="519B200E">
      <w:pPr>
        <w:pStyle w:val="18"/>
        <w:rPr>
          <w:rFonts w:hint="eastAsia"/>
          <w:color w:val="auto"/>
        </w:rPr>
      </w:pPr>
    </w:p>
    <w:p w14:paraId="798062FF">
      <w:pPr>
        <w:pStyle w:val="17"/>
        <w:rPr>
          <w:color w:val="auto"/>
        </w:rPr>
      </w:pPr>
      <w:r>
        <w:rPr>
          <w:color w:val="auto"/>
        </w:rPr>
        <w:t>我单位保证：所投产品的参数完全符合</w:t>
      </w:r>
      <w:r>
        <w:rPr>
          <w:rFonts w:hint="eastAsia"/>
          <w:color w:val="auto"/>
          <w:lang w:val="en-US" w:eastAsia="zh-CN"/>
        </w:rPr>
        <w:t>采购</w:t>
      </w:r>
      <w:r>
        <w:rPr>
          <w:color w:val="auto"/>
        </w:rPr>
        <w:t>文件采购清单中所有实质性条款，若有幸成交，能在签订合同前提供相关证明材料。如有虚假，我单位愿意承担相应的法律责任，并承担因此所造成的一切损失。</w:t>
      </w:r>
    </w:p>
    <w:p w14:paraId="09DA399E">
      <w:pPr>
        <w:autoSpaceDE w:val="0"/>
        <w:autoSpaceDN w:val="0"/>
        <w:adjustRightInd w:val="0"/>
        <w:snapToGrid w:val="0"/>
        <w:spacing w:before="25" w:after="25" w:line="360" w:lineRule="auto"/>
        <w:rPr>
          <w:rFonts w:hint="eastAsia"/>
          <w:color w:val="auto"/>
          <w:sz w:val="24"/>
        </w:rPr>
      </w:pPr>
    </w:p>
    <w:p w14:paraId="208C05D0">
      <w:pPr>
        <w:autoSpaceDE w:val="0"/>
        <w:autoSpaceDN w:val="0"/>
        <w:adjustRightInd w:val="0"/>
        <w:snapToGrid w:val="0"/>
        <w:spacing w:before="25" w:after="25" w:line="360" w:lineRule="auto"/>
        <w:rPr>
          <w:rFonts w:hint="eastAsia"/>
          <w:color w:val="auto"/>
          <w:sz w:val="24"/>
        </w:rPr>
      </w:pPr>
    </w:p>
    <w:p w14:paraId="0C040036">
      <w:pPr>
        <w:autoSpaceDE w:val="0"/>
        <w:autoSpaceDN w:val="0"/>
        <w:adjustRightInd w:val="0"/>
        <w:snapToGrid w:val="0"/>
        <w:spacing w:before="25" w:after="25" w:line="360" w:lineRule="auto"/>
        <w:ind w:firstLine="4320" w:firstLineChars="1800"/>
        <w:rPr>
          <w:rFonts w:ascii="Times New Roman" w:hAnsi="Times New Roman" w:eastAsia="宋体" w:cs="Times New Roman"/>
          <w:color w:val="auto"/>
          <w:sz w:val="24"/>
          <w:szCs w:val="24"/>
          <w:lang w:val="zh-CN"/>
        </w:rPr>
      </w:pPr>
      <w:r>
        <w:rPr>
          <w:rFonts w:hint="eastAsia" w:ascii="Times New Roman" w:hAnsi="Times New Roman" w:eastAsia="宋体" w:cs="Times New Roman"/>
          <w:color w:val="auto"/>
          <w:sz w:val="24"/>
          <w:szCs w:val="24"/>
        </w:rPr>
        <w:t>投标</w:t>
      </w:r>
      <w:r>
        <w:rPr>
          <w:rFonts w:hint="eastAsia" w:cs="Times New Roman"/>
          <w:color w:val="auto"/>
          <w:sz w:val="24"/>
          <w:szCs w:val="24"/>
          <w:lang w:eastAsia="zh-CN"/>
        </w:rPr>
        <w:t>（</w:t>
      </w:r>
      <w:r>
        <w:rPr>
          <w:rFonts w:hint="eastAsia" w:cs="Times New Roman"/>
          <w:color w:val="auto"/>
          <w:sz w:val="24"/>
          <w:szCs w:val="24"/>
          <w:lang w:val="en-US" w:eastAsia="zh-CN"/>
        </w:rPr>
        <w:t>响应</w:t>
      </w:r>
      <w:r>
        <w:rPr>
          <w:rFonts w:hint="eastAsia" w:cs="Times New Roman"/>
          <w:color w:val="auto"/>
          <w:sz w:val="24"/>
          <w:szCs w:val="24"/>
          <w:lang w:eastAsia="zh-CN"/>
        </w:rPr>
        <w:t>）</w:t>
      </w:r>
      <w:r>
        <w:rPr>
          <w:rFonts w:hint="eastAsia" w:ascii="Times New Roman" w:hAnsi="Times New Roman" w:eastAsia="宋体" w:cs="Times New Roman"/>
          <w:color w:val="auto"/>
          <w:sz w:val="24"/>
          <w:szCs w:val="24"/>
        </w:rPr>
        <w:t>人</w:t>
      </w:r>
      <w:r>
        <w:rPr>
          <w:rFonts w:ascii="Times New Roman" w:hAnsi="Times New Roman" w:eastAsia="宋体" w:cs="Times New Roman"/>
          <w:color w:val="auto"/>
          <w:sz w:val="24"/>
          <w:szCs w:val="24"/>
        </w:rPr>
        <w:t>名称（加盖公章）</w:t>
      </w:r>
      <w:r>
        <w:rPr>
          <w:rFonts w:ascii="Times New Roman" w:hAnsi="Times New Roman" w:eastAsia="宋体" w:cs="Times New Roman"/>
          <w:color w:val="auto"/>
          <w:sz w:val="24"/>
          <w:szCs w:val="24"/>
          <w:lang w:val="zh-CN"/>
        </w:rPr>
        <w:t>：____________</w:t>
      </w:r>
    </w:p>
    <w:p w14:paraId="31AE78A2">
      <w:pPr>
        <w:pStyle w:val="42"/>
        <w:ind w:firstLine="4080" w:firstLineChars="1700"/>
        <w:rPr>
          <w:rFonts w:hint="eastAsia" w:ascii="Times New Roman" w:hAnsi="Times New Roman" w:eastAsia="宋体" w:cs="Times New Roman"/>
          <w:color w:val="auto"/>
          <w:sz w:val="24"/>
          <w:szCs w:val="24"/>
        </w:rPr>
      </w:pPr>
      <w:r>
        <w:rPr>
          <w:rFonts w:ascii="Times New Roman" w:hAnsi="Times New Roman" w:eastAsia="宋体" w:cs="Times New Roman"/>
          <w:color w:val="auto"/>
          <w:sz w:val="24"/>
          <w:szCs w:val="24"/>
        </w:rPr>
        <w:t xml:space="preserve">日期：_____年______月______日  </w:t>
      </w:r>
    </w:p>
    <w:p w14:paraId="5D54771C">
      <w:pPr>
        <w:rPr>
          <w:rFonts w:hint="eastAsia"/>
          <w:color w:val="auto"/>
        </w:rPr>
      </w:pPr>
    </w:p>
    <w:p w14:paraId="0710175F">
      <w:pPr>
        <w:rPr>
          <w:rFonts w:hint="eastAsia"/>
          <w:color w:val="auto"/>
        </w:rPr>
      </w:pPr>
    </w:p>
    <w:p w14:paraId="7D3E5856">
      <w:pPr>
        <w:spacing w:line="360" w:lineRule="auto"/>
        <w:rPr>
          <w:color w:val="auto"/>
          <w:sz w:val="24"/>
        </w:rPr>
      </w:pPr>
    </w:p>
    <w:p w14:paraId="14692882">
      <w:pPr>
        <w:pStyle w:val="17"/>
        <w:rPr>
          <w:color w:val="auto"/>
        </w:rPr>
      </w:pPr>
      <w:r>
        <w:rPr>
          <w:color w:val="auto"/>
        </w:rPr>
        <w:t>说明：投标</w:t>
      </w:r>
      <w:r>
        <w:rPr>
          <w:rFonts w:hint="eastAsia"/>
          <w:color w:val="auto"/>
          <w:lang w:eastAsia="zh-CN"/>
        </w:rPr>
        <w:t>（</w:t>
      </w:r>
      <w:r>
        <w:rPr>
          <w:rFonts w:hint="eastAsia"/>
          <w:color w:val="auto"/>
          <w:lang w:val="en-US" w:eastAsia="zh-CN"/>
        </w:rPr>
        <w:t>响应</w:t>
      </w:r>
      <w:r>
        <w:rPr>
          <w:rFonts w:hint="eastAsia"/>
          <w:color w:val="auto"/>
          <w:lang w:eastAsia="zh-CN"/>
        </w:rPr>
        <w:t>）</w:t>
      </w:r>
      <w:r>
        <w:rPr>
          <w:color w:val="auto"/>
        </w:rPr>
        <w:t>人承诺不实的，依据《政府采购法》第七十七条“提供虚假材料谋取中标、成交的”有关规定予以处理。</w:t>
      </w:r>
    </w:p>
    <w:p w14:paraId="6E205F57">
      <w:pPr>
        <w:autoSpaceDE w:val="0"/>
        <w:autoSpaceDN w:val="0"/>
        <w:adjustRightInd w:val="0"/>
        <w:snapToGrid w:val="0"/>
        <w:spacing w:before="25" w:after="25" w:line="360" w:lineRule="auto"/>
        <w:rPr>
          <w:rFonts w:hint="eastAsia"/>
          <w:color w:val="auto"/>
          <w:sz w:val="24"/>
        </w:rPr>
      </w:pPr>
    </w:p>
    <w:p w14:paraId="3FE6CC31">
      <w:pPr>
        <w:autoSpaceDE w:val="0"/>
        <w:autoSpaceDN w:val="0"/>
        <w:adjustRightInd w:val="0"/>
        <w:snapToGrid w:val="0"/>
        <w:spacing w:before="25" w:after="25" w:line="360" w:lineRule="auto"/>
        <w:rPr>
          <w:rFonts w:hint="eastAsia"/>
          <w:color w:val="auto"/>
          <w:sz w:val="24"/>
        </w:rPr>
      </w:pPr>
    </w:p>
    <w:p w14:paraId="0F9E2410">
      <w:pPr>
        <w:autoSpaceDE w:val="0"/>
        <w:autoSpaceDN w:val="0"/>
        <w:adjustRightInd w:val="0"/>
        <w:snapToGrid w:val="0"/>
        <w:spacing w:before="25" w:after="25" w:line="360" w:lineRule="auto"/>
        <w:rPr>
          <w:rFonts w:ascii="Times New Roman" w:hAnsi="Times New Roman" w:eastAsia="宋体" w:cs="Times New Roman"/>
          <w:color w:val="auto"/>
          <w:sz w:val="24"/>
          <w:szCs w:val="24"/>
          <w:lang w:val="zh-CN"/>
        </w:rPr>
      </w:pPr>
      <w:r>
        <w:rPr>
          <w:rFonts w:hint="eastAsia" w:ascii="Times New Roman" w:hAnsi="Times New Roman" w:eastAsia="宋体" w:cs="Times New Roman"/>
          <w:color w:val="auto"/>
          <w:sz w:val="24"/>
          <w:szCs w:val="24"/>
        </w:rPr>
        <w:t>投标</w:t>
      </w:r>
      <w:r>
        <w:rPr>
          <w:rFonts w:hint="eastAsia" w:cs="Times New Roman"/>
          <w:color w:val="auto"/>
          <w:sz w:val="24"/>
          <w:szCs w:val="24"/>
          <w:lang w:eastAsia="zh-CN"/>
        </w:rPr>
        <w:t>（</w:t>
      </w:r>
      <w:r>
        <w:rPr>
          <w:rFonts w:hint="eastAsia" w:cs="Times New Roman"/>
          <w:color w:val="auto"/>
          <w:sz w:val="24"/>
          <w:szCs w:val="24"/>
          <w:lang w:val="en-US" w:eastAsia="zh-CN"/>
        </w:rPr>
        <w:t>响应</w:t>
      </w:r>
      <w:r>
        <w:rPr>
          <w:rFonts w:hint="eastAsia" w:cs="Times New Roman"/>
          <w:color w:val="auto"/>
          <w:sz w:val="24"/>
          <w:szCs w:val="24"/>
          <w:lang w:eastAsia="zh-CN"/>
        </w:rPr>
        <w:t>）</w:t>
      </w:r>
      <w:r>
        <w:rPr>
          <w:rFonts w:hint="eastAsia" w:ascii="Times New Roman" w:hAnsi="Times New Roman" w:eastAsia="宋体" w:cs="Times New Roman"/>
          <w:color w:val="auto"/>
          <w:sz w:val="24"/>
          <w:szCs w:val="24"/>
        </w:rPr>
        <w:t>人</w:t>
      </w:r>
      <w:r>
        <w:rPr>
          <w:rFonts w:ascii="Times New Roman" w:hAnsi="Times New Roman" w:eastAsia="宋体" w:cs="Times New Roman"/>
          <w:color w:val="auto"/>
          <w:sz w:val="24"/>
          <w:szCs w:val="24"/>
        </w:rPr>
        <w:t>名称（加盖公章）</w:t>
      </w:r>
      <w:r>
        <w:rPr>
          <w:rFonts w:ascii="Times New Roman" w:hAnsi="Times New Roman" w:eastAsia="宋体" w:cs="Times New Roman"/>
          <w:color w:val="auto"/>
          <w:sz w:val="24"/>
          <w:szCs w:val="24"/>
          <w:lang w:val="zh-CN"/>
        </w:rPr>
        <w:t>：____________</w:t>
      </w:r>
    </w:p>
    <w:p w14:paraId="7F9B6C1E">
      <w:pPr>
        <w:autoSpaceDE w:val="0"/>
        <w:autoSpaceDN w:val="0"/>
        <w:adjustRightInd w:val="0"/>
        <w:snapToGrid w:val="0"/>
        <w:spacing w:before="25" w:after="25" w:line="360" w:lineRule="auto"/>
        <w:rPr>
          <w:rFonts w:ascii="Times New Roman" w:hAnsi="Times New Roman" w:eastAsia="宋体" w:cs="Times New Roman"/>
          <w:color w:val="auto"/>
          <w:sz w:val="24"/>
          <w:szCs w:val="24"/>
          <w:lang w:val="zh-CN"/>
        </w:rPr>
      </w:pPr>
      <w:r>
        <w:rPr>
          <w:rFonts w:ascii="Times New Roman" w:hAnsi="Times New Roman" w:eastAsia="宋体" w:cs="Times New Roman"/>
          <w:color w:val="auto"/>
          <w:sz w:val="24"/>
          <w:szCs w:val="24"/>
        </w:rPr>
        <w:t xml:space="preserve">日期：_____年______月______日   </w:t>
      </w:r>
    </w:p>
    <w:p w14:paraId="1EE8931E">
      <w:pPr>
        <w:pStyle w:val="18"/>
        <w:rPr>
          <w:color w:val="auto"/>
          <w:spacing w:val="6"/>
        </w:rPr>
      </w:pPr>
    </w:p>
    <w:p w14:paraId="1B9CE932">
      <w:pPr>
        <w:spacing w:line="360" w:lineRule="auto"/>
        <w:outlineLvl w:val="9"/>
        <w:rPr>
          <w:rFonts w:hint="eastAsia"/>
          <w:color w:val="auto"/>
          <w:sz w:val="24"/>
          <w:szCs w:val="20"/>
        </w:rPr>
      </w:pPr>
    </w:p>
    <w:p w14:paraId="1A28CC12">
      <w:pPr>
        <w:spacing w:line="360" w:lineRule="auto"/>
        <w:outlineLvl w:val="9"/>
        <w:rPr>
          <w:rFonts w:hint="eastAsia"/>
          <w:color w:val="auto"/>
          <w:sz w:val="24"/>
          <w:szCs w:val="20"/>
        </w:rPr>
      </w:pPr>
    </w:p>
    <w:p w14:paraId="480A6D5D">
      <w:pPr>
        <w:spacing w:line="360" w:lineRule="auto"/>
        <w:outlineLvl w:val="9"/>
        <w:rPr>
          <w:rFonts w:hint="eastAsia"/>
          <w:color w:val="auto"/>
          <w:sz w:val="24"/>
          <w:szCs w:val="20"/>
        </w:rPr>
      </w:pPr>
    </w:p>
    <w:p w14:paraId="00F58A6F">
      <w:pPr>
        <w:spacing w:line="360" w:lineRule="auto"/>
        <w:outlineLvl w:val="9"/>
        <w:rPr>
          <w:rFonts w:hint="eastAsia"/>
          <w:color w:val="auto"/>
          <w:sz w:val="24"/>
          <w:szCs w:val="20"/>
        </w:rPr>
      </w:pPr>
    </w:p>
    <w:p w14:paraId="577D3318">
      <w:pPr>
        <w:spacing w:line="360" w:lineRule="auto"/>
        <w:outlineLvl w:val="9"/>
        <w:rPr>
          <w:rFonts w:hint="eastAsia"/>
          <w:color w:val="auto"/>
          <w:sz w:val="24"/>
          <w:szCs w:val="20"/>
        </w:rPr>
      </w:pPr>
    </w:p>
    <w:p w14:paraId="09BFB8C0">
      <w:pPr>
        <w:spacing w:line="360" w:lineRule="auto"/>
        <w:outlineLvl w:val="9"/>
        <w:rPr>
          <w:rFonts w:hint="eastAsia"/>
          <w:color w:val="auto"/>
          <w:sz w:val="24"/>
          <w:szCs w:val="20"/>
        </w:rPr>
      </w:pPr>
    </w:p>
    <w:p w14:paraId="5E986BF2">
      <w:pPr>
        <w:spacing w:line="360" w:lineRule="auto"/>
        <w:outlineLvl w:val="9"/>
        <w:rPr>
          <w:rFonts w:hint="eastAsia"/>
          <w:color w:val="auto"/>
          <w:sz w:val="24"/>
          <w:szCs w:val="20"/>
        </w:rPr>
      </w:pPr>
    </w:p>
    <w:p w14:paraId="081BC0E4">
      <w:pPr>
        <w:spacing w:line="360" w:lineRule="auto"/>
        <w:outlineLvl w:val="9"/>
        <w:rPr>
          <w:rFonts w:hint="eastAsia"/>
          <w:color w:val="auto"/>
          <w:sz w:val="24"/>
          <w:szCs w:val="20"/>
        </w:rPr>
      </w:pPr>
    </w:p>
    <w:p w14:paraId="3197EC50">
      <w:pPr>
        <w:spacing w:line="360" w:lineRule="auto"/>
        <w:outlineLvl w:val="9"/>
        <w:rPr>
          <w:rFonts w:hint="eastAsia"/>
          <w:color w:val="auto"/>
          <w:sz w:val="24"/>
          <w:szCs w:val="20"/>
        </w:rPr>
      </w:pPr>
    </w:p>
    <w:p w14:paraId="3B08DD58">
      <w:pPr>
        <w:pStyle w:val="3"/>
        <w:numPr>
          <w:ilvl w:val="0"/>
          <w:numId w:val="92"/>
        </w:numPr>
        <w:ind w:left="0" w:leftChars="0" w:firstLine="0" w:firstLineChars="0"/>
        <w:rPr>
          <w:b w:val="0"/>
          <w:color w:val="auto"/>
        </w:rPr>
      </w:pPr>
      <w:r>
        <w:rPr>
          <w:color w:val="auto"/>
        </w:rPr>
        <w:t>项目实施方案等，包括但不限于如下主题：</w:t>
      </w:r>
    </w:p>
    <w:p w14:paraId="09375A05">
      <w:pPr>
        <w:snapToGrid w:val="0"/>
        <w:spacing w:line="560" w:lineRule="exact"/>
        <w:ind w:firstLine="480" w:firstLineChars="200"/>
        <w:rPr>
          <w:rFonts w:hint="eastAsia"/>
          <w:color w:val="auto"/>
          <w:sz w:val="24"/>
          <w:szCs w:val="20"/>
        </w:rPr>
      </w:pPr>
    </w:p>
    <w:p w14:paraId="7568638F">
      <w:pPr>
        <w:snapToGrid w:val="0"/>
        <w:spacing w:line="560" w:lineRule="exact"/>
        <w:ind w:firstLine="480" w:firstLineChars="200"/>
        <w:rPr>
          <w:rFonts w:hint="eastAsia"/>
          <w:color w:val="auto"/>
          <w:sz w:val="24"/>
          <w:szCs w:val="20"/>
        </w:rPr>
      </w:pPr>
    </w:p>
    <w:p w14:paraId="29945961">
      <w:pPr>
        <w:snapToGrid w:val="0"/>
        <w:spacing w:line="560" w:lineRule="exact"/>
        <w:ind w:firstLine="480" w:firstLineChars="200"/>
        <w:rPr>
          <w:rFonts w:hint="eastAsia"/>
          <w:color w:val="auto"/>
          <w:sz w:val="24"/>
          <w:szCs w:val="20"/>
        </w:rPr>
      </w:pPr>
    </w:p>
    <w:p w14:paraId="6F3B8D06">
      <w:pPr>
        <w:snapToGrid w:val="0"/>
        <w:spacing w:line="560" w:lineRule="exact"/>
        <w:ind w:firstLine="480" w:firstLineChars="200"/>
        <w:rPr>
          <w:rFonts w:hint="eastAsia"/>
          <w:color w:val="auto"/>
          <w:sz w:val="24"/>
          <w:szCs w:val="20"/>
        </w:rPr>
      </w:pPr>
    </w:p>
    <w:p w14:paraId="50157290">
      <w:pPr>
        <w:pStyle w:val="18"/>
        <w:rPr>
          <w:rFonts w:hint="eastAsia"/>
          <w:color w:val="auto"/>
          <w:sz w:val="24"/>
          <w:szCs w:val="20"/>
        </w:rPr>
      </w:pPr>
    </w:p>
    <w:p w14:paraId="658DDB4D">
      <w:pPr>
        <w:pStyle w:val="42"/>
        <w:rPr>
          <w:rFonts w:hint="eastAsia"/>
          <w:color w:val="auto"/>
          <w:sz w:val="24"/>
          <w:szCs w:val="20"/>
        </w:rPr>
      </w:pPr>
    </w:p>
    <w:p w14:paraId="1638D50D">
      <w:pPr>
        <w:pStyle w:val="42"/>
        <w:rPr>
          <w:rFonts w:hint="eastAsia"/>
          <w:color w:val="auto"/>
          <w:sz w:val="24"/>
          <w:szCs w:val="20"/>
        </w:rPr>
      </w:pPr>
    </w:p>
    <w:p w14:paraId="75360AC7">
      <w:pPr>
        <w:pStyle w:val="42"/>
        <w:rPr>
          <w:rFonts w:hint="eastAsia"/>
          <w:color w:val="auto"/>
          <w:sz w:val="24"/>
          <w:szCs w:val="20"/>
        </w:rPr>
      </w:pPr>
    </w:p>
    <w:p w14:paraId="563B04B0">
      <w:pPr>
        <w:pStyle w:val="42"/>
        <w:rPr>
          <w:rFonts w:hint="eastAsia"/>
          <w:color w:val="auto"/>
          <w:sz w:val="24"/>
          <w:szCs w:val="20"/>
        </w:rPr>
      </w:pPr>
    </w:p>
    <w:p w14:paraId="2B2C463C">
      <w:pPr>
        <w:pStyle w:val="42"/>
        <w:rPr>
          <w:rFonts w:hint="eastAsia"/>
          <w:color w:val="auto"/>
          <w:sz w:val="24"/>
          <w:szCs w:val="20"/>
        </w:rPr>
      </w:pPr>
    </w:p>
    <w:p w14:paraId="2FB35B13">
      <w:pPr>
        <w:pStyle w:val="42"/>
        <w:rPr>
          <w:rFonts w:hint="eastAsia"/>
          <w:color w:val="auto"/>
          <w:sz w:val="24"/>
          <w:szCs w:val="20"/>
        </w:rPr>
      </w:pPr>
    </w:p>
    <w:p w14:paraId="0DA9C219">
      <w:pPr>
        <w:pStyle w:val="42"/>
        <w:rPr>
          <w:rFonts w:hint="eastAsia"/>
          <w:color w:val="auto"/>
          <w:sz w:val="24"/>
          <w:szCs w:val="20"/>
        </w:rPr>
      </w:pPr>
    </w:p>
    <w:p w14:paraId="32B51C63">
      <w:pPr>
        <w:pStyle w:val="42"/>
        <w:rPr>
          <w:rFonts w:hint="eastAsia"/>
          <w:color w:val="auto"/>
          <w:sz w:val="24"/>
          <w:szCs w:val="20"/>
        </w:rPr>
      </w:pPr>
    </w:p>
    <w:p w14:paraId="0F9E2453">
      <w:pPr>
        <w:pStyle w:val="42"/>
        <w:rPr>
          <w:rFonts w:hint="eastAsia"/>
          <w:color w:val="auto"/>
          <w:sz w:val="24"/>
          <w:szCs w:val="20"/>
        </w:rPr>
      </w:pPr>
    </w:p>
    <w:p w14:paraId="1E62BC20">
      <w:pPr>
        <w:pStyle w:val="42"/>
        <w:rPr>
          <w:rFonts w:hint="eastAsia"/>
          <w:color w:val="auto"/>
          <w:sz w:val="24"/>
          <w:szCs w:val="20"/>
        </w:rPr>
      </w:pPr>
    </w:p>
    <w:p w14:paraId="4B5599B2">
      <w:pPr>
        <w:pStyle w:val="42"/>
        <w:rPr>
          <w:rFonts w:hint="eastAsia"/>
          <w:color w:val="auto"/>
          <w:sz w:val="24"/>
          <w:szCs w:val="20"/>
        </w:rPr>
      </w:pPr>
    </w:p>
    <w:p w14:paraId="65ACBF73">
      <w:pPr>
        <w:pStyle w:val="42"/>
        <w:rPr>
          <w:rFonts w:hint="eastAsia"/>
          <w:color w:val="auto"/>
          <w:sz w:val="24"/>
          <w:szCs w:val="20"/>
        </w:rPr>
      </w:pPr>
    </w:p>
    <w:p w14:paraId="315935AB">
      <w:pPr>
        <w:pStyle w:val="42"/>
        <w:rPr>
          <w:rFonts w:hint="eastAsia"/>
          <w:color w:val="auto"/>
          <w:sz w:val="24"/>
          <w:szCs w:val="20"/>
        </w:rPr>
      </w:pPr>
    </w:p>
    <w:p w14:paraId="08E460B2">
      <w:pPr>
        <w:pStyle w:val="42"/>
        <w:rPr>
          <w:rFonts w:hint="eastAsia"/>
          <w:color w:val="auto"/>
          <w:sz w:val="24"/>
          <w:szCs w:val="20"/>
        </w:rPr>
      </w:pPr>
    </w:p>
    <w:p w14:paraId="0A28DC4D">
      <w:pPr>
        <w:pStyle w:val="42"/>
        <w:rPr>
          <w:rFonts w:hint="eastAsia"/>
          <w:color w:val="auto"/>
          <w:sz w:val="24"/>
          <w:szCs w:val="20"/>
        </w:rPr>
      </w:pPr>
    </w:p>
    <w:p w14:paraId="1653007D">
      <w:pPr>
        <w:snapToGrid w:val="0"/>
        <w:spacing w:line="560" w:lineRule="exact"/>
        <w:ind w:firstLine="480" w:firstLineChars="200"/>
        <w:rPr>
          <w:rFonts w:hint="eastAsia"/>
          <w:color w:val="auto"/>
          <w:sz w:val="24"/>
          <w:szCs w:val="20"/>
        </w:rPr>
      </w:pPr>
    </w:p>
    <w:p w14:paraId="0BF040D1">
      <w:pPr>
        <w:snapToGrid w:val="0"/>
        <w:spacing w:line="560" w:lineRule="exact"/>
        <w:ind w:firstLine="480" w:firstLineChars="200"/>
        <w:rPr>
          <w:rFonts w:hint="eastAsia"/>
          <w:color w:val="auto"/>
          <w:sz w:val="24"/>
          <w:szCs w:val="20"/>
        </w:rPr>
      </w:pPr>
    </w:p>
    <w:p w14:paraId="2C4C41A2">
      <w:pPr>
        <w:snapToGrid w:val="0"/>
        <w:spacing w:line="360" w:lineRule="auto"/>
        <w:rPr>
          <w:rFonts w:hint="eastAsia"/>
          <w:color w:val="auto"/>
          <w:sz w:val="24"/>
          <w:szCs w:val="20"/>
        </w:rPr>
      </w:pPr>
    </w:p>
    <w:p w14:paraId="67BD0267">
      <w:pPr>
        <w:pStyle w:val="3"/>
        <w:numPr>
          <w:ilvl w:val="0"/>
          <w:numId w:val="92"/>
        </w:numPr>
        <w:ind w:left="0" w:leftChars="0" w:firstLine="0" w:firstLineChars="0"/>
        <w:rPr>
          <w:b w:val="0"/>
          <w:color w:val="auto"/>
        </w:rPr>
      </w:pPr>
      <w:r>
        <w:rPr>
          <w:color w:val="auto"/>
        </w:rPr>
        <w:t>参加本项目人员一览表</w:t>
      </w:r>
    </w:p>
    <w:p w14:paraId="523EB8DE">
      <w:pPr>
        <w:spacing w:line="360" w:lineRule="auto"/>
        <w:jc w:val="center"/>
        <w:rPr>
          <w:rFonts w:hint="eastAsia" w:ascii="宋体" w:hAnsi="宋体"/>
          <w:b/>
          <w:color w:val="auto"/>
          <w:sz w:val="32"/>
          <w:szCs w:val="32"/>
        </w:rPr>
      </w:pPr>
    </w:p>
    <w:p w14:paraId="02845F98">
      <w:pPr>
        <w:pStyle w:val="265"/>
        <w:rPr>
          <w:color w:val="auto"/>
        </w:rPr>
      </w:pPr>
      <w:r>
        <w:rPr>
          <w:color w:val="auto"/>
        </w:rPr>
        <w:t>参加本项目人员一览表</w:t>
      </w:r>
    </w:p>
    <w:p w14:paraId="71A7CAFA">
      <w:pPr>
        <w:snapToGrid w:val="0"/>
        <w:spacing w:line="360" w:lineRule="auto"/>
        <w:rPr>
          <w:rFonts w:ascii="宋体" w:hAnsi="宋体"/>
          <w:color w:val="auto"/>
          <w:sz w:val="22"/>
        </w:rPr>
      </w:pPr>
    </w:p>
    <w:p w14:paraId="4EB8863C">
      <w:pPr>
        <w:pStyle w:val="17"/>
        <w:rPr>
          <w:color w:val="auto"/>
        </w:rPr>
      </w:pPr>
      <w:r>
        <w:rPr>
          <w:color w:val="auto"/>
        </w:rPr>
        <w:t>项目编号：</w:t>
      </w:r>
      <w:r>
        <w:rPr>
          <w:color w:val="auto"/>
          <w:u w:val="single"/>
        </w:rPr>
        <w:t xml:space="preserve">                     </w:t>
      </w:r>
    </w:p>
    <w:tbl>
      <w:tblPr>
        <w:tblStyle w:val="43"/>
        <w:tblW w:w="9270" w:type="dxa"/>
        <w:tblInd w:w="14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80"/>
        <w:gridCol w:w="810"/>
        <w:gridCol w:w="743"/>
        <w:gridCol w:w="945"/>
        <w:gridCol w:w="945"/>
        <w:gridCol w:w="945"/>
        <w:gridCol w:w="945"/>
        <w:gridCol w:w="945"/>
        <w:gridCol w:w="945"/>
        <w:gridCol w:w="1267"/>
      </w:tblGrid>
      <w:tr w14:paraId="3A30CC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80" w:type="dxa"/>
            <w:tcBorders>
              <w:top w:val="single" w:color="auto" w:sz="4" w:space="0"/>
              <w:left w:val="single" w:color="auto" w:sz="4" w:space="0"/>
              <w:bottom w:val="single" w:color="auto" w:sz="4" w:space="0"/>
              <w:right w:val="single" w:color="auto" w:sz="4" w:space="0"/>
            </w:tcBorders>
            <w:noWrap w:val="0"/>
            <w:vAlign w:val="center"/>
          </w:tcPr>
          <w:p w14:paraId="53AC423B">
            <w:pPr>
              <w:tabs>
                <w:tab w:val="left" w:pos="9765"/>
              </w:tabs>
              <w:snapToGrid w:val="0"/>
              <w:spacing w:line="360" w:lineRule="auto"/>
              <w:jc w:val="center"/>
              <w:rPr>
                <w:rFonts w:ascii="宋体" w:hAnsi="宋体" w:cs="宋体"/>
                <w:color w:val="auto"/>
                <w:sz w:val="24"/>
              </w:rPr>
            </w:pPr>
            <w:r>
              <w:rPr>
                <w:rFonts w:hint="eastAsia" w:ascii="宋体" w:hAnsi="宋体" w:cs="宋体"/>
                <w:color w:val="auto"/>
                <w:sz w:val="24"/>
              </w:rPr>
              <w:t>序号</w:t>
            </w:r>
          </w:p>
        </w:tc>
        <w:tc>
          <w:tcPr>
            <w:tcW w:w="810" w:type="dxa"/>
            <w:tcBorders>
              <w:top w:val="single" w:color="auto" w:sz="4" w:space="0"/>
              <w:left w:val="single" w:color="auto" w:sz="4" w:space="0"/>
              <w:bottom w:val="single" w:color="auto" w:sz="4" w:space="0"/>
              <w:right w:val="single" w:color="auto" w:sz="4" w:space="0"/>
            </w:tcBorders>
            <w:noWrap w:val="0"/>
            <w:vAlign w:val="center"/>
          </w:tcPr>
          <w:p w14:paraId="502561A1">
            <w:pPr>
              <w:tabs>
                <w:tab w:val="left" w:pos="9765"/>
              </w:tabs>
              <w:snapToGrid w:val="0"/>
              <w:spacing w:line="360" w:lineRule="auto"/>
              <w:jc w:val="center"/>
              <w:rPr>
                <w:rFonts w:ascii="宋体" w:hAnsi="宋体" w:cs="宋体"/>
                <w:color w:val="auto"/>
                <w:sz w:val="24"/>
              </w:rPr>
            </w:pPr>
            <w:r>
              <w:rPr>
                <w:rFonts w:hint="eastAsia" w:ascii="宋体" w:hAnsi="宋体" w:cs="宋体"/>
                <w:color w:val="auto"/>
                <w:sz w:val="24"/>
              </w:rPr>
              <w:t>姓名</w:t>
            </w:r>
          </w:p>
        </w:tc>
        <w:tc>
          <w:tcPr>
            <w:tcW w:w="743" w:type="dxa"/>
            <w:tcBorders>
              <w:top w:val="single" w:color="auto" w:sz="4" w:space="0"/>
              <w:left w:val="single" w:color="auto" w:sz="4" w:space="0"/>
              <w:bottom w:val="single" w:color="auto" w:sz="4" w:space="0"/>
              <w:right w:val="single" w:color="auto" w:sz="4" w:space="0"/>
            </w:tcBorders>
            <w:noWrap w:val="0"/>
            <w:vAlign w:val="center"/>
          </w:tcPr>
          <w:p w14:paraId="126DC96A">
            <w:pPr>
              <w:tabs>
                <w:tab w:val="left" w:pos="9765"/>
              </w:tabs>
              <w:snapToGrid w:val="0"/>
              <w:spacing w:line="360" w:lineRule="auto"/>
              <w:jc w:val="center"/>
              <w:rPr>
                <w:rFonts w:ascii="宋体" w:hAnsi="宋体" w:cs="宋体"/>
                <w:color w:val="auto"/>
                <w:sz w:val="24"/>
              </w:rPr>
            </w:pPr>
            <w:r>
              <w:rPr>
                <w:rFonts w:hint="eastAsia" w:ascii="宋体" w:hAnsi="宋体" w:cs="宋体"/>
                <w:color w:val="auto"/>
                <w:sz w:val="24"/>
              </w:rPr>
              <w:t>性别</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67754A59">
            <w:pPr>
              <w:tabs>
                <w:tab w:val="left" w:pos="9765"/>
              </w:tabs>
              <w:snapToGrid w:val="0"/>
              <w:spacing w:line="360" w:lineRule="auto"/>
              <w:jc w:val="center"/>
              <w:rPr>
                <w:rFonts w:ascii="宋体" w:hAnsi="宋体" w:cs="宋体"/>
                <w:color w:val="auto"/>
                <w:sz w:val="24"/>
              </w:rPr>
            </w:pPr>
            <w:r>
              <w:rPr>
                <w:rFonts w:hint="eastAsia" w:ascii="宋体" w:hAnsi="宋体" w:cs="宋体"/>
                <w:color w:val="auto"/>
                <w:sz w:val="24"/>
              </w:rPr>
              <w:t>年龄</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12CDFAD3">
            <w:pPr>
              <w:tabs>
                <w:tab w:val="left" w:pos="9765"/>
              </w:tabs>
              <w:snapToGrid w:val="0"/>
              <w:spacing w:line="360" w:lineRule="auto"/>
              <w:jc w:val="center"/>
              <w:rPr>
                <w:rFonts w:ascii="宋体" w:hAnsi="宋体" w:cs="宋体"/>
                <w:color w:val="auto"/>
                <w:sz w:val="24"/>
              </w:rPr>
            </w:pPr>
            <w:r>
              <w:rPr>
                <w:rFonts w:hint="eastAsia" w:ascii="宋体" w:hAnsi="宋体" w:cs="宋体"/>
                <w:color w:val="auto"/>
                <w:sz w:val="24"/>
              </w:rPr>
              <w:t>毕业学校和学历</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38588782">
            <w:pPr>
              <w:tabs>
                <w:tab w:val="left" w:pos="9765"/>
              </w:tabs>
              <w:snapToGrid w:val="0"/>
              <w:spacing w:line="360" w:lineRule="auto"/>
              <w:jc w:val="center"/>
              <w:rPr>
                <w:rFonts w:ascii="宋体" w:hAnsi="宋体" w:cs="宋体"/>
                <w:color w:val="auto"/>
                <w:sz w:val="24"/>
              </w:rPr>
            </w:pPr>
            <w:r>
              <w:rPr>
                <w:rFonts w:hint="eastAsia" w:ascii="宋体" w:hAnsi="宋体" w:cs="宋体"/>
                <w:color w:val="auto"/>
                <w:sz w:val="24"/>
              </w:rPr>
              <w:t>专业</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29B9F72C">
            <w:pPr>
              <w:tabs>
                <w:tab w:val="left" w:pos="9765"/>
              </w:tabs>
              <w:snapToGrid w:val="0"/>
              <w:spacing w:line="360" w:lineRule="auto"/>
              <w:jc w:val="center"/>
              <w:rPr>
                <w:rFonts w:ascii="宋体" w:hAnsi="宋体" w:cs="宋体"/>
                <w:color w:val="auto"/>
                <w:sz w:val="24"/>
              </w:rPr>
            </w:pPr>
            <w:r>
              <w:rPr>
                <w:rFonts w:hint="eastAsia" w:ascii="宋体" w:hAnsi="宋体" w:cs="宋体"/>
                <w:color w:val="auto"/>
                <w:sz w:val="24"/>
              </w:rPr>
              <w:t>职称</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2C809888">
            <w:pPr>
              <w:tabs>
                <w:tab w:val="left" w:pos="9765"/>
              </w:tabs>
              <w:snapToGrid w:val="0"/>
              <w:spacing w:line="360" w:lineRule="auto"/>
              <w:jc w:val="center"/>
              <w:rPr>
                <w:rFonts w:ascii="宋体" w:hAnsi="宋体" w:cs="宋体"/>
                <w:color w:val="auto"/>
                <w:sz w:val="24"/>
              </w:rPr>
            </w:pPr>
            <w:r>
              <w:rPr>
                <w:rFonts w:hint="eastAsia" w:ascii="宋体" w:hAnsi="宋体" w:cs="宋体"/>
                <w:color w:val="auto"/>
                <w:sz w:val="24"/>
              </w:rPr>
              <w:t>专业培训及证书</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2A43EB4D">
            <w:pPr>
              <w:tabs>
                <w:tab w:val="left" w:pos="9765"/>
              </w:tabs>
              <w:snapToGrid w:val="0"/>
              <w:spacing w:line="360" w:lineRule="auto"/>
              <w:jc w:val="center"/>
              <w:rPr>
                <w:rFonts w:ascii="宋体" w:hAnsi="宋体" w:cs="宋体"/>
                <w:color w:val="auto"/>
                <w:sz w:val="24"/>
              </w:rPr>
            </w:pPr>
            <w:r>
              <w:rPr>
                <w:rFonts w:hint="eastAsia" w:ascii="宋体" w:hAnsi="宋体" w:cs="宋体"/>
                <w:color w:val="auto"/>
                <w:sz w:val="24"/>
              </w:rPr>
              <w:t>责任</w:t>
            </w:r>
          </w:p>
          <w:p w14:paraId="2DAEAA38">
            <w:pPr>
              <w:tabs>
                <w:tab w:val="left" w:pos="9765"/>
              </w:tabs>
              <w:snapToGrid w:val="0"/>
              <w:spacing w:line="360" w:lineRule="auto"/>
              <w:jc w:val="center"/>
              <w:rPr>
                <w:rFonts w:ascii="宋体" w:hAnsi="宋体" w:cs="宋体"/>
                <w:color w:val="auto"/>
                <w:sz w:val="24"/>
              </w:rPr>
            </w:pPr>
            <w:r>
              <w:rPr>
                <w:rFonts w:hint="eastAsia" w:ascii="宋体" w:hAnsi="宋体" w:cs="宋体"/>
                <w:color w:val="auto"/>
                <w:sz w:val="24"/>
              </w:rPr>
              <w:t>或分工</w:t>
            </w:r>
          </w:p>
        </w:tc>
        <w:tc>
          <w:tcPr>
            <w:tcW w:w="1267" w:type="dxa"/>
            <w:tcBorders>
              <w:top w:val="single" w:color="auto" w:sz="4" w:space="0"/>
              <w:left w:val="single" w:color="auto" w:sz="4" w:space="0"/>
              <w:bottom w:val="single" w:color="auto" w:sz="4" w:space="0"/>
              <w:right w:val="single" w:color="auto" w:sz="4" w:space="0"/>
            </w:tcBorders>
            <w:noWrap w:val="0"/>
            <w:vAlign w:val="center"/>
          </w:tcPr>
          <w:p w14:paraId="29FB58D5">
            <w:pPr>
              <w:tabs>
                <w:tab w:val="left" w:pos="9765"/>
              </w:tabs>
              <w:snapToGrid w:val="0"/>
              <w:spacing w:line="360" w:lineRule="auto"/>
              <w:jc w:val="center"/>
              <w:rPr>
                <w:rFonts w:ascii="宋体" w:hAnsi="宋体" w:cs="宋体"/>
                <w:color w:val="auto"/>
                <w:sz w:val="24"/>
              </w:rPr>
            </w:pPr>
            <w:r>
              <w:rPr>
                <w:rFonts w:hint="eastAsia" w:ascii="宋体" w:hAnsi="宋体" w:cs="宋体"/>
                <w:color w:val="auto"/>
                <w:sz w:val="24"/>
              </w:rPr>
              <w:t>项目经历或主要工作</w:t>
            </w:r>
          </w:p>
          <w:p w14:paraId="20E439AF">
            <w:pPr>
              <w:tabs>
                <w:tab w:val="left" w:pos="9765"/>
              </w:tabs>
              <w:snapToGrid w:val="0"/>
              <w:spacing w:line="360" w:lineRule="auto"/>
              <w:jc w:val="center"/>
              <w:rPr>
                <w:rFonts w:ascii="宋体" w:hAnsi="宋体" w:cs="宋体"/>
                <w:color w:val="auto"/>
                <w:sz w:val="24"/>
              </w:rPr>
            </w:pPr>
            <w:r>
              <w:rPr>
                <w:rFonts w:hint="eastAsia" w:ascii="宋体" w:hAnsi="宋体" w:cs="宋体"/>
                <w:color w:val="auto"/>
                <w:sz w:val="24"/>
              </w:rPr>
              <w:t>业绩</w:t>
            </w:r>
          </w:p>
        </w:tc>
      </w:tr>
      <w:tr w14:paraId="20E970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80" w:type="dxa"/>
            <w:tcBorders>
              <w:top w:val="single" w:color="auto" w:sz="4" w:space="0"/>
              <w:left w:val="single" w:color="auto" w:sz="4" w:space="0"/>
              <w:bottom w:val="single" w:color="auto" w:sz="4" w:space="0"/>
              <w:right w:val="single" w:color="auto" w:sz="4" w:space="0"/>
            </w:tcBorders>
            <w:noWrap w:val="0"/>
            <w:vAlign w:val="top"/>
          </w:tcPr>
          <w:p w14:paraId="7C950A66">
            <w:pPr>
              <w:tabs>
                <w:tab w:val="left" w:pos="9765"/>
              </w:tabs>
              <w:snapToGrid w:val="0"/>
              <w:spacing w:line="360" w:lineRule="auto"/>
              <w:rPr>
                <w:rFonts w:ascii="宋体" w:hAnsi="宋体" w:cs="宋体"/>
                <w:color w:val="auto"/>
                <w:sz w:val="24"/>
              </w:rPr>
            </w:pPr>
            <w:r>
              <w:rPr>
                <w:rFonts w:hint="eastAsia" w:ascii="宋体" w:hAnsi="宋体" w:cs="宋体"/>
                <w:color w:val="auto"/>
                <w:sz w:val="24"/>
              </w:rPr>
              <w:t> </w:t>
            </w:r>
          </w:p>
        </w:tc>
        <w:tc>
          <w:tcPr>
            <w:tcW w:w="810" w:type="dxa"/>
            <w:tcBorders>
              <w:top w:val="single" w:color="auto" w:sz="4" w:space="0"/>
              <w:left w:val="single" w:color="auto" w:sz="4" w:space="0"/>
              <w:bottom w:val="single" w:color="auto" w:sz="4" w:space="0"/>
              <w:right w:val="single" w:color="auto" w:sz="4" w:space="0"/>
            </w:tcBorders>
            <w:noWrap w:val="0"/>
            <w:vAlign w:val="top"/>
          </w:tcPr>
          <w:p w14:paraId="495DDF11">
            <w:pPr>
              <w:tabs>
                <w:tab w:val="left" w:pos="9765"/>
              </w:tabs>
              <w:snapToGrid w:val="0"/>
              <w:spacing w:line="360" w:lineRule="auto"/>
              <w:rPr>
                <w:rFonts w:ascii="宋体" w:hAnsi="宋体" w:cs="宋体"/>
                <w:color w:val="auto"/>
                <w:sz w:val="24"/>
              </w:rPr>
            </w:pPr>
            <w:r>
              <w:rPr>
                <w:rFonts w:hint="eastAsia" w:ascii="宋体" w:hAnsi="宋体" w:cs="宋体"/>
                <w:color w:val="auto"/>
                <w:sz w:val="24"/>
              </w:rPr>
              <w:t> </w:t>
            </w:r>
          </w:p>
        </w:tc>
        <w:tc>
          <w:tcPr>
            <w:tcW w:w="743" w:type="dxa"/>
            <w:tcBorders>
              <w:top w:val="single" w:color="auto" w:sz="4" w:space="0"/>
              <w:left w:val="single" w:color="auto" w:sz="4" w:space="0"/>
              <w:bottom w:val="single" w:color="auto" w:sz="4" w:space="0"/>
              <w:right w:val="single" w:color="auto" w:sz="4" w:space="0"/>
            </w:tcBorders>
            <w:noWrap w:val="0"/>
            <w:vAlign w:val="top"/>
          </w:tcPr>
          <w:p w14:paraId="4D24BC3C">
            <w:pPr>
              <w:tabs>
                <w:tab w:val="left" w:pos="9765"/>
              </w:tabs>
              <w:snapToGrid w:val="0"/>
              <w:spacing w:line="360" w:lineRule="auto"/>
              <w:rPr>
                <w:rFonts w:ascii="宋体" w:hAnsi="宋体" w:cs="宋体"/>
                <w:color w:val="auto"/>
                <w:sz w:val="24"/>
              </w:rPr>
            </w:pPr>
            <w:r>
              <w:rPr>
                <w:rFonts w:hint="eastAsia" w:ascii="宋体" w:hAnsi="宋体" w:cs="宋体"/>
                <w:color w:val="auto"/>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7CC97892">
            <w:pPr>
              <w:tabs>
                <w:tab w:val="left" w:pos="9765"/>
              </w:tabs>
              <w:snapToGrid w:val="0"/>
              <w:spacing w:line="360" w:lineRule="auto"/>
              <w:rPr>
                <w:rFonts w:ascii="宋体" w:hAnsi="宋体" w:cs="宋体"/>
                <w:color w:val="auto"/>
                <w:sz w:val="24"/>
              </w:rPr>
            </w:pPr>
            <w:r>
              <w:rPr>
                <w:rFonts w:hint="eastAsia" w:ascii="宋体" w:hAnsi="宋体" w:cs="宋体"/>
                <w:color w:val="auto"/>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40266295">
            <w:pPr>
              <w:tabs>
                <w:tab w:val="left" w:pos="9765"/>
              </w:tabs>
              <w:snapToGrid w:val="0"/>
              <w:spacing w:line="360" w:lineRule="auto"/>
              <w:rPr>
                <w:rFonts w:ascii="宋体" w:hAnsi="宋体" w:cs="宋体"/>
                <w:color w:val="auto"/>
                <w:sz w:val="24"/>
              </w:rPr>
            </w:pPr>
            <w:r>
              <w:rPr>
                <w:rFonts w:hint="eastAsia" w:ascii="宋体" w:hAnsi="宋体" w:cs="宋体"/>
                <w:color w:val="auto"/>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5F207D48">
            <w:pPr>
              <w:tabs>
                <w:tab w:val="left" w:pos="9765"/>
              </w:tabs>
              <w:snapToGrid w:val="0"/>
              <w:spacing w:line="360" w:lineRule="auto"/>
              <w:rPr>
                <w:rFonts w:ascii="宋体" w:hAnsi="宋体" w:cs="宋体"/>
                <w:color w:val="auto"/>
                <w:sz w:val="24"/>
              </w:rPr>
            </w:pPr>
            <w:r>
              <w:rPr>
                <w:rFonts w:hint="eastAsia" w:ascii="宋体" w:hAnsi="宋体" w:cs="宋体"/>
                <w:color w:val="auto"/>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0E3ACDCA">
            <w:pPr>
              <w:tabs>
                <w:tab w:val="left" w:pos="9765"/>
              </w:tabs>
              <w:snapToGrid w:val="0"/>
              <w:spacing w:line="360" w:lineRule="auto"/>
              <w:rPr>
                <w:rFonts w:ascii="宋体" w:hAnsi="宋体" w:cs="宋体"/>
                <w:color w:val="auto"/>
                <w:sz w:val="24"/>
              </w:rPr>
            </w:pPr>
            <w:r>
              <w:rPr>
                <w:rFonts w:hint="eastAsia" w:ascii="宋体" w:hAnsi="宋体" w:cs="宋体"/>
                <w:color w:val="auto"/>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34A0AC27">
            <w:pPr>
              <w:tabs>
                <w:tab w:val="left" w:pos="9765"/>
              </w:tabs>
              <w:snapToGrid w:val="0"/>
              <w:spacing w:line="360" w:lineRule="auto"/>
              <w:rPr>
                <w:rFonts w:ascii="宋体" w:hAnsi="宋体" w:cs="宋体"/>
                <w:color w:val="auto"/>
                <w:sz w:val="24"/>
              </w:rPr>
            </w:pPr>
            <w:r>
              <w:rPr>
                <w:rFonts w:hint="eastAsia" w:ascii="宋体" w:hAnsi="宋体" w:cs="宋体"/>
                <w:color w:val="auto"/>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30E9A625">
            <w:pPr>
              <w:tabs>
                <w:tab w:val="left" w:pos="9765"/>
              </w:tabs>
              <w:snapToGrid w:val="0"/>
              <w:spacing w:line="360" w:lineRule="auto"/>
              <w:rPr>
                <w:rFonts w:ascii="宋体" w:hAnsi="宋体" w:cs="宋体"/>
                <w:color w:val="auto"/>
                <w:sz w:val="24"/>
              </w:rPr>
            </w:pPr>
            <w:r>
              <w:rPr>
                <w:rFonts w:hint="eastAsia" w:ascii="宋体" w:hAnsi="宋体" w:cs="宋体"/>
                <w:color w:val="auto"/>
                <w:sz w:val="24"/>
              </w:rPr>
              <w:t> </w:t>
            </w:r>
          </w:p>
        </w:tc>
        <w:tc>
          <w:tcPr>
            <w:tcW w:w="1267" w:type="dxa"/>
            <w:tcBorders>
              <w:top w:val="single" w:color="auto" w:sz="4" w:space="0"/>
              <w:left w:val="single" w:color="auto" w:sz="4" w:space="0"/>
              <w:bottom w:val="single" w:color="auto" w:sz="4" w:space="0"/>
              <w:right w:val="single" w:color="auto" w:sz="4" w:space="0"/>
            </w:tcBorders>
            <w:noWrap w:val="0"/>
            <w:vAlign w:val="top"/>
          </w:tcPr>
          <w:p w14:paraId="1BE3D412">
            <w:pPr>
              <w:tabs>
                <w:tab w:val="left" w:pos="9765"/>
              </w:tabs>
              <w:snapToGrid w:val="0"/>
              <w:spacing w:line="360" w:lineRule="auto"/>
              <w:rPr>
                <w:rFonts w:ascii="宋体" w:hAnsi="宋体" w:cs="宋体"/>
                <w:color w:val="auto"/>
                <w:sz w:val="24"/>
              </w:rPr>
            </w:pPr>
            <w:r>
              <w:rPr>
                <w:rFonts w:hint="eastAsia" w:ascii="宋体" w:hAnsi="宋体" w:cs="宋体"/>
                <w:color w:val="auto"/>
                <w:sz w:val="24"/>
              </w:rPr>
              <w:t> </w:t>
            </w:r>
          </w:p>
        </w:tc>
      </w:tr>
      <w:tr w14:paraId="6F142D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80" w:type="dxa"/>
            <w:tcBorders>
              <w:top w:val="single" w:color="auto" w:sz="4" w:space="0"/>
              <w:left w:val="single" w:color="auto" w:sz="4" w:space="0"/>
              <w:bottom w:val="single" w:color="auto" w:sz="4" w:space="0"/>
              <w:right w:val="single" w:color="auto" w:sz="4" w:space="0"/>
            </w:tcBorders>
            <w:noWrap w:val="0"/>
            <w:vAlign w:val="top"/>
          </w:tcPr>
          <w:p w14:paraId="6A04E324">
            <w:pPr>
              <w:tabs>
                <w:tab w:val="left" w:pos="9765"/>
              </w:tabs>
              <w:snapToGrid w:val="0"/>
              <w:spacing w:line="360" w:lineRule="auto"/>
              <w:rPr>
                <w:rFonts w:ascii="宋体" w:hAnsi="宋体" w:cs="宋体"/>
                <w:color w:val="auto"/>
                <w:sz w:val="24"/>
              </w:rPr>
            </w:pPr>
            <w:r>
              <w:rPr>
                <w:rFonts w:hint="eastAsia" w:ascii="宋体" w:hAnsi="宋体" w:cs="宋体"/>
                <w:color w:val="auto"/>
                <w:sz w:val="24"/>
              </w:rPr>
              <w:t> </w:t>
            </w:r>
          </w:p>
        </w:tc>
        <w:tc>
          <w:tcPr>
            <w:tcW w:w="810" w:type="dxa"/>
            <w:tcBorders>
              <w:top w:val="single" w:color="auto" w:sz="4" w:space="0"/>
              <w:left w:val="single" w:color="auto" w:sz="4" w:space="0"/>
              <w:bottom w:val="single" w:color="auto" w:sz="4" w:space="0"/>
              <w:right w:val="single" w:color="auto" w:sz="4" w:space="0"/>
            </w:tcBorders>
            <w:noWrap w:val="0"/>
            <w:vAlign w:val="top"/>
          </w:tcPr>
          <w:p w14:paraId="311F8FD5">
            <w:pPr>
              <w:tabs>
                <w:tab w:val="left" w:pos="9765"/>
              </w:tabs>
              <w:snapToGrid w:val="0"/>
              <w:spacing w:line="360" w:lineRule="auto"/>
              <w:rPr>
                <w:rFonts w:ascii="宋体" w:hAnsi="宋体" w:cs="宋体"/>
                <w:color w:val="auto"/>
                <w:sz w:val="24"/>
              </w:rPr>
            </w:pPr>
            <w:r>
              <w:rPr>
                <w:rFonts w:hint="eastAsia" w:ascii="宋体" w:hAnsi="宋体" w:cs="宋体"/>
                <w:color w:val="auto"/>
                <w:sz w:val="24"/>
              </w:rPr>
              <w:t> </w:t>
            </w:r>
          </w:p>
        </w:tc>
        <w:tc>
          <w:tcPr>
            <w:tcW w:w="743" w:type="dxa"/>
            <w:tcBorders>
              <w:top w:val="single" w:color="auto" w:sz="4" w:space="0"/>
              <w:left w:val="single" w:color="auto" w:sz="4" w:space="0"/>
              <w:bottom w:val="single" w:color="auto" w:sz="4" w:space="0"/>
              <w:right w:val="single" w:color="auto" w:sz="4" w:space="0"/>
            </w:tcBorders>
            <w:noWrap w:val="0"/>
            <w:vAlign w:val="top"/>
          </w:tcPr>
          <w:p w14:paraId="207B60A3">
            <w:pPr>
              <w:tabs>
                <w:tab w:val="left" w:pos="9765"/>
              </w:tabs>
              <w:snapToGrid w:val="0"/>
              <w:spacing w:line="360" w:lineRule="auto"/>
              <w:rPr>
                <w:rFonts w:ascii="宋体" w:hAnsi="宋体" w:cs="宋体"/>
                <w:color w:val="auto"/>
                <w:sz w:val="24"/>
              </w:rPr>
            </w:pPr>
            <w:r>
              <w:rPr>
                <w:rFonts w:hint="eastAsia" w:ascii="宋体" w:hAnsi="宋体" w:cs="宋体"/>
                <w:color w:val="auto"/>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73F8397A">
            <w:pPr>
              <w:tabs>
                <w:tab w:val="left" w:pos="9765"/>
              </w:tabs>
              <w:snapToGrid w:val="0"/>
              <w:spacing w:line="360" w:lineRule="auto"/>
              <w:rPr>
                <w:rFonts w:ascii="宋体" w:hAnsi="宋体" w:cs="宋体"/>
                <w:color w:val="auto"/>
                <w:sz w:val="24"/>
              </w:rPr>
            </w:pPr>
            <w:r>
              <w:rPr>
                <w:rFonts w:hint="eastAsia" w:ascii="宋体" w:hAnsi="宋体" w:cs="宋体"/>
                <w:color w:val="auto"/>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28F68290">
            <w:pPr>
              <w:tabs>
                <w:tab w:val="left" w:pos="9765"/>
              </w:tabs>
              <w:snapToGrid w:val="0"/>
              <w:spacing w:line="360" w:lineRule="auto"/>
              <w:rPr>
                <w:rFonts w:ascii="宋体" w:hAnsi="宋体" w:cs="宋体"/>
                <w:color w:val="auto"/>
                <w:sz w:val="24"/>
              </w:rPr>
            </w:pPr>
            <w:r>
              <w:rPr>
                <w:rFonts w:hint="eastAsia" w:ascii="宋体" w:hAnsi="宋体" w:cs="宋体"/>
                <w:color w:val="auto"/>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178FD793">
            <w:pPr>
              <w:tabs>
                <w:tab w:val="left" w:pos="9765"/>
              </w:tabs>
              <w:snapToGrid w:val="0"/>
              <w:spacing w:line="360" w:lineRule="auto"/>
              <w:rPr>
                <w:rFonts w:ascii="宋体" w:hAnsi="宋体" w:cs="宋体"/>
                <w:color w:val="auto"/>
                <w:sz w:val="24"/>
              </w:rPr>
            </w:pPr>
            <w:r>
              <w:rPr>
                <w:rFonts w:hint="eastAsia" w:ascii="宋体" w:hAnsi="宋体" w:cs="宋体"/>
                <w:color w:val="auto"/>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558DE7B6">
            <w:pPr>
              <w:tabs>
                <w:tab w:val="left" w:pos="9765"/>
              </w:tabs>
              <w:snapToGrid w:val="0"/>
              <w:spacing w:line="360" w:lineRule="auto"/>
              <w:rPr>
                <w:rFonts w:ascii="宋体" w:hAnsi="宋体" w:cs="宋体"/>
                <w:color w:val="auto"/>
                <w:sz w:val="24"/>
              </w:rPr>
            </w:pPr>
            <w:r>
              <w:rPr>
                <w:rFonts w:hint="eastAsia" w:ascii="宋体" w:hAnsi="宋体" w:cs="宋体"/>
                <w:color w:val="auto"/>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2D5FD36D">
            <w:pPr>
              <w:tabs>
                <w:tab w:val="left" w:pos="9765"/>
              </w:tabs>
              <w:snapToGrid w:val="0"/>
              <w:spacing w:line="360" w:lineRule="auto"/>
              <w:rPr>
                <w:rFonts w:ascii="宋体" w:hAnsi="宋体" w:cs="宋体"/>
                <w:color w:val="auto"/>
                <w:sz w:val="24"/>
              </w:rPr>
            </w:pPr>
            <w:r>
              <w:rPr>
                <w:rFonts w:hint="eastAsia" w:ascii="宋体" w:hAnsi="宋体" w:cs="宋体"/>
                <w:color w:val="auto"/>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59C4865E">
            <w:pPr>
              <w:tabs>
                <w:tab w:val="left" w:pos="9765"/>
              </w:tabs>
              <w:snapToGrid w:val="0"/>
              <w:spacing w:line="360" w:lineRule="auto"/>
              <w:rPr>
                <w:rFonts w:ascii="宋体" w:hAnsi="宋体" w:cs="宋体"/>
                <w:color w:val="auto"/>
                <w:sz w:val="24"/>
              </w:rPr>
            </w:pPr>
            <w:r>
              <w:rPr>
                <w:rFonts w:hint="eastAsia" w:ascii="宋体" w:hAnsi="宋体" w:cs="宋体"/>
                <w:color w:val="auto"/>
                <w:sz w:val="24"/>
              </w:rPr>
              <w:t> </w:t>
            </w:r>
          </w:p>
        </w:tc>
        <w:tc>
          <w:tcPr>
            <w:tcW w:w="1267" w:type="dxa"/>
            <w:tcBorders>
              <w:top w:val="single" w:color="auto" w:sz="4" w:space="0"/>
              <w:left w:val="single" w:color="auto" w:sz="4" w:space="0"/>
              <w:bottom w:val="single" w:color="auto" w:sz="4" w:space="0"/>
              <w:right w:val="single" w:color="auto" w:sz="4" w:space="0"/>
            </w:tcBorders>
            <w:noWrap w:val="0"/>
            <w:vAlign w:val="top"/>
          </w:tcPr>
          <w:p w14:paraId="1934B353">
            <w:pPr>
              <w:tabs>
                <w:tab w:val="left" w:pos="9765"/>
              </w:tabs>
              <w:snapToGrid w:val="0"/>
              <w:spacing w:line="360" w:lineRule="auto"/>
              <w:rPr>
                <w:rFonts w:ascii="宋体" w:hAnsi="宋体" w:cs="宋体"/>
                <w:color w:val="auto"/>
                <w:sz w:val="24"/>
              </w:rPr>
            </w:pPr>
            <w:r>
              <w:rPr>
                <w:rFonts w:hint="eastAsia" w:ascii="宋体" w:hAnsi="宋体" w:cs="宋体"/>
                <w:color w:val="auto"/>
                <w:sz w:val="24"/>
              </w:rPr>
              <w:t> </w:t>
            </w:r>
          </w:p>
        </w:tc>
      </w:tr>
      <w:tr w14:paraId="286844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80" w:type="dxa"/>
            <w:tcBorders>
              <w:top w:val="single" w:color="auto" w:sz="4" w:space="0"/>
              <w:left w:val="single" w:color="auto" w:sz="4" w:space="0"/>
              <w:bottom w:val="single" w:color="auto" w:sz="4" w:space="0"/>
              <w:right w:val="single" w:color="auto" w:sz="4" w:space="0"/>
            </w:tcBorders>
            <w:noWrap w:val="0"/>
            <w:vAlign w:val="top"/>
          </w:tcPr>
          <w:p w14:paraId="58F4EDD1">
            <w:pPr>
              <w:tabs>
                <w:tab w:val="left" w:pos="9765"/>
              </w:tabs>
              <w:snapToGrid w:val="0"/>
              <w:spacing w:line="360" w:lineRule="auto"/>
              <w:rPr>
                <w:rFonts w:ascii="宋体" w:hAnsi="宋体" w:cs="宋体"/>
                <w:color w:val="auto"/>
                <w:sz w:val="24"/>
              </w:rPr>
            </w:pPr>
          </w:p>
        </w:tc>
        <w:tc>
          <w:tcPr>
            <w:tcW w:w="810" w:type="dxa"/>
            <w:tcBorders>
              <w:top w:val="single" w:color="auto" w:sz="4" w:space="0"/>
              <w:left w:val="single" w:color="auto" w:sz="4" w:space="0"/>
              <w:bottom w:val="single" w:color="auto" w:sz="4" w:space="0"/>
              <w:right w:val="single" w:color="auto" w:sz="4" w:space="0"/>
            </w:tcBorders>
            <w:noWrap w:val="0"/>
            <w:vAlign w:val="top"/>
          </w:tcPr>
          <w:p w14:paraId="0A323D8B">
            <w:pPr>
              <w:tabs>
                <w:tab w:val="left" w:pos="9765"/>
              </w:tabs>
              <w:snapToGrid w:val="0"/>
              <w:spacing w:line="360" w:lineRule="auto"/>
              <w:rPr>
                <w:rFonts w:ascii="宋体" w:hAnsi="宋体" w:cs="宋体"/>
                <w:color w:val="auto"/>
                <w:sz w:val="24"/>
              </w:rPr>
            </w:pPr>
          </w:p>
        </w:tc>
        <w:tc>
          <w:tcPr>
            <w:tcW w:w="743" w:type="dxa"/>
            <w:tcBorders>
              <w:top w:val="single" w:color="auto" w:sz="4" w:space="0"/>
              <w:left w:val="single" w:color="auto" w:sz="4" w:space="0"/>
              <w:bottom w:val="single" w:color="auto" w:sz="4" w:space="0"/>
              <w:right w:val="single" w:color="auto" w:sz="4" w:space="0"/>
            </w:tcBorders>
            <w:noWrap w:val="0"/>
            <w:vAlign w:val="top"/>
          </w:tcPr>
          <w:p w14:paraId="652030B6">
            <w:pPr>
              <w:tabs>
                <w:tab w:val="left" w:pos="9765"/>
              </w:tabs>
              <w:snapToGrid w:val="0"/>
              <w:spacing w:line="360" w:lineRule="auto"/>
              <w:rPr>
                <w:rFonts w:ascii="宋体" w:hAnsi="宋体" w:cs="宋体"/>
                <w:color w:val="auto"/>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742497A6">
            <w:pPr>
              <w:tabs>
                <w:tab w:val="left" w:pos="9765"/>
              </w:tabs>
              <w:snapToGrid w:val="0"/>
              <w:spacing w:line="360" w:lineRule="auto"/>
              <w:rPr>
                <w:rFonts w:ascii="宋体" w:hAnsi="宋体" w:cs="宋体"/>
                <w:color w:val="auto"/>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4900780E">
            <w:pPr>
              <w:tabs>
                <w:tab w:val="left" w:pos="9765"/>
              </w:tabs>
              <w:snapToGrid w:val="0"/>
              <w:spacing w:line="360" w:lineRule="auto"/>
              <w:rPr>
                <w:rFonts w:ascii="宋体" w:hAnsi="宋体" w:cs="宋体"/>
                <w:color w:val="auto"/>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4BFCC1B3">
            <w:pPr>
              <w:tabs>
                <w:tab w:val="left" w:pos="9765"/>
              </w:tabs>
              <w:snapToGrid w:val="0"/>
              <w:spacing w:line="360" w:lineRule="auto"/>
              <w:rPr>
                <w:rFonts w:ascii="宋体" w:hAnsi="宋体" w:cs="宋体"/>
                <w:color w:val="auto"/>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3FA3A61E">
            <w:pPr>
              <w:tabs>
                <w:tab w:val="left" w:pos="9765"/>
              </w:tabs>
              <w:snapToGrid w:val="0"/>
              <w:spacing w:line="360" w:lineRule="auto"/>
              <w:rPr>
                <w:rFonts w:ascii="宋体" w:hAnsi="宋体" w:cs="宋体"/>
                <w:color w:val="auto"/>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36861179">
            <w:pPr>
              <w:tabs>
                <w:tab w:val="left" w:pos="9765"/>
              </w:tabs>
              <w:snapToGrid w:val="0"/>
              <w:spacing w:line="360" w:lineRule="auto"/>
              <w:rPr>
                <w:rFonts w:ascii="宋体" w:hAnsi="宋体" w:cs="宋体"/>
                <w:color w:val="auto"/>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0E9BC466">
            <w:pPr>
              <w:tabs>
                <w:tab w:val="left" w:pos="9765"/>
              </w:tabs>
              <w:snapToGrid w:val="0"/>
              <w:spacing w:line="360" w:lineRule="auto"/>
              <w:rPr>
                <w:rFonts w:ascii="宋体" w:hAnsi="宋体" w:cs="宋体"/>
                <w:color w:val="auto"/>
                <w:sz w:val="24"/>
              </w:rPr>
            </w:pPr>
          </w:p>
        </w:tc>
        <w:tc>
          <w:tcPr>
            <w:tcW w:w="1267" w:type="dxa"/>
            <w:tcBorders>
              <w:top w:val="single" w:color="auto" w:sz="4" w:space="0"/>
              <w:left w:val="single" w:color="auto" w:sz="4" w:space="0"/>
              <w:bottom w:val="single" w:color="auto" w:sz="4" w:space="0"/>
              <w:right w:val="single" w:color="auto" w:sz="4" w:space="0"/>
            </w:tcBorders>
            <w:noWrap w:val="0"/>
            <w:vAlign w:val="top"/>
          </w:tcPr>
          <w:p w14:paraId="7EBD2408">
            <w:pPr>
              <w:tabs>
                <w:tab w:val="left" w:pos="9765"/>
              </w:tabs>
              <w:snapToGrid w:val="0"/>
              <w:spacing w:line="360" w:lineRule="auto"/>
              <w:rPr>
                <w:rFonts w:ascii="宋体" w:hAnsi="宋体" w:cs="宋体"/>
                <w:color w:val="auto"/>
                <w:sz w:val="24"/>
              </w:rPr>
            </w:pPr>
          </w:p>
        </w:tc>
      </w:tr>
      <w:tr w14:paraId="50E0CA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80" w:type="dxa"/>
            <w:tcBorders>
              <w:top w:val="single" w:color="auto" w:sz="4" w:space="0"/>
              <w:left w:val="single" w:color="auto" w:sz="4" w:space="0"/>
              <w:bottom w:val="single" w:color="auto" w:sz="4" w:space="0"/>
              <w:right w:val="single" w:color="auto" w:sz="4" w:space="0"/>
            </w:tcBorders>
            <w:noWrap w:val="0"/>
            <w:vAlign w:val="top"/>
          </w:tcPr>
          <w:p w14:paraId="6E5ED2D9">
            <w:pPr>
              <w:tabs>
                <w:tab w:val="left" w:pos="9765"/>
              </w:tabs>
              <w:snapToGrid w:val="0"/>
              <w:spacing w:line="360" w:lineRule="auto"/>
              <w:rPr>
                <w:rFonts w:ascii="宋体" w:hAnsi="宋体" w:cs="宋体"/>
                <w:color w:val="auto"/>
                <w:sz w:val="24"/>
              </w:rPr>
            </w:pPr>
          </w:p>
        </w:tc>
        <w:tc>
          <w:tcPr>
            <w:tcW w:w="810" w:type="dxa"/>
            <w:tcBorders>
              <w:top w:val="single" w:color="auto" w:sz="4" w:space="0"/>
              <w:left w:val="single" w:color="auto" w:sz="4" w:space="0"/>
              <w:bottom w:val="single" w:color="auto" w:sz="4" w:space="0"/>
              <w:right w:val="single" w:color="auto" w:sz="4" w:space="0"/>
            </w:tcBorders>
            <w:noWrap w:val="0"/>
            <w:vAlign w:val="top"/>
          </w:tcPr>
          <w:p w14:paraId="569F71A2">
            <w:pPr>
              <w:tabs>
                <w:tab w:val="left" w:pos="9765"/>
              </w:tabs>
              <w:snapToGrid w:val="0"/>
              <w:spacing w:line="360" w:lineRule="auto"/>
              <w:rPr>
                <w:rFonts w:ascii="宋体" w:hAnsi="宋体" w:cs="宋体"/>
                <w:color w:val="auto"/>
                <w:sz w:val="24"/>
              </w:rPr>
            </w:pPr>
          </w:p>
        </w:tc>
        <w:tc>
          <w:tcPr>
            <w:tcW w:w="743" w:type="dxa"/>
            <w:tcBorders>
              <w:top w:val="single" w:color="auto" w:sz="4" w:space="0"/>
              <w:left w:val="single" w:color="auto" w:sz="4" w:space="0"/>
              <w:bottom w:val="single" w:color="auto" w:sz="4" w:space="0"/>
              <w:right w:val="single" w:color="auto" w:sz="4" w:space="0"/>
            </w:tcBorders>
            <w:noWrap w:val="0"/>
            <w:vAlign w:val="top"/>
          </w:tcPr>
          <w:p w14:paraId="1DDD2ED9">
            <w:pPr>
              <w:tabs>
                <w:tab w:val="left" w:pos="9765"/>
              </w:tabs>
              <w:snapToGrid w:val="0"/>
              <w:spacing w:line="360" w:lineRule="auto"/>
              <w:rPr>
                <w:rFonts w:ascii="宋体" w:hAnsi="宋体" w:cs="宋体"/>
                <w:color w:val="auto"/>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2EBA8C27">
            <w:pPr>
              <w:tabs>
                <w:tab w:val="left" w:pos="9765"/>
              </w:tabs>
              <w:snapToGrid w:val="0"/>
              <w:spacing w:line="360" w:lineRule="auto"/>
              <w:rPr>
                <w:rFonts w:ascii="宋体" w:hAnsi="宋体" w:cs="宋体"/>
                <w:color w:val="auto"/>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2BA6603F">
            <w:pPr>
              <w:tabs>
                <w:tab w:val="left" w:pos="9765"/>
              </w:tabs>
              <w:snapToGrid w:val="0"/>
              <w:spacing w:line="360" w:lineRule="auto"/>
              <w:rPr>
                <w:rFonts w:ascii="宋体" w:hAnsi="宋体" w:cs="宋体"/>
                <w:color w:val="auto"/>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0D2E726F">
            <w:pPr>
              <w:tabs>
                <w:tab w:val="left" w:pos="9765"/>
              </w:tabs>
              <w:snapToGrid w:val="0"/>
              <w:spacing w:line="360" w:lineRule="auto"/>
              <w:rPr>
                <w:rFonts w:ascii="宋体" w:hAnsi="宋体" w:cs="宋体"/>
                <w:color w:val="auto"/>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06E00380">
            <w:pPr>
              <w:tabs>
                <w:tab w:val="left" w:pos="9765"/>
              </w:tabs>
              <w:snapToGrid w:val="0"/>
              <w:spacing w:line="360" w:lineRule="auto"/>
              <w:rPr>
                <w:rFonts w:ascii="宋体" w:hAnsi="宋体" w:cs="宋体"/>
                <w:color w:val="auto"/>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74CA14A7">
            <w:pPr>
              <w:tabs>
                <w:tab w:val="left" w:pos="9765"/>
              </w:tabs>
              <w:snapToGrid w:val="0"/>
              <w:spacing w:line="360" w:lineRule="auto"/>
              <w:rPr>
                <w:rFonts w:ascii="宋体" w:hAnsi="宋体" w:cs="宋体"/>
                <w:color w:val="auto"/>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302919D6">
            <w:pPr>
              <w:tabs>
                <w:tab w:val="left" w:pos="9765"/>
              </w:tabs>
              <w:snapToGrid w:val="0"/>
              <w:spacing w:line="360" w:lineRule="auto"/>
              <w:rPr>
                <w:rFonts w:ascii="宋体" w:hAnsi="宋体" w:cs="宋体"/>
                <w:color w:val="auto"/>
                <w:sz w:val="24"/>
              </w:rPr>
            </w:pPr>
          </w:p>
        </w:tc>
        <w:tc>
          <w:tcPr>
            <w:tcW w:w="1267" w:type="dxa"/>
            <w:tcBorders>
              <w:top w:val="single" w:color="auto" w:sz="4" w:space="0"/>
              <w:left w:val="single" w:color="auto" w:sz="4" w:space="0"/>
              <w:bottom w:val="single" w:color="auto" w:sz="4" w:space="0"/>
              <w:right w:val="single" w:color="auto" w:sz="4" w:space="0"/>
            </w:tcBorders>
            <w:noWrap w:val="0"/>
            <w:vAlign w:val="top"/>
          </w:tcPr>
          <w:p w14:paraId="662FD913">
            <w:pPr>
              <w:tabs>
                <w:tab w:val="left" w:pos="9765"/>
              </w:tabs>
              <w:snapToGrid w:val="0"/>
              <w:spacing w:line="360" w:lineRule="auto"/>
              <w:rPr>
                <w:rFonts w:ascii="宋体" w:hAnsi="宋体" w:cs="宋体"/>
                <w:color w:val="auto"/>
                <w:sz w:val="24"/>
              </w:rPr>
            </w:pPr>
          </w:p>
        </w:tc>
      </w:tr>
      <w:tr w14:paraId="7C54C4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80" w:type="dxa"/>
            <w:tcBorders>
              <w:top w:val="single" w:color="auto" w:sz="4" w:space="0"/>
              <w:left w:val="single" w:color="auto" w:sz="4" w:space="0"/>
              <w:bottom w:val="single" w:color="auto" w:sz="4" w:space="0"/>
              <w:right w:val="single" w:color="auto" w:sz="4" w:space="0"/>
            </w:tcBorders>
            <w:noWrap w:val="0"/>
            <w:vAlign w:val="top"/>
          </w:tcPr>
          <w:p w14:paraId="10AB918F">
            <w:pPr>
              <w:tabs>
                <w:tab w:val="left" w:pos="9765"/>
              </w:tabs>
              <w:snapToGrid w:val="0"/>
              <w:spacing w:line="360" w:lineRule="auto"/>
              <w:rPr>
                <w:rFonts w:ascii="宋体" w:hAnsi="宋体" w:cs="宋体"/>
                <w:color w:val="auto"/>
                <w:sz w:val="24"/>
              </w:rPr>
            </w:pPr>
          </w:p>
        </w:tc>
        <w:tc>
          <w:tcPr>
            <w:tcW w:w="810" w:type="dxa"/>
            <w:tcBorders>
              <w:top w:val="single" w:color="auto" w:sz="4" w:space="0"/>
              <w:left w:val="single" w:color="auto" w:sz="4" w:space="0"/>
              <w:bottom w:val="single" w:color="auto" w:sz="4" w:space="0"/>
              <w:right w:val="single" w:color="auto" w:sz="4" w:space="0"/>
            </w:tcBorders>
            <w:noWrap w:val="0"/>
            <w:vAlign w:val="top"/>
          </w:tcPr>
          <w:p w14:paraId="40A0FEFB">
            <w:pPr>
              <w:tabs>
                <w:tab w:val="left" w:pos="9765"/>
              </w:tabs>
              <w:snapToGrid w:val="0"/>
              <w:spacing w:line="360" w:lineRule="auto"/>
              <w:rPr>
                <w:rFonts w:ascii="宋体" w:hAnsi="宋体" w:cs="宋体"/>
                <w:color w:val="auto"/>
                <w:sz w:val="24"/>
              </w:rPr>
            </w:pPr>
          </w:p>
        </w:tc>
        <w:tc>
          <w:tcPr>
            <w:tcW w:w="743" w:type="dxa"/>
            <w:tcBorders>
              <w:top w:val="single" w:color="auto" w:sz="4" w:space="0"/>
              <w:left w:val="single" w:color="auto" w:sz="4" w:space="0"/>
              <w:bottom w:val="single" w:color="auto" w:sz="4" w:space="0"/>
              <w:right w:val="single" w:color="auto" w:sz="4" w:space="0"/>
            </w:tcBorders>
            <w:noWrap w:val="0"/>
            <w:vAlign w:val="top"/>
          </w:tcPr>
          <w:p w14:paraId="7EB60891">
            <w:pPr>
              <w:tabs>
                <w:tab w:val="left" w:pos="9765"/>
              </w:tabs>
              <w:snapToGrid w:val="0"/>
              <w:spacing w:line="360" w:lineRule="auto"/>
              <w:rPr>
                <w:rFonts w:ascii="宋体" w:hAnsi="宋体" w:cs="宋体"/>
                <w:color w:val="auto"/>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0BEEA2C5">
            <w:pPr>
              <w:tabs>
                <w:tab w:val="left" w:pos="9765"/>
              </w:tabs>
              <w:snapToGrid w:val="0"/>
              <w:spacing w:line="360" w:lineRule="auto"/>
              <w:rPr>
                <w:rFonts w:ascii="宋体" w:hAnsi="宋体" w:cs="宋体"/>
                <w:color w:val="auto"/>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8C40BC9">
            <w:pPr>
              <w:tabs>
                <w:tab w:val="left" w:pos="9765"/>
              </w:tabs>
              <w:snapToGrid w:val="0"/>
              <w:spacing w:line="360" w:lineRule="auto"/>
              <w:rPr>
                <w:rFonts w:ascii="宋体" w:hAnsi="宋体" w:cs="宋体"/>
                <w:color w:val="auto"/>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5856FCC1">
            <w:pPr>
              <w:tabs>
                <w:tab w:val="left" w:pos="9765"/>
              </w:tabs>
              <w:snapToGrid w:val="0"/>
              <w:spacing w:line="360" w:lineRule="auto"/>
              <w:rPr>
                <w:rFonts w:ascii="宋体" w:hAnsi="宋体" w:cs="宋体"/>
                <w:color w:val="auto"/>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E9703C1">
            <w:pPr>
              <w:tabs>
                <w:tab w:val="left" w:pos="9765"/>
              </w:tabs>
              <w:snapToGrid w:val="0"/>
              <w:spacing w:line="360" w:lineRule="auto"/>
              <w:rPr>
                <w:rFonts w:ascii="宋体" w:hAnsi="宋体" w:cs="宋体"/>
                <w:color w:val="auto"/>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30CE7B04">
            <w:pPr>
              <w:tabs>
                <w:tab w:val="left" w:pos="9765"/>
              </w:tabs>
              <w:snapToGrid w:val="0"/>
              <w:spacing w:line="360" w:lineRule="auto"/>
              <w:rPr>
                <w:rFonts w:ascii="宋体" w:hAnsi="宋体" w:cs="宋体"/>
                <w:color w:val="auto"/>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425B7C82">
            <w:pPr>
              <w:tabs>
                <w:tab w:val="left" w:pos="9765"/>
              </w:tabs>
              <w:snapToGrid w:val="0"/>
              <w:spacing w:line="360" w:lineRule="auto"/>
              <w:rPr>
                <w:rFonts w:ascii="宋体" w:hAnsi="宋体" w:cs="宋体"/>
                <w:color w:val="auto"/>
                <w:sz w:val="24"/>
              </w:rPr>
            </w:pPr>
          </w:p>
        </w:tc>
        <w:tc>
          <w:tcPr>
            <w:tcW w:w="1267" w:type="dxa"/>
            <w:tcBorders>
              <w:top w:val="single" w:color="auto" w:sz="4" w:space="0"/>
              <w:left w:val="single" w:color="auto" w:sz="4" w:space="0"/>
              <w:bottom w:val="single" w:color="auto" w:sz="4" w:space="0"/>
              <w:right w:val="single" w:color="auto" w:sz="4" w:space="0"/>
            </w:tcBorders>
            <w:noWrap w:val="0"/>
            <w:vAlign w:val="top"/>
          </w:tcPr>
          <w:p w14:paraId="5D4AAF3F">
            <w:pPr>
              <w:tabs>
                <w:tab w:val="left" w:pos="9765"/>
              </w:tabs>
              <w:snapToGrid w:val="0"/>
              <w:spacing w:line="360" w:lineRule="auto"/>
              <w:rPr>
                <w:rFonts w:ascii="宋体" w:hAnsi="宋体" w:cs="宋体"/>
                <w:color w:val="auto"/>
                <w:sz w:val="24"/>
              </w:rPr>
            </w:pPr>
          </w:p>
        </w:tc>
      </w:tr>
      <w:tr w14:paraId="29D288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80" w:type="dxa"/>
            <w:tcBorders>
              <w:top w:val="single" w:color="auto" w:sz="4" w:space="0"/>
              <w:left w:val="single" w:color="auto" w:sz="4" w:space="0"/>
              <w:bottom w:val="single" w:color="auto" w:sz="4" w:space="0"/>
              <w:right w:val="single" w:color="auto" w:sz="4" w:space="0"/>
            </w:tcBorders>
            <w:noWrap w:val="0"/>
            <w:vAlign w:val="top"/>
          </w:tcPr>
          <w:p w14:paraId="01B53872">
            <w:pPr>
              <w:tabs>
                <w:tab w:val="left" w:pos="9765"/>
              </w:tabs>
              <w:snapToGrid w:val="0"/>
              <w:spacing w:line="360" w:lineRule="auto"/>
              <w:rPr>
                <w:rFonts w:ascii="宋体" w:hAnsi="宋体" w:cs="宋体"/>
                <w:color w:val="auto"/>
                <w:sz w:val="24"/>
              </w:rPr>
            </w:pPr>
            <w:r>
              <w:rPr>
                <w:rFonts w:hint="eastAsia" w:ascii="宋体" w:hAnsi="宋体" w:cs="宋体"/>
                <w:color w:val="auto"/>
                <w:sz w:val="24"/>
              </w:rPr>
              <w:t> </w:t>
            </w:r>
          </w:p>
        </w:tc>
        <w:tc>
          <w:tcPr>
            <w:tcW w:w="810" w:type="dxa"/>
            <w:tcBorders>
              <w:top w:val="single" w:color="auto" w:sz="4" w:space="0"/>
              <w:left w:val="single" w:color="auto" w:sz="4" w:space="0"/>
              <w:bottom w:val="single" w:color="auto" w:sz="4" w:space="0"/>
              <w:right w:val="single" w:color="auto" w:sz="4" w:space="0"/>
            </w:tcBorders>
            <w:noWrap w:val="0"/>
            <w:vAlign w:val="top"/>
          </w:tcPr>
          <w:p w14:paraId="31F993BE">
            <w:pPr>
              <w:tabs>
                <w:tab w:val="left" w:pos="9765"/>
              </w:tabs>
              <w:snapToGrid w:val="0"/>
              <w:spacing w:line="360" w:lineRule="auto"/>
              <w:rPr>
                <w:rFonts w:ascii="宋体" w:hAnsi="宋体" w:cs="宋体"/>
                <w:color w:val="auto"/>
                <w:sz w:val="24"/>
              </w:rPr>
            </w:pPr>
            <w:r>
              <w:rPr>
                <w:rFonts w:hint="eastAsia" w:ascii="宋体" w:hAnsi="宋体" w:cs="宋体"/>
                <w:color w:val="auto"/>
                <w:sz w:val="24"/>
              </w:rPr>
              <w:t> </w:t>
            </w:r>
          </w:p>
        </w:tc>
        <w:tc>
          <w:tcPr>
            <w:tcW w:w="743" w:type="dxa"/>
            <w:tcBorders>
              <w:top w:val="single" w:color="auto" w:sz="4" w:space="0"/>
              <w:left w:val="single" w:color="auto" w:sz="4" w:space="0"/>
              <w:bottom w:val="single" w:color="auto" w:sz="4" w:space="0"/>
              <w:right w:val="single" w:color="auto" w:sz="4" w:space="0"/>
            </w:tcBorders>
            <w:noWrap w:val="0"/>
            <w:vAlign w:val="top"/>
          </w:tcPr>
          <w:p w14:paraId="08B82D25">
            <w:pPr>
              <w:tabs>
                <w:tab w:val="left" w:pos="9765"/>
              </w:tabs>
              <w:snapToGrid w:val="0"/>
              <w:spacing w:line="360" w:lineRule="auto"/>
              <w:rPr>
                <w:rFonts w:ascii="宋体" w:hAnsi="宋体" w:cs="宋体"/>
                <w:color w:val="auto"/>
                <w:sz w:val="24"/>
              </w:rPr>
            </w:pPr>
            <w:r>
              <w:rPr>
                <w:rFonts w:hint="eastAsia" w:ascii="宋体" w:hAnsi="宋体" w:cs="宋体"/>
                <w:color w:val="auto"/>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2E9CFBDE">
            <w:pPr>
              <w:tabs>
                <w:tab w:val="left" w:pos="9765"/>
              </w:tabs>
              <w:snapToGrid w:val="0"/>
              <w:spacing w:line="360" w:lineRule="auto"/>
              <w:rPr>
                <w:rFonts w:ascii="宋体" w:hAnsi="宋体" w:cs="宋体"/>
                <w:color w:val="auto"/>
                <w:sz w:val="24"/>
              </w:rPr>
            </w:pPr>
            <w:r>
              <w:rPr>
                <w:rFonts w:hint="eastAsia" w:ascii="宋体" w:hAnsi="宋体" w:cs="宋体"/>
                <w:color w:val="auto"/>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6CF33EFE">
            <w:pPr>
              <w:tabs>
                <w:tab w:val="left" w:pos="9765"/>
              </w:tabs>
              <w:snapToGrid w:val="0"/>
              <w:spacing w:line="360" w:lineRule="auto"/>
              <w:rPr>
                <w:rFonts w:ascii="宋体" w:hAnsi="宋体" w:cs="宋体"/>
                <w:color w:val="auto"/>
                <w:sz w:val="24"/>
              </w:rPr>
            </w:pPr>
            <w:r>
              <w:rPr>
                <w:rFonts w:hint="eastAsia" w:ascii="宋体" w:hAnsi="宋体" w:cs="宋体"/>
                <w:color w:val="auto"/>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44BCDE41">
            <w:pPr>
              <w:tabs>
                <w:tab w:val="left" w:pos="9765"/>
              </w:tabs>
              <w:snapToGrid w:val="0"/>
              <w:spacing w:line="360" w:lineRule="auto"/>
              <w:rPr>
                <w:rFonts w:ascii="宋体" w:hAnsi="宋体" w:cs="宋体"/>
                <w:color w:val="auto"/>
                <w:sz w:val="24"/>
              </w:rPr>
            </w:pPr>
            <w:r>
              <w:rPr>
                <w:rFonts w:hint="eastAsia" w:ascii="宋体" w:hAnsi="宋体" w:cs="宋体"/>
                <w:color w:val="auto"/>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4529F497">
            <w:pPr>
              <w:tabs>
                <w:tab w:val="left" w:pos="9765"/>
              </w:tabs>
              <w:snapToGrid w:val="0"/>
              <w:spacing w:line="360" w:lineRule="auto"/>
              <w:rPr>
                <w:rFonts w:ascii="宋体" w:hAnsi="宋体" w:cs="宋体"/>
                <w:color w:val="auto"/>
                <w:sz w:val="24"/>
              </w:rPr>
            </w:pPr>
            <w:r>
              <w:rPr>
                <w:rFonts w:hint="eastAsia" w:ascii="宋体" w:hAnsi="宋体" w:cs="宋体"/>
                <w:color w:val="auto"/>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615AE059">
            <w:pPr>
              <w:tabs>
                <w:tab w:val="left" w:pos="9765"/>
              </w:tabs>
              <w:snapToGrid w:val="0"/>
              <w:spacing w:line="360" w:lineRule="auto"/>
              <w:rPr>
                <w:rFonts w:ascii="宋体" w:hAnsi="宋体" w:cs="宋体"/>
                <w:color w:val="auto"/>
                <w:sz w:val="24"/>
              </w:rPr>
            </w:pPr>
            <w:r>
              <w:rPr>
                <w:rFonts w:hint="eastAsia" w:ascii="宋体" w:hAnsi="宋体" w:cs="宋体"/>
                <w:color w:val="auto"/>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0E5E3C74">
            <w:pPr>
              <w:tabs>
                <w:tab w:val="left" w:pos="9765"/>
              </w:tabs>
              <w:snapToGrid w:val="0"/>
              <w:spacing w:line="360" w:lineRule="auto"/>
              <w:rPr>
                <w:rFonts w:ascii="宋体" w:hAnsi="宋体" w:cs="宋体"/>
                <w:color w:val="auto"/>
                <w:sz w:val="24"/>
              </w:rPr>
            </w:pPr>
            <w:r>
              <w:rPr>
                <w:rFonts w:hint="eastAsia" w:ascii="宋体" w:hAnsi="宋体" w:cs="宋体"/>
                <w:color w:val="auto"/>
                <w:sz w:val="24"/>
              </w:rPr>
              <w:t> </w:t>
            </w:r>
          </w:p>
        </w:tc>
        <w:tc>
          <w:tcPr>
            <w:tcW w:w="1267" w:type="dxa"/>
            <w:tcBorders>
              <w:top w:val="single" w:color="auto" w:sz="4" w:space="0"/>
              <w:left w:val="single" w:color="auto" w:sz="4" w:space="0"/>
              <w:bottom w:val="single" w:color="auto" w:sz="4" w:space="0"/>
              <w:right w:val="single" w:color="auto" w:sz="4" w:space="0"/>
            </w:tcBorders>
            <w:noWrap w:val="0"/>
            <w:vAlign w:val="top"/>
          </w:tcPr>
          <w:p w14:paraId="1873C730">
            <w:pPr>
              <w:tabs>
                <w:tab w:val="left" w:pos="9765"/>
              </w:tabs>
              <w:snapToGrid w:val="0"/>
              <w:spacing w:line="360" w:lineRule="auto"/>
              <w:rPr>
                <w:rFonts w:ascii="宋体" w:hAnsi="宋体" w:cs="宋体"/>
                <w:color w:val="auto"/>
                <w:sz w:val="24"/>
              </w:rPr>
            </w:pPr>
            <w:r>
              <w:rPr>
                <w:rFonts w:hint="eastAsia" w:ascii="宋体" w:hAnsi="宋体" w:cs="宋体"/>
                <w:color w:val="auto"/>
                <w:sz w:val="24"/>
              </w:rPr>
              <w:t> </w:t>
            </w:r>
          </w:p>
        </w:tc>
      </w:tr>
    </w:tbl>
    <w:p w14:paraId="5968CA90">
      <w:pPr>
        <w:tabs>
          <w:tab w:val="left" w:pos="9765"/>
        </w:tabs>
        <w:autoSpaceDE w:val="0"/>
        <w:autoSpaceDN w:val="0"/>
        <w:adjustRightInd w:val="0"/>
        <w:snapToGrid w:val="0"/>
        <w:rPr>
          <w:rFonts w:ascii="宋体" w:hAnsi="宋体" w:cs="宋体"/>
          <w:b/>
          <w:color w:val="auto"/>
          <w:sz w:val="24"/>
          <w:lang w:val="zh-CN"/>
        </w:rPr>
      </w:pPr>
    </w:p>
    <w:p w14:paraId="548464FF">
      <w:pPr>
        <w:pStyle w:val="17"/>
        <w:rPr>
          <w:b/>
          <w:color w:val="auto"/>
        </w:rPr>
      </w:pPr>
      <w:r>
        <w:rPr>
          <w:b/>
          <w:color w:val="auto"/>
        </w:rPr>
        <w:t>注：</w:t>
      </w:r>
    </w:p>
    <w:p w14:paraId="28C5179F">
      <w:pPr>
        <w:pStyle w:val="17"/>
        <w:numPr>
          <w:ilvl w:val="0"/>
          <w:numId w:val="95"/>
        </w:numPr>
        <w:topLinePunct w:val="0"/>
        <w:ind w:left="0" w:leftChars="0" w:firstLine="482" w:firstLineChars="0"/>
        <w:rPr>
          <w:rFonts w:ascii="Times New Roman" w:hAnsi="Times New Roman" w:eastAsia="宋体" w:cs="Times New Roman"/>
          <w:b/>
          <w:color w:val="auto"/>
        </w:rPr>
      </w:pPr>
      <w:r>
        <w:rPr>
          <w:rFonts w:ascii="Times New Roman" w:hAnsi="Times New Roman" w:eastAsia="宋体" w:cs="Times New Roman"/>
          <w:b/>
          <w:color w:val="auto"/>
        </w:rPr>
        <w:t>参加本项目人员均须为投标</w:t>
      </w:r>
      <w:r>
        <w:rPr>
          <w:rFonts w:hint="eastAsia" w:cs="Times New Roman"/>
          <w:b/>
          <w:color w:val="auto"/>
          <w:lang w:eastAsia="zh-CN"/>
        </w:rPr>
        <w:t>（</w:t>
      </w:r>
      <w:r>
        <w:rPr>
          <w:rFonts w:hint="eastAsia" w:cs="Times New Roman"/>
          <w:b/>
          <w:color w:val="auto"/>
          <w:lang w:val="en-US" w:eastAsia="zh-CN"/>
        </w:rPr>
        <w:t>响应</w:t>
      </w:r>
      <w:r>
        <w:rPr>
          <w:rFonts w:hint="eastAsia" w:cs="Times New Roman"/>
          <w:b/>
          <w:color w:val="auto"/>
          <w:lang w:eastAsia="zh-CN"/>
        </w:rPr>
        <w:t>）</w:t>
      </w:r>
      <w:r>
        <w:rPr>
          <w:rFonts w:ascii="Times New Roman" w:hAnsi="Times New Roman" w:eastAsia="宋体" w:cs="Times New Roman"/>
          <w:b/>
          <w:color w:val="auto"/>
        </w:rPr>
        <w:t>人正式职工。</w:t>
      </w:r>
    </w:p>
    <w:p w14:paraId="2695E903">
      <w:pPr>
        <w:pStyle w:val="17"/>
        <w:numPr>
          <w:ilvl w:val="0"/>
          <w:numId w:val="95"/>
        </w:numPr>
        <w:topLinePunct w:val="0"/>
        <w:ind w:left="0" w:leftChars="0" w:firstLine="482" w:firstLineChars="0"/>
        <w:rPr>
          <w:rFonts w:ascii="Times New Roman" w:hAnsi="Times New Roman" w:eastAsia="宋体" w:cs="Times New Roman"/>
          <w:b/>
          <w:color w:val="auto"/>
        </w:rPr>
      </w:pPr>
      <w:r>
        <w:rPr>
          <w:rFonts w:ascii="Times New Roman" w:hAnsi="Times New Roman" w:eastAsia="宋体" w:cs="Times New Roman"/>
          <w:b/>
          <w:color w:val="auto"/>
        </w:rPr>
        <w:t>投标</w:t>
      </w:r>
      <w:r>
        <w:rPr>
          <w:rFonts w:hint="eastAsia" w:cs="Times New Roman"/>
          <w:b/>
          <w:color w:val="auto"/>
          <w:lang w:eastAsia="zh-CN"/>
        </w:rPr>
        <w:t>（</w:t>
      </w:r>
      <w:r>
        <w:rPr>
          <w:rFonts w:hint="eastAsia" w:cs="Times New Roman"/>
          <w:b/>
          <w:color w:val="auto"/>
          <w:lang w:val="en-US" w:eastAsia="zh-CN"/>
        </w:rPr>
        <w:t>响应</w:t>
      </w:r>
      <w:r>
        <w:rPr>
          <w:rFonts w:hint="eastAsia" w:cs="Times New Roman"/>
          <w:b/>
          <w:color w:val="auto"/>
          <w:lang w:eastAsia="zh-CN"/>
        </w:rPr>
        <w:t>）</w:t>
      </w:r>
      <w:r>
        <w:rPr>
          <w:rFonts w:ascii="Times New Roman" w:hAnsi="Times New Roman" w:eastAsia="宋体" w:cs="Times New Roman"/>
          <w:b/>
          <w:color w:val="auto"/>
        </w:rPr>
        <w:t>人应提供上表中所有人员依法缴纳社会保障资金证明复印件：截止开标时间前连续3个月由投标</w:t>
      </w:r>
      <w:r>
        <w:rPr>
          <w:rFonts w:hint="eastAsia" w:cs="Times New Roman"/>
          <w:b/>
          <w:color w:val="auto"/>
          <w:lang w:eastAsia="zh-CN"/>
        </w:rPr>
        <w:t>（</w:t>
      </w:r>
      <w:r>
        <w:rPr>
          <w:rFonts w:hint="eastAsia" w:cs="Times New Roman"/>
          <w:b/>
          <w:color w:val="auto"/>
          <w:lang w:val="en-US" w:eastAsia="zh-CN"/>
        </w:rPr>
        <w:t>响应</w:t>
      </w:r>
      <w:r>
        <w:rPr>
          <w:rFonts w:hint="eastAsia" w:cs="Times New Roman"/>
          <w:b/>
          <w:color w:val="auto"/>
          <w:lang w:eastAsia="zh-CN"/>
        </w:rPr>
        <w:t>）</w:t>
      </w:r>
      <w:r>
        <w:rPr>
          <w:rFonts w:ascii="Times New Roman" w:hAnsi="Times New Roman" w:eastAsia="宋体" w:cs="Times New Roman"/>
          <w:b/>
          <w:color w:val="auto"/>
        </w:rPr>
        <w:t>人为委托代理人缴纳养老保险的证明复印件。</w:t>
      </w:r>
    </w:p>
    <w:p w14:paraId="62091A57">
      <w:pPr>
        <w:snapToGrid w:val="0"/>
        <w:spacing w:line="360" w:lineRule="auto"/>
        <w:rPr>
          <w:rFonts w:ascii="宋体" w:hAnsi="宋体"/>
          <w:color w:val="auto"/>
          <w:sz w:val="24"/>
        </w:rPr>
      </w:pPr>
    </w:p>
    <w:p w14:paraId="425CAB3D">
      <w:pPr>
        <w:autoSpaceDE w:val="0"/>
        <w:autoSpaceDN w:val="0"/>
        <w:adjustRightInd w:val="0"/>
        <w:snapToGrid w:val="0"/>
        <w:spacing w:before="25" w:after="25" w:line="360" w:lineRule="auto"/>
        <w:rPr>
          <w:rFonts w:ascii="Times New Roman" w:hAnsi="Times New Roman" w:eastAsia="宋体" w:cs="Times New Roman"/>
          <w:color w:val="auto"/>
          <w:sz w:val="24"/>
          <w:szCs w:val="24"/>
          <w:lang w:val="zh-CN"/>
        </w:rPr>
      </w:pPr>
      <w:r>
        <w:rPr>
          <w:rFonts w:ascii="Times New Roman" w:hAnsi="Times New Roman" w:eastAsia="宋体" w:cs="Times New Roman"/>
          <w:color w:val="auto"/>
          <w:sz w:val="24"/>
          <w:szCs w:val="24"/>
        </w:rPr>
        <w:t>供应商名称（加盖公章）</w:t>
      </w:r>
      <w:r>
        <w:rPr>
          <w:rFonts w:ascii="Times New Roman" w:hAnsi="Times New Roman" w:eastAsia="宋体" w:cs="Times New Roman"/>
          <w:color w:val="auto"/>
          <w:sz w:val="24"/>
          <w:szCs w:val="24"/>
          <w:lang w:val="zh-CN"/>
        </w:rPr>
        <w:t>：    ____________</w:t>
      </w:r>
    </w:p>
    <w:p w14:paraId="02149E6A">
      <w:pPr>
        <w:autoSpaceDE w:val="0"/>
        <w:autoSpaceDN w:val="0"/>
        <w:adjustRightInd w:val="0"/>
        <w:snapToGrid w:val="0"/>
        <w:spacing w:before="25" w:after="25" w:line="360" w:lineRule="auto"/>
        <w:rPr>
          <w:rFonts w:ascii="Times New Roman" w:hAnsi="Times New Roman" w:eastAsia="宋体" w:cs="Times New Roman"/>
          <w:color w:val="auto"/>
          <w:sz w:val="24"/>
          <w:szCs w:val="24"/>
          <w:lang w:val="zh-CN"/>
        </w:rPr>
      </w:pPr>
      <w:r>
        <w:rPr>
          <w:rFonts w:ascii="Times New Roman" w:hAnsi="Times New Roman" w:eastAsia="宋体" w:cs="Times New Roman"/>
          <w:color w:val="auto"/>
          <w:sz w:val="24"/>
          <w:szCs w:val="24"/>
        </w:rPr>
        <w:t xml:space="preserve">日期：_____年______月______日   </w:t>
      </w:r>
    </w:p>
    <w:p w14:paraId="340A9AC6">
      <w:pPr>
        <w:rPr>
          <w:rFonts w:hint="eastAsia"/>
          <w:color w:val="auto"/>
          <w:kern w:val="0"/>
          <w:sz w:val="22"/>
        </w:rPr>
      </w:pPr>
      <w:r>
        <w:rPr>
          <w:color w:val="auto"/>
          <w:kern w:val="0"/>
          <w:sz w:val="22"/>
        </w:rPr>
        <w:br w:type="page"/>
      </w:r>
      <w:bookmarkStart w:id="658" w:name="_Toc288738839"/>
      <w:bookmarkStart w:id="659" w:name="_Toc288738397"/>
    </w:p>
    <w:p w14:paraId="4AA3D75C">
      <w:pPr>
        <w:pStyle w:val="3"/>
        <w:numPr>
          <w:ilvl w:val="0"/>
          <w:numId w:val="92"/>
        </w:numPr>
        <w:ind w:left="0" w:leftChars="0" w:firstLine="0" w:firstLineChars="0"/>
        <w:rPr>
          <w:b w:val="0"/>
          <w:color w:val="auto"/>
        </w:rPr>
      </w:pPr>
      <w:r>
        <w:rPr>
          <w:color w:val="auto"/>
        </w:rPr>
        <w:t>相关业绩案例一览表</w:t>
      </w:r>
    </w:p>
    <w:p w14:paraId="06B43B93">
      <w:pPr>
        <w:rPr>
          <w:color w:val="auto"/>
          <w:sz w:val="24"/>
          <w:szCs w:val="20"/>
        </w:rPr>
      </w:pPr>
    </w:p>
    <w:p w14:paraId="28960BC4">
      <w:pPr>
        <w:pStyle w:val="265"/>
        <w:rPr>
          <w:color w:val="auto"/>
        </w:rPr>
      </w:pPr>
      <w:r>
        <w:rPr>
          <w:color w:val="auto"/>
        </w:rPr>
        <w:t>相关业绩案例一览表</w:t>
      </w:r>
      <w:bookmarkEnd w:id="658"/>
      <w:bookmarkEnd w:id="659"/>
    </w:p>
    <w:p w14:paraId="4A07F798">
      <w:pPr>
        <w:snapToGrid w:val="0"/>
        <w:spacing w:line="360" w:lineRule="auto"/>
        <w:jc w:val="center"/>
        <w:rPr>
          <w:rFonts w:ascii="宋体" w:hAnsi="宋体"/>
          <w:b/>
          <w:color w:val="auto"/>
          <w:sz w:val="28"/>
          <w:szCs w:val="30"/>
        </w:rPr>
      </w:pPr>
    </w:p>
    <w:p w14:paraId="3587CE9F">
      <w:pPr>
        <w:pStyle w:val="17"/>
        <w:rPr>
          <w:color w:val="auto"/>
        </w:rPr>
      </w:pPr>
      <w:r>
        <w:rPr>
          <w:color w:val="auto"/>
        </w:rPr>
        <w:t>项目编号：</w:t>
      </w:r>
      <w:r>
        <w:rPr>
          <w:color w:val="auto"/>
          <w:u w:val="single"/>
        </w:rPr>
        <w:t xml:space="preserve">                   </w:t>
      </w:r>
    </w:p>
    <w:tbl>
      <w:tblPr>
        <w:tblStyle w:val="43"/>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57E13EAF">
        <w:tblPrEx>
          <w:tblCellMar>
            <w:top w:w="0" w:type="dxa"/>
            <w:left w:w="108" w:type="dxa"/>
            <w:bottom w:w="0" w:type="dxa"/>
            <w:right w:w="108" w:type="dxa"/>
          </w:tblCellMar>
        </w:tblPrEx>
        <w:trPr>
          <w:trHeight w:val="498" w:hRule="atLeast"/>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676F4A65">
            <w:pPr>
              <w:tabs>
                <w:tab w:val="left" w:pos="9765"/>
              </w:tabs>
              <w:autoSpaceDE w:val="0"/>
              <w:autoSpaceDN w:val="0"/>
              <w:adjustRightInd w:val="0"/>
              <w:snapToGrid w:val="0"/>
              <w:spacing w:line="360" w:lineRule="auto"/>
              <w:jc w:val="center"/>
              <w:rPr>
                <w:rFonts w:ascii="宋体" w:hAnsi="宋体" w:cs="宋体"/>
                <w:color w:val="auto"/>
                <w:sz w:val="24"/>
                <w:lang w:val="zh-CN"/>
              </w:rPr>
            </w:pPr>
            <w:r>
              <w:rPr>
                <w:rFonts w:hint="eastAsia" w:ascii="宋体" w:hAnsi="宋体" w:cs="宋体"/>
                <w:color w:val="auto"/>
                <w:sz w:val="24"/>
                <w:lang w:val="zh-CN"/>
              </w:rPr>
              <w:t>项目时间</w:t>
            </w:r>
          </w:p>
        </w:tc>
        <w:tc>
          <w:tcPr>
            <w:tcW w:w="1681" w:type="dxa"/>
            <w:tcBorders>
              <w:top w:val="single" w:color="auto" w:sz="6" w:space="0"/>
              <w:left w:val="single" w:color="auto" w:sz="6" w:space="0"/>
              <w:bottom w:val="single" w:color="auto" w:sz="6" w:space="0"/>
              <w:right w:val="single" w:color="auto" w:sz="6" w:space="0"/>
            </w:tcBorders>
            <w:noWrap w:val="0"/>
            <w:vAlign w:val="center"/>
          </w:tcPr>
          <w:p w14:paraId="10666764">
            <w:pPr>
              <w:tabs>
                <w:tab w:val="left" w:pos="9765"/>
              </w:tabs>
              <w:autoSpaceDE w:val="0"/>
              <w:autoSpaceDN w:val="0"/>
              <w:adjustRightInd w:val="0"/>
              <w:snapToGrid w:val="0"/>
              <w:spacing w:line="360" w:lineRule="auto"/>
              <w:jc w:val="center"/>
              <w:rPr>
                <w:rFonts w:ascii="宋体" w:hAnsi="宋体" w:cs="宋体"/>
                <w:color w:val="auto"/>
                <w:sz w:val="24"/>
                <w:lang w:val="zh-CN"/>
              </w:rPr>
            </w:pPr>
            <w:r>
              <w:rPr>
                <w:rFonts w:hint="eastAsia" w:ascii="宋体" w:hAnsi="宋体" w:cs="宋体"/>
                <w:color w:val="auto"/>
                <w:sz w:val="24"/>
                <w:lang w:val="zh-CN"/>
              </w:rPr>
              <w:t>项目甲方单位</w:t>
            </w:r>
          </w:p>
        </w:tc>
        <w:tc>
          <w:tcPr>
            <w:tcW w:w="1521" w:type="dxa"/>
            <w:tcBorders>
              <w:top w:val="single" w:color="auto" w:sz="6" w:space="0"/>
              <w:left w:val="single" w:color="auto" w:sz="6" w:space="0"/>
              <w:bottom w:val="single" w:color="auto" w:sz="6" w:space="0"/>
              <w:right w:val="single" w:color="auto" w:sz="6" w:space="0"/>
            </w:tcBorders>
            <w:noWrap w:val="0"/>
            <w:vAlign w:val="center"/>
          </w:tcPr>
          <w:p w14:paraId="055F723A">
            <w:pPr>
              <w:tabs>
                <w:tab w:val="left" w:pos="9765"/>
              </w:tabs>
              <w:autoSpaceDE w:val="0"/>
              <w:autoSpaceDN w:val="0"/>
              <w:adjustRightInd w:val="0"/>
              <w:snapToGrid w:val="0"/>
              <w:spacing w:line="360" w:lineRule="auto"/>
              <w:jc w:val="center"/>
              <w:rPr>
                <w:rFonts w:ascii="宋体" w:hAnsi="宋体" w:cs="宋体"/>
                <w:color w:val="auto"/>
                <w:sz w:val="24"/>
                <w:lang w:val="zh-CN"/>
              </w:rPr>
            </w:pPr>
            <w:r>
              <w:rPr>
                <w:rFonts w:hint="eastAsia" w:ascii="宋体" w:hAnsi="宋体" w:cs="宋体"/>
                <w:color w:val="auto"/>
                <w:sz w:val="24"/>
                <w:lang w:val="zh-CN"/>
              </w:rPr>
              <w:t>项目名称</w:t>
            </w:r>
          </w:p>
        </w:tc>
        <w:tc>
          <w:tcPr>
            <w:tcW w:w="1198" w:type="dxa"/>
            <w:tcBorders>
              <w:top w:val="single" w:color="auto" w:sz="6" w:space="0"/>
              <w:left w:val="single" w:color="auto" w:sz="6" w:space="0"/>
              <w:bottom w:val="single" w:color="auto" w:sz="6" w:space="0"/>
              <w:right w:val="single" w:color="auto" w:sz="6" w:space="0"/>
            </w:tcBorders>
            <w:noWrap w:val="0"/>
            <w:vAlign w:val="center"/>
          </w:tcPr>
          <w:p w14:paraId="40A92BD9">
            <w:pPr>
              <w:tabs>
                <w:tab w:val="left" w:pos="9765"/>
              </w:tabs>
              <w:autoSpaceDE w:val="0"/>
              <w:autoSpaceDN w:val="0"/>
              <w:adjustRightInd w:val="0"/>
              <w:snapToGrid w:val="0"/>
              <w:spacing w:line="360" w:lineRule="auto"/>
              <w:jc w:val="center"/>
              <w:rPr>
                <w:rFonts w:ascii="宋体" w:hAnsi="宋体" w:cs="宋体"/>
                <w:color w:val="auto"/>
                <w:sz w:val="24"/>
                <w:lang w:val="zh-CN"/>
              </w:rPr>
            </w:pPr>
            <w:r>
              <w:rPr>
                <w:rFonts w:hint="eastAsia" w:ascii="宋体" w:hAnsi="宋体" w:cs="宋体"/>
                <w:color w:val="auto"/>
                <w:sz w:val="24"/>
                <w:lang w:val="zh-CN"/>
              </w:rPr>
              <w:t>合同金额</w:t>
            </w:r>
          </w:p>
        </w:tc>
        <w:tc>
          <w:tcPr>
            <w:tcW w:w="1730" w:type="dxa"/>
            <w:tcBorders>
              <w:top w:val="single" w:color="auto" w:sz="6" w:space="0"/>
              <w:left w:val="single" w:color="auto" w:sz="6" w:space="0"/>
              <w:bottom w:val="single" w:color="auto" w:sz="6" w:space="0"/>
              <w:right w:val="single" w:color="auto" w:sz="6" w:space="0"/>
            </w:tcBorders>
            <w:noWrap w:val="0"/>
            <w:vAlign w:val="center"/>
          </w:tcPr>
          <w:p w14:paraId="0297466C">
            <w:pPr>
              <w:tabs>
                <w:tab w:val="left" w:pos="9765"/>
              </w:tabs>
              <w:autoSpaceDE w:val="0"/>
              <w:autoSpaceDN w:val="0"/>
              <w:adjustRightInd w:val="0"/>
              <w:snapToGrid w:val="0"/>
              <w:spacing w:line="360" w:lineRule="auto"/>
              <w:jc w:val="center"/>
              <w:rPr>
                <w:rFonts w:ascii="宋体" w:hAnsi="宋体" w:cs="宋体"/>
                <w:color w:val="auto"/>
                <w:sz w:val="24"/>
                <w:lang w:val="zh-CN"/>
              </w:rPr>
            </w:pPr>
            <w:r>
              <w:rPr>
                <w:rFonts w:hint="eastAsia" w:ascii="宋体" w:hAnsi="宋体" w:cs="宋体"/>
                <w:color w:val="auto"/>
                <w:sz w:val="24"/>
                <w:lang w:val="zh-CN"/>
              </w:rPr>
              <w:t>单位地址</w:t>
            </w:r>
          </w:p>
        </w:tc>
        <w:tc>
          <w:tcPr>
            <w:tcW w:w="1597" w:type="dxa"/>
            <w:tcBorders>
              <w:top w:val="single" w:color="auto" w:sz="6" w:space="0"/>
              <w:left w:val="single" w:color="auto" w:sz="6" w:space="0"/>
              <w:bottom w:val="single" w:color="auto" w:sz="6" w:space="0"/>
              <w:right w:val="single" w:color="auto" w:sz="6" w:space="0"/>
            </w:tcBorders>
            <w:noWrap w:val="0"/>
            <w:vAlign w:val="center"/>
          </w:tcPr>
          <w:p w14:paraId="461BFC8E">
            <w:pPr>
              <w:tabs>
                <w:tab w:val="left" w:pos="9765"/>
              </w:tabs>
              <w:autoSpaceDE w:val="0"/>
              <w:autoSpaceDN w:val="0"/>
              <w:adjustRightInd w:val="0"/>
              <w:snapToGrid w:val="0"/>
              <w:spacing w:line="360" w:lineRule="auto"/>
              <w:jc w:val="center"/>
              <w:rPr>
                <w:rFonts w:ascii="宋体" w:hAnsi="宋体" w:cs="宋体"/>
                <w:color w:val="auto"/>
                <w:sz w:val="24"/>
                <w:lang w:val="zh-CN"/>
              </w:rPr>
            </w:pPr>
            <w:r>
              <w:rPr>
                <w:rFonts w:hint="eastAsia" w:ascii="宋体" w:hAnsi="宋体" w:cs="宋体"/>
                <w:color w:val="auto"/>
                <w:sz w:val="24"/>
                <w:lang w:val="zh-CN"/>
              </w:rPr>
              <w:t>联系电话</w:t>
            </w:r>
          </w:p>
        </w:tc>
      </w:tr>
      <w:tr w14:paraId="3FE7F0A4">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468F9040">
            <w:pPr>
              <w:tabs>
                <w:tab w:val="left" w:pos="9765"/>
              </w:tabs>
              <w:autoSpaceDE w:val="0"/>
              <w:autoSpaceDN w:val="0"/>
              <w:adjustRightInd w:val="0"/>
              <w:snapToGrid w:val="0"/>
              <w:spacing w:line="360" w:lineRule="auto"/>
              <w:jc w:val="center"/>
              <w:rPr>
                <w:rFonts w:ascii="宋体" w:hAnsi="宋体" w:cs="宋体"/>
                <w:color w:val="auto"/>
                <w:sz w:val="24"/>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645F9155">
            <w:pPr>
              <w:tabs>
                <w:tab w:val="left" w:pos="9765"/>
              </w:tabs>
              <w:autoSpaceDE w:val="0"/>
              <w:autoSpaceDN w:val="0"/>
              <w:adjustRightInd w:val="0"/>
              <w:snapToGrid w:val="0"/>
              <w:spacing w:line="360" w:lineRule="auto"/>
              <w:jc w:val="center"/>
              <w:rPr>
                <w:rFonts w:ascii="宋体" w:hAnsi="宋体" w:cs="宋体"/>
                <w:color w:val="auto"/>
                <w:sz w:val="24"/>
              </w:rPr>
            </w:pPr>
          </w:p>
        </w:tc>
        <w:tc>
          <w:tcPr>
            <w:tcW w:w="1521" w:type="dxa"/>
            <w:tcBorders>
              <w:top w:val="single" w:color="auto" w:sz="6" w:space="0"/>
              <w:left w:val="single" w:color="auto" w:sz="6" w:space="0"/>
              <w:bottom w:val="single" w:color="auto" w:sz="6" w:space="0"/>
              <w:right w:val="single" w:color="auto" w:sz="6" w:space="0"/>
            </w:tcBorders>
            <w:noWrap w:val="0"/>
            <w:vAlign w:val="center"/>
          </w:tcPr>
          <w:p w14:paraId="3AD381A1">
            <w:pPr>
              <w:tabs>
                <w:tab w:val="left" w:pos="9765"/>
              </w:tabs>
              <w:autoSpaceDE w:val="0"/>
              <w:autoSpaceDN w:val="0"/>
              <w:adjustRightInd w:val="0"/>
              <w:snapToGrid w:val="0"/>
              <w:spacing w:line="360" w:lineRule="auto"/>
              <w:jc w:val="center"/>
              <w:rPr>
                <w:rFonts w:ascii="宋体" w:hAnsi="宋体" w:cs="宋体"/>
                <w:color w:val="auto"/>
                <w:sz w:val="24"/>
              </w:rPr>
            </w:pPr>
          </w:p>
        </w:tc>
        <w:tc>
          <w:tcPr>
            <w:tcW w:w="1198" w:type="dxa"/>
            <w:tcBorders>
              <w:top w:val="single" w:color="auto" w:sz="6" w:space="0"/>
              <w:left w:val="single" w:color="auto" w:sz="6" w:space="0"/>
              <w:bottom w:val="single" w:color="auto" w:sz="6" w:space="0"/>
              <w:right w:val="single" w:color="auto" w:sz="6" w:space="0"/>
            </w:tcBorders>
            <w:noWrap w:val="0"/>
            <w:vAlign w:val="center"/>
          </w:tcPr>
          <w:p w14:paraId="1C17DFF2">
            <w:pPr>
              <w:tabs>
                <w:tab w:val="left" w:pos="9765"/>
              </w:tabs>
              <w:autoSpaceDE w:val="0"/>
              <w:autoSpaceDN w:val="0"/>
              <w:adjustRightInd w:val="0"/>
              <w:snapToGrid w:val="0"/>
              <w:spacing w:line="360" w:lineRule="auto"/>
              <w:jc w:val="center"/>
              <w:rPr>
                <w:rFonts w:ascii="宋体" w:hAnsi="宋体" w:cs="宋体"/>
                <w:color w:val="auto"/>
                <w:sz w:val="24"/>
              </w:rPr>
            </w:pPr>
          </w:p>
        </w:tc>
        <w:tc>
          <w:tcPr>
            <w:tcW w:w="1730" w:type="dxa"/>
            <w:tcBorders>
              <w:top w:val="single" w:color="auto" w:sz="6" w:space="0"/>
              <w:left w:val="single" w:color="auto" w:sz="6" w:space="0"/>
              <w:bottom w:val="single" w:color="auto" w:sz="6" w:space="0"/>
              <w:right w:val="single" w:color="auto" w:sz="6" w:space="0"/>
            </w:tcBorders>
            <w:noWrap w:val="0"/>
            <w:vAlign w:val="center"/>
          </w:tcPr>
          <w:p w14:paraId="688B49B6">
            <w:pPr>
              <w:tabs>
                <w:tab w:val="left" w:pos="9765"/>
              </w:tabs>
              <w:autoSpaceDE w:val="0"/>
              <w:autoSpaceDN w:val="0"/>
              <w:adjustRightInd w:val="0"/>
              <w:snapToGrid w:val="0"/>
              <w:spacing w:line="360" w:lineRule="auto"/>
              <w:ind w:hanging="523"/>
              <w:jc w:val="center"/>
              <w:rPr>
                <w:rFonts w:ascii="宋体" w:hAnsi="宋体" w:cs="宋体"/>
                <w:color w:val="auto"/>
                <w:sz w:val="24"/>
              </w:rPr>
            </w:pPr>
          </w:p>
        </w:tc>
        <w:tc>
          <w:tcPr>
            <w:tcW w:w="1597" w:type="dxa"/>
            <w:tcBorders>
              <w:top w:val="single" w:color="auto" w:sz="6" w:space="0"/>
              <w:left w:val="single" w:color="auto" w:sz="6" w:space="0"/>
              <w:bottom w:val="single" w:color="auto" w:sz="6" w:space="0"/>
              <w:right w:val="single" w:color="auto" w:sz="6" w:space="0"/>
            </w:tcBorders>
            <w:noWrap w:val="0"/>
            <w:vAlign w:val="center"/>
          </w:tcPr>
          <w:p w14:paraId="783DDD16">
            <w:pPr>
              <w:tabs>
                <w:tab w:val="left" w:pos="9765"/>
              </w:tabs>
              <w:autoSpaceDE w:val="0"/>
              <w:autoSpaceDN w:val="0"/>
              <w:adjustRightInd w:val="0"/>
              <w:snapToGrid w:val="0"/>
              <w:spacing w:line="360" w:lineRule="auto"/>
              <w:ind w:hanging="523"/>
              <w:jc w:val="center"/>
              <w:rPr>
                <w:rFonts w:ascii="宋体" w:hAnsi="宋体" w:cs="宋体"/>
                <w:color w:val="auto"/>
                <w:sz w:val="24"/>
              </w:rPr>
            </w:pPr>
          </w:p>
        </w:tc>
      </w:tr>
      <w:tr w14:paraId="7C5BC7BD">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6B2223EE">
            <w:pPr>
              <w:tabs>
                <w:tab w:val="left" w:pos="9765"/>
              </w:tabs>
              <w:autoSpaceDE w:val="0"/>
              <w:autoSpaceDN w:val="0"/>
              <w:adjustRightInd w:val="0"/>
              <w:snapToGrid w:val="0"/>
              <w:spacing w:line="360" w:lineRule="auto"/>
              <w:rPr>
                <w:rFonts w:ascii="宋体" w:hAnsi="宋体" w:cs="宋体"/>
                <w:color w:val="auto"/>
                <w:sz w:val="24"/>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03DC5718">
            <w:pPr>
              <w:tabs>
                <w:tab w:val="left" w:pos="9765"/>
              </w:tabs>
              <w:autoSpaceDE w:val="0"/>
              <w:autoSpaceDN w:val="0"/>
              <w:adjustRightInd w:val="0"/>
              <w:snapToGrid w:val="0"/>
              <w:spacing w:line="360" w:lineRule="auto"/>
              <w:rPr>
                <w:rFonts w:ascii="宋体" w:hAnsi="宋体" w:cs="宋体"/>
                <w:color w:val="auto"/>
                <w:sz w:val="24"/>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4B01E900">
            <w:pPr>
              <w:tabs>
                <w:tab w:val="left" w:pos="9765"/>
              </w:tabs>
              <w:autoSpaceDE w:val="0"/>
              <w:autoSpaceDN w:val="0"/>
              <w:adjustRightInd w:val="0"/>
              <w:snapToGrid w:val="0"/>
              <w:spacing w:line="360" w:lineRule="auto"/>
              <w:rPr>
                <w:rFonts w:ascii="宋体" w:hAnsi="宋体" w:cs="宋体"/>
                <w:color w:val="auto"/>
                <w:sz w:val="24"/>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3257EE82">
            <w:pPr>
              <w:tabs>
                <w:tab w:val="left" w:pos="9765"/>
              </w:tabs>
              <w:autoSpaceDE w:val="0"/>
              <w:autoSpaceDN w:val="0"/>
              <w:adjustRightInd w:val="0"/>
              <w:snapToGrid w:val="0"/>
              <w:spacing w:line="360" w:lineRule="auto"/>
              <w:rPr>
                <w:rFonts w:ascii="宋体" w:hAnsi="宋体" w:cs="宋体"/>
                <w:color w:val="auto"/>
                <w:sz w:val="24"/>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0C70533B">
            <w:pPr>
              <w:tabs>
                <w:tab w:val="left" w:pos="9765"/>
              </w:tabs>
              <w:autoSpaceDE w:val="0"/>
              <w:autoSpaceDN w:val="0"/>
              <w:adjustRightInd w:val="0"/>
              <w:snapToGrid w:val="0"/>
              <w:spacing w:line="360" w:lineRule="auto"/>
              <w:rPr>
                <w:rFonts w:ascii="宋体" w:hAnsi="宋体" w:cs="宋体"/>
                <w:color w:val="auto"/>
                <w:sz w:val="24"/>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4692A2DE">
            <w:pPr>
              <w:tabs>
                <w:tab w:val="left" w:pos="9765"/>
              </w:tabs>
              <w:autoSpaceDE w:val="0"/>
              <w:autoSpaceDN w:val="0"/>
              <w:adjustRightInd w:val="0"/>
              <w:snapToGrid w:val="0"/>
              <w:spacing w:line="360" w:lineRule="auto"/>
              <w:rPr>
                <w:rFonts w:ascii="宋体" w:hAnsi="宋体" w:cs="宋体"/>
                <w:color w:val="auto"/>
                <w:sz w:val="24"/>
              </w:rPr>
            </w:pPr>
          </w:p>
        </w:tc>
      </w:tr>
      <w:tr w14:paraId="7BC69983">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5AFFD747">
            <w:pPr>
              <w:tabs>
                <w:tab w:val="left" w:pos="9765"/>
              </w:tabs>
              <w:autoSpaceDE w:val="0"/>
              <w:autoSpaceDN w:val="0"/>
              <w:adjustRightInd w:val="0"/>
              <w:snapToGrid w:val="0"/>
              <w:spacing w:line="360" w:lineRule="auto"/>
              <w:rPr>
                <w:rFonts w:ascii="宋体" w:hAnsi="宋体" w:cs="宋体"/>
                <w:color w:val="auto"/>
                <w:sz w:val="24"/>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073F677A">
            <w:pPr>
              <w:tabs>
                <w:tab w:val="left" w:pos="9765"/>
              </w:tabs>
              <w:autoSpaceDE w:val="0"/>
              <w:autoSpaceDN w:val="0"/>
              <w:adjustRightInd w:val="0"/>
              <w:snapToGrid w:val="0"/>
              <w:spacing w:line="360" w:lineRule="auto"/>
              <w:rPr>
                <w:rFonts w:ascii="宋体" w:hAnsi="宋体" w:cs="宋体"/>
                <w:color w:val="auto"/>
                <w:sz w:val="24"/>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36C9D0D2">
            <w:pPr>
              <w:tabs>
                <w:tab w:val="left" w:pos="9765"/>
              </w:tabs>
              <w:autoSpaceDE w:val="0"/>
              <w:autoSpaceDN w:val="0"/>
              <w:adjustRightInd w:val="0"/>
              <w:snapToGrid w:val="0"/>
              <w:spacing w:line="360" w:lineRule="auto"/>
              <w:rPr>
                <w:rFonts w:ascii="宋体" w:hAnsi="宋体" w:cs="宋体"/>
                <w:color w:val="auto"/>
                <w:sz w:val="24"/>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6309BB5A">
            <w:pPr>
              <w:tabs>
                <w:tab w:val="left" w:pos="9765"/>
              </w:tabs>
              <w:autoSpaceDE w:val="0"/>
              <w:autoSpaceDN w:val="0"/>
              <w:adjustRightInd w:val="0"/>
              <w:snapToGrid w:val="0"/>
              <w:spacing w:line="360" w:lineRule="auto"/>
              <w:rPr>
                <w:rFonts w:ascii="宋体" w:hAnsi="宋体" w:cs="宋体"/>
                <w:color w:val="auto"/>
                <w:sz w:val="24"/>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1CC0993E">
            <w:pPr>
              <w:tabs>
                <w:tab w:val="left" w:pos="9765"/>
              </w:tabs>
              <w:autoSpaceDE w:val="0"/>
              <w:autoSpaceDN w:val="0"/>
              <w:adjustRightInd w:val="0"/>
              <w:snapToGrid w:val="0"/>
              <w:spacing w:line="360" w:lineRule="auto"/>
              <w:rPr>
                <w:rFonts w:ascii="宋体" w:hAnsi="宋体" w:cs="宋体"/>
                <w:color w:val="auto"/>
                <w:sz w:val="24"/>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25D75611">
            <w:pPr>
              <w:tabs>
                <w:tab w:val="left" w:pos="9765"/>
              </w:tabs>
              <w:autoSpaceDE w:val="0"/>
              <w:autoSpaceDN w:val="0"/>
              <w:adjustRightInd w:val="0"/>
              <w:snapToGrid w:val="0"/>
              <w:spacing w:line="360" w:lineRule="auto"/>
              <w:rPr>
                <w:rFonts w:ascii="宋体" w:hAnsi="宋体" w:cs="宋体"/>
                <w:color w:val="auto"/>
                <w:sz w:val="24"/>
              </w:rPr>
            </w:pPr>
          </w:p>
        </w:tc>
      </w:tr>
      <w:tr w14:paraId="326261C1">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26FB7E29">
            <w:pPr>
              <w:tabs>
                <w:tab w:val="left" w:pos="9765"/>
              </w:tabs>
              <w:autoSpaceDE w:val="0"/>
              <w:autoSpaceDN w:val="0"/>
              <w:adjustRightInd w:val="0"/>
              <w:snapToGrid w:val="0"/>
              <w:spacing w:line="360" w:lineRule="auto"/>
              <w:rPr>
                <w:rFonts w:ascii="宋体" w:hAnsi="宋体" w:cs="宋体"/>
                <w:color w:val="auto"/>
                <w:sz w:val="24"/>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3DBBECCD">
            <w:pPr>
              <w:tabs>
                <w:tab w:val="left" w:pos="9765"/>
              </w:tabs>
              <w:autoSpaceDE w:val="0"/>
              <w:autoSpaceDN w:val="0"/>
              <w:adjustRightInd w:val="0"/>
              <w:snapToGrid w:val="0"/>
              <w:spacing w:line="360" w:lineRule="auto"/>
              <w:rPr>
                <w:rFonts w:ascii="宋体" w:hAnsi="宋体" w:cs="宋体"/>
                <w:color w:val="auto"/>
                <w:sz w:val="24"/>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3D41326B">
            <w:pPr>
              <w:tabs>
                <w:tab w:val="left" w:pos="9765"/>
              </w:tabs>
              <w:autoSpaceDE w:val="0"/>
              <w:autoSpaceDN w:val="0"/>
              <w:adjustRightInd w:val="0"/>
              <w:snapToGrid w:val="0"/>
              <w:spacing w:line="360" w:lineRule="auto"/>
              <w:rPr>
                <w:rFonts w:ascii="宋体" w:hAnsi="宋体" w:cs="宋体"/>
                <w:color w:val="auto"/>
                <w:sz w:val="24"/>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293025AE">
            <w:pPr>
              <w:tabs>
                <w:tab w:val="left" w:pos="9765"/>
              </w:tabs>
              <w:autoSpaceDE w:val="0"/>
              <w:autoSpaceDN w:val="0"/>
              <w:adjustRightInd w:val="0"/>
              <w:snapToGrid w:val="0"/>
              <w:spacing w:line="360" w:lineRule="auto"/>
              <w:rPr>
                <w:rFonts w:ascii="宋体" w:hAnsi="宋体" w:cs="宋体"/>
                <w:color w:val="auto"/>
                <w:sz w:val="24"/>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330F48D1">
            <w:pPr>
              <w:tabs>
                <w:tab w:val="left" w:pos="9765"/>
              </w:tabs>
              <w:autoSpaceDE w:val="0"/>
              <w:autoSpaceDN w:val="0"/>
              <w:adjustRightInd w:val="0"/>
              <w:snapToGrid w:val="0"/>
              <w:spacing w:line="360" w:lineRule="auto"/>
              <w:rPr>
                <w:rFonts w:ascii="宋体" w:hAnsi="宋体" w:cs="宋体"/>
                <w:color w:val="auto"/>
                <w:sz w:val="24"/>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1F4F7161">
            <w:pPr>
              <w:tabs>
                <w:tab w:val="left" w:pos="9765"/>
              </w:tabs>
              <w:autoSpaceDE w:val="0"/>
              <w:autoSpaceDN w:val="0"/>
              <w:adjustRightInd w:val="0"/>
              <w:snapToGrid w:val="0"/>
              <w:spacing w:line="360" w:lineRule="auto"/>
              <w:rPr>
                <w:rFonts w:ascii="宋体" w:hAnsi="宋体" w:cs="宋体"/>
                <w:color w:val="auto"/>
                <w:sz w:val="24"/>
              </w:rPr>
            </w:pPr>
          </w:p>
        </w:tc>
      </w:tr>
      <w:tr w14:paraId="2F6CF82F">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0C979620">
            <w:pPr>
              <w:tabs>
                <w:tab w:val="left" w:pos="9765"/>
              </w:tabs>
              <w:autoSpaceDE w:val="0"/>
              <w:autoSpaceDN w:val="0"/>
              <w:adjustRightInd w:val="0"/>
              <w:snapToGrid w:val="0"/>
              <w:spacing w:line="360" w:lineRule="auto"/>
              <w:rPr>
                <w:rFonts w:ascii="宋体" w:hAnsi="宋体" w:cs="宋体"/>
                <w:color w:val="auto"/>
                <w:sz w:val="24"/>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641980B2">
            <w:pPr>
              <w:tabs>
                <w:tab w:val="left" w:pos="9765"/>
              </w:tabs>
              <w:autoSpaceDE w:val="0"/>
              <w:autoSpaceDN w:val="0"/>
              <w:adjustRightInd w:val="0"/>
              <w:snapToGrid w:val="0"/>
              <w:spacing w:line="360" w:lineRule="auto"/>
              <w:rPr>
                <w:rFonts w:ascii="宋体" w:hAnsi="宋体" w:cs="宋体"/>
                <w:color w:val="auto"/>
                <w:sz w:val="24"/>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51B9CF16">
            <w:pPr>
              <w:tabs>
                <w:tab w:val="left" w:pos="9765"/>
              </w:tabs>
              <w:autoSpaceDE w:val="0"/>
              <w:autoSpaceDN w:val="0"/>
              <w:adjustRightInd w:val="0"/>
              <w:snapToGrid w:val="0"/>
              <w:spacing w:line="360" w:lineRule="auto"/>
              <w:rPr>
                <w:rFonts w:ascii="宋体" w:hAnsi="宋体" w:cs="宋体"/>
                <w:color w:val="auto"/>
                <w:sz w:val="24"/>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2BF4FAA4">
            <w:pPr>
              <w:tabs>
                <w:tab w:val="left" w:pos="9765"/>
              </w:tabs>
              <w:autoSpaceDE w:val="0"/>
              <w:autoSpaceDN w:val="0"/>
              <w:adjustRightInd w:val="0"/>
              <w:snapToGrid w:val="0"/>
              <w:spacing w:line="360" w:lineRule="auto"/>
              <w:rPr>
                <w:rFonts w:ascii="宋体" w:hAnsi="宋体" w:cs="宋体"/>
                <w:color w:val="auto"/>
                <w:sz w:val="24"/>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0107AAB6">
            <w:pPr>
              <w:tabs>
                <w:tab w:val="left" w:pos="9765"/>
              </w:tabs>
              <w:autoSpaceDE w:val="0"/>
              <w:autoSpaceDN w:val="0"/>
              <w:adjustRightInd w:val="0"/>
              <w:snapToGrid w:val="0"/>
              <w:spacing w:line="360" w:lineRule="auto"/>
              <w:rPr>
                <w:rFonts w:ascii="宋体" w:hAnsi="宋体" w:cs="宋体"/>
                <w:color w:val="auto"/>
                <w:sz w:val="24"/>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442C7883">
            <w:pPr>
              <w:tabs>
                <w:tab w:val="left" w:pos="9765"/>
              </w:tabs>
              <w:autoSpaceDE w:val="0"/>
              <w:autoSpaceDN w:val="0"/>
              <w:adjustRightInd w:val="0"/>
              <w:snapToGrid w:val="0"/>
              <w:spacing w:line="360" w:lineRule="auto"/>
              <w:rPr>
                <w:rFonts w:ascii="宋体" w:hAnsi="宋体" w:cs="宋体"/>
                <w:color w:val="auto"/>
                <w:sz w:val="24"/>
              </w:rPr>
            </w:pPr>
          </w:p>
        </w:tc>
      </w:tr>
      <w:tr w14:paraId="46A4E3AB">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0AAD8D82">
            <w:pPr>
              <w:tabs>
                <w:tab w:val="left" w:pos="9765"/>
              </w:tabs>
              <w:autoSpaceDE w:val="0"/>
              <w:autoSpaceDN w:val="0"/>
              <w:adjustRightInd w:val="0"/>
              <w:snapToGrid w:val="0"/>
              <w:spacing w:line="360" w:lineRule="auto"/>
              <w:rPr>
                <w:rFonts w:ascii="宋体" w:hAnsi="宋体" w:cs="宋体"/>
                <w:color w:val="auto"/>
                <w:sz w:val="24"/>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0AA20C4B">
            <w:pPr>
              <w:tabs>
                <w:tab w:val="left" w:pos="9765"/>
              </w:tabs>
              <w:autoSpaceDE w:val="0"/>
              <w:autoSpaceDN w:val="0"/>
              <w:adjustRightInd w:val="0"/>
              <w:snapToGrid w:val="0"/>
              <w:spacing w:line="360" w:lineRule="auto"/>
              <w:rPr>
                <w:rFonts w:ascii="宋体" w:hAnsi="宋体" w:cs="宋体"/>
                <w:color w:val="auto"/>
                <w:sz w:val="24"/>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67C10B9A">
            <w:pPr>
              <w:tabs>
                <w:tab w:val="left" w:pos="9765"/>
              </w:tabs>
              <w:autoSpaceDE w:val="0"/>
              <w:autoSpaceDN w:val="0"/>
              <w:adjustRightInd w:val="0"/>
              <w:snapToGrid w:val="0"/>
              <w:spacing w:line="360" w:lineRule="auto"/>
              <w:rPr>
                <w:rFonts w:ascii="宋体" w:hAnsi="宋体" w:cs="宋体"/>
                <w:color w:val="auto"/>
                <w:sz w:val="24"/>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69D804D7">
            <w:pPr>
              <w:tabs>
                <w:tab w:val="left" w:pos="9765"/>
              </w:tabs>
              <w:autoSpaceDE w:val="0"/>
              <w:autoSpaceDN w:val="0"/>
              <w:adjustRightInd w:val="0"/>
              <w:snapToGrid w:val="0"/>
              <w:spacing w:line="360" w:lineRule="auto"/>
              <w:rPr>
                <w:rFonts w:ascii="宋体" w:hAnsi="宋体" w:cs="宋体"/>
                <w:color w:val="auto"/>
                <w:sz w:val="24"/>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4D398724">
            <w:pPr>
              <w:tabs>
                <w:tab w:val="left" w:pos="9765"/>
              </w:tabs>
              <w:autoSpaceDE w:val="0"/>
              <w:autoSpaceDN w:val="0"/>
              <w:adjustRightInd w:val="0"/>
              <w:snapToGrid w:val="0"/>
              <w:spacing w:line="360" w:lineRule="auto"/>
              <w:rPr>
                <w:rFonts w:ascii="宋体" w:hAnsi="宋体" w:cs="宋体"/>
                <w:color w:val="auto"/>
                <w:sz w:val="24"/>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5B34B6FD">
            <w:pPr>
              <w:tabs>
                <w:tab w:val="left" w:pos="9765"/>
              </w:tabs>
              <w:autoSpaceDE w:val="0"/>
              <w:autoSpaceDN w:val="0"/>
              <w:adjustRightInd w:val="0"/>
              <w:snapToGrid w:val="0"/>
              <w:spacing w:line="360" w:lineRule="auto"/>
              <w:rPr>
                <w:rFonts w:ascii="宋体" w:hAnsi="宋体" w:cs="宋体"/>
                <w:color w:val="auto"/>
                <w:sz w:val="24"/>
              </w:rPr>
            </w:pPr>
          </w:p>
        </w:tc>
      </w:tr>
      <w:tr w14:paraId="53CDB6C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21636E51">
            <w:pPr>
              <w:tabs>
                <w:tab w:val="left" w:pos="9765"/>
              </w:tabs>
              <w:autoSpaceDE w:val="0"/>
              <w:autoSpaceDN w:val="0"/>
              <w:adjustRightInd w:val="0"/>
              <w:snapToGrid w:val="0"/>
              <w:spacing w:line="360" w:lineRule="auto"/>
              <w:rPr>
                <w:rFonts w:ascii="宋体" w:hAnsi="宋体" w:cs="宋体"/>
                <w:color w:val="auto"/>
                <w:sz w:val="24"/>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4C43F8BF">
            <w:pPr>
              <w:tabs>
                <w:tab w:val="left" w:pos="9765"/>
              </w:tabs>
              <w:autoSpaceDE w:val="0"/>
              <w:autoSpaceDN w:val="0"/>
              <w:adjustRightInd w:val="0"/>
              <w:snapToGrid w:val="0"/>
              <w:spacing w:line="360" w:lineRule="auto"/>
              <w:rPr>
                <w:rFonts w:ascii="宋体" w:hAnsi="宋体" w:cs="宋体"/>
                <w:color w:val="auto"/>
                <w:sz w:val="24"/>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3DA02D50">
            <w:pPr>
              <w:tabs>
                <w:tab w:val="left" w:pos="9765"/>
              </w:tabs>
              <w:autoSpaceDE w:val="0"/>
              <w:autoSpaceDN w:val="0"/>
              <w:adjustRightInd w:val="0"/>
              <w:snapToGrid w:val="0"/>
              <w:spacing w:line="360" w:lineRule="auto"/>
              <w:rPr>
                <w:rFonts w:ascii="宋体" w:hAnsi="宋体" w:cs="宋体"/>
                <w:color w:val="auto"/>
                <w:sz w:val="24"/>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404FF8E7">
            <w:pPr>
              <w:tabs>
                <w:tab w:val="left" w:pos="9765"/>
              </w:tabs>
              <w:autoSpaceDE w:val="0"/>
              <w:autoSpaceDN w:val="0"/>
              <w:adjustRightInd w:val="0"/>
              <w:snapToGrid w:val="0"/>
              <w:spacing w:line="360" w:lineRule="auto"/>
              <w:rPr>
                <w:rFonts w:ascii="宋体" w:hAnsi="宋体" w:cs="宋体"/>
                <w:color w:val="auto"/>
                <w:sz w:val="24"/>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797E83B2">
            <w:pPr>
              <w:tabs>
                <w:tab w:val="left" w:pos="9765"/>
              </w:tabs>
              <w:autoSpaceDE w:val="0"/>
              <w:autoSpaceDN w:val="0"/>
              <w:adjustRightInd w:val="0"/>
              <w:snapToGrid w:val="0"/>
              <w:spacing w:line="360" w:lineRule="auto"/>
              <w:rPr>
                <w:rFonts w:ascii="宋体" w:hAnsi="宋体" w:cs="宋体"/>
                <w:color w:val="auto"/>
                <w:sz w:val="24"/>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7B8F4949">
            <w:pPr>
              <w:tabs>
                <w:tab w:val="left" w:pos="9765"/>
              </w:tabs>
              <w:autoSpaceDE w:val="0"/>
              <w:autoSpaceDN w:val="0"/>
              <w:adjustRightInd w:val="0"/>
              <w:snapToGrid w:val="0"/>
              <w:spacing w:line="360" w:lineRule="auto"/>
              <w:rPr>
                <w:rFonts w:ascii="宋体" w:hAnsi="宋体" w:cs="宋体"/>
                <w:color w:val="auto"/>
                <w:sz w:val="24"/>
              </w:rPr>
            </w:pPr>
          </w:p>
        </w:tc>
      </w:tr>
      <w:tr w14:paraId="4E125DC1">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05710473">
            <w:pPr>
              <w:tabs>
                <w:tab w:val="left" w:pos="9765"/>
              </w:tabs>
              <w:autoSpaceDE w:val="0"/>
              <w:autoSpaceDN w:val="0"/>
              <w:adjustRightInd w:val="0"/>
              <w:snapToGrid w:val="0"/>
              <w:spacing w:line="360" w:lineRule="auto"/>
              <w:rPr>
                <w:rFonts w:ascii="宋体" w:hAnsi="宋体" w:cs="宋体"/>
                <w:color w:val="auto"/>
                <w:sz w:val="24"/>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33D196D5">
            <w:pPr>
              <w:tabs>
                <w:tab w:val="left" w:pos="9765"/>
              </w:tabs>
              <w:autoSpaceDE w:val="0"/>
              <w:autoSpaceDN w:val="0"/>
              <w:adjustRightInd w:val="0"/>
              <w:snapToGrid w:val="0"/>
              <w:spacing w:line="360" w:lineRule="auto"/>
              <w:rPr>
                <w:rFonts w:ascii="宋体" w:hAnsi="宋体" w:cs="宋体"/>
                <w:color w:val="auto"/>
                <w:sz w:val="24"/>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6E69F0E3">
            <w:pPr>
              <w:tabs>
                <w:tab w:val="left" w:pos="9765"/>
              </w:tabs>
              <w:autoSpaceDE w:val="0"/>
              <w:autoSpaceDN w:val="0"/>
              <w:adjustRightInd w:val="0"/>
              <w:snapToGrid w:val="0"/>
              <w:spacing w:line="360" w:lineRule="auto"/>
              <w:rPr>
                <w:rFonts w:ascii="宋体" w:hAnsi="宋体" w:cs="宋体"/>
                <w:color w:val="auto"/>
                <w:sz w:val="24"/>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4C13DEFB">
            <w:pPr>
              <w:tabs>
                <w:tab w:val="left" w:pos="9765"/>
              </w:tabs>
              <w:autoSpaceDE w:val="0"/>
              <w:autoSpaceDN w:val="0"/>
              <w:adjustRightInd w:val="0"/>
              <w:snapToGrid w:val="0"/>
              <w:spacing w:line="360" w:lineRule="auto"/>
              <w:rPr>
                <w:rFonts w:ascii="宋体" w:hAnsi="宋体" w:cs="宋体"/>
                <w:color w:val="auto"/>
                <w:sz w:val="24"/>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43BA365F">
            <w:pPr>
              <w:tabs>
                <w:tab w:val="left" w:pos="9765"/>
              </w:tabs>
              <w:autoSpaceDE w:val="0"/>
              <w:autoSpaceDN w:val="0"/>
              <w:adjustRightInd w:val="0"/>
              <w:snapToGrid w:val="0"/>
              <w:spacing w:line="360" w:lineRule="auto"/>
              <w:rPr>
                <w:rFonts w:ascii="宋体" w:hAnsi="宋体" w:cs="宋体"/>
                <w:color w:val="auto"/>
                <w:sz w:val="24"/>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59B260A7">
            <w:pPr>
              <w:tabs>
                <w:tab w:val="left" w:pos="9765"/>
              </w:tabs>
              <w:autoSpaceDE w:val="0"/>
              <w:autoSpaceDN w:val="0"/>
              <w:adjustRightInd w:val="0"/>
              <w:snapToGrid w:val="0"/>
              <w:spacing w:line="360" w:lineRule="auto"/>
              <w:rPr>
                <w:rFonts w:ascii="宋体" w:hAnsi="宋体" w:cs="宋体"/>
                <w:color w:val="auto"/>
                <w:sz w:val="24"/>
              </w:rPr>
            </w:pPr>
          </w:p>
        </w:tc>
      </w:tr>
      <w:tr w14:paraId="45243BB7">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6FD606D3">
            <w:pPr>
              <w:tabs>
                <w:tab w:val="left" w:pos="9765"/>
              </w:tabs>
              <w:autoSpaceDE w:val="0"/>
              <w:autoSpaceDN w:val="0"/>
              <w:adjustRightInd w:val="0"/>
              <w:snapToGrid w:val="0"/>
              <w:spacing w:line="360" w:lineRule="auto"/>
              <w:rPr>
                <w:rFonts w:ascii="宋体" w:hAnsi="宋体" w:cs="宋体"/>
                <w:color w:val="auto"/>
                <w:sz w:val="24"/>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0D3F7832">
            <w:pPr>
              <w:tabs>
                <w:tab w:val="left" w:pos="9765"/>
              </w:tabs>
              <w:autoSpaceDE w:val="0"/>
              <w:autoSpaceDN w:val="0"/>
              <w:adjustRightInd w:val="0"/>
              <w:snapToGrid w:val="0"/>
              <w:spacing w:line="360" w:lineRule="auto"/>
              <w:rPr>
                <w:rFonts w:ascii="宋体" w:hAnsi="宋体" w:cs="宋体"/>
                <w:color w:val="auto"/>
                <w:sz w:val="24"/>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630527DA">
            <w:pPr>
              <w:tabs>
                <w:tab w:val="left" w:pos="9765"/>
              </w:tabs>
              <w:autoSpaceDE w:val="0"/>
              <w:autoSpaceDN w:val="0"/>
              <w:adjustRightInd w:val="0"/>
              <w:snapToGrid w:val="0"/>
              <w:spacing w:line="360" w:lineRule="auto"/>
              <w:rPr>
                <w:rFonts w:ascii="宋体" w:hAnsi="宋体" w:cs="宋体"/>
                <w:color w:val="auto"/>
                <w:sz w:val="24"/>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73B6BD98">
            <w:pPr>
              <w:tabs>
                <w:tab w:val="left" w:pos="9765"/>
              </w:tabs>
              <w:autoSpaceDE w:val="0"/>
              <w:autoSpaceDN w:val="0"/>
              <w:adjustRightInd w:val="0"/>
              <w:snapToGrid w:val="0"/>
              <w:spacing w:line="360" w:lineRule="auto"/>
              <w:rPr>
                <w:rFonts w:ascii="宋体" w:hAnsi="宋体" w:cs="宋体"/>
                <w:color w:val="auto"/>
                <w:sz w:val="24"/>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09BA3FCC">
            <w:pPr>
              <w:tabs>
                <w:tab w:val="left" w:pos="9765"/>
              </w:tabs>
              <w:autoSpaceDE w:val="0"/>
              <w:autoSpaceDN w:val="0"/>
              <w:adjustRightInd w:val="0"/>
              <w:snapToGrid w:val="0"/>
              <w:spacing w:line="360" w:lineRule="auto"/>
              <w:rPr>
                <w:rFonts w:ascii="宋体" w:hAnsi="宋体" w:cs="宋体"/>
                <w:color w:val="auto"/>
                <w:sz w:val="24"/>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162CB6B2">
            <w:pPr>
              <w:tabs>
                <w:tab w:val="left" w:pos="9765"/>
              </w:tabs>
              <w:autoSpaceDE w:val="0"/>
              <w:autoSpaceDN w:val="0"/>
              <w:adjustRightInd w:val="0"/>
              <w:snapToGrid w:val="0"/>
              <w:spacing w:line="360" w:lineRule="auto"/>
              <w:rPr>
                <w:rFonts w:ascii="宋体" w:hAnsi="宋体" w:cs="宋体"/>
                <w:color w:val="auto"/>
                <w:sz w:val="24"/>
              </w:rPr>
            </w:pPr>
          </w:p>
        </w:tc>
      </w:tr>
    </w:tbl>
    <w:p w14:paraId="42C5AEF3">
      <w:pPr>
        <w:tabs>
          <w:tab w:val="left" w:pos="9765"/>
        </w:tabs>
        <w:autoSpaceDE w:val="0"/>
        <w:autoSpaceDN w:val="0"/>
        <w:adjustRightInd w:val="0"/>
        <w:snapToGrid w:val="0"/>
        <w:rPr>
          <w:rFonts w:ascii="宋体" w:hAnsi="宋体" w:cs="宋体"/>
          <w:color w:val="auto"/>
          <w:sz w:val="24"/>
          <w:lang w:val="zh-CN"/>
        </w:rPr>
      </w:pPr>
    </w:p>
    <w:p w14:paraId="77D7BCDC">
      <w:pPr>
        <w:snapToGrid w:val="0"/>
        <w:spacing w:line="360" w:lineRule="auto"/>
        <w:rPr>
          <w:rFonts w:ascii="宋体" w:hAnsi="宋体" w:cs="宋体"/>
          <w:color w:val="auto"/>
          <w:sz w:val="24"/>
        </w:rPr>
      </w:pPr>
    </w:p>
    <w:p w14:paraId="4464BB4F">
      <w:pPr>
        <w:autoSpaceDE w:val="0"/>
        <w:autoSpaceDN w:val="0"/>
        <w:adjustRightInd w:val="0"/>
        <w:snapToGrid w:val="0"/>
        <w:spacing w:before="25" w:after="25" w:line="360" w:lineRule="auto"/>
        <w:rPr>
          <w:rFonts w:ascii="Times New Roman" w:hAnsi="Times New Roman" w:eastAsia="宋体" w:cs="Times New Roman"/>
          <w:color w:val="auto"/>
          <w:sz w:val="24"/>
          <w:szCs w:val="24"/>
          <w:lang w:val="zh-CN"/>
        </w:rPr>
      </w:pPr>
      <w:r>
        <w:rPr>
          <w:rFonts w:ascii="Times New Roman" w:hAnsi="Times New Roman" w:eastAsia="宋体" w:cs="Times New Roman"/>
          <w:color w:val="auto"/>
          <w:sz w:val="24"/>
          <w:szCs w:val="24"/>
        </w:rPr>
        <w:t>供应商名称（加盖公章）</w:t>
      </w:r>
      <w:r>
        <w:rPr>
          <w:rFonts w:ascii="Times New Roman" w:hAnsi="Times New Roman" w:eastAsia="宋体" w:cs="Times New Roman"/>
          <w:color w:val="auto"/>
          <w:sz w:val="24"/>
          <w:szCs w:val="24"/>
          <w:lang w:val="zh-CN"/>
        </w:rPr>
        <w:t>：    ____________</w:t>
      </w:r>
    </w:p>
    <w:p w14:paraId="7F348E20">
      <w:pPr>
        <w:autoSpaceDE w:val="0"/>
        <w:autoSpaceDN w:val="0"/>
        <w:adjustRightInd w:val="0"/>
        <w:snapToGrid w:val="0"/>
        <w:spacing w:before="25" w:after="25" w:line="360" w:lineRule="auto"/>
        <w:rPr>
          <w:rFonts w:ascii="Times New Roman" w:hAnsi="Times New Roman" w:eastAsia="宋体" w:cs="Times New Roman"/>
          <w:color w:val="auto"/>
          <w:sz w:val="24"/>
          <w:szCs w:val="24"/>
          <w:lang w:val="zh-CN"/>
        </w:rPr>
      </w:pPr>
      <w:r>
        <w:rPr>
          <w:rFonts w:ascii="Times New Roman" w:hAnsi="Times New Roman" w:eastAsia="宋体" w:cs="Times New Roman"/>
          <w:color w:val="auto"/>
          <w:sz w:val="24"/>
          <w:szCs w:val="24"/>
        </w:rPr>
        <w:t xml:space="preserve">日期：_____年______月______日   </w:t>
      </w:r>
    </w:p>
    <w:p w14:paraId="56C61610">
      <w:pPr>
        <w:autoSpaceDE w:val="0"/>
        <w:autoSpaceDN w:val="0"/>
        <w:adjustRightInd w:val="0"/>
        <w:snapToGrid w:val="0"/>
        <w:spacing w:before="25" w:after="25" w:line="360" w:lineRule="auto"/>
        <w:rPr>
          <w:rFonts w:hint="eastAsia"/>
          <w:color w:val="auto"/>
          <w:sz w:val="24"/>
          <w:szCs w:val="20"/>
        </w:rPr>
      </w:pPr>
    </w:p>
    <w:p w14:paraId="1F97296B">
      <w:pPr>
        <w:autoSpaceDE w:val="0"/>
        <w:autoSpaceDN w:val="0"/>
        <w:adjustRightInd w:val="0"/>
        <w:snapToGrid w:val="0"/>
        <w:spacing w:before="25" w:after="25" w:line="360" w:lineRule="auto"/>
        <w:rPr>
          <w:rFonts w:hint="eastAsia"/>
          <w:color w:val="auto"/>
          <w:sz w:val="24"/>
          <w:szCs w:val="20"/>
        </w:rPr>
      </w:pPr>
    </w:p>
    <w:p w14:paraId="7074AF0A">
      <w:pPr>
        <w:autoSpaceDE w:val="0"/>
        <w:autoSpaceDN w:val="0"/>
        <w:adjustRightInd w:val="0"/>
        <w:snapToGrid w:val="0"/>
        <w:spacing w:before="25" w:after="25" w:line="360" w:lineRule="auto"/>
        <w:rPr>
          <w:rFonts w:hint="eastAsia"/>
          <w:color w:val="auto"/>
          <w:sz w:val="24"/>
          <w:szCs w:val="20"/>
        </w:rPr>
      </w:pPr>
    </w:p>
    <w:p w14:paraId="3BE698E4">
      <w:pPr>
        <w:autoSpaceDE w:val="0"/>
        <w:autoSpaceDN w:val="0"/>
        <w:adjustRightInd w:val="0"/>
        <w:snapToGrid w:val="0"/>
        <w:spacing w:before="25" w:after="25" w:line="360" w:lineRule="auto"/>
        <w:rPr>
          <w:rFonts w:hint="eastAsia"/>
          <w:color w:val="auto"/>
          <w:sz w:val="24"/>
          <w:szCs w:val="20"/>
        </w:rPr>
      </w:pPr>
    </w:p>
    <w:p w14:paraId="40624037">
      <w:pPr>
        <w:autoSpaceDE w:val="0"/>
        <w:autoSpaceDN w:val="0"/>
        <w:adjustRightInd w:val="0"/>
        <w:snapToGrid w:val="0"/>
        <w:spacing w:before="25" w:after="25" w:line="360" w:lineRule="auto"/>
        <w:rPr>
          <w:rFonts w:hint="eastAsia"/>
          <w:color w:val="auto"/>
          <w:sz w:val="24"/>
          <w:szCs w:val="20"/>
        </w:rPr>
      </w:pPr>
    </w:p>
    <w:p w14:paraId="0FCC9692">
      <w:pPr>
        <w:autoSpaceDE w:val="0"/>
        <w:autoSpaceDN w:val="0"/>
        <w:adjustRightInd w:val="0"/>
        <w:snapToGrid w:val="0"/>
        <w:spacing w:before="25" w:after="25" w:line="360" w:lineRule="auto"/>
        <w:rPr>
          <w:rFonts w:hint="eastAsia"/>
          <w:color w:val="auto"/>
          <w:sz w:val="24"/>
          <w:szCs w:val="20"/>
        </w:rPr>
      </w:pPr>
    </w:p>
    <w:p w14:paraId="1ECDDB59">
      <w:pPr>
        <w:autoSpaceDE w:val="0"/>
        <w:autoSpaceDN w:val="0"/>
        <w:adjustRightInd w:val="0"/>
        <w:snapToGrid w:val="0"/>
        <w:spacing w:before="25" w:after="25" w:line="360" w:lineRule="auto"/>
        <w:rPr>
          <w:rFonts w:hint="eastAsia"/>
          <w:color w:val="auto"/>
          <w:sz w:val="24"/>
          <w:szCs w:val="20"/>
        </w:rPr>
      </w:pPr>
    </w:p>
    <w:p w14:paraId="6040550E">
      <w:pPr>
        <w:autoSpaceDE w:val="0"/>
        <w:autoSpaceDN w:val="0"/>
        <w:adjustRightInd w:val="0"/>
        <w:snapToGrid w:val="0"/>
        <w:spacing w:before="25" w:after="25" w:line="360" w:lineRule="auto"/>
        <w:rPr>
          <w:rFonts w:hint="eastAsia"/>
          <w:color w:val="auto"/>
          <w:sz w:val="24"/>
          <w:szCs w:val="20"/>
        </w:rPr>
      </w:pPr>
    </w:p>
    <w:p w14:paraId="3676AD85">
      <w:pPr>
        <w:autoSpaceDE w:val="0"/>
        <w:autoSpaceDN w:val="0"/>
        <w:adjustRightInd w:val="0"/>
        <w:snapToGrid w:val="0"/>
        <w:spacing w:before="25" w:after="25" w:line="360" w:lineRule="auto"/>
        <w:rPr>
          <w:rFonts w:hint="eastAsia"/>
          <w:color w:val="auto"/>
          <w:sz w:val="24"/>
          <w:szCs w:val="20"/>
        </w:rPr>
      </w:pPr>
    </w:p>
    <w:p w14:paraId="1F8F693B">
      <w:pPr>
        <w:autoSpaceDE w:val="0"/>
        <w:autoSpaceDN w:val="0"/>
        <w:adjustRightInd w:val="0"/>
        <w:snapToGrid w:val="0"/>
        <w:spacing w:before="25" w:after="25" w:line="360" w:lineRule="auto"/>
        <w:rPr>
          <w:rFonts w:hint="eastAsia"/>
          <w:color w:val="auto"/>
          <w:sz w:val="24"/>
          <w:szCs w:val="20"/>
        </w:rPr>
      </w:pPr>
    </w:p>
    <w:p w14:paraId="3317C6CE">
      <w:pPr>
        <w:autoSpaceDE w:val="0"/>
        <w:autoSpaceDN w:val="0"/>
        <w:adjustRightInd w:val="0"/>
        <w:snapToGrid w:val="0"/>
        <w:spacing w:before="25" w:after="25" w:line="360" w:lineRule="auto"/>
        <w:rPr>
          <w:rFonts w:hint="eastAsia"/>
          <w:color w:val="auto"/>
          <w:sz w:val="24"/>
          <w:szCs w:val="20"/>
        </w:rPr>
      </w:pPr>
    </w:p>
    <w:p w14:paraId="2EAF33BC">
      <w:pPr>
        <w:pStyle w:val="3"/>
        <w:numPr>
          <w:ilvl w:val="0"/>
          <w:numId w:val="92"/>
        </w:numPr>
        <w:ind w:left="0" w:leftChars="0" w:firstLine="0" w:firstLineChars="0"/>
        <w:rPr>
          <w:b w:val="0"/>
          <w:color w:val="auto"/>
        </w:rPr>
      </w:pPr>
      <w:r>
        <w:rPr>
          <w:color w:val="auto"/>
        </w:rPr>
        <w:t>售后服务承诺书</w:t>
      </w:r>
    </w:p>
    <w:p w14:paraId="2EE88B00">
      <w:pPr>
        <w:pStyle w:val="23"/>
        <w:overflowPunct w:val="0"/>
        <w:snapToGrid w:val="0"/>
        <w:spacing w:line="360" w:lineRule="auto"/>
        <w:rPr>
          <w:rFonts w:ascii="Times New Roman" w:hAnsi="Times New Roman"/>
          <w:color w:val="auto"/>
        </w:rPr>
      </w:pPr>
    </w:p>
    <w:p w14:paraId="676EFFB7">
      <w:pPr>
        <w:pStyle w:val="40"/>
        <w:rPr>
          <w:color w:val="auto"/>
        </w:rPr>
      </w:pPr>
      <w:r>
        <w:rPr>
          <w:color w:val="auto"/>
        </w:rPr>
        <w:t>售后服务承诺书</w:t>
      </w:r>
    </w:p>
    <w:p w14:paraId="000163AD">
      <w:pPr>
        <w:pStyle w:val="23"/>
        <w:overflowPunct w:val="0"/>
        <w:snapToGrid w:val="0"/>
        <w:spacing w:line="360" w:lineRule="auto"/>
        <w:jc w:val="center"/>
        <w:rPr>
          <w:color w:val="auto"/>
        </w:rPr>
      </w:pPr>
    </w:p>
    <w:p w14:paraId="66BACD32">
      <w:pPr>
        <w:pStyle w:val="17"/>
        <w:rPr>
          <w:color w:val="auto"/>
        </w:rPr>
      </w:pPr>
      <w:r>
        <w:rPr>
          <w:color w:val="auto"/>
        </w:rPr>
        <w:t>(由供应商按本项目询价通知书“</w:t>
      </w:r>
      <w:r>
        <w:rPr>
          <w:rStyle w:val="251"/>
          <w:color w:val="auto"/>
        </w:rPr>
        <w:t>第四章 采购需求”</w:t>
      </w:r>
      <w:r>
        <w:rPr>
          <w:color w:val="auto"/>
        </w:rPr>
        <w:t>中的售后服务要求自行填写。)</w:t>
      </w:r>
    </w:p>
    <w:p w14:paraId="56CC62F9">
      <w:pPr>
        <w:pStyle w:val="23"/>
        <w:overflowPunct w:val="0"/>
        <w:snapToGrid w:val="0"/>
        <w:spacing w:line="360" w:lineRule="auto"/>
        <w:jc w:val="center"/>
        <w:rPr>
          <w:color w:val="auto"/>
        </w:rPr>
      </w:pPr>
    </w:p>
    <w:p w14:paraId="3818C185">
      <w:pPr>
        <w:pStyle w:val="23"/>
        <w:overflowPunct w:val="0"/>
        <w:snapToGrid w:val="0"/>
        <w:spacing w:line="360" w:lineRule="auto"/>
        <w:jc w:val="center"/>
        <w:rPr>
          <w:color w:val="auto"/>
        </w:rPr>
      </w:pPr>
    </w:p>
    <w:p w14:paraId="78928F8D">
      <w:pPr>
        <w:pStyle w:val="23"/>
        <w:overflowPunct w:val="0"/>
        <w:snapToGrid w:val="0"/>
        <w:spacing w:line="360" w:lineRule="auto"/>
        <w:jc w:val="center"/>
        <w:rPr>
          <w:color w:val="auto"/>
        </w:rPr>
      </w:pPr>
    </w:p>
    <w:p w14:paraId="43B008CA">
      <w:pPr>
        <w:pStyle w:val="23"/>
        <w:overflowPunct w:val="0"/>
        <w:snapToGrid w:val="0"/>
        <w:spacing w:line="360" w:lineRule="auto"/>
        <w:jc w:val="center"/>
        <w:rPr>
          <w:color w:val="auto"/>
        </w:rPr>
      </w:pPr>
    </w:p>
    <w:p w14:paraId="0C122A06">
      <w:pPr>
        <w:pStyle w:val="23"/>
        <w:overflowPunct w:val="0"/>
        <w:snapToGrid w:val="0"/>
        <w:spacing w:line="360" w:lineRule="auto"/>
        <w:jc w:val="center"/>
        <w:rPr>
          <w:color w:val="auto"/>
        </w:rPr>
      </w:pPr>
    </w:p>
    <w:p w14:paraId="5BADA496">
      <w:pPr>
        <w:pStyle w:val="23"/>
        <w:overflowPunct w:val="0"/>
        <w:snapToGrid w:val="0"/>
        <w:spacing w:line="360" w:lineRule="auto"/>
        <w:jc w:val="center"/>
        <w:rPr>
          <w:color w:val="auto"/>
        </w:rPr>
      </w:pPr>
    </w:p>
    <w:p w14:paraId="25E59B6F">
      <w:pPr>
        <w:pStyle w:val="23"/>
        <w:overflowPunct w:val="0"/>
        <w:snapToGrid w:val="0"/>
        <w:spacing w:line="360" w:lineRule="auto"/>
        <w:jc w:val="center"/>
        <w:rPr>
          <w:color w:val="auto"/>
        </w:rPr>
      </w:pPr>
    </w:p>
    <w:p w14:paraId="23CE9C67">
      <w:pPr>
        <w:pStyle w:val="23"/>
        <w:overflowPunct w:val="0"/>
        <w:snapToGrid w:val="0"/>
        <w:spacing w:line="360" w:lineRule="auto"/>
        <w:jc w:val="center"/>
        <w:rPr>
          <w:color w:val="auto"/>
        </w:rPr>
      </w:pPr>
    </w:p>
    <w:p w14:paraId="4A034FE2">
      <w:pPr>
        <w:pStyle w:val="23"/>
        <w:overflowPunct w:val="0"/>
        <w:snapToGrid w:val="0"/>
        <w:spacing w:line="360" w:lineRule="auto"/>
        <w:jc w:val="center"/>
        <w:rPr>
          <w:color w:val="auto"/>
        </w:rPr>
      </w:pPr>
    </w:p>
    <w:p w14:paraId="3B7656F9">
      <w:pPr>
        <w:pStyle w:val="23"/>
        <w:overflowPunct w:val="0"/>
        <w:snapToGrid w:val="0"/>
        <w:spacing w:line="360" w:lineRule="auto"/>
        <w:jc w:val="center"/>
        <w:rPr>
          <w:color w:val="auto"/>
        </w:rPr>
      </w:pPr>
    </w:p>
    <w:p w14:paraId="62DB91D8">
      <w:pPr>
        <w:pStyle w:val="23"/>
        <w:overflowPunct w:val="0"/>
        <w:snapToGrid w:val="0"/>
        <w:spacing w:line="360" w:lineRule="auto"/>
        <w:jc w:val="center"/>
        <w:rPr>
          <w:color w:val="auto"/>
        </w:rPr>
      </w:pPr>
    </w:p>
    <w:p w14:paraId="486FE972">
      <w:pPr>
        <w:pStyle w:val="23"/>
        <w:overflowPunct w:val="0"/>
        <w:snapToGrid w:val="0"/>
        <w:spacing w:line="360" w:lineRule="auto"/>
        <w:jc w:val="center"/>
        <w:rPr>
          <w:color w:val="auto"/>
        </w:rPr>
      </w:pPr>
    </w:p>
    <w:p w14:paraId="64C92301">
      <w:pPr>
        <w:pStyle w:val="23"/>
        <w:overflowPunct w:val="0"/>
        <w:snapToGrid w:val="0"/>
        <w:spacing w:line="360" w:lineRule="auto"/>
        <w:jc w:val="center"/>
        <w:rPr>
          <w:color w:val="auto"/>
        </w:rPr>
      </w:pPr>
    </w:p>
    <w:p w14:paraId="6A406488">
      <w:pPr>
        <w:pStyle w:val="23"/>
        <w:overflowPunct w:val="0"/>
        <w:snapToGrid w:val="0"/>
        <w:spacing w:line="360" w:lineRule="auto"/>
        <w:jc w:val="center"/>
        <w:rPr>
          <w:color w:val="auto"/>
        </w:rPr>
      </w:pPr>
    </w:p>
    <w:p w14:paraId="2BCC9D18">
      <w:pPr>
        <w:pStyle w:val="23"/>
        <w:overflowPunct w:val="0"/>
        <w:snapToGrid w:val="0"/>
        <w:spacing w:line="360" w:lineRule="auto"/>
        <w:jc w:val="center"/>
        <w:rPr>
          <w:color w:val="auto"/>
        </w:rPr>
      </w:pPr>
    </w:p>
    <w:p w14:paraId="0117BC30">
      <w:pPr>
        <w:pStyle w:val="23"/>
        <w:overflowPunct w:val="0"/>
        <w:snapToGrid w:val="0"/>
        <w:spacing w:line="360" w:lineRule="auto"/>
        <w:jc w:val="center"/>
        <w:rPr>
          <w:color w:val="auto"/>
        </w:rPr>
      </w:pPr>
    </w:p>
    <w:p w14:paraId="49C2BF6A">
      <w:pPr>
        <w:pStyle w:val="23"/>
        <w:overflowPunct w:val="0"/>
        <w:snapToGrid w:val="0"/>
        <w:spacing w:line="360" w:lineRule="auto"/>
        <w:jc w:val="center"/>
        <w:rPr>
          <w:color w:val="auto"/>
        </w:rPr>
      </w:pPr>
    </w:p>
    <w:p w14:paraId="781CCD67">
      <w:pPr>
        <w:pStyle w:val="23"/>
        <w:overflowPunct w:val="0"/>
        <w:snapToGrid w:val="0"/>
        <w:spacing w:line="360" w:lineRule="auto"/>
        <w:jc w:val="center"/>
        <w:rPr>
          <w:color w:val="auto"/>
        </w:rPr>
      </w:pPr>
    </w:p>
    <w:p w14:paraId="0D00973D">
      <w:pPr>
        <w:pStyle w:val="23"/>
        <w:overflowPunct w:val="0"/>
        <w:snapToGrid w:val="0"/>
        <w:spacing w:line="360" w:lineRule="auto"/>
        <w:jc w:val="center"/>
        <w:rPr>
          <w:color w:val="auto"/>
        </w:rPr>
      </w:pPr>
    </w:p>
    <w:p w14:paraId="6A70A9D4">
      <w:pPr>
        <w:pStyle w:val="23"/>
        <w:overflowPunct w:val="0"/>
        <w:snapToGrid w:val="0"/>
        <w:spacing w:line="360" w:lineRule="auto"/>
        <w:jc w:val="center"/>
        <w:rPr>
          <w:color w:val="auto"/>
        </w:rPr>
      </w:pPr>
    </w:p>
    <w:p w14:paraId="67013538">
      <w:pPr>
        <w:pStyle w:val="23"/>
        <w:overflowPunct w:val="0"/>
        <w:snapToGrid w:val="0"/>
        <w:spacing w:line="360" w:lineRule="auto"/>
        <w:jc w:val="center"/>
        <w:rPr>
          <w:color w:val="auto"/>
        </w:rPr>
      </w:pPr>
    </w:p>
    <w:p w14:paraId="4C8A96E2">
      <w:pPr>
        <w:pStyle w:val="23"/>
        <w:overflowPunct w:val="0"/>
        <w:snapToGrid w:val="0"/>
        <w:spacing w:line="360" w:lineRule="auto"/>
        <w:jc w:val="center"/>
        <w:rPr>
          <w:color w:val="auto"/>
        </w:rPr>
      </w:pPr>
    </w:p>
    <w:p w14:paraId="257A45DA">
      <w:pPr>
        <w:pStyle w:val="23"/>
        <w:overflowPunct w:val="0"/>
        <w:snapToGrid w:val="0"/>
        <w:spacing w:line="360" w:lineRule="auto"/>
        <w:jc w:val="center"/>
        <w:rPr>
          <w:color w:val="auto"/>
        </w:rPr>
      </w:pPr>
    </w:p>
    <w:p w14:paraId="4CAB1524">
      <w:pPr>
        <w:pStyle w:val="23"/>
        <w:overflowPunct w:val="0"/>
        <w:snapToGrid w:val="0"/>
        <w:spacing w:line="360" w:lineRule="auto"/>
        <w:jc w:val="center"/>
        <w:rPr>
          <w:color w:val="auto"/>
        </w:rPr>
      </w:pPr>
    </w:p>
    <w:p w14:paraId="4B013A03">
      <w:pPr>
        <w:pStyle w:val="23"/>
        <w:overflowPunct w:val="0"/>
        <w:snapToGrid w:val="0"/>
        <w:spacing w:line="360" w:lineRule="auto"/>
        <w:jc w:val="center"/>
        <w:rPr>
          <w:color w:val="auto"/>
        </w:rPr>
      </w:pPr>
    </w:p>
    <w:p w14:paraId="3385CF06">
      <w:pPr>
        <w:pStyle w:val="23"/>
        <w:overflowPunct w:val="0"/>
        <w:snapToGrid w:val="0"/>
        <w:spacing w:line="360" w:lineRule="auto"/>
        <w:jc w:val="center"/>
        <w:rPr>
          <w:color w:val="auto"/>
        </w:rPr>
      </w:pPr>
    </w:p>
    <w:p w14:paraId="789F79C4">
      <w:pPr>
        <w:pStyle w:val="23"/>
        <w:overflowPunct w:val="0"/>
        <w:snapToGrid w:val="0"/>
        <w:spacing w:line="360" w:lineRule="auto"/>
        <w:jc w:val="center"/>
        <w:rPr>
          <w:color w:val="auto"/>
        </w:rPr>
      </w:pPr>
    </w:p>
    <w:p w14:paraId="68B40E86">
      <w:pPr>
        <w:pStyle w:val="23"/>
        <w:overflowPunct w:val="0"/>
        <w:snapToGrid w:val="0"/>
        <w:spacing w:line="360" w:lineRule="auto"/>
        <w:jc w:val="center"/>
        <w:rPr>
          <w:color w:val="auto"/>
        </w:rPr>
      </w:pPr>
    </w:p>
    <w:p w14:paraId="3D7EFA93">
      <w:pPr>
        <w:pStyle w:val="3"/>
        <w:numPr>
          <w:ilvl w:val="0"/>
          <w:numId w:val="96"/>
        </w:numPr>
        <w:ind w:left="0" w:leftChars="0" w:firstLine="0" w:firstLineChars="0"/>
        <w:rPr>
          <w:b w:val="0"/>
          <w:color w:val="auto"/>
          <w:u w:val="single"/>
        </w:rPr>
      </w:pPr>
      <w:r>
        <w:rPr>
          <w:color w:val="auto"/>
          <w:u w:val="single"/>
        </w:rPr>
        <w:t>关于符合本国产品标准的声明函（采购包号：**）</w:t>
      </w:r>
    </w:p>
    <w:p w14:paraId="69E2AD85">
      <w:pPr>
        <w:pStyle w:val="38"/>
        <w:spacing w:before="0" w:beforeAutospacing="0" w:after="0" w:afterAutospacing="0" w:line="0" w:lineRule="atLeast"/>
        <w:ind w:firstLine="420"/>
        <w:rPr>
          <w:rFonts w:ascii="方正魏碑_GBK" w:hAnsi="方正魏碑_GBK" w:eastAsia="方正魏碑_GBK" w:cs="方正魏碑_GBK"/>
          <w:color w:val="auto"/>
        </w:rPr>
      </w:pPr>
    </w:p>
    <w:p w14:paraId="1E3CEB4F">
      <w:pPr>
        <w:pStyle w:val="17"/>
        <w:widowControl/>
        <w:rPr>
          <w:color w:val="auto"/>
        </w:rPr>
      </w:pPr>
      <w:r>
        <w:rPr>
          <w:color w:val="auto"/>
        </w:rPr>
        <w:t>本公司（单位）郑重声明，根据《国务院办公厅关于在政府采购中实施本国产品标准及相关政策的通知》（国办发〔2025〕34号）的规定，本公司（单位）提供的以下产品属于本国产品。具体情况如下：</w:t>
      </w:r>
    </w:p>
    <w:p w14:paraId="3D3BF43E">
      <w:pPr>
        <w:pStyle w:val="17"/>
        <w:widowControl/>
        <w:rPr>
          <w:color w:val="auto"/>
        </w:rPr>
      </w:pPr>
      <w:r>
        <w:rPr>
          <w:color w:val="auto"/>
        </w:rPr>
        <mc:AlternateContent>
          <mc:Choice Requires="wps">
            <w:drawing>
              <wp:anchor distT="0" distB="0" distL="114300" distR="114300" simplePos="0" relativeHeight="251671552" behindDoc="0" locked="0" layoutInCell="1" allowOverlap="1">
                <wp:simplePos x="0" y="0"/>
                <wp:positionH relativeFrom="column">
                  <wp:posOffset>4776470</wp:posOffset>
                </wp:positionH>
                <wp:positionV relativeFrom="paragraph">
                  <wp:posOffset>309880</wp:posOffset>
                </wp:positionV>
                <wp:extent cx="196215" cy="97790"/>
                <wp:effectExtent l="1905" t="4445" r="11430" b="12065"/>
                <wp:wrapNone/>
                <wp:docPr id="5" name="直接箭头连接符 5"/>
                <wp:cNvGraphicFramePr/>
                <a:graphic xmlns:a="http://schemas.openxmlformats.org/drawingml/2006/main">
                  <a:graphicData uri="http://schemas.microsoft.com/office/word/2010/wordprocessingShape">
                    <wps:wsp>
                      <wps:cNvCnPr/>
                      <wps:spPr>
                        <a:xfrm flipV="1">
                          <a:off x="0" y="0"/>
                          <a:ext cx="196215"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76.1pt;margin-top:24.4pt;height:7.7pt;width:15.45pt;z-index:251671552;mso-width-relative:page;mso-height-relative:page;" filled="f" stroked="t" coordsize="21600,21600" o:gfxdata="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NI6PPTXAAAACQEAAA8AAAAAAAAAAQAgAAAAIgAAAGRy&#10;cy9kb3ducmV2LnhtbFBLAQIUABQAAAAIAIdO4kAapOoFBgIAAPkDAAAOAAAAAAAAAAEAIAAAACYB&#10;AABkcnMvZTJvRG9jLnhtbFBLBQYAAAAABgAGAFkBAACeBQAAAAA=&#10;">
                <v:fill on="f" focussize="0,0"/>
                <v:stroke color="#000000" joinstyle="round"/>
                <v:imagedata o:title=""/>
                <o:lock v:ext="edit" aspectratio="f"/>
              </v:shape>
            </w:pict>
          </mc:Fallback>
        </mc:AlternateContent>
      </w:r>
      <w:r>
        <w:rPr>
          <w:color w:val="auto"/>
        </w:rPr>
        <mc:AlternateContent>
          <mc:Choice Requires="wps">
            <w:drawing>
              <wp:anchor distT="0" distB="0" distL="114300" distR="114300" simplePos="0" relativeHeight="251663360" behindDoc="0" locked="0" layoutInCell="1" allowOverlap="1">
                <wp:simplePos x="0" y="0"/>
                <wp:positionH relativeFrom="column">
                  <wp:posOffset>3245485</wp:posOffset>
                </wp:positionH>
                <wp:positionV relativeFrom="paragraph">
                  <wp:posOffset>326390</wp:posOffset>
                </wp:positionV>
                <wp:extent cx="816610" cy="103505"/>
                <wp:effectExtent l="635" t="4445" r="1905" b="6350"/>
                <wp:wrapNone/>
                <wp:docPr id="3" name="直接箭头连接符 3"/>
                <wp:cNvGraphicFramePr/>
                <a:graphic xmlns:a="http://schemas.openxmlformats.org/drawingml/2006/main">
                  <a:graphicData uri="http://schemas.microsoft.com/office/word/2010/wordprocessingShape">
                    <wps:wsp>
                      <wps:cNvCnPr/>
                      <wps:spPr>
                        <a:xfrm flipV="1">
                          <a:off x="0" y="0"/>
                          <a:ext cx="816610" cy="10350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55.55pt;margin-top:25.7pt;height:8.15pt;width:64.3pt;z-index:251663360;mso-width-relative:page;mso-height-relative:page;" filled="f" stroked="t" coordsize="21600,21600" o:gfxdata="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&#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L8eDs7WAAAACQEAAA8AAAAAAAAAAQAgAAAAIgAAAGRy&#10;cy9kb3ducmV2LnhtbFBLAQIUABQAAAAIAIdO4kDX24KWBwIAAPoDAAAOAAAAAAAAAAEAIAAAACUB&#10;AABkcnMvZTJvRG9jLnhtbFBLBQYAAAAABgAGAFkBAACeBQAAAAA=&#10;">
                <v:fill on="f" focussize="0,0"/>
                <v:stroke color="#000000" joinstyle="round"/>
                <v:imagedata o:title=""/>
                <o:lock v:ext="edit" aspectratio="f"/>
              </v:shape>
            </w:pict>
          </mc:Fallback>
        </mc:AlternateContent>
      </w:r>
      <w:r>
        <w:rPr>
          <w:color w:val="auto"/>
        </w:rPr>
        <mc:AlternateContent>
          <mc:Choice Requires="wps">
            <w:drawing>
              <wp:anchor distT="0" distB="0" distL="114300" distR="114300" simplePos="0" relativeHeight="251662336" behindDoc="0" locked="0" layoutInCell="1" allowOverlap="1">
                <wp:simplePos x="0" y="0"/>
                <wp:positionH relativeFrom="column">
                  <wp:posOffset>2073910</wp:posOffset>
                </wp:positionH>
                <wp:positionV relativeFrom="paragraph">
                  <wp:posOffset>358775</wp:posOffset>
                </wp:positionV>
                <wp:extent cx="816610" cy="76200"/>
                <wp:effectExtent l="635" t="4445" r="1905" b="14605"/>
                <wp:wrapNone/>
                <wp:docPr id="4" name="直接箭头连接符 4"/>
                <wp:cNvGraphicFramePr/>
                <a:graphic xmlns:a="http://schemas.openxmlformats.org/drawingml/2006/main">
                  <a:graphicData uri="http://schemas.microsoft.com/office/word/2010/wordprocessingShape">
                    <wps:wsp>
                      <wps:cNvCnPr/>
                      <wps:spPr>
                        <a:xfrm flipV="1">
                          <a:off x="0" y="0"/>
                          <a:ext cx="816610" cy="7620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63.3pt;margin-top:28.25pt;height:6pt;width:64.3pt;z-index:251662336;mso-width-relative:page;mso-height-relative:page;" filled="f" stroked="t" coordsize="21600,21600" o:gfxdata="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&#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1kKXrNcAAAAJAQAADwAAAAAAAAABACAAAAAiAAAAZHJz&#10;L2Rvd25yZXYueG1sUEsBAhQAFAAAAAgAh07iQDWba58FAgAA+QMAAA4AAAAAAAAAAQAgAAAAJgEA&#10;AGRycy9lMm9Eb2MueG1sUEsFBgAAAAAGAAYAWQEAAJ0FAAAAAA==&#10;">
                <v:fill on="f" focussize="0,0"/>
                <v:stroke color="#000000" joinstyle="round"/>
                <v:imagedata o:title=""/>
                <o:lock v:ext="edit" aspectratio="f"/>
              </v:shape>
            </w:pict>
          </mc:Fallback>
        </mc:AlternateContent>
      </w:r>
      <w:r>
        <w:rPr>
          <w:color w:val="auto"/>
        </w:rPr>
        <mc:AlternateContent>
          <mc:Choice Requires="wps">
            <w:drawing>
              <wp:anchor distT="0" distB="0" distL="114300" distR="114300" simplePos="0" relativeHeight="251670528" behindDoc="0" locked="0" layoutInCell="1" allowOverlap="1">
                <wp:simplePos x="0" y="0"/>
                <wp:positionH relativeFrom="column">
                  <wp:posOffset>1965325</wp:posOffset>
                </wp:positionH>
                <wp:positionV relativeFrom="paragraph">
                  <wp:posOffset>558800</wp:posOffset>
                </wp:positionV>
                <wp:extent cx="816610" cy="147320"/>
                <wp:effectExtent l="635" t="4445" r="1905" b="19685"/>
                <wp:wrapNone/>
                <wp:docPr id="8" name="直接箭头连接符 8"/>
                <wp:cNvGraphicFramePr/>
                <a:graphic xmlns:a="http://schemas.openxmlformats.org/drawingml/2006/main">
                  <a:graphicData uri="http://schemas.microsoft.com/office/word/2010/wordprocessingShape">
                    <wps:wsp>
                      <wps:cNvCnPr/>
                      <wps:spPr>
                        <a:xfrm flipV="1">
                          <a:off x="0" y="0"/>
                          <a:ext cx="816610" cy="14732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54.75pt;margin-top:44pt;height:11.6pt;width:64.3pt;z-index:251670528;mso-width-relative:page;mso-height-relative:page;" filled="f" stroked="t" coordsize="21600,21600" o:gfxdata="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KPLTfbXAAAACgEAAA8AAAAAAAAAAQAgAAAAIgAA&#10;AGRycy9kb3ducmV2LnhtbFBLAQIUABQAAAAIAIdO4kBTqWRJCQIAAPoDAAAOAAAAAAAAAAEAIAAA&#10;ACYBAABkcnMvZTJvRG9jLnhtbFBLBQYAAAAABgAGAFkBAAChBQAAAAA=&#10;">
                <v:fill on="f" focussize="0,0"/>
                <v:stroke color="#000000" joinstyle="round"/>
                <v:imagedata o:title=""/>
                <o:lock v:ext="edit" aspectratio="f"/>
              </v:shape>
            </w:pict>
          </mc:Fallback>
        </mc:AlternateContent>
      </w:r>
      <w:r>
        <w:rPr>
          <w:color w:val="auto"/>
        </w:rPr>
        <mc:AlternateContent>
          <mc:Choice Requires="wps">
            <w:drawing>
              <wp:anchor distT="0" distB="0" distL="114300" distR="114300" simplePos="0" relativeHeight="251664384" behindDoc="0" locked="0" layoutInCell="1" allowOverlap="1">
                <wp:simplePos x="0" y="0"/>
                <wp:positionH relativeFrom="column">
                  <wp:posOffset>770255</wp:posOffset>
                </wp:positionH>
                <wp:positionV relativeFrom="paragraph">
                  <wp:posOffset>532130</wp:posOffset>
                </wp:positionV>
                <wp:extent cx="876300" cy="120015"/>
                <wp:effectExtent l="635" t="4445" r="18415" b="8890"/>
                <wp:wrapNone/>
                <wp:docPr id="9" name="直接箭头连接符 9"/>
                <wp:cNvGraphicFramePr/>
                <a:graphic xmlns:a="http://schemas.openxmlformats.org/drawingml/2006/main">
                  <a:graphicData uri="http://schemas.microsoft.com/office/word/2010/wordprocessingShape">
                    <wps:wsp>
                      <wps:cNvCnPr/>
                      <wps:spPr>
                        <a:xfrm flipV="1">
                          <a:off x="0" y="0"/>
                          <a:ext cx="87630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60.65pt;margin-top:41.9pt;height:9.45pt;width:69pt;z-index:251664384;mso-width-relative:page;mso-height-relative:page;" filled="f" stroked="t" coordsize="21600,21600" o:gfxdata="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&#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SCZMj9cAAAAKAQAADwAAAAAAAAABACAAAAAiAAAAZHJz&#10;L2Rvd25yZXYueG1sUEsBAhQAFAAAAAgAh07iQO+xq00FAgAA+gMAAA4AAAAAAAAAAQAgAAAAJgEA&#10;AGRycy9lMm9Eb2MueG1sUEsFBgAAAAAGAAYAWQEAAJ0FAAAAAA==&#10;">
                <v:fill on="f" focussize="0,0"/>
                <v:stroke color="#000000" joinstyle="round"/>
                <v:imagedata o:title=""/>
                <o:lock v:ext="edit" aspectratio="f"/>
              </v:shape>
            </w:pict>
          </mc:Fallback>
        </mc:AlternateContent>
      </w:r>
      <w:r>
        <w:rPr>
          <w:color w:val="auto"/>
        </w:rPr>
        <mc:AlternateContent>
          <mc:Choice Requires="wps">
            <w:drawing>
              <wp:anchor distT="0" distB="0" distL="114300" distR="114300" simplePos="0" relativeHeight="251669504" behindDoc="0" locked="0" layoutInCell="1" allowOverlap="1">
                <wp:simplePos x="0" y="0"/>
                <wp:positionH relativeFrom="column">
                  <wp:posOffset>4778375</wp:posOffset>
                </wp:positionH>
                <wp:positionV relativeFrom="paragraph">
                  <wp:posOffset>86995</wp:posOffset>
                </wp:positionV>
                <wp:extent cx="577215" cy="92075"/>
                <wp:effectExtent l="635" t="4445" r="12700" b="17780"/>
                <wp:wrapNone/>
                <wp:docPr id="11" name="直接箭头连接符 11"/>
                <wp:cNvGraphicFramePr/>
                <a:graphic xmlns:a="http://schemas.openxmlformats.org/drawingml/2006/main">
                  <a:graphicData uri="http://schemas.microsoft.com/office/word/2010/wordprocessingShape">
                    <wps:wsp>
                      <wps:cNvCnPr/>
                      <wps:spPr>
                        <a:xfrm flipV="1">
                          <a:off x="0" y="0"/>
                          <a:ext cx="577215" cy="9207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76.25pt;margin-top:6.85pt;height:7.25pt;width:45.45pt;z-index:251669504;mso-width-relative:page;mso-height-relative:page;" filled="f" stroked="t" coordsize="21600,21600" o:gfxdata="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Syu/k1wAAAAkBAAAPAAAAAAAAAAEAIAAAACIAAABkcnMv&#10;ZG93bnJldi54bWxQSwECFAAUAAAACACHTuJAiTQInwQCAAD7AwAADgAAAAAAAAABACAAAAAmAQAA&#10;ZHJzL2Uyb0RvYy54bWxQSwUGAAAAAAYABgBZAQAAnAUAAAAA&#10;">
                <v:fill on="f" focussize="0,0"/>
                <v:stroke color="#000000" joinstyle="round"/>
                <v:imagedata o:title=""/>
                <o:lock v:ext="edit" aspectratio="f"/>
              </v:shape>
            </w:pict>
          </mc:Fallback>
        </mc:AlternateContent>
      </w:r>
      <w:r>
        <w:rPr>
          <w:color w:val="auto"/>
        </w:rPr>
        <w:t>1.</w:t>
      </w:r>
      <w:r>
        <w:rPr>
          <w:rStyle w:val="50"/>
          <w:i w:val="0"/>
          <w:color w:val="auto"/>
          <w:u w:val="single"/>
        </w:rPr>
        <w:t>（产品名称1）</w:t>
      </w:r>
      <w:r>
        <w:rPr>
          <w:rStyle w:val="50"/>
          <w:i w:val="0"/>
          <w:color w:val="auto"/>
          <w:vertAlign w:val="superscript"/>
        </w:rPr>
        <w:t>1</w:t>
      </w:r>
      <w:r>
        <w:rPr>
          <w:color w:val="auto"/>
        </w:rPr>
        <w:t>，生产厂为</w:t>
      </w:r>
      <w:r>
        <w:rPr>
          <w:rStyle w:val="50"/>
          <w:i w:val="0"/>
          <w:color w:val="auto"/>
          <w:u w:val="single"/>
        </w:rPr>
        <w:t>（厂名）</w:t>
      </w:r>
      <w:r>
        <w:rPr>
          <w:rStyle w:val="50"/>
          <w:i w:val="0"/>
          <w:color w:val="auto"/>
          <w:vertAlign w:val="superscript"/>
        </w:rPr>
        <w:t>2</w:t>
      </w:r>
      <w:r>
        <w:rPr>
          <w:color w:val="auto"/>
        </w:rPr>
        <w:t>，厂址为</w:t>
      </w:r>
      <w:r>
        <w:rPr>
          <w:rStyle w:val="50"/>
          <w:i w:val="0"/>
          <w:color w:val="auto"/>
          <w:u w:val="single"/>
        </w:rPr>
        <w:t>（生产厂址）</w:t>
      </w:r>
      <w:r>
        <w:rPr>
          <w:color w:val="auto"/>
        </w:rPr>
        <w:t>。</w:t>
      </w:r>
      <w:r>
        <w:rPr>
          <w:color w:val="auto"/>
          <w:u w:val="single"/>
        </w:rPr>
        <w:t xml:space="preserve"> </w:t>
      </w:r>
      <w:r>
        <w:rPr>
          <w:rStyle w:val="50"/>
          <w:i w:val="0"/>
          <w:color w:val="auto"/>
          <w:u w:val="single"/>
        </w:rPr>
        <w:t xml:space="preserve">（产品名称1） </w:t>
      </w:r>
      <w:r>
        <w:rPr>
          <w:color w:val="auto"/>
        </w:rPr>
        <w:t>的中国境内生产的组件成本占比≥</w:t>
      </w:r>
      <w:r>
        <w:rPr>
          <w:rStyle w:val="50"/>
          <w:i w:val="0"/>
          <w:color w:val="auto"/>
          <w:u w:val="single"/>
        </w:rPr>
        <w:t>（规定比例）</w:t>
      </w:r>
      <w:r>
        <w:rPr>
          <w:rStyle w:val="50"/>
          <w:i w:val="0"/>
          <w:color w:val="auto"/>
          <w:vertAlign w:val="superscript"/>
        </w:rPr>
        <w:t>3</w:t>
      </w:r>
      <w:r>
        <w:rPr>
          <w:color w:val="auto"/>
        </w:rPr>
        <w:t>。</w:t>
      </w:r>
      <w:r>
        <w:rPr>
          <w:rStyle w:val="50"/>
          <w:i w:val="0"/>
          <w:color w:val="auto"/>
          <w:u w:val="single"/>
        </w:rPr>
        <w:t>（产品名称1）</w:t>
      </w:r>
      <w:r>
        <w:rPr>
          <w:color w:val="auto"/>
        </w:rPr>
        <w:t>的</w:t>
      </w:r>
      <w:r>
        <w:rPr>
          <w:rStyle w:val="50"/>
          <w:i w:val="0"/>
          <w:color w:val="auto"/>
          <w:u w:val="single"/>
        </w:rPr>
        <w:t>（关键组件）</w:t>
      </w:r>
      <w:r>
        <w:rPr>
          <w:rStyle w:val="50"/>
          <w:i w:val="0"/>
          <w:color w:val="auto"/>
          <w:vertAlign w:val="superscript"/>
        </w:rPr>
        <w:t>4</w:t>
      </w:r>
      <w:r>
        <w:rPr>
          <w:color w:val="auto"/>
        </w:rPr>
        <w:t>在中国境内生产。</w:t>
      </w:r>
      <w:r>
        <w:rPr>
          <w:rStyle w:val="50"/>
          <w:i w:val="0"/>
          <w:color w:val="auto"/>
          <w:u w:val="single"/>
        </w:rPr>
        <w:t>（产品名称1）</w:t>
      </w:r>
      <w:r>
        <w:rPr>
          <w:color w:val="auto"/>
        </w:rPr>
        <w:t>的</w:t>
      </w:r>
      <w:r>
        <w:rPr>
          <w:rStyle w:val="50"/>
          <w:i w:val="0"/>
          <w:color w:val="auto"/>
          <w:u w:val="single"/>
        </w:rPr>
        <w:t>（关键工序）</w:t>
      </w:r>
      <w:r>
        <w:rPr>
          <w:rStyle w:val="50"/>
          <w:i w:val="0"/>
          <w:color w:val="auto"/>
          <w:vertAlign w:val="superscript"/>
        </w:rPr>
        <w:t>5</w:t>
      </w:r>
      <w:r>
        <w:rPr>
          <w:color w:val="auto"/>
        </w:rPr>
        <w:t>在中国境内完成。</w:t>
      </w:r>
    </w:p>
    <w:p w14:paraId="7AC89F6C">
      <w:pPr>
        <w:pStyle w:val="17"/>
        <w:widowControl/>
        <w:rPr>
          <w:color w:val="auto"/>
        </w:rPr>
      </w:pPr>
      <w:r>
        <w:rPr>
          <w:color w:val="auto"/>
        </w:rPr>
        <mc:AlternateContent>
          <mc:Choice Requires="wps">
            <w:drawing>
              <wp:anchor distT="0" distB="0" distL="114300" distR="114300" simplePos="0" relativeHeight="251666432" behindDoc="0" locked="0" layoutInCell="1" allowOverlap="1">
                <wp:simplePos x="0" y="0"/>
                <wp:positionH relativeFrom="column">
                  <wp:posOffset>3124200</wp:posOffset>
                </wp:positionH>
                <wp:positionV relativeFrom="paragraph">
                  <wp:posOffset>301625</wp:posOffset>
                </wp:positionV>
                <wp:extent cx="849630" cy="120015"/>
                <wp:effectExtent l="635" t="4445" r="6985" b="8890"/>
                <wp:wrapNone/>
                <wp:docPr id="17" name="直接箭头连接符 17"/>
                <wp:cNvGraphicFramePr/>
                <a:graphic xmlns:a="http://schemas.openxmlformats.org/drawingml/2006/main">
                  <a:graphicData uri="http://schemas.microsoft.com/office/word/2010/wordprocessingShape">
                    <wps:wsp>
                      <wps:cNvCnPr/>
                      <wps:spPr>
                        <a:xfrm flipV="1">
                          <a:off x="0" y="0"/>
                          <a:ext cx="84963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46pt;margin-top:23.75pt;height:9.45pt;width:66.9pt;z-index:251666432;mso-width-relative:page;mso-height-relative:page;" filled="f" stroked="t" coordsize="21600,21600" o:gfxdata="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2zwZ6NgAAAAJAQAADwAAAAAAAAABACAAAAAiAAAA&#10;ZHJzL2Rvd25yZXYueG1sUEsBAhQAFAAAAAgAh07iQCBmVaQHAgAA/AMAAA4AAAAAAAAAAQAgAAAA&#10;JwEAAGRycy9lMm9Eb2MueG1sUEsFBgAAAAAGAAYAWQEAAKAFAAAAAA==&#10;">
                <v:fill on="f" focussize="0,0"/>
                <v:stroke color="#000000" joinstyle="round"/>
                <v:imagedata o:title=""/>
                <o:lock v:ext="edit" aspectratio="f"/>
              </v:shape>
            </w:pict>
          </mc:Fallback>
        </mc:AlternateContent>
      </w:r>
      <w:r>
        <w:rPr>
          <w:color w:val="auto"/>
        </w:rPr>
        <mc:AlternateContent>
          <mc:Choice Requires="wps">
            <w:drawing>
              <wp:anchor distT="0" distB="0" distL="114300" distR="114300" simplePos="0" relativeHeight="251673600" behindDoc="0" locked="0" layoutInCell="1" allowOverlap="1">
                <wp:simplePos x="0" y="0"/>
                <wp:positionH relativeFrom="column">
                  <wp:posOffset>4471670</wp:posOffset>
                </wp:positionH>
                <wp:positionV relativeFrom="paragraph">
                  <wp:posOffset>264160</wp:posOffset>
                </wp:positionV>
                <wp:extent cx="462280" cy="147320"/>
                <wp:effectExtent l="1270" t="4445" r="12700" b="19685"/>
                <wp:wrapNone/>
                <wp:docPr id="12" name="直接箭头连接符 12"/>
                <wp:cNvGraphicFramePr/>
                <a:graphic xmlns:a="http://schemas.openxmlformats.org/drawingml/2006/main">
                  <a:graphicData uri="http://schemas.microsoft.com/office/word/2010/wordprocessingShape">
                    <wps:wsp>
                      <wps:cNvCnPr/>
                      <wps:spPr>
                        <a:xfrm flipV="1">
                          <a:off x="0" y="0"/>
                          <a:ext cx="462280" cy="14732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52.1pt;margin-top:20.8pt;height:11.6pt;width:36.4pt;z-index:251673600;mso-width-relative:page;mso-height-relative:page;" filled="f" stroked="t" coordsize="21600,21600" o:gfxdata="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Ivw9nzWAAAACQEAAA8AAAAAAAAAAQAgAAAAIgAA&#10;AGRycy9kb3ducmV2LnhtbFBLAQIUABQAAAAIAIdO4kD4HjHKCgIAAPwDAAAOAAAAAAAAAAEAIAAA&#10;ACUBAABkcnMvZTJvRG9jLnhtbFBLBQYAAAAABgAGAFkBAAChBQAAAAA=&#10;">
                <v:fill on="f" focussize="0,0"/>
                <v:stroke color="#000000" joinstyle="round"/>
                <v:imagedata o:title=""/>
                <o:lock v:ext="edit" aspectratio="f"/>
              </v:shape>
            </w:pict>
          </mc:Fallback>
        </mc:AlternateContent>
      </w:r>
      <w:r>
        <w:rPr>
          <w:color w:val="auto"/>
        </w:rPr>
        <mc:AlternateContent>
          <mc:Choice Requires="wps">
            <w:drawing>
              <wp:anchor distT="0" distB="0" distL="114300" distR="114300" simplePos="0" relativeHeight="251665408" behindDoc="0" locked="0" layoutInCell="1" allowOverlap="1">
                <wp:simplePos x="0" y="0"/>
                <wp:positionH relativeFrom="column">
                  <wp:posOffset>2102485</wp:posOffset>
                </wp:positionH>
                <wp:positionV relativeFrom="paragraph">
                  <wp:posOffset>248285</wp:posOffset>
                </wp:positionV>
                <wp:extent cx="843915" cy="125730"/>
                <wp:effectExtent l="635" t="4445" r="12700" b="22225"/>
                <wp:wrapNone/>
                <wp:docPr id="14" name="直接箭头连接符 14"/>
                <wp:cNvGraphicFramePr/>
                <a:graphic xmlns:a="http://schemas.openxmlformats.org/drawingml/2006/main">
                  <a:graphicData uri="http://schemas.microsoft.com/office/word/2010/wordprocessingShape">
                    <wps:wsp>
                      <wps:cNvCnPr/>
                      <wps:spPr>
                        <a:xfrm flipV="1">
                          <a:off x="0" y="0"/>
                          <a:ext cx="843915" cy="12573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65.55pt;margin-top:19.55pt;height:9.9pt;width:66.45pt;z-index:251665408;mso-width-relative:page;mso-height-relative:page;" filled="f" stroked="t" coordsize="21600,21600" o:gfxdata="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ggvgcNgAAAAJAQAADwAAAAAAAAABACAAAAAi&#10;AAAAZHJzL2Rvd25yZXYueG1sUEsBAhQAFAAAAAgAh07iQMwXgEwKAgAA/AMAAA4AAAAAAAAAAQAg&#10;AAAAJwEAAGRycy9lMm9Eb2MueG1sUEsFBgAAAAAGAAYAWQEAAKMFAAAAAA==&#10;">
                <v:fill on="f" focussize="0,0"/>
                <v:stroke color="#000000" joinstyle="round"/>
                <v:imagedata o:title=""/>
                <o:lock v:ext="edit" aspectratio="f"/>
              </v:shape>
            </w:pict>
          </mc:Fallback>
        </mc:AlternateContent>
      </w:r>
      <w:r>
        <w:rPr>
          <w:color w:val="auto"/>
        </w:rPr>
        <mc:AlternateContent>
          <mc:Choice Requires="wps">
            <w:drawing>
              <wp:anchor distT="0" distB="0" distL="114300" distR="114300" simplePos="0" relativeHeight="251668480" behindDoc="0" locked="0" layoutInCell="1" allowOverlap="1">
                <wp:simplePos x="0" y="0"/>
                <wp:positionH relativeFrom="column">
                  <wp:posOffset>1902460</wp:posOffset>
                </wp:positionH>
                <wp:positionV relativeFrom="paragraph">
                  <wp:posOffset>537210</wp:posOffset>
                </wp:positionV>
                <wp:extent cx="821690" cy="102870"/>
                <wp:effectExtent l="635" t="4445" r="15875" b="6985"/>
                <wp:wrapNone/>
                <wp:docPr id="16" name="直接箭头连接符 16"/>
                <wp:cNvGraphicFramePr/>
                <a:graphic xmlns:a="http://schemas.openxmlformats.org/drawingml/2006/main">
                  <a:graphicData uri="http://schemas.microsoft.com/office/word/2010/wordprocessingShape">
                    <wps:wsp>
                      <wps:cNvCnPr/>
                      <wps:spPr>
                        <a:xfrm flipV="1">
                          <a:off x="0" y="0"/>
                          <a:ext cx="821690" cy="10287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49.8pt;margin-top:42.3pt;height:8.1pt;width:64.7pt;z-index:251668480;mso-width-relative:page;mso-height-relative:page;" filled="f" stroked="t" coordsize="21600,21600" o:gfxdata="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lGA3h1wAAAAoBAAAPAAAAAAAAAAEAIAAAACIA&#10;AABkcnMvZG93bnJldi54bWxQSwECFAAUAAAACACHTuJA9up+/AoCAAD8AwAADgAAAAAAAAABACAA&#10;AAAmAQAAZHJzL2Uyb0RvYy54bWxQSwUGAAAAAAYABgBZAQAAogUAAAAA&#10;">
                <v:fill on="f" focussize="0,0"/>
                <v:stroke color="#000000" joinstyle="round"/>
                <v:imagedata o:title=""/>
                <o:lock v:ext="edit" aspectratio="f"/>
              </v:shape>
            </w:pict>
          </mc:Fallback>
        </mc:AlternateContent>
      </w:r>
      <w:r>
        <w:rPr>
          <w:color w:val="auto"/>
        </w:rPr>
        <mc:AlternateContent>
          <mc:Choice Requires="wps">
            <w:drawing>
              <wp:anchor distT="0" distB="0" distL="114300" distR="114300" simplePos="0" relativeHeight="251667456" behindDoc="0" locked="0" layoutInCell="1" allowOverlap="1">
                <wp:simplePos x="0" y="0"/>
                <wp:positionH relativeFrom="column">
                  <wp:posOffset>540385</wp:posOffset>
                </wp:positionH>
                <wp:positionV relativeFrom="paragraph">
                  <wp:posOffset>549910</wp:posOffset>
                </wp:positionV>
                <wp:extent cx="908685" cy="140970"/>
                <wp:effectExtent l="635" t="4445" r="5080" b="6985"/>
                <wp:wrapNone/>
                <wp:docPr id="13" name="直接箭头连接符 13"/>
                <wp:cNvGraphicFramePr/>
                <a:graphic xmlns:a="http://schemas.openxmlformats.org/drawingml/2006/main">
                  <a:graphicData uri="http://schemas.microsoft.com/office/word/2010/wordprocessingShape">
                    <wps:wsp>
                      <wps:cNvCnPr/>
                      <wps:spPr>
                        <a:xfrm flipV="1">
                          <a:off x="0" y="0"/>
                          <a:ext cx="908685" cy="14097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42.55pt;margin-top:43.3pt;height:11.1pt;width:71.55pt;z-index:251667456;mso-width-relative:page;mso-height-relative:page;" filled="f" stroked="t" coordsize="21600,21600" o:gfxdata="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E0ClkvWAAAACQEAAA8AAAAAAAAAAQAgAAAAIgAA&#10;AGRycy9kb3ducmV2LnhtbFBLAQIUABQAAAAIAIdO4kBCfuaXCgIAAPwDAAAOAAAAAAAAAAEAIAAA&#10;ACUBAABkcnMvZTJvRG9jLnhtbFBLBQYAAAAABgAGAFkBAAChBQAAAAA=&#10;">
                <v:fill on="f" focussize="0,0"/>
                <v:stroke color="#000000" joinstyle="round"/>
                <v:imagedata o:title=""/>
                <o:lock v:ext="edit" aspectratio="f"/>
              </v:shape>
            </w:pict>
          </mc:Fallback>
        </mc:AlternateContent>
      </w:r>
      <w:r>
        <w:rPr>
          <w:color w:val="auto"/>
        </w:rPr>
        <mc:AlternateContent>
          <mc:Choice Requires="wps">
            <w:drawing>
              <wp:anchor distT="0" distB="0" distL="114300" distR="114300" simplePos="0" relativeHeight="251672576"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21" name="直接箭头连接符 21"/>
                <wp:cNvGraphicFramePr/>
                <a:graphic xmlns:a="http://schemas.openxmlformats.org/drawingml/2006/main">
                  <a:graphicData uri="http://schemas.microsoft.com/office/word/2010/wordprocessingShape">
                    <wps:wsp>
                      <wps:cNvCnPr/>
                      <wps:spPr>
                        <a:xfrm flipV="1">
                          <a:off x="0" y="0"/>
                          <a:ext cx="718185"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52.45pt;margin-top:4.7pt;height:7.7pt;width:56.55pt;z-index:251672576;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O/OWbtcAAAAIAQAADwAAAAAAAAABACAAAAAiAAAA&#10;ZHJzL2Rvd25yZXYueG1sUEsBAhQAFAAAAAgAh07iQNnlHm0IAgAA+wMAAA4AAAAAAAAAAQAgAAAA&#10;JgEAAGRycy9lMm9Eb2MueG1sUEsFBgAAAAAGAAYAWQEAAKAFAAAAAA==&#10;">
                <v:fill on="f" focussize="0,0"/>
                <v:stroke color="#000000" joinstyle="round"/>
                <v:imagedata o:title=""/>
                <o:lock v:ext="edit" aspectratio="f"/>
              </v:shape>
            </w:pict>
          </mc:Fallback>
        </mc:AlternateContent>
      </w:r>
      <w:r>
        <w:rPr>
          <w:color w:val="auto"/>
        </w:rPr>
        <w:t>2.</w:t>
      </w:r>
      <w:r>
        <w:rPr>
          <w:rStyle w:val="50"/>
          <w:i w:val="0"/>
          <w:color w:val="auto"/>
          <w:u w:val="single"/>
        </w:rPr>
        <w:t>（产品名称2）</w:t>
      </w:r>
      <w:r>
        <w:rPr>
          <w:color w:val="auto"/>
        </w:rPr>
        <w:t>，生产厂为</w:t>
      </w:r>
      <w:r>
        <w:rPr>
          <w:rStyle w:val="50"/>
          <w:i w:val="0"/>
          <w:color w:val="auto"/>
          <w:u w:val="single"/>
        </w:rPr>
        <w:t>（厂名）</w:t>
      </w:r>
      <w:r>
        <w:rPr>
          <w:color w:val="auto"/>
        </w:rPr>
        <w:t>，厂址为</w:t>
      </w:r>
      <w:r>
        <w:rPr>
          <w:rStyle w:val="50"/>
          <w:i w:val="0"/>
          <w:color w:val="auto"/>
          <w:u w:val="single"/>
        </w:rPr>
        <w:t>（生产厂址）</w:t>
      </w:r>
      <w:r>
        <w:rPr>
          <w:color w:val="auto"/>
        </w:rPr>
        <w:t>。</w:t>
      </w:r>
      <w:r>
        <w:rPr>
          <w:rStyle w:val="50"/>
          <w:i w:val="0"/>
          <w:color w:val="auto"/>
          <w:u w:val="single"/>
        </w:rPr>
        <w:t>（产品名称2）</w:t>
      </w:r>
      <w:r>
        <w:rPr>
          <w:color w:val="auto"/>
        </w:rPr>
        <w:t>的中国境内生产的组件成本占比≥</w:t>
      </w:r>
      <w:r>
        <w:rPr>
          <w:rStyle w:val="50"/>
          <w:i w:val="0"/>
          <w:color w:val="auto"/>
          <w:u w:val="single"/>
        </w:rPr>
        <w:t>（规定比例）</w:t>
      </w:r>
      <w:r>
        <w:rPr>
          <w:color w:val="auto"/>
        </w:rPr>
        <w:t>。</w:t>
      </w:r>
      <w:r>
        <w:rPr>
          <w:rStyle w:val="50"/>
          <w:i w:val="0"/>
          <w:color w:val="auto"/>
          <w:u w:val="single"/>
        </w:rPr>
        <w:t>（产品名称2）</w:t>
      </w:r>
      <w:r>
        <w:rPr>
          <w:color w:val="auto"/>
        </w:rPr>
        <w:t>的</w:t>
      </w:r>
      <w:r>
        <w:rPr>
          <w:rStyle w:val="50"/>
          <w:i w:val="0"/>
          <w:color w:val="auto"/>
          <w:u w:val="single"/>
        </w:rPr>
        <w:t>（关键组件）</w:t>
      </w:r>
      <w:r>
        <w:rPr>
          <w:color w:val="auto"/>
        </w:rPr>
        <w:t>在中国境内生产。</w:t>
      </w:r>
      <w:r>
        <w:rPr>
          <w:rStyle w:val="50"/>
          <w:i w:val="0"/>
          <w:color w:val="auto"/>
          <w:u w:val="single"/>
        </w:rPr>
        <w:t>（产品名称1）</w:t>
      </w:r>
      <w:r>
        <w:rPr>
          <w:color w:val="auto"/>
        </w:rPr>
        <w:t>的</w:t>
      </w:r>
      <w:r>
        <w:rPr>
          <w:rStyle w:val="50"/>
          <w:i w:val="0"/>
          <w:color w:val="auto"/>
          <w:u w:val="single"/>
        </w:rPr>
        <w:t>（关键工序）</w:t>
      </w:r>
      <w:r>
        <w:rPr>
          <w:color w:val="auto"/>
        </w:rPr>
        <w:t>在中国境内完成。</w:t>
      </w:r>
    </w:p>
    <w:p w14:paraId="7F00076D">
      <w:pPr>
        <w:pStyle w:val="38"/>
        <w:spacing w:before="30" w:beforeAutospacing="0" w:after="30" w:afterAutospacing="0" w:line="360" w:lineRule="auto"/>
        <w:ind w:firstLine="420"/>
        <w:rPr>
          <w:rFonts w:hint="eastAsia" w:ascii="方正魏碑_GBK" w:hAnsi="方正魏碑_GBK" w:eastAsia="方正魏碑_GBK" w:cs="方正魏碑_GBK"/>
          <w:color w:val="auto"/>
          <w:shd w:val="clear" w:color="auto" w:fill="FFFFFF"/>
        </w:rPr>
      </w:pPr>
    </w:p>
    <w:p w14:paraId="20469D99">
      <w:pPr>
        <w:pStyle w:val="17"/>
        <w:widowControl/>
        <w:rPr>
          <w:color w:val="auto"/>
        </w:rPr>
      </w:pPr>
      <w:r>
        <w:rPr>
          <w:color w:val="auto"/>
        </w:rPr>
        <w:t>……</w:t>
      </w:r>
    </w:p>
    <w:p w14:paraId="3A063A56">
      <w:pPr>
        <w:pStyle w:val="17"/>
        <w:widowControl/>
        <w:rPr>
          <w:color w:val="auto"/>
        </w:rPr>
      </w:pPr>
      <w:r>
        <w:rPr>
          <w:color w:val="auto"/>
        </w:rPr>
        <w:t>本公司（单位）对上述声明内容的真实性负责。如有虚假，愿承担相应法律责任。</w:t>
      </w:r>
    </w:p>
    <w:p w14:paraId="68D882AE">
      <w:pPr>
        <w:pStyle w:val="38"/>
        <w:spacing w:before="30" w:beforeAutospacing="0" w:after="30" w:afterAutospacing="0" w:line="360" w:lineRule="auto"/>
        <w:rPr>
          <w:rFonts w:hint="eastAsia" w:ascii="方正魏碑_GBK" w:hAnsi="方正魏碑_GBK" w:eastAsia="方正魏碑_GBK" w:cs="方正魏碑_GBK"/>
          <w:color w:val="auto"/>
        </w:rPr>
      </w:pPr>
    </w:p>
    <w:p w14:paraId="0D1D6C08">
      <w:pPr>
        <w:pStyle w:val="38"/>
        <w:spacing w:before="30" w:beforeAutospacing="0" w:after="30" w:afterAutospacing="0" w:line="360" w:lineRule="auto"/>
        <w:ind w:right="480" w:firstLine="3720" w:firstLineChars="1550"/>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shd w:val="clear" w:color="auto" w:fill="FFFFFF"/>
        </w:rPr>
        <w:t>公司（单位）名称（盖章）：　        </w:t>
      </w:r>
    </w:p>
    <w:p w14:paraId="3A5066A8">
      <w:pPr>
        <w:pStyle w:val="38"/>
        <w:spacing w:before="30" w:beforeAutospacing="0" w:after="30" w:afterAutospacing="0" w:line="360" w:lineRule="auto"/>
        <w:jc w:val="center"/>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shd w:val="clear" w:color="auto" w:fill="FFFFFF"/>
        </w:rPr>
        <w:t xml:space="preserve">                    </w:t>
      </w:r>
      <w:r>
        <w:rPr>
          <w:rFonts w:ascii="Times New Roman" w:hAnsi="Times New Roman" w:eastAsia="宋体" w:cs="Times New Roman"/>
          <w:color w:val="auto"/>
          <w:sz w:val="24"/>
          <w:szCs w:val="24"/>
          <w:shd w:val="clear" w:color="auto" w:fill="FFFFFF"/>
        </w:rPr>
        <w:t xml:space="preserve">            </w:t>
      </w:r>
      <w:r>
        <w:rPr>
          <w:rFonts w:hint="eastAsia" w:ascii="Times New Roman" w:hAnsi="Times New Roman" w:eastAsia="宋体" w:cs="Times New Roman"/>
          <w:color w:val="auto"/>
          <w:sz w:val="24"/>
          <w:szCs w:val="24"/>
          <w:shd w:val="clear" w:color="auto" w:fill="FFFFFF"/>
        </w:rPr>
        <w:t>日期：　   年　  月　  日         </w:t>
      </w:r>
    </w:p>
    <w:p w14:paraId="37B394D5">
      <w:pPr>
        <w:pStyle w:val="38"/>
        <w:spacing w:before="30" w:beforeAutospacing="0" w:after="30" w:afterAutospacing="0" w:line="360" w:lineRule="auto"/>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__________________</w:t>
      </w:r>
    </w:p>
    <w:p w14:paraId="05A6DCE7">
      <w:pPr>
        <w:pStyle w:val="17"/>
        <w:widowControl/>
        <w:numPr>
          <w:ilvl w:val="0"/>
          <w:numId w:val="97"/>
        </w:numPr>
        <w:ind w:left="0" w:leftChars="0" w:firstLine="480" w:firstLineChars="0"/>
        <w:rPr>
          <w:b w:val="0"/>
          <w:color w:val="auto"/>
        </w:rPr>
      </w:pPr>
      <w:r>
        <w:rPr>
          <w:color w:val="auto"/>
        </w:rPr>
        <w:t>产品如有型号，请在“产品名称”栏一并填写。</w:t>
      </w:r>
    </w:p>
    <w:p w14:paraId="194B4451">
      <w:pPr>
        <w:pStyle w:val="17"/>
        <w:widowControl/>
        <w:numPr>
          <w:ilvl w:val="0"/>
          <w:numId w:val="97"/>
        </w:numPr>
        <w:ind w:left="0" w:leftChars="0" w:firstLine="480" w:firstLineChars="0"/>
        <w:rPr>
          <w:b w:val="0"/>
          <w:color w:val="auto"/>
        </w:rPr>
      </w:pPr>
      <w:r>
        <w:rPr>
          <w:color w:val="auto"/>
        </w:rPr>
        <w:t>生产厂名与厂址应与生产厂营业执照载明的相关信息保持一致。</w:t>
      </w:r>
    </w:p>
    <w:p w14:paraId="7B5FBB51">
      <w:pPr>
        <w:pStyle w:val="17"/>
        <w:widowControl/>
        <w:numPr>
          <w:ilvl w:val="0"/>
          <w:numId w:val="97"/>
        </w:numPr>
        <w:ind w:left="0" w:leftChars="0" w:firstLine="480" w:firstLineChars="0"/>
        <w:rPr>
          <w:b w:val="0"/>
          <w:color w:val="auto"/>
        </w:rPr>
      </w:pPr>
      <w:r>
        <w:rPr>
          <w:color w:val="auto"/>
        </w:rPr>
        <w:t>该产品的中国境内生产的组件成本占比相关要求实施前，“规定比例”栏可不填，下同。</w:t>
      </w:r>
    </w:p>
    <w:p w14:paraId="762DD938">
      <w:pPr>
        <w:pStyle w:val="17"/>
        <w:widowControl/>
        <w:numPr>
          <w:ilvl w:val="0"/>
          <w:numId w:val="97"/>
        </w:numPr>
        <w:ind w:left="0" w:leftChars="0" w:firstLine="480" w:firstLineChars="0"/>
        <w:rPr>
          <w:b w:val="0"/>
          <w:color w:val="auto"/>
        </w:rPr>
      </w:pPr>
      <w:r>
        <w:rPr>
          <w:color w:val="auto"/>
        </w:rPr>
        <w:t>该产品的关键组件要求实施前，“关键组件”栏可不填，下同。</w:t>
      </w:r>
    </w:p>
    <w:p w14:paraId="33CE411B">
      <w:pPr>
        <w:pStyle w:val="17"/>
        <w:widowControl/>
        <w:numPr>
          <w:ilvl w:val="0"/>
          <w:numId w:val="97"/>
        </w:numPr>
        <w:ind w:left="0" w:leftChars="0" w:firstLine="480" w:firstLineChars="0"/>
        <w:rPr>
          <w:b w:val="0"/>
          <w:color w:val="auto"/>
        </w:rPr>
      </w:pPr>
      <w:r>
        <w:rPr>
          <w:color w:val="auto"/>
        </w:rPr>
        <w:t>该产品的关键工序要求实施前，“关键工序”栏可不填，下同。</w:t>
      </w:r>
    </w:p>
    <w:p w14:paraId="2B38F398">
      <w:pPr>
        <w:pStyle w:val="17"/>
        <w:widowControl/>
        <w:numPr>
          <w:ilvl w:val="0"/>
          <w:numId w:val="97"/>
        </w:numPr>
        <w:ind w:left="0" w:leftChars="0" w:firstLine="480" w:firstLineChars="0"/>
        <w:rPr>
          <w:b w:val="0"/>
          <w:color w:val="auto"/>
        </w:rPr>
      </w:pPr>
      <w:r>
        <w:rPr>
          <w:color w:val="auto"/>
        </w:rPr>
        <w:t>用斜线划除的地方无需填写。</w:t>
      </w:r>
    </w:p>
    <w:p w14:paraId="72BD56E1">
      <w:pPr>
        <w:rPr>
          <w:rFonts w:hint="eastAsia" w:asciiTheme="minorEastAsia" w:hAnsiTheme="minorEastAsia" w:eastAsiaTheme="minorEastAsia" w:cstheme="minorEastAsia"/>
          <w:color w:val="auto"/>
        </w:rPr>
      </w:pPr>
    </w:p>
    <w:p w14:paraId="05D5EFDB">
      <w:pPr>
        <w:rPr>
          <w:rFonts w:hint="eastAsia" w:asciiTheme="minorEastAsia" w:hAnsiTheme="minorEastAsia" w:eastAsiaTheme="minorEastAsia" w:cstheme="minorEastAsia"/>
          <w:color w:val="auto"/>
        </w:rPr>
      </w:pPr>
    </w:p>
    <w:p w14:paraId="50EE6BC2">
      <w:pPr>
        <w:rPr>
          <w:rFonts w:hint="eastAsia" w:asciiTheme="minorEastAsia" w:hAnsiTheme="minorEastAsia" w:eastAsiaTheme="minorEastAsia" w:cstheme="minorEastAsia"/>
          <w:color w:val="auto"/>
        </w:rPr>
      </w:pPr>
    </w:p>
    <w:p w14:paraId="64EC4864">
      <w:pPr>
        <w:rPr>
          <w:rFonts w:hint="eastAsia" w:asciiTheme="minorEastAsia" w:hAnsiTheme="minorEastAsia" w:eastAsiaTheme="minorEastAsia" w:cstheme="minorEastAsia"/>
          <w:color w:val="auto"/>
        </w:rPr>
      </w:pPr>
    </w:p>
    <w:p w14:paraId="2DBB4C97">
      <w:pPr>
        <w:rPr>
          <w:rFonts w:hint="eastAsia" w:asciiTheme="minorEastAsia" w:hAnsiTheme="minorEastAsia" w:eastAsiaTheme="minorEastAsia" w:cstheme="minorEastAsia"/>
          <w:color w:val="auto"/>
        </w:rPr>
      </w:pPr>
    </w:p>
    <w:p w14:paraId="0D926E64">
      <w:pPr>
        <w:rPr>
          <w:rFonts w:hint="eastAsia" w:asciiTheme="minorEastAsia" w:hAnsiTheme="minorEastAsia" w:eastAsiaTheme="minorEastAsia" w:cstheme="minorEastAsia"/>
          <w:color w:val="auto"/>
        </w:rPr>
      </w:pPr>
    </w:p>
    <w:p w14:paraId="115688E3">
      <w:pPr>
        <w:rPr>
          <w:rFonts w:hint="eastAsia" w:asciiTheme="minorEastAsia" w:hAnsiTheme="minorEastAsia" w:eastAsiaTheme="minorEastAsia" w:cstheme="minorEastAsia"/>
          <w:color w:val="auto"/>
        </w:rPr>
      </w:pPr>
    </w:p>
    <w:p w14:paraId="6845CAF0">
      <w:pPr>
        <w:rPr>
          <w:rFonts w:hint="eastAsia" w:asciiTheme="minorEastAsia" w:hAnsiTheme="minorEastAsia" w:eastAsiaTheme="minorEastAsia" w:cstheme="minorEastAsia"/>
          <w:color w:val="auto"/>
        </w:rPr>
      </w:pPr>
    </w:p>
    <w:p w14:paraId="1287C015">
      <w:pPr>
        <w:pStyle w:val="3"/>
        <w:numPr>
          <w:ilvl w:val="0"/>
          <w:numId w:val="96"/>
        </w:numPr>
        <w:ind w:left="0" w:leftChars="0" w:firstLine="0" w:firstLineChars="0"/>
        <w:rPr>
          <w:b w:val="0"/>
          <w:color w:val="auto"/>
        </w:rPr>
      </w:pPr>
      <w:r>
        <w:rPr>
          <w:rFonts w:hint="eastAsia"/>
          <w:color w:val="auto"/>
          <w:lang w:val="en-US" w:eastAsia="zh-CN"/>
        </w:rPr>
        <w:t>响应供应商</w:t>
      </w:r>
      <w:r>
        <w:rPr>
          <w:color w:val="auto"/>
        </w:rPr>
        <w:t>关于检测报告合规性的承诺函（实质性格式）</w:t>
      </w:r>
    </w:p>
    <w:p w14:paraId="045F0998">
      <w:pPr>
        <w:numPr>
          <w:ilvl w:val="0"/>
          <w:numId w:val="0"/>
        </w:numPr>
        <w:spacing w:line="360" w:lineRule="auto"/>
        <w:ind w:leftChars="0" w:firstLine="420" w:firstLineChars="0"/>
        <w:jc w:val="center"/>
        <w:rPr>
          <w:rFonts w:hint="eastAsia" w:asciiTheme="minorEastAsia" w:hAnsiTheme="minorEastAsia" w:eastAsiaTheme="minorEastAsia" w:cstheme="minorEastAsia"/>
          <w:color w:val="auto"/>
          <w:sz w:val="24"/>
          <w:szCs w:val="24"/>
          <w:highlight w:val="none"/>
        </w:rPr>
      </w:pPr>
    </w:p>
    <w:p w14:paraId="2A6A84B8">
      <w:pPr>
        <w:numPr>
          <w:ilvl w:val="0"/>
          <w:numId w:val="0"/>
        </w:numPr>
        <w:spacing w:line="360" w:lineRule="auto"/>
        <w:ind w:leftChars="0" w:firstLine="420" w:firstLineChars="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mc:AlternateContent>
          <mc:Choice Requires="wps">
            <w:drawing>
              <wp:anchor distT="0" distB="0" distL="114300" distR="114300" simplePos="0" relativeHeight="251661312" behindDoc="0" locked="0" layoutInCell="1" allowOverlap="1">
                <wp:simplePos x="0" y="0"/>
                <wp:positionH relativeFrom="page">
                  <wp:posOffset>533400</wp:posOffset>
                </wp:positionH>
                <wp:positionV relativeFrom="paragraph">
                  <wp:posOffset>140970</wp:posOffset>
                </wp:positionV>
                <wp:extent cx="38100" cy="222885"/>
                <wp:effectExtent l="0" t="0" r="0" b="5715"/>
                <wp:wrapNone/>
                <wp:docPr id="6" name="矩形 6"/>
                <wp:cNvGraphicFramePr/>
                <a:graphic xmlns:a="http://schemas.openxmlformats.org/drawingml/2006/main">
                  <a:graphicData uri="http://schemas.microsoft.com/office/word/2010/wordprocessingShape">
                    <wps:wsp>
                      <wps:cNvSpPr/>
                      <wps:spPr>
                        <a:xfrm>
                          <a:off x="0" y="0"/>
                          <a:ext cx="38100" cy="222885"/>
                        </a:xfrm>
                        <a:prstGeom prst="rect">
                          <a:avLst/>
                        </a:prstGeom>
                        <a:solidFill>
                          <a:srgbClr val="DDDDDD"/>
                        </a:solidFill>
                        <a:ln>
                          <a:noFill/>
                        </a:ln>
                      </wps:spPr>
                      <wps:bodyPr upright="1"/>
                    </wps:wsp>
                  </a:graphicData>
                </a:graphic>
              </wp:anchor>
            </w:drawing>
          </mc:Choice>
          <mc:Fallback>
            <w:pict>
              <v:rect id="_x0000_s1026" o:spid="_x0000_s1026" o:spt="1" style="position:absolute;left:0pt;margin-left:42pt;margin-top:11.1pt;height:17.55pt;width:3pt;mso-position-horizontal-relative:page;z-index:251661312;mso-width-relative:page;mso-height-relative:page;" fillcolor="#DDDDDD" filled="t" stroked="f" coordsize="21600,21600" o:gfxdata="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ELa/KTY&#10;AAAABwEAAA8AAAAAAAAAAQAgAAAAIgAAAGRycy9kb3ducmV2LnhtbFBLAQIUABQAAAAIAIdO4kDE&#10;GrgurgEAAF0DAAAOAAAAAAAAAAEAIAAAACcBAABkcnMvZTJvRG9jLnhtbFBLBQYAAAAABgAGAFkB&#10;AABHBQAAAAA=&#10;">
                <v:fill on="t" focussize="0,0"/>
                <v:stroke on="f"/>
                <v:imagedata o:title=""/>
                <o:lock v:ext="edit" aspectratio="f"/>
              </v:rect>
            </w:pict>
          </mc:Fallback>
        </mc:AlternateContent>
      </w:r>
      <w:r>
        <w:rPr>
          <w:rFonts w:hint="eastAsia" w:asciiTheme="minorEastAsia" w:hAnsiTheme="minorEastAsia" w:eastAsiaTheme="minorEastAsia" w:cstheme="minorEastAsia"/>
          <w:color w:val="auto"/>
          <w:sz w:val="24"/>
          <w:szCs w:val="24"/>
          <w:highlight w:val="none"/>
        </w:rPr>
        <w:t>（本承诺书须加盖</w:t>
      </w:r>
      <w:r>
        <w:rPr>
          <w:rFonts w:hint="eastAsia" w:asciiTheme="minorEastAsia" w:hAnsiTheme="minorEastAsia" w:eastAsiaTheme="minorEastAsia" w:cstheme="minorEastAsia"/>
          <w:color w:val="auto"/>
          <w:sz w:val="24"/>
          <w:szCs w:val="24"/>
          <w:highlight w:val="none"/>
          <w:lang w:val="en-US" w:eastAsia="zh-CN"/>
        </w:rPr>
        <w:t>响应供应商</w:t>
      </w:r>
      <w:r>
        <w:rPr>
          <w:rFonts w:hint="eastAsia" w:asciiTheme="minorEastAsia" w:hAnsiTheme="minorEastAsia" w:eastAsiaTheme="minorEastAsia" w:cstheme="minorEastAsia"/>
          <w:color w:val="auto"/>
          <w:sz w:val="24"/>
          <w:szCs w:val="24"/>
          <w:highlight w:val="none"/>
        </w:rPr>
        <w:t>公章，随</w:t>
      </w:r>
      <w:r>
        <w:rPr>
          <w:rFonts w:hint="eastAsia" w:asciiTheme="minorEastAsia" w:hAnsiTheme="minorEastAsia" w:eastAsiaTheme="minorEastAsia" w:cstheme="minorEastAsia"/>
          <w:color w:val="auto"/>
          <w:sz w:val="24"/>
          <w:szCs w:val="24"/>
          <w:highlight w:val="none"/>
          <w:lang w:val="en-US" w:eastAsia="zh-CN"/>
        </w:rPr>
        <w:t>响应</w:t>
      </w:r>
      <w:r>
        <w:rPr>
          <w:rFonts w:hint="eastAsia" w:asciiTheme="minorEastAsia" w:hAnsiTheme="minorEastAsia" w:eastAsiaTheme="minorEastAsia" w:cstheme="minorEastAsia"/>
          <w:color w:val="auto"/>
          <w:sz w:val="24"/>
          <w:szCs w:val="24"/>
          <w:highlight w:val="none"/>
        </w:rPr>
        <w:t>文件一并提交）</w:t>
      </w:r>
    </w:p>
    <w:p w14:paraId="4D8E6C04">
      <w:pPr>
        <w:pStyle w:val="17"/>
        <w:tabs>
          <w:tab w:val="left" w:pos="567"/>
        </w:tabs>
        <w:spacing w:before="17"/>
        <w:rPr>
          <w:rFonts w:hint="eastAsia" w:asciiTheme="minorEastAsia" w:hAnsiTheme="minorEastAsia" w:eastAsiaTheme="minorEastAsia" w:cstheme="minorEastAsia"/>
          <w:b/>
          <w:color w:val="auto"/>
          <w:sz w:val="10"/>
        </w:rPr>
      </w:pPr>
    </w:p>
    <w:p w14:paraId="5C8E7029">
      <w:pPr>
        <w:keepNext w:val="0"/>
        <w:keepLines w:val="0"/>
        <w:pageBreakBefore w:val="0"/>
        <w:widowControl w:val="0"/>
        <w:kinsoku/>
        <w:wordWrap/>
        <w:overflowPunct/>
        <w:topLinePunct w:val="0"/>
        <w:autoSpaceDE/>
        <w:autoSpaceDN/>
        <w:bidi w:val="0"/>
        <w:adjustRightInd/>
        <w:snapToGrid/>
        <w:spacing w:before="201" w:line="400" w:lineRule="exact"/>
        <w:ind w:left="100" w:right="0" w:firstLine="0"/>
        <w:jc w:val="center"/>
        <w:textAlignment w:val="auto"/>
        <w:rPr>
          <w:rFonts w:hint="eastAsia" w:asciiTheme="minorEastAsia" w:hAnsiTheme="minorEastAsia" w:eastAsiaTheme="minorEastAsia" w:cstheme="minorEastAsia"/>
          <w:b/>
          <w:color w:val="auto"/>
          <w:sz w:val="24"/>
          <w:szCs w:val="24"/>
          <w:lang w:val="en-US" w:eastAsia="zh-CN"/>
        </w:rPr>
      </w:pPr>
      <w:bookmarkStart w:id="660" w:name="投标人关于检测报告合规性的承诺书"/>
      <w:bookmarkEnd w:id="660"/>
      <w:r>
        <w:rPr>
          <w:rFonts w:hint="eastAsia" w:asciiTheme="minorEastAsia" w:hAnsiTheme="minorEastAsia" w:eastAsiaTheme="minorEastAsia" w:cstheme="minorEastAsia"/>
          <w:b/>
          <w:color w:val="auto"/>
          <w:sz w:val="24"/>
          <w:szCs w:val="24"/>
          <w:lang w:val="en-US" w:eastAsia="zh-CN"/>
        </w:rPr>
        <w:t>响应供应商</w:t>
      </w:r>
      <w:r>
        <w:rPr>
          <w:rFonts w:hint="eastAsia" w:asciiTheme="minorEastAsia" w:hAnsiTheme="minorEastAsia" w:eastAsiaTheme="minorEastAsia" w:cstheme="minorEastAsia"/>
          <w:b/>
          <w:color w:val="auto"/>
          <w:sz w:val="24"/>
          <w:szCs w:val="24"/>
        </w:rPr>
        <w:t>关于检测报告合规性的承诺</w:t>
      </w:r>
      <w:r>
        <w:rPr>
          <w:rFonts w:hint="eastAsia" w:asciiTheme="minorEastAsia" w:hAnsiTheme="minorEastAsia" w:eastAsiaTheme="minorEastAsia" w:cstheme="minorEastAsia"/>
          <w:b/>
          <w:color w:val="auto"/>
          <w:sz w:val="24"/>
          <w:szCs w:val="24"/>
          <w:lang w:val="en-US" w:eastAsia="zh-CN"/>
        </w:rPr>
        <w:t>函</w:t>
      </w:r>
    </w:p>
    <w:p w14:paraId="462A83CE">
      <w:pPr>
        <w:pStyle w:val="17"/>
        <w:rPr>
          <w:color w:val="auto"/>
        </w:rPr>
      </w:pPr>
      <w:r>
        <w:rPr>
          <w:color w:val="auto"/>
        </w:rPr>
        <w:t>致：</w:t>
      </w:r>
      <w:r>
        <w:rPr>
          <w:color w:val="auto"/>
          <w:u w:val="single"/>
        </w:rPr>
        <w:t xml:space="preserve"> </w:t>
      </w:r>
      <w:r>
        <w:rPr>
          <w:color w:val="auto"/>
          <w:u w:val="single"/>
        </w:rPr>
        <w:tab/>
      </w:r>
      <w:r>
        <w:rPr>
          <w:color w:val="auto"/>
        </w:rPr>
        <w:t>（采购人/采购代理机构）</w:t>
      </w:r>
    </w:p>
    <w:p w14:paraId="60C94562">
      <w:pPr>
        <w:pStyle w:val="17"/>
        <w:rPr>
          <w:color w:val="auto"/>
        </w:rPr>
      </w:pPr>
      <w:r>
        <w:rPr>
          <w:color w:val="auto"/>
        </w:rPr>
        <w:t>我单位（</w:t>
      </w:r>
      <w:r>
        <w:rPr>
          <w:rFonts w:hint="eastAsia"/>
          <w:color w:val="auto"/>
          <w:lang w:val="en-US" w:eastAsia="zh-CN"/>
        </w:rPr>
        <w:t>响应供应商</w:t>
      </w:r>
      <w:r>
        <w:rPr>
          <w:color w:val="auto"/>
        </w:rPr>
        <w:t>全称：</w:t>
      </w:r>
      <w:r>
        <w:rPr>
          <w:color w:val="auto"/>
          <w:u w:val="single"/>
        </w:rPr>
        <w:t xml:space="preserve">   </w:t>
      </w:r>
      <w:r>
        <w:rPr>
          <w:color w:val="auto"/>
          <w:u w:val="single"/>
        </w:rPr>
        <w:tab/>
      </w:r>
      <w:r>
        <w:rPr>
          <w:color w:val="auto"/>
        </w:rPr>
        <w:t>，统一社会信用代码：</w:t>
      </w:r>
      <w:r>
        <w:rPr>
          <w:color w:val="auto"/>
          <w:u w:val="single"/>
        </w:rPr>
        <w:t xml:space="preserve">    </w:t>
      </w:r>
      <w:r>
        <w:rPr>
          <w:color w:val="auto"/>
          <w:u w:val="single"/>
        </w:rPr>
        <w:tab/>
      </w:r>
      <w:r>
        <w:rPr>
          <w:color w:val="auto"/>
        </w:rPr>
        <w:t>）就参与贵单位组织的“</w:t>
      </w:r>
      <w:r>
        <w:rPr>
          <w:color w:val="auto"/>
          <w:u w:val="single"/>
        </w:rPr>
        <w:t xml:space="preserve"> </w:t>
      </w:r>
      <w:r>
        <w:rPr>
          <w:color w:val="auto"/>
          <w:u w:val="single"/>
        </w:rPr>
        <w:tab/>
      </w:r>
      <w:r>
        <w:rPr>
          <w:color w:val="auto"/>
        </w:rPr>
        <w:t>”项目（项目编号：</w:t>
      </w:r>
      <w:r>
        <w:rPr>
          <w:color w:val="auto"/>
          <w:u w:val="single"/>
        </w:rPr>
        <w:t xml:space="preserve"> </w:t>
      </w:r>
      <w:r>
        <w:rPr>
          <w:color w:val="auto"/>
          <w:u w:val="single"/>
        </w:rPr>
        <w:tab/>
      </w:r>
      <w:r>
        <w:rPr>
          <w:color w:val="auto"/>
        </w:rPr>
        <w:t>）投标（响应），现就所提交的检测报告及相关证明材料郑重承诺如下：</w:t>
      </w:r>
    </w:p>
    <w:p w14:paraId="633198D7">
      <w:pPr>
        <w:pStyle w:val="4"/>
        <w:numPr>
          <w:ilvl w:val="0"/>
          <w:numId w:val="98"/>
        </w:numPr>
        <w:ind w:left="0" w:leftChars="0" w:firstLine="0" w:firstLineChars="0"/>
        <w:rPr>
          <w:b w:val="0"/>
          <w:color w:val="auto"/>
        </w:rPr>
      </w:pPr>
      <w:r>
        <w:rPr>
          <w:color w:val="auto"/>
        </w:rPr>
        <w:t>检测报告真实性</w:t>
      </w:r>
    </w:p>
    <w:p w14:paraId="2F002D8B">
      <w:pPr>
        <w:pStyle w:val="17"/>
        <w:rPr>
          <w:color w:val="auto"/>
        </w:rPr>
      </w:pPr>
      <w:r>
        <w:rPr>
          <w:color w:val="auto"/>
        </w:rPr>
        <w:t>我单位提交的检测报告（报告编号：</w:t>
      </w:r>
      <w:r>
        <w:rPr>
          <w:color w:val="auto"/>
          <w:u w:val="single"/>
        </w:rPr>
        <w:t xml:space="preserve"> </w:t>
      </w:r>
      <w:r>
        <w:rPr>
          <w:color w:val="auto"/>
          <w:u w:val="single"/>
        </w:rPr>
        <w:tab/>
      </w:r>
      <w:r>
        <w:rPr>
          <w:color w:val="auto"/>
        </w:rPr>
        <w:t>）系由具备有效CMA资质的检验检测机构依法出具，内容真实、完整， 未作任何篡改或伪造。</w:t>
      </w:r>
    </w:p>
    <w:p w14:paraId="298BA56D">
      <w:pPr>
        <w:pStyle w:val="4"/>
        <w:numPr>
          <w:ilvl w:val="0"/>
          <w:numId w:val="98"/>
        </w:numPr>
        <w:ind w:left="0" w:leftChars="0" w:firstLine="0" w:firstLineChars="0"/>
        <w:rPr>
          <w:b w:val="0"/>
          <w:color w:val="auto"/>
        </w:rPr>
      </w:pPr>
      <w:r>
        <w:rPr>
          <w:color w:val="auto"/>
        </w:rPr>
        <w:t>检测机构资质有效性</w:t>
      </w:r>
    </w:p>
    <w:p w14:paraId="0F1AF132">
      <w:pPr>
        <w:pStyle w:val="17"/>
        <w:rPr>
          <w:color w:val="auto"/>
        </w:rPr>
      </w:pPr>
      <w:r>
        <w:rPr>
          <w:color w:val="auto"/>
        </w:rPr>
        <w:t>出具机构持有有效的《检验检测机构资质认定证书》（CMA证书编号：</w:t>
      </w:r>
      <w:r>
        <w:rPr>
          <w:color w:val="auto"/>
          <w:u w:val="single"/>
        </w:rPr>
        <w:t xml:space="preserve"> </w:t>
      </w:r>
      <w:r>
        <w:rPr>
          <w:color w:val="auto"/>
        </w:rPr>
        <w:t>），且所检项目、依据标准及方法均在其《资质认定能力附表》核准范围内。</w:t>
      </w:r>
    </w:p>
    <w:p w14:paraId="699FDD57">
      <w:pPr>
        <w:pStyle w:val="4"/>
        <w:numPr>
          <w:ilvl w:val="0"/>
          <w:numId w:val="98"/>
        </w:numPr>
        <w:ind w:left="0" w:leftChars="0" w:firstLine="0" w:firstLineChars="0"/>
        <w:rPr>
          <w:b w:val="0"/>
          <w:color w:val="auto"/>
        </w:rPr>
      </w:pPr>
      <w:r>
        <w:rPr>
          <w:color w:val="auto"/>
        </w:rPr>
        <w:t>材料一致性</w:t>
      </w:r>
    </w:p>
    <w:p w14:paraId="625AAC21">
      <w:pPr>
        <w:pStyle w:val="17"/>
        <w:rPr>
          <w:color w:val="auto"/>
        </w:rPr>
      </w:pPr>
      <w:r>
        <w:rPr>
          <w:color w:val="auto"/>
        </w:rPr>
        <w:t>所投产品品牌、型号、技术参数与检测报告完全一致。</w:t>
      </w:r>
    </w:p>
    <w:p w14:paraId="35617E57">
      <w:pPr>
        <w:pStyle w:val="4"/>
        <w:numPr>
          <w:ilvl w:val="0"/>
          <w:numId w:val="98"/>
        </w:numPr>
        <w:ind w:left="0" w:leftChars="0" w:firstLine="0" w:firstLineChars="0"/>
        <w:rPr>
          <w:b w:val="0"/>
          <w:color w:val="auto"/>
        </w:rPr>
      </w:pPr>
      <w:r>
        <w:rPr>
          <w:color w:val="auto"/>
        </w:rPr>
        <w:t>法律责任承担</w:t>
      </w:r>
    </w:p>
    <w:p w14:paraId="77AACF8D">
      <w:pPr>
        <w:pStyle w:val="17"/>
        <w:rPr>
          <w:color w:val="auto"/>
        </w:rPr>
      </w:pPr>
      <w:r>
        <w:rPr>
          <w:color w:val="auto"/>
        </w:rPr>
        <w:t>如上述承诺不实，或经核查发现存在提供虚假材料谋取中标行为，我单位自愿接受以下处理：投标</w:t>
      </w:r>
      <w:r>
        <w:rPr>
          <w:rFonts w:hint="eastAsia"/>
          <w:color w:val="auto"/>
          <w:lang w:eastAsia="zh-CN"/>
        </w:rPr>
        <w:t>（</w:t>
      </w:r>
      <w:r>
        <w:rPr>
          <w:rFonts w:hint="eastAsia"/>
          <w:color w:val="auto"/>
          <w:lang w:val="en-US" w:eastAsia="zh-CN"/>
        </w:rPr>
        <w:t>响应</w:t>
      </w:r>
      <w:r>
        <w:rPr>
          <w:rFonts w:hint="eastAsia"/>
          <w:color w:val="auto"/>
          <w:lang w:eastAsia="zh-CN"/>
        </w:rPr>
        <w:t>）</w:t>
      </w:r>
      <w:r>
        <w:rPr>
          <w:color w:val="auto"/>
        </w:rPr>
        <w:t>无效或中标</w:t>
      </w:r>
      <w:r>
        <w:rPr>
          <w:rFonts w:hint="eastAsia"/>
          <w:color w:val="auto"/>
          <w:lang w:eastAsia="zh-CN"/>
        </w:rPr>
        <w:t>（</w:t>
      </w:r>
      <w:r>
        <w:rPr>
          <w:rFonts w:hint="eastAsia"/>
          <w:color w:val="auto"/>
          <w:lang w:val="en-US" w:eastAsia="zh-CN"/>
        </w:rPr>
        <w:t>成交</w:t>
      </w:r>
      <w:r>
        <w:rPr>
          <w:rFonts w:hint="eastAsia"/>
          <w:color w:val="auto"/>
          <w:lang w:eastAsia="zh-CN"/>
        </w:rPr>
        <w:t>）</w:t>
      </w:r>
      <w:r>
        <w:rPr>
          <w:color w:val="auto"/>
        </w:rPr>
        <w:t>无效；列入政府采购不良行为记录；承担由此造成的一切法律责任及经济损失。</w:t>
      </w:r>
    </w:p>
    <w:p w14:paraId="5D3627CD">
      <w:pPr>
        <w:pStyle w:val="17"/>
        <w:keepNext w:val="0"/>
        <w:keepLines w:val="0"/>
        <w:pageBreakBefore w:val="0"/>
        <w:widowControl w:val="0"/>
        <w:tabs>
          <w:tab w:val="left" w:pos="567"/>
        </w:tabs>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4"/>
          <w:szCs w:val="24"/>
        </w:rPr>
      </w:pPr>
    </w:p>
    <w:p w14:paraId="4D1D744E">
      <w:pPr>
        <w:pStyle w:val="17"/>
        <w:rPr>
          <w:color w:val="auto"/>
        </w:rPr>
      </w:pPr>
      <w:r>
        <w:rPr>
          <w:color w:val="auto"/>
        </w:rPr>
        <w:t>本承诺函自签署之日起生效，具有法律约束力。</w:t>
      </w:r>
    </w:p>
    <w:p w14:paraId="493610B0">
      <w:pPr>
        <w:pStyle w:val="17"/>
        <w:keepNext w:val="0"/>
        <w:keepLines w:val="0"/>
        <w:pageBreakBefore w:val="0"/>
        <w:widowControl w:val="0"/>
        <w:tabs>
          <w:tab w:val="left" w:pos="567"/>
        </w:tabs>
        <w:kinsoku/>
        <w:wordWrap/>
        <w:overflowPunct/>
        <w:topLinePunct w:val="0"/>
        <w:autoSpaceDE/>
        <w:autoSpaceDN/>
        <w:bidi w:val="0"/>
        <w:adjustRightInd/>
        <w:snapToGrid/>
        <w:spacing w:before="121" w:line="400" w:lineRule="exact"/>
        <w:ind w:left="100"/>
        <w:textAlignment w:val="auto"/>
        <w:rPr>
          <w:rFonts w:hint="eastAsia" w:ascii="Times New Roman" w:hAnsi="Times New Roman" w:eastAsia="宋体" w:cs="Times New Roman"/>
          <w:color w:val="auto"/>
          <w:w w:val="105"/>
          <w:sz w:val="24"/>
          <w:szCs w:val="24"/>
        </w:rPr>
      </w:pPr>
      <w:r>
        <w:rPr>
          <w:rFonts w:hint="eastAsia" w:ascii="Times New Roman" w:hAnsi="Times New Roman" w:eastAsia="宋体" w:cs="Times New Roman"/>
          <w:color w:val="auto"/>
          <w:w w:val="105"/>
          <w:sz w:val="24"/>
          <w:szCs w:val="24"/>
        </w:rPr>
        <w:t>投标</w:t>
      </w:r>
      <w:r>
        <w:rPr>
          <w:rFonts w:hint="eastAsia" w:cs="Times New Roman"/>
          <w:color w:val="auto"/>
          <w:w w:val="105"/>
          <w:sz w:val="24"/>
          <w:szCs w:val="24"/>
          <w:lang w:eastAsia="zh-CN"/>
        </w:rPr>
        <w:t>（</w:t>
      </w:r>
      <w:r>
        <w:rPr>
          <w:rFonts w:hint="eastAsia" w:cs="Times New Roman"/>
          <w:color w:val="auto"/>
          <w:w w:val="105"/>
          <w:sz w:val="24"/>
          <w:szCs w:val="24"/>
          <w:lang w:val="en-US" w:eastAsia="zh-CN"/>
        </w:rPr>
        <w:t>响应</w:t>
      </w:r>
      <w:r>
        <w:rPr>
          <w:rFonts w:hint="eastAsia" w:cs="Times New Roman"/>
          <w:color w:val="auto"/>
          <w:w w:val="105"/>
          <w:sz w:val="24"/>
          <w:szCs w:val="24"/>
          <w:lang w:eastAsia="zh-CN"/>
        </w:rPr>
        <w:t>）</w:t>
      </w:r>
      <w:r>
        <w:rPr>
          <w:rFonts w:hint="eastAsia" w:ascii="Times New Roman" w:hAnsi="Times New Roman" w:eastAsia="宋体" w:cs="Times New Roman"/>
          <w:color w:val="auto"/>
          <w:w w:val="105"/>
          <w:sz w:val="24"/>
          <w:szCs w:val="24"/>
        </w:rPr>
        <w:t>人（盖章）：</w:t>
      </w:r>
    </w:p>
    <w:p w14:paraId="0F4083F2">
      <w:pPr>
        <w:pStyle w:val="17"/>
        <w:keepNext w:val="0"/>
        <w:keepLines w:val="0"/>
        <w:pageBreakBefore w:val="0"/>
        <w:widowControl w:val="0"/>
        <w:tabs>
          <w:tab w:val="left" w:pos="567"/>
        </w:tabs>
        <w:kinsoku/>
        <w:wordWrap/>
        <w:overflowPunct/>
        <w:topLinePunct w:val="0"/>
        <w:autoSpaceDE/>
        <w:autoSpaceDN/>
        <w:bidi w:val="0"/>
        <w:adjustRightInd/>
        <w:snapToGrid/>
        <w:spacing w:before="121" w:line="400" w:lineRule="exact"/>
        <w:ind w:left="100"/>
        <w:textAlignment w:val="auto"/>
        <w:rPr>
          <w:rFonts w:hint="eastAsia" w:ascii="Times New Roman" w:hAnsi="Times New Roman" w:eastAsia="宋体" w:cs="Times New Roman"/>
          <w:color w:val="auto"/>
          <w:w w:val="105"/>
          <w:sz w:val="24"/>
          <w:szCs w:val="24"/>
          <w:lang w:val="en-US" w:eastAsia="zh-CN"/>
        </w:rPr>
      </w:pPr>
      <w:r>
        <w:rPr>
          <w:rFonts w:hint="eastAsia" w:ascii="Times New Roman" w:hAnsi="Times New Roman" w:eastAsia="宋体" w:cs="Times New Roman"/>
          <w:color w:val="auto"/>
          <w:w w:val="105"/>
          <w:sz w:val="24"/>
          <w:szCs w:val="24"/>
          <w:lang w:val="en-US" w:eastAsia="zh-CN"/>
        </w:rPr>
        <w:t>法定代表人或授权代表（签字）</w:t>
      </w:r>
    </w:p>
    <w:p w14:paraId="5712D66F">
      <w:pPr>
        <w:pStyle w:val="17"/>
        <w:keepNext w:val="0"/>
        <w:keepLines w:val="0"/>
        <w:pageBreakBefore w:val="0"/>
        <w:widowControl w:val="0"/>
        <w:tabs>
          <w:tab w:val="left" w:pos="567"/>
        </w:tabs>
        <w:kinsoku/>
        <w:wordWrap/>
        <w:overflowPunct/>
        <w:topLinePunct w:val="0"/>
        <w:autoSpaceDE/>
        <w:autoSpaceDN/>
        <w:bidi w:val="0"/>
        <w:adjustRightInd/>
        <w:snapToGrid/>
        <w:spacing w:before="121" w:line="400" w:lineRule="exact"/>
        <w:ind w:left="100"/>
        <w:textAlignment w:val="auto"/>
        <w:rPr>
          <w:rFonts w:hint="eastAsia" w:ascii="Times New Roman" w:hAnsi="Times New Roman" w:eastAsia="宋体" w:cs="Times New Roman"/>
          <w:color w:val="auto"/>
          <w:w w:val="105"/>
          <w:sz w:val="24"/>
          <w:szCs w:val="24"/>
          <w:lang w:val="en-US" w:eastAsia="zh-CN"/>
        </w:rPr>
      </w:pPr>
      <w:r>
        <w:rPr>
          <w:rFonts w:hint="eastAsia" w:ascii="Times New Roman" w:hAnsi="Times New Roman" w:eastAsia="宋体" w:cs="Times New Roman"/>
          <w:color w:val="auto"/>
          <w:w w:val="105"/>
          <w:sz w:val="24"/>
          <w:szCs w:val="24"/>
          <w:lang w:val="en-US" w:eastAsia="zh-CN"/>
        </w:rPr>
        <w:t>日期：    年      月     日</w:t>
      </w:r>
    </w:p>
    <w:p w14:paraId="7517F522">
      <w:pPr>
        <w:pStyle w:val="17"/>
        <w:keepNext w:val="0"/>
        <w:keepLines w:val="0"/>
        <w:pageBreakBefore w:val="0"/>
        <w:widowControl w:val="0"/>
        <w:tabs>
          <w:tab w:val="left" w:pos="567"/>
        </w:tabs>
        <w:kinsoku/>
        <w:wordWrap/>
        <w:overflowPunct/>
        <w:topLinePunct w:val="0"/>
        <w:autoSpaceDE/>
        <w:autoSpaceDN/>
        <w:bidi w:val="0"/>
        <w:adjustRightInd/>
        <w:snapToGrid/>
        <w:spacing w:before="18" w:line="400" w:lineRule="exact"/>
        <w:textAlignment w:val="auto"/>
        <w:rPr>
          <w:rFonts w:hint="eastAsia" w:asciiTheme="minorEastAsia" w:hAnsiTheme="minorEastAsia" w:eastAsiaTheme="minorEastAsia" w:cstheme="minorEastAsia"/>
          <w:color w:val="auto"/>
          <w:sz w:val="24"/>
          <w:szCs w:val="24"/>
        </w:rPr>
      </w:pPr>
    </w:p>
    <w:p w14:paraId="7655DF07">
      <w:pPr>
        <w:pStyle w:val="17"/>
        <w:rPr>
          <w:color w:val="auto"/>
        </w:rPr>
      </w:pPr>
      <w:bookmarkStart w:id="661" w:name="使用说明："/>
      <w:bookmarkEnd w:id="661"/>
      <w:r>
        <w:rPr>
          <w:color w:val="auto"/>
        </w:rPr>
        <w:t>使用说明：</w:t>
      </w:r>
    </w:p>
    <w:p w14:paraId="1E2C3721">
      <w:pPr>
        <w:pStyle w:val="17"/>
        <w:rPr>
          <w:color w:val="auto"/>
        </w:rPr>
      </w:pPr>
      <w:r>
        <w:rPr>
          <w:color w:val="auto"/>
        </w:rPr>
        <w:t>本承诺函为强制性投标</w:t>
      </w:r>
      <w:r>
        <w:rPr>
          <w:rFonts w:hint="eastAsia"/>
          <w:color w:val="auto"/>
          <w:lang w:eastAsia="zh-CN"/>
        </w:rPr>
        <w:t>（</w:t>
      </w:r>
      <w:r>
        <w:rPr>
          <w:rFonts w:hint="eastAsia"/>
          <w:color w:val="auto"/>
          <w:lang w:val="en-US" w:eastAsia="zh-CN"/>
        </w:rPr>
        <w:t>响应</w:t>
      </w:r>
      <w:r>
        <w:rPr>
          <w:rFonts w:hint="eastAsia"/>
          <w:color w:val="auto"/>
          <w:lang w:eastAsia="zh-CN"/>
        </w:rPr>
        <w:t>）</w:t>
      </w:r>
      <w:r>
        <w:rPr>
          <w:color w:val="auto"/>
        </w:rPr>
        <w:t>文件组成部分 ，未提供或未盖章视为未实质性响应采购要求； 采购人有权依据本承诺书启动核查程序，并作为后续处理依据。</w:t>
      </w:r>
    </w:p>
    <w:p w14:paraId="1E8080E9">
      <w:pPr>
        <w:rPr>
          <w:color w:val="auto"/>
        </w:rPr>
      </w:pPr>
    </w:p>
    <w:p w14:paraId="55BA7FA3">
      <w:pPr>
        <w:pStyle w:val="17"/>
        <w:rPr>
          <w:color w:val="auto"/>
        </w:rPr>
      </w:pPr>
    </w:p>
    <w:p w14:paraId="52E1B932">
      <w:pPr>
        <w:rPr>
          <w:color w:val="auto"/>
        </w:rPr>
      </w:pPr>
    </w:p>
    <w:p w14:paraId="6CC5BB50">
      <w:pPr>
        <w:pStyle w:val="17"/>
        <w:rPr>
          <w:color w:val="auto"/>
        </w:rPr>
      </w:pPr>
    </w:p>
    <w:p w14:paraId="79A62B1F">
      <w:pPr>
        <w:rPr>
          <w:color w:val="auto"/>
        </w:rPr>
      </w:pPr>
    </w:p>
    <w:p w14:paraId="5EBC2ED3">
      <w:pPr>
        <w:pStyle w:val="17"/>
        <w:rPr>
          <w:color w:val="auto"/>
        </w:rPr>
      </w:pPr>
    </w:p>
    <w:p w14:paraId="1E038A15">
      <w:pPr>
        <w:rPr>
          <w:color w:val="auto"/>
        </w:rPr>
      </w:pPr>
    </w:p>
    <w:p w14:paraId="7814F510">
      <w:pPr>
        <w:pStyle w:val="3"/>
        <w:numPr>
          <w:ilvl w:val="0"/>
          <w:numId w:val="96"/>
        </w:numPr>
        <w:ind w:left="0" w:leftChars="0" w:firstLine="0" w:firstLineChars="0"/>
        <w:rPr>
          <w:b w:val="0"/>
          <w:color w:val="auto"/>
        </w:rPr>
      </w:pPr>
      <w:r>
        <w:rPr>
          <w:color w:val="auto"/>
        </w:rPr>
        <w:t>询价通知书要求提供或供应商认为应附的其他材料。</w:t>
      </w:r>
    </w:p>
    <w:p w14:paraId="3F8F5273">
      <w:pPr>
        <w:pStyle w:val="3"/>
        <w:widowControl w:val="0"/>
        <w:numPr>
          <w:ilvl w:val="0"/>
          <w:numId w:val="0"/>
        </w:numPr>
        <w:adjustRightInd w:val="0"/>
        <w:spacing w:before="280" w:line="300" w:lineRule="auto"/>
        <w:jc w:val="both"/>
        <w:outlineLvl w:val="1"/>
        <w:rPr>
          <w:color w:val="auto"/>
        </w:rPr>
      </w:pPr>
    </w:p>
    <w:p w14:paraId="6CFD0563">
      <w:pPr>
        <w:pStyle w:val="3"/>
        <w:widowControl w:val="0"/>
        <w:numPr>
          <w:ilvl w:val="0"/>
          <w:numId w:val="0"/>
        </w:numPr>
        <w:adjustRightInd w:val="0"/>
        <w:spacing w:before="280" w:line="300" w:lineRule="auto"/>
        <w:jc w:val="both"/>
        <w:outlineLvl w:val="1"/>
        <w:rPr>
          <w:color w:val="auto"/>
        </w:rPr>
      </w:pPr>
    </w:p>
    <w:p w14:paraId="0584F18C">
      <w:pPr>
        <w:pStyle w:val="3"/>
        <w:widowControl w:val="0"/>
        <w:numPr>
          <w:ilvl w:val="0"/>
          <w:numId w:val="0"/>
        </w:numPr>
        <w:adjustRightInd w:val="0"/>
        <w:spacing w:before="280" w:line="300" w:lineRule="auto"/>
        <w:jc w:val="both"/>
        <w:outlineLvl w:val="1"/>
        <w:rPr>
          <w:color w:val="auto"/>
        </w:rPr>
      </w:pPr>
    </w:p>
    <w:p w14:paraId="78A19F19">
      <w:pPr>
        <w:pStyle w:val="3"/>
        <w:widowControl w:val="0"/>
        <w:numPr>
          <w:ilvl w:val="0"/>
          <w:numId w:val="0"/>
        </w:numPr>
        <w:adjustRightInd w:val="0"/>
        <w:spacing w:before="280" w:line="300" w:lineRule="auto"/>
        <w:jc w:val="both"/>
        <w:outlineLvl w:val="1"/>
        <w:rPr>
          <w:color w:val="auto"/>
        </w:rPr>
      </w:pPr>
    </w:p>
    <w:p w14:paraId="19B7A659">
      <w:pPr>
        <w:pStyle w:val="3"/>
        <w:widowControl w:val="0"/>
        <w:numPr>
          <w:ilvl w:val="0"/>
          <w:numId w:val="0"/>
        </w:numPr>
        <w:adjustRightInd w:val="0"/>
        <w:spacing w:before="280" w:line="300" w:lineRule="auto"/>
        <w:jc w:val="both"/>
        <w:outlineLvl w:val="1"/>
        <w:rPr>
          <w:color w:val="auto"/>
        </w:rPr>
      </w:pPr>
    </w:p>
    <w:p w14:paraId="0D645BA5">
      <w:pPr>
        <w:pStyle w:val="3"/>
        <w:widowControl w:val="0"/>
        <w:numPr>
          <w:ilvl w:val="0"/>
          <w:numId w:val="0"/>
        </w:numPr>
        <w:adjustRightInd w:val="0"/>
        <w:spacing w:before="280" w:line="300" w:lineRule="auto"/>
        <w:jc w:val="both"/>
        <w:outlineLvl w:val="1"/>
        <w:rPr>
          <w:color w:val="auto"/>
        </w:rPr>
      </w:pPr>
    </w:p>
    <w:p w14:paraId="22D19DFD">
      <w:pPr>
        <w:pStyle w:val="3"/>
        <w:widowControl w:val="0"/>
        <w:numPr>
          <w:ilvl w:val="0"/>
          <w:numId w:val="0"/>
        </w:numPr>
        <w:adjustRightInd w:val="0"/>
        <w:spacing w:before="280" w:line="300" w:lineRule="auto"/>
        <w:jc w:val="both"/>
        <w:outlineLvl w:val="1"/>
        <w:rPr>
          <w:color w:val="auto"/>
        </w:rPr>
      </w:pPr>
    </w:p>
    <w:p w14:paraId="150E119D">
      <w:pPr>
        <w:pStyle w:val="3"/>
        <w:widowControl w:val="0"/>
        <w:numPr>
          <w:ilvl w:val="0"/>
          <w:numId w:val="0"/>
        </w:numPr>
        <w:adjustRightInd w:val="0"/>
        <w:spacing w:before="280" w:line="300" w:lineRule="auto"/>
        <w:jc w:val="both"/>
        <w:outlineLvl w:val="1"/>
        <w:rPr>
          <w:color w:val="auto"/>
        </w:rPr>
      </w:pPr>
    </w:p>
    <w:p w14:paraId="43E9E465">
      <w:pPr>
        <w:pStyle w:val="3"/>
        <w:widowControl w:val="0"/>
        <w:numPr>
          <w:ilvl w:val="0"/>
          <w:numId w:val="0"/>
        </w:numPr>
        <w:adjustRightInd w:val="0"/>
        <w:spacing w:before="280" w:line="300" w:lineRule="auto"/>
        <w:jc w:val="both"/>
        <w:outlineLvl w:val="1"/>
        <w:rPr>
          <w:color w:val="auto"/>
        </w:rPr>
      </w:pPr>
    </w:p>
    <w:p w14:paraId="42757534">
      <w:pPr>
        <w:pStyle w:val="3"/>
        <w:widowControl w:val="0"/>
        <w:numPr>
          <w:ilvl w:val="0"/>
          <w:numId w:val="0"/>
        </w:numPr>
        <w:adjustRightInd w:val="0"/>
        <w:spacing w:before="280" w:line="300" w:lineRule="auto"/>
        <w:jc w:val="both"/>
        <w:outlineLvl w:val="1"/>
        <w:rPr>
          <w:color w:val="auto"/>
        </w:rPr>
      </w:pPr>
    </w:p>
    <w:p w14:paraId="16A3AA24">
      <w:pPr>
        <w:pStyle w:val="3"/>
        <w:widowControl w:val="0"/>
        <w:numPr>
          <w:ilvl w:val="0"/>
          <w:numId w:val="0"/>
        </w:numPr>
        <w:adjustRightInd w:val="0"/>
        <w:spacing w:before="280" w:line="300" w:lineRule="auto"/>
        <w:jc w:val="both"/>
        <w:outlineLvl w:val="1"/>
        <w:rPr>
          <w:color w:val="auto"/>
        </w:rPr>
      </w:pPr>
    </w:p>
    <w:p w14:paraId="460CE3A1">
      <w:pPr>
        <w:pStyle w:val="3"/>
        <w:widowControl w:val="0"/>
        <w:numPr>
          <w:ilvl w:val="0"/>
          <w:numId w:val="0"/>
        </w:numPr>
        <w:adjustRightInd w:val="0"/>
        <w:spacing w:before="280" w:line="300" w:lineRule="auto"/>
        <w:jc w:val="both"/>
        <w:outlineLvl w:val="1"/>
        <w:rPr>
          <w:color w:val="auto"/>
        </w:rPr>
      </w:pPr>
    </w:p>
    <w:p w14:paraId="72A08B30">
      <w:pPr>
        <w:pStyle w:val="3"/>
        <w:widowControl w:val="0"/>
        <w:numPr>
          <w:ilvl w:val="0"/>
          <w:numId w:val="0"/>
        </w:numPr>
        <w:adjustRightInd w:val="0"/>
        <w:spacing w:before="280" w:line="300" w:lineRule="auto"/>
        <w:jc w:val="both"/>
        <w:outlineLvl w:val="1"/>
        <w:rPr>
          <w:color w:val="auto"/>
        </w:rPr>
      </w:pPr>
    </w:p>
    <w:p w14:paraId="54544868">
      <w:pPr>
        <w:jc w:val="center"/>
        <w:rPr>
          <w:rFonts w:hint="eastAsia" w:asciiTheme="minorEastAsia" w:hAnsiTheme="minorEastAsia" w:eastAsiaTheme="minorEastAsia" w:cstheme="minorEastAsia"/>
          <w:b/>
          <w:bCs/>
          <w:color w:val="auto"/>
          <w:sz w:val="32"/>
          <w:szCs w:val="32"/>
        </w:rPr>
      </w:pPr>
    </w:p>
    <w:p w14:paraId="39256C31">
      <w:pPr>
        <w:jc w:val="center"/>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t>质疑函范本</w:t>
      </w:r>
    </w:p>
    <w:p w14:paraId="04E642CC">
      <w:pPr>
        <w:spacing w:before="290" w:line="360" w:lineRule="auto"/>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一、质疑供应商基本信息</w:t>
      </w:r>
    </w:p>
    <w:p w14:paraId="75CC2A36">
      <w:pPr>
        <w:spacing w:line="360" w:lineRule="auto"/>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质疑供应商：</w:t>
      </w:r>
      <w:r>
        <w:rPr>
          <w:rFonts w:hint="eastAsia" w:asciiTheme="minorEastAsia" w:hAnsiTheme="minorEastAsia" w:eastAsiaTheme="minorEastAsia" w:cstheme="minorEastAsia"/>
          <w:color w:val="auto"/>
          <w:sz w:val="24"/>
          <w:szCs w:val="24"/>
          <w:u w:val="single"/>
        </w:rPr>
        <w:t xml:space="preserve">                                                              </w:t>
      </w:r>
    </w:p>
    <w:p w14:paraId="03DAFA83">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地址：</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邮编：</w:t>
      </w:r>
      <w:r>
        <w:rPr>
          <w:rFonts w:hint="eastAsia" w:asciiTheme="minorEastAsia" w:hAnsiTheme="minorEastAsia" w:eastAsiaTheme="minorEastAsia" w:cstheme="minorEastAsia"/>
          <w:color w:val="auto"/>
          <w:sz w:val="24"/>
          <w:szCs w:val="24"/>
          <w:u w:val="single"/>
        </w:rPr>
        <w:t xml:space="preserve">                                    </w:t>
      </w:r>
    </w:p>
    <w:p w14:paraId="46E6A17B">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联系人：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联系电话：</w:t>
      </w:r>
      <w:r>
        <w:rPr>
          <w:rFonts w:hint="eastAsia" w:asciiTheme="minorEastAsia" w:hAnsiTheme="minorEastAsia" w:eastAsiaTheme="minorEastAsia" w:cstheme="minorEastAsia"/>
          <w:color w:val="auto"/>
          <w:sz w:val="24"/>
          <w:szCs w:val="24"/>
          <w:u w:val="single"/>
        </w:rPr>
        <w:t xml:space="preserve">                                       </w:t>
      </w:r>
    </w:p>
    <w:p w14:paraId="6B1B9608">
      <w:pPr>
        <w:spacing w:line="360" w:lineRule="auto"/>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授权代表：</w:t>
      </w:r>
      <w:r>
        <w:rPr>
          <w:rFonts w:hint="eastAsia" w:asciiTheme="minorEastAsia" w:hAnsiTheme="minorEastAsia" w:eastAsiaTheme="minorEastAsia" w:cstheme="minorEastAsia"/>
          <w:color w:val="auto"/>
          <w:sz w:val="24"/>
          <w:szCs w:val="24"/>
          <w:u w:val="single"/>
        </w:rPr>
        <w:t xml:space="preserve">                                                                 </w:t>
      </w:r>
    </w:p>
    <w:p w14:paraId="4531F2E5">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联系电话：</w:t>
      </w:r>
      <w:r>
        <w:rPr>
          <w:rFonts w:hint="eastAsia" w:asciiTheme="minorEastAsia" w:hAnsiTheme="minorEastAsia" w:eastAsiaTheme="minorEastAsia" w:cstheme="minorEastAsia"/>
          <w:color w:val="auto"/>
          <w:sz w:val="24"/>
          <w:szCs w:val="24"/>
          <w:u w:val="single"/>
        </w:rPr>
        <w:t xml:space="preserve">                                                                </w:t>
      </w:r>
    </w:p>
    <w:p w14:paraId="5A33D675">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地址： </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邮编：</w:t>
      </w:r>
      <w:r>
        <w:rPr>
          <w:rFonts w:hint="eastAsia" w:asciiTheme="minorEastAsia" w:hAnsiTheme="minorEastAsia" w:eastAsiaTheme="minorEastAsia" w:cstheme="minorEastAsia"/>
          <w:color w:val="auto"/>
          <w:sz w:val="24"/>
          <w:szCs w:val="24"/>
          <w:u w:val="single"/>
        </w:rPr>
        <w:t xml:space="preserve">                                     </w:t>
      </w:r>
    </w:p>
    <w:p w14:paraId="0DAE26FC">
      <w:pPr>
        <w:spacing w:line="360" w:lineRule="auto"/>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二、质疑项目基本情况</w:t>
      </w:r>
    </w:p>
    <w:p w14:paraId="7FE6397F">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质疑项目的名称：</w:t>
      </w:r>
      <w:r>
        <w:rPr>
          <w:rFonts w:hint="eastAsia" w:asciiTheme="minorEastAsia" w:hAnsiTheme="minorEastAsia" w:eastAsiaTheme="minorEastAsia" w:cstheme="minorEastAsia"/>
          <w:color w:val="auto"/>
          <w:sz w:val="24"/>
          <w:szCs w:val="24"/>
          <w:u w:val="single"/>
        </w:rPr>
        <w:t xml:space="preserve">                                                          </w:t>
      </w:r>
    </w:p>
    <w:p w14:paraId="14EEC312">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质疑项目的编号：</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包号：</w:t>
      </w:r>
      <w:r>
        <w:rPr>
          <w:rFonts w:hint="eastAsia" w:asciiTheme="minorEastAsia" w:hAnsiTheme="minorEastAsia" w:eastAsiaTheme="minorEastAsia" w:cstheme="minorEastAsia"/>
          <w:color w:val="auto"/>
          <w:sz w:val="24"/>
          <w:szCs w:val="24"/>
          <w:u w:val="single"/>
        </w:rPr>
        <w:t xml:space="preserve">                           </w:t>
      </w:r>
    </w:p>
    <w:p w14:paraId="5B3795F6">
      <w:pPr>
        <w:spacing w:line="360" w:lineRule="auto"/>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采购人名称：</w:t>
      </w:r>
      <w:r>
        <w:rPr>
          <w:rFonts w:hint="eastAsia" w:asciiTheme="minorEastAsia" w:hAnsiTheme="minorEastAsia" w:eastAsiaTheme="minorEastAsia" w:cstheme="minorEastAsia"/>
          <w:color w:val="auto"/>
          <w:sz w:val="24"/>
          <w:szCs w:val="24"/>
          <w:u w:val="single"/>
        </w:rPr>
        <w:t xml:space="preserve">                                                              </w:t>
      </w:r>
    </w:p>
    <w:p w14:paraId="740E5329">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采购文件获取日期：</w:t>
      </w:r>
      <w:r>
        <w:rPr>
          <w:rFonts w:hint="eastAsia" w:asciiTheme="minorEastAsia" w:hAnsiTheme="minorEastAsia" w:eastAsiaTheme="minorEastAsia" w:cstheme="minorEastAsia"/>
          <w:color w:val="auto"/>
          <w:sz w:val="24"/>
          <w:szCs w:val="24"/>
          <w:u w:val="single"/>
        </w:rPr>
        <w:t xml:space="preserve">                                                        </w:t>
      </w:r>
    </w:p>
    <w:p w14:paraId="7450661C">
      <w:pPr>
        <w:spacing w:line="360" w:lineRule="auto"/>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三、质疑事项具体内容</w:t>
      </w:r>
    </w:p>
    <w:p w14:paraId="49EA18E1">
      <w:pPr>
        <w:spacing w:line="360" w:lineRule="auto"/>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质疑事项1：</w:t>
      </w:r>
      <w:r>
        <w:rPr>
          <w:rFonts w:hint="eastAsia" w:asciiTheme="minorEastAsia" w:hAnsiTheme="minorEastAsia" w:eastAsiaTheme="minorEastAsia" w:cstheme="minorEastAsia"/>
          <w:color w:val="auto"/>
          <w:sz w:val="24"/>
          <w:szCs w:val="24"/>
          <w:u w:val="single"/>
        </w:rPr>
        <w:t xml:space="preserve">                                                              </w:t>
      </w:r>
    </w:p>
    <w:p w14:paraId="5CEA6837">
      <w:pPr>
        <w:spacing w:line="360" w:lineRule="auto"/>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事实依据：</w:t>
      </w:r>
      <w:r>
        <w:rPr>
          <w:rFonts w:hint="eastAsia" w:asciiTheme="minorEastAsia" w:hAnsiTheme="minorEastAsia" w:eastAsiaTheme="minorEastAsia" w:cstheme="minorEastAsia"/>
          <w:color w:val="auto"/>
          <w:sz w:val="24"/>
          <w:szCs w:val="24"/>
          <w:u w:val="single"/>
        </w:rPr>
        <w:t xml:space="preserve">                                                                </w:t>
      </w:r>
    </w:p>
    <w:p w14:paraId="747B0379">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u w:val="single"/>
        </w:rPr>
        <w:t xml:space="preserve">                                                                           </w:t>
      </w:r>
    </w:p>
    <w:p w14:paraId="2AAB6D7B">
      <w:pPr>
        <w:spacing w:line="360" w:lineRule="auto"/>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法律依据：</w:t>
      </w:r>
      <w:r>
        <w:rPr>
          <w:rFonts w:hint="eastAsia" w:asciiTheme="minorEastAsia" w:hAnsiTheme="minorEastAsia" w:eastAsiaTheme="minorEastAsia" w:cstheme="minorEastAsia"/>
          <w:color w:val="auto"/>
          <w:sz w:val="24"/>
          <w:szCs w:val="24"/>
          <w:u w:val="single"/>
        </w:rPr>
        <w:t xml:space="preserve">                                                                 </w:t>
      </w:r>
    </w:p>
    <w:p w14:paraId="6F4594B3">
      <w:pPr>
        <w:spacing w:line="360" w:lineRule="auto"/>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u w:val="single"/>
        </w:rPr>
        <w:t xml:space="preserve">                                                                           </w:t>
      </w:r>
    </w:p>
    <w:p w14:paraId="5F8936E1">
      <w:pPr>
        <w:spacing w:line="360" w:lineRule="auto"/>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质疑事项2</w:t>
      </w:r>
    </w:p>
    <w:p w14:paraId="0ECD1DFB">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w:t>
      </w:r>
    </w:p>
    <w:p w14:paraId="03A7E59D">
      <w:pPr>
        <w:spacing w:line="360" w:lineRule="auto"/>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四、与质疑事项相关的质疑请求</w:t>
      </w:r>
    </w:p>
    <w:p w14:paraId="52BE3C2D">
      <w:pPr>
        <w:spacing w:line="360" w:lineRule="auto"/>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请求：</w:t>
      </w:r>
      <w:r>
        <w:rPr>
          <w:rFonts w:hint="eastAsia" w:asciiTheme="minorEastAsia" w:hAnsiTheme="minorEastAsia" w:eastAsiaTheme="minorEastAsia" w:cstheme="minorEastAsia"/>
          <w:color w:val="auto"/>
          <w:sz w:val="24"/>
          <w:szCs w:val="24"/>
          <w:u w:val="single"/>
        </w:rPr>
        <w:t xml:space="preserve">                                                                     </w:t>
      </w:r>
    </w:p>
    <w:p w14:paraId="5DB2B5DA">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签字(签章)：                   公章：                      </w:t>
      </w:r>
    </w:p>
    <w:p w14:paraId="2FA98A12">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日期：    </w:t>
      </w:r>
    </w:p>
    <w:p w14:paraId="567C6DB5">
      <w:pPr>
        <w:spacing w:line="400" w:lineRule="exact"/>
        <w:rPr>
          <w:rFonts w:hint="eastAsia" w:asciiTheme="minorEastAsia" w:hAnsiTheme="minorEastAsia" w:eastAsiaTheme="minorEastAsia" w:cstheme="minorEastAsia"/>
          <w:b/>
          <w:color w:val="auto"/>
          <w:sz w:val="24"/>
          <w:szCs w:val="24"/>
        </w:rPr>
      </w:pPr>
    </w:p>
    <w:p w14:paraId="6273EF47">
      <w:pPr>
        <w:spacing w:line="400" w:lineRule="exact"/>
        <w:rPr>
          <w:rFonts w:hint="eastAsia" w:asciiTheme="minorEastAsia" w:hAnsiTheme="minorEastAsia" w:eastAsiaTheme="minorEastAsia" w:cstheme="minorEastAsia"/>
          <w:b/>
          <w:color w:val="auto"/>
          <w:sz w:val="24"/>
          <w:szCs w:val="24"/>
        </w:rPr>
      </w:pPr>
    </w:p>
    <w:p w14:paraId="27406BC6">
      <w:pPr>
        <w:spacing w:line="400" w:lineRule="exact"/>
        <w:rPr>
          <w:rFonts w:hint="eastAsia" w:asciiTheme="minorEastAsia" w:hAnsiTheme="minorEastAsia" w:eastAsiaTheme="minorEastAsia" w:cstheme="minorEastAsia"/>
          <w:b/>
          <w:color w:val="auto"/>
          <w:sz w:val="24"/>
          <w:szCs w:val="24"/>
        </w:rPr>
      </w:pPr>
    </w:p>
    <w:p w14:paraId="56E2A748">
      <w:pPr>
        <w:spacing w:line="400" w:lineRule="exact"/>
        <w:rPr>
          <w:rFonts w:hint="eastAsia" w:asciiTheme="minorEastAsia" w:hAnsiTheme="minorEastAsia" w:eastAsiaTheme="minorEastAsia" w:cstheme="minorEastAsia"/>
          <w:b/>
          <w:color w:val="auto"/>
          <w:sz w:val="24"/>
          <w:szCs w:val="24"/>
        </w:rPr>
      </w:pPr>
    </w:p>
    <w:p w14:paraId="66DA4E64">
      <w:pPr>
        <w:spacing w:line="400" w:lineRule="exact"/>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质疑函制作说明：</w:t>
      </w:r>
    </w:p>
    <w:p w14:paraId="428A27F5">
      <w:pPr>
        <w:widowControl/>
        <w:spacing w:line="400" w:lineRule="exact"/>
        <w:ind w:firstLine="48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1.供应商提出质疑时，应提交质疑函和必要的证明材料。</w:t>
      </w:r>
    </w:p>
    <w:p w14:paraId="32634827">
      <w:pPr>
        <w:widowControl/>
        <w:spacing w:line="400" w:lineRule="exact"/>
        <w:ind w:firstLine="48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03FBBAF0">
      <w:pPr>
        <w:widowControl/>
        <w:spacing w:line="400" w:lineRule="exact"/>
        <w:ind w:firstLine="48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3.质疑供应商若对项目的某一分包进行质疑，质疑函中应列明具体分包号。</w:t>
      </w:r>
    </w:p>
    <w:p w14:paraId="6CAAED81">
      <w:pPr>
        <w:widowControl/>
        <w:spacing w:line="400" w:lineRule="exact"/>
        <w:ind w:firstLine="48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4.质疑函的质疑事项应具体、明确，并有必要的事实依据和法律依据。</w:t>
      </w:r>
    </w:p>
    <w:p w14:paraId="204DB453">
      <w:pPr>
        <w:widowControl/>
        <w:spacing w:line="400" w:lineRule="exact"/>
        <w:ind w:firstLine="48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5.质疑函的质疑请求应与质疑事项相关。</w:t>
      </w:r>
    </w:p>
    <w:p w14:paraId="0274E651">
      <w:pPr>
        <w:widowControl/>
        <w:spacing w:line="400" w:lineRule="exact"/>
        <w:ind w:firstLine="48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6.质疑供应商为自然人的，质疑函应由本人签字；质疑供应商为法人或者其他组织的，质疑函应由法定代表人、主要负责人，或者其授权代表签字或者盖章，并加盖公章。</w:t>
      </w:r>
    </w:p>
    <w:p w14:paraId="57CB50D7">
      <w:pPr>
        <w:pStyle w:val="93"/>
        <w:rPr>
          <w:rFonts w:hint="eastAsia" w:asciiTheme="minorEastAsia" w:hAnsiTheme="minorEastAsia" w:eastAsiaTheme="minorEastAsia" w:cstheme="minorEastAsia"/>
          <w:color w:val="auto"/>
          <w:sz w:val="24"/>
          <w:szCs w:val="24"/>
        </w:rPr>
      </w:pPr>
    </w:p>
    <w:p w14:paraId="5D505E9B">
      <w:pPr>
        <w:pStyle w:val="93"/>
        <w:rPr>
          <w:rFonts w:hint="eastAsia" w:asciiTheme="minorEastAsia" w:hAnsiTheme="minorEastAsia" w:eastAsiaTheme="minorEastAsia" w:cstheme="minorEastAsia"/>
          <w:color w:val="auto"/>
          <w:sz w:val="24"/>
          <w:szCs w:val="24"/>
        </w:rPr>
      </w:pPr>
    </w:p>
    <w:p w14:paraId="41FB4B40">
      <w:pPr>
        <w:pStyle w:val="93"/>
        <w:rPr>
          <w:rFonts w:hint="eastAsia" w:asciiTheme="minorEastAsia" w:hAnsiTheme="minorEastAsia" w:eastAsiaTheme="minorEastAsia" w:cstheme="minorEastAsia"/>
          <w:color w:val="auto"/>
          <w:sz w:val="24"/>
          <w:szCs w:val="24"/>
        </w:rPr>
      </w:pPr>
    </w:p>
    <w:p w14:paraId="1516516F">
      <w:pPr>
        <w:pStyle w:val="93"/>
        <w:rPr>
          <w:rFonts w:hint="eastAsia" w:asciiTheme="minorEastAsia" w:hAnsiTheme="minorEastAsia" w:eastAsiaTheme="minorEastAsia" w:cstheme="minorEastAsia"/>
          <w:color w:val="auto"/>
          <w:sz w:val="24"/>
          <w:szCs w:val="24"/>
        </w:rPr>
      </w:pPr>
    </w:p>
    <w:p w14:paraId="2281D675">
      <w:pPr>
        <w:pStyle w:val="3"/>
        <w:widowControl w:val="0"/>
        <w:numPr>
          <w:ilvl w:val="0"/>
          <w:numId w:val="0"/>
        </w:numPr>
        <w:adjustRightInd w:val="0"/>
        <w:spacing w:before="280" w:line="300" w:lineRule="auto"/>
        <w:jc w:val="both"/>
        <w:outlineLvl w:val="1"/>
        <w:rPr>
          <w:color w:val="auto"/>
        </w:rPr>
      </w:pPr>
    </w:p>
    <w:sectPr>
      <w:headerReference r:id="rId9" w:type="first"/>
      <w:footerReference r:id="rId11" w:type="first"/>
      <w:headerReference r:id="rId8" w:type="even"/>
      <w:footerReference r:id="rId10" w:type="even"/>
      <w:pgSz w:w="11907" w:h="16840"/>
      <w:pgMar w:top="1440" w:right="1304" w:bottom="1440" w:left="1304" w:header="851" w:footer="851" w:gutter="0"/>
      <w:pgBorders>
        <w:top w:val="none" w:sz="0" w:space="0"/>
        <w:left w:val="none" w:sz="0" w:space="0"/>
        <w:bottom w:val="none" w:sz="0" w:space="0"/>
        <w:right w:val="none" w:sz="0" w:space="0"/>
      </w:pgBorders>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317318E7-3D39-42F0-A860-21A74137F7D5}"/>
  </w:font>
  <w:font w:name="黑体">
    <w:panose1 w:val="02010609060101010101"/>
    <w:charset w:val="86"/>
    <w:family w:val="auto"/>
    <w:pitch w:val="default"/>
    <w:sig w:usb0="800002BF" w:usb1="38CF7CFA" w:usb2="00000016" w:usb3="00000000" w:csb0="00040001" w:csb1="00000000"/>
    <w:embedRegular r:id="rId2" w:fontKey="{B09D5C6E-913B-4066-A314-E74F8AC1A6B2}"/>
  </w:font>
  <w:font w:name="Courier New">
    <w:panose1 w:val="02070309020205020404"/>
    <w:charset w:val="01"/>
    <w:family w:val="modern"/>
    <w:pitch w:val="default"/>
    <w:sig w:usb0="E0002EFF" w:usb1="C0007843" w:usb2="00000009" w:usb3="00000000" w:csb0="400001FF" w:csb1="FFFF0000"/>
    <w:embedRegular r:id="rId3" w:fontKey="{DAC8CB8E-AAD7-40F5-B5C9-8588BE5111AE}"/>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embedRegular r:id="rId4" w:fontKey="{977185B2-ABE7-4D49-AF59-82EA12729454}"/>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embedRegular r:id="rId5" w:fontKey="{84E4ABF8-EB46-4C0A-A504-DB5349C94893}"/>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CESI黑体-GB2312">
    <w:altName w:val="黑体"/>
    <w:panose1 w:val="02000500000000000000"/>
    <w:charset w:val="86"/>
    <w:family w:val="auto"/>
    <w:pitch w:val="default"/>
    <w:sig w:usb0="00000000" w:usb1="00000000" w:usb2="00000012" w:usb3="00000000" w:csb0="0004000F" w:csb1="00000000"/>
    <w:embedRegular r:id="rId6" w:fontKey="{F796F666-8D70-427C-AC24-BA4E63277EC7}"/>
  </w:font>
  <w:font w:name="Wingdings 2">
    <w:panose1 w:val="05020102010507070707"/>
    <w:charset w:val="02"/>
    <w:family w:val="roman"/>
    <w:pitch w:val="default"/>
    <w:sig w:usb0="00000000" w:usb1="00000000" w:usb2="00000000" w:usb3="00000000" w:csb0="80000000" w:csb1="00000000"/>
    <w:embedRegular r:id="rId7" w:fontKey="{A89BED4D-1E62-4A9A-ABA7-F6F0D376A739}"/>
  </w:font>
  <w:font w:name="Segoe UI Symbol">
    <w:panose1 w:val="020B0502040204020203"/>
    <w:charset w:val="00"/>
    <w:family w:val="swiss"/>
    <w:pitch w:val="default"/>
    <w:sig w:usb0="800001E3" w:usb1="1200FFEF" w:usb2="00040000" w:usb3="04000000" w:csb0="00000001" w:csb1="40000000"/>
    <w:embedRegular r:id="rId8" w:fontKey="{34E97298-E2A5-4822-AA76-F257D42E17A4}"/>
  </w:font>
  <w:font w:name="Microsoft YaHei UI">
    <w:panose1 w:val="020B0503020204020204"/>
    <w:charset w:val="86"/>
    <w:family w:val="swiss"/>
    <w:pitch w:val="default"/>
    <w:sig w:usb0="80000287" w:usb1="2ACF3C50" w:usb2="00000016" w:usb3="00000000" w:csb0="0004001F" w:csb1="00000000"/>
    <w:embedRegular r:id="rId9" w:fontKey="{CAEF35C2-D48F-4A53-B437-2A3167375890}"/>
  </w:font>
  <w:font w:name="方正魏碑_GBK">
    <w:altName w:val="宋体"/>
    <w:panose1 w:val="03000509000000000000"/>
    <w:charset w:val="86"/>
    <w:family w:val="script"/>
    <w:pitch w:val="default"/>
    <w:sig w:usb0="00000000" w:usb1="00000000" w:usb2="00000010" w:usb3="00000000" w:csb0="00040000" w:csb1="00000000"/>
    <w:embedRegular r:id="rId10" w:fontKey="{7ED2952F-7C1A-4FA2-BB21-A970B9A6022A}"/>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A49CB4">
    <w:pPr>
      <w:pStyle w:val="28"/>
      <w:framePr w:wrap="around" w:vAnchor="text" w:hAnchor="margin" w:xAlign="center" w:y="1"/>
      <w:rPr>
        <w:rStyle w:val="48"/>
      </w:rPr>
    </w:pPr>
    <w:r>
      <w:rPr>
        <w:rStyle w:val="48"/>
      </w:rPr>
      <w:fldChar w:fldCharType="begin"/>
    </w:r>
    <w:r>
      <w:rPr>
        <w:rStyle w:val="48"/>
      </w:rPr>
      <w:instrText xml:space="preserve"> PAGE  </w:instrText>
    </w:r>
    <w:r>
      <w:rPr>
        <w:rStyle w:val="48"/>
      </w:rPr>
      <w:fldChar w:fldCharType="separate"/>
    </w:r>
    <w:r>
      <w:rPr>
        <w:rStyle w:val="48"/>
      </w:rPr>
      <w:t>- 1 -</w:t>
    </w:r>
    <w:r>
      <w:rPr>
        <w:rStyle w:val="48"/>
      </w:rPr>
      <w:fldChar w:fldCharType="end"/>
    </w:r>
  </w:p>
  <w:p w14:paraId="26F0ED98">
    <w:pPr>
      <w:pStyle w:val="28"/>
      <w:framePr w:wrap="around" w:vAnchor="text" w:hAnchor="margin" w:xAlign="right" w:y="1"/>
      <w:rPr>
        <w:rStyle w:val="48"/>
      </w:rPr>
    </w:pPr>
  </w:p>
  <w:p w14:paraId="51FCB68B">
    <w:pPr>
      <w:pStyle w:val="28"/>
      <w:ind w:right="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AD13A8">
    <w:pPr>
      <w:pStyle w:val="28"/>
      <w:rPr>
        <w:rFonts w:ascii="Times New Roman"/>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BF658DA">
                          <w:pPr>
                            <w:pStyle w:val="28"/>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4BF658DA">
                    <w:pPr>
                      <w:pStyle w:val="2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243EEE">
    <w:pPr>
      <w:pStyle w:val="28"/>
      <w:framePr w:wrap="around" w:vAnchor="text" w:hAnchor="margin" w:xAlign="right" w:y="1"/>
      <w:rPr>
        <w:rStyle w:val="48"/>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34EA62D">
                          <w:pPr>
                            <w:pStyle w:val="28"/>
                            <w:rPr>
                              <w:rStyle w:val="48"/>
                            </w:rPr>
                          </w:pPr>
                          <w:r>
                            <w:rPr>
                              <w:rStyle w:val="48"/>
                            </w:rPr>
                            <w:fldChar w:fldCharType="begin"/>
                          </w:r>
                          <w:r>
                            <w:rPr>
                              <w:rStyle w:val="48"/>
                            </w:rPr>
                            <w:instrText xml:space="preserve"> PAGE  </w:instrText>
                          </w:r>
                          <w:r>
                            <w:rPr>
                              <w:rStyle w:val="48"/>
                            </w:rPr>
                            <w:fldChar w:fldCharType="separate"/>
                          </w:r>
                          <w:r>
                            <w:rPr>
                              <w:rStyle w:val="48"/>
                            </w:rPr>
                            <w:t>- 1 -</w:t>
                          </w:r>
                          <w:r>
                            <w:rPr>
                              <w:rStyle w:val="48"/>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034EA62D">
                    <w:pPr>
                      <w:pStyle w:val="28"/>
                      <w:rPr>
                        <w:rStyle w:val="48"/>
                      </w:rPr>
                    </w:pPr>
                    <w:r>
                      <w:rPr>
                        <w:rStyle w:val="48"/>
                      </w:rPr>
                      <w:fldChar w:fldCharType="begin"/>
                    </w:r>
                    <w:r>
                      <w:rPr>
                        <w:rStyle w:val="48"/>
                      </w:rPr>
                      <w:instrText xml:space="preserve"> PAGE  </w:instrText>
                    </w:r>
                    <w:r>
                      <w:rPr>
                        <w:rStyle w:val="48"/>
                      </w:rPr>
                      <w:fldChar w:fldCharType="separate"/>
                    </w:r>
                    <w:r>
                      <w:rPr>
                        <w:rStyle w:val="48"/>
                      </w:rPr>
                      <w:t>- 1 -</w:t>
                    </w:r>
                    <w:r>
                      <w:rPr>
                        <w:rStyle w:val="48"/>
                      </w:rPr>
                      <w:fldChar w:fldCharType="end"/>
                    </w:r>
                  </w:p>
                </w:txbxContent>
              </v:textbox>
            </v:shape>
          </w:pict>
        </mc:Fallback>
      </mc:AlternateContent>
    </w:r>
  </w:p>
  <w:p w14:paraId="481A71CA">
    <w:pPr>
      <w:pStyle w:val="28"/>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DFBE34">
    <w:pPr>
      <w:pStyle w:val="28"/>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14:paraId="7D67E415">
    <w:pPr>
      <w:pStyle w:val="28"/>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207DFC">
    <w:pPr>
      <w:pStyle w:val="28"/>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14:paraId="3881E885">
    <w:pPr>
      <w:pStyle w:val="28"/>
      <w:ind w:right="360"/>
    </w:pPr>
  </w:p>
  <w:p w14:paraId="116256F8"/>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EFBC0C">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8E2C9F">
    <w:pPr>
      <w:pStyle w:val="29"/>
      <w:wordWrap w:val="0"/>
      <w:jc w:val="right"/>
      <w:rPr>
        <w:u w:val="none"/>
      </w:rPr>
    </w:pPr>
    <w:r>
      <w:rPr>
        <w:rFonts w:hint="eastAsia"/>
        <w:u w:val="none"/>
      </w:rPr>
      <w:t xml:space="preserve">政府采购项目询价通知书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8DF700">
    <w:pPr>
      <w:pStyle w:val="29"/>
    </w:pPr>
  </w:p>
  <w:p w14:paraId="446B436F"/>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178592">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9D538E"/>
    <w:multiLevelType w:val="singleLevel"/>
    <w:tmpl w:val="889D538E"/>
    <w:lvl w:ilvl="0" w:tentative="0">
      <w:start w:val="1"/>
      <w:numFmt w:val="decimal"/>
      <w:suff w:val="space"/>
      <w:lvlText w:val="2.%1"/>
      <w:lvlJc w:val="left"/>
      <w:pPr>
        <w:ind w:left="0" w:firstLine="480"/>
      </w:pPr>
      <w:rPr>
        <w:rFonts w:hint="default"/>
      </w:rPr>
    </w:lvl>
  </w:abstractNum>
  <w:abstractNum w:abstractNumId="1">
    <w:nsid w:val="89F3E7DC"/>
    <w:multiLevelType w:val="singleLevel"/>
    <w:tmpl w:val="89F3E7DC"/>
    <w:lvl w:ilvl="0" w:tentative="0">
      <w:start w:val="1"/>
      <w:numFmt w:val="chineseCounting"/>
      <w:suff w:val="nothing"/>
      <w:lvlText w:val="%1、"/>
      <w:lvlJc w:val="left"/>
      <w:pPr>
        <w:ind w:left="0" w:firstLine="480"/>
      </w:pPr>
      <w:rPr>
        <w:rFonts w:hint="eastAsia"/>
      </w:rPr>
    </w:lvl>
  </w:abstractNum>
  <w:abstractNum w:abstractNumId="2">
    <w:nsid w:val="8BE0B51A"/>
    <w:multiLevelType w:val="singleLevel"/>
    <w:tmpl w:val="8BE0B51A"/>
    <w:lvl w:ilvl="0" w:tentative="0">
      <w:start w:val="1"/>
      <w:numFmt w:val="decimal"/>
      <w:suff w:val="space"/>
      <w:lvlText w:val="14.%1"/>
      <w:lvlJc w:val="left"/>
      <w:pPr>
        <w:ind w:left="0" w:firstLine="480"/>
      </w:pPr>
      <w:rPr>
        <w:rFonts w:hint="default"/>
      </w:rPr>
    </w:lvl>
  </w:abstractNum>
  <w:abstractNum w:abstractNumId="3">
    <w:nsid w:val="8D3713DC"/>
    <w:multiLevelType w:val="singleLevel"/>
    <w:tmpl w:val="8D3713DC"/>
    <w:lvl w:ilvl="0" w:tentative="0">
      <w:start w:val="1"/>
      <w:numFmt w:val="decimal"/>
      <w:suff w:val="space"/>
      <w:lvlText w:val="22.1.%1"/>
      <w:lvlJc w:val="left"/>
      <w:pPr>
        <w:ind w:left="0" w:firstLine="480"/>
      </w:pPr>
      <w:rPr>
        <w:rFonts w:hint="default"/>
      </w:rPr>
    </w:lvl>
  </w:abstractNum>
  <w:abstractNum w:abstractNumId="4">
    <w:nsid w:val="8D781ACE"/>
    <w:multiLevelType w:val="singleLevel"/>
    <w:tmpl w:val="8D781ACE"/>
    <w:lvl w:ilvl="0" w:tentative="0">
      <w:start w:val="1"/>
      <w:numFmt w:val="decimal"/>
      <w:suff w:val="space"/>
      <w:lvlText w:val="(%1)"/>
      <w:lvlJc w:val="left"/>
      <w:pPr>
        <w:ind w:left="0" w:firstLine="0"/>
      </w:pPr>
      <w:rPr>
        <w:rFonts w:hint="default"/>
      </w:rPr>
    </w:lvl>
  </w:abstractNum>
  <w:abstractNum w:abstractNumId="5">
    <w:nsid w:val="8F8BCA23"/>
    <w:multiLevelType w:val="singleLevel"/>
    <w:tmpl w:val="8F8BCA23"/>
    <w:lvl w:ilvl="0" w:tentative="0">
      <w:start w:val="1"/>
      <w:numFmt w:val="decimal"/>
      <w:suff w:val="space"/>
      <w:lvlText w:val="17.%1"/>
      <w:lvlJc w:val="left"/>
      <w:pPr>
        <w:ind w:left="0" w:firstLine="480"/>
      </w:pPr>
      <w:rPr>
        <w:rFonts w:hint="default"/>
      </w:rPr>
    </w:lvl>
  </w:abstractNum>
  <w:abstractNum w:abstractNumId="6">
    <w:nsid w:val="94901694"/>
    <w:multiLevelType w:val="singleLevel"/>
    <w:tmpl w:val="94901694"/>
    <w:lvl w:ilvl="0" w:tentative="0">
      <w:start w:val="1"/>
      <w:numFmt w:val="decimal"/>
      <w:suff w:val="space"/>
      <w:lvlText w:val="2.%1"/>
      <w:lvlJc w:val="left"/>
      <w:pPr>
        <w:ind w:left="0" w:firstLine="0"/>
      </w:pPr>
      <w:rPr>
        <w:rFonts w:hint="default"/>
      </w:rPr>
    </w:lvl>
  </w:abstractNum>
  <w:abstractNum w:abstractNumId="7">
    <w:nsid w:val="965449D4"/>
    <w:multiLevelType w:val="singleLevel"/>
    <w:tmpl w:val="965449D4"/>
    <w:lvl w:ilvl="0" w:tentative="0">
      <w:start w:val="1"/>
      <w:numFmt w:val="chineseCounting"/>
      <w:suff w:val="nothing"/>
      <w:lvlText w:val="%1、"/>
      <w:lvlJc w:val="left"/>
      <w:pPr>
        <w:ind w:left="0" w:firstLine="0"/>
      </w:pPr>
      <w:rPr>
        <w:rFonts w:hint="eastAsia"/>
      </w:rPr>
    </w:lvl>
  </w:abstractNum>
  <w:abstractNum w:abstractNumId="8">
    <w:nsid w:val="9803F4BF"/>
    <w:multiLevelType w:val="singleLevel"/>
    <w:tmpl w:val="9803F4BF"/>
    <w:lvl w:ilvl="0" w:tentative="0">
      <w:start w:val="1"/>
      <w:numFmt w:val="decimal"/>
      <w:suff w:val="space"/>
      <w:lvlText w:val="10.%1"/>
      <w:lvlJc w:val="left"/>
      <w:pPr>
        <w:ind w:left="0" w:firstLine="480"/>
      </w:pPr>
      <w:rPr>
        <w:rFonts w:hint="default"/>
        <w:color w:val="000000" w:themeColor="text1"/>
        <w14:textFill>
          <w14:solidFill>
            <w14:schemeClr w14:val="tx1"/>
          </w14:solidFill>
        </w14:textFill>
      </w:rPr>
    </w:lvl>
  </w:abstractNum>
  <w:abstractNum w:abstractNumId="9">
    <w:nsid w:val="9E300555"/>
    <w:multiLevelType w:val="singleLevel"/>
    <w:tmpl w:val="9E300555"/>
    <w:lvl w:ilvl="0" w:tentative="0">
      <w:start w:val="1"/>
      <w:numFmt w:val="decimal"/>
      <w:suff w:val="space"/>
      <w:lvlText w:val="3.1.%1"/>
      <w:lvlJc w:val="left"/>
      <w:pPr>
        <w:ind w:left="0" w:firstLine="480"/>
      </w:pPr>
      <w:rPr>
        <w:rFonts w:hint="default"/>
      </w:rPr>
    </w:lvl>
  </w:abstractNum>
  <w:abstractNum w:abstractNumId="10">
    <w:nsid w:val="A1659695"/>
    <w:multiLevelType w:val="singleLevel"/>
    <w:tmpl w:val="A1659695"/>
    <w:lvl w:ilvl="0" w:tentative="0">
      <w:start w:val="1"/>
      <w:numFmt w:val="decimal"/>
      <w:suff w:val="space"/>
      <w:lvlText w:val="21.%1"/>
      <w:lvlJc w:val="left"/>
      <w:pPr>
        <w:ind w:left="0" w:firstLine="480"/>
      </w:pPr>
      <w:rPr>
        <w:rFonts w:hint="default"/>
      </w:rPr>
    </w:lvl>
  </w:abstractNum>
  <w:abstractNum w:abstractNumId="11">
    <w:nsid w:val="A24184C6"/>
    <w:multiLevelType w:val="singleLevel"/>
    <w:tmpl w:val="A24184C6"/>
    <w:lvl w:ilvl="0" w:tentative="0">
      <w:start w:val="1"/>
      <w:numFmt w:val="decimal"/>
      <w:suff w:val="space"/>
      <w:lvlText w:val="2.%1"/>
      <w:lvlJc w:val="left"/>
      <w:pPr>
        <w:ind w:left="0" w:firstLine="480"/>
      </w:pPr>
      <w:rPr>
        <w:rFonts w:hint="default"/>
      </w:rPr>
    </w:lvl>
  </w:abstractNum>
  <w:abstractNum w:abstractNumId="12">
    <w:nsid w:val="A4B3370B"/>
    <w:multiLevelType w:val="singleLevel"/>
    <w:tmpl w:val="A4B3370B"/>
    <w:lvl w:ilvl="0" w:tentative="0">
      <w:start w:val="1"/>
      <w:numFmt w:val="decimal"/>
      <w:suff w:val="space"/>
      <w:lvlText w:val="1-%1"/>
      <w:lvlJc w:val="left"/>
      <w:pPr>
        <w:ind w:left="0" w:firstLine="480"/>
      </w:pPr>
      <w:rPr>
        <w:rFonts w:hint="default"/>
      </w:rPr>
    </w:lvl>
  </w:abstractNum>
  <w:abstractNum w:abstractNumId="13">
    <w:nsid w:val="A589DCF1"/>
    <w:multiLevelType w:val="singleLevel"/>
    <w:tmpl w:val="A589DCF1"/>
    <w:lvl w:ilvl="0" w:tentative="0">
      <w:start w:val="1"/>
      <w:numFmt w:val="decimal"/>
      <w:suff w:val="space"/>
      <w:lvlText w:val="10.2.%1"/>
      <w:lvlJc w:val="left"/>
      <w:pPr>
        <w:ind w:left="0" w:firstLine="480"/>
      </w:pPr>
      <w:rPr>
        <w:rFonts w:hint="default"/>
      </w:rPr>
    </w:lvl>
  </w:abstractNum>
  <w:abstractNum w:abstractNumId="14">
    <w:nsid w:val="A5AC3DCA"/>
    <w:multiLevelType w:val="singleLevel"/>
    <w:tmpl w:val="A5AC3DCA"/>
    <w:lvl w:ilvl="0" w:tentative="0">
      <w:start w:val="1"/>
      <w:numFmt w:val="decimal"/>
      <w:suff w:val="space"/>
      <w:lvlText w:val="3.2.3.%1"/>
      <w:lvlJc w:val="left"/>
      <w:pPr>
        <w:ind w:left="0" w:firstLine="480"/>
      </w:pPr>
      <w:rPr>
        <w:rFonts w:hint="default"/>
      </w:rPr>
    </w:lvl>
  </w:abstractNum>
  <w:abstractNum w:abstractNumId="15">
    <w:nsid w:val="A887482A"/>
    <w:multiLevelType w:val="singleLevel"/>
    <w:tmpl w:val="A887482A"/>
    <w:lvl w:ilvl="0" w:tentative="0">
      <w:start w:val="1"/>
      <w:numFmt w:val="decimal"/>
      <w:suff w:val="space"/>
      <w:lvlText w:val="%1."/>
      <w:lvlJc w:val="left"/>
      <w:pPr>
        <w:ind w:left="0" w:firstLine="480"/>
      </w:pPr>
      <w:rPr>
        <w:rFonts w:hint="default"/>
      </w:rPr>
    </w:lvl>
  </w:abstractNum>
  <w:abstractNum w:abstractNumId="16">
    <w:nsid w:val="AC33FAE0"/>
    <w:multiLevelType w:val="singleLevel"/>
    <w:tmpl w:val="AC33FAE0"/>
    <w:lvl w:ilvl="0" w:tentative="0">
      <w:start w:val="1"/>
      <w:numFmt w:val="decimal"/>
      <w:suff w:val="space"/>
      <w:lvlText w:val="27.2.%1"/>
      <w:lvlJc w:val="left"/>
      <w:pPr>
        <w:ind w:left="0" w:firstLine="480"/>
      </w:pPr>
      <w:rPr>
        <w:rFonts w:hint="default"/>
      </w:rPr>
    </w:lvl>
  </w:abstractNum>
  <w:abstractNum w:abstractNumId="17">
    <w:nsid w:val="ACE7F400"/>
    <w:multiLevelType w:val="singleLevel"/>
    <w:tmpl w:val="ACE7F400"/>
    <w:lvl w:ilvl="0" w:tentative="0">
      <w:start w:val="1"/>
      <w:numFmt w:val="decimal"/>
      <w:suff w:val="space"/>
      <w:lvlText w:val="%1."/>
      <w:lvlJc w:val="left"/>
      <w:pPr>
        <w:ind w:left="0" w:firstLine="0"/>
      </w:pPr>
      <w:rPr>
        <w:rFonts w:hint="default"/>
      </w:rPr>
    </w:lvl>
  </w:abstractNum>
  <w:abstractNum w:abstractNumId="18">
    <w:nsid w:val="AE185850"/>
    <w:multiLevelType w:val="singleLevel"/>
    <w:tmpl w:val="AE185850"/>
    <w:lvl w:ilvl="0" w:tentative="0">
      <w:start w:val="1"/>
      <w:numFmt w:val="decimal"/>
      <w:suff w:val="space"/>
      <w:lvlText w:val="%1."/>
      <w:lvlJc w:val="left"/>
      <w:pPr>
        <w:ind w:left="0" w:firstLine="480"/>
      </w:pPr>
      <w:rPr>
        <w:rFonts w:hint="default"/>
      </w:rPr>
    </w:lvl>
  </w:abstractNum>
  <w:abstractNum w:abstractNumId="19">
    <w:nsid w:val="AEE82583"/>
    <w:multiLevelType w:val="singleLevel"/>
    <w:tmpl w:val="AEE82583"/>
    <w:lvl w:ilvl="0" w:tentative="0">
      <w:start w:val="1"/>
      <w:numFmt w:val="decimal"/>
      <w:suff w:val="space"/>
      <w:lvlText w:val="25.%1"/>
      <w:lvlJc w:val="left"/>
      <w:pPr>
        <w:ind w:left="0" w:firstLine="480"/>
      </w:pPr>
      <w:rPr>
        <w:rFonts w:hint="default"/>
      </w:rPr>
    </w:lvl>
  </w:abstractNum>
  <w:abstractNum w:abstractNumId="20">
    <w:nsid w:val="B170874D"/>
    <w:multiLevelType w:val="singleLevel"/>
    <w:tmpl w:val="B170874D"/>
    <w:lvl w:ilvl="0" w:tentative="0">
      <w:start w:val="16"/>
      <w:numFmt w:val="decimal"/>
      <w:suff w:val="space"/>
      <w:lvlText w:val="%1"/>
      <w:lvlJc w:val="left"/>
      <w:pPr>
        <w:ind w:left="0" w:firstLine="0"/>
      </w:pPr>
      <w:rPr>
        <w:rFonts w:hint="default"/>
      </w:rPr>
    </w:lvl>
  </w:abstractNum>
  <w:abstractNum w:abstractNumId="21">
    <w:nsid w:val="B6025A30"/>
    <w:multiLevelType w:val="singleLevel"/>
    <w:tmpl w:val="B6025A30"/>
    <w:lvl w:ilvl="0" w:tentative="0">
      <w:start w:val="1"/>
      <w:numFmt w:val="decimal"/>
      <w:suff w:val="nothing"/>
      <w:lvlText w:val="（%1）"/>
      <w:lvlJc w:val="left"/>
      <w:pPr>
        <w:ind w:left="0" w:firstLine="480"/>
      </w:pPr>
      <w:rPr>
        <w:rFonts w:hint="default"/>
      </w:rPr>
    </w:lvl>
  </w:abstractNum>
  <w:abstractNum w:abstractNumId="22">
    <w:nsid w:val="BA844980"/>
    <w:multiLevelType w:val="singleLevel"/>
    <w:tmpl w:val="BA844980"/>
    <w:lvl w:ilvl="0" w:tentative="0">
      <w:start w:val="1"/>
      <w:numFmt w:val="decimal"/>
      <w:suff w:val="space"/>
      <w:lvlText w:val="4.%1"/>
      <w:lvlJc w:val="left"/>
      <w:pPr>
        <w:ind w:left="0" w:firstLine="480"/>
      </w:pPr>
      <w:rPr>
        <w:rFonts w:hint="default"/>
      </w:rPr>
    </w:lvl>
  </w:abstractNum>
  <w:abstractNum w:abstractNumId="23">
    <w:nsid w:val="BBE2DE34"/>
    <w:multiLevelType w:val="singleLevel"/>
    <w:tmpl w:val="BBE2DE34"/>
    <w:lvl w:ilvl="0" w:tentative="0">
      <w:start w:val="1"/>
      <w:numFmt w:val="decimal"/>
      <w:suff w:val="space"/>
      <w:lvlText w:val="%1."/>
      <w:lvlJc w:val="left"/>
      <w:pPr>
        <w:ind w:left="0" w:firstLine="480"/>
      </w:pPr>
      <w:rPr>
        <w:rFonts w:hint="default"/>
      </w:rPr>
    </w:lvl>
  </w:abstractNum>
  <w:abstractNum w:abstractNumId="24">
    <w:nsid w:val="BD0A3CD5"/>
    <w:multiLevelType w:val="singleLevel"/>
    <w:tmpl w:val="BD0A3CD5"/>
    <w:lvl w:ilvl="0" w:tentative="0">
      <w:start w:val="5"/>
      <w:numFmt w:val="decimal"/>
      <w:suff w:val="space"/>
      <w:lvlText w:val="%1"/>
      <w:lvlJc w:val="left"/>
      <w:pPr>
        <w:ind w:left="0" w:firstLine="0"/>
      </w:pPr>
      <w:rPr>
        <w:rFonts w:hint="default"/>
      </w:rPr>
    </w:lvl>
  </w:abstractNum>
  <w:abstractNum w:abstractNumId="25">
    <w:nsid w:val="C2299085"/>
    <w:multiLevelType w:val="singleLevel"/>
    <w:tmpl w:val="C2299085"/>
    <w:lvl w:ilvl="0" w:tentative="0">
      <w:start w:val="20"/>
      <w:numFmt w:val="decimal"/>
      <w:suff w:val="space"/>
      <w:lvlText w:val="%1"/>
      <w:lvlJc w:val="left"/>
      <w:pPr>
        <w:ind w:left="0" w:firstLine="0"/>
      </w:pPr>
      <w:rPr>
        <w:rFonts w:hint="default"/>
      </w:rPr>
    </w:lvl>
  </w:abstractNum>
  <w:abstractNum w:abstractNumId="26">
    <w:nsid w:val="C4ED40D2"/>
    <w:multiLevelType w:val="singleLevel"/>
    <w:tmpl w:val="C4ED40D2"/>
    <w:lvl w:ilvl="0" w:tentative="0">
      <w:start w:val="1"/>
      <w:numFmt w:val="decimal"/>
      <w:suff w:val="space"/>
      <w:lvlText w:val="3.%1"/>
      <w:lvlJc w:val="left"/>
      <w:pPr>
        <w:ind w:left="0" w:firstLine="0"/>
      </w:pPr>
      <w:rPr>
        <w:rFonts w:hint="default"/>
      </w:rPr>
    </w:lvl>
  </w:abstractNum>
  <w:abstractNum w:abstractNumId="27">
    <w:nsid w:val="CFDA907B"/>
    <w:multiLevelType w:val="singleLevel"/>
    <w:tmpl w:val="CFDA907B"/>
    <w:lvl w:ilvl="0" w:tentative="0">
      <w:start w:val="1"/>
      <w:numFmt w:val="decimal"/>
      <w:suff w:val="nothing"/>
      <w:lvlText w:val="%1、"/>
      <w:lvlJc w:val="left"/>
      <w:pPr>
        <w:ind w:left="0" w:firstLine="480"/>
      </w:pPr>
      <w:rPr>
        <w:rFonts w:hint="default"/>
      </w:rPr>
    </w:lvl>
  </w:abstractNum>
  <w:abstractNum w:abstractNumId="28">
    <w:nsid w:val="D167EA93"/>
    <w:multiLevelType w:val="singleLevel"/>
    <w:tmpl w:val="D167EA93"/>
    <w:lvl w:ilvl="0" w:tentative="0">
      <w:start w:val="1"/>
      <w:numFmt w:val="decimal"/>
      <w:suff w:val="space"/>
      <w:lvlText w:val="7.%1"/>
      <w:lvlJc w:val="left"/>
      <w:pPr>
        <w:ind w:left="0" w:firstLine="480"/>
      </w:pPr>
      <w:rPr>
        <w:rFonts w:hint="default"/>
      </w:rPr>
    </w:lvl>
  </w:abstractNum>
  <w:abstractNum w:abstractNumId="29">
    <w:nsid w:val="D24FD4C2"/>
    <w:multiLevelType w:val="singleLevel"/>
    <w:tmpl w:val="D24FD4C2"/>
    <w:lvl w:ilvl="0" w:tentative="0">
      <w:start w:val="1"/>
      <w:numFmt w:val="decimal"/>
      <w:suff w:val="space"/>
      <w:lvlText w:val="%1."/>
      <w:lvlJc w:val="left"/>
      <w:pPr>
        <w:ind w:left="0" w:firstLine="480"/>
      </w:pPr>
      <w:rPr>
        <w:rFonts w:hint="default"/>
      </w:rPr>
    </w:lvl>
  </w:abstractNum>
  <w:abstractNum w:abstractNumId="30">
    <w:nsid w:val="D3BA2A98"/>
    <w:multiLevelType w:val="singleLevel"/>
    <w:tmpl w:val="D3BA2A98"/>
    <w:lvl w:ilvl="0" w:tentative="0">
      <w:start w:val="1"/>
      <w:numFmt w:val="decimal"/>
      <w:suff w:val="space"/>
      <w:lvlText w:val="3.2.%1"/>
      <w:lvlJc w:val="left"/>
      <w:pPr>
        <w:ind w:left="0" w:firstLine="480"/>
      </w:pPr>
      <w:rPr>
        <w:rFonts w:hint="default"/>
      </w:rPr>
    </w:lvl>
  </w:abstractNum>
  <w:abstractNum w:abstractNumId="31">
    <w:nsid w:val="D3D4ABA8"/>
    <w:multiLevelType w:val="singleLevel"/>
    <w:tmpl w:val="D3D4ABA8"/>
    <w:lvl w:ilvl="0" w:tentative="0">
      <w:start w:val="1"/>
      <w:numFmt w:val="decimal"/>
      <w:suff w:val="space"/>
      <w:lvlText w:val="%1."/>
      <w:lvlJc w:val="left"/>
      <w:pPr>
        <w:ind w:left="0" w:firstLine="480"/>
      </w:pPr>
      <w:rPr>
        <w:rFonts w:hint="default"/>
      </w:rPr>
    </w:lvl>
  </w:abstractNum>
  <w:abstractNum w:abstractNumId="32">
    <w:nsid w:val="D44DD682"/>
    <w:multiLevelType w:val="singleLevel"/>
    <w:tmpl w:val="D44DD682"/>
    <w:lvl w:ilvl="0" w:tentative="0">
      <w:start w:val="1"/>
      <w:numFmt w:val="decimal"/>
      <w:suff w:val="space"/>
      <w:lvlText w:val="8.%1"/>
      <w:lvlJc w:val="left"/>
      <w:pPr>
        <w:ind w:left="0" w:firstLine="480"/>
      </w:pPr>
      <w:rPr>
        <w:rFonts w:hint="default"/>
      </w:rPr>
    </w:lvl>
  </w:abstractNum>
  <w:abstractNum w:abstractNumId="33">
    <w:nsid w:val="DA1AEEC6"/>
    <w:multiLevelType w:val="singleLevel"/>
    <w:tmpl w:val="DA1AEEC6"/>
    <w:lvl w:ilvl="0" w:tentative="0">
      <w:start w:val="1"/>
      <w:numFmt w:val="decimal"/>
      <w:suff w:val="space"/>
      <w:lvlText w:val="13.%1"/>
      <w:lvlJc w:val="left"/>
      <w:pPr>
        <w:ind w:left="0" w:firstLine="480"/>
      </w:pPr>
      <w:rPr>
        <w:rFonts w:hint="default"/>
      </w:rPr>
    </w:lvl>
  </w:abstractNum>
  <w:abstractNum w:abstractNumId="34">
    <w:nsid w:val="DDCB4C82"/>
    <w:multiLevelType w:val="singleLevel"/>
    <w:tmpl w:val="DDCB4C82"/>
    <w:lvl w:ilvl="0" w:tentative="0">
      <w:start w:val="1"/>
      <w:numFmt w:val="decimal"/>
      <w:suff w:val="space"/>
      <w:lvlText w:val="6.%1"/>
      <w:lvlJc w:val="left"/>
      <w:pPr>
        <w:ind w:left="0" w:firstLine="480"/>
      </w:pPr>
      <w:rPr>
        <w:rFonts w:hint="default"/>
      </w:rPr>
    </w:lvl>
  </w:abstractNum>
  <w:abstractNum w:abstractNumId="35">
    <w:nsid w:val="E0AFD505"/>
    <w:multiLevelType w:val="singleLevel"/>
    <w:tmpl w:val="E0AFD505"/>
    <w:lvl w:ilvl="0" w:tentative="0">
      <w:start w:val="1"/>
      <w:numFmt w:val="decimal"/>
      <w:suff w:val="space"/>
      <w:lvlText w:val="2.4.%1"/>
      <w:lvlJc w:val="left"/>
      <w:pPr>
        <w:ind w:left="0" w:firstLine="480"/>
      </w:pPr>
      <w:rPr>
        <w:rFonts w:hint="default"/>
      </w:rPr>
    </w:lvl>
  </w:abstractNum>
  <w:abstractNum w:abstractNumId="36">
    <w:nsid w:val="E35A4B1E"/>
    <w:multiLevelType w:val="singleLevel"/>
    <w:tmpl w:val="E35A4B1E"/>
    <w:lvl w:ilvl="0" w:tentative="0">
      <w:start w:val="3"/>
      <w:numFmt w:val="decimal"/>
      <w:suff w:val="nothing"/>
      <w:lvlText w:val="%1）"/>
      <w:lvlJc w:val="left"/>
      <w:pPr>
        <w:ind w:left="0" w:firstLine="480"/>
      </w:pPr>
      <w:rPr>
        <w:rFonts w:hint="default"/>
      </w:rPr>
    </w:lvl>
  </w:abstractNum>
  <w:abstractNum w:abstractNumId="37">
    <w:nsid w:val="E451190C"/>
    <w:multiLevelType w:val="singleLevel"/>
    <w:tmpl w:val="E451190C"/>
    <w:lvl w:ilvl="0" w:tentative="0">
      <w:start w:val="1"/>
      <w:numFmt w:val="decimal"/>
      <w:suff w:val="nothing"/>
      <w:lvlText w:val="（%1）"/>
      <w:lvlJc w:val="left"/>
      <w:pPr>
        <w:ind w:left="0" w:firstLine="0"/>
      </w:pPr>
      <w:rPr>
        <w:rFonts w:hint="default"/>
      </w:rPr>
    </w:lvl>
  </w:abstractNum>
  <w:abstractNum w:abstractNumId="38">
    <w:nsid w:val="EBCA02EC"/>
    <w:multiLevelType w:val="singleLevel"/>
    <w:tmpl w:val="EBCA02EC"/>
    <w:lvl w:ilvl="0" w:tentative="0">
      <w:start w:val="1"/>
      <w:numFmt w:val="decimal"/>
      <w:suff w:val="space"/>
      <w:lvlText w:val="2-%1"/>
      <w:lvlJc w:val="left"/>
      <w:pPr>
        <w:ind w:left="0" w:firstLine="480"/>
      </w:pPr>
      <w:rPr>
        <w:rFonts w:hint="default"/>
      </w:rPr>
    </w:lvl>
  </w:abstractNum>
  <w:abstractNum w:abstractNumId="39">
    <w:nsid w:val="EE5B98E7"/>
    <w:multiLevelType w:val="singleLevel"/>
    <w:tmpl w:val="EE5B98E7"/>
    <w:lvl w:ilvl="0" w:tentative="0">
      <w:start w:val="1"/>
      <w:numFmt w:val="decimal"/>
      <w:suff w:val="space"/>
      <w:lvlText w:val="3.2.1.%1"/>
      <w:lvlJc w:val="left"/>
      <w:pPr>
        <w:ind w:left="0" w:firstLine="480"/>
      </w:pPr>
      <w:rPr>
        <w:rFonts w:hint="default"/>
      </w:rPr>
    </w:lvl>
  </w:abstractNum>
  <w:abstractNum w:abstractNumId="40">
    <w:nsid w:val="F146EC4A"/>
    <w:multiLevelType w:val="singleLevel"/>
    <w:tmpl w:val="F146EC4A"/>
    <w:lvl w:ilvl="0" w:tentative="0">
      <w:start w:val="1"/>
      <w:numFmt w:val="decimal"/>
      <w:suff w:val="space"/>
      <w:lvlText w:val="%1"/>
      <w:lvlJc w:val="left"/>
      <w:pPr>
        <w:ind w:left="0" w:firstLine="0"/>
      </w:pPr>
      <w:rPr>
        <w:rFonts w:hint="default"/>
      </w:rPr>
    </w:lvl>
  </w:abstractNum>
  <w:abstractNum w:abstractNumId="41">
    <w:nsid w:val="F36146C2"/>
    <w:multiLevelType w:val="singleLevel"/>
    <w:tmpl w:val="F36146C2"/>
    <w:lvl w:ilvl="0" w:tentative="0">
      <w:start w:val="1"/>
      <w:numFmt w:val="decimal"/>
      <w:suff w:val="space"/>
      <w:lvlText w:val="(%1)"/>
      <w:lvlJc w:val="left"/>
      <w:pPr>
        <w:ind w:left="0" w:firstLine="0"/>
      </w:pPr>
      <w:rPr>
        <w:rFonts w:hint="default"/>
      </w:rPr>
    </w:lvl>
  </w:abstractNum>
  <w:abstractNum w:abstractNumId="42">
    <w:nsid w:val="F4DA520E"/>
    <w:multiLevelType w:val="singleLevel"/>
    <w:tmpl w:val="F4DA520E"/>
    <w:lvl w:ilvl="0" w:tentative="0">
      <w:start w:val="1"/>
      <w:numFmt w:val="decimal"/>
      <w:suff w:val="space"/>
      <w:lvlText w:val="27.1.%1"/>
      <w:lvlJc w:val="left"/>
      <w:pPr>
        <w:ind w:left="0" w:firstLine="480"/>
      </w:pPr>
      <w:rPr>
        <w:rFonts w:hint="default"/>
      </w:rPr>
    </w:lvl>
  </w:abstractNum>
  <w:abstractNum w:abstractNumId="43">
    <w:nsid w:val="F8B8030A"/>
    <w:multiLevelType w:val="singleLevel"/>
    <w:tmpl w:val="F8B8030A"/>
    <w:lvl w:ilvl="0" w:tentative="0">
      <w:start w:val="1"/>
      <w:numFmt w:val="decimal"/>
      <w:suff w:val="space"/>
      <w:lvlText w:val="%1."/>
      <w:lvlJc w:val="left"/>
      <w:pPr>
        <w:ind w:left="0" w:firstLine="480"/>
      </w:pPr>
      <w:rPr>
        <w:rFonts w:hint="default"/>
      </w:rPr>
    </w:lvl>
  </w:abstractNum>
  <w:abstractNum w:abstractNumId="44">
    <w:nsid w:val="F91AD690"/>
    <w:multiLevelType w:val="singleLevel"/>
    <w:tmpl w:val="F91AD690"/>
    <w:lvl w:ilvl="0" w:tentative="0">
      <w:start w:val="1"/>
      <w:numFmt w:val="decimal"/>
      <w:suff w:val="space"/>
      <w:lvlText w:val="%1."/>
      <w:lvlJc w:val="left"/>
      <w:pPr>
        <w:ind w:left="0" w:firstLine="0"/>
      </w:pPr>
      <w:rPr>
        <w:rFonts w:hint="default"/>
      </w:rPr>
    </w:lvl>
  </w:abstractNum>
  <w:abstractNum w:abstractNumId="45">
    <w:nsid w:val="F95BF77C"/>
    <w:multiLevelType w:val="singleLevel"/>
    <w:tmpl w:val="F95BF77C"/>
    <w:lvl w:ilvl="0" w:tentative="0">
      <w:start w:val="1"/>
      <w:numFmt w:val="decimal"/>
      <w:suff w:val="space"/>
      <w:lvlText w:val="27.%1"/>
      <w:lvlJc w:val="left"/>
      <w:pPr>
        <w:ind w:left="0" w:firstLine="0"/>
      </w:pPr>
      <w:rPr>
        <w:rFonts w:hint="default"/>
      </w:rPr>
    </w:lvl>
  </w:abstractNum>
  <w:abstractNum w:abstractNumId="46">
    <w:nsid w:val="F9FDFE83"/>
    <w:multiLevelType w:val="singleLevel"/>
    <w:tmpl w:val="F9FDFE83"/>
    <w:lvl w:ilvl="0" w:tentative="0">
      <w:start w:val="1"/>
      <w:numFmt w:val="chineseCounting"/>
      <w:suff w:val="nothing"/>
      <w:lvlText w:val="%1、"/>
      <w:lvlJc w:val="left"/>
      <w:pPr>
        <w:ind w:left="0" w:firstLine="0"/>
      </w:pPr>
      <w:rPr>
        <w:rFonts w:hint="eastAsia"/>
      </w:rPr>
    </w:lvl>
  </w:abstractNum>
  <w:abstractNum w:abstractNumId="47">
    <w:nsid w:val="0000000A"/>
    <w:multiLevelType w:val="multilevel"/>
    <w:tmpl w:val="0000000A"/>
    <w:lvl w:ilvl="0" w:tentative="0">
      <w:start w:val="1"/>
      <w:numFmt w:val="decimal"/>
      <w:pStyle w:val="111"/>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8">
    <w:nsid w:val="0000000D"/>
    <w:multiLevelType w:val="multilevel"/>
    <w:tmpl w:val="0000000D"/>
    <w:lvl w:ilvl="0" w:tentative="0">
      <w:start w:val="1"/>
      <w:numFmt w:val="lowerLetter"/>
      <w:pStyle w:val="186"/>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9">
    <w:nsid w:val="00000013"/>
    <w:multiLevelType w:val="singleLevel"/>
    <w:tmpl w:val="00000013"/>
    <w:lvl w:ilvl="0" w:tentative="0">
      <w:start w:val="1"/>
      <w:numFmt w:val="decimal"/>
      <w:pStyle w:val="156"/>
      <w:lvlText w:val="%1."/>
      <w:lvlJc w:val="left"/>
      <w:pPr>
        <w:tabs>
          <w:tab w:val="left" w:pos="360"/>
        </w:tabs>
        <w:ind w:left="360" w:hanging="360"/>
      </w:pPr>
      <w:rPr>
        <w:rFonts w:hint="default"/>
      </w:rPr>
    </w:lvl>
  </w:abstractNum>
  <w:abstractNum w:abstractNumId="50">
    <w:nsid w:val="00000026"/>
    <w:multiLevelType w:val="multilevel"/>
    <w:tmpl w:val="00000026"/>
    <w:lvl w:ilvl="0" w:tentative="0">
      <w:start w:val="1"/>
      <w:numFmt w:val="decimal"/>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1"/>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40"/>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49"/>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2"/>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25"/>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1">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3"/>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52">
    <w:nsid w:val="0000002F"/>
    <w:multiLevelType w:val="multilevel"/>
    <w:tmpl w:val="0000002F"/>
    <w:lvl w:ilvl="0" w:tentative="0">
      <w:start w:val="1"/>
      <w:numFmt w:val="decimal"/>
      <w:pStyle w:val="110"/>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3">
    <w:nsid w:val="00C25BD8"/>
    <w:multiLevelType w:val="singleLevel"/>
    <w:tmpl w:val="00C25BD8"/>
    <w:lvl w:ilvl="0" w:tentative="0">
      <w:start w:val="1"/>
      <w:numFmt w:val="decimal"/>
      <w:suff w:val="space"/>
      <w:lvlText w:val="26.%1"/>
      <w:lvlJc w:val="left"/>
      <w:pPr>
        <w:ind w:left="0" w:firstLine="480"/>
      </w:pPr>
      <w:rPr>
        <w:rFonts w:hint="default"/>
      </w:rPr>
    </w:lvl>
  </w:abstractNum>
  <w:abstractNum w:abstractNumId="54">
    <w:nsid w:val="08B3C51E"/>
    <w:multiLevelType w:val="singleLevel"/>
    <w:tmpl w:val="08B3C51E"/>
    <w:lvl w:ilvl="0" w:tentative="0">
      <w:start w:val="1"/>
      <w:numFmt w:val="decimal"/>
      <w:suff w:val="space"/>
      <w:lvlText w:val="%1."/>
      <w:lvlJc w:val="left"/>
      <w:pPr>
        <w:ind w:left="0" w:firstLine="480"/>
      </w:pPr>
      <w:rPr>
        <w:rFonts w:hint="default"/>
      </w:rPr>
    </w:lvl>
  </w:abstractNum>
  <w:abstractNum w:abstractNumId="55">
    <w:nsid w:val="08D396BE"/>
    <w:multiLevelType w:val="singleLevel"/>
    <w:tmpl w:val="08D396BE"/>
    <w:lvl w:ilvl="0" w:tentative="0">
      <w:start w:val="7"/>
      <w:numFmt w:val="decimal"/>
      <w:suff w:val="space"/>
      <w:lvlText w:val="%1"/>
      <w:lvlJc w:val="left"/>
      <w:pPr>
        <w:ind w:left="0" w:firstLine="0"/>
      </w:pPr>
      <w:rPr>
        <w:rFonts w:hint="default"/>
      </w:rPr>
    </w:lvl>
  </w:abstractNum>
  <w:abstractNum w:abstractNumId="56">
    <w:nsid w:val="0BD8CCF1"/>
    <w:multiLevelType w:val="singleLevel"/>
    <w:tmpl w:val="0BD8CCF1"/>
    <w:lvl w:ilvl="0" w:tentative="0">
      <w:start w:val="1"/>
      <w:numFmt w:val="decimal"/>
      <w:suff w:val="space"/>
      <w:lvlText w:val="23.%1"/>
      <w:lvlJc w:val="left"/>
      <w:pPr>
        <w:ind w:left="0" w:firstLine="480"/>
      </w:pPr>
      <w:rPr>
        <w:rFonts w:hint="default"/>
      </w:rPr>
    </w:lvl>
  </w:abstractNum>
  <w:abstractNum w:abstractNumId="57">
    <w:nsid w:val="0DADCD12"/>
    <w:multiLevelType w:val="singleLevel"/>
    <w:tmpl w:val="0DADCD12"/>
    <w:lvl w:ilvl="0" w:tentative="0">
      <w:start w:val="1"/>
      <w:numFmt w:val="decimal"/>
      <w:suff w:val="nothing"/>
      <w:lvlText w:val="%1、"/>
      <w:lvlJc w:val="left"/>
      <w:pPr>
        <w:ind w:left="0" w:firstLine="480"/>
      </w:pPr>
      <w:rPr>
        <w:rFonts w:hint="default"/>
      </w:rPr>
    </w:lvl>
  </w:abstractNum>
  <w:abstractNum w:abstractNumId="58">
    <w:nsid w:val="0E230849"/>
    <w:multiLevelType w:val="multilevel"/>
    <w:tmpl w:val="0E230849"/>
    <w:lvl w:ilvl="0" w:tentative="0">
      <w:start w:val="1"/>
      <w:numFmt w:val="decimal"/>
      <w:pStyle w:val="211"/>
      <w:lvlText w:val="%1"/>
      <w:lvlJc w:val="left"/>
      <w:pPr>
        <w:ind w:left="680" w:hanging="680"/>
      </w:pPr>
      <w:rPr>
        <w:rFonts w:hint="eastAsia" w:ascii="宋体" w:hAnsi="宋体" w:eastAsia="宋体"/>
      </w:rPr>
    </w:lvl>
    <w:lvl w:ilvl="1" w:tentative="0">
      <w:start w:val="1"/>
      <w:numFmt w:val="decimal"/>
      <w:pStyle w:val="212"/>
      <w:lvlText w:val="%1.%2"/>
      <w:lvlJc w:val="left"/>
      <w:pPr>
        <w:ind w:left="851" w:hanging="851"/>
      </w:pPr>
      <w:rPr>
        <w:rFonts w:hint="eastAsia" w:ascii="宋体" w:hAnsi="宋体" w:eastAsia="宋体"/>
        <w:color w:val="auto"/>
      </w:rPr>
    </w:lvl>
    <w:lvl w:ilvl="2" w:tentative="0">
      <w:start w:val="1"/>
      <w:numFmt w:val="decimal"/>
      <w:pStyle w:val="213"/>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59">
    <w:nsid w:val="148F2CB3"/>
    <w:multiLevelType w:val="singleLevel"/>
    <w:tmpl w:val="148F2CB3"/>
    <w:lvl w:ilvl="0" w:tentative="0">
      <w:start w:val="1"/>
      <w:numFmt w:val="decimal"/>
      <w:suff w:val="space"/>
      <w:lvlText w:val="%1."/>
      <w:lvlJc w:val="left"/>
      <w:pPr>
        <w:ind w:left="0" w:firstLine="0"/>
      </w:pPr>
      <w:rPr>
        <w:rFonts w:hint="default"/>
      </w:rPr>
    </w:lvl>
  </w:abstractNum>
  <w:abstractNum w:abstractNumId="60">
    <w:nsid w:val="1692B46B"/>
    <w:multiLevelType w:val="singleLevel"/>
    <w:tmpl w:val="1692B46B"/>
    <w:lvl w:ilvl="0" w:tentative="0">
      <w:start w:val="1"/>
      <w:numFmt w:val="decimal"/>
      <w:suff w:val="space"/>
      <w:lvlText w:val="%1."/>
      <w:lvlJc w:val="left"/>
      <w:pPr>
        <w:ind w:left="0" w:firstLine="480"/>
      </w:pPr>
      <w:rPr>
        <w:rFonts w:hint="default"/>
      </w:rPr>
    </w:lvl>
  </w:abstractNum>
  <w:abstractNum w:abstractNumId="61">
    <w:nsid w:val="171A8DB2"/>
    <w:multiLevelType w:val="singleLevel"/>
    <w:tmpl w:val="171A8DB2"/>
    <w:lvl w:ilvl="0" w:tentative="0">
      <w:start w:val="1"/>
      <w:numFmt w:val="chineseCounting"/>
      <w:suff w:val="nothing"/>
      <w:lvlText w:val="%1、"/>
      <w:lvlJc w:val="left"/>
      <w:pPr>
        <w:ind w:left="0" w:firstLine="480"/>
      </w:pPr>
      <w:rPr>
        <w:rFonts w:hint="eastAsia"/>
      </w:rPr>
    </w:lvl>
  </w:abstractNum>
  <w:abstractNum w:abstractNumId="62">
    <w:nsid w:val="18612EE8"/>
    <w:multiLevelType w:val="singleLevel"/>
    <w:tmpl w:val="18612EE8"/>
    <w:lvl w:ilvl="0" w:tentative="0">
      <w:start w:val="1"/>
      <w:numFmt w:val="decimal"/>
      <w:suff w:val="space"/>
      <w:lvlText w:val="1.%1"/>
      <w:lvlJc w:val="left"/>
      <w:pPr>
        <w:ind w:left="0" w:firstLine="480"/>
      </w:pPr>
      <w:rPr>
        <w:rFonts w:hint="default"/>
      </w:rPr>
    </w:lvl>
  </w:abstractNum>
  <w:abstractNum w:abstractNumId="63">
    <w:nsid w:val="2096FFA4"/>
    <w:multiLevelType w:val="singleLevel"/>
    <w:tmpl w:val="2096FFA4"/>
    <w:lvl w:ilvl="0" w:tentative="0">
      <w:start w:val="1"/>
      <w:numFmt w:val="decimal"/>
      <w:suff w:val="space"/>
      <w:lvlText w:val="24.%1"/>
      <w:lvlJc w:val="left"/>
      <w:pPr>
        <w:ind w:left="0" w:firstLine="480"/>
      </w:pPr>
      <w:rPr>
        <w:rFonts w:hint="default"/>
      </w:rPr>
    </w:lvl>
  </w:abstractNum>
  <w:abstractNum w:abstractNumId="64">
    <w:nsid w:val="2493DA2D"/>
    <w:multiLevelType w:val="singleLevel"/>
    <w:tmpl w:val="2493DA2D"/>
    <w:lvl w:ilvl="0" w:tentative="0">
      <w:start w:val="1"/>
      <w:numFmt w:val="chineseCounting"/>
      <w:suff w:val="nothing"/>
      <w:lvlText w:val="%1、"/>
      <w:lvlJc w:val="left"/>
      <w:pPr>
        <w:ind w:left="0" w:firstLine="0"/>
      </w:pPr>
      <w:rPr>
        <w:rFonts w:hint="eastAsia"/>
      </w:rPr>
    </w:lvl>
  </w:abstractNum>
  <w:abstractNum w:abstractNumId="65">
    <w:nsid w:val="2AF3AA77"/>
    <w:multiLevelType w:val="singleLevel"/>
    <w:tmpl w:val="2AF3AA77"/>
    <w:lvl w:ilvl="0" w:tentative="0">
      <w:start w:val="1"/>
      <w:numFmt w:val="decimal"/>
      <w:suff w:val="space"/>
      <w:lvlText w:val="%1"/>
      <w:lvlJc w:val="left"/>
      <w:pPr>
        <w:ind w:left="0" w:firstLine="0"/>
      </w:pPr>
      <w:rPr>
        <w:rFonts w:hint="default"/>
      </w:rPr>
    </w:lvl>
  </w:abstractNum>
  <w:abstractNum w:abstractNumId="66">
    <w:nsid w:val="3402BF74"/>
    <w:multiLevelType w:val="singleLevel"/>
    <w:tmpl w:val="3402BF74"/>
    <w:lvl w:ilvl="0" w:tentative="0">
      <w:start w:val="1"/>
      <w:numFmt w:val="decimal"/>
      <w:suff w:val="space"/>
      <w:lvlText w:val="3.8.%1"/>
      <w:lvlJc w:val="left"/>
      <w:pPr>
        <w:ind w:left="0" w:firstLine="480"/>
      </w:pPr>
      <w:rPr>
        <w:rFonts w:hint="default"/>
      </w:rPr>
    </w:lvl>
  </w:abstractNum>
  <w:abstractNum w:abstractNumId="67">
    <w:nsid w:val="34A5289A"/>
    <w:multiLevelType w:val="singleLevel"/>
    <w:tmpl w:val="34A5289A"/>
    <w:lvl w:ilvl="0" w:tentative="0">
      <w:start w:val="1"/>
      <w:numFmt w:val="decimal"/>
      <w:suff w:val="nothing"/>
      <w:lvlText w:val="（%1）"/>
      <w:lvlJc w:val="left"/>
      <w:pPr>
        <w:ind w:left="0" w:firstLine="480"/>
      </w:pPr>
      <w:rPr>
        <w:rFonts w:hint="default"/>
      </w:rPr>
    </w:lvl>
  </w:abstractNum>
  <w:abstractNum w:abstractNumId="68">
    <w:nsid w:val="36DF792D"/>
    <w:multiLevelType w:val="singleLevel"/>
    <w:tmpl w:val="36DF792D"/>
    <w:lvl w:ilvl="0" w:tentative="0">
      <w:start w:val="17"/>
      <w:numFmt w:val="decimal"/>
      <w:suff w:val="space"/>
      <w:lvlText w:val="%1"/>
      <w:lvlJc w:val="left"/>
      <w:pPr>
        <w:ind w:left="0" w:firstLine="0"/>
      </w:pPr>
      <w:rPr>
        <w:rFonts w:hint="default"/>
      </w:rPr>
    </w:lvl>
  </w:abstractNum>
  <w:abstractNum w:abstractNumId="69">
    <w:nsid w:val="37AB14DF"/>
    <w:multiLevelType w:val="singleLevel"/>
    <w:tmpl w:val="37AB14DF"/>
    <w:lvl w:ilvl="0" w:tentative="0">
      <w:start w:val="1"/>
      <w:numFmt w:val="decimal"/>
      <w:suff w:val="space"/>
      <w:lvlText w:val="29.1.%1"/>
      <w:lvlJc w:val="left"/>
      <w:pPr>
        <w:ind w:left="0" w:firstLine="480"/>
      </w:pPr>
      <w:rPr>
        <w:rFonts w:hint="default"/>
      </w:rPr>
    </w:lvl>
  </w:abstractNum>
  <w:abstractNum w:abstractNumId="70">
    <w:nsid w:val="3E94F19A"/>
    <w:multiLevelType w:val="singleLevel"/>
    <w:tmpl w:val="3E94F19A"/>
    <w:lvl w:ilvl="0" w:tentative="0">
      <w:start w:val="1"/>
      <w:numFmt w:val="decimal"/>
      <w:suff w:val="space"/>
      <w:lvlText w:val="2.3.%1"/>
      <w:lvlJc w:val="left"/>
      <w:pPr>
        <w:ind w:left="0" w:firstLine="480"/>
      </w:pPr>
      <w:rPr>
        <w:rFonts w:hint="default"/>
      </w:rPr>
    </w:lvl>
  </w:abstractNum>
  <w:abstractNum w:abstractNumId="71">
    <w:nsid w:val="406A9BD7"/>
    <w:multiLevelType w:val="singleLevel"/>
    <w:tmpl w:val="406A9BD7"/>
    <w:lvl w:ilvl="0" w:tentative="0">
      <w:start w:val="1"/>
      <w:numFmt w:val="decimal"/>
      <w:suff w:val="space"/>
      <w:lvlText w:val="3.%1"/>
      <w:lvlJc w:val="left"/>
      <w:pPr>
        <w:ind w:left="0" w:firstLine="480"/>
      </w:pPr>
      <w:rPr>
        <w:rFonts w:hint="default"/>
      </w:rPr>
    </w:lvl>
  </w:abstractNum>
  <w:abstractNum w:abstractNumId="72">
    <w:nsid w:val="40EB8890"/>
    <w:multiLevelType w:val="singleLevel"/>
    <w:tmpl w:val="40EB8890"/>
    <w:lvl w:ilvl="0" w:tentative="0">
      <w:start w:val="1"/>
      <w:numFmt w:val="decimal"/>
      <w:suff w:val="space"/>
      <w:lvlText w:val="3.%1"/>
      <w:lvlJc w:val="left"/>
      <w:pPr>
        <w:ind w:left="0" w:firstLine="480"/>
      </w:pPr>
      <w:rPr>
        <w:rFonts w:hint="default"/>
      </w:rPr>
    </w:lvl>
  </w:abstractNum>
  <w:abstractNum w:abstractNumId="73">
    <w:nsid w:val="421626C7"/>
    <w:multiLevelType w:val="singleLevel"/>
    <w:tmpl w:val="421626C7"/>
    <w:lvl w:ilvl="0" w:tentative="0">
      <w:start w:val="1"/>
      <w:numFmt w:val="decimal"/>
      <w:suff w:val="nothing"/>
      <w:lvlText w:val="（%1）"/>
      <w:lvlJc w:val="left"/>
      <w:pPr>
        <w:ind w:left="0" w:firstLine="0"/>
      </w:pPr>
      <w:rPr>
        <w:rFonts w:hint="default"/>
      </w:rPr>
    </w:lvl>
  </w:abstractNum>
  <w:abstractNum w:abstractNumId="74">
    <w:nsid w:val="4226FB4B"/>
    <w:multiLevelType w:val="singleLevel"/>
    <w:tmpl w:val="4226FB4B"/>
    <w:lvl w:ilvl="0" w:tentative="0">
      <w:start w:val="1"/>
      <w:numFmt w:val="chineseCounting"/>
      <w:suff w:val="space"/>
      <w:lvlText w:val="%1"/>
      <w:lvlJc w:val="left"/>
      <w:pPr>
        <w:ind w:left="0" w:firstLine="0"/>
      </w:pPr>
      <w:rPr>
        <w:rFonts w:hint="eastAsia"/>
      </w:rPr>
    </w:lvl>
  </w:abstractNum>
  <w:abstractNum w:abstractNumId="75">
    <w:nsid w:val="45F4469C"/>
    <w:multiLevelType w:val="singleLevel"/>
    <w:tmpl w:val="45F4469C"/>
    <w:lvl w:ilvl="0" w:tentative="0">
      <w:start w:val="3"/>
      <w:numFmt w:val="chineseCounting"/>
      <w:suff w:val="nothing"/>
      <w:lvlText w:val="%1、"/>
      <w:lvlJc w:val="left"/>
      <w:rPr>
        <w:rFonts w:hint="eastAsia"/>
      </w:rPr>
    </w:lvl>
  </w:abstractNum>
  <w:abstractNum w:abstractNumId="76">
    <w:nsid w:val="47AC091C"/>
    <w:multiLevelType w:val="singleLevel"/>
    <w:tmpl w:val="47AC091C"/>
    <w:lvl w:ilvl="0" w:tentative="0">
      <w:start w:val="1"/>
      <w:numFmt w:val="decimal"/>
      <w:suff w:val="space"/>
      <w:lvlText w:val="9.%1"/>
      <w:lvlJc w:val="left"/>
      <w:pPr>
        <w:ind w:left="0" w:firstLine="480"/>
      </w:pPr>
      <w:rPr>
        <w:rFonts w:hint="default"/>
      </w:rPr>
    </w:lvl>
  </w:abstractNum>
  <w:abstractNum w:abstractNumId="77">
    <w:nsid w:val="499E3925"/>
    <w:multiLevelType w:val="singleLevel"/>
    <w:tmpl w:val="499E3925"/>
    <w:lvl w:ilvl="0" w:tentative="0">
      <w:start w:val="1"/>
      <w:numFmt w:val="decimal"/>
      <w:suff w:val="space"/>
      <w:lvlText w:val="3.3.%1"/>
      <w:lvlJc w:val="left"/>
      <w:pPr>
        <w:ind w:left="0" w:firstLine="480"/>
      </w:pPr>
      <w:rPr>
        <w:rFonts w:hint="default"/>
      </w:rPr>
    </w:lvl>
  </w:abstractNum>
  <w:abstractNum w:abstractNumId="78">
    <w:nsid w:val="4B530709"/>
    <w:multiLevelType w:val="singleLevel"/>
    <w:tmpl w:val="4B530709"/>
    <w:lvl w:ilvl="0" w:tentative="0">
      <w:start w:val="1"/>
      <w:numFmt w:val="decimal"/>
      <w:suff w:val="nothing"/>
      <w:lvlText w:val="（%1）"/>
      <w:lvlJc w:val="left"/>
      <w:pPr>
        <w:ind w:left="0" w:firstLine="480"/>
      </w:pPr>
      <w:rPr>
        <w:rFonts w:hint="default"/>
      </w:rPr>
    </w:lvl>
  </w:abstractNum>
  <w:abstractNum w:abstractNumId="79">
    <w:nsid w:val="4CC95DB0"/>
    <w:multiLevelType w:val="singleLevel"/>
    <w:tmpl w:val="4CC95DB0"/>
    <w:lvl w:ilvl="0" w:tentative="0">
      <w:start w:val="1"/>
      <w:numFmt w:val="decimal"/>
      <w:suff w:val="space"/>
      <w:lvlText w:val="%1."/>
      <w:lvlJc w:val="left"/>
      <w:pPr>
        <w:ind w:left="0" w:firstLine="0"/>
      </w:pPr>
      <w:rPr>
        <w:rFonts w:hint="default"/>
      </w:rPr>
    </w:lvl>
  </w:abstractNum>
  <w:abstractNum w:abstractNumId="80">
    <w:nsid w:val="4F4F8E7F"/>
    <w:multiLevelType w:val="singleLevel"/>
    <w:tmpl w:val="4F4F8E7F"/>
    <w:lvl w:ilvl="0" w:tentative="0">
      <w:start w:val="1"/>
      <w:numFmt w:val="decimal"/>
      <w:suff w:val="space"/>
      <w:lvlText w:val="18.%1"/>
      <w:lvlJc w:val="left"/>
      <w:pPr>
        <w:ind w:left="0" w:firstLine="480"/>
      </w:pPr>
      <w:rPr>
        <w:rFonts w:hint="default"/>
      </w:rPr>
    </w:lvl>
  </w:abstractNum>
  <w:abstractNum w:abstractNumId="81">
    <w:nsid w:val="5154A0CD"/>
    <w:multiLevelType w:val="singleLevel"/>
    <w:tmpl w:val="5154A0CD"/>
    <w:lvl w:ilvl="0" w:tentative="0">
      <w:start w:val="1"/>
      <w:numFmt w:val="decimal"/>
      <w:suff w:val="space"/>
      <w:lvlText w:val="3.5.%1"/>
      <w:lvlJc w:val="left"/>
      <w:pPr>
        <w:ind w:left="0" w:firstLine="480"/>
      </w:pPr>
      <w:rPr>
        <w:rFonts w:hint="default"/>
      </w:rPr>
    </w:lvl>
  </w:abstractNum>
  <w:abstractNum w:abstractNumId="82">
    <w:nsid w:val="54F3A5EE"/>
    <w:multiLevelType w:val="singleLevel"/>
    <w:tmpl w:val="54F3A5EE"/>
    <w:lvl w:ilvl="0" w:tentative="0">
      <w:start w:val="1"/>
      <w:numFmt w:val="decimal"/>
      <w:suff w:val="space"/>
      <w:lvlText w:val="%1."/>
      <w:lvlJc w:val="left"/>
      <w:pPr>
        <w:ind w:left="0" w:firstLine="480"/>
      </w:pPr>
      <w:rPr>
        <w:rFonts w:hint="default"/>
      </w:rPr>
    </w:lvl>
  </w:abstractNum>
  <w:abstractNum w:abstractNumId="83">
    <w:nsid w:val="58073A8E"/>
    <w:multiLevelType w:val="singleLevel"/>
    <w:tmpl w:val="58073A8E"/>
    <w:lvl w:ilvl="0" w:tentative="0">
      <w:start w:val="1"/>
      <w:numFmt w:val="chineseCounting"/>
      <w:suff w:val="nothing"/>
      <w:lvlText w:val="%1、"/>
      <w:lvlJc w:val="left"/>
      <w:rPr>
        <w:rFonts w:hint="eastAsia"/>
      </w:rPr>
    </w:lvl>
  </w:abstractNum>
  <w:abstractNum w:abstractNumId="84">
    <w:nsid w:val="5854C6CA"/>
    <w:multiLevelType w:val="singleLevel"/>
    <w:tmpl w:val="5854C6CA"/>
    <w:lvl w:ilvl="0" w:tentative="0">
      <w:start w:val="1"/>
      <w:numFmt w:val="decimal"/>
      <w:suff w:val="space"/>
      <w:lvlText w:val="2.4.11.%1"/>
      <w:lvlJc w:val="left"/>
      <w:pPr>
        <w:ind w:left="0" w:firstLine="480"/>
      </w:pPr>
      <w:rPr>
        <w:rFonts w:hint="default"/>
      </w:rPr>
    </w:lvl>
  </w:abstractNum>
  <w:abstractNum w:abstractNumId="85">
    <w:nsid w:val="5CA3E045"/>
    <w:multiLevelType w:val="singleLevel"/>
    <w:tmpl w:val="5CA3E045"/>
    <w:lvl w:ilvl="0" w:tentative="0">
      <w:start w:val="1"/>
      <w:numFmt w:val="decimal"/>
      <w:suff w:val="space"/>
      <w:lvlText w:val="1.%1"/>
      <w:lvlJc w:val="left"/>
      <w:pPr>
        <w:ind w:left="0" w:firstLine="480"/>
      </w:pPr>
      <w:rPr>
        <w:rFonts w:hint="default"/>
      </w:rPr>
    </w:lvl>
  </w:abstractNum>
  <w:abstractNum w:abstractNumId="86">
    <w:nsid w:val="5CE7740B"/>
    <w:multiLevelType w:val="singleLevel"/>
    <w:tmpl w:val="5CE7740B"/>
    <w:lvl w:ilvl="0" w:tentative="0">
      <w:start w:val="1"/>
      <w:numFmt w:val="decimal"/>
      <w:suff w:val="nothing"/>
      <w:lvlText w:val="%1、"/>
      <w:lvlJc w:val="left"/>
      <w:pPr>
        <w:ind w:left="0" w:firstLine="480"/>
      </w:pPr>
      <w:rPr>
        <w:rFonts w:hint="default"/>
      </w:rPr>
    </w:lvl>
  </w:abstractNum>
  <w:abstractNum w:abstractNumId="87">
    <w:nsid w:val="60A64856"/>
    <w:multiLevelType w:val="singleLevel"/>
    <w:tmpl w:val="60A64856"/>
    <w:lvl w:ilvl="0" w:tentative="0">
      <w:start w:val="1"/>
      <w:numFmt w:val="decimal"/>
      <w:suff w:val="space"/>
      <w:lvlText w:val="%1"/>
      <w:lvlJc w:val="left"/>
      <w:pPr>
        <w:ind w:left="0" w:firstLine="0"/>
      </w:pPr>
      <w:rPr>
        <w:rFonts w:hint="default"/>
      </w:rPr>
    </w:lvl>
  </w:abstractNum>
  <w:abstractNum w:abstractNumId="88">
    <w:nsid w:val="6A6A7039"/>
    <w:multiLevelType w:val="singleLevel"/>
    <w:tmpl w:val="6A6A7039"/>
    <w:lvl w:ilvl="0" w:tentative="0">
      <w:start w:val="1"/>
      <w:numFmt w:val="chineseCounting"/>
      <w:suff w:val="space"/>
      <w:lvlText w:val="第%1章"/>
      <w:lvlJc w:val="left"/>
      <w:pPr>
        <w:ind w:left="0" w:firstLine="0"/>
      </w:pPr>
      <w:rPr>
        <w:rFonts w:hint="eastAsia"/>
      </w:rPr>
    </w:lvl>
  </w:abstractNum>
  <w:abstractNum w:abstractNumId="89">
    <w:nsid w:val="6BDBC7B5"/>
    <w:multiLevelType w:val="singleLevel"/>
    <w:tmpl w:val="6BDBC7B5"/>
    <w:lvl w:ilvl="0" w:tentative="0">
      <w:start w:val="1"/>
      <w:numFmt w:val="decimal"/>
      <w:suff w:val="nothing"/>
      <w:lvlText w:val="（%1）"/>
      <w:lvlJc w:val="left"/>
      <w:pPr>
        <w:ind w:left="0" w:firstLine="480"/>
      </w:pPr>
      <w:rPr>
        <w:rFonts w:hint="default"/>
      </w:rPr>
    </w:lvl>
  </w:abstractNum>
  <w:abstractNum w:abstractNumId="90">
    <w:nsid w:val="6D73291F"/>
    <w:multiLevelType w:val="singleLevel"/>
    <w:tmpl w:val="6D73291F"/>
    <w:lvl w:ilvl="0" w:tentative="0">
      <w:start w:val="7"/>
      <w:numFmt w:val="decimal"/>
      <w:suff w:val="space"/>
      <w:lvlText w:val="%1"/>
      <w:lvlJc w:val="left"/>
      <w:pPr>
        <w:ind w:left="0" w:firstLine="0"/>
      </w:pPr>
      <w:rPr>
        <w:rFonts w:hint="default"/>
      </w:rPr>
    </w:lvl>
  </w:abstractNum>
  <w:abstractNum w:abstractNumId="91">
    <w:nsid w:val="6E31B820"/>
    <w:multiLevelType w:val="singleLevel"/>
    <w:tmpl w:val="6E31B820"/>
    <w:lvl w:ilvl="0" w:tentative="0">
      <w:start w:val="1"/>
      <w:numFmt w:val="decimal"/>
      <w:suff w:val="nothing"/>
      <w:lvlText w:val="%1．"/>
      <w:lvlJc w:val="left"/>
      <w:pPr>
        <w:ind w:left="0" w:firstLine="480"/>
      </w:pPr>
      <w:rPr>
        <w:rFonts w:hint="default"/>
      </w:rPr>
    </w:lvl>
  </w:abstractNum>
  <w:abstractNum w:abstractNumId="92">
    <w:nsid w:val="70FCE363"/>
    <w:multiLevelType w:val="singleLevel"/>
    <w:tmpl w:val="70FCE363"/>
    <w:lvl w:ilvl="0" w:tentative="0">
      <w:start w:val="14"/>
      <w:numFmt w:val="decimal"/>
      <w:suff w:val="space"/>
      <w:lvlText w:val="%1"/>
      <w:lvlJc w:val="left"/>
      <w:pPr>
        <w:ind w:left="0" w:firstLine="0"/>
      </w:pPr>
      <w:rPr>
        <w:rFonts w:hint="default"/>
      </w:rPr>
    </w:lvl>
  </w:abstractNum>
  <w:abstractNum w:abstractNumId="93">
    <w:nsid w:val="74541036"/>
    <w:multiLevelType w:val="singleLevel"/>
    <w:tmpl w:val="74541036"/>
    <w:lvl w:ilvl="0" w:tentative="0">
      <w:start w:val="1"/>
      <w:numFmt w:val="decimal"/>
      <w:suff w:val="space"/>
      <w:lvlText w:val="%1."/>
      <w:lvlJc w:val="left"/>
      <w:pPr>
        <w:ind w:left="0" w:firstLine="480"/>
      </w:pPr>
      <w:rPr>
        <w:rFonts w:hint="default"/>
      </w:rPr>
    </w:lvl>
  </w:abstractNum>
  <w:abstractNum w:abstractNumId="94">
    <w:nsid w:val="794C939C"/>
    <w:multiLevelType w:val="singleLevel"/>
    <w:tmpl w:val="794C939C"/>
    <w:lvl w:ilvl="0" w:tentative="0">
      <w:start w:val="1"/>
      <w:numFmt w:val="decimal"/>
      <w:suff w:val="space"/>
      <w:lvlText w:val="5.%1"/>
      <w:lvlJc w:val="left"/>
      <w:pPr>
        <w:ind w:left="0" w:firstLine="480"/>
      </w:pPr>
      <w:rPr>
        <w:rFonts w:hint="default"/>
      </w:rPr>
    </w:lvl>
  </w:abstractNum>
  <w:abstractNum w:abstractNumId="95">
    <w:nsid w:val="79B4EB9F"/>
    <w:multiLevelType w:val="singleLevel"/>
    <w:tmpl w:val="79B4EB9F"/>
    <w:lvl w:ilvl="0" w:tentative="0">
      <w:start w:val="1"/>
      <w:numFmt w:val="decimal"/>
      <w:suff w:val="space"/>
      <w:lvlText w:val="%1."/>
      <w:lvlJc w:val="left"/>
      <w:pPr>
        <w:ind w:left="0" w:firstLine="480"/>
      </w:pPr>
      <w:rPr>
        <w:rFonts w:hint="default"/>
      </w:rPr>
    </w:lvl>
  </w:abstractNum>
  <w:abstractNum w:abstractNumId="96">
    <w:nsid w:val="7A401AF1"/>
    <w:multiLevelType w:val="singleLevel"/>
    <w:tmpl w:val="7A401AF1"/>
    <w:lvl w:ilvl="0" w:tentative="0">
      <w:start w:val="1"/>
      <w:numFmt w:val="decimal"/>
      <w:suff w:val="nothing"/>
      <w:lvlText w:val="%1、"/>
      <w:lvlJc w:val="left"/>
      <w:pPr>
        <w:ind w:left="0" w:firstLine="482"/>
      </w:pPr>
      <w:rPr>
        <w:rFonts w:hint="default"/>
      </w:rPr>
    </w:lvl>
  </w:abstractNum>
  <w:abstractNum w:abstractNumId="97">
    <w:nsid w:val="7ADE65EE"/>
    <w:multiLevelType w:val="singleLevel"/>
    <w:tmpl w:val="7ADE65EE"/>
    <w:lvl w:ilvl="0" w:tentative="0">
      <w:start w:val="1"/>
      <w:numFmt w:val="decimal"/>
      <w:suff w:val="space"/>
      <w:lvlText w:val="1.%1"/>
      <w:lvlJc w:val="left"/>
      <w:pPr>
        <w:ind w:left="0" w:firstLine="480"/>
      </w:pPr>
      <w:rPr>
        <w:rFonts w:hint="default"/>
      </w:rPr>
    </w:lvl>
  </w:abstractNum>
  <w:num w:numId="1">
    <w:abstractNumId w:val="52"/>
  </w:num>
  <w:num w:numId="2">
    <w:abstractNumId w:val="47"/>
  </w:num>
  <w:num w:numId="3">
    <w:abstractNumId w:val="50"/>
  </w:num>
  <w:num w:numId="4">
    <w:abstractNumId w:val="51"/>
  </w:num>
  <w:num w:numId="5">
    <w:abstractNumId w:val="49"/>
  </w:num>
  <w:num w:numId="6">
    <w:abstractNumId w:val="48"/>
  </w:num>
  <w:num w:numId="7">
    <w:abstractNumId w:val="58"/>
  </w:num>
  <w:num w:numId="8">
    <w:abstractNumId w:val="88"/>
  </w:num>
  <w:num w:numId="9">
    <w:abstractNumId w:val="64"/>
  </w:num>
  <w:num w:numId="10">
    <w:abstractNumId w:val="23"/>
  </w:num>
  <w:num w:numId="11">
    <w:abstractNumId w:val="67"/>
  </w:num>
  <w:num w:numId="12">
    <w:abstractNumId w:val="79"/>
  </w:num>
  <w:num w:numId="13">
    <w:abstractNumId w:val="97"/>
  </w:num>
  <w:num w:numId="14">
    <w:abstractNumId w:val="6"/>
  </w:num>
  <w:num w:numId="15">
    <w:abstractNumId w:val="72"/>
  </w:num>
  <w:num w:numId="16">
    <w:abstractNumId w:val="29"/>
  </w:num>
  <w:num w:numId="17">
    <w:abstractNumId w:val="60"/>
  </w:num>
  <w:num w:numId="18">
    <w:abstractNumId w:val="59"/>
  </w:num>
  <w:num w:numId="19">
    <w:abstractNumId w:val="74"/>
  </w:num>
  <w:num w:numId="20">
    <w:abstractNumId w:val="40"/>
  </w:num>
  <w:num w:numId="21">
    <w:abstractNumId w:val="62"/>
  </w:num>
  <w:num w:numId="22">
    <w:abstractNumId w:val="11"/>
  </w:num>
  <w:num w:numId="23">
    <w:abstractNumId w:val="26"/>
  </w:num>
  <w:num w:numId="24">
    <w:abstractNumId w:val="30"/>
  </w:num>
  <w:num w:numId="25">
    <w:abstractNumId w:val="39"/>
  </w:num>
  <w:num w:numId="26">
    <w:abstractNumId w:val="21"/>
  </w:num>
  <w:num w:numId="27">
    <w:abstractNumId w:val="14"/>
  </w:num>
  <w:num w:numId="28">
    <w:abstractNumId w:val="77"/>
  </w:num>
  <w:num w:numId="29">
    <w:abstractNumId w:val="81"/>
  </w:num>
  <w:num w:numId="30">
    <w:abstractNumId w:val="66"/>
  </w:num>
  <w:num w:numId="31">
    <w:abstractNumId w:val="24"/>
  </w:num>
  <w:num w:numId="32">
    <w:abstractNumId w:val="94"/>
  </w:num>
  <w:num w:numId="33">
    <w:abstractNumId w:val="34"/>
  </w:num>
  <w:num w:numId="34">
    <w:abstractNumId w:val="90"/>
  </w:num>
  <w:num w:numId="35">
    <w:abstractNumId w:val="28"/>
  </w:num>
  <w:num w:numId="36">
    <w:abstractNumId w:val="32"/>
  </w:num>
  <w:num w:numId="37">
    <w:abstractNumId w:val="76"/>
  </w:num>
  <w:num w:numId="38">
    <w:abstractNumId w:val="8"/>
  </w:num>
  <w:num w:numId="39">
    <w:abstractNumId w:val="13"/>
  </w:num>
  <w:num w:numId="40">
    <w:abstractNumId w:val="33"/>
  </w:num>
  <w:num w:numId="41">
    <w:abstractNumId w:val="92"/>
  </w:num>
  <w:num w:numId="42">
    <w:abstractNumId w:val="2"/>
  </w:num>
  <w:num w:numId="43">
    <w:abstractNumId w:val="68"/>
  </w:num>
  <w:num w:numId="44">
    <w:abstractNumId w:val="5"/>
  </w:num>
  <w:num w:numId="45">
    <w:abstractNumId w:val="80"/>
  </w:num>
  <w:num w:numId="46">
    <w:abstractNumId w:val="25"/>
  </w:num>
  <w:num w:numId="47">
    <w:abstractNumId w:val="10"/>
  </w:num>
  <w:num w:numId="48">
    <w:abstractNumId w:val="3"/>
  </w:num>
  <w:num w:numId="49">
    <w:abstractNumId w:val="56"/>
  </w:num>
  <w:num w:numId="50">
    <w:abstractNumId w:val="63"/>
  </w:num>
  <w:num w:numId="51">
    <w:abstractNumId w:val="19"/>
  </w:num>
  <w:num w:numId="52">
    <w:abstractNumId w:val="53"/>
  </w:num>
  <w:num w:numId="53">
    <w:abstractNumId w:val="45"/>
  </w:num>
  <w:num w:numId="54">
    <w:abstractNumId w:val="42"/>
  </w:num>
  <w:num w:numId="55">
    <w:abstractNumId w:val="16"/>
  </w:num>
  <w:num w:numId="56">
    <w:abstractNumId w:val="69"/>
  </w:num>
  <w:num w:numId="57">
    <w:abstractNumId w:val="87"/>
  </w:num>
  <w:num w:numId="58">
    <w:abstractNumId w:val="85"/>
  </w:num>
  <w:num w:numId="59">
    <w:abstractNumId w:val="0"/>
  </w:num>
  <w:num w:numId="60">
    <w:abstractNumId w:val="70"/>
  </w:num>
  <w:num w:numId="61">
    <w:abstractNumId w:val="35"/>
  </w:num>
  <w:num w:numId="62">
    <w:abstractNumId w:val="84"/>
  </w:num>
  <w:num w:numId="63">
    <w:abstractNumId w:val="71"/>
  </w:num>
  <w:num w:numId="64">
    <w:abstractNumId w:val="9"/>
  </w:num>
  <w:num w:numId="65">
    <w:abstractNumId w:val="22"/>
  </w:num>
  <w:num w:numId="66">
    <w:abstractNumId w:val="7"/>
  </w:num>
  <w:num w:numId="67">
    <w:abstractNumId w:val="18"/>
  </w:num>
  <w:num w:numId="68">
    <w:abstractNumId w:val="31"/>
  </w:num>
  <w:num w:numId="69">
    <w:abstractNumId w:val="17"/>
  </w:num>
  <w:num w:numId="70">
    <w:abstractNumId w:val="41"/>
  </w:num>
  <w:num w:numId="71">
    <w:abstractNumId w:val="4"/>
  </w:num>
  <w:num w:numId="72">
    <w:abstractNumId w:val="75"/>
  </w:num>
  <w:num w:numId="73">
    <w:abstractNumId w:val="73"/>
  </w:num>
  <w:num w:numId="74">
    <w:abstractNumId w:val="83"/>
  </w:num>
  <w:num w:numId="75">
    <w:abstractNumId w:val="37"/>
  </w:num>
  <w:num w:numId="76">
    <w:abstractNumId w:val="57"/>
  </w:num>
  <w:num w:numId="77">
    <w:abstractNumId w:val="46"/>
  </w:num>
  <w:num w:numId="78">
    <w:abstractNumId w:val="65"/>
  </w:num>
  <w:num w:numId="79">
    <w:abstractNumId w:val="12"/>
  </w:num>
  <w:num w:numId="80">
    <w:abstractNumId w:val="61"/>
  </w:num>
  <w:num w:numId="81">
    <w:abstractNumId w:val="27"/>
  </w:num>
  <w:num w:numId="82">
    <w:abstractNumId w:val="86"/>
  </w:num>
  <w:num w:numId="83">
    <w:abstractNumId w:val="38"/>
  </w:num>
  <w:num w:numId="84">
    <w:abstractNumId w:val="82"/>
  </w:num>
  <w:num w:numId="85">
    <w:abstractNumId w:val="78"/>
  </w:num>
  <w:num w:numId="86">
    <w:abstractNumId w:val="36"/>
  </w:num>
  <w:num w:numId="87">
    <w:abstractNumId w:val="93"/>
  </w:num>
  <w:num w:numId="88">
    <w:abstractNumId w:val="89"/>
  </w:num>
  <w:num w:numId="89">
    <w:abstractNumId w:val="54"/>
  </w:num>
  <w:num w:numId="90">
    <w:abstractNumId w:val="91"/>
  </w:num>
  <w:num w:numId="91">
    <w:abstractNumId w:val="1"/>
  </w:num>
  <w:num w:numId="92">
    <w:abstractNumId w:val="55"/>
  </w:num>
  <w:num w:numId="93">
    <w:abstractNumId w:val="15"/>
  </w:num>
  <w:num w:numId="94">
    <w:abstractNumId w:val="43"/>
  </w:num>
  <w:num w:numId="95">
    <w:abstractNumId w:val="96"/>
  </w:num>
  <w:num w:numId="96">
    <w:abstractNumId w:val="20"/>
  </w:num>
  <w:num w:numId="97">
    <w:abstractNumId w:val="95"/>
  </w:num>
  <w:num w:numId="98">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ZDIwMWQ5MTVhNjA4NDYwYWMwMWM3M2ViYzU2YmVlYTEifQ=="/>
    <w:docVar w:name="KGWebUrl" w:val="http://czj.jscz.org.cn/cgzx/OfficeServer"/>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1FE9"/>
    <w:rsid w:val="000020BD"/>
    <w:rsid w:val="0000218D"/>
    <w:rsid w:val="0000240B"/>
    <w:rsid w:val="000026F7"/>
    <w:rsid w:val="0000279B"/>
    <w:rsid w:val="000027EB"/>
    <w:rsid w:val="00002944"/>
    <w:rsid w:val="00002F3D"/>
    <w:rsid w:val="00002FE1"/>
    <w:rsid w:val="00003279"/>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10010"/>
    <w:rsid w:val="000100A2"/>
    <w:rsid w:val="000100B6"/>
    <w:rsid w:val="000104BA"/>
    <w:rsid w:val="000106FC"/>
    <w:rsid w:val="00010763"/>
    <w:rsid w:val="00010E8F"/>
    <w:rsid w:val="0001121F"/>
    <w:rsid w:val="0001127B"/>
    <w:rsid w:val="000112A5"/>
    <w:rsid w:val="0001144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5E7"/>
    <w:rsid w:val="00017674"/>
    <w:rsid w:val="000178F8"/>
    <w:rsid w:val="00017A16"/>
    <w:rsid w:val="00017A27"/>
    <w:rsid w:val="00017A3B"/>
    <w:rsid w:val="00017A46"/>
    <w:rsid w:val="00017B36"/>
    <w:rsid w:val="00017C5E"/>
    <w:rsid w:val="00020140"/>
    <w:rsid w:val="00020232"/>
    <w:rsid w:val="000203B5"/>
    <w:rsid w:val="00020505"/>
    <w:rsid w:val="00020696"/>
    <w:rsid w:val="00020880"/>
    <w:rsid w:val="00020900"/>
    <w:rsid w:val="00020C28"/>
    <w:rsid w:val="00020D64"/>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629"/>
    <w:rsid w:val="000227F5"/>
    <w:rsid w:val="00022AAA"/>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5D4"/>
    <w:rsid w:val="00032727"/>
    <w:rsid w:val="00032740"/>
    <w:rsid w:val="00032743"/>
    <w:rsid w:val="000328FF"/>
    <w:rsid w:val="00032B14"/>
    <w:rsid w:val="00032C55"/>
    <w:rsid w:val="00032E71"/>
    <w:rsid w:val="00033034"/>
    <w:rsid w:val="00033192"/>
    <w:rsid w:val="00033263"/>
    <w:rsid w:val="00033665"/>
    <w:rsid w:val="000337D2"/>
    <w:rsid w:val="00033A69"/>
    <w:rsid w:val="0003416B"/>
    <w:rsid w:val="000343B7"/>
    <w:rsid w:val="000343F4"/>
    <w:rsid w:val="0003447F"/>
    <w:rsid w:val="00034786"/>
    <w:rsid w:val="00034820"/>
    <w:rsid w:val="0003491D"/>
    <w:rsid w:val="00034F4A"/>
    <w:rsid w:val="000352D3"/>
    <w:rsid w:val="0003536A"/>
    <w:rsid w:val="000357FF"/>
    <w:rsid w:val="00035B0F"/>
    <w:rsid w:val="00035C34"/>
    <w:rsid w:val="00035DDC"/>
    <w:rsid w:val="00035F88"/>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236"/>
    <w:rsid w:val="0004033B"/>
    <w:rsid w:val="000403CA"/>
    <w:rsid w:val="0004042F"/>
    <w:rsid w:val="0004060C"/>
    <w:rsid w:val="000409B6"/>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C8"/>
    <w:rsid w:val="00042453"/>
    <w:rsid w:val="000424A2"/>
    <w:rsid w:val="00042558"/>
    <w:rsid w:val="00042680"/>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606"/>
    <w:rsid w:val="00050747"/>
    <w:rsid w:val="000507D3"/>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892"/>
    <w:rsid w:val="00053AC5"/>
    <w:rsid w:val="00053B80"/>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6C4"/>
    <w:rsid w:val="000649EC"/>
    <w:rsid w:val="00064E78"/>
    <w:rsid w:val="00065020"/>
    <w:rsid w:val="00065240"/>
    <w:rsid w:val="00065259"/>
    <w:rsid w:val="00065738"/>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1B2"/>
    <w:rsid w:val="00077705"/>
    <w:rsid w:val="000778B7"/>
    <w:rsid w:val="00077A02"/>
    <w:rsid w:val="00077C79"/>
    <w:rsid w:val="00077D3D"/>
    <w:rsid w:val="00077FE5"/>
    <w:rsid w:val="000801CC"/>
    <w:rsid w:val="00080289"/>
    <w:rsid w:val="00080443"/>
    <w:rsid w:val="000805BC"/>
    <w:rsid w:val="00080608"/>
    <w:rsid w:val="000807D7"/>
    <w:rsid w:val="00080982"/>
    <w:rsid w:val="000809DF"/>
    <w:rsid w:val="00080C51"/>
    <w:rsid w:val="00081713"/>
    <w:rsid w:val="000817A1"/>
    <w:rsid w:val="00081948"/>
    <w:rsid w:val="00082322"/>
    <w:rsid w:val="0008234E"/>
    <w:rsid w:val="00082377"/>
    <w:rsid w:val="00082994"/>
    <w:rsid w:val="00082D4B"/>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96"/>
    <w:rsid w:val="00086EFE"/>
    <w:rsid w:val="0008717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5B4"/>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6E4"/>
    <w:rsid w:val="00097738"/>
    <w:rsid w:val="000979E2"/>
    <w:rsid w:val="00097DD0"/>
    <w:rsid w:val="000A0203"/>
    <w:rsid w:val="000A022B"/>
    <w:rsid w:val="000A04CF"/>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2F1"/>
    <w:rsid w:val="000A539A"/>
    <w:rsid w:val="000A54ED"/>
    <w:rsid w:val="000A5506"/>
    <w:rsid w:val="000A5577"/>
    <w:rsid w:val="000A5754"/>
    <w:rsid w:val="000A5840"/>
    <w:rsid w:val="000A5860"/>
    <w:rsid w:val="000A5902"/>
    <w:rsid w:val="000A5D65"/>
    <w:rsid w:val="000A5E91"/>
    <w:rsid w:val="000A5EAC"/>
    <w:rsid w:val="000A60F3"/>
    <w:rsid w:val="000A6A43"/>
    <w:rsid w:val="000A6B8A"/>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84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2B4"/>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A2"/>
    <w:rsid w:val="000C54E9"/>
    <w:rsid w:val="000C555D"/>
    <w:rsid w:val="000C5ED7"/>
    <w:rsid w:val="000C5F12"/>
    <w:rsid w:val="000C6043"/>
    <w:rsid w:val="000C612E"/>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4C3"/>
    <w:rsid w:val="000D45CE"/>
    <w:rsid w:val="000D47A9"/>
    <w:rsid w:val="000D4985"/>
    <w:rsid w:val="000D4BAD"/>
    <w:rsid w:val="000D4CDB"/>
    <w:rsid w:val="000D4EA5"/>
    <w:rsid w:val="000D4F97"/>
    <w:rsid w:val="000D524E"/>
    <w:rsid w:val="000D54BA"/>
    <w:rsid w:val="000D5B3B"/>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3FAB"/>
    <w:rsid w:val="000E401D"/>
    <w:rsid w:val="000E4215"/>
    <w:rsid w:val="000E439E"/>
    <w:rsid w:val="000E4476"/>
    <w:rsid w:val="000E4703"/>
    <w:rsid w:val="000E478F"/>
    <w:rsid w:val="000E48E2"/>
    <w:rsid w:val="000E48F7"/>
    <w:rsid w:val="000E4CBB"/>
    <w:rsid w:val="000E4D7E"/>
    <w:rsid w:val="000E4DCA"/>
    <w:rsid w:val="000E5132"/>
    <w:rsid w:val="000E53E9"/>
    <w:rsid w:val="000E5525"/>
    <w:rsid w:val="000E554E"/>
    <w:rsid w:val="000E57D3"/>
    <w:rsid w:val="000E5C6E"/>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BA2"/>
    <w:rsid w:val="000E7C99"/>
    <w:rsid w:val="000E7EFD"/>
    <w:rsid w:val="000F0028"/>
    <w:rsid w:val="000F004A"/>
    <w:rsid w:val="000F01E6"/>
    <w:rsid w:val="000F0348"/>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78"/>
    <w:rsid w:val="00100FA0"/>
    <w:rsid w:val="001011B1"/>
    <w:rsid w:val="00101254"/>
    <w:rsid w:val="0010166A"/>
    <w:rsid w:val="00101C2D"/>
    <w:rsid w:val="00101CD7"/>
    <w:rsid w:val="00101E70"/>
    <w:rsid w:val="0010209B"/>
    <w:rsid w:val="00102313"/>
    <w:rsid w:val="0010234F"/>
    <w:rsid w:val="001024CE"/>
    <w:rsid w:val="00102653"/>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6284"/>
    <w:rsid w:val="0010635B"/>
    <w:rsid w:val="00106636"/>
    <w:rsid w:val="00106A5A"/>
    <w:rsid w:val="00106D64"/>
    <w:rsid w:val="00106E02"/>
    <w:rsid w:val="00107187"/>
    <w:rsid w:val="00107265"/>
    <w:rsid w:val="001073A4"/>
    <w:rsid w:val="0010780D"/>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2F58"/>
    <w:rsid w:val="00113254"/>
    <w:rsid w:val="001133A4"/>
    <w:rsid w:val="00113451"/>
    <w:rsid w:val="0011354B"/>
    <w:rsid w:val="0011375C"/>
    <w:rsid w:val="001137C8"/>
    <w:rsid w:val="001137CA"/>
    <w:rsid w:val="001137F7"/>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03"/>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C4C"/>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773"/>
    <w:rsid w:val="001339AC"/>
    <w:rsid w:val="001339FA"/>
    <w:rsid w:val="00133D72"/>
    <w:rsid w:val="001342F7"/>
    <w:rsid w:val="00134320"/>
    <w:rsid w:val="00134437"/>
    <w:rsid w:val="001344F5"/>
    <w:rsid w:val="0013450B"/>
    <w:rsid w:val="001346A0"/>
    <w:rsid w:val="001348C4"/>
    <w:rsid w:val="00134B36"/>
    <w:rsid w:val="00134CB5"/>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638"/>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5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813"/>
    <w:rsid w:val="001629D3"/>
    <w:rsid w:val="00162A16"/>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1B8"/>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8EC"/>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227"/>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B45"/>
    <w:rsid w:val="00177F9F"/>
    <w:rsid w:val="00180172"/>
    <w:rsid w:val="001801F4"/>
    <w:rsid w:val="001802CA"/>
    <w:rsid w:val="00180775"/>
    <w:rsid w:val="00180829"/>
    <w:rsid w:val="0018083E"/>
    <w:rsid w:val="0018085E"/>
    <w:rsid w:val="00180954"/>
    <w:rsid w:val="00180975"/>
    <w:rsid w:val="001809C7"/>
    <w:rsid w:val="0018115A"/>
    <w:rsid w:val="00181324"/>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0B0"/>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2DE"/>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59E"/>
    <w:rsid w:val="001A06F8"/>
    <w:rsid w:val="001A0A32"/>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6E5"/>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8EB"/>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5F"/>
    <w:rsid w:val="001C2695"/>
    <w:rsid w:val="001C29BE"/>
    <w:rsid w:val="001C2DCD"/>
    <w:rsid w:val="001C2E41"/>
    <w:rsid w:val="001C2F65"/>
    <w:rsid w:val="001C326E"/>
    <w:rsid w:val="001C33D5"/>
    <w:rsid w:val="001C34AE"/>
    <w:rsid w:val="001C34EC"/>
    <w:rsid w:val="001C3701"/>
    <w:rsid w:val="001C38DF"/>
    <w:rsid w:val="001C3982"/>
    <w:rsid w:val="001C3A98"/>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778"/>
    <w:rsid w:val="001D07CF"/>
    <w:rsid w:val="001D0985"/>
    <w:rsid w:val="001D0BEB"/>
    <w:rsid w:val="001D0C91"/>
    <w:rsid w:val="001D0CD5"/>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CC9"/>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79B"/>
    <w:rsid w:val="001F385D"/>
    <w:rsid w:val="001F3C79"/>
    <w:rsid w:val="001F3D72"/>
    <w:rsid w:val="001F3FA4"/>
    <w:rsid w:val="001F3FAF"/>
    <w:rsid w:val="001F4141"/>
    <w:rsid w:val="001F437A"/>
    <w:rsid w:val="001F4382"/>
    <w:rsid w:val="001F443D"/>
    <w:rsid w:val="001F446B"/>
    <w:rsid w:val="001F448E"/>
    <w:rsid w:val="001F4559"/>
    <w:rsid w:val="001F4C8F"/>
    <w:rsid w:val="001F5191"/>
    <w:rsid w:val="001F5251"/>
    <w:rsid w:val="001F52D4"/>
    <w:rsid w:val="001F5318"/>
    <w:rsid w:val="001F536F"/>
    <w:rsid w:val="001F5482"/>
    <w:rsid w:val="001F5484"/>
    <w:rsid w:val="001F54E9"/>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38"/>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07F4F"/>
    <w:rsid w:val="002102C8"/>
    <w:rsid w:val="002105B2"/>
    <w:rsid w:val="002105C3"/>
    <w:rsid w:val="0021063C"/>
    <w:rsid w:val="0021085B"/>
    <w:rsid w:val="00210A3A"/>
    <w:rsid w:val="00210C07"/>
    <w:rsid w:val="00210E93"/>
    <w:rsid w:val="00211392"/>
    <w:rsid w:val="00211BE3"/>
    <w:rsid w:val="00211C7C"/>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618E"/>
    <w:rsid w:val="002161B4"/>
    <w:rsid w:val="002162C7"/>
    <w:rsid w:val="002162CB"/>
    <w:rsid w:val="00216642"/>
    <w:rsid w:val="002166AF"/>
    <w:rsid w:val="002167D9"/>
    <w:rsid w:val="00216A22"/>
    <w:rsid w:val="00216EEC"/>
    <w:rsid w:val="00217445"/>
    <w:rsid w:val="0021798F"/>
    <w:rsid w:val="00217C37"/>
    <w:rsid w:val="00217CB8"/>
    <w:rsid w:val="00217E13"/>
    <w:rsid w:val="00217E62"/>
    <w:rsid w:val="00217EA8"/>
    <w:rsid w:val="0022004D"/>
    <w:rsid w:val="002202FE"/>
    <w:rsid w:val="00220349"/>
    <w:rsid w:val="00220562"/>
    <w:rsid w:val="0022057E"/>
    <w:rsid w:val="0022063E"/>
    <w:rsid w:val="00220796"/>
    <w:rsid w:val="002207A1"/>
    <w:rsid w:val="00220A2A"/>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CD2"/>
    <w:rsid w:val="00226F38"/>
    <w:rsid w:val="00226FD1"/>
    <w:rsid w:val="0022737E"/>
    <w:rsid w:val="00227679"/>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532"/>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9D0"/>
    <w:rsid w:val="00236C96"/>
    <w:rsid w:val="00237125"/>
    <w:rsid w:val="002371F0"/>
    <w:rsid w:val="00237712"/>
    <w:rsid w:val="00237B33"/>
    <w:rsid w:val="00237C8B"/>
    <w:rsid w:val="00237DF5"/>
    <w:rsid w:val="00237E9C"/>
    <w:rsid w:val="00240071"/>
    <w:rsid w:val="00240561"/>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285"/>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0AFD"/>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559"/>
    <w:rsid w:val="00254AEF"/>
    <w:rsid w:val="00254DFD"/>
    <w:rsid w:val="00254E22"/>
    <w:rsid w:val="00254EFD"/>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201"/>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6F40"/>
    <w:rsid w:val="0026712C"/>
    <w:rsid w:val="00267217"/>
    <w:rsid w:val="00267471"/>
    <w:rsid w:val="002674BB"/>
    <w:rsid w:val="002675BA"/>
    <w:rsid w:val="00267698"/>
    <w:rsid w:val="0026796B"/>
    <w:rsid w:val="00267E37"/>
    <w:rsid w:val="00267E98"/>
    <w:rsid w:val="00270072"/>
    <w:rsid w:val="002701E5"/>
    <w:rsid w:val="0027033A"/>
    <w:rsid w:val="0027037A"/>
    <w:rsid w:val="00270464"/>
    <w:rsid w:val="002708B8"/>
    <w:rsid w:val="00270954"/>
    <w:rsid w:val="00270AA7"/>
    <w:rsid w:val="00270B6C"/>
    <w:rsid w:val="00270EDE"/>
    <w:rsid w:val="00270F10"/>
    <w:rsid w:val="0027143A"/>
    <w:rsid w:val="00271927"/>
    <w:rsid w:val="00271A23"/>
    <w:rsid w:val="00271B76"/>
    <w:rsid w:val="00271DC6"/>
    <w:rsid w:val="00271E9A"/>
    <w:rsid w:val="002720D3"/>
    <w:rsid w:val="0027225F"/>
    <w:rsid w:val="00272537"/>
    <w:rsid w:val="00272769"/>
    <w:rsid w:val="002729FA"/>
    <w:rsid w:val="00272E7F"/>
    <w:rsid w:val="00273108"/>
    <w:rsid w:val="002731C8"/>
    <w:rsid w:val="0027386E"/>
    <w:rsid w:val="002739ED"/>
    <w:rsid w:val="00273A94"/>
    <w:rsid w:val="00273AD4"/>
    <w:rsid w:val="00273E7D"/>
    <w:rsid w:val="00274416"/>
    <w:rsid w:val="00274561"/>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0B3"/>
    <w:rsid w:val="00281148"/>
    <w:rsid w:val="002811BD"/>
    <w:rsid w:val="00281230"/>
    <w:rsid w:val="0028140B"/>
    <w:rsid w:val="00281614"/>
    <w:rsid w:val="002816F6"/>
    <w:rsid w:val="0028171C"/>
    <w:rsid w:val="00281732"/>
    <w:rsid w:val="00281744"/>
    <w:rsid w:val="00281760"/>
    <w:rsid w:val="002817EF"/>
    <w:rsid w:val="002817F1"/>
    <w:rsid w:val="00281898"/>
    <w:rsid w:val="002818F6"/>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856"/>
    <w:rsid w:val="0029096A"/>
    <w:rsid w:val="00290ACC"/>
    <w:rsid w:val="00290AF0"/>
    <w:rsid w:val="00290B2F"/>
    <w:rsid w:val="00290B7F"/>
    <w:rsid w:val="00290CC0"/>
    <w:rsid w:val="002911AB"/>
    <w:rsid w:val="00291282"/>
    <w:rsid w:val="00291411"/>
    <w:rsid w:val="0029160D"/>
    <w:rsid w:val="002917B6"/>
    <w:rsid w:val="002918EC"/>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01C"/>
    <w:rsid w:val="00296174"/>
    <w:rsid w:val="00296334"/>
    <w:rsid w:val="0029639D"/>
    <w:rsid w:val="00296560"/>
    <w:rsid w:val="0029689A"/>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4AE"/>
    <w:rsid w:val="002A5749"/>
    <w:rsid w:val="002A5B18"/>
    <w:rsid w:val="002A5D23"/>
    <w:rsid w:val="002A5D36"/>
    <w:rsid w:val="002A5ECF"/>
    <w:rsid w:val="002A60AE"/>
    <w:rsid w:val="002A6390"/>
    <w:rsid w:val="002A6B4C"/>
    <w:rsid w:val="002A6C81"/>
    <w:rsid w:val="002A6CB1"/>
    <w:rsid w:val="002A6CBC"/>
    <w:rsid w:val="002A6CFE"/>
    <w:rsid w:val="002A71C9"/>
    <w:rsid w:val="002A7544"/>
    <w:rsid w:val="002A77D7"/>
    <w:rsid w:val="002A7A0F"/>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D2F"/>
    <w:rsid w:val="002B5E32"/>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63"/>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4BB"/>
    <w:rsid w:val="002C4B7F"/>
    <w:rsid w:val="002C4ECA"/>
    <w:rsid w:val="002C50AE"/>
    <w:rsid w:val="002C5272"/>
    <w:rsid w:val="002C52BB"/>
    <w:rsid w:val="002C5322"/>
    <w:rsid w:val="002C53C5"/>
    <w:rsid w:val="002C5696"/>
    <w:rsid w:val="002C56DB"/>
    <w:rsid w:val="002C580F"/>
    <w:rsid w:val="002C5832"/>
    <w:rsid w:val="002C5A4C"/>
    <w:rsid w:val="002C5D7C"/>
    <w:rsid w:val="002C5F25"/>
    <w:rsid w:val="002C5F4A"/>
    <w:rsid w:val="002C62F5"/>
    <w:rsid w:val="002C6396"/>
    <w:rsid w:val="002C6639"/>
    <w:rsid w:val="002C6EB7"/>
    <w:rsid w:val="002C7061"/>
    <w:rsid w:val="002C7161"/>
    <w:rsid w:val="002C7612"/>
    <w:rsid w:val="002C7638"/>
    <w:rsid w:val="002C7A26"/>
    <w:rsid w:val="002C7ADD"/>
    <w:rsid w:val="002C7CAD"/>
    <w:rsid w:val="002C7E26"/>
    <w:rsid w:val="002C7EA1"/>
    <w:rsid w:val="002C7EF4"/>
    <w:rsid w:val="002C7F04"/>
    <w:rsid w:val="002C7F19"/>
    <w:rsid w:val="002D0089"/>
    <w:rsid w:val="002D018C"/>
    <w:rsid w:val="002D01F9"/>
    <w:rsid w:val="002D025B"/>
    <w:rsid w:val="002D02F5"/>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61A8"/>
    <w:rsid w:val="002D6234"/>
    <w:rsid w:val="002D6392"/>
    <w:rsid w:val="002D6402"/>
    <w:rsid w:val="002D6554"/>
    <w:rsid w:val="002D66E1"/>
    <w:rsid w:val="002D6B40"/>
    <w:rsid w:val="002D6EFF"/>
    <w:rsid w:val="002D6F34"/>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3"/>
    <w:rsid w:val="002E4E06"/>
    <w:rsid w:val="002E51A3"/>
    <w:rsid w:val="002E54A1"/>
    <w:rsid w:val="002E5586"/>
    <w:rsid w:val="002E5875"/>
    <w:rsid w:val="002E58BE"/>
    <w:rsid w:val="002E59B7"/>
    <w:rsid w:val="002E5DD5"/>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3"/>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6F4"/>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2B3"/>
    <w:rsid w:val="00310638"/>
    <w:rsid w:val="00310741"/>
    <w:rsid w:val="0031093C"/>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187"/>
    <w:rsid w:val="00320305"/>
    <w:rsid w:val="003203EF"/>
    <w:rsid w:val="00320658"/>
    <w:rsid w:val="00320791"/>
    <w:rsid w:val="003207F3"/>
    <w:rsid w:val="00320E72"/>
    <w:rsid w:val="003213AC"/>
    <w:rsid w:val="00321898"/>
    <w:rsid w:val="003219FA"/>
    <w:rsid w:val="00321F0D"/>
    <w:rsid w:val="0032215D"/>
    <w:rsid w:val="00322400"/>
    <w:rsid w:val="00322572"/>
    <w:rsid w:val="0032269F"/>
    <w:rsid w:val="003227CF"/>
    <w:rsid w:val="003227D9"/>
    <w:rsid w:val="0032294A"/>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048"/>
    <w:rsid w:val="00326139"/>
    <w:rsid w:val="003264D5"/>
    <w:rsid w:val="003265F3"/>
    <w:rsid w:val="0032669D"/>
    <w:rsid w:val="00326A80"/>
    <w:rsid w:val="00326B2E"/>
    <w:rsid w:val="00326FF0"/>
    <w:rsid w:val="00327291"/>
    <w:rsid w:val="003275CB"/>
    <w:rsid w:val="00327873"/>
    <w:rsid w:val="003278B6"/>
    <w:rsid w:val="00327C96"/>
    <w:rsid w:val="00327F45"/>
    <w:rsid w:val="00327FE1"/>
    <w:rsid w:val="0033016A"/>
    <w:rsid w:val="003301B9"/>
    <w:rsid w:val="003301C3"/>
    <w:rsid w:val="00330B18"/>
    <w:rsid w:val="00330D71"/>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216"/>
    <w:rsid w:val="00333502"/>
    <w:rsid w:val="00333541"/>
    <w:rsid w:val="00333553"/>
    <w:rsid w:val="00333681"/>
    <w:rsid w:val="003336C3"/>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0A1"/>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960"/>
    <w:rsid w:val="00357A03"/>
    <w:rsid w:val="00357A6D"/>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2FCC"/>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693"/>
    <w:rsid w:val="00366A6D"/>
    <w:rsid w:val="00366CB0"/>
    <w:rsid w:val="00366DE1"/>
    <w:rsid w:val="00366E81"/>
    <w:rsid w:val="003671D8"/>
    <w:rsid w:val="00367792"/>
    <w:rsid w:val="003677F5"/>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52"/>
    <w:rsid w:val="0039118A"/>
    <w:rsid w:val="0039132D"/>
    <w:rsid w:val="00391638"/>
    <w:rsid w:val="003917E3"/>
    <w:rsid w:val="00391CA6"/>
    <w:rsid w:val="00391D14"/>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16D"/>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EA"/>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54"/>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56C"/>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7CF"/>
    <w:rsid w:val="003B6BA5"/>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235"/>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862"/>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29E"/>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78B"/>
    <w:rsid w:val="003E792A"/>
    <w:rsid w:val="003E7BD4"/>
    <w:rsid w:val="003F0228"/>
    <w:rsid w:val="003F022F"/>
    <w:rsid w:val="003F0461"/>
    <w:rsid w:val="003F0781"/>
    <w:rsid w:val="003F07E2"/>
    <w:rsid w:val="003F0A92"/>
    <w:rsid w:val="003F0C88"/>
    <w:rsid w:val="003F0D04"/>
    <w:rsid w:val="003F122D"/>
    <w:rsid w:val="003F14D8"/>
    <w:rsid w:val="003F158D"/>
    <w:rsid w:val="003F1718"/>
    <w:rsid w:val="003F1A2C"/>
    <w:rsid w:val="003F1B0D"/>
    <w:rsid w:val="003F2191"/>
    <w:rsid w:val="003F21E4"/>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8C1"/>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536"/>
    <w:rsid w:val="003F78D1"/>
    <w:rsid w:val="003F7BC2"/>
    <w:rsid w:val="003F7CB0"/>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55A"/>
    <w:rsid w:val="004046A0"/>
    <w:rsid w:val="004046AC"/>
    <w:rsid w:val="00404F39"/>
    <w:rsid w:val="004050B1"/>
    <w:rsid w:val="004051B4"/>
    <w:rsid w:val="00405368"/>
    <w:rsid w:val="00405411"/>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D08"/>
    <w:rsid w:val="00410E28"/>
    <w:rsid w:val="004111AB"/>
    <w:rsid w:val="004112C2"/>
    <w:rsid w:val="0041152A"/>
    <w:rsid w:val="004117C1"/>
    <w:rsid w:val="00411897"/>
    <w:rsid w:val="004118CE"/>
    <w:rsid w:val="004119FE"/>
    <w:rsid w:val="00411A74"/>
    <w:rsid w:val="00411C38"/>
    <w:rsid w:val="00411E61"/>
    <w:rsid w:val="00411EE0"/>
    <w:rsid w:val="0041230E"/>
    <w:rsid w:val="004126D1"/>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6A9"/>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C1E"/>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87"/>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2DA"/>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D74"/>
    <w:rsid w:val="0043505E"/>
    <w:rsid w:val="00435337"/>
    <w:rsid w:val="004353C7"/>
    <w:rsid w:val="00435536"/>
    <w:rsid w:val="0043555B"/>
    <w:rsid w:val="00435F99"/>
    <w:rsid w:val="00436013"/>
    <w:rsid w:val="004364B0"/>
    <w:rsid w:val="0043666B"/>
    <w:rsid w:val="004369BA"/>
    <w:rsid w:val="00436B53"/>
    <w:rsid w:val="00436BFB"/>
    <w:rsid w:val="00437070"/>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54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D56"/>
    <w:rsid w:val="00447D8A"/>
    <w:rsid w:val="00447E53"/>
    <w:rsid w:val="00447EB6"/>
    <w:rsid w:val="00447F16"/>
    <w:rsid w:val="004504F0"/>
    <w:rsid w:val="004504FE"/>
    <w:rsid w:val="00450D50"/>
    <w:rsid w:val="00451076"/>
    <w:rsid w:val="004510BF"/>
    <w:rsid w:val="004511CD"/>
    <w:rsid w:val="0045139D"/>
    <w:rsid w:val="004513B1"/>
    <w:rsid w:val="004514CB"/>
    <w:rsid w:val="00451839"/>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BEF"/>
    <w:rsid w:val="00456C34"/>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88A"/>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6E9"/>
    <w:rsid w:val="0046488C"/>
    <w:rsid w:val="0046489E"/>
    <w:rsid w:val="00464A4E"/>
    <w:rsid w:val="00464AC3"/>
    <w:rsid w:val="00464C7D"/>
    <w:rsid w:val="00464CE2"/>
    <w:rsid w:val="00464DB2"/>
    <w:rsid w:val="00464FA8"/>
    <w:rsid w:val="00465122"/>
    <w:rsid w:val="00465359"/>
    <w:rsid w:val="0046546D"/>
    <w:rsid w:val="0046551D"/>
    <w:rsid w:val="00465551"/>
    <w:rsid w:val="00465559"/>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7AB"/>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7F3"/>
    <w:rsid w:val="0047187B"/>
    <w:rsid w:val="00471B19"/>
    <w:rsid w:val="00471C4C"/>
    <w:rsid w:val="00471C5A"/>
    <w:rsid w:val="00471D2D"/>
    <w:rsid w:val="00471DCF"/>
    <w:rsid w:val="00471DD9"/>
    <w:rsid w:val="00471EE5"/>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7045"/>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AA8"/>
    <w:rsid w:val="00492C7F"/>
    <w:rsid w:val="00492CBA"/>
    <w:rsid w:val="00492E55"/>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0DC2"/>
    <w:rsid w:val="004B1124"/>
    <w:rsid w:val="004B1186"/>
    <w:rsid w:val="004B14FA"/>
    <w:rsid w:val="004B1565"/>
    <w:rsid w:val="004B1B61"/>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27"/>
    <w:rsid w:val="004B5761"/>
    <w:rsid w:val="004B578D"/>
    <w:rsid w:val="004B5AA5"/>
    <w:rsid w:val="004B5B6A"/>
    <w:rsid w:val="004B5B8B"/>
    <w:rsid w:val="004B5C1D"/>
    <w:rsid w:val="004B5E15"/>
    <w:rsid w:val="004B5E50"/>
    <w:rsid w:val="004B6079"/>
    <w:rsid w:val="004B6107"/>
    <w:rsid w:val="004B6150"/>
    <w:rsid w:val="004B6486"/>
    <w:rsid w:val="004B65C1"/>
    <w:rsid w:val="004B662A"/>
    <w:rsid w:val="004B6FF5"/>
    <w:rsid w:val="004B7233"/>
    <w:rsid w:val="004B724D"/>
    <w:rsid w:val="004B72B9"/>
    <w:rsid w:val="004B73BE"/>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08AF"/>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317"/>
    <w:rsid w:val="004C36AD"/>
    <w:rsid w:val="004C36B4"/>
    <w:rsid w:val="004C3976"/>
    <w:rsid w:val="004C39EC"/>
    <w:rsid w:val="004C3D8B"/>
    <w:rsid w:val="004C3DB9"/>
    <w:rsid w:val="004C3DCE"/>
    <w:rsid w:val="004C3F4B"/>
    <w:rsid w:val="004C4035"/>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2DD"/>
    <w:rsid w:val="004C7352"/>
    <w:rsid w:val="004C7D3A"/>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A19"/>
    <w:rsid w:val="004D2C55"/>
    <w:rsid w:val="004D2C7A"/>
    <w:rsid w:val="004D2D54"/>
    <w:rsid w:val="004D2EC0"/>
    <w:rsid w:val="004D3204"/>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3F"/>
    <w:rsid w:val="004D5590"/>
    <w:rsid w:val="004D55D0"/>
    <w:rsid w:val="004D57ED"/>
    <w:rsid w:val="004D598D"/>
    <w:rsid w:val="004D5BE8"/>
    <w:rsid w:val="004D5E46"/>
    <w:rsid w:val="004D64B2"/>
    <w:rsid w:val="004D66D9"/>
    <w:rsid w:val="004D6765"/>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E52"/>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8F"/>
    <w:rsid w:val="004E5F14"/>
    <w:rsid w:val="004E6220"/>
    <w:rsid w:val="004E6330"/>
    <w:rsid w:val="004E635F"/>
    <w:rsid w:val="004E6474"/>
    <w:rsid w:val="004E6487"/>
    <w:rsid w:val="004E651E"/>
    <w:rsid w:val="004E66FA"/>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68"/>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447"/>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0C4"/>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865"/>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28C"/>
    <w:rsid w:val="005135BD"/>
    <w:rsid w:val="005135E5"/>
    <w:rsid w:val="005139BE"/>
    <w:rsid w:val="00513B7A"/>
    <w:rsid w:val="00513CC8"/>
    <w:rsid w:val="00514436"/>
    <w:rsid w:val="005145E2"/>
    <w:rsid w:val="00514A01"/>
    <w:rsid w:val="00514B4F"/>
    <w:rsid w:val="005151AE"/>
    <w:rsid w:val="00515238"/>
    <w:rsid w:val="0051524A"/>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AB"/>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DFC"/>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687"/>
    <w:rsid w:val="0054092B"/>
    <w:rsid w:val="00540BD0"/>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E33"/>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AB"/>
    <w:rsid w:val="00543BCD"/>
    <w:rsid w:val="00543DE6"/>
    <w:rsid w:val="00543F80"/>
    <w:rsid w:val="0054402D"/>
    <w:rsid w:val="005446DB"/>
    <w:rsid w:val="0054492F"/>
    <w:rsid w:val="00544BD5"/>
    <w:rsid w:val="00545039"/>
    <w:rsid w:val="005450C5"/>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D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3C"/>
    <w:rsid w:val="00563980"/>
    <w:rsid w:val="005639BD"/>
    <w:rsid w:val="00563AD0"/>
    <w:rsid w:val="00563B27"/>
    <w:rsid w:val="00563D54"/>
    <w:rsid w:val="00563FCF"/>
    <w:rsid w:val="005640FA"/>
    <w:rsid w:val="00564116"/>
    <w:rsid w:val="005645FC"/>
    <w:rsid w:val="005648DA"/>
    <w:rsid w:val="00564A39"/>
    <w:rsid w:val="00564A67"/>
    <w:rsid w:val="00564A93"/>
    <w:rsid w:val="00564B5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A3E"/>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53C"/>
    <w:rsid w:val="0057777F"/>
    <w:rsid w:val="005779CF"/>
    <w:rsid w:val="00577BEE"/>
    <w:rsid w:val="00577DDD"/>
    <w:rsid w:val="00577F3D"/>
    <w:rsid w:val="00577FA5"/>
    <w:rsid w:val="00580073"/>
    <w:rsid w:val="00580669"/>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8C"/>
    <w:rsid w:val="005863A7"/>
    <w:rsid w:val="005864DF"/>
    <w:rsid w:val="00586571"/>
    <w:rsid w:val="005865DE"/>
    <w:rsid w:val="005865EA"/>
    <w:rsid w:val="005866D5"/>
    <w:rsid w:val="00586D23"/>
    <w:rsid w:val="00586F1B"/>
    <w:rsid w:val="0058716D"/>
    <w:rsid w:val="0058773E"/>
    <w:rsid w:val="00587A6C"/>
    <w:rsid w:val="005900BF"/>
    <w:rsid w:val="005902D0"/>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B0A"/>
    <w:rsid w:val="00594DAE"/>
    <w:rsid w:val="00594F05"/>
    <w:rsid w:val="0059506C"/>
    <w:rsid w:val="00595335"/>
    <w:rsid w:val="00595416"/>
    <w:rsid w:val="00595436"/>
    <w:rsid w:val="0059548B"/>
    <w:rsid w:val="005955B7"/>
    <w:rsid w:val="00595632"/>
    <w:rsid w:val="00595702"/>
    <w:rsid w:val="00595729"/>
    <w:rsid w:val="0059573F"/>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1F5"/>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492"/>
    <w:rsid w:val="005A3572"/>
    <w:rsid w:val="005A36BC"/>
    <w:rsid w:val="005A37E5"/>
    <w:rsid w:val="005A3933"/>
    <w:rsid w:val="005A3B89"/>
    <w:rsid w:val="005A3DBA"/>
    <w:rsid w:val="005A3EC6"/>
    <w:rsid w:val="005A44AE"/>
    <w:rsid w:val="005A44D3"/>
    <w:rsid w:val="005A4A2A"/>
    <w:rsid w:val="005A4AC4"/>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20E"/>
    <w:rsid w:val="005A7369"/>
    <w:rsid w:val="005A7536"/>
    <w:rsid w:val="005A7A4E"/>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A6"/>
    <w:rsid w:val="005B40C9"/>
    <w:rsid w:val="005B4888"/>
    <w:rsid w:val="005B49B4"/>
    <w:rsid w:val="005B4D05"/>
    <w:rsid w:val="005B57CD"/>
    <w:rsid w:val="005B58F8"/>
    <w:rsid w:val="005B5EBF"/>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D91"/>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6A7"/>
    <w:rsid w:val="005C68F2"/>
    <w:rsid w:val="005C6B27"/>
    <w:rsid w:val="005C6B7E"/>
    <w:rsid w:val="005C6BF1"/>
    <w:rsid w:val="005C710E"/>
    <w:rsid w:val="005C737F"/>
    <w:rsid w:val="005C7384"/>
    <w:rsid w:val="005C76C6"/>
    <w:rsid w:val="005C7811"/>
    <w:rsid w:val="005C7C45"/>
    <w:rsid w:val="005C7F60"/>
    <w:rsid w:val="005D0079"/>
    <w:rsid w:val="005D007A"/>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4DB0"/>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917"/>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BD8"/>
    <w:rsid w:val="005E4F07"/>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E74"/>
    <w:rsid w:val="005F0F57"/>
    <w:rsid w:val="005F0FC1"/>
    <w:rsid w:val="005F0FD2"/>
    <w:rsid w:val="005F173C"/>
    <w:rsid w:val="005F18D0"/>
    <w:rsid w:val="005F1AED"/>
    <w:rsid w:val="005F215B"/>
    <w:rsid w:val="005F22AF"/>
    <w:rsid w:val="005F25BE"/>
    <w:rsid w:val="005F2711"/>
    <w:rsid w:val="005F2739"/>
    <w:rsid w:val="005F27CD"/>
    <w:rsid w:val="005F287C"/>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42"/>
    <w:rsid w:val="005F4AD8"/>
    <w:rsid w:val="005F4EB4"/>
    <w:rsid w:val="005F4EF9"/>
    <w:rsid w:val="005F4F45"/>
    <w:rsid w:val="005F4F5C"/>
    <w:rsid w:val="005F4FE9"/>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BE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536"/>
    <w:rsid w:val="006068A4"/>
    <w:rsid w:val="006069C7"/>
    <w:rsid w:val="00606A66"/>
    <w:rsid w:val="00606B46"/>
    <w:rsid w:val="00606E3F"/>
    <w:rsid w:val="00607185"/>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3B2"/>
    <w:rsid w:val="00614486"/>
    <w:rsid w:val="00614664"/>
    <w:rsid w:val="0061466C"/>
    <w:rsid w:val="0061495C"/>
    <w:rsid w:val="00614BB6"/>
    <w:rsid w:val="00614C1A"/>
    <w:rsid w:val="00614C57"/>
    <w:rsid w:val="00615B17"/>
    <w:rsid w:val="00615E7C"/>
    <w:rsid w:val="00615FA2"/>
    <w:rsid w:val="00616057"/>
    <w:rsid w:val="0061634A"/>
    <w:rsid w:val="0061636D"/>
    <w:rsid w:val="006168DF"/>
    <w:rsid w:val="0061698F"/>
    <w:rsid w:val="00616A4C"/>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21E"/>
    <w:rsid w:val="00622343"/>
    <w:rsid w:val="0062264A"/>
    <w:rsid w:val="006229EB"/>
    <w:rsid w:val="00622B52"/>
    <w:rsid w:val="00622BC5"/>
    <w:rsid w:val="00622F60"/>
    <w:rsid w:val="00623114"/>
    <w:rsid w:val="00623180"/>
    <w:rsid w:val="0062330E"/>
    <w:rsid w:val="00623327"/>
    <w:rsid w:val="0062335C"/>
    <w:rsid w:val="006236F1"/>
    <w:rsid w:val="00623B6F"/>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0"/>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36"/>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918"/>
    <w:rsid w:val="00651A5C"/>
    <w:rsid w:val="00651D5F"/>
    <w:rsid w:val="00651D6E"/>
    <w:rsid w:val="00651E7E"/>
    <w:rsid w:val="00652258"/>
    <w:rsid w:val="00652356"/>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78F"/>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6097"/>
    <w:rsid w:val="00666355"/>
    <w:rsid w:val="00666528"/>
    <w:rsid w:val="0066659E"/>
    <w:rsid w:val="00666AAF"/>
    <w:rsid w:val="00666BFE"/>
    <w:rsid w:val="00666C37"/>
    <w:rsid w:val="00666E8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A97"/>
    <w:rsid w:val="00670C2C"/>
    <w:rsid w:val="00670DCD"/>
    <w:rsid w:val="00670E7B"/>
    <w:rsid w:val="00671152"/>
    <w:rsid w:val="00671194"/>
    <w:rsid w:val="006713DA"/>
    <w:rsid w:val="00671824"/>
    <w:rsid w:val="00671A0D"/>
    <w:rsid w:val="00671AEA"/>
    <w:rsid w:val="00671C19"/>
    <w:rsid w:val="00672281"/>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420"/>
    <w:rsid w:val="00674596"/>
    <w:rsid w:val="00674BD5"/>
    <w:rsid w:val="00674DAE"/>
    <w:rsid w:val="00674F95"/>
    <w:rsid w:val="00675379"/>
    <w:rsid w:val="0067561D"/>
    <w:rsid w:val="00675628"/>
    <w:rsid w:val="00675B79"/>
    <w:rsid w:val="00675E37"/>
    <w:rsid w:val="0067600E"/>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0FA3"/>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589"/>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E8E"/>
    <w:rsid w:val="00691F17"/>
    <w:rsid w:val="006923E6"/>
    <w:rsid w:val="0069243E"/>
    <w:rsid w:val="00692510"/>
    <w:rsid w:val="006926AB"/>
    <w:rsid w:val="006926D0"/>
    <w:rsid w:val="006926D4"/>
    <w:rsid w:val="00692762"/>
    <w:rsid w:val="006929B9"/>
    <w:rsid w:val="006929F5"/>
    <w:rsid w:val="00692B5F"/>
    <w:rsid w:val="00692FB1"/>
    <w:rsid w:val="00693341"/>
    <w:rsid w:val="00693424"/>
    <w:rsid w:val="006934BC"/>
    <w:rsid w:val="0069386D"/>
    <w:rsid w:val="006939B2"/>
    <w:rsid w:val="00693C4A"/>
    <w:rsid w:val="00693D53"/>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331"/>
    <w:rsid w:val="00696822"/>
    <w:rsid w:val="00696C09"/>
    <w:rsid w:val="00696C0D"/>
    <w:rsid w:val="00696CF7"/>
    <w:rsid w:val="0069714B"/>
    <w:rsid w:val="0069729C"/>
    <w:rsid w:val="006974FB"/>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86"/>
    <w:rsid w:val="006A1D19"/>
    <w:rsid w:val="006A1FFE"/>
    <w:rsid w:val="006A203D"/>
    <w:rsid w:val="006A20EF"/>
    <w:rsid w:val="006A233A"/>
    <w:rsid w:val="006A244D"/>
    <w:rsid w:val="006A2721"/>
    <w:rsid w:val="006A292C"/>
    <w:rsid w:val="006A31E7"/>
    <w:rsid w:val="006A36D1"/>
    <w:rsid w:val="006A3883"/>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036"/>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5B"/>
    <w:rsid w:val="006B3D55"/>
    <w:rsid w:val="006B3F2E"/>
    <w:rsid w:val="006B3F75"/>
    <w:rsid w:val="006B4499"/>
    <w:rsid w:val="006B46AC"/>
    <w:rsid w:val="006B48A6"/>
    <w:rsid w:val="006B49A8"/>
    <w:rsid w:val="006B4CAE"/>
    <w:rsid w:val="006B4E36"/>
    <w:rsid w:val="006B4FD8"/>
    <w:rsid w:val="006B53C2"/>
    <w:rsid w:val="006B5575"/>
    <w:rsid w:val="006B5619"/>
    <w:rsid w:val="006B5624"/>
    <w:rsid w:val="006B58D8"/>
    <w:rsid w:val="006B5A24"/>
    <w:rsid w:val="006B6009"/>
    <w:rsid w:val="006B6074"/>
    <w:rsid w:val="006B61BE"/>
    <w:rsid w:val="006B627F"/>
    <w:rsid w:val="006B63E5"/>
    <w:rsid w:val="006B666A"/>
    <w:rsid w:val="006B6736"/>
    <w:rsid w:val="006B69B8"/>
    <w:rsid w:val="006B6A84"/>
    <w:rsid w:val="006B6BDF"/>
    <w:rsid w:val="006B6CF2"/>
    <w:rsid w:val="006B6D19"/>
    <w:rsid w:val="006B6D74"/>
    <w:rsid w:val="006B728E"/>
    <w:rsid w:val="006B786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2DF8"/>
    <w:rsid w:val="006C32F8"/>
    <w:rsid w:val="006C335A"/>
    <w:rsid w:val="006C363F"/>
    <w:rsid w:val="006C3ACC"/>
    <w:rsid w:val="006C3D37"/>
    <w:rsid w:val="006C3ED5"/>
    <w:rsid w:val="006C42C2"/>
    <w:rsid w:val="006C44AB"/>
    <w:rsid w:val="006C44F0"/>
    <w:rsid w:val="006C453E"/>
    <w:rsid w:val="006C4872"/>
    <w:rsid w:val="006C4980"/>
    <w:rsid w:val="006C4C23"/>
    <w:rsid w:val="006C4E9A"/>
    <w:rsid w:val="006C512C"/>
    <w:rsid w:val="006C52A4"/>
    <w:rsid w:val="006C55E2"/>
    <w:rsid w:val="006C5614"/>
    <w:rsid w:val="006C57DE"/>
    <w:rsid w:val="006C58ED"/>
    <w:rsid w:val="006C5E1A"/>
    <w:rsid w:val="006C632A"/>
    <w:rsid w:val="006C6376"/>
    <w:rsid w:val="006C670C"/>
    <w:rsid w:val="006C67F9"/>
    <w:rsid w:val="006C68F3"/>
    <w:rsid w:val="006C6A18"/>
    <w:rsid w:val="006C6B97"/>
    <w:rsid w:val="006C6C08"/>
    <w:rsid w:val="006C6C46"/>
    <w:rsid w:val="006C6CFA"/>
    <w:rsid w:val="006C6DB8"/>
    <w:rsid w:val="006C724E"/>
    <w:rsid w:val="006C7340"/>
    <w:rsid w:val="006C74E6"/>
    <w:rsid w:val="006C755B"/>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D65"/>
    <w:rsid w:val="006D20DB"/>
    <w:rsid w:val="006D21DA"/>
    <w:rsid w:val="006D2631"/>
    <w:rsid w:val="006D29B4"/>
    <w:rsid w:val="006D2B4E"/>
    <w:rsid w:val="006D2EF2"/>
    <w:rsid w:val="006D3042"/>
    <w:rsid w:val="006D30DF"/>
    <w:rsid w:val="006D3141"/>
    <w:rsid w:val="006D342A"/>
    <w:rsid w:val="006D34DF"/>
    <w:rsid w:val="006D38A7"/>
    <w:rsid w:val="006D3A97"/>
    <w:rsid w:val="006D3B23"/>
    <w:rsid w:val="006D3BF5"/>
    <w:rsid w:val="006D3CA6"/>
    <w:rsid w:val="006D3DE7"/>
    <w:rsid w:val="006D42C5"/>
    <w:rsid w:val="006D42D9"/>
    <w:rsid w:val="006D455A"/>
    <w:rsid w:val="006D4A83"/>
    <w:rsid w:val="006D4DD2"/>
    <w:rsid w:val="006D4E72"/>
    <w:rsid w:val="006D4E86"/>
    <w:rsid w:val="006D5150"/>
    <w:rsid w:val="006D5889"/>
    <w:rsid w:val="006D5DE2"/>
    <w:rsid w:val="006D5EB1"/>
    <w:rsid w:val="006D60F1"/>
    <w:rsid w:val="006D6246"/>
    <w:rsid w:val="006D6267"/>
    <w:rsid w:val="006D62A6"/>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8CB"/>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C62"/>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3CA"/>
    <w:rsid w:val="006E7684"/>
    <w:rsid w:val="006E7802"/>
    <w:rsid w:val="006E78AF"/>
    <w:rsid w:val="006E78F1"/>
    <w:rsid w:val="006E7BB0"/>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678"/>
    <w:rsid w:val="006F276D"/>
    <w:rsid w:val="006F2962"/>
    <w:rsid w:val="006F296E"/>
    <w:rsid w:val="006F2A88"/>
    <w:rsid w:val="006F2DB7"/>
    <w:rsid w:val="006F2EB4"/>
    <w:rsid w:val="006F3826"/>
    <w:rsid w:val="006F38DB"/>
    <w:rsid w:val="006F3AAE"/>
    <w:rsid w:val="006F3CB4"/>
    <w:rsid w:val="006F3E18"/>
    <w:rsid w:val="006F3FE5"/>
    <w:rsid w:val="006F417F"/>
    <w:rsid w:val="006F431D"/>
    <w:rsid w:val="006F436F"/>
    <w:rsid w:val="006F449A"/>
    <w:rsid w:val="006F4576"/>
    <w:rsid w:val="006F464B"/>
    <w:rsid w:val="006F4A1B"/>
    <w:rsid w:val="006F4BBD"/>
    <w:rsid w:val="006F4D37"/>
    <w:rsid w:val="006F4F54"/>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2D3"/>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A5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D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D86"/>
    <w:rsid w:val="00725FA5"/>
    <w:rsid w:val="0072605A"/>
    <w:rsid w:val="00726173"/>
    <w:rsid w:val="007261B7"/>
    <w:rsid w:val="0072640E"/>
    <w:rsid w:val="00726646"/>
    <w:rsid w:val="00726A09"/>
    <w:rsid w:val="00726ACE"/>
    <w:rsid w:val="00726B6E"/>
    <w:rsid w:val="00726F74"/>
    <w:rsid w:val="007271F3"/>
    <w:rsid w:val="00727520"/>
    <w:rsid w:val="00727552"/>
    <w:rsid w:val="007279B8"/>
    <w:rsid w:val="007279FC"/>
    <w:rsid w:val="00727AE6"/>
    <w:rsid w:val="00727BEE"/>
    <w:rsid w:val="0073000A"/>
    <w:rsid w:val="007300F6"/>
    <w:rsid w:val="0073016A"/>
    <w:rsid w:val="007301A7"/>
    <w:rsid w:val="00730A14"/>
    <w:rsid w:val="00730BB1"/>
    <w:rsid w:val="00730CD4"/>
    <w:rsid w:val="00730D35"/>
    <w:rsid w:val="00730DFE"/>
    <w:rsid w:val="00730F0E"/>
    <w:rsid w:val="00730FCE"/>
    <w:rsid w:val="007312F7"/>
    <w:rsid w:val="007313C9"/>
    <w:rsid w:val="00731485"/>
    <w:rsid w:val="007315B1"/>
    <w:rsid w:val="00731615"/>
    <w:rsid w:val="007316A1"/>
    <w:rsid w:val="00731A45"/>
    <w:rsid w:val="00731A7C"/>
    <w:rsid w:val="00731AAE"/>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1"/>
    <w:rsid w:val="007378F8"/>
    <w:rsid w:val="00737906"/>
    <w:rsid w:val="0073796C"/>
    <w:rsid w:val="00737C15"/>
    <w:rsid w:val="00737C2E"/>
    <w:rsid w:val="00737F72"/>
    <w:rsid w:val="00737FFA"/>
    <w:rsid w:val="00740101"/>
    <w:rsid w:val="007401AA"/>
    <w:rsid w:val="007401E0"/>
    <w:rsid w:val="007401F8"/>
    <w:rsid w:val="00740308"/>
    <w:rsid w:val="007405E1"/>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E4B"/>
    <w:rsid w:val="00743F37"/>
    <w:rsid w:val="00744040"/>
    <w:rsid w:val="00744091"/>
    <w:rsid w:val="00744295"/>
    <w:rsid w:val="007442B6"/>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311"/>
    <w:rsid w:val="007515BE"/>
    <w:rsid w:val="0075161A"/>
    <w:rsid w:val="00751695"/>
    <w:rsid w:val="00751BEF"/>
    <w:rsid w:val="00751F9F"/>
    <w:rsid w:val="00752031"/>
    <w:rsid w:val="007520B4"/>
    <w:rsid w:val="0075218F"/>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3E80"/>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043"/>
    <w:rsid w:val="007612CA"/>
    <w:rsid w:val="00761924"/>
    <w:rsid w:val="00761A15"/>
    <w:rsid w:val="00761A4D"/>
    <w:rsid w:val="00761ADD"/>
    <w:rsid w:val="00761DFA"/>
    <w:rsid w:val="00761E2D"/>
    <w:rsid w:val="00761EA7"/>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51ED"/>
    <w:rsid w:val="007651FA"/>
    <w:rsid w:val="0076543B"/>
    <w:rsid w:val="00765567"/>
    <w:rsid w:val="00765A17"/>
    <w:rsid w:val="00765C2F"/>
    <w:rsid w:val="00765C34"/>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67D70"/>
    <w:rsid w:val="0077016F"/>
    <w:rsid w:val="00770319"/>
    <w:rsid w:val="00770725"/>
    <w:rsid w:val="0077084B"/>
    <w:rsid w:val="007708BE"/>
    <w:rsid w:val="00770927"/>
    <w:rsid w:val="00770AC4"/>
    <w:rsid w:val="00770BC7"/>
    <w:rsid w:val="00770CBA"/>
    <w:rsid w:val="00770F07"/>
    <w:rsid w:val="00770FA9"/>
    <w:rsid w:val="007712FD"/>
    <w:rsid w:val="00771332"/>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4D27"/>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533"/>
    <w:rsid w:val="0078291C"/>
    <w:rsid w:val="0078296E"/>
    <w:rsid w:val="00782B9E"/>
    <w:rsid w:val="00782DA3"/>
    <w:rsid w:val="00782F60"/>
    <w:rsid w:val="00782FD8"/>
    <w:rsid w:val="00783091"/>
    <w:rsid w:val="007831A8"/>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DBD"/>
    <w:rsid w:val="00784F26"/>
    <w:rsid w:val="00784F60"/>
    <w:rsid w:val="0078509D"/>
    <w:rsid w:val="00785759"/>
    <w:rsid w:val="00785B54"/>
    <w:rsid w:val="00785CDC"/>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87F64"/>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785"/>
    <w:rsid w:val="007948BF"/>
    <w:rsid w:val="00794928"/>
    <w:rsid w:val="00794A1C"/>
    <w:rsid w:val="00794AB9"/>
    <w:rsid w:val="00794B55"/>
    <w:rsid w:val="00794CC0"/>
    <w:rsid w:val="00794E05"/>
    <w:rsid w:val="00795104"/>
    <w:rsid w:val="007953DE"/>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0D"/>
    <w:rsid w:val="00797C4B"/>
    <w:rsid w:val="00797DF7"/>
    <w:rsid w:val="007A019B"/>
    <w:rsid w:val="007A0367"/>
    <w:rsid w:val="007A04BC"/>
    <w:rsid w:val="007A0599"/>
    <w:rsid w:val="007A082D"/>
    <w:rsid w:val="007A08DE"/>
    <w:rsid w:val="007A0D87"/>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4F83"/>
    <w:rsid w:val="007A509A"/>
    <w:rsid w:val="007A5387"/>
    <w:rsid w:val="007A53D1"/>
    <w:rsid w:val="007A54A3"/>
    <w:rsid w:val="007A55CA"/>
    <w:rsid w:val="007A5BC9"/>
    <w:rsid w:val="007A5C27"/>
    <w:rsid w:val="007A5C5C"/>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336"/>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418"/>
    <w:rsid w:val="007C28BA"/>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6F3"/>
    <w:rsid w:val="007D480B"/>
    <w:rsid w:val="007D4867"/>
    <w:rsid w:val="007D48A9"/>
    <w:rsid w:val="007D492B"/>
    <w:rsid w:val="007D4983"/>
    <w:rsid w:val="007D4B5C"/>
    <w:rsid w:val="007D4D44"/>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3A3"/>
    <w:rsid w:val="007E1435"/>
    <w:rsid w:val="007E14CF"/>
    <w:rsid w:val="007E1531"/>
    <w:rsid w:val="007E15CA"/>
    <w:rsid w:val="007E167C"/>
    <w:rsid w:val="007E16CF"/>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1B9"/>
    <w:rsid w:val="007E4740"/>
    <w:rsid w:val="007E4760"/>
    <w:rsid w:val="007E4853"/>
    <w:rsid w:val="007E4AAA"/>
    <w:rsid w:val="007E4F14"/>
    <w:rsid w:val="007E5284"/>
    <w:rsid w:val="007E53A0"/>
    <w:rsid w:val="007E5A79"/>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7FF"/>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AD7"/>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973"/>
    <w:rsid w:val="00811A93"/>
    <w:rsid w:val="00811B29"/>
    <w:rsid w:val="00811B91"/>
    <w:rsid w:val="00812051"/>
    <w:rsid w:val="0081214D"/>
    <w:rsid w:val="0081276C"/>
    <w:rsid w:val="00812D05"/>
    <w:rsid w:val="00812E97"/>
    <w:rsid w:val="00813005"/>
    <w:rsid w:val="008133C1"/>
    <w:rsid w:val="008135FE"/>
    <w:rsid w:val="00813756"/>
    <w:rsid w:val="00813B60"/>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C26"/>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09"/>
    <w:rsid w:val="0082174C"/>
    <w:rsid w:val="00821753"/>
    <w:rsid w:val="008218B4"/>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0DB"/>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A2B"/>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45D"/>
    <w:rsid w:val="008337A3"/>
    <w:rsid w:val="0083395D"/>
    <w:rsid w:val="00834971"/>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6D7"/>
    <w:rsid w:val="00847A58"/>
    <w:rsid w:val="00847A69"/>
    <w:rsid w:val="00847C9C"/>
    <w:rsid w:val="00847F1F"/>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EA6"/>
    <w:rsid w:val="00852F47"/>
    <w:rsid w:val="00852F9A"/>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1F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383"/>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3E07"/>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124"/>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A2"/>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C0E"/>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29"/>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7E4"/>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2B9"/>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FAB"/>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09"/>
    <w:rsid w:val="00895161"/>
    <w:rsid w:val="008952ED"/>
    <w:rsid w:val="00895506"/>
    <w:rsid w:val="008955B1"/>
    <w:rsid w:val="00895B87"/>
    <w:rsid w:val="00896127"/>
    <w:rsid w:val="00896206"/>
    <w:rsid w:val="008968C2"/>
    <w:rsid w:val="00896BFE"/>
    <w:rsid w:val="00896C9E"/>
    <w:rsid w:val="00896D12"/>
    <w:rsid w:val="008972B0"/>
    <w:rsid w:val="0089762D"/>
    <w:rsid w:val="008978F0"/>
    <w:rsid w:val="008979A2"/>
    <w:rsid w:val="00897AFE"/>
    <w:rsid w:val="00897CD7"/>
    <w:rsid w:val="00897DA2"/>
    <w:rsid w:val="008A0463"/>
    <w:rsid w:val="008A069D"/>
    <w:rsid w:val="008A0767"/>
    <w:rsid w:val="008A0B3C"/>
    <w:rsid w:val="008A0F40"/>
    <w:rsid w:val="008A154C"/>
    <w:rsid w:val="008A198E"/>
    <w:rsid w:val="008A1BAB"/>
    <w:rsid w:val="008A1E23"/>
    <w:rsid w:val="008A222B"/>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CE8"/>
    <w:rsid w:val="008A5EC5"/>
    <w:rsid w:val="008A5ED2"/>
    <w:rsid w:val="008A5F93"/>
    <w:rsid w:val="008A60B6"/>
    <w:rsid w:val="008A613D"/>
    <w:rsid w:val="008A632B"/>
    <w:rsid w:val="008A66CE"/>
    <w:rsid w:val="008A6703"/>
    <w:rsid w:val="008A678E"/>
    <w:rsid w:val="008A6B15"/>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3FA1"/>
    <w:rsid w:val="008B400F"/>
    <w:rsid w:val="008B4139"/>
    <w:rsid w:val="008B41F0"/>
    <w:rsid w:val="008B42B2"/>
    <w:rsid w:val="008B44EB"/>
    <w:rsid w:val="008B4566"/>
    <w:rsid w:val="008B482A"/>
    <w:rsid w:val="008B49B0"/>
    <w:rsid w:val="008B4A8E"/>
    <w:rsid w:val="008B4C73"/>
    <w:rsid w:val="008B4DD3"/>
    <w:rsid w:val="008B4E26"/>
    <w:rsid w:val="008B4E67"/>
    <w:rsid w:val="008B4F19"/>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C38"/>
    <w:rsid w:val="008C2D87"/>
    <w:rsid w:val="008C2E0B"/>
    <w:rsid w:val="008C30E5"/>
    <w:rsid w:val="008C31AA"/>
    <w:rsid w:val="008C3214"/>
    <w:rsid w:val="008C352A"/>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048"/>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A44"/>
    <w:rsid w:val="008D7BAB"/>
    <w:rsid w:val="008D7C62"/>
    <w:rsid w:val="008D7D28"/>
    <w:rsid w:val="008E051C"/>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4D3"/>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4EC7"/>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2C8"/>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B5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F9E"/>
    <w:rsid w:val="0092726F"/>
    <w:rsid w:val="00927294"/>
    <w:rsid w:val="009273E6"/>
    <w:rsid w:val="009276BC"/>
    <w:rsid w:val="009278D9"/>
    <w:rsid w:val="00927A66"/>
    <w:rsid w:val="00927A88"/>
    <w:rsid w:val="00927B31"/>
    <w:rsid w:val="00927C90"/>
    <w:rsid w:val="00927D1E"/>
    <w:rsid w:val="0093025C"/>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37C79"/>
    <w:rsid w:val="009401D0"/>
    <w:rsid w:val="009403C7"/>
    <w:rsid w:val="009404F9"/>
    <w:rsid w:val="009408EC"/>
    <w:rsid w:val="00940AEC"/>
    <w:rsid w:val="00940B98"/>
    <w:rsid w:val="00940BB6"/>
    <w:rsid w:val="00940BF4"/>
    <w:rsid w:val="00940C98"/>
    <w:rsid w:val="00940E8E"/>
    <w:rsid w:val="00941040"/>
    <w:rsid w:val="00941120"/>
    <w:rsid w:val="0094119E"/>
    <w:rsid w:val="009414F8"/>
    <w:rsid w:val="00941540"/>
    <w:rsid w:val="00941581"/>
    <w:rsid w:val="00941795"/>
    <w:rsid w:val="00941BB2"/>
    <w:rsid w:val="00942284"/>
    <w:rsid w:val="009425D3"/>
    <w:rsid w:val="009426FB"/>
    <w:rsid w:val="009427D6"/>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0D66"/>
    <w:rsid w:val="00951531"/>
    <w:rsid w:val="00951758"/>
    <w:rsid w:val="009517B8"/>
    <w:rsid w:val="009519F3"/>
    <w:rsid w:val="00951D82"/>
    <w:rsid w:val="00951DE6"/>
    <w:rsid w:val="00951FEE"/>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502C"/>
    <w:rsid w:val="00955C13"/>
    <w:rsid w:val="00955DA2"/>
    <w:rsid w:val="00956060"/>
    <w:rsid w:val="009561D9"/>
    <w:rsid w:val="0095632F"/>
    <w:rsid w:val="0095634D"/>
    <w:rsid w:val="00956636"/>
    <w:rsid w:val="0095682E"/>
    <w:rsid w:val="00956DAB"/>
    <w:rsid w:val="009576B3"/>
    <w:rsid w:val="00957747"/>
    <w:rsid w:val="009578F0"/>
    <w:rsid w:val="00957AE1"/>
    <w:rsid w:val="00957C00"/>
    <w:rsid w:val="00957C4E"/>
    <w:rsid w:val="00957CB5"/>
    <w:rsid w:val="009606E9"/>
    <w:rsid w:val="00960981"/>
    <w:rsid w:val="009609D0"/>
    <w:rsid w:val="00960C9C"/>
    <w:rsid w:val="00960E19"/>
    <w:rsid w:val="00960E79"/>
    <w:rsid w:val="00960E85"/>
    <w:rsid w:val="00960EF2"/>
    <w:rsid w:val="00960F82"/>
    <w:rsid w:val="0096109A"/>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077"/>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43C"/>
    <w:rsid w:val="00981D34"/>
    <w:rsid w:val="00981DCC"/>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0C8"/>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CF7"/>
    <w:rsid w:val="00994D2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862"/>
    <w:rsid w:val="009969CA"/>
    <w:rsid w:val="00997297"/>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96E"/>
    <w:rsid w:val="009A4BFB"/>
    <w:rsid w:val="009A4C5A"/>
    <w:rsid w:val="009A4D1D"/>
    <w:rsid w:val="009A5244"/>
    <w:rsid w:val="009A534F"/>
    <w:rsid w:val="009A5429"/>
    <w:rsid w:val="009A5677"/>
    <w:rsid w:val="009A585D"/>
    <w:rsid w:val="009A5918"/>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09D"/>
    <w:rsid w:val="009B33F8"/>
    <w:rsid w:val="009B3411"/>
    <w:rsid w:val="009B34DF"/>
    <w:rsid w:val="009B36DD"/>
    <w:rsid w:val="009B394B"/>
    <w:rsid w:val="009B3983"/>
    <w:rsid w:val="009B3A11"/>
    <w:rsid w:val="009B3F50"/>
    <w:rsid w:val="009B3F9B"/>
    <w:rsid w:val="009B4164"/>
    <w:rsid w:val="009B42A4"/>
    <w:rsid w:val="009B4319"/>
    <w:rsid w:val="009B43D2"/>
    <w:rsid w:val="009B4676"/>
    <w:rsid w:val="009B477C"/>
    <w:rsid w:val="009B485A"/>
    <w:rsid w:val="009B4C98"/>
    <w:rsid w:val="009B4D64"/>
    <w:rsid w:val="009B4DD2"/>
    <w:rsid w:val="009B4E95"/>
    <w:rsid w:val="009B4F18"/>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D4D"/>
    <w:rsid w:val="009C004B"/>
    <w:rsid w:val="009C02F4"/>
    <w:rsid w:val="009C0529"/>
    <w:rsid w:val="009C08FE"/>
    <w:rsid w:val="009C0B37"/>
    <w:rsid w:val="009C0E08"/>
    <w:rsid w:val="009C113D"/>
    <w:rsid w:val="009C11C0"/>
    <w:rsid w:val="009C15F0"/>
    <w:rsid w:val="009C16A5"/>
    <w:rsid w:val="009C1993"/>
    <w:rsid w:val="009C199B"/>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92B"/>
    <w:rsid w:val="009C6CAF"/>
    <w:rsid w:val="009C6CBB"/>
    <w:rsid w:val="009C6EF6"/>
    <w:rsid w:val="009C6F46"/>
    <w:rsid w:val="009C71EE"/>
    <w:rsid w:val="009C72A1"/>
    <w:rsid w:val="009C72D8"/>
    <w:rsid w:val="009C72E6"/>
    <w:rsid w:val="009C75A3"/>
    <w:rsid w:val="009C79C5"/>
    <w:rsid w:val="009C7C37"/>
    <w:rsid w:val="009D0003"/>
    <w:rsid w:val="009D0287"/>
    <w:rsid w:val="009D03DF"/>
    <w:rsid w:val="009D0423"/>
    <w:rsid w:val="009D0542"/>
    <w:rsid w:val="009D06BF"/>
    <w:rsid w:val="009D08D0"/>
    <w:rsid w:val="009D0CCB"/>
    <w:rsid w:val="009D0CFE"/>
    <w:rsid w:val="009D0D6B"/>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AC5"/>
    <w:rsid w:val="009D5C39"/>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9EF"/>
    <w:rsid w:val="009E1AC7"/>
    <w:rsid w:val="009E1ACA"/>
    <w:rsid w:val="009E1B56"/>
    <w:rsid w:val="009E1DFD"/>
    <w:rsid w:val="009E1E0B"/>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B04"/>
    <w:rsid w:val="009E5C9C"/>
    <w:rsid w:val="009E5E80"/>
    <w:rsid w:val="009E5E96"/>
    <w:rsid w:val="009E5EDD"/>
    <w:rsid w:val="009E6204"/>
    <w:rsid w:val="009E634C"/>
    <w:rsid w:val="009E63CD"/>
    <w:rsid w:val="009E6783"/>
    <w:rsid w:val="009E688E"/>
    <w:rsid w:val="009E69D7"/>
    <w:rsid w:val="009E6A01"/>
    <w:rsid w:val="009E6A7A"/>
    <w:rsid w:val="009E6A9C"/>
    <w:rsid w:val="009E6B2A"/>
    <w:rsid w:val="009E6C6E"/>
    <w:rsid w:val="009E6F1A"/>
    <w:rsid w:val="009E7A72"/>
    <w:rsid w:val="009E7EC0"/>
    <w:rsid w:val="009E7F9D"/>
    <w:rsid w:val="009F0011"/>
    <w:rsid w:val="009F062E"/>
    <w:rsid w:val="009F066D"/>
    <w:rsid w:val="009F06A9"/>
    <w:rsid w:val="009F0D6F"/>
    <w:rsid w:val="009F0FFD"/>
    <w:rsid w:val="009F12FF"/>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5F0"/>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825"/>
    <w:rsid w:val="009F6847"/>
    <w:rsid w:val="009F6B7C"/>
    <w:rsid w:val="009F6C9A"/>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C00"/>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B17"/>
    <w:rsid w:val="00A12F49"/>
    <w:rsid w:val="00A12FA4"/>
    <w:rsid w:val="00A131A5"/>
    <w:rsid w:val="00A132A9"/>
    <w:rsid w:val="00A132EA"/>
    <w:rsid w:val="00A132F6"/>
    <w:rsid w:val="00A1361A"/>
    <w:rsid w:val="00A13CC8"/>
    <w:rsid w:val="00A14112"/>
    <w:rsid w:val="00A14113"/>
    <w:rsid w:val="00A14120"/>
    <w:rsid w:val="00A1416C"/>
    <w:rsid w:val="00A1424A"/>
    <w:rsid w:val="00A1427A"/>
    <w:rsid w:val="00A14595"/>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E0E"/>
    <w:rsid w:val="00A35FA3"/>
    <w:rsid w:val="00A36296"/>
    <w:rsid w:val="00A3642D"/>
    <w:rsid w:val="00A364E1"/>
    <w:rsid w:val="00A36633"/>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566"/>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0E0"/>
    <w:rsid w:val="00A452EA"/>
    <w:rsid w:val="00A453E8"/>
    <w:rsid w:val="00A45516"/>
    <w:rsid w:val="00A45549"/>
    <w:rsid w:val="00A45848"/>
    <w:rsid w:val="00A45B3C"/>
    <w:rsid w:val="00A45C14"/>
    <w:rsid w:val="00A45CA8"/>
    <w:rsid w:val="00A45CE0"/>
    <w:rsid w:val="00A46144"/>
    <w:rsid w:val="00A4616A"/>
    <w:rsid w:val="00A4644B"/>
    <w:rsid w:val="00A46623"/>
    <w:rsid w:val="00A46754"/>
    <w:rsid w:val="00A46E9B"/>
    <w:rsid w:val="00A46EDD"/>
    <w:rsid w:val="00A47495"/>
    <w:rsid w:val="00A474D3"/>
    <w:rsid w:val="00A47686"/>
    <w:rsid w:val="00A476AE"/>
    <w:rsid w:val="00A479DC"/>
    <w:rsid w:val="00A47A11"/>
    <w:rsid w:val="00A47B20"/>
    <w:rsid w:val="00A47B50"/>
    <w:rsid w:val="00A5018B"/>
    <w:rsid w:val="00A50442"/>
    <w:rsid w:val="00A5083B"/>
    <w:rsid w:val="00A50851"/>
    <w:rsid w:val="00A50974"/>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32"/>
    <w:rsid w:val="00A602E2"/>
    <w:rsid w:val="00A603E3"/>
    <w:rsid w:val="00A606DD"/>
    <w:rsid w:val="00A60707"/>
    <w:rsid w:val="00A608BC"/>
    <w:rsid w:val="00A608F4"/>
    <w:rsid w:val="00A60920"/>
    <w:rsid w:val="00A60AB1"/>
    <w:rsid w:val="00A60ACC"/>
    <w:rsid w:val="00A60D21"/>
    <w:rsid w:val="00A60FAF"/>
    <w:rsid w:val="00A610FF"/>
    <w:rsid w:val="00A6140E"/>
    <w:rsid w:val="00A61ACE"/>
    <w:rsid w:val="00A61D2A"/>
    <w:rsid w:val="00A61E85"/>
    <w:rsid w:val="00A6211A"/>
    <w:rsid w:val="00A621A1"/>
    <w:rsid w:val="00A6223A"/>
    <w:rsid w:val="00A62341"/>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46D"/>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9D0"/>
    <w:rsid w:val="00A72B08"/>
    <w:rsid w:val="00A72E25"/>
    <w:rsid w:val="00A72FA9"/>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453"/>
    <w:rsid w:val="00A8269C"/>
    <w:rsid w:val="00A82719"/>
    <w:rsid w:val="00A82A0F"/>
    <w:rsid w:val="00A82AB3"/>
    <w:rsid w:val="00A82B11"/>
    <w:rsid w:val="00A82B66"/>
    <w:rsid w:val="00A82C21"/>
    <w:rsid w:val="00A82F1D"/>
    <w:rsid w:val="00A83679"/>
    <w:rsid w:val="00A83CDD"/>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2347"/>
    <w:rsid w:val="00A9237A"/>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289"/>
    <w:rsid w:val="00A964D6"/>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6C8"/>
    <w:rsid w:val="00AA0746"/>
    <w:rsid w:val="00AA089A"/>
    <w:rsid w:val="00AA09A4"/>
    <w:rsid w:val="00AA09A7"/>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36"/>
    <w:rsid w:val="00AA54CD"/>
    <w:rsid w:val="00AA5555"/>
    <w:rsid w:val="00AA5760"/>
    <w:rsid w:val="00AA5B08"/>
    <w:rsid w:val="00AA5C8A"/>
    <w:rsid w:val="00AA5CD0"/>
    <w:rsid w:val="00AA6193"/>
    <w:rsid w:val="00AA6619"/>
    <w:rsid w:val="00AA6802"/>
    <w:rsid w:val="00AA6883"/>
    <w:rsid w:val="00AA6A4A"/>
    <w:rsid w:val="00AA6A50"/>
    <w:rsid w:val="00AA6BDE"/>
    <w:rsid w:val="00AA6F9F"/>
    <w:rsid w:val="00AA7001"/>
    <w:rsid w:val="00AA7011"/>
    <w:rsid w:val="00AA7191"/>
    <w:rsid w:val="00AA72DA"/>
    <w:rsid w:val="00AA7944"/>
    <w:rsid w:val="00AA7B1B"/>
    <w:rsid w:val="00AA7BC6"/>
    <w:rsid w:val="00AB01F4"/>
    <w:rsid w:val="00AB02E6"/>
    <w:rsid w:val="00AB05B1"/>
    <w:rsid w:val="00AB0645"/>
    <w:rsid w:val="00AB078F"/>
    <w:rsid w:val="00AB0869"/>
    <w:rsid w:val="00AB0990"/>
    <w:rsid w:val="00AB0A9D"/>
    <w:rsid w:val="00AB0B8A"/>
    <w:rsid w:val="00AB1678"/>
    <w:rsid w:val="00AB16D4"/>
    <w:rsid w:val="00AB1FCB"/>
    <w:rsid w:val="00AB26B5"/>
    <w:rsid w:val="00AB2C8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993"/>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89"/>
    <w:rsid w:val="00AC2F2D"/>
    <w:rsid w:val="00AC31D1"/>
    <w:rsid w:val="00AC33F1"/>
    <w:rsid w:val="00AC3717"/>
    <w:rsid w:val="00AC39D0"/>
    <w:rsid w:val="00AC3A68"/>
    <w:rsid w:val="00AC3FBF"/>
    <w:rsid w:val="00AC4C08"/>
    <w:rsid w:val="00AC511C"/>
    <w:rsid w:val="00AC5357"/>
    <w:rsid w:val="00AC566A"/>
    <w:rsid w:val="00AC5DDE"/>
    <w:rsid w:val="00AC5F08"/>
    <w:rsid w:val="00AC614A"/>
    <w:rsid w:val="00AC62F8"/>
    <w:rsid w:val="00AC64A3"/>
    <w:rsid w:val="00AC64F4"/>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C8D"/>
    <w:rsid w:val="00AD2D43"/>
    <w:rsid w:val="00AD34AA"/>
    <w:rsid w:val="00AD351F"/>
    <w:rsid w:val="00AD36DC"/>
    <w:rsid w:val="00AD38E1"/>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A5A"/>
    <w:rsid w:val="00AF1CF7"/>
    <w:rsid w:val="00AF1EB2"/>
    <w:rsid w:val="00AF2164"/>
    <w:rsid w:val="00AF2325"/>
    <w:rsid w:val="00AF23C9"/>
    <w:rsid w:val="00AF2572"/>
    <w:rsid w:val="00AF276D"/>
    <w:rsid w:val="00AF284F"/>
    <w:rsid w:val="00AF2F95"/>
    <w:rsid w:val="00AF32EB"/>
    <w:rsid w:val="00AF333E"/>
    <w:rsid w:val="00AF37FA"/>
    <w:rsid w:val="00AF38B9"/>
    <w:rsid w:val="00AF38BE"/>
    <w:rsid w:val="00AF3928"/>
    <w:rsid w:val="00AF3B06"/>
    <w:rsid w:val="00AF3D18"/>
    <w:rsid w:val="00AF40A0"/>
    <w:rsid w:val="00AF44F8"/>
    <w:rsid w:val="00AF4514"/>
    <w:rsid w:val="00AF46C4"/>
    <w:rsid w:val="00AF46C7"/>
    <w:rsid w:val="00AF4717"/>
    <w:rsid w:val="00AF4956"/>
    <w:rsid w:val="00AF5135"/>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409"/>
    <w:rsid w:val="00AF7535"/>
    <w:rsid w:val="00AF78D4"/>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8D2"/>
    <w:rsid w:val="00B059E5"/>
    <w:rsid w:val="00B05CA0"/>
    <w:rsid w:val="00B05CE8"/>
    <w:rsid w:val="00B0601D"/>
    <w:rsid w:val="00B063D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60"/>
    <w:rsid w:val="00B11A88"/>
    <w:rsid w:val="00B11CB2"/>
    <w:rsid w:val="00B11DB8"/>
    <w:rsid w:val="00B1246F"/>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2C7"/>
    <w:rsid w:val="00B23827"/>
    <w:rsid w:val="00B23932"/>
    <w:rsid w:val="00B23A41"/>
    <w:rsid w:val="00B23B32"/>
    <w:rsid w:val="00B23D98"/>
    <w:rsid w:val="00B23DCC"/>
    <w:rsid w:val="00B23F89"/>
    <w:rsid w:val="00B2413F"/>
    <w:rsid w:val="00B246A8"/>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0EB4"/>
    <w:rsid w:val="00B31025"/>
    <w:rsid w:val="00B31204"/>
    <w:rsid w:val="00B314AB"/>
    <w:rsid w:val="00B31566"/>
    <w:rsid w:val="00B31581"/>
    <w:rsid w:val="00B31982"/>
    <w:rsid w:val="00B31A2B"/>
    <w:rsid w:val="00B31A5C"/>
    <w:rsid w:val="00B31FDF"/>
    <w:rsid w:val="00B3227B"/>
    <w:rsid w:val="00B3235B"/>
    <w:rsid w:val="00B3261B"/>
    <w:rsid w:val="00B3269A"/>
    <w:rsid w:val="00B32BB0"/>
    <w:rsid w:val="00B32F7B"/>
    <w:rsid w:val="00B33185"/>
    <w:rsid w:val="00B33196"/>
    <w:rsid w:val="00B331B4"/>
    <w:rsid w:val="00B3334F"/>
    <w:rsid w:val="00B333C6"/>
    <w:rsid w:val="00B33FC3"/>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733A"/>
    <w:rsid w:val="00B373A4"/>
    <w:rsid w:val="00B373B1"/>
    <w:rsid w:val="00B3763C"/>
    <w:rsid w:val="00B37640"/>
    <w:rsid w:val="00B37769"/>
    <w:rsid w:val="00B378BB"/>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6F93"/>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62C"/>
    <w:rsid w:val="00B517F8"/>
    <w:rsid w:val="00B5183F"/>
    <w:rsid w:val="00B51979"/>
    <w:rsid w:val="00B51A65"/>
    <w:rsid w:val="00B51A6A"/>
    <w:rsid w:val="00B51DBB"/>
    <w:rsid w:val="00B51FF2"/>
    <w:rsid w:val="00B521D0"/>
    <w:rsid w:val="00B5233E"/>
    <w:rsid w:val="00B52520"/>
    <w:rsid w:val="00B52684"/>
    <w:rsid w:val="00B528F3"/>
    <w:rsid w:val="00B52A02"/>
    <w:rsid w:val="00B52B36"/>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A5C"/>
    <w:rsid w:val="00B57C76"/>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256"/>
    <w:rsid w:val="00B6733A"/>
    <w:rsid w:val="00B6766B"/>
    <w:rsid w:val="00B67681"/>
    <w:rsid w:val="00B67741"/>
    <w:rsid w:val="00B6789A"/>
    <w:rsid w:val="00B67FAD"/>
    <w:rsid w:val="00B7022A"/>
    <w:rsid w:val="00B7048E"/>
    <w:rsid w:val="00B705FC"/>
    <w:rsid w:val="00B70771"/>
    <w:rsid w:val="00B709B3"/>
    <w:rsid w:val="00B71188"/>
    <w:rsid w:val="00B71267"/>
    <w:rsid w:val="00B714AC"/>
    <w:rsid w:val="00B7153E"/>
    <w:rsid w:val="00B716A9"/>
    <w:rsid w:val="00B716AC"/>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B3F"/>
    <w:rsid w:val="00B82D59"/>
    <w:rsid w:val="00B82DCD"/>
    <w:rsid w:val="00B831ED"/>
    <w:rsid w:val="00B83334"/>
    <w:rsid w:val="00B83433"/>
    <w:rsid w:val="00B8349C"/>
    <w:rsid w:val="00B834D2"/>
    <w:rsid w:val="00B8357B"/>
    <w:rsid w:val="00B83696"/>
    <w:rsid w:val="00B83CAA"/>
    <w:rsid w:val="00B83D84"/>
    <w:rsid w:val="00B840CD"/>
    <w:rsid w:val="00B842F9"/>
    <w:rsid w:val="00B8443F"/>
    <w:rsid w:val="00B844A4"/>
    <w:rsid w:val="00B844AA"/>
    <w:rsid w:val="00B8453F"/>
    <w:rsid w:val="00B845D5"/>
    <w:rsid w:val="00B84609"/>
    <w:rsid w:val="00B84936"/>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270"/>
    <w:rsid w:val="00B87385"/>
    <w:rsid w:val="00B879AB"/>
    <w:rsid w:val="00B87DBE"/>
    <w:rsid w:val="00B87EEE"/>
    <w:rsid w:val="00B87EF2"/>
    <w:rsid w:val="00B900E9"/>
    <w:rsid w:val="00B9012D"/>
    <w:rsid w:val="00B903BB"/>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09B"/>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201"/>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C9"/>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D3F"/>
    <w:rsid w:val="00BC3E8D"/>
    <w:rsid w:val="00BC41B4"/>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5ED0"/>
    <w:rsid w:val="00BC6135"/>
    <w:rsid w:val="00BC61AA"/>
    <w:rsid w:val="00BC6262"/>
    <w:rsid w:val="00BC6628"/>
    <w:rsid w:val="00BC66A1"/>
    <w:rsid w:val="00BC66A9"/>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74"/>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E4B"/>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57F"/>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AC9"/>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702"/>
    <w:rsid w:val="00BF579F"/>
    <w:rsid w:val="00BF581D"/>
    <w:rsid w:val="00BF592D"/>
    <w:rsid w:val="00BF59D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A89"/>
    <w:rsid w:val="00C02B39"/>
    <w:rsid w:val="00C02B4F"/>
    <w:rsid w:val="00C02DE3"/>
    <w:rsid w:val="00C02ECB"/>
    <w:rsid w:val="00C02FE1"/>
    <w:rsid w:val="00C03012"/>
    <w:rsid w:val="00C036E8"/>
    <w:rsid w:val="00C0371A"/>
    <w:rsid w:val="00C0373D"/>
    <w:rsid w:val="00C03C0F"/>
    <w:rsid w:val="00C03DA6"/>
    <w:rsid w:val="00C03EA6"/>
    <w:rsid w:val="00C03FFD"/>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48"/>
    <w:rsid w:val="00C157A3"/>
    <w:rsid w:val="00C15828"/>
    <w:rsid w:val="00C15B14"/>
    <w:rsid w:val="00C15D1E"/>
    <w:rsid w:val="00C15F1E"/>
    <w:rsid w:val="00C16276"/>
    <w:rsid w:val="00C1649C"/>
    <w:rsid w:val="00C16745"/>
    <w:rsid w:val="00C16AAA"/>
    <w:rsid w:val="00C16CBF"/>
    <w:rsid w:val="00C176E9"/>
    <w:rsid w:val="00C178AC"/>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9E2"/>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6F9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D9"/>
    <w:rsid w:val="00C31501"/>
    <w:rsid w:val="00C315AB"/>
    <w:rsid w:val="00C316DD"/>
    <w:rsid w:val="00C31B05"/>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E4"/>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137"/>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04A"/>
    <w:rsid w:val="00C56708"/>
    <w:rsid w:val="00C56779"/>
    <w:rsid w:val="00C5683B"/>
    <w:rsid w:val="00C56842"/>
    <w:rsid w:val="00C56861"/>
    <w:rsid w:val="00C568F7"/>
    <w:rsid w:val="00C56901"/>
    <w:rsid w:val="00C56E1F"/>
    <w:rsid w:val="00C5707C"/>
    <w:rsid w:val="00C572B3"/>
    <w:rsid w:val="00C57632"/>
    <w:rsid w:val="00C576D9"/>
    <w:rsid w:val="00C5776B"/>
    <w:rsid w:val="00C57BE1"/>
    <w:rsid w:val="00C57F1F"/>
    <w:rsid w:val="00C60013"/>
    <w:rsid w:val="00C60015"/>
    <w:rsid w:val="00C60042"/>
    <w:rsid w:val="00C6091C"/>
    <w:rsid w:val="00C60E2E"/>
    <w:rsid w:val="00C610D2"/>
    <w:rsid w:val="00C61270"/>
    <w:rsid w:val="00C613AB"/>
    <w:rsid w:val="00C6144E"/>
    <w:rsid w:val="00C618C7"/>
    <w:rsid w:val="00C61CEA"/>
    <w:rsid w:val="00C61F29"/>
    <w:rsid w:val="00C61FD1"/>
    <w:rsid w:val="00C62015"/>
    <w:rsid w:val="00C62710"/>
    <w:rsid w:val="00C62C6C"/>
    <w:rsid w:val="00C63336"/>
    <w:rsid w:val="00C63370"/>
    <w:rsid w:val="00C636BA"/>
    <w:rsid w:val="00C638E0"/>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DD"/>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A05"/>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9F5"/>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38"/>
    <w:rsid w:val="00C850A4"/>
    <w:rsid w:val="00C85567"/>
    <w:rsid w:val="00C85753"/>
    <w:rsid w:val="00C85814"/>
    <w:rsid w:val="00C85816"/>
    <w:rsid w:val="00C85A0A"/>
    <w:rsid w:val="00C85D43"/>
    <w:rsid w:val="00C85FD2"/>
    <w:rsid w:val="00C85FD9"/>
    <w:rsid w:val="00C8609E"/>
    <w:rsid w:val="00C860A9"/>
    <w:rsid w:val="00C86277"/>
    <w:rsid w:val="00C862C8"/>
    <w:rsid w:val="00C8665D"/>
    <w:rsid w:val="00C8675E"/>
    <w:rsid w:val="00C86873"/>
    <w:rsid w:val="00C86BAA"/>
    <w:rsid w:val="00C86BFF"/>
    <w:rsid w:val="00C87057"/>
    <w:rsid w:val="00C8716C"/>
    <w:rsid w:val="00C87269"/>
    <w:rsid w:val="00C8731E"/>
    <w:rsid w:val="00C87449"/>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CD0"/>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9"/>
    <w:rsid w:val="00C9563E"/>
    <w:rsid w:val="00C95736"/>
    <w:rsid w:val="00C95A4F"/>
    <w:rsid w:val="00C95CAF"/>
    <w:rsid w:val="00C95DEE"/>
    <w:rsid w:val="00C95FD6"/>
    <w:rsid w:val="00C960C8"/>
    <w:rsid w:val="00C962B9"/>
    <w:rsid w:val="00C96474"/>
    <w:rsid w:val="00C96555"/>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2F0"/>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9B"/>
    <w:rsid w:val="00CB09E4"/>
    <w:rsid w:val="00CB0A99"/>
    <w:rsid w:val="00CB0C7B"/>
    <w:rsid w:val="00CB0C84"/>
    <w:rsid w:val="00CB103B"/>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48D"/>
    <w:rsid w:val="00CB551A"/>
    <w:rsid w:val="00CB565E"/>
    <w:rsid w:val="00CB5661"/>
    <w:rsid w:val="00CB5A2F"/>
    <w:rsid w:val="00CB5AFE"/>
    <w:rsid w:val="00CB5B23"/>
    <w:rsid w:val="00CB5CA0"/>
    <w:rsid w:val="00CB5E12"/>
    <w:rsid w:val="00CB5FBF"/>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5FD0"/>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84B"/>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ACD"/>
    <w:rsid w:val="00CE3BA8"/>
    <w:rsid w:val="00CE3EB5"/>
    <w:rsid w:val="00CE40C0"/>
    <w:rsid w:val="00CE4281"/>
    <w:rsid w:val="00CE42D9"/>
    <w:rsid w:val="00CE4747"/>
    <w:rsid w:val="00CE4793"/>
    <w:rsid w:val="00CE4A80"/>
    <w:rsid w:val="00CE4B35"/>
    <w:rsid w:val="00CE4FB1"/>
    <w:rsid w:val="00CE4FDC"/>
    <w:rsid w:val="00CE504E"/>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292"/>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C7"/>
    <w:rsid w:val="00CF2AE6"/>
    <w:rsid w:val="00CF304C"/>
    <w:rsid w:val="00CF393C"/>
    <w:rsid w:val="00CF39DD"/>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EA"/>
    <w:rsid w:val="00CF60CE"/>
    <w:rsid w:val="00CF635E"/>
    <w:rsid w:val="00CF63C0"/>
    <w:rsid w:val="00CF6443"/>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577"/>
    <w:rsid w:val="00D026AB"/>
    <w:rsid w:val="00D027E7"/>
    <w:rsid w:val="00D02865"/>
    <w:rsid w:val="00D02E63"/>
    <w:rsid w:val="00D02E8D"/>
    <w:rsid w:val="00D02FBF"/>
    <w:rsid w:val="00D03384"/>
    <w:rsid w:val="00D033ED"/>
    <w:rsid w:val="00D036AA"/>
    <w:rsid w:val="00D03C34"/>
    <w:rsid w:val="00D03E4B"/>
    <w:rsid w:val="00D03F84"/>
    <w:rsid w:val="00D044A7"/>
    <w:rsid w:val="00D04958"/>
    <w:rsid w:val="00D04C5A"/>
    <w:rsid w:val="00D04D28"/>
    <w:rsid w:val="00D04E55"/>
    <w:rsid w:val="00D04EA9"/>
    <w:rsid w:val="00D050DA"/>
    <w:rsid w:val="00D054F5"/>
    <w:rsid w:val="00D05A40"/>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DA"/>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1DB"/>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078"/>
    <w:rsid w:val="00D3316C"/>
    <w:rsid w:val="00D332B5"/>
    <w:rsid w:val="00D33541"/>
    <w:rsid w:val="00D33841"/>
    <w:rsid w:val="00D339C0"/>
    <w:rsid w:val="00D33A04"/>
    <w:rsid w:val="00D33A8B"/>
    <w:rsid w:val="00D33C96"/>
    <w:rsid w:val="00D3401F"/>
    <w:rsid w:val="00D341CB"/>
    <w:rsid w:val="00D342A1"/>
    <w:rsid w:val="00D3431B"/>
    <w:rsid w:val="00D34A78"/>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319"/>
    <w:rsid w:val="00D3648B"/>
    <w:rsid w:val="00D36624"/>
    <w:rsid w:val="00D3685B"/>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5D"/>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77B"/>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00"/>
    <w:rsid w:val="00D631D4"/>
    <w:rsid w:val="00D6331E"/>
    <w:rsid w:val="00D63324"/>
    <w:rsid w:val="00D63329"/>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4D3"/>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5E4"/>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77B"/>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3EFC"/>
    <w:rsid w:val="00D841A8"/>
    <w:rsid w:val="00D8469F"/>
    <w:rsid w:val="00D846E7"/>
    <w:rsid w:val="00D8485A"/>
    <w:rsid w:val="00D84AB7"/>
    <w:rsid w:val="00D84B3C"/>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0BA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0351"/>
    <w:rsid w:val="00DA10E1"/>
    <w:rsid w:val="00DA12B1"/>
    <w:rsid w:val="00DA1766"/>
    <w:rsid w:val="00DA19D4"/>
    <w:rsid w:val="00DA1A57"/>
    <w:rsid w:val="00DA1DB2"/>
    <w:rsid w:val="00DA1F46"/>
    <w:rsid w:val="00DA1FA4"/>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93"/>
    <w:rsid w:val="00DA55FB"/>
    <w:rsid w:val="00DA58FB"/>
    <w:rsid w:val="00DA59BE"/>
    <w:rsid w:val="00DA5A6E"/>
    <w:rsid w:val="00DA5D0E"/>
    <w:rsid w:val="00DA5D33"/>
    <w:rsid w:val="00DA5E8D"/>
    <w:rsid w:val="00DA6059"/>
    <w:rsid w:val="00DA651E"/>
    <w:rsid w:val="00DA68E1"/>
    <w:rsid w:val="00DA70A3"/>
    <w:rsid w:val="00DA70D5"/>
    <w:rsid w:val="00DA7130"/>
    <w:rsid w:val="00DA7131"/>
    <w:rsid w:val="00DA714C"/>
    <w:rsid w:val="00DA7247"/>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28B8"/>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4D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B57"/>
    <w:rsid w:val="00DC6CC8"/>
    <w:rsid w:val="00DC6DBC"/>
    <w:rsid w:val="00DC6F41"/>
    <w:rsid w:val="00DC7489"/>
    <w:rsid w:val="00DC7553"/>
    <w:rsid w:val="00DC766F"/>
    <w:rsid w:val="00DC76B5"/>
    <w:rsid w:val="00DC7888"/>
    <w:rsid w:val="00DC78B7"/>
    <w:rsid w:val="00DC7921"/>
    <w:rsid w:val="00DC7ADB"/>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1"/>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B9"/>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4E42"/>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DC"/>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3"/>
    <w:rsid w:val="00E025BE"/>
    <w:rsid w:val="00E0270E"/>
    <w:rsid w:val="00E027C8"/>
    <w:rsid w:val="00E02CFC"/>
    <w:rsid w:val="00E02F7C"/>
    <w:rsid w:val="00E02FDB"/>
    <w:rsid w:val="00E03026"/>
    <w:rsid w:val="00E03260"/>
    <w:rsid w:val="00E035FD"/>
    <w:rsid w:val="00E03865"/>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774"/>
    <w:rsid w:val="00E14C91"/>
    <w:rsid w:val="00E1562D"/>
    <w:rsid w:val="00E1598D"/>
    <w:rsid w:val="00E159AC"/>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0D23"/>
    <w:rsid w:val="00E210A3"/>
    <w:rsid w:val="00E211FB"/>
    <w:rsid w:val="00E21467"/>
    <w:rsid w:val="00E2162E"/>
    <w:rsid w:val="00E219AB"/>
    <w:rsid w:val="00E21B6B"/>
    <w:rsid w:val="00E21BB5"/>
    <w:rsid w:val="00E21D2F"/>
    <w:rsid w:val="00E21DA1"/>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D8F"/>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7F8"/>
    <w:rsid w:val="00E35BB4"/>
    <w:rsid w:val="00E35C74"/>
    <w:rsid w:val="00E35D78"/>
    <w:rsid w:val="00E36081"/>
    <w:rsid w:val="00E36137"/>
    <w:rsid w:val="00E3630E"/>
    <w:rsid w:val="00E363D7"/>
    <w:rsid w:val="00E364A9"/>
    <w:rsid w:val="00E36682"/>
    <w:rsid w:val="00E366B5"/>
    <w:rsid w:val="00E36870"/>
    <w:rsid w:val="00E36894"/>
    <w:rsid w:val="00E37049"/>
    <w:rsid w:val="00E372B6"/>
    <w:rsid w:val="00E3754A"/>
    <w:rsid w:val="00E3754C"/>
    <w:rsid w:val="00E37B1A"/>
    <w:rsid w:val="00E37B6D"/>
    <w:rsid w:val="00E37D0A"/>
    <w:rsid w:val="00E37FD7"/>
    <w:rsid w:val="00E4006C"/>
    <w:rsid w:val="00E400DC"/>
    <w:rsid w:val="00E4011E"/>
    <w:rsid w:val="00E402F8"/>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25C"/>
    <w:rsid w:val="00E43444"/>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AB"/>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41F"/>
    <w:rsid w:val="00E515B5"/>
    <w:rsid w:val="00E51875"/>
    <w:rsid w:val="00E519CC"/>
    <w:rsid w:val="00E51AFA"/>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AB2"/>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093"/>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5E5B"/>
    <w:rsid w:val="00E7608A"/>
    <w:rsid w:val="00E7667C"/>
    <w:rsid w:val="00E769E0"/>
    <w:rsid w:val="00E76A29"/>
    <w:rsid w:val="00E76C58"/>
    <w:rsid w:val="00E77248"/>
    <w:rsid w:val="00E77435"/>
    <w:rsid w:val="00E774EA"/>
    <w:rsid w:val="00E77521"/>
    <w:rsid w:val="00E77601"/>
    <w:rsid w:val="00E776BC"/>
    <w:rsid w:val="00E777D8"/>
    <w:rsid w:val="00E77821"/>
    <w:rsid w:val="00E77AF5"/>
    <w:rsid w:val="00E77D78"/>
    <w:rsid w:val="00E803F4"/>
    <w:rsid w:val="00E80409"/>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D23"/>
    <w:rsid w:val="00E85E24"/>
    <w:rsid w:val="00E86246"/>
    <w:rsid w:val="00E862A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4"/>
    <w:rsid w:val="00E930BF"/>
    <w:rsid w:val="00E93586"/>
    <w:rsid w:val="00E9383F"/>
    <w:rsid w:val="00E93848"/>
    <w:rsid w:val="00E93881"/>
    <w:rsid w:val="00E939BA"/>
    <w:rsid w:val="00E939E2"/>
    <w:rsid w:val="00E93A3F"/>
    <w:rsid w:val="00E93AEA"/>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EBE"/>
    <w:rsid w:val="00EA5F56"/>
    <w:rsid w:val="00EA5F76"/>
    <w:rsid w:val="00EA5FC8"/>
    <w:rsid w:val="00EA6776"/>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46"/>
    <w:rsid w:val="00EB58A0"/>
    <w:rsid w:val="00EB5BD5"/>
    <w:rsid w:val="00EB5EAC"/>
    <w:rsid w:val="00EB61A0"/>
    <w:rsid w:val="00EB6872"/>
    <w:rsid w:val="00EB6CFB"/>
    <w:rsid w:val="00EB6D6E"/>
    <w:rsid w:val="00EB6D94"/>
    <w:rsid w:val="00EB7226"/>
    <w:rsid w:val="00EB74C1"/>
    <w:rsid w:val="00EB75B8"/>
    <w:rsid w:val="00EB770C"/>
    <w:rsid w:val="00EB7891"/>
    <w:rsid w:val="00EB78BC"/>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3DE"/>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70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5D83"/>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90C"/>
    <w:rsid w:val="00EE5B34"/>
    <w:rsid w:val="00EE5BAF"/>
    <w:rsid w:val="00EE6104"/>
    <w:rsid w:val="00EE6500"/>
    <w:rsid w:val="00EE6984"/>
    <w:rsid w:val="00EE69A4"/>
    <w:rsid w:val="00EE6C8E"/>
    <w:rsid w:val="00EE71D1"/>
    <w:rsid w:val="00EE7277"/>
    <w:rsid w:val="00EE7804"/>
    <w:rsid w:val="00EE78C0"/>
    <w:rsid w:val="00EE7A4F"/>
    <w:rsid w:val="00EE7A7D"/>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0D2"/>
    <w:rsid w:val="00F001AC"/>
    <w:rsid w:val="00F003E8"/>
    <w:rsid w:val="00F0058E"/>
    <w:rsid w:val="00F00655"/>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3C"/>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AE1"/>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3DF8"/>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D92"/>
    <w:rsid w:val="00F37E74"/>
    <w:rsid w:val="00F37FF9"/>
    <w:rsid w:val="00F4016F"/>
    <w:rsid w:val="00F402AB"/>
    <w:rsid w:val="00F4056B"/>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10"/>
    <w:rsid w:val="00F42D65"/>
    <w:rsid w:val="00F42F41"/>
    <w:rsid w:val="00F42F6E"/>
    <w:rsid w:val="00F430AE"/>
    <w:rsid w:val="00F432F0"/>
    <w:rsid w:val="00F4344A"/>
    <w:rsid w:val="00F4356D"/>
    <w:rsid w:val="00F43581"/>
    <w:rsid w:val="00F435F9"/>
    <w:rsid w:val="00F43650"/>
    <w:rsid w:val="00F43A56"/>
    <w:rsid w:val="00F44172"/>
    <w:rsid w:val="00F44521"/>
    <w:rsid w:val="00F445DC"/>
    <w:rsid w:val="00F445FB"/>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6FD"/>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3E4"/>
    <w:rsid w:val="00F57583"/>
    <w:rsid w:val="00F57CD5"/>
    <w:rsid w:val="00F57E89"/>
    <w:rsid w:val="00F6014C"/>
    <w:rsid w:val="00F60209"/>
    <w:rsid w:val="00F60475"/>
    <w:rsid w:val="00F607BC"/>
    <w:rsid w:val="00F60920"/>
    <w:rsid w:val="00F60D10"/>
    <w:rsid w:val="00F60D79"/>
    <w:rsid w:val="00F60ECD"/>
    <w:rsid w:val="00F61186"/>
    <w:rsid w:val="00F611F2"/>
    <w:rsid w:val="00F614F4"/>
    <w:rsid w:val="00F6150B"/>
    <w:rsid w:val="00F615A6"/>
    <w:rsid w:val="00F61691"/>
    <w:rsid w:val="00F616B3"/>
    <w:rsid w:val="00F6175B"/>
    <w:rsid w:val="00F61AF7"/>
    <w:rsid w:val="00F61B0D"/>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307"/>
    <w:rsid w:val="00F66ED4"/>
    <w:rsid w:val="00F66FB8"/>
    <w:rsid w:val="00F67256"/>
    <w:rsid w:val="00F674DB"/>
    <w:rsid w:val="00F67590"/>
    <w:rsid w:val="00F6772B"/>
    <w:rsid w:val="00F67A31"/>
    <w:rsid w:val="00F67D86"/>
    <w:rsid w:val="00F67E1F"/>
    <w:rsid w:val="00F67EDB"/>
    <w:rsid w:val="00F702E8"/>
    <w:rsid w:val="00F707E6"/>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1D"/>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38F"/>
    <w:rsid w:val="00F83620"/>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8B7"/>
    <w:rsid w:val="00F878BA"/>
    <w:rsid w:val="00F87B05"/>
    <w:rsid w:val="00F87ED9"/>
    <w:rsid w:val="00F9058D"/>
    <w:rsid w:val="00F9094D"/>
    <w:rsid w:val="00F90952"/>
    <w:rsid w:val="00F90B92"/>
    <w:rsid w:val="00F90D5E"/>
    <w:rsid w:val="00F91315"/>
    <w:rsid w:val="00F914FA"/>
    <w:rsid w:val="00F9159D"/>
    <w:rsid w:val="00F917D3"/>
    <w:rsid w:val="00F918F5"/>
    <w:rsid w:val="00F91A25"/>
    <w:rsid w:val="00F91F72"/>
    <w:rsid w:val="00F923AD"/>
    <w:rsid w:val="00F92A28"/>
    <w:rsid w:val="00F92B4C"/>
    <w:rsid w:val="00F92E24"/>
    <w:rsid w:val="00F934CB"/>
    <w:rsid w:val="00F93541"/>
    <w:rsid w:val="00F9354E"/>
    <w:rsid w:val="00F936A7"/>
    <w:rsid w:val="00F9389D"/>
    <w:rsid w:val="00F939D0"/>
    <w:rsid w:val="00F93BC8"/>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299"/>
    <w:rsid w:val="00FB03B6"/>
    <w:rsid w:val="00FB04AE"/>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CA3"/>
    <w:rsid w:val="00FB2DA9"/>
    <w:rsid w:val="00FB2F46"/>
    <w:rsid w:val="00FB330B"/>
    <w:rsid w:val="00FB36A0"/>
    <w:rsid w:val="00FB3D89"/>
    <w:rsid w:val="00FB3FCA"/>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B7C45"/>
    <w:rsid w:val="00FC051D"/>
    <w:rsid w:val="00FC05D7"/>
    <w:rsid w:val="00FC0B40"/>
    <w:rsid w:val="00FC0C08"/>
    <w:rsid w:val="00FC0D68"/>
    <w:rsid w:val="00FC12B0"/>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852"/>
    <w:rsid w:val="00FD7B88"/>
    <w:rsid w:val="00FD7C8B"/>
    <w:rsid w:val="00FD7DCF"/>
    <w:rsid w:val="00FD7F14"/>
    <w:rsid w:val="00FD7FDF"/>
    <w:rsid w:val="00FE00AA"/>
    <w:rsid w:val="00FE03E4"/>
    <w:rsid w:val="00FE04AB"/>
    <w:rsid w:val="00FE055F"/>
    <w:rsid w:val="00FE0A0C"/>
    <w:rsid w:val="00FE0D8A"/>
    <w:rsid w:val="00FE0D8E"/>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2F0"/>
    <w:rsid w:val="00FF034B"/>
    <w:rsid w:val="00FF03B0"/>
    <w:rsid w:val="00FF0403"/>
    <w:rsid w:val="00FF0655"/>
    <w:rsid w:val="00FF0961"/>
    <w:rsid w:val="00FF09F9"/>
    <w:rsid w:val="00FF0C30"/>
    <w:rsid w:val="00FF1007"/>
    <w:rsid w:val="00FF122C"/>
    <w:rsid w:val="00FF13B9"/>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0A26D4"/>
    <w:rsid w:val="014F31F1"/>
    <w:rsid w:val="015777C6"/>
    <w:rsid w:val="01637652"/>
    <w:rsid w:val="01A26771"/>
    <w:rsid w:val="01AF30AB"/>
    <w:rsid w:val="01F80A87"/>
    <w:rsid w:val="02043C49"/>
    <w:rsid w:val="022B0E5C"/>
    <w:rsid w:val="02A92491"/>
    <w:rsid w:val="03004097"/>
    <w:rsid w:val="0303402E"/>
    <w:rsid w:val="032C4E8C"/>
    <w:rsid w:val="0347094E"/>
    <w:rsid w:val="037D5194"/>
    <w:rsid w:val="037D6EF2"/>
    <w:rsid w:val="03D64067"/>
    <w:rsid w:val="03E976DD"/>
    <w:rsid w:val="03EC28C7"/>
    <w:rsid w:val="03FA6ABB"/>
    <w:rsid w:val="044E6197"/>
    <w:rsid w:val="04602913"/>
    <w:rsid w:val="047C774D"/>
    <w:rsid w:val="04977668"/>
    <w:rsid w:val="04BB2CD9"/>
    <w:rsid w:val="04C850CA"/>
    <w:rsid w:val="04E90B5B"/>
    <w:rsid w:val="05054F9C"/>
    <w:rsid w:val="05245C72"/>
    <w:rsid w:val="05722771"/>
    <w:rsid w:val="05880374"/>
    <w:rsid w:val="05BB0C7F"/>
    <w:rsid w:val="06052A8B"/>
    <w:rsid w:val="06296EFC"/>
    <w:rsid w:val="064A6AF3"/>
    <w:rsid w:val="0656523A"/>
    <w:rsid w:val="06810291"/>
    <w:rsid w:val="068B5A0C"/>
    <w:rsid w:val="068C514E"/>
    <w:rsid w:val="069114AA"/>
    <w:rsid w:val="069F3BC7"/>
    <w:rsid w:val="06C33FB9"/>
    <w:rsid w:val="06C47189"/>
    <w:rsid w:val="06FF01C2"/>
    <w:rsid w:val="070213EF"/>
    <w:rsid w:val="07935DE5"/>
    <w:rsid w:val="07C52342"/>
    <w:rsid w:val="0825634E"/>
    <w:rsid w:val="085F1943"/>
    <w:rsid w:val="08653DD5"/>
    <w:rsid w:val="087A532A"/>
    <w:rsid w:val="089341DF"/>
    <w:rsid w:val="08A86A99"/>
    <w:rsid w:val="08F71A98"/>
    <w:rsid w:val="0925473D"/>
    <w:rsid w:val="09652EF6"/>
    <w:rsid w:val="099512B1"/>
    <w:rsid w:val="09A83F78"/>
    <w:rsid w:val="09C40043"/>
    <w:rsid w:val="09FE5873"/>
    <w:rsid w:val="0A240AB3"/>
    <w:rsid w:val="0A3C6420"/>
    <w:rsid w:val="0A436A63"/>
    <w:rsid w:val="0AA23C86"/>
    <w:rsid w:val="0B04049C"/>
    <w:rsid w:val="0B660C1A"/>
    <w:rsid w:val="0BB772BD"/>
    <w:rsid w:val="0BCC4D8B"/>
    <w:rsid w:val="0BF91683"/>
    <w:rsid w:val="0C6E427E"/>
    <w:rsid w:val="0C701CB9"/>
    <w:rsid w:val="0CB37B0E"/>
    <w:rsid w:val="0CDA3912"/>
    <w:rsid w:val="0CE82516"/>
    <w:rsid w:val="0CF54541"/>
    <w:rsid w:val="0D1512C2"/>
    <w:rsid w:val="0D16768D"/>
    <w:rsid w:val="0D192952"/>
    <w:rsid w:val="0D5A29B8"/>
    <w:rsid w:val="0DBC01E9"/>
    <w:rsid w:val="0DD405FA"/>
    <w:rsid w:val="0DF037DD"/>
    <w:rsid w:val="0DF30354"/>
    <w:rsid w:val="0E045DE6"/>
    <w:rsid w:val="0E4B3078"/>
    <w:rsid w:val="0EDB34EA"/>
    <w:rsid w:val="0EE40E41"/>
    <w:rsid w:val="0EF00CF4"/>
    <w:rsid w:val="0F0407DA"/>
    <w:rsid w:val="0F0547E3"/>
    <w:rsid w:val="0F0B5287"/>
    <w:rsid w:val="0F0C7379"/>
    <w:rsid w:val="0F9E2308"/>
    <w:rsid w:val="0FD146C5"/>
    <w:rsid w:val="0FD52328"/>
    <w:rsid w:val="0FE972F8"/>
    <w:rsid w:val="101C5C3E"/>
    <w:rsid w:val="10593DE8"/>
    <w:rsid w:val="10686DD7"/>
    <w:rsid w:val="108959D2"/>
    <w:rsid w:val="109F302B"/>
    <w:rsid w:val="10C913F2"/>
    <w:rsid w:val="10CA4CCD"/>
    <w:rsid w:val="10D95F27"/>
    <w:rsid w:val="111D7FD0"/>
    <w:rsid w:val="11276C93"/>
    <w:rsid w:val="112F518C"/>
    <w:rsid w:val="11797BA1"/>
    <w:rsid w:val="11B22C7C"/>
    <w:rsid w:val="11BF1CBF"/>
    <w:rsid w:val="11CE5C69"/>
    <w:rsid w:val="12085254"/>
    <w:rsid w:val="123E6969"/>
    <w:rsid w:val="12521AED"/>
    <w:rsid w:val="12540379"/>
    <w:rsid w:val="127B61EA"/>
    <w:rsid w:val="127C3095"/>
    <w:rsid w:val="1294247C"/>
    <w:rsid w:val="13111FF7"/>
    <w:rsid w:val="132E255A"/>
    <w:rsid w:val="133B07D3"/>
    <w:rsid w:val="13655850"/>
    <w:rsid w:val="13DB629F"/>
    <w:rsid w:val="13E96481"/>
    <w:rsid w:val="148E3161"/>
    <w:rsid w:val="149F27A9"/>
    <w:rsid w:val="14A675C5"/>
    <w:rsid w:val="14B307DB"/>
    <w:rsid w:val="151934E4"/>
    <w:rsid w:val="158511B5"/>
    <w:rsid w:val="15B30CE9"/>
    <w:rsid w:val="15F04570"/>
    <w:rsid w:val="169E79F7"/>
    <w:rsid w:val="17350BD9"/>
    <w:rsid w:val="17397273"/>
    <w:rsid w:val="17577BA6"/>
    <w:rsid w:val="17E471CD"/>
    <w:rsid w:val="17F93E0B"/>
    <w:rsid w:val="181A115F"/>
    <w:rsid w:val="183D30FD"/>
    <w:rsid w:val="186E51A7"/>
    <w:rsid w:val="18705AF6"/>
    <w:rsid w:val="187B075B"/>
    <w:rsid w:val="187F761E"/>
    <w:rsid w:val="188B5D59"/>
    <w:rsid w:val="1892155B"/>
    <w:rsid w:val="1922291C"/>
    <w:rsid w:val="19396899"/>
    <w:rsid w:val="19C86B39"/>
    <w:rsid w:val="19D17AE0"/>
    <w:rsid w:val="19D221F0"/>
    <w:rsid w:val="19DA6B7B"/>
    <w:rsid w:val="1A0C1944"/>
    <w:rsid w:val="1A545941"/>
    <w:rsid w:val="1A6E7911"/>
    <w:rsid w:val="1A7B127B"/>
    <w:rsid w:val="1ADC7D25"/>
    <w:rsid w:val="1B6C3693"/>
    <w:rsid w:val="1B7156DA"/>
    <w:rsid w:val="1B8F4CE6"/>
    <w:rsid w:val="1BA3785E"/>
    <w:rsid w:val="1BEF65FF"/>
    <w:rsid w:val="1C455CA5"/>
    <w:rsid w:val="1C576AE9"/>
    <w:rsid w:val="1C67088B"/>
    <w:rsid w:val="1C692DF7"/>
    <w:rsid w:val="1CA91319"/>
    <w:rsid w:val="1CD04682"/>
    <w:rsid w:val="1D2C69D2"/>
    <w:rsid w:val="1D350989"/>
    <w:rsid w:val="1D3A1AFC"/>
    <w:rsid w:val="1D6F14F6"/>
    <w:rsid w:val="1D803DD1"/>
    <w:rsid w:val="1D8E2D2B"/>
    <w:rsid w:val="1DA13929"/>
    <w:rsid w:val="1DCC746F"/>
    <w:rsid w:val="1DE02744"/>
    <w:rsid w:val="1E176EB8"/>
    <w:rsid w:val="1E6D3B03"/>
    <w:rsid w:val="1E71779F"/>
    <w:rsid w:val="1EA94100"/>
    <w:rsid w:val="1EB85240"/>
    <w:rsid w:val="1EF47EF6"/>
    <w:rsid w:val="1F1B6A58"/>
    <w:rsid w:val="1F884DA0"/>
    <w:rsid w:val="1F9818B6"/>
    <w:rsid w:val="1FA616CA"/>
    <w:rsid w:val="1FB45B95"/>
    <w:rsid w:val="1FBB5AE1"/>
    <w:rsid w:val="1FD13A61"/>
    <w:rsid w:val="1FDB19A2"/>
    <w:rsid w:val="1FF3361B"/>
    <w:rsid w:val="2018160E"/>
    <w:rsid w:val="20482782"/>
    <w:rsid w:val="204A44BE"/>
    <w:rsid w:val="206C2914"/>
    <w:rsid w:val="20F806E2"/>
    <w:rsid w:val="20FB4C1A"/>
    <w:rsid w:val="212D2E03"/>
    <w:rsid w:val="21327919"/>
    <w:rsid w:val="213C627E"/>
    <w:rsid w:val="215A39BD"/>
    <w:rsid w:val="215E5948"/>
    <w:rsid w:val="2177334A"/>
    <w:rsid w:val="21B838FE"/>
    <w:rsid w:val="21B856E5"/>
    <w:rsid w:val="2210278E"/>
    <w:rsid w:val="22370D00"/>
    <w:rsid w:val="22791318"/>
    <w:rsid w:val="227A3680"/>
    <w:rsid w:val="22960A6F"/>
    <w:rsid w:val="22A029C8"/>
    <w:rsid w:val="22B57D13"/>
    <w:rsid w:val="22D108D1"/>
    <w:rsid w:val="22D22922"/>
    <w:rsid w:val="23460081"/>
    <w:rsid w:val="23601CC6"/>
    <w:rsid w:val="23911B44"/>
    <w:rsid w:val="239E00B4"/>
    <w:rsid w:val="23B26890"/>
    <w:rsid w:val="23CB5BA3"/>
    <w:rsid w:val="23D51F8C"/>
    <w:rsid w:val="24172B97"/>
    <w:rsid w:val="24273C99"/>
    <w:rsid w:val="2428627F"/>
    <w:rsid w:val="24D2131A"/>
    <w:rsid w:val="251E74A4"/>
    <w:rsid w:val="25932677"/>
    <w:rsid w:val="25A64200"/>
    <w:rsid w:val="25D21712"/>
    <w:rsid w:val="25DE1BBE"/>
    <w:rsid w:val="25EA60A7"/>
    <w:rsid w:val="261824BC"/>
    <w:rsid w:val="265F14A3"/>
    <w:rsid w:val="2699369C"/>
    <w:rsid w:val="26C51673"/>
    <w:rsid w:val="26DC54E2"/>
    <w:rsid w:val="26E65978"/>
    <w:rsid w:val="2707038B"/>
    <w:rsid w:val="270E3225"/>
    <w:rsid w:val="273513E6"/>
    <w:rsid w:val="275C130B"/>
    <w:rsid w:val="27702FAF"/>
    <w:rsid w:val="27843CE5"/>
    <w:rsid w:val="27D03788"/>
    <w:rsid w:val="27E56B08"/>
    <w:rsid w:val="282D2989"/>
    <w:rsid w:val="287712CC"/>
    <w:rsid w:val="288051AE"/>
    <w:rsid w:val="28885E11"/>
    <w:rsid w:val="2889749E"/>
    <w:rsid w:val="28974353"/>
    <w:rsid w:val="28C64B8B"/>
    <w:rsid w:val="29075812"/>
    <w:rsid w:val="292E2C77"/>
    <w:rsid w:val="293B2E83"/>
    <w:rsid w:val="299134F4"/>
    <w:rsid w:val="2997125E"/>
    <w:rsid w:val="29986528"/>
    <w:rsid w:val="29FD70A5"/>
    <w:rsid w:val="2A070CC2"/>
    <w:rsid w:val="2A0E40B0"/>
    <w:rsid w:val="2A491627"/>
    <w:rsid w:val="2A540CE8"/>
    <w:rsid w:val="2AE80DE9"/>
    <w:rsid w:val="2B106106"/>
    <w:rsid w:val="2B231E21"/>
    <w:rsid w:val="2B6E5792"/>
    <w:rsid w:val="2BCE433E"/>
    <w:rsid w:val="2BE74C07"/>
    <w:rsid w:val="2C504E98"/>
    <w:rsid w:val="2CB01DDA"/>
    <w:rsid w:val="2CB27900"/>
    <w:rsid w:val="2CBB472D"/>
    <w:rsid w:val="2CBE44F7"/>
    <w:rsid w:val="2CF9499B"/>
    <w:rsid w:val="2D0B7E51"/>
    <w:rsid w:val="2D2C76B3"/>
    <w:rsid w:val="2D630BFB"/>
    <w:rsid w:val="2D910FF0"/>
    <w:rsid w:val="2DAF041B"/>
    <w:rsid w:val="2DD3401D"/>
    <w:rsid w:val="2DFA155F"/>
    <w:rsid w:val="2E3F11F2"/>
    <w:rsid w:val="2E8855B0"/>
    <w:rsid w:val="2EC47C80"/>
    <w:rsid w:val="2ECB4CA9"/>
    <w:rsid w:val="2F8F17B7"/>
    <w:rsid w:val="2F937374"/>
    <w:rsid w:val="2F9A6BD2"/>
    <w:rsid w:val="2FBE036A"/>
    <w:rsid w:val="2FD220ED"/>
    <w:rsid w:val="2FD64419"/>
    <w:rsid w:val="2FE21671"/>
    <w:rsid w:val="2FE81795"/>
    <w:rsid w:val="2FEA0DA2"/>
    <w:rsid w:val="303D2831"/>
    <w:rsid w:val="303F66E2"/>
    <w:rsid w:val="305B1B2D"/>
    <w:rsid w:val="30B012B9"/>
    <w:rsid w:val="311A574D"/>
    <w:rsid w:val="31CA3F3D"/>
    <w:rsid w:val="31E0281A"/>
    <w:rsid w:val="31F51656"/>
    <w:rsid w:val="324D3F3B"/>
    <w:rsid w:val="32E2523F"/>
    <w:rsid w:val="32EB653A"/>
    <w:rsid w:val="3321694A"/>
    <w:rsid w:val="33567EB8"/>
    <w:rsid w:val="335C4122"/>
    <w:rsid w:val="337D00C3"/>
    <w:rsid w:val="33821409"/>
    <w:rsid w:val="33DA35AC"/>
    <w:rsid w:val="33E35A00"/>
    <w:rsid w:val="34020CC0"/>
    <w:rsid w:val="34802092"/>
    <w:rsid w:val="3498533D"/>
    <w:rsid w:val="34E56C09"/>
    <w:rsid w:val="351B3101"/>
    <w:rsid w:val="354E7844"/>
    <w:rsid w:val="35A04F88"/>
    <w:rsid w:val="35A432A3"/>
    <w:rsid w:val="35D262D6"/>
    <w:rsid w:val="35D63D05"/>
    <w:rsid w:val="35E1777E"/>
    <w:rsid w:val="363B6533"/>
    <w:rsid w:val="36714388"/>
    <w:rsid w:val="3683348B"/>
    <w:rsid w:val="36C344B8"/>
    <w:rsid w:val="36F410F7"/>
    <w:rsid w:val="37217B5C"/>
    <w:rsid w:val="37570991"/>
    <w:rsid w:val="379365D6"/>
    <w:rsid w:val="37E82428"/>
    <w:rsid w:val="380A42CB"/>
    <w:rsid w:val="38237CD3"/>
    <w:rsid w:val="38840315"/>
    <w:rsid w:val="38AA75A3"/>
    <w:rsid w:val="38B91B07"/>
    <w:rsid w:val="38C74734"/>
    <w:rsid w:val="38CA6D9D"/>
    <w:rsid w:val="38D155B2"/>
    <w:rsid w:val="38D34D7E"/>
    <w:rsid w:val="38E84B50"/>
    <w:rsid w:val="391F5588"/>
    <w:rsid w:val="39271F77"/>
    <w:rsid w:val="395835DE"/>
    <w:rsid w:val="398A0E0A"/>
    <w:rsid w:val="398B5E81"/>
    <w:rsid w:val="39965008"/>
    <w:rsid w:val="39A410F2"/>
    <w:rsid w:val="39AA0E08"/>
    <w:rsid w:val="39C3252A"/>
    <w:rsid w:val="39F10194"/>
    <w:rsid w:val="3A054EA2"/>
    <w:rsid w:val="3A0B2C89"/>
    <w:rsid w:val="3A4A73CA"/>
    <w:rsid w:val="3A5879E1"/>
    <w:rsid w:val="3A6B7341"/>
    <w:rsid w:val="3A786087"/>
    <w:rsid w:val="3AE05B05"/>
    <w:rsid w:val="3B2714BA"/>
    <w:rsid w:val="3B780332"/>
    <w:rsid w:val="3B783AC3"/>
    <w:rsid w:val="3B8B1FE5"/>
    <w:rsid w:val="3BC136BC"/>
    <w:rsid w:val="3BCB6780"/>
    <w:rsid w:val="3BEB0739"/>
    <w:rsid w:val="3C2D65A3"/>
    <w:rsid w:val="3C85293C"/>
    <w:rsid w:val="3C9B5C35"/>
    <w:rsid w:val="3CB379B7"/>
    <w:rsid w:val="3CDE286D"/>
    <w:rsid w:val="3CDF5286"/>
    <w:rsid w:val="3D011DE7"/>
    <w:rsid w:val="3D037900"/>
    <w:rsid w:val="3D185589"/>
    <w:rsid w:val="3D42023C"/>
    <w:rsid w:val="3D4D65B0"/>
    <w:rsid w:val="3D7A6E34"/>
    <w:rsid w:val="3D7B355C"/>
    <w:rsid w:val="3D924040"/>
    <w:rsid w:val="3DA959CA"/>
    <w:rsid w:val="3DB879E2"/>
    <w:rsid w:val="3DC31C59"/>
    <w:rsid w:val="3DE13122"/>
    <w:rsid w:val="3DE146D9"/>
    <w:rsid w:val="3DE9514C"/>
    <w:rsid w:val="3E201B9F"/>
    <w:rsid w:val="3E300685"/>
    <w:rsid w:val="3E3B1BD7"/>
    <w:rsid w:val="3E3D0FF4"/>
    <w:rsid w:val="3E5325C6"/>
    <w:rsid w:val="3EA42E21"/>
    <w:rsid w:val="3EBA5415"/>
    <w:rsid w:val="3ED565D7"/>
    <w:rsid w:val="3ED933C2"/>
    <w:rsid w:val="3EDF5162"/>
    <w:rsid w:val="3EF7543B"/>
    <w:rsid w:val="3F2753C9"/>
    <w:rsid w:val="3F8226AC"/>
    <w:rsid w:val="3F984734"/>
    <w:rsid w:val="3FAC6431"/>
    <w:rsid w:val="3FCD127A"/>
    <w:rsid w:val="402C6D72"/>
    <w:rsid w:val="40A82C26"/>
    <w:rsid w:val="40AB2262"/>
    <w:rsid w:val="40E81225"/>
    <w:rsid w:val="413235D5"/>
    <w:rsid w:val="415369F6"/>
    <w:rsid w:val="415E2C40"/>
    <w:rsid w:val="416F5968"/>
    <w:rsid w:val="418D0167"/>
    <w:rsid w:val="41A4122D"/>
    <w:rsid w:val="41B76D17"/>
    <w:rsid w:val="41C95079"/>
    <w:rsid w:val="41D113FA"/>
    <w:rsid w:val="420E33D3"/>
    <w:rsid w:val="423C0831"/>
    <w:rsid w:val="4276074C"/>
    <w:rsid w:val="4279574E"/>
    <w:rsid w:val="42B53046"/>
    <w:rsid w:val="42CD0A98"/>
    <w:rsid w:val="43120CA1"/>
    <w:rsid w:val="431A0C09"/>
    <w:rsid w:val="43301127"/>
    <w:rsid w:val="43603E7A"/>
    <w:rsid w:val="43606C1A"/>
    <w:rsid w:val="43673FF0"/>
    <w:rsid w:val="43851FFD"/>
    <w:rsid w:val="43D54AF0"/>
    <w:rsid w:val="43F4371E"/>
    <w:rsid w:val="44026755"/>
    <w:rsid w:val="4420570D"/>
    <w:rsid w:val="44270242"/>
    <w:rsid w:val="44511E24"/>
    <w:rsid w:val="445F3A72"/>
    <w:rsid w:val="44853490"/>
    <w:rsid w:val="44860EF6"/>
    <w:rsid w:val="44CD1324"/>
    <w:rsid w:val="44E977E0"/>
    <w:rsid w:val="45013E5C"/>
    <w:rsid w:val="458A06D7"/>
    <w:rsid w:val="45C37CC4"/>
    <w:rsid w:val="45C6516F"/>
    <w:rsid w:val="461628AC"/>
    <w:rsid w:val="464A7540"/>
    <w:rsid w:val="465E65BA"/>
    <w:rsid w:val="467A1B55"/>
    <w:rsid w:val="46B831B4"/>
    <w:rsid w:val="46C202E8"/>
    <w:rsid w:val="46DC778A"/>
    <w:rsid w:val="46ED27E2"/>
    <w:rsid w:val="475D6C38"/>
    <w:rsid w:val="480E2158"/>
    <w:rsid w:val="48237F75"/>
    <w:rsid w:val="482F6475"/>
    <w:rsid w:val="484641FC"/>
    <w:rsid w:val="48464ACC"/>
    <w:rsid w:val="484A3D0F"/>
    <w:rsid w:val="485A31F4"/>
    <w:rsid w:val="48AB2599"/>
    <w:rsid w:val="491E2401"/>
    <w:rsid w:val="492946F6"/>
    <w:rsid w:val="49493FED"/>
    <w:rsid w:val="497A7673"/>
    <w:rsid w:val="49920446"/>
    <w:rsid w:val="4ABB542D"/>
    <w:rsid w:val="4ABD5996"/>
    <w:rsid w:val="4AC565F9"/>
    <w:rsid w:val="4ADD1F44"/>
    <w:rsid w:val="4B15132F"/>
    <w:rsid w:val="4B2E51BD"/>
    <w:rsid w:val="4B3C4AFB"/>
    <w:rsid w:val="4B47091C"/>
    <w:rsid w:val="4B65373A"/>
    <w:rsid w:val="4B7102DB"/>
    <w:rsid w:val="4B875C53"/>
    <w:rsid w:val="4B9612E5"/>
    <w:rsid w:val="4BA540F2"/>
    <w:rsid w:val="4BA83F51"/>
    <w:rsid w:val="4BA847BB"/>
    <w:rsid w:val="4BEE70AB"/>
    <w:rsid w:val="4BF22CA6"/>
    <w:rsid w:val="4BFD34F7"/>
    <w:rsid w:val="4C14397A"/>
    <w:rsid w:val="4C3E48B5"/>
    <w:rsid w:val="4C462F90"/>
    <w:rsid w:val="4C51283A"/>
    <w:rsid w:val="4C7622A1"/>
    <w:rsid w:val="4C800A2A"/>
    <w:rsid w:val="4C932B68"/>
    <w:rsid w:val="4CA17BB8"/>
    <w:rsid w:val="4D00163A"/>
    <w:rsid w:val="4D6172AE"/>
    <w:rsid w:val="4D9736C9"/>
    <w:rsid w:val="4DB7271A"/>
    <w:rsid w:val="4DD54DA5"/>
    <w:rsid w:val="4E0E63F5"/>
    <w:rsid w:val="4E2F2707"/>
    <w:rsid w:val="4E950E69"/>
    <w:rsid w:val="4E961DDB"/>
    <w:rsid w:val="4E992BF4"/>
    <w:rsid w:val="4EE10F61"/>
    <w:rsid w:val="4F0040A4"/>
    <w:rsid w:val="4F0F5BE3"/>
    <w:rsid w:val="4F314933"/>
    <w:rsid w:val="4F55619D"/>
    <w:rsid w:val="4F6F7A0E"/>
    <w:rsid w:val="4F7C127E"/>
    <w:rsid w:val="4F836BD8"/>
    <w:rsid w:val="4F881789"/>
    <w:rsid w:val="4FA42C81"/>
    <w:rsid w:val="4FAE0843"/>
    <w:rsid w:val="4FC86BD9"/>
    <w:rsid w:val="4FEC68BB"/>
    <w:rsid w:val="5052092F"/>
    <w:rsid w:val="50644CF9"/>
    <w:rsid w:val="50AA1F0D"/>
    <w:rsid w:val="50AD5879"/>
    <w:rsid w:val="5134708A"/>
    <w:rsid w:val="516052CE"/>
    <w:rsid w:val="517E188C"/>
    <w:rsid w:val="51A24D49"/>
    <w:rsid w:val="51AA02F7"/>
    <w:rsid w:val="51AB3F37"/>
    <w:rsid w:val="51E37826"/>
    <w:rsid w:val="51E85B83"/>
    <w:rsid w:val="522013AD"/>
    <w:rsid w:val="5237764A"/>
    <w:rsid w:val="52422029"/>
    <w:rsid w:val="52585ECE"/>
    <w:rsid w:val="52796647"/>
    <w:rsid w:val="52D85640"/>
    <w:rsid w:val="53010E60"/>
    <w:rsid w:val="532E5D43"/>
    <w:rsid w:val="53496440"/>
    <w:rsid w:val="53996FC4"/>
    <w:rsid w:val="53B65D90"/>
    <w:rsid w:val="53F07816"/>
    <w:rsid w:val="53F341D7"/>
    <w:rsid w:val="541127AE"/>
    <w:rsid w:val="541616AE"/>
    <w:rsid w:val="54374886"/>
    <w:rsid w:val="5448758F"/>
    <w:rsid w:val="54505185"/>
    <w:rsid w:val="549F0FA8"/>
    <w:rsid w:val="54A930AA"/>
    <w:rsid w:val="54AB5307"/>
    <w:rsid w:val="54D46E00"/>
    <w:rsid w:val="54F47C8D"/>
    <w:rsid w:val="55040901"/>
    <w:rsid w:val="554A478C"/>
    <w:rsid w:val="554E2794"/>
    <w:rsid w:val="55774C55"/>
    <w:rsid w:val="55807CEC"/>
    <w:rsid w:val="558E2409"/>
    <w:rsid w:val="55B34CE3"/>
    <w:rsid w:val="55D10548"/>
    <w:rsid w:val="55D84C6A"/>
    <w:rsid w:val="55D9222E"/>
    <w:rsid w:val="55EB785C"/>
    <w:rsid w:val="55FC3817"/>
    <w:rsid w:val="55FC50A9"/>
    <w:rsid w:val="560D4B5C"/>
    <w:rsid w:val="560F5E41"/>
    <w:rsid w:val="56525B89"/>
    <w:rsid w:val="56570EE0"/>
    <w:rsid w:val="56DF05DE"/>
    <w:rsid w:val="57124202"/>
    <w:rsid w:val="57236B81"/>
    <w:rsid w:val="5726041F"/>
    <w:rsid w:val="57347C1D"/>
    <w:rsid w:val="57A13BEC"/>
    <w:rsid w:val="57A23D62"/>
    <w:rsid w:val="57A70877"/>
    <w:rsid w:val="57A90677"/>
    <w:rsid w:val="57C33EC0"/>
    <w:rsid w:val="57FC6189"/>
    <w:rsid w:val="581A7F8C"/>
    <w:rsid w:val="583F72E4"/>
    <w:rsid w:val="58574CD6"/>
    <w:rsid w:val="587F48B3"/>
    <w:rsid w:val="58D31068"/>
    <w:rsid w:val="58E3403E"/>
    <w:rsid w:val="59154BEF"/>
    <w:rsid w:val="5919648E"/>
    <w:rsid w:val="59285338"/>
    <w:rsid w:val="594454CD"/>
    <w:rsid w:val="59806963"/>
    <w:rsid w:val="59A04C8D"/>
    <w:rsid w:val="59AE3024"/>
    <w:rsid w:val="59EA558A"/>
    <w:rsid w:val="59F83490"/>
    <w:rsid w:val="5A234C0D"/>
    <w:rsid w:val="5A2E41BB"/>
    <w:rsid w:val="5A5A6C7A"/>
    <w:rsid w:val="5A695805"/>
    <w:rsid w:val="5A8E6F3A"/>
    <w:rsid w:val="5A947201"/>
    <w:rsid w:val="5AAF77D7"/>
    <w:rsid w:val="5AE26D53"/>
    <w:rsid w:val="5AEE74A6"/>
    <w:rsid w:val="5AF92902"/>
    <w:rsid w:val="5AFF2393"/>
    <w:rsid w:val="5AFF461A"/>
    <w:rsid w:val="5B1A473F"/>
    <w:rsid w:val="5B7679E9"/>
    <w:rsid w:val="5B7973B7"/>
    <w:rsid w:val="5BC148E2"/>
    <w:rsid w:val="5BE935F1"/>
    <w:rsid w:val="5C177D92"/>
    <w:rsid w:val="5C367357"/>
    <w:rsid w:val="5C8C6B2A"/>
    <w:rsid w:val="5C8F7BF0"/>
    <w:rsid w:val="5C9A393F"/>
    <w:rsid w:val="5CEC0CF1"/>
    <w:rsid w:val="5D00142C"/>
    <w:rsid w:val="5D3E599D"/>
    <w:rsid w:val="5D42520B"/>
    <w:rsid w:val="5D584F8B"/>
    <w:rsid w:val="5D5F015A"/>
    <w:rsid w:val="5D703C26"/>
    <w:rsid w:val="5D72616D"/>
    <w:rsid w:val="5D783B25"/>
    <w:rsid w:val="5DAA3B58"/>
    <w:rsid w:val="5DDD2588"/>
    <w:rsid w:val="5E192A8C"/>
    <w:rsid w:val="5E2E5E64"/>
    <w:rsid w:val="5E5214F5"/>
    <w:rsid w:val="5EC6561C"/>
    <w:rsid w:val="5EF7478B"/>
    <w:rsid w:val="5F073306"/>
    <w:rsid w:val="5F421D82"/>
    <w:rsid w:val="5F5F73B9"/>
    <w:rsid w:val="5F71772E"/>
    <w:rsid w:val="5F7E34EF"/>
    <w:rsid w:val="5FB46F10"/>
    <w:rsid w:val="5FB5691E"/>
    <w:rsid w:val="5FB970DF"/>
    <w:rsid w:val="60592C21"/>
    <w:rsid w:val="605A0F10"/>
    <w:rsid w:val="606A3A73"/>
    <w:rsid w:val="608C39E9"/>
    <w:rsid w:val="60981ADF"/>
    <w:rsid w:val="60BE73B5"/>
    <w:rsid w:val="60E90E3C"/>
    <w:rsid w:val="60F82A09"/>
    <w:rsid w:val="61446072"/>
    <w:rsid w:val="615E6995"/>
    <w:rsid w:val="618439BB"/>
    <w:rsid w:val="61E643A1"/>
    <w:rsid w:val="61FB637A"/>
    <w:rsid w:val="61FD37AE"/>
    <w:rsid w:val="620E43F9"/>
    <w:rsid w:val="620E47AA"/>
    <w:rsid w:val="623247BC"/>
    <w:rsid w:val="62502FB6"/>
    <w:rsid w:val="62645DDD"/>
    <w:rsid w:val="62DB2A06"/>
    <w:rsid w:val="631048E5"/>
    <w:rsid w:val="631F4448"/>
    <w:rsid w:val="63B31BC3"/>
    <w:rsid w:val="63EE7F09"/>
    <w:rsid w:val="644609AB"/>
    <w:rsid w:val="64A00315"/>
    <w:rsid w:val="64BE438D"/>
    <w:rsid w:val="64E84E8D"/>
    <w:rsid w:val="64F8237B"/>
    <w:rsid w:val="65286160"/>
    <w:rsid w:val="65294806"/>
    <w:rsid w:val="65563D5D"/>
    <w:rsid w:val="657C227E"/>
    <w:rsid w:val="65C01661"/>
    <w:rsid w:val="66163B35"/>
    <w:rsid w:val="66882D69"/>
    <w:rsid w:val="668C17ED"/>
    <w:rsid w:val="670544F5"/>
    <w:rsid w:val="672229B1"/>
    <w:rsid w:val="67372FF7"/>
    <w:rsid w:val="674D0ECB"/>
    <w:rsid w:val="679073ED"/>
    <w:rsid w:val="679F31E3"/>
    <w:rsid w:val="67AB6E4B"/>
    <w:rsid w:val="67BC1058"/>
    <w:rsid w:val="67DF460B"/>
    <w:rsid w:val="68053890"/>
    <w:rsid w:val="68085DDA"/>
    <w:rsid w:val="68093B71"/>
    <w:rsid w:val="683010FE"/>
    <w:rsid w:val="6838144E"/>
    <w:rsid w:val="683E1A6D"/>
    <w:rsid w:val="68473401"/>
    <w:rsid w:val="685017A0"/>
    <w:rsid w:val="68664B20"/>
    <w:rsid w:val="686A681D"/>
    <w:rsid w:val="68A51AEC"/>
    <w:rsid w:val="68AA7398"/>
    <w:rsid w:val="68F4110B"/>
    <w:rsid w:val="69146461"/>
    <w:rsid w:val="69225685"/>
    <w:rsid w:val="692400BC"/>
    <w:rsid w:val="69403FFD"/>
    <w:rsid w:val="694A4441"/>
    <w:rsid w:val="69B279B1"/>
    <w:rsid w:val="69B566C5"/>
    <w:rsid w:val="69C834E0"/>
    <w:rsid w:val="6A100C31"/>
    <w:rsid w:val="6A2133F4"/>
    <w:rsid w:val="6A487022"/>
    <w:rsid w:val="6A4F36E8"/>
    <w:rsid w:val="6A564DB8"/>
    <w:rsid w:val="6A737B2C"/>
    <w:rsid w:val="6A7C4ACE"/>
    <w:rsid w:val="6A933BC6"/>
    <w:rsid w:val="6ADD1143"/>
    <w:rsid w:val="6AE15628"/>
    <w:rsid w:val="6B2732A3"/>
    <w:rsid w:val="6B3706C1"/>
    <w:rsid w:val="6B4F21E3"/>
    <w:rsid w:val="6BFC01E0"/>
    <w:rsid w:val="6C0D5A43"/>
    <w:rsid w:val="6C1B20C5"/>
    <w:rsid w:val="6C447B5C"/>
    <w:rsid w:val="6C6E1191"/>
    <w:rsid w:val="6C905D74"/>
    <w:rsid w:val="6CA97304"/>
    <w:rsid w:val="6D031E45"/>
    <w:rsid w:val="6D633AFC"/>
    <w:rsid w:val="6D7D1F79"/>
    <w:rsid w:val="6D894B03"/>
    <w:rsid w:val="6D901AB1"/>
    <w:rsid w:val="6E130AC4"/>
    <w:rsid w:val="6E213577"/>
    <w:rsid w:val="6E571528"/>
    <w:rsid w:val="6E5B1B92"/>
    <w:rsid w:val="6E910407"/>
    <w:rsid w:val="6E9C2A06"/>
    <w:rsid w:val="6E9F566F"/>
    <w:rsid w:val="6F12155D"/>
    <w:rsid w:val="6F146B42"/>
    <w:rsid w:val="6F58234F"/>
    <w:rsid w:val="6F66328D"/>
    <w:rsid w:val="6FA747D9"/>
    <w:rsid w:val="6FDD600F"/>
    <w:rsid w:val="700229D8"/>
    <w:rsid w:val="70462105"/>
    <w:rsid w:val="705D0EFE"/>
    <w:rsid w:val="705F07D2"/>
    <w:rsid w:val="706C7393"/>
    <w:rsid w:val="70755391"/>
    <w:rsid w:val="70AC59E2"/>
    <w:rsid w:val="70AF7F0C"/>
    <w:rsid w:val="70B30B1E"/>
    <w:rsid w:val="70D176A3"/>
    <w:rsid w:val="71397275"/>
    <w:rsid w:val="71D80A3F"/>
    <w:rsid w:val="71F03DEA"/>
    <w:rsid w:val="71F606DE"/>
    <w:rsid w:val="720011B6"/>
    <w:rsid w:val="72001B41"/>
    <w:rsid w:val="723F6B0D"/>
    <w:rsid w:val="726360FD"/>
    <w:rsid w:val="729545BD"/>
    <w:rsid w:val="73124222"/>
    <w:rsid w:val="73133871"/>
    <w:rsid w:val="731F06ED"/>
    <w:rsid w:val="735B7951"/>
    <w:rsid w:val="73A74179"/>
    <w:rsid w:val="73D87703"/>
    <w:rsid w:val="742C597A"/>
    <w:rsid w:val="748202E9"/>
    <w:rsid w:val="74B86703"/>
    <w:rsid w:val="74CF6D49"/>
    <w:rsid w:val="74F51705"/>
    <w:rsid w:val="75175DCD"/>
    <w:rsid w:val="75537C1F"/>
    <w:rsid w:val="75AE2BDF"/>
    <w:rsid w:val="75CD61DE"/>
    <w:rsid w:val="75E33C54"/>
    <w:rsid w:val="760B4F58"/>
    <w:rsid w:val="76114ECB"/>
    <w:rsid w:val="76251217"/>
    <w:rsid w:val="76616902"/>
    <w:rsid w:val="76836659"/>
    <w:rsid w:val="7698720C"/>
    <w:rsid w:val="76B21588"/>
    <w:rsid w:val="76D45392"/>
    <w:rsid w:val="77521504"/>
    <w:rsid w:val="77660698"/>
    <w:rsid w:val="778E5161"/>
    <w:rsid w:val="77D12160"/>
    <w:rsid w:val="77D42268"/>
    <w:rsid w:val="78266371"/>
    <w:rsid w:val="783A38D3"/>
    <w:rsid w:val="78463590"/>
    <w:rsid w:val="785B7D01"/>
    <w:rsid w:val="78770246"/>
    <w:rsid w:val="78811C25"/>
    <w:rsid w:val="78864182"/>
    <w:rsid w:val="78886D34"/>
    <w:rsid w:val="78A84CE1"/>
    <w:rsid w:val="79703A50"/>
    <w:rsid w:val="79712789"/>
    <w:rsid w:val="797C4B4C"/>
    <w:rsid w:val="79A225C5"/>
    <w:rsid w:val="79AE29FC"/>
    <w:rsid w:val="79DA68C4"/>
    <w:rsid w:val="7A173ECC"/>
    <w:rsid w:val="7A2D67DE"/>
    <w:rsid w:val="7A4773F0"/>
    <w:rsid w:val="7A6D3B94"/>
    <w:rsid w:val="7ADB139D"/>
    <w:rsid w:val="7AFFEBAA"/>
    <w:rsid w:val="7B950DAF"/>
    <w:rsid w:val="7B967BE1"/>
    <w:rsid w:val="7BB20D3D"/>
    <w:rsid w:val="7BCB245E"/>
    <w:rsid w:val="7BDC64E6"/>
    <w:rsid w:val="7BE91898"/>
    <w:rsid w:val="7BF57D48"/>
    <w:rsid w:val="7C016AF6"/>
    <w:rsid w:val="7C0F5FC0"/>
    <w:rsid w:val="7C224DAA"/>
    <w:rsid w:val="7C3743CF"/>
    <w:rsid w:val="7C5036C5"/>
    <w:rsid w:val="7C686C61"/>
    <w:rsid w:val="7C885555"/>
    <w:rsid w:val="7C9A7D78"/>
    <w:rsid w:val="7CB50DE1"/>
    <w:rsid w:val="7CC21F1D"/>
    <w:rsid w:val="7D0E0E25"/>
    <w:rsid w:val="7D3E5245"/>
    <w:rsid w:val="7D45625D"/>
    <w:rsid w:val="7DC34539"/>
    <w:rsid w:val="7DD2324B"/>
    <w:rsid w:val="7E257D31"/>
    <w:rsid w:val="7E920963"/>
    <w:rsid w:val="7EE04B40"/>
    <w:rsid w:val="7EED169F"/>
    <w:rsid w:val="7EFE7949"/>
    <w:rsid w:val="7F445682"/>
    <w:rsid w:val="7F6A686B"/>
    <w:rsid w:val="7F6D458E"/>
    <w:rsid w:val="7F9F6AC5"/>
    <w:rsid w:val="7FA93818"/>
    <w:rsid w:val="7FD766A0"/>
    <w:rsid w:val="CEF04311"/>
    <w:rsid w:val="DEB746D0"/>
    <w:rsid w:val="F76F1260"/>
    <w:rsid w:val="FB58B38A"/>
    <w:rsid w:val="FEFF99A9"/>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qFormat="1" w:unhideWhenUsed="0" w:uiPriority="0" w:semiHidden="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iPriority="0" w:name="Note Heading"/>
    <w:lsdException w:uiPriority="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iPriority="99" w:semiHidden="0" w:name="Normal (Web)"/>
    <w:lsdException w:uiPriority="0" w:name="HTML Acronym"/>
    <w:lsdException w:uiPriority="0" w:name="HTML Address"/>
    <w:lsdException w:qFormat="1" w:unhideWhenUsed="0" w:uiPriority="0" w:semiHidden="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next w:val="1"/>
    <w:link w:val="55"/>
    <w:autoRedefine/>
    <w:qFormat/>
    <w:uiPriority w:val="0"/>
    <w:pPr>
      <w:widowControl w:val="0"/>
      <w:adjustRightInd w:val="0"/>
      <w:spacing w:before="320" w:line="300" w:lineRule="auto"/>
      <w:jc w:val="both"/>
      <w:outlineLvl w:val="0"/>
    </w:pPr>
    <w:rPr>
      <w:rFonts w:ascii="Times New Roman" w:hAnsi="Times New Roman" w:eastAsia="黑体" w:cs="Times New Roman"/>
      <w:color w:val="000000"/>
      <w:kern w:val="44"/>
      <w:sz w:val="32"/>
      <w:szCs w:val="44"/>
      <w:lang w:bidi="ar-SA"/>
    </w:rPr>
  </w:style>
  <w:style w:type="paragraph" w:styleId="3">
    <w:name w:val="heading 2"/>
    <w:link w:val="56"/>
    <w:autoRedefine/>
    <w:qFormat/>
    <w:uiPriority w:val="0"/>
    <w:pPr>
      <w:widowControl w:val="0"/>
      <w:adjustRightInd w:val="0"/>
      <w:spacing w:before="280" w:line="300" w:lineRule="auto"/>
      <w:jc w:val="both"/>
      <w:outlineLvl w:val="1"/>
    </w:pPr>
    <w:rPr>
      <w:rFonts w:ascii="Times New Roman" w:hAnsi="Times New Roman" w:eastAsia="黑体" w:cs="Times New Roman"/>
      <w:kern w:val="2"/>
      <w:sz w:val="30"/>
      <w:szCs w:val="32"/>
      <w:lang w:bidi="ar-SA"/>
    </w:rPr>
  </w:style>
  <w:style w:type="paragraph" w:styleId="4">
    <w:name w:val="heading 3"/>
    <w:next w:val="5"/>
    <w:link w:val="57"/>
    <w:autoRedefine/>
    <w:qFormat/>
    <w:uiPriority w:val="0"/>
    <w:pPr>
      <w:keepNext/>
      <w:keepLines/>
      <w:widowControl w:val="0"/>
      <w:adjustRightInd w:val="0"/>
      <w:spacing w:before="240" w:line="300" w:lineRule="auto"/>
      <w:jc w:val="both"/>
      <w:outlineLvl w:val="2"/>
    </w:pPr>
    <w:rPr>
      <w:rFonts w:ascii="Times New Roman" w:hAnsi="Times New Roman" w:eastAsia="黑体" w:cs="Times New Roman"/>
      <w:kern w:val="2"/>
      <w:sz w:val="30"/>
      <w:szCs w:val="24"/>
      <w:lang w:bidi="ar-SA"/>
    </w:rPr>
  </w:style>
  <w:style w:type="paragraph" w:styleId="6">
    <w:name w:val="heading 4"/>
    <w:next w:val="1"/>
    <w:link w:val="59"/>
    <w:autoRedefine/>
    <w:qFormat/>
    <w:uiPriority w:val="0"/>
    <w:pPr>
      <w:keepNext/>
      <w:keepLines/>
      <w:widowControl w:val="0"/>
      <w:adjustRightInd w:val="0"/>
      <w:spacing w:before="200" w:line="300" w:lineRule="auto"/>
      <w:jc w:val="both"/>
      <w:outlineLvl w:val="3"/>
    </w:pPr>
    <w:rPr>
      <w:rFonts w:ascii="Times New Roman" w:hAnsi="Times New Roman" w:eastAsia="黑体" w:cs="Times New Roman"/>
      <w:bCs/>
      <w:kern w:val="2"/>
      <w:sz w:val="28"/>
      <w:szCs w:val="28"/>
      <w:lang w:bidi="ar-SA"/>
    </w:rPr>
  </w:style>
  <w:style w:type="paragraph" w:styleId="7">
    <w:name w:val="heading 5"/>
    <w:next w:val="1"/>
    <w:link w:val="60"/>
    <w:autoRedefine/>
    <w:qFormat/>
    <w:uiPriority w:val="0"/>
    <w:pPr>
      <w:keepNext/>
      <w:keepLines/>
      <w:widowControl w:val="0"/>
      <w:adjustRightInd w:val="0"/>
      <w:spacing w:before="160" w:line="300" w:lineRule="auto"/>
      <w:jc w:val="both"/>
      <w:outlineLvl w:val="4"/>
    </w:pPr>
    <w:rPr>
      <w:rFonts w:ascii="Times New Roman" w:hAnsi="Times New Roman" w:eastAsia="黑体" w:cs="Times New Roman"/>
      <w:bCs/>
      <w:kern w:val="2"/>
      <w:sz w:val="28"/>
      <w:szCs w:val="28"/>
      <w:lang w:bidi="ar-SA"/>
    </w:rPr>
  </w:style>
  <w:style w:type="paragraph" w:styleId="8">
    <w:name w:val="heading 6"/>
    <w:next w:val="1"/>
    <w:link w:val="61"/>
    <w:autoRedefine/>
    <w:qFormat/>
    <w:uiPriority w:val="0"/>
    <w:pPr>
      <w:keepNext/>
      <w:keepLines/>
      <w:widowControl w:val="0"/>
      <w:adjustRightInd w:val="0"/>
      <w:spacing w:before="120" w:line="300" w:lineRule="auto"/>
      <w:jc w:val="both"/>
      <w:outlineLvl w:val="5"/>
    </w:pPr>
    <w:rPr>
      <w:rFonts w:ascii="Times New Roman" w:hAnsi="Times New Roman" w:eastAsia="黑体" w:cs="Times New Roman"/>
      <w:bCs/>
      <w:kern w:val="2"/>
      <w:sz w:val="28"/>
      <w:szCs w:val="24"/>
      <w:lang w:bidi="ar-SA"/>
    </w:rPr>
  </w:style>
  <w:style w:type="paragraph" w:styleId="9">
    <w:name w:val="heading 7"/>
    <w:next w:val="1"/>
    <w:link w:val="62"/>
    <w:autoRedefine/>
    <w:qFormat/>
    <w:uiPriority w:val="0"/>
    <w:pPr>
      <w:keepNext/>
      <w:keepLines/>
      <w:widowControl w:val="0"/>
      <w:adjustRightInd w:val="0"/>
      <w:spacing w:before="120" w:line="300" w:lineRule="auto"/>
      <w:jc w:val="both"/>
      <w:outlineLvl w:val="6"/>
    </w:pPr>
    <w:rPr>
      <w:rFonts w:ascii="Times New Roman" w:hAnsi="Times New Roman" w:eastAsia="黑体" w:cs="Times New Roman"/>
      <w:bCs/>
      <w:kern w:val="2"/>
      <w:sz w:val="24"/>
      <w:szCs w:val="24"/>
      <w:lang w:bidi="ar-SA"/>
    </w:rPr>
  </w:style>
  <w:style w:type="paragraph" w:styleId="10">
    <w:name w:val="heading 8"/>
    <w:next w:val="1"/>
    <w:link w:val="63"/>
    <w:autoRedefine/>
    <w:qFormat/>
    <w:uiPriority w:val="0"/>
    <w:pPr>
      <w:keepNext/>
      <w:keepLines/>
      <w:widowControl w:val="0"/>
      <w:adjustRightInd w:val="0"/>
      <w:spacing w:before="120" w:line="300" w:lineRule="auto"/>
      <w:jc w:val="both"/>
      <w:outlineLvl w:val="7"/>
    </w:pPr>
    <w:rPr>
      <w:rFonts w:ascii="Times New Roman" w:hAnsi="Times New Roman" w:eastAsia="黑体" w:cs="Times New Roman"/>
      <w:kern w:val="2"/>
      <w:sz w:val="24"/>
      <w:szCs w:val="24"/>
      <w:lang w:bidi="ar-SA"/>
    </w:rPr>
  </w:style>
  <w:style w:type="paragraph" w:styleId="11">
    <w:name w:val="heading 9"/>
    <w:next w:val="1"/>
    <w:link w:val="64"/>
    <w:autoRedefine/>
    <w:qFormat/>
    <w:uiPriority w:val="0"/>
    <w:pPr>
      <w:keepNext/>
      <w:keepLines/>
      <w:widowControl w:val="0"/>
      <w:adjustRightInd w:val="0"/>
      <w:spacing w:before="120" w:line="300" w:lineRule="auto"/>
      <w:jc w:val="both"/>
      <w:outlineLvl w:val="8"/>
    </w:pPr>
    <w:rPr>
      <w:rFonts w:ascii="Times New Roman" w:hAnsi="Times New Roman" w:eastAsia="黑体" w:cs="Times New Roman"/>
      <w:kern w:val="2"/>
      <w:sz w:val="21"/>
      <w:szCs w:val="21"/>
      <w:lang w:bidi="ar-SA"/>
    </w:rPr>
  </w:style>
  <w:style w:type="character" w:default="1" w:styleId="46">
    <w:name w:val="Default Paragraph Font"/>
    <w:autoRedefine/>
    <w:unhideWhenUsed/>
    <w:qFormat/>
    <w:uiPriority w:val="1"/>
  </w:style>
  <w:style w:type="table" w:default="1" w:styleId="43">
    <w:name w:val="Normal Table"/>
    <w:autoRedefine/>
    <w:unhideWhenUsed/>
    <w:qFormat/>
    <w:uiPriority w:val="99"/>
    <w:tblPr>
      <w:tblCellMar>
        <w:top w:w="0" w:type="dxa"/>
        <w:left w:w="108" w:type="dxa"/>
        <w:bottom w:w="0" w:type="dxa"/>
        <w:right w:w="108" w:type="dxa"/>
      </w:tblCellMar>
    </w:tblPr>
  </w:style>
  <w:style w:type="paragraph" w:styleId="5">
    <w:name w:val="Normal Indent"/>
    <w:basedOn w:val="1"/>
    <w:link w:val="58"/>
    <w:autoRedefine/>
    <w:qFormat/>
    <w:uiPriority w:val="0"/>
    <w:pPr>
      <w:autoSpaceDE w:val="0"/>
      <w:autoSpaceDN w:val="0"/>
      <w:adjustRightInd w:val="0"/>
      <w:ind w:firstLine="420"/>
      <w:jc w:val="left"/>
    </w:pPr>
    <w:rPr>
      <w:rFonts w:ascii="宋体"/>
      <w:sz w:val="24"/>
    </w:rPr>
  </w:style>
  <w:style w:type="paragraph" w:styleId="12">
    <w:name w:val="toc 7"/>
    <w:basedOn w:val="1"/>
    <w:next w:val="1"/>
    <w:autoRedefine/>
    <w:qFormat/>
    <w:uiPriority w:val="0"/>
    <w:pPr>
      <w:ind w:left="2520" w:leftChars="1200"/>
    </w:pPr>
  </w:style>
  <w:style w:type="paragraph" w:styleId="13">
    <w:name w:val="caption"/>
    <w:basedOn w:val="1"/>
    <w:next w:val="1"/>
    <w:autoRedefine/>
    <w:qFormat/>
    <w:uiPriority w:val="0"/>
    <w:pPr>
      <w:spacing w:line="480" w:lineRule="auto"/>
    </w:pPr>
    <w:rPr>
      <w:rFonts w:ascii="华文中宋" w:hAnsi="华文中宋" w:eastAsia="华文中宋"/>
      <w:sz w:val="36"/>
      <w:szCs w:val="20"/>
    </w:rPr>
  </w:style>
  <w:style w:type="paragraph" w:styleId="14">
    <w:name w:val="Document Map"/>
    <w:basedOn w:val="1"/>
    <w:link w:val="65"/>
    <w:autoRedefine/>
    <w:qFormat/>
    <w:uiPriority w:val="0"/>
    <w:pPr>
      <w:shd w:val="clear" w:color="auto" w:fill="000080"/>
    </w:pPr>
  </w:style>
  <w:style w:type="paragraph" w:styleId="15">
    <w:name w:val="annotation text"/>
    <w:basedOn w:val="1"/>
    <w:link w:val="66"/>
    <w:autoRedefine/>
    <w:qFormat/>
    <w:uiPriority w:val="99"/>
    <w:pPr>
      <w:jc w:val="left"/>
    </w:pPr>
  </w:style>
  <w:style w:type="paragraph" w:styleId="16">
    <w:name w:val="Body Text 3"/>
    <w:basedOn w:val="1"/>
    <w:link w:val="67"/>
    <w:autoRedefine/>
    <w:qFormat/>
    <w:uiPriority w:val="0"/>
    <w:pPr>
      <w:spacing w:after="120"/>
    </w:pPr>
    <w:rPr>
      <w:sz w:val="16"/>
      <w:szCs w:val="16"/>
    </w:rPr>
  </w:style>
  <w:style w:type="paragraph" w:styleId="17">
    <w:name w:val="Body Text"/>
    <w:basedOn w:val="1"/>
    <w:next w:val="1"/>
    <w:link w:val="68"/>
    <w:autoRedefine/>
    <w:qFormat/>
    <w:uiPriority w:val="0"/>
    <w:pPr>
      <w:widowControl w:val="0"/>
      <w:adjustRightInd w:val="0"/>
      <w:spacing w:before="100" w:after="100" w:afterLines="0" w:afterAutospacing="0" w:line="300" w:lineRule="auto"/>
      <w:ind w:firstLine="1044" w:firstLineChars="200"/>
      <w:jc w:val="both"/>
    </w:pPr>
    <w:rPr>
      <w:rFonts w:ascii="Times New Roman" w:hAnsi="Times New Roman" w:eastAsia="宋体" w:cs="Times New Roman"/>
      <w:kern w:val="2"/>
      <w:sz w:val="24"/>
      <w:szCs w:val="24"/>
      <w:lang w:bidi="ar-SA"/>
    </w:rPr>
  </w:style>
  <w:style w:type="paragraph" w:styleId="18">
    <w:name w:val="Body Text Indent"/>
    <w:basedOn w:val="1"/>
    <w:link w:val="54"/>
    <w:autoRedefine/>
    <w:qFormat/>
    <w:uiPriority w:val="0"/>
    <w:pPr>
      <w:spacing w:line="360" w:lineRule="auto"/>
      <w:ind w:firstLine="570"/>
    </w:pPr>
    <w:rPr>
      <w:sz w:val="24"/>
    </w:rPr>
  </w:style>
  <w:style w:type="paragraph" w:styleId="19">
    <w:name w:val="List 2"/>
    <w:basedOn w:val="1"/>
    <w:autoRedefine/>
    <w:qFormat/>
    <w:uiPriority w:val="0"/>
    <w:pPr>
      <w:ind w:left="100" w:leftChars="200" w:hanging="200" w:hangingChars="200"/>
    </w:pPr>
  </w:style>
  <w:style w:type="paragraph" w:styleId="20">
    <w:name w:val="Block Text"/>
    <w:basedOn w:val="1"/>
    <w:autoRedefine/>
    <w:qFormat/>
    <w:uiPriority w:val="0"/>
    <w:pPr>
      <w:widowControl/>
      <w:ind w:left="480" w:right="-341" w:firstLine="513"/>
    </w:pPr>
    <w:rPr>
      <w:kern w:val="0"/>
      <w:sz w:val="24"/>
      <w:szCs w:val="20"/>
    </w:rPr>
  </w:style>
  <w:style w:type="paragraph" w:styleId="21">
    <w:name w:val="toc 5"/>
    <w:basedOn w:val="1"/>
    <w:next w:val="1"/>
    <w:autoRedefine/>
    <w:qFormat/>
    <w:uiPriority w:val="0"/>
    <w:pPr>
      <w:ind w:left="1680" w:leftChars="800"/>
    </w:pPr>
  </w:style>
  <w:style w:type="paragraph" w:styleId="22">
    <w:name w:val="toc 3"/>
    <w:basedOn w:val="1"/>
    <w:next w:val="1"/>
    <w:autoRedefine/>
    <w:qFormat/>
    <w:uiPriority w:val="39"/>
    <w:pPr>
      <w:ind w:left="840" w:leftChars="400"/>
    </w:pPr>
  </w:style>
  <w:style w:type="paragraph" w:styleId="23">
    <w:name w:val="Plain Text"/>
    <w:basedOn w:val="1"/>
    <w:link w:val="80"/>
    <w:autoRedefine/>
    <w:qFormat/>
    <w:uiPriority w:val="0"/>
    <w:rPr>
      <w:rFonts w:hint="eastAsia" w:ascii="宋体" w:hAnsi="Courier New"/>
      <w:szCs w:val="20"/>
    </w:rPr>
  </w:style>
  <w:style w:type="paragraph" w:styleId="24">
    <w:name w:val="toc 8"/>
    <w:basedOn w:val="1"/>
    <w:next w:val="1"/>
    <w:autoRedefine/>
    <w:qFormat/>
    <w:uiPriority w:val="0"/>
    <w:pPr>
      <w:ind w:left="2940" w:leftChars="1400"/>
    </w:pPr>
  </w:style>
  <w:style w:type="paragraph" w:styleId="25">
    <w:name w:val="Date"/>
    <w:basedOn w:val="1"/>
    <w:next w:val="1"/>
    <w:link w:val="70"/>
    <w:autoRedefine/>
    <w:qFormat/>
    <w:uiPriority w:val="0"/>
    <w:pPr>
      <w:ind w:left="100" w:leftChars="2500"/>
    </w:pPr>
    <w:rPr>
      <w:rFonts w:ascii="仿宋_GB2312" w:hAnsi="宋体" w:eastAsia="仿宋_GB2312"/>
      <w:color w:val="000000"/>
      <w:sz w:val="24"/>
    </w:rPr>
  </w:style>
  <w:style w:type="paragraph" w:styleId="26">
    <w:name w:val="Body Text Indent 2"/>
    <w:basedOn w:val="1"/>
    <w:link w:val="71"/>
    <w:autoRedefine/>
    <w:qFormat/>
    <w:uiPriority w:val="0"/>
    <w:pPr>
      <w:ind w:firstLine="480" w:firstLineChars="200"/>
    </w:pPr>
    <w:rPr>
      <w:rFonts w:ascii="仿宋_GB2312" w:eastAsia="仿宋_GB2312"/>
      <w:sz w:val="24"/>
    </w:rPr>
  </w:style>
  <w:style w:type="paragraph" w:styleId="27">
    <w:name w:val="Balloon Text"/>
    <w:basedOn w:val="1"/>
    <w:link w:val="72"/>
    <w:autoRedefine/>
    <w:qFormat/>
    <w:uiPriority w:val="0"/>
    <w:rPr>
      <w:sz w:val="18"/>
      <w:szCs w:val="18"/>
    </w:rPr>
  </w:style>
  <w:style w:type="paragraph" w:styleId="28">
    <w:name w:val="footer"/>
    <w:basedOn w:val="1"/>
    <w:link w:val="73"/>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4"/>
    <w:autoRedefine/>
    <w:qFormat/>
    <w:uiPriority w:val="0"/>
    <w:pPr>
      <w:pBdr>
        <w:bottom w:val="none" w:color="auto" w:sz="0" w:space="1"/>
      </w:pBdr>
      <w:tabs>
        <w:tab w:val="center" w:pos="4153"/>
        <w:tab w:val="right" w:pos="8306"/>
      </w:tabs>
      <w:snapToGrid w:val="0"/>
      <w:jc w:val="center"/>
    </w:pPr>
    <w:rPr>
      <w:sz w:val="18"/>
      <w:szCs w:val="18"/>
    </w:rPr>
  </w:style>
  <w:style w:type="paragraph" w:styleId="30">
    <w:name w:val="toc 1"/>
    <w:basedOn w:val="1"/>
    <w:next w:val="1"/>
    <w:autoRedefine/>
    <w:qFormat/>
    <w:uiPriority w:val="39"/>
    <w:pPr>
      <w:tabs>
        <w:tab w:val="left" w:pos="1050"/>
        <w:tab w:val="right" w:leader="dot" w:pos="8937"/>
      </w:tabs>
      <w:spacing w:line="480" w:lineRule="auto"/>
    </w:pPr>
    <w:rPr>
      <w:rFonts w:ascii="Times New Roman" w:hAnsi="Times New Roman"/>
      <w:b/>
      <w:sz w:val="24"/>
      <w:szCs w:val="36"/>
    </w:rPr>
  </w:style>
  <w:style w:type="paragraph" w:styleId="31">
    <w:name w:val="toc 4"/>
    <w:basedOn w:val="1"/>
    <w:next w:val="1"/>
    <w:autoRedefine/>
    <w:qFormat/>
    <w:uiPriority w:val="0"/>
    <w:pPr>
      <w:ind w:left="1260" w:leftChars="600"/>
    </w:pPr>
  </w:style>
  <w:style w:type="paragraph" w:styleId="32">
    <w:name w:val="Subtitle"/>
    <w:qFormat/>
    <w:uiPriority w:val="0"/>
    <w:pPr>
      <w:widowControl w:val="0"/>
      <w:adjustRightInd w:val="0"/>
      <w:spacing w:before="100" w:after="100" w:line="240" w:lineRule="auto"/>
      <w:jc w:val="center"/>
      <w:outlineLvl w:val="9"/>
    </w:pPr>
    <w:rPr>
      <w:rFonts w:ascii="Times New Roman" w:hAnsi="Times New Roman" w:eastAsia="黑体" w:cs="Times New Roman"/>
      <w:kern w:val="28"/>
      <w:sz w:val="32"/>
      <w:szCs w:val="24"/>
      <w:lang w:bidi="ar-SA"/>
    </w:rPr>
  </w:style>
  <w:style w:type="paragraph" w:styleId="33">
    <w:name w:val="toc 6"/>
    <w:basedOn w:val="1"/>
    <w:next w:val="1"/>
    <w:autoRedefine/>
    <w:qFormat/>
    <w:uiPriority w:val="0"/>
    <w:pPr>
      <w:ind w:left="2100" w:leftChars="1000"/>
    </w:pPr>
  </w:style>
  <w:style w:type="paragraph" w:styleId="34">
    <w:name w:val="Body Text Indent 3"/>
    <w:basedOn w:val="1"/>
    <w:link w:val="75"/>
    <w:autoRedefine/>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5">
    <w:name w:val="toc 2"/>
    <w:basedOn w:val="1"/>
    <w:next w:val="1"/>
    <w:autoRedefine/>
    <w:qFormat/>
    <w:uiPriority w:val="39"/>
    <w:pPr>
      <w:tabs>
        <w:tab w:val="right" w:leader="dot" w:pos="8937"/>
      </w:tabs>
      <w:spacing w:line="312" w:lineRule="auto"/>
      <w:ind w:left="420" w:leftChars="200"/>
    </w:pPr>
  </w:style>
  <w:style w:type="paragraph" w:styleId="36">
    <w:name w:val="toc 9"/>
    <w:basedOn w:val="1"/>
    <w:next w:val="1"/>
    <w:autoRedefine/>
    <w:qFormat/>
    <w:uiPriority w:val="0"/>
    <w:pPr>
      <w:ind w:left="3360" w:leftChars="1600"/>
    </w:pPr>
  </w:style>
  <w:style w:type="paragraph" w:styleId="37">
    <w:name w:val="HTML Preformatted"/>
    <w:basedOn w:val="1"/>
    <w:link w:val="76"/>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8">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39">
    <w:name w:val="index 1"/>
    <w:basedOn w:val="1"/>
    <w:next w:val="1"/>
    <w:autoRedefine/>
    <w:qFormat/>
    <w:uiPriority w:val="0"/>
    <w:rPr>
      <w:szCs w:val="20"/>
    </w:rPr>
  </w:style>
  <w:style w:type="paragraph" w:styleId="40">
    <w:name w:val="Title"/>
    <w:link w:val="77"/>
    <w:autoRedefine/>
    <w:qFormat/>
    <w:uiPriority w:val="0"/>
    <w:pPr>
      <w:widowControl w:val="0"/>
      <w:adjustRightInd w:val="0"/>
      <w:spacing w:before="100" w:beforeAutospacing="0" w:after="100" w:afterAutospacing="0" w:line="240" w:lineRule="auto"/>
      <w:jc w:val="center"/>
      <w:outlineLvl w:val="9"/>
    </w:pPr>
    <w:rPr>
      <w:rFonts w:ascii="Times New Roman" w:hAnsi="Times New Roman" w:eastAsia="黑体" w:cs="Times New Roman"/>
      <w:kern w:val="2"/>
      <w:sz w:val="36"/>
      <w:szCs w:val="24"/>
      <w:lang w:bidi="ar-SA"/>
    </w:rPr>
  </w:style>
  <w:style w:type="paragraph" w:styleId="41">
    <w:name w:val="annotation subject"/>
    <w:basedOn w:val="15"/>
    <w:next w:val="15"/>
    <w:link w:val="78"/>
    <w:autoRedefine/>
    <w:qFormat/>
    <w:uiPriority w:val="0"/>
    <w:rPr>
      <w:b/>
      <w:bCs/>
    </w:rPr>
  </w:style>
  <w:style w:type="paragraph" w:styleId="42">
    <w:name w:val="Body Text First Indent 2"/>
    <w:basedOn w:val="18"/>
    <w:link w:val="79"/>
    <w:autoRedefine/>
    <w:qFormat/>
    <w:uiPriority w:val="0"/>
    <w:pPr>
      <w:spacing w:after="120" w:line="480" w:lineRule="exact"/>
      <w:ind w:left="420" w:leftChars="200" w:firstLine="420" w:firstLineChars="200"/>
    </w:pPr>
    <w:rPr>
      <w:szCs w:val="20"/>
    </w:rPr>
  </w:style>
  <w:style w:type="table" w:styleId="44">
    <w:name w:val="Table Grid"/>
    <w:basedOn w:val="43"/>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5">
    <w:name w:val="Medium Grid 1 Accent 2"/>
    <w:basedOn w:val="43"/>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7">
    <w:name w:val="Strong"/>
    <w:basedOn w:val="46"/>
    <w:autoRedefine/>
    <w:qFormat/>
    <w:uiPriority w:val="0"/>
    <w:rPr>
      <w:b/>
      <w:bCs/>
    </w:rPr>
  </w:style>
  <w:style w:type="character" w:styleId="48">
    <w:name w:val="page number"/>
    <w:autoRedefine/>
    <w:qFormat/>
    <w:uiPriority w:val="0"/>
  </w:style>
  <w:style w:type="character" w:styleId="49">
    <w:name w:val="FollowedHyperlink"/>
    <w:autoRedefine/>
    <w:qFormat/>
    <w:uiPriority w:val="0"/>
    <w:rPr>
      <w:color w:val="800080"/>
      <w:u w:val="single"/>
    </w:rPr>
  </w:style>
  <w:style w:type="character" w:styleId="50">
    <w:name w:val="Emphasis"/>
    <w:autoRedefine/>
    <w:qFormat/>
    <w:uiPriority w:val="0"/>
    <w:rPr>
      <w:color w:val="CC0033"/>
    </w:rPr>
  </w:style>
  <w:style w:type="character" w:styleId="51">
    <w:name w:val="Hyperlink"/>
    <w:autoRedefine/>
    <w:qFormat/>
    <w:uiPriority w:val="99"/>
    <w:rPr>
      <w:color w:val="0000FF"/>
      <w:u w:val="single"/>
    </w:rPr>
  </w:style>
  <w:style w:type="character" w:styleId="52">
    <w:name w:val="annotation reference"/>
    <w:autoRedefine/>
    <w:qFormat/>
    <w:uiPriority w:val="99"/>
    <w:rPr>
      <w:sz w:val="21"/>
      <w:szCs w:val="21"/>
    </w:rPr>
  </w:style>
  <w:style w:type="character" w:styleId="53">
    <w:name w:val="HTML Cite"/>
    <w:autoRedefine/>
    <w:qFormat/>
    <w:uiPriority w:val="0"/>
    <w:rPr>
      <w:i/>
      <w:iCs/>
    </w:rPr>
  </w:style>
  <w:style w:type="character" w:customStyle="1" w:styleId="54">
    <w:name w:val="正文文本缩进 字符"/>
    <w:link w:val="18"/>
    <w:autoRedefine/>
    <w:qFormat/>
    <w:uiPriority w:val="0"/>
    <w:rPr>
      <w:rFonts w:eastAsia="宋体"/>
      <w:kern w:val="2"/>
      <w:sz w:val="24"/>
      <w:szCs w:val="24"/>
      <w:lang w:val="en-US" w:eastAsia="zh-CN" w:bidi="ar-SA"/>
    </w:rPr>
  </w:style>
  <w:style w:type="character" w:customStyle="1" w:styleId="55">
    <w:name w:val="标题 1 字符"/>
    <w:link w:val="2"/>
    <w:autoRedefine/>
    <w:qFormat/>
    <w:uiPriority w:val="0"/>
    <w:rPr>
      <w:rFonts w:ascii="宋体"/>
      <w:b/>
      <w:kern w:val="44"/>
      <w:sz w:val="32"/>
    </w:rPr>
  </w:style>
  <w:style w:type="character" w:customStyle="1" w:styleId="56">
    <w:name w:val="标题 2 字符"/>
    <w:link w:val="3"/>
    <w:autoRedefine/>
    <w:qFormat/>
    <w:uiPriority w:val="0"/>
    <w:rPr>
      <w:rFonts w:ascii="Arial" w:hAnsi="Arial" w:eastAsia="黑体"/>
      <w:b/>
      <w:sz w:val="30"/>
      <w:lang w:val="en-US" w:eastAsia="zh-CN" w:bidi="ar-SA"/>
    </w:rPr>
  </w:style>
  <w:style w:type="character" w:customStyle="1" w:styleId="57">
    <w:name w:val="标题 3 字符"/>
    <w:link w:val="4"/>
    <w:autoRedefine/>
    <w:qFormat/>
    <w:uiPriority w:val="0"/>
    <w:rPr>
      <w:rFonts w:ascii="宋体" w:eastAsia="宋体"/>
      <w:b/>
      <w:sz w:val="24"/>
      <w:u w:val="single"/>
      <w:lang w:val="en-US" w:eastAsia="zh-CN" w:bidi="ar-SA"/>
    </w:rPr>
  </w:style>
  <w:style w:type="character" w:customStyle="1" w:styleId="58">
    <w:name w:val="正文缩进 字符"/>
    <w:link w:val="5"/>
    <w:autoRedefine/>
    <w:qFormat/>
    <w:uiPriority w:val="0"/>
    <w:rPr>
      <w:rFonts w:ascii="宋体" w:eastAsia="宋体"/>
      <w:kern w:val="2"/>
      <w:sz w:val="24"/>
      <w:szCs w:val="24"/>
      <w:lang w:val="en-US" w:eastAsia="zh-CN" w:bidi="ar-SA"/>
    </w:rPr>
  </w:style>
  <w:style w:type="character" w:customStyle="1" w:styleId="59">
    <w:name w:val="标题 4 字符"/>
    <w:link w:val="6"/>
    <w:autoRedefine/>
    <w:qFormat/>
    <w:uiPriority w:val="0"/>
    <w:rPr>
      <w:rFonts w:ascii="Arial" w:hAnsi="Arial" w:eastAsia="黑体"/>
      <w:b/>
      <w:sz w:val="28"/>
    </w:rPr>
  </w:style>
  <w:style w:type="character" w:customStyle="1" w:styleId="60">
    <w:name w:val="标题 5 字符"/>
    <w:link w:val="7"/>
    <w:autoRedefine/>
    <w:qFormat/>
    <w:uiPriority w:val="0"/>
    <w:rPr>
      <w:b/>
      <w:sz w:val="28"/>
    </w:rPr>
  </w:style>
  <w:style w:type="character" w:customStyle="1" w:styleId="61">
    <w:name w:val="标题 6 字符"/>
    <w:link w:val="8"/>
    <w:autoRedefine/>
    <w:qFormat/>
    <w:uiPriority w:val="0"/>
    <w:rPr>
      <w:rFonts w:ascii="Arial" w:hAnsi="Arial" w:eastAsia="黑体"/>
      <w:b/>
      <w:sz w:val="24"/>
    </w:rPr>
  </w:style>
  <w:style w:type="character" w:customStyle="1" w:styleId="62">
    <w:name w:val="标题 7 字符"/>
    <w:link w:val="9"/>
    <w:autoRedefine/>
    <w:qFormat/>
    <w:uiPriority w:val="0"/>
    <w:rPr>
      <w:b/>
      <w:sz w:val="24"/>
    </w:rPr>
  </w:style>
  <w:style w:type="character" w:customStyle="1" w:styleId="63">
    <w:name w:val="标题 8 字符"/>
    <w:link w:val="10"/>
    <w:autoRedefine/>
    <w:qFormat/>
    <w:uiPriority w:val="0"/>
    <w:rPr>
      <w:rFonts w:ascii="Arial" w:hAnsi="Arial" w:eastAsia="黑体"/>
      <w:sz w:val="24"/>
    </w:rPr>
  </w:style>
  <w:style w:type="character" w:customStyle="1" w:styleId="64">
    <w:name w:val="标题 9 字符"/>
    <w:link w:val="11"/>
    <w:autoRedefine/>
    <w:qFormat/>
    <w:uiPriority w:val="0"/>
    <w:rPr>
      <w:rFonts w:ascii="Arial" w:hAnsi="Arial" w:eastAsia="黑体"/>
      <w:sz w:val="21"/>
    </w:rPr>
  </w:style>
  <w:style w:type="character" w:customStyle="1" w:styleId="65">
    <w:name w:val="文档结构图 字符"/>
    <w:link w:val="14"/>
    <w:autoRedefine/>
    <w:qFormat/>
    <w:uiPriority w:val="0"/>
    <w:rPr>
      <w:kern w:val="2"/>
      <w:sz w:val="21"/>
      <w:szCs w:val="24"/>
      <w:shd w:val="clear" w:color="auto" w:fill="000080"/>
    </w:rPr>
  </w:style>
  <w:style w:type="character" w:customStyle="1" w:styleId="66">
    <w:name w:val="批注文字 字符1"/>
    <w:link w:val="15"/>
    <w:autoRedefine/>
    <w:qFormat/>
    <w:uiPriority w:val="99"/>
    <w:rPr>
      <w:kern w:val="2"/>
      <w:sz w:val="21"/>
      <w:szCs w:val="24"/>
    </w:rPr>
  </w:style>
  <w:style w:type="character" w:customStyle="1" w:styleId="67">
    <w:name w:val="正文文本 3 字符"/>
    <w:link w:val="16"/>
    <w:autoRedefine/>
    <w:qFormat/>
    <w:uiPriority w:val="0"/>
    <w:rPr>
      <w:kern w:val="2"/>
      <w:sz w:val="16"/>
      <w:szCs w:val="16"/>
    </w:rPr>
  </w:style>
  <w:style w:type="character" w:customStyle="1" w:styleId="68">
    <w:name w:val="正文文本 字符"/>
    <w:link w:val="17"/>
    <w:autoRedefine/>
    <w:qFormat/>
    <w:uiPriority w:val="0"/>
    <w:rPr>
      <w:rFonts w:ascii="宋体" w:hAnsi="宋体"/>
      <w:kern w:val="2"/>
      <w:sz w:val="24"/>
      <w:szCs w:val="24"/>
    </w:rPr>
  </w:style>
  <w:style w:type="character" w:customStyle="1" w:styleId="69">
    <w:name w:val="纯文本 字符1"/>
    <w:link w:val="23"/>
    <w:autoRedefine/>
    <w:qFormat/>
    <w:uiPriority w:val="0"/>
    <w:rPr>
      <w:rFonts w:ascii="宋体" w:hAnsi="Courier New"/>
    </w:rPr>
  </w:style>
  <w:style w:type="character" w:customStyle="1" w:styleId="70">
    <w:name w:val="日期 字符"/>
    <w:link w:val="25"/>
    <w:autoRedefine/>
    <w:qFormat/>
    <w:uiPriority w:val="0"/>
    <w:rPr>
      <w:rFonts w:ascii="仿宋_GB2312" w:hAnsi="宋体" w:eastAsia="仿宋_GB2312"/>
      <w:color w:val="000000"/>
      <w:kern w:val="2"/>
      <w:sz w:val="24"/>
      <w:szCs w:val="24"/>
    </w:rPr>
  </w:style>
  <w:style w:type="character" w:customStyle="1" w:styleId="71">
    <w:name w:val="正文文本缩进 2 字符"/>
    <w:link w:val="26"/>
    <w:autoRedefine/>
    <w:qFormat/>
    <w:uiPriority w:val="0"/>
    <w:rPr>
      <w:rFonts w:ascii="仿宋_GB2312" w:eastAsia="仿宋_GB2312"/>
      <w:kern w:val="2"/>
      <w:sz w:val="24"/>
      <w:szCs w:val="24"/>
    </w:rPr>
  </w:style>
  <w:style w:type="character" w:customStyle="1" w:styleId="72">
    <w:name w:val="批注框文本 字符"/>
    <w:link w:val="27"/>
    <w:autoRedefine/>
    <w:qFormat/>
    <w:uiPriority w:val="0"/>
    <w:rPr>
      <w:kern w:val="2"/>
      <w:sz w:val="18"/>
      <w:szCs w:val="18"/>
    </w:rPr>
  </w:style>
  <w:style w:type="character" w:customStyle="1" w:styleId="73">
    <w:name w:val="页脚 字符"/>
    <w:link w:val="28"/>
    <w:autoRedefine/>
    <w:qFormat/>
    <w:uiPriority w:val="99"/>
    <w:rPr>
      <w:rFonts w:ascii="宋体" w:eastAsia="宋体"/>
      <w:sz w:val="18"/>
      <w:lang w:val="en-US" w:eastAsia="zh-CN" w:bidi="ar-SA"/>
    </w:rPr>
  </w:style>
  <w:style w:type="character" w:customStyle="1" w:styleId="74">
    <w:name w:val="页眉 字符"/>
    <w:link w:val="29"/>
    <w:autoRedefine/>
    <w:qFormat/>
    <w:uiPriority w:val="0"/>
    <w:rPr>
      <w:rFonts w:eastAsia="宋体"/>
      <w:kern w:val="2"/>
      <w:sz w:val="18"/>
      <w:szCs w:val="18"/>
      <w:lang w:val="en-US" w:eastAsia="zh-CN" w:bidi="ar-SA"/>
    </w:rPr>
  </w:style>
  <w:style w:type="character" w:customStyle="1" w:styleId="75">
    <w:name w:val="正文文本缩进 3 字符"/>
    <w:link w:val="34"/>
    <w:autoRedefine/>
    <w:qFormat/>
    <w:uiPriority w:val="0"/>
    <w:rPr>
      <w:rFonts w:ascii="宋体"/>
      <w:sz w:val="24"/>
    </w:rPr>
  </w:style>
  <w:style w:type="character" w:customStyle="1" w:styleId="76">
    <w:name w:val="HTML 预设格式 字符"/>
    <w:link w:val="37"/>
    <w:autoRedefine/>
    <w:qFormat/>
    <w:uiPriority w:val="0"/>
    <w:rPr>
      <w:rFonts w:ascii="宋体" w:hAnsi="宋体" w:cs="宋体"/>
      <w:sz w:val="24"/>
      <w:szCs w:val="24"/>
    </w:rPr>
  </w:style>
  <w:style w:type="character" w:customStyle="1" w:styleId="77">
    <w:name w:val="标题 字符"/>
    <w:link w:val="40"/>
    <w:autoRedefine/>
    <w:qFormat/>
    <w:uiPriority w:val="0"/>
    <w:rPr>
      <w:b/>
      <w:kern w:val="2"/>
      <w:sz w:val="32"/>
    </w:rPr>
  </w:style>
  <w:style w:type="character" w:customStyle="1" w:styleId="78">
    <w:name w:val="批注主题 字符"/>
    <w:link w:val="41"/>
    <w:autoRedefine/>
    <w:qFormat/>
    <w:uiPriority w:val="0"/>
    <w:rPr>
      <w:rFonts w:ascii="Times New Roman" w:hAnsi="Times New Roman" w:eastAsia="宋体" w:cs="Times New Roman"/>
      <w:b/>
      <w:bCs/>
      <w:kern w:val="2"/>
      <w:sz w:val="21"/>
      <w:szCs w:val="24"/>
      <w:lang w:val="en-US" w:eastAsia="zh-CN" w:bidi="ar-SA"/>
    </w:rPr>
  </w:style>
  <w:style w:type="character" w:customStyle="1" w:styleId="79">
    <w:name w:val="正文文本首行缩进 2 字符"/>
    <w:link w:val="42"/>
    <w:autoRedefine/>
    <w:qFormat/>
    <w:uiPriority w:val="0"/>
    <w:rPr>
      <w:rFonts w:eastAsia="宋体"/>
      <w:kern w:val="2"/>
      <w:sz w:val="24"/>
      <w:szCs w:val="24"/>
      <w:lang w:val="en-US" w:eastAsia="zh-CN" w:bidi="ar-SA"/>
    </w:rPr>
  </w:style>
  <w:style w:type="character" w:customStyle="1" w:styleId="80">
    <w:name w:val="纯文本 字符2"/>
    <w:link w:val="23"/>
    <w:autoRedefine/>
    <w:qFormat/>
    <w:uiPriority w:val="0"/>
    <w:rPr>
      <w:rFonts w:hint="eastAsia" w:ascii="宋体" w:hAnsi="Courier New" w:eastAsia="宋体" w:cs="宋体"/>
      <w:kern w:val="2"/>
      <w:sz w:val="21"/>
    </w:rPr>
  </w:style>
  <w:style w:type="character" w:customStyle="1" w:styleId="81">
    <w:name w:val="批注文字 字符"/>
    <w:autoRedefine/>
    <w:qFormat/>
    <w:uiPriority w:val="99"/>
    <w:rPr>
      <w:rFonts w:ascii="Times New Roman" w:hAnsi="Times New Roman" w:eastAsia="宋体" w:cs="Times New Roman"/>
      <w:sz w:val="24"/>
      <w:lang w:val="en-US" w:eastAsia="zh-CN" w:bidi="ar-SA"/>
    </w:rPr>
  </w:style>
  <w:style w:type="character" w:customStyle="1" w:styleId="82">
    <w:name w:val="c21"/>
    <w:autoRedefine/>
    <w:qFormat/>
    <w:uiPriority w:val="0"/>
    <w:rPr>
      <w:rFonts w:hint="default" w:ascii="ˎ̥" w:hAnsi="ˎ̥"/>
      <w:color w:val="000000"/>
      <w:sz w:val="20"/>
      <w:szCs w:val="20"/>
      <w:u w:val="none"/>
    </w:rPr>
  </w:style>
  <w:style w:type="character" w:customStyle="1" w:styleId="83">
    <w:name w:val="title4"/>
    <w:autoRedefine/>
    <w:qFormat/>
    <w:uiPriority w:val="0"/>
    <w:rPr>
      <w:b/>
      <w:bCs/>
      <w:color w:val="1D87B3"/>
      <w:sz w:val="15"/>
      <w:szCs w:val="15"/>
    </w:rPr>
  </w:style>
  <w:style w:type="character" w:customStyle="1" w:styleId="84">
    <w:name w:val="标题 2 Char Char"/>
    <w:autoRedefine/>
    <w:qFormat/>
    <w:uiPriority w:val="0"/>
    <w:rPr>
      <w:rFonts w:ascii="Arial" w:hAnsi="Arial" w:eastAsia="黑体"/>
      <w:b/>
      <w:bCs/>
      <w:kern w:val="2"/>
      <w:sz w:val="32"/>
      <w:szCs w:val="32"/>
      <w:lang w:val="en-US" w:eastAsia="zh-CN" w:bidi="ar-SA"/>
    </w:rPr>
  </w:style>
  <w:style w:type="character" w:customStyle="1" w:styleId="85">
    <w:name w:val="black1"/>
    <w:autoRedefine/>
    <w:qFormat/>
    <w:uiPriority w:val="0"/>
    <w:rPr>
      <w:color w:val="000000"/>
    </w:rPr>
  </w:style>
  <w:style w:type="character" w:customStyle="1" w:styleId="86">
    <w:name w:val="street-address"/>
    <w:autoRedefine/>
    <w:qFormat/>
    <w:uiPriority w:val="0"/>
  </w:style>
  <w:style w:type="character" w:customStyle="1" w:styleId="87">
    <w:name w:val="locality"/>
    <w:autoRedefine/>
    <w:qFormat/>
    <w:uiPriority w:val="0"/>
  </w:style>
  <w:style w:type="character" w:customStyle="1" w:styleId="88">
    <w:name w:val="正文文本缩进 Char1"/>
    <w:link w:val="89"/>
    <w:autoRedefine/>
    <w:qFormat/>
    <w:uiPriority w:val="0"/>
    <w:rPr>
      <w:rFonts w:ascii="宋体" w:hAnsi="宋体" w:eastAsia="宋体"/>
      <w:sz w:val="24"/>
      <w:szCs w:val="24"/>
      <w:lang w:bidi="ar-SA"/>
    </w:rPr>
  </w:style>
  <w:style w:type="paragraph" w:customStyle="1" w:styleId="89">
    <w:name w:val="正文文本缩进1"/>
    <w:basedOn w:val="1"/>
    <w:link w:val="88"/>
    <w:autoRedefine/>
    <w:qFormat/>
    <w:uiPriority w:val="0"/>
    <w:pPr>
      <w:spacing w:line="480" w:lineRule="exact"/>
      <w:ind w:firstLine="480" w:firstLineChars="200"/>
    </w:pPr>
    <w:rPr>
      <w:rFonts w:ascii="宋体" w:hAnsi="宋体"/>
      <w:kern w:val="0"/>
      <w:sz w:val="24"/>
    </w:rPr>
  </w:style>
  <w:style w:type="character" w:customStyle="1" w:styleId="90">
    <w:name w:val="Char Char11"/>
    <w:autoRedefine/>
    <w:qFormat/>
    <w:uiPriority w:val="0"/>
    <w:rPr>
      <w:rFonts w:ascii="宋体" w:eastAsia="宋体"/>
      <w:b/>
      <w:sz w:val="24"/>
      <w:u w:val="single"/>
      <w:lang w:val="en-US" w:eastAsia="zh-CN" w:bidi="ar-SA"/>
    </w:rPr>
  </w:style>
  <w:style w:type="character" w:customStyle="1" w:styleId="91">
    <w:name w:val="txt"/>
    <w:autoRedefine/>
    <w:qFormat/>
    <w:uiPriority w:val="0"/>
  </w:style>
  <w:style w:type="character" w:customStyle="1" w:styleId="92">
    <w:name w:val="正文缩进 Char Char"/>
    <w:link w:val="93"/>
    <w:autoRedefine/>
    <w:qFormat/>
    <w:uiPriority w:val="0"/>
    <w:rPr>
      <w:rFonts w:ascii="宋体" w:eastAsia="宋体"/>
      <w:snapToGrid w:val="0"/>
      <w:color w:val="000000"/>
      <w:kern w:val="28"/>
      <w:sz w:val="28"/>
      <w:lang w:bidi="ar-SA"/>
    </w:rPr>
  </w:style>
  <w:style w:type="paragraph" w:customStyle="1" w:styleId="93">
    <w:name w:val="正文缩进1"/>
    <w:basedOn w:val="1"/>
    <w:link w:val="92"/>
    <w:autoRedefine/>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4">
    <w:name w:val="普通文字1 Char1"/>
    <w:autoRedefine/>
    <w:qFormat/>
    <w:uiPriority w:val="0"/>
    <w:rPr>
      <w:rFonts w:ascii="宋体" w:hAnsi="Courier New" w:eastAsia="宋体"/>
      <w:kern w:val="2"/>
      <w:sz w:val="21"/>
      <w:lang w:val="en-US" w:eastAsia="zh-CN" w:bidi="ar-SA"/>
    </w:rPr>
  </w:style>
  <w:style w:type="character" w:customStyle="1" w:styleId="95">
    <w:name w:val="chanpin1"/>
    <w:autoRedefine/>
    <w:qFormat/>
    <w:uiPriority w:val="0"/>
    <w:rPr>
      <w:rFonts w:hint="default" w:ascii="ˎ̥" w:hAnsi="ˎ̥"/>
      <w:color w:val="000000"/>
      <w:sz w:val="20"/>
      <w:szCs w:val="20"/>
      <w:u w:val="none"/>
    </w:rPr>
  </w:style>
  <w:style w:type="character" w:customStyle="1" w:styleId="96">
    <w:name w:val="列表段落 字符"/>
    <w:link w:val="97"/>
    <w:autoRedefine/>
    <w:qFormat/>
    <w:uiPriority w:val="34"/>
    <w:rPr>
      <w:rFonts w:ascii="Calibri" w:hAnsi="Calibri" w:eastAsia="宋体"/>
      <w:kern w:val="2"/>
      <w:sz w:val="21"/>
      <w:szCs w:val="22"/>
      <w:lang w:val="en-US" w:eastAsia="zh-CN" w:bidi="ar-SA"/>
    </w:rPr>
  </w:style>
  <w:style w:type="paragraph" w:styleId="97">
    <w:name w:val="List Paragraph"/>
    <w:basedOn w:val="1"/>
    <w:link w:val="96"/>
    <w:autoRedefine/>
    <w:qFormat/>
    <w:uiPriority w:val="34"/>
    <w:pPr>
      <w:ind w:firstLine="420" w:firstLineChars="200"/>
    </w:pPr>
    <w:rPr>
      <w:rFonts w:ascii="Calibri" w:hAnsi="Calibri"/>
      <w:szCs w:val="22"/>
    </w:rPr>
  </w:style>
  <w:style w:type="character" w:customStyle="1" w:styleId="98">
    <w:name w:val="标题 3 Char Char"/>
    <w:autoRedefine/>
    <w:qFormat/>
    <w:uiPriority w:val="0"/>
    <w:rPr>
      <w:rFonts w:eastAsia="宋体"/>
      <w:b/>
      <w:bCs/>
      <w:kern w:val="2"/>
      <w:sz w:val="32"/>
      <w:szCs w:val="32"/>
      <w:lang w:val="en-US" w:eastAsia="zh-CN" w:bidi="ar-SA"/>
    </w:rPr>
  </w:style>
  <w:style w:type="character" w:customStyle="1" w:styleId="99">
    <w:name w:val="段1 Char"/>
    <w:autoRedefine/>
    <w:qFormat/>
    <w:uiPriority w:val="0"/>
    <w:rPr>
      <w:rFonts w:ascii="宋体" w:eastAsia="宋体"/>
      <w:sz w:val="24"/>
      <w:lang w:val="en-US" w:eastAsia="zh-CN" w:bidi="ar-SA"/>
    </w:rPr>
  </w:style>
  <w:style w:type="character" w:customStyle="1" w:styleId="100">
    <w:name w:val="chanpin拷贝"/>
    <w:autoRedefine/>
    <w:qFormat/>
    <w:uiPriority w:val="0"/>
  </w:style>
  <w:style w:type="character" w:customStyle="1" w:styleId="101">
    <w:name w:val="纯文本 Char1"/>
    <w:autoRedefine/>
    <w:qFormat/>
    <w:uiPriority w:val="0"/>
    <w:rPr>
      <w:rFonts w:ascii="宋体" w:hAnsi="Courier New" w:eastAsia="宋体"/>
      <w:kern w:val="2"/>
      <w:sz w:val="21"/>
      <w:lang w:val="en-US" w:eastAsia="zh-CN" w:bidi="ar-SA"/>
    </w:rPr>
  </w:style>
  <w:style w:type="character" w:customStyle="1" w:styleId="102">
    <w:name w:val="apple-style-span"/>
    <w:autoRedefine/>
    <w:qFormat/>
    <w:uiPriority w:val="0"/>
    <w:rPr>
      <w:rFonts w:cs="Times New Roman"/>
    </w:rPr>
  </w:style>
  <w:style w:type="paragraph" w:customStyle="1" w:styleId="103">
    <w:name w:val="二级条标题"/>
    <w:basedOn w:val="104"/>
    <w:next w:val="1"/>
    <w:autoRedefine/>
    <w:qFormat/>
    <w:uiPriority w:val="0"/>
    <w:pPr>
      <w:numPr>
        <w:ilvl w:val="0"/>
        <w:numId w:val="0"/>
      </w:numPr>
      <w:tabs>
        <w:tab w:val="left" w:pos="360"/>
        <w:tab w:val="left" w:pos="840"/>
      </w:tabs>
      <w:ind w:hanging="840"/>
      <w:outlineLvl w:val="2"/>
    </w:pPr>
    <w:rPr>
      <w:rFonts w:ascii="宋体" w:eastAsia="宋体"/>
    </w:rPr>
  </w:style>
  <w:style w:type="paragraph" w:customStyle="1" w:styleId="104">
    <w:name w:val="一级条标题"/>
    <w:basedOn w:val="105"/>
    <w:next w:val="1"/>
    <w:autoRedefine/>
    <w:qFormat/>
    <w:uiPriority w:val="0"/>
    <w:pPr>
      <w:tabs>
        <w:tab w:val="left" w:pos="360"/>
        <w:tab w:val="left" w:pos="840"/>
      </w:tabs>
      <w:ind w:left="0" w:hanging="840"/>
      <w:outlineLvl w:val="1"/>
    </w:pPr>
  </w:style>
  <w:style w:type="paragraph" w:customStyle="1" w:styleId="105">
    <w:name w:val="章标题"/>
    <w:next w:val="1"/>
    <w:autoRedefine/>
    <w:qFormat/>
    <w:uiPriority w:val="0"/>
    <w:pPr>
      <w:widowControl w:val="0"/>
      <w:adjustRightInd w:val="0"/>
      <w:spacing w:before="100" w:after="100" w:line="360" w:lineRule="auto"/>
      <w:jc w:val="center"/>
      <w:outlineLvl w:val="0"/>
    </w:pPr>
    <w:rPr>
      <w:rFonts w:ascii="Times New Roman" w:hAnsi="Times New Roman" w:eastAsia="黑体" w:cs="Times New Roman"/>
      <w:kern w:val="44"/>
      <w:sz w:val="36"/>
      <w:szCs w:val="44"/>
      <w:lang w:bidi="ar-SA"/>
    </w:rPr>
  </w:style>
  <w:style w:type="paragraph" w:customStyle="1" w:styleId="106">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07">
    <w:name w:val="字元 字元"/>
    <w:basedOn w:val="1"/>
    <w:autoRedefine/>
    <w:qFormat/>
    <w:uiPriority w:val="0"/>
    <w:rPr>
      <w:rFonts w:ascii="Tahoma" w:hAnsi="Tahoma"/>
      <w:sz w:val="24"/>
      <w:szCs w:val="20"/>
    </w:rPr>
  </w:style>
  <w:style w:type="paragraph" w:customStyle="1" w:styleId="108">
    <w:name w:val="Char3 Char Char Char"/>
    <w:basedOn w:val="1"/>
    <w:autoRedefine/>
    <w:qFormat/>
    <w:uiPriority w:val="0"/>
    <w:rPr>
      <w:rFonts w:ascii="Tahoma" w:hAnsi="Tahoma"/>
      <w:sz w:val="24"/>
      <w:szCs w:val="20"/>
    </w:rPr>
  </w:style>
  <w:style w:type="paragraph" w:customStyle="1" w:styleId="109">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110">
    <w:name w:val="项目编号2"/>
    <w:basedOn w:val="111"/>
    <w:autoRedefine/>
    <w:qFormat/>
    <w:uiPriority w:val="0"/>
    <w:pPr>
      <w:numPr>
        <w:numId w:val="1"/>
      </w:numPr>
    </w:pPr>
  </w:style>
  <w:style w:type="paragraph" w:customStyle="1" w:styleId="111">
    <w:name w:val="项目编号1"/>
    <w:basedOn w:val="1"/>
    <w:autoRedefine/>
    <w:qFormat/>
    <w:uiPriority w:val="0"/>
    <w:pPr>
      <w:numPr>
        <w:ilvl w:val="0"/>
        <w:numId w:val="2"/>
      </w:numPr>
      <w:spacing w:before="100" w:beforeAutospacing="1" w:after="100" w:afterAutospacing="1" w:line="360" w:lineRule="auto"/>
    </w:pPr>
    <w:rPr>
      <w:sz w:val="24"/>
    </w:rPr>
  </w:style>
  <w:style w:type="paragraph" w:customStyle="1" w:styleId="112">
    <w:name w:val="图中文字"/>
    <w:basedOn w:val="1"/>
    <w:autoRedefine/>
    <w:qFormat/>
    <w:uiPriority w:val="0"/>
    <w:pPr>
      <w:adjustRightInd w:val="0"/>
      <w:snapToGrid w:val="0"/>
      <w:spacing w:line="0" w:lineRule="atLeast"/>
      <w:jc w:val="center"/>
    </w:pPr>
    <w:rPr>
      <w:sz w:val="24"/>
      <w:szCs w:val="20"/>
    </w:rPr>
  </w:style>
  <w:style w:type="paragraph" w:customStyle="1" w:styleId="113">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4">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5">
    <w:name w:val="Char2"/>
    <w:basedOn w:val="1"/>
    <w:autoRedefine/>
    <w:qFormat/>
    <w:uiPriority w:val="0"/>
    <w:rPr>
      <w:rFonts w:ascii="Tahoma" w:hAnsi="Tahoma"/>
      <w:sz w:val="24"/>
      <w:szCs w:val="20"/>
    </w:rPr>
  </w:style>
  <w:style w:type="paragraph" w:customStyle="1" w:styleId="116">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7">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8">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19">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0">
    <w:name w:val="background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21">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122">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3">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4">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125">
    <w:name w:val="正文列项_数字"/>
    <w:basedOn w:val="1"/>
    <w:autoRedefine/>
    <w:qFormat/>
    <w:uiPriority w:val="0"/>
    <w:pPr>
      <w:numPr>
        <w:ilvl w:val="7"/>
        <w:numId w:val="3"/>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26">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7">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8">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29">
    <w:name w:val="font8"/>
    <w:basedOn w:val="1"/>
    <w:autoRedefine/>
    <w:qFormat/>
    <w:uiPriority w:val="0"/>
    <w:pPr>
      <w:widowControl/>
      <w:spacing w:before="100" w:beforeAutospacing="1" w:after="100" w:afterAutospacing="1"/>
      <w:jc w:val="left"/>
    </w:pPr>
    <w:rPr>
      <w:kern w:val="0"/>
      <w:sz w:val="36"/>
      <w:szCs w:val="36"/>
    </w:rPr>
  </w:style>
  <w:style w:type="paragraph" w:customStyle="1" w:styleId="130">
    <w:name w:val="Char"/>
    <w:basedOn w:val="1"/>
    <w:autoRedefine/>
    <w:qFormat/>
    <w:uiPriority w:val="0"/>
    <w:pPr>
      <w:tabs>
        <w:tab w:val="left" w:pos="360"/>
      </w:tabs>
    </w:pPr>
    <w:rPr>
      <w:sz w:val="24"/>
    </w:rPr>
  </w:style>
  <w:style w:type="paragraph" w:customStyle="1" w:styleId="131">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132">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3">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4">
    <w:name w:val="Char Char1"/>
    <w:basedOn w:val="14"/>
    <w:autoRedefine/>
    <w:qFormat/>
    <w:uiPriority w:val="0"/>
    <w:rPr>
      <w:rFonts w:ascii="Tahoma" w:hAnsi="Tahoma"/>
      <w:sz w:val="24"/>
    </w:rPr>
  </w:style>
  <w:style w:type="paragraph" w:customStyle="1" w:styleId="135">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36">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7">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8">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139">
    <w:name w:val="Char1 Char Char Char1"/>
    <w:basedOn w:val="1"/>
    <w:autoRedefine/>
    <w:qFormat/>
    <w:uiPriority w:val="0"/>
    <w:rPr>
      <w:rFonts w:ascii="Tahoma" w:hAnsi="Tahoma" w:cs="仿宋_GB2312"/>
      <w:sz w:val="24"/>
      <w:szCs w:val="28"/>
    </w:rPr>
  </w:style>
  <w:style w:type="paragraph" w:customStyle="1" w:styleId="140">
    <w:name w:val="四级条标题"/>
    <w:basedOn w:val="141"/>
    <w:next w:val="1"/>
    <w:autoRedefine/>
    <w:qFormat/>
    <w:uiPriority w:val="0"/>
    <w:pPr>
      <w:numPr>
        <w:ilvl w:val="4"/>
      </w:numPr>
      <w:tabs>
        <w:tab w:val="left" w:pos="360"/>
        <w:tab w:val="left" w:pos="840"/>
      </w:tabs>
      <w:ind w:left="0" w:hanging="840"/>
      <w:outlineLvl w:val="4"/>
    </w:pPr>
  </w:style>
  <w:style w:type="paragraph" w:customStyle="1" w:styleId="141">
    <w:name w:val="三级条标题"/>
    <w:basedOn w:val="103"/>
    <w:next w:val="1"/>
    <w:autoRedefine/>
    <w:qFormat/>
    <w:uiPriority w:val="0"/>
    <w:pPr>
      <w:numPr>
        <w:ilvl w:val="3"/>
        <w:numId w:val="3"/>
      </w:numPr>
      <w:ind w:left="0" w:hanging="840"/>
      <w:outlineLvl w:val="3"/>
    </w:pPr>
  </w:style>
  <w:style w:type="paragraph" w:customStyle="1" w:styleId="142">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3">
    <w:name w:val="样式 标题 2 + 宋体 五号 行距: 单倍行距"/>
    <w:basedOn w:val="3"/>
    <w:autoRedefine/>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4">
    <w:name w:val="List Paragraph1"/>
    <w:basedOn w:val="1"/>
    <w:autoRedefine/>
    <w:qFormat/>
    <w:uiPriority w:val="0"/>
    <w:pPr>
      <w:ind w:firstLine="420" w:firstLineChars="200"/>
    </w:pPr>
    <w:rPr>
      <w:rFonts w:ascii="Calibri" w:hAnsi="Calibri"/>
      <w:szCs w:val="22"/>
    </w:rPr>
  </w:style>
  <w:style w:type="paragraph" w:customStyle="1" w:styleId="145">
    <w:name w:val="项目符号1"/>
    <w:basedOn w:val="146"/>
    <w:autoRedefine/>
    <w:qFormat/>
    <w:uiPriority w:val="0"/>
    <w:pPr>
      <w:ind w:left="-25" w:firstLine="0"/>
    </w:pPr>
  </w:style>
  <w:style w:type="paragraph" w:customStyle="1" w:styleId="146">
    <w:name w:val="正文文本样式"/>
    <w:basedOn w:val="1"/>
    <w:autoRedefine/>
    <w:qFormat/>
    <w:uiPriority w:val="0"/>
    <w:pPr>
      <w:spacing w:line="360" w:lineRule="auto"/>
      <w:ind w:firstLine="482"/>
    </w:pPr>
    <w:rPr>
      <w:rFonts w:cs="宋体"/>
      <w:sz w:val="24"/>
      <w:szCs w:val="20"/>
    </w:rPr>
  </w:style>
  <w:style w:type="paragraph" w:customStyle="1" w:styleId="147">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48">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49">
    <w:name w:val="五级条标题"/>
    <w:basedOn w:val="140"/>
    <w:next w:val="1"/>
    <w:autoRedefine/>
    <w:qFormat/>
    <w:uiPriority w:val="0"/>
    <w:pPr>
      <w:numPr>
        <w:ilvl w:val="5"/>
      </w:numPr>
      <w:ind w:left="0" w:hanging="840"/>
      <w:outlineLvl w:val="5"/>
    </w:pPr>
  </w:style>
  <w:style w:type="paragraph" w:customStyle="1" w:styleId="150">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1">
    <w:name w:val="文档正文"/>
    <w:basedOn w:val="1"/>
    <w:autoRedefine/>
    <w:qFormat/>
    <w:uiPriority w:val="0"/>
    <w:pPr>
      <w:snapToGrid w:val="0"/>
      <w:spacing w:before="120" w:after="120" w:line="180" w:lineRule="auto"/>
    </w:pPr>
    <w:rPr>
      <w:rFonts w:ascii="Arial" w:hAnsi="Arial"/>
      <w:szCs w:val="20"/>
    </w:rPr>
  </w:style>
  <w:style w:type="paragraph" w:customStyle="1" w:styleId="152">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3">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4">
    <w:name w:val="Char Char Char1 Char"/>
    <w:basedOn w:val="1"/>
    <w:autoRedefine/>
    <w:qFormat/>
    <w:uiPriority w:val="0"/>
    <w:rPr>
      <w:rFonts w:ascii="Tahoma" w:hAnsi="Tahoma"/>
      <w:sz w:val="24"/>
      <w:szCs w:val="20"/>
    </w:rPr>
  </w:style>
  <w:style w:type="paragraph" w:customStyle="1" w:styleId="155">
    <w:name w:val="xl4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56">
    <w:name w:val="1名"/>
    <w:basedOn w:val="1"/>
    <w:autoRedefine/>
    <w:qFormat/>
    <w:uiPriority w:val="0"/>
    <w:pPr>
      <w:numPr>
        <w:ilvl w:val="0"/>
        <w:numId w:val="5"/>
      </w:numPr>
      <w:spacing w:before="120"/>
    </w:pPr>
    <w:rPr>
      <w:rFonts w:ascii="宋体"/>
      <w:sz w:val="28"/>
      <w:szCs w:val="20"/>
    </w:rPr>
  </w:style>
  <w:style w:type="paragraph" w:customStyle="1" w:styleId="157">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58">
    <w:name w:val="Char Char Char1 Char1"/>
    <w:basedOn w:val="1"/>
    <w:autoRedefine/>
    <w:qFormat/>
    <w:uiPriority w:val="0"/>
    <w:rPr>
      <w:rFonts w:ascii="Tahoma" w:hAnsi="Tahoma"/>
      <w:sz w:val="24"/>
      <w:szCs w:val="20"/>
    </w:rPr>
  </w:style>
  <w:style w:type="paragraph" w:customStyle="1" w:styleId="159">
    <w:name w:val="Char Char Char Char Char Char Char Char Char Char"/>
    <w:basedOn w:val="1"/>
    <w:autoRedefine/>
    <w:qFormat/>
    <w:uiPriority w:val="0"/>
  </w:style>
  <w:style w:type="paragraph" w:customStyle="1" w:styleId="160">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61">
    <w:name w:val="Char1"/>
    <w:basedOn w:val="1"/>
    <w:autoRedefine/>
    <w:qFormat/>
    <w:uiPriority w:val="0"/>
    <w:pPr>
      <w:tabs>
        <w:tab w:val="left" w:pos="360"/>
      </w:tabs>
    </w:pPr>
    <w:rPr>
      <w:sz w:val="24"/>
    </w:rPr>
  </w:style>
  <w:style w:type="paragraph" w:customStyle="1" w:styleId="162">
    <w:name w:val="正文列项_字母"/>
    <w:basedOn w:val="1"/>
    <w:autoRedefine/>
    <w:qFormat/>
    <w:uiPriority w:val="0"/>
    <w:pPr>
      <w:numPr>
        <w:ilvl w:val="6"/>
        <w:numId w:val="3"/>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3">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4">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5">
    <w:name w:val="默认段落字体 Para Char Char Char Char"/>
    <w:basedOn w:val="1"/>
    <w:autoRedefine/>
    <w:qFormat/>
    <w:uiPriority w:val="0"/>
    <w:rPr>
      <w:rFonts w:ascii="Arial" w:hAnsi="Arial" w:cs="Arial"/>
      <w:szCs w:val="21"/>
    </w:rPr>
  </w:style>
  <w:style w:type="paragraph" w:customStyle="1" w:styleId="166">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7">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68">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69">
    <w:name w:val="Char Char Char"/>
    <w:basedOn w:val="1"/>
    <w:autoRedefine/>
    <w:qFormat/>
    <w:uiPriority w:val="0"/>
    <w:rPr>
      <w:rFonts w:ascii="Tahoma" w:hAnsi="Tahoma"/>
      <w:sz w:val="24"/>
      <w:szCs w:val="20"/>
    </w:rPr>
  </w:style>
  <w:style w:type="paragraph" w:customStyle="1" w:styleId="170">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1">
    <w:name w:val="缺省文本"/>
    <w:basedOn w:val="1"/>
    <w:autoRedefine/>
    <w:qFormat/>
    <w:uiPriority w:val="0"/>
    <w:pPr>
      <w:autoSpaceDE w:val="0"/>
      <w:autoSpaceDN w:val="0"/>
      <w:adjustRightInd w:val="0"/>
      <w:jc w:val="left"/>
    </w:pPr>
    <w:rPr>
      <w:kern w:val="0"/>
      <w:sz w:val="24"/>
    </w:rPr>
  </w:style>
  <w:style w:type="paragraph" w:customStyle="1" w:styleId="172">
    <w:name w:val="Char Char Char1"/>
    <w:basedOn w:val="1"/>
    <w:autoRedefine/>
    <w:qFormat/>
    <w:uiPriority w:val="0"/>
    <w:rPr>
      <w:rFonts w:ascii="Tahoma" w:hAnsi="Tahoma"/>
      <w:sz w:val="24"/>
      <w:szCs w:val="20"/>
    </w:rPr>
  </w:style>
  <w:style w:type="paragraph" w:customStyle="1" w:styleId="173">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174">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5">
    <w:name w:val="样式2"/>
    <w:basedOn w:val="39"/>
    <w:autoRedefine/>
    <w:qFormat/>
    <w:uiPriority w:val="0"/>
    <w:pPr>
      <w:spacing w:line="360" w:lineRule="auto"/>
      <w:jc w:val="center"/>
    </w:pPr>
    <w:rPr>
      <w:sz w:val="24"/>
    </w:rPr>
  </w:style>
  <w:style w:type="paragraph" w:customStyle="1" w:styleId="176">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7">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78">
    <w:name w:val="正文 + 楷体_GB2312"/>
    <w:basedOn w:val="1"/>
    <w:autoRedefine/>
    <w:qFormat/>
    <w:uiPriority w:val="0"/>
    <w:pPr>
      <w:widowControl/>
      <w:jc w:val="left"/>
    </w:pPr>
    <w:rPr>
      <w:rFonts w:ascii="楷体_GB2312" w:eastAsia="楷体_GB2312" w:cs="Arial"/>
      <w:kern w:val="0"/>
      <w:sz w:val="24"/>
    </w:rPr>
  </w:style>
  <w:style w:type="paragraph" w:customStyle="1" w:styleId="179">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80">
    <w:name w:val="1 Char Char Char Char"/>
    <w:basedOn w:val="1"/>
    <w:autoRedefine/>
    <w:qFormat/>
    <w:uiPriority w:val="0"/>
    <w:rPr>
      <w:rFonts w:ascii="Tahoma" w:hAnsi="Tahoma"/>
      <w:sz w:val="24"/>
      <w:szCs w:val="20"/>
    </w:rPr>
  </w:style>
  <w:style w:type="paragraph" w:customStyle="1" w:styleId="181">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82">
    <w:name w:val="列出段落1"/>
    <w:basedOn w:val="1"/>
    <w:autoRedefine/>
    <w:qFormat/>
    <w:uiPriority w:val="0"/>
    <w:pPr>
      <w:ind w:firstLine="420" w:firstLineChars="200"/>
    </w:pPr>
    <w:rPr>
      <w:rFonts w:ascii="Calibri" w:hAnsi="Calibri"/>
      <w:szCs w:val="22"/>
    </w:rPr>
  </w:style>
  <w:style w:type="paragraph" w:customStyle="1" w:styleId="183">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84">
    <w:name w:val="字元 字元1"/>
    <w:basedOn w:val="1"/>
    <w:autoRedefine/>
    <w:qFormat/>
    <w:uiPriority w:val="0"/>
    <w:rPr>
      <w:rFonts w:ascii="Tahoma" w:hAnsi="Tahoma"/>
      <w:sz w:val="24"/>
      <w:szCs w:val="20"/>
    </w:rPr>
  </w:style>
  <w:style w:type="paragraph" w:customStyle="1" w:styleId="185">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186">
    <w:name w:val="项目编号3"/>
    <w:basedOn w:val="146"/>
    <w:autoRedefine/>
    <w:qFormat/>
    <w:uiPriority w:val="0"/>
    <w:pPr>
      <w:numPr>
        <w:ilvl w:val="0"/>
        <w:numId w:val="6"/>
      </w:numPr>
    </w:pPr>
  </w:style>
  <w:style w:type="paragraph" w:customStyle="1" w:styleId="187">
    <w:name w:val="Char21"/>
    <w:basedOn w:val="1"/>
    <w:autoRedefine/>
    <w:qFormat/>
    <w:uiPriority w:val="0"/>
    <w:rPr>
      <w:rFonts w:ascii="Tahoma" w:hAnsi="Tahoma"/>
      <w:sz w:val="24"/>
      <w:szCs w:val="20"/>
    </w:rPr>
  </w:style>
  <w:style w:type="paragraph" w:customStyle="1" w:styleId="188">
    <w:name w:val="表格文字"/>
    <w:basedOn w:val="18"/>
    <w:autoRedefine/>
    <w:qFormat/>
    <w:uiPriority w:val="0"/>
    <w:pPr>
      <w:spacing w:before="20" w:after="20" w:line="240" w:lineRule="auto"/>
      <w:ind w:firstLine="0"/>
    </w:pPr>
    <w:rPr>
      <w:rFonts w:ascii="Century Gothic" w:hAnsi="Century Gothic"/>
      <w:sz w:val="20"/>
      <w:szCs w:val="20"/>
    </w:rPr>
  </w:style>
  <w:style w:type="paragraph" w:customStyle="1" w:styleId="189">
    <w:name w:val="Char Char Char Char Char Char Char Char Char Char1"/>
    <w:basedOn w:val="1"/>
    <w:autoRedefine/>
    <w:qFormat/>
    <w:uiPriority w:val="0"/>
    <w:rPr>
      <w:rFonts w:ascii="宋体" w:hAnsi="宋体" w:cs="Courier New"/>
      <w:sz w:val="32"/>
      <w:szCs w:val="32"/>
    </w:rPr>
  </w:style>
  <w:style w:type="paragraph" w:customStyle="1" w:styleId="190">
    <w:name w:val="正文文本样式 加粗"/>
    <w:basedOn w:val="146"/>
    <w:autoRedefine/>
    <w:qFormat/>
    <w:uiPriority w:val="0"/>
    <w:rPr>
      <w:b/>
    </w:rPr>
  </w:style>
  <w:style w:type="paragraph" w:customStyle="1" w:styleId="191">
    <w:name w:val="Char2 Char Char Char Char Char Char"/>
    <w:basedOn w:val="1"/>
    <w:autoRedefine/>
    <w:qFormat/>
    <w:uiPriority w:val="0"/>
    <w:pPr>
      <w:widowControl/>
      <w:spacing w:line="400" w:lineRule="exact"/>
      <w:jc w:val="center"/>
    </w:pPr>
  </w:style>
  <w:style w:type="paragraph" w:customStyle="1" w:styleId="192">
    <w:name w:val="Char Char4"/>
    <w:basedOn w:val="1"/>
    <w:autoRedefine/>
    <w:qFormat/>
    <w:uiPriority w:val="0"/>
    <w:pPr>
      <w:widowControl/>
      <w:spacing w:line="400" w:lineRule="exact"/>
      <w:jc w:val="center"/>
    </w:pPr>
  </w:style>
  <w:style w:type="paragraph" w:customStyle="1" w:styleId="193">
    <w:name w:val="Char3 Char Char Char1"/>
    <w:basedOn w:val="1"/>
    <w:autoRedefine/>
    <w:qFormat/>
    <w:uiPriority w:val="0"/>
    <w:rPr>
      <w:rFonts w:ascii="Tahoma" w:hAnsi="Tahoma"/>
      <w:sz w:val="24"/>
      <w:szCs w:val="20"/>
    </w:rPr>
  </w:style>
  <w:style w:type="paragraph" w:styleId="194">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5">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character" w:customStyle="1" w:styleId="196">
    <w:name w:val="中等深浅网格 1 - 强调文字颜色 2 Char"/>
    <w:link w:val="197"/>
    <w:autoRedefine/>
    <w:qFormat/>
    <w:uiPriority w:val="0"/>
    <w:rPr>
      <w:kern w:val="2"/>
      <w:sz w:val="21"/>
      <w:szCs w:val="24"/>
      <w:lang w:val="zh-CN" w:eastAsia="zh-CN" w:bidi="ar-SA"/>
    </w:rPr>
  </w:style>
  <w:style w:type="paragraph" w:customStyle="1" w:styleId="197">
    <w:name w:val="1"/>
    <w:link w:val="196"/>
    <w:autoRedefine/>
    <w:qFormat/>
    <w:uiPriority w:val="0"/>
    <w:rPr>
      <w:rFonts w:ascii="Times New Roman" w:hAnsi="Times New Roman" w:eastAsia="宋体" w:cs="Times New Roman"/>
      <w:kern w:val="2"/>
      <w:sz w:val="21"/>
      <w:szCs w:val="24"/>
      <w:lang w:val="zh-CN" w:eastAsia="zh-CN" w:bidi="ar-SA"/>
    </w:rPr>
  </w:style>
  <w:style w:type="paragraph" w:customStyle="1" w:styleId="198">
    <w:name w:val="图文"/>
    <w:basedOn w:val="1"/>
    <w:autoRedefine/>
    <w:qFormat/>
    <w:uiPriority w:val="0"/>
    <w:pPr>
      <w:adjustRightInd w:val="0"/>
      <w:snapToGrid w:val="0"/>
      <w:spacing w:after="50" w:line="360" w:lineRule="auto"/>
    </w:pPr>
    <w:rPr>
      <w:sz w:val="24"/>
    </w:rPr>
  </w:style>
  <w:style w:type="paragraph" w:customStyle="1" w:styleId="199">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200">
    <w:name w:val="正文表格"/>
    <w:basedOn w:val="1"/>
    <w:link w:val="201"/>
    <w:autoRedefine/>
    <w:qFormat/>
    <w:uiPriority w:val="0"/>
    <w:pPr>
      <w:adjustRightInd w:val="0"/>
      <w:snapToGrid w:val="0"/>
      <w:jc w:val="left"/>
    </w:pPr>
    <w:rPr>
      <w:rFonts w:ascii="宋体" w:hAnsi="宋体"/>
      <w:color w:val="000000"/>
      <w:szCs w:val="21"/>
    </w:rPr>
  </w:style>
  <w:style w:type="character" w:customStyle="1" w:styleId="201">
    <w:name w:val="正文表格 Char"/>
    <w:link w:val="200"/>
    <w:autoRedefine/>
    <w:qFormat/>
    <w:uiPriority w:val="0"/>
    <w:rPr>
      <w:rFonts w:ascii="宋体" w:hAnsi="宋体"/>
      <w:color w:val="000000"/>
      <w:kern w:val="2"/>
      <w:sz w:val="21"/>
      <w:szCs w:val="21"/>
    </w:rPr>
  </w:style>
  <w:style w:type="paragraph" w:customStyle="1" w:styleId="202">
    <w:name w:val="正文重点"/>
    <w:basedOn w:val="1"/>
    <w:link w:val="203"/>
    <w:autoRedefine/>
    <w:qFormat/>
    <w:uiPriority w:val="0"/>
    <w:pPr>
      <w:adjustRightInd w:val="0"/>
      <w:spacing w:line="360" w:lineRule="auto"/>
      <w:ind w:firstLine="482" w:firstLineChars="200"/>
      <w:jc w:val="left"/>
      <w:textAlignment w:val="baseline"/>
    </w:pPr>
    <w:rPr>
      <w:b/>
      <w:kern w:val="0"/>
      <w:sz w:val="24"/>
      <w:szCs w:val="20"/>
    </w:rPr>
  </w:style>
  <w:style w:type="character" w:customStyle="1" w:styleId="203">
    <w:name w:val="正文重点 Char"/>
    <w:link w:val="202"/>
    <w:autoRedefine/>
    <w:qFormat/>
    <w:uiPriority w:val="0"/>
    <w:rPr>
      <w:b/>
      <w:sz w:val="24"/>
    </w:rPr>
  </w:style>
  <w:style w:type="paragraph" w:customStyle="1" w:styleId="204">
    <w:name w:val="标题1-附件"/>
    <w:basedOn w:val="2"/>
    <w:autoRedefine/>
    <w:qFormat/>
    <w:uiPriority w:val="0"/>
    <w:pPr>
      <w:jc w:val="left"/>
    </w:pPr>
    <w:rPr>
      <w:sz w:val="24"/>
      <w:szCs w:val="24"/>
    </w:rPr>
  </w:style>
  <w:style w:type="paragraph" w:customStyle="1" w:styleId="205">
    <w:name w:val="正文小标题"/>
    <w:basedOn w:val="1"/>
    <w:next w:val="5"/>
    <w:link w:val="206"/>
    <w:autoRedefine/>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06">
    <w:name w:val="正文小标题 Char"/>
    <w:link w:val="205"/>
    <w:autoRedefine/>
    <w:qFormat/>
    <w:uiPriority w:val="0"/>
    <w:rPr>
      <w:rFonts w:ascii="宋体" w:hAnsi="宋体"/>
      <w:b/>
      <w:i/>
      <w:color w:val="FF0000"/>
      <w:kern w:val="2"/>
      <w:sz w:val="24"/>
    </w:rPr>
  </w:style>
  <w:style w:type="paragraph" w:customStyle="1" w:styleId="207">
    <w:name w:val="正文大标题"/>
    <w:basedOn w:val="205"/>
    <w:next w:val="5"/>
    <w:link w:val="208"/>
    <w:autoRedefine/>
    <w:qFormat/>
    <w:uiPriority w:val="0"/>
    <w:pPr>
      <w:jc w:val="center"/>
    </w:pPr>
    <w:rPr>
      <w:i w:val="0"/>
      <w:color w:val="000000"/>
      <w:sz w:val="28"/>
      <w:szCs w:val="21"/>
    </w:rPr>
  </w:style>
  <w:style w:type="character" w:customStyle="1" w:styleId="208">
    <w:name w:val="正文大标题 Char"/>
    <w:link w:val="207"/>
    <w:autoRedefine/>
    <w:qFormat/>
    <w:uiPriority w:val="0"/>
    <w:rPr>
      <w:rFonts w:ascii="宋体" w:hAnsi="宋体"/>
      <w:b/>
      <w:color w:val="000000"/>
      <w:kern w:val="2"/>
      <w:sz w:val="28"/>
      <w:szCs w:val="21"/>
    </w:rPr>
  </w:style>
  <w:style w:type="paragraph" w:customStyle="1" w:styleId="209">
    <w:name w:val="注释"/>
    <w:basedOn w:val="1"/>
    <w:link w:val="210"/>
    <w:autoRedefine/>
    <w:qFormat/>
    <w:uiPriority w:val="0"/>
    <w:pPr>
      <w:adjustRightInd w:val="0"/>
      <w:snapToGrid w:val="0"/>
      <w:ind w:left="420" w:hanging="420" w:hangingChars="200"/>
      <w:jc w:val="left"/>
    </w:pPr>
    <w:rPr>
      <w:rFonts w:ascii="宋体" w:hAnsi="宋体"/>
      <w:szCs w:val="21"/>
    </w:rPr>
  </w:style>
  <w:style w:type="character" w:customStyle="1" w:styleId="210">
    <w:name w:val="注释 Char"/>
    <w:link w:val="209"/>
    <w:autoRedefine/>
    <w:qFormat/>
    <w:uiPriority w:val="0"/>
    <w:rPr>
      <w:rFonts w:ascii="宋体" w:hAnsi="宋体"/>
      <w:kern w:val="2"/>
      <w:sz w:val="21"/>
      <w:szCs w:val="21"/>
    </w:rPr>
  </w:style>
  <w:style w:type="paragraph" w:customStyle="1" w:styleId="211">
    <w:name w:val="正文须知-1级"/>
    <w:basedOn w:val="1"/>
    <w:next w:val="1"/>
    <w:autoRedefine/>
    <w:qFormat/>
    <w:uiPriority w:val="0"/>
    <w:pPr>
      <w:numPr>
        <w:ilvl w:val="0"/>
        <w:numId w:val="7"/>
      </w:numPr>
      <w:adjustRightInd w:val="0"/>
      <w:snapToGrid w:val="0"/>
      <w:spacing w:line="300" w:lineRule="auto"/>
    </w:pPr>
    <w:rPr>
      <w:rFonts w:ascii="宋体" w:hAnsi="Calibri"/>
      <w:sz w:val="24"/>
      <w:szCs w:val="21"/>
    </w:rPr>
  </w:style>
  <w:style w:type="paragraph" w:customStyle="1" w:styleId="212">
    <w:name w:val="正文须知-2级"/>
    <w:basedOn w:val="1"/>
    <w:autoRedefine/>
    <w:qFormat/>
    <w:uiPriority w:val="0"/>
    <w:pPr>
      <w:numPr>
        <w:ilvl w:val="1"/>
        <w:numId w:val="7"/>
      </w:numPr>
      <w:adjustRightInd w:val="0"/>
      <w:snapToGrid w:val="0"/>
      <w:spacing w:line="300" w:lineRule="auto"/>
    </w:pPr>
    <w:rPr>
      <w:rFonts w:ascii="宋体" w:hAnsi="Calibri"/>
      <w:sz w:val="24"/>
      <w:szCs w:val="21"/>
    </w:rPr>
  </w:style>
  <w:style w:type="paragraph" w:customStyle="1" w:styleId="213">
    <w:name w:val="正文须知-3级"/>
    <w:basedOn w:val="1"/>
    <w:autoRedefine/>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4">
    <w:name w:val="纯文本 字符"/>
    <w:autoRedefine/>
    <w:qFormat/>
    <w:uiPriority w:val="99"/>
    <w:rPr>
      <w:rFonts w:ascii="宋体" w:hAnsi="Courier New" w:eastAsia="宋体" w:cs="Times New Roman"/>
      <w:kern w:val="2"/>
      <w:sz w:val="21"/>
      <w:szCs w:val="21"/>
      <w:lang w:val="en-US" w:eastAsia="zh-CN" w:bidi="ar-SA"/>
    </w:rPr>
  </w:style>
  <w:style w:type="paragraph" w:customStyle="1" w:styleId="215">
    <w:name w:val="表格1"/>
    <w:basedOn w:val="1"/>
    <w:autoRedefine/>
    <w:qFormat/>
    <w:uiPriority w:val="0"/>
    <w:pPr>
      <w:ind w:firstLine="480" w:firstLineChars="200"/>
      <w:jc w:val="center"/>
    </w:pPr>
    <w:rPr>
      <w:sz w:val="24"/>
      <w:szCs w:val="20"/>
    </w:rPr>
  </w:style>
  <w:style w:type="character" w:customStyle="1" w:styleId="216">
    <w:name w:val="bjh-p"/>
    <w:autoRedefine/>
    <w:qFormat/>
    <w:uiPriority w:val="0"/>
  </w:style>
  <w:style w:type="paragraph" w:customStyle="1" w:styleId="217">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218">
    <w:name w:val="正文格式 Char"/>
    <w:link w:val="219"/>
    <w:autoRedefine/>
    <w:qFormat/>
    <w:locked/>
    <w:uiPriority w:val="0"/>
    <w:rPr>
      <w:rFonts w:ascii="宋体" w:hAnsi="宋体"/>
      <w:sz w:val="24"/>
      <w:szCs w:val="24"/>
      <w:lang w:val="en-GB"/>
    </w:rPr>
  </w:style>
  <w:style w:type="paragraph" w:customStyle="1" w:styleId="219">
    <w:name w:val="正文格式"/>
    <w:basedOn w:val="1"/>
    <w:link w:val="218"/>
    <w:autoRedefine/>
    <w:qFormat/>
    <w:uiPriority w:val="0"/>
    <w:pPr>
      <w:spacing w:beforeLines="50" w:line="360" w:lineRule="auto"/>
      <w:ind w:firstLine="480" w:firstLineChars="200"/>
    </w:pPr>
    <w:rPr>
      <w:rFonts w:ascii="宋体" w:hAnsi="宋体"/>
      <w:kern w:val="0"/>
      <w:sz w:val="24"/>
      <w:lang w:val="en-GB"/>
    </w:rPr>
  </w:style>
  <w:style w:type="character" w:customStyle="1" w:styleId="220">
    <w:name w:val="标题 3 Char"/>
    <w:autoRedefine/>
    <w:qFormat/>
    <w:uiPriority w:val="0"/>
    <w:rPr>
      <w:rFonts w:ascii="宋体" w:eastAsia="宋体"/>
      <w:b/>
      <w:sz w:val="24"/>
      <w:u w:val="single"/>
      <w:lang w:val="en-US" w:eastAsia="zh-CN" w:bidi="ar-SA"/>
    </w:rPr>
  </w:style>
  <w:style w:type="character" w:customStyle="1" w:styleId="221">
    <w:name w:val="正文缩进 Char"/>
    <w:autoRedefine/>
    <w:qFormat/>
    <w:uiPriority w:val="0"/>
    <w:rPr>
      <w:rFonts w:ascii="宋体" w:eastAsia="宋体"/>
      <w:kern w:val="2"/>
      <w:sz w:val="24"/>
      <w:szCs w:val="24"/>
      <w:lang w:val="en-US" w:eastAsia="zh-CN" w:bidi="ar-SA"/>
    </w:rPr>
  </w:style>
  <w:style w:type="character" w:customStyle="1" w:styleId="222">
    <w:name w:val="Char Char111"/>
    <w:autoRedefine/>
    <w:qFormat/>
    <w:uiPriority w:val="0"/>
    <w:rPr>
      <w:rFonts w:ascii="宋体" w:eastAsia="宋体"/>
      <w:b/>
      <w:sz w:val="24"/>
      <w:u w:val="single"/>
      <w:lang w:val="en-US" w:eastAsia="zh-CN" w:bidi="ar-SA"/>
    </w:rPr>
  </w:style>
  <w:style w:type="character" w:customStyle="1" w:styleId="223">
    <w:name w:val="正文文本缩进 Char"/>
    <w:autoRedefine/>
    <w:qFormat/>
    <w:uiPriority w:val="0"/>
    <w:rPr>
      <w:rFonts w:eastAsia="宋体"/>
      <w:kern w:val="2"/>
      <w:sz w:val="24"/>
      <w:szCs w:val="24"/>
      <w:lang w:val="en-US" w:eastAsia="zh-CN" w:bidi="ar-SA"/>
    </w:rPr>
  </w:style>
  <w:style w:type="character" w:customStyle="1" w:styleId="224">
    <w:name w:val="列出段落 Char"/>
    <w:autoRedefine/>
    <w:qFormat/>
    <w:uiPriority w:val="0"/>
    <w:rPr>
      <w:rFonts w:ascii="Calibri" w:hAnsi="Calibri" w:eastAsia="宋体"/>
      <w:kern w:val="2"/>
      <w:sz w:val="21"/>
      <w:szCs w:val="22"/>
      <w:lang w:val="en-US" w:eastAsia="zh-CN" w:bidi="ar-SA"/>
    </w:rPr>
  </w:style>
  <w:style w:type="character" w:customStyle="1" w:styleId="225">
    <w:name w:val="页眉 Char"/>
    <w:autoRedefine/>
    <w:qFormat/>
    <w:uiPriority w:val="0"/>
    <w:rPr>
      <w:rFonts w:eastAsia="宋体"/>
      <w:kern w:val="2"/>
      <w:sz w:val="18"/>
      <w:szCs w:val="18"/>
      <w:lang w:val="en-US" w:eastAsia="zh-CN" w:bidi="ar-SA"/>
    </w:rPr>
  </w:style>
  <w:style w:type="character" w:customStyle="1" w:styleId="226">
    <w:name w:val="标题 2 Char"/>
    <w:autoRedefine/>
    <w:qFormat/>
    <w:uiPriority w:val="0"/>
    <w:rPr>
      <w:rFonts w:ascii="Arial" w:hAnsi="Arial" w:eastAsia="黑体"/>
      <w:b/>
      <w:sz w:val="30"/>
      <w:lang w:val="en-US" w:eastAsia="zh-CN" w:bidi="ar-SA"/>
    </w:rPr>
  </w:style>
  <w:style w:type="paragraph" w:customStyle="1" w:styleId="227">
    <w:name w:val="字元 字元2"/>
    <w:basedOn w:val="1"/>
    <w:autoRedefine/>
    <w:qFormat/>
    <w:uiPriority w:val="0"/>
    <w:rPr>
      <w:rFonts w:ascii="Tahoma" w:hAnsi="Tahoma"/>
      <w:sz w:val="24"/>
      <w:szCs w:val="20"/>
    </w:rPr>
  </w:style>
  <w:style w:type="paragraph" w:customStyle="1" w:styleId="228">
    <w:name w:val="Char3 Char Char Char2"/>
    <w:basedOn w:val="1"/>
    <w:autoRedefine/>
    <w:qFormat/>
    <w:uiPriority w:val="0"/>
    <w:rPr>
      <w:rFonts w:ascii="Tahoma" w:hAnsi="Tahoma"/>
      <w:sz w:val="24"/>
      <w:szCs w:val="20"/>
    </w:rPr>
  </w:style>
  <w:style w:type="paragraph" w:customStyle="1" w:styleId="229">
    <w:name w:val="正文文本缩进2"/>
    <w:basedOn w:val="1"/>
    <w:autoRedefine/>
    <w:qFormat/>
    <w:uiPriority w:val="0"/>
    <w:pPr>
      <w:spacing w:line="480" w:lineRule="exact"/>
      <w:ind w:firstLine="480" w:firstLineChars="200"/>
    </w:pPr>
    <w:rPr>
      <w:rFonts w:ascii="宋体" w:hAnsi="宋体"/>
      <w:kern w:val="0"/>
      <w:sz w:val="24"/>
      <w:lang w:val="zh-CN" w:eastAsia="zh-CN"/>
    </w:rPr>
  </w:style>
  <w:style w:type="paragraph" w:customStyle="1" w:styleId="230">
    <w:name w:val="Char3"/>
    <w:basedOn w:val="1"/>
    <w:autoRedefine/>
    <w:qFormat/>
    <w:uiPriority w:val="0"/>
    <w:pPr>
      <w:tabs>
        <w:tab w:val="left" w:pos="360"/>
      </w:tabs>
    </w:pPr>
    <w:rPr>
      <w:sz w:val="24"/>
    </w:rPr>
  </w:style>
  <w:style w:type="paragraph" w:customStyle="1" w:styleId="231">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32">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3">
    <w:name w:val="列出段落2"/>
    <w:basedOn w:val="1"/>
    <w:autoRedefine/>
    <w:qFormat/>
    <w:uiPriority w:val="0"/>
    <w:pPr>
      <w:ind w:firstLine="420" w:firstLineChars="200"/>
    </w:pPr>
    <w:rPr>
      <w:rFonts w:ascii="Calibri" w:hAnsi="Calibri"/>
      <w:szCs w:val="22"/>
    </w:rPr>
  </w:style>
  <w:style w:type="paragraph" w:customStyle="1" w:styleId="234">
    <w:name w:val="Char Char Char1 Char2"/>
    <w:basedOn w:val="1"/>
    <w:autoRedefine/>
    <w:qFormat/>
    <w:uiPriority w:val="0"/>
    <w:rPr>
      <w:rFonts w:ascii="Tahoma" w:hAnsi="Tahoma"/>
      <w:sz w:val="24"/>
      <w:szCs w:val="20"/>
    </w:rPr>
  </w:style>
  <w:style w:type="paragraph" w:customStyle="1" w:styleId="235">
    <w:name w:val="Char Char Char2"/>
    <w:basedOn w:val="1"/>
    <w:autoRedefine/>
    <w:qFormat/>
    <w:uiPriority w:val="0"/>
    <w:rPr>
      <w:rFonts w:ascii="Tahoma" w:hAnsi="Tahoma"/>
      <w:sz w:val="24"/>
      <w:szCs w:val="20"/>
    </w:rPr>
  </w:style>
  <w:style w:type="paragraph" w:customStyle="1" w:styleId="236">
    <w:name w:val="Char Char Char Char Char Char Char2"/>
    <w:basedOn w:val="1"/>
    <w:autoRedefine/>
    <w:qFormat/>
    <w:uiPriority w:val="0"/>
    <w:pPr>
      <w:snapToGrid w:val="0"/>
      <w:spacing w:line="360" w:lineRule="auto"/>
      <w:ind w:firstLine="200" w:firstLineChars="200"/>
    </w:pPr>
    <w:rPr>
      <w:rFonts w:eastAsia="仿宋_GB2312"/>
      <w:sz w:val="24"/>
    </w:rPr>
  </w:style>
  <w:style w:type="paragraph" w:customStyle="1" w:styleId="237">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38">
    <w:name w:val="Revision"/>
    <w:autoRedefine/>
    <w:qFormat/>
    <w:uiPriority w:val="0"/>
    <w:rPr>
      <w:rFonts w:ascii="Times New Roman" w:hAnsi="Times New Roman" w:eastAsia="宋体" w:cs="Times New Roman"/>
      <w:kern w:val="2"/>
      <w:sz w:val="21"/>
      <w:szCs w:val="24"/>
      <w:lang w:val="en-US" w:eastAsia="zh-CN" w:bidi="ar-SA"/>
    </w:rPr>
  </w:style>
  <w:style w:type="paragraph" w:customStyle="1" w:styleId="239">
    <w:name w:val="Char22"/>
    <w:basedOn w:val="1"/>
    <w:autoRedefine/>
    <w:qFormat/>
    <w:uiPriority w:val="0"/>
    <w:rPr>
      <w:rFonts w:ascii="Tahoma" w:hAnsi="Tahoma"/>
      <w:sz w:val="24"/>
      <w:szCs w:val="20"/>
    </w:rPr>
  </w:style>
  <w:style w:type="paragraph" w:customStyle="1" w:styleId="240">
    <w:name w:val="Char Char Char Char Char Char Char Char Char Char2"/>
    <w:basedOn w:val="1"/>
    <w:autoRedefine/>
    <w:qFormat/>
    <w:uiPriority w:val="0"/>
    <w:rPr>
      <w:rFonts w:ascii="宋体" w:hAnsi="宋体" w:cs="Courier New"/>
      <w:sz w:val="32"/>
      <w:szCs w:val="32"/>
    </w:rPr>
  </w:style>
  <w:style w:type="paragraph" w:customStyle="1" w:styleId="241">
    <w:name w:val="Char2 Char Char Char Char Char Char1"/>
    <w:basedOn w:val="1"/>
    <w:autoRedefine/>
    <w:qFormat/>
    <w:uiPriority w:val="0"/>
    <w:pPr>
      <w:widowControl/>
      <w:spacing w:line="400" w:lineRule="exact"/>
      <w:jc w:val="center"/>
    </w:pPr>
  </w:style>
  <w:style w:type="character" w:customStyle="1" w:styleId="242">
    <w:name w:val="页脚 Char"/>
    <w:autoRedefine/>
    <w:qFormat/>
    <w:uiPriority w:val="0"/>
    <w:rPr>
      <w:rFonts w:ascii="宋体" w:eastAsia="宋体"/>
      <w:sz w:val="18"/>
      <w:lang w:val="en-US" w:eastAsia="zh-CN" w:bidi="ar-SA"/>
    </w:rPr>
  </w:style>
  <w:style w:type="paragraph" w:customStyle="1" w:styleId="243">
    <w:name w:val="Char Char41"/>
    <w:basedOn w:val="1"/>
    <w:autoRedefine/>
    <w:qFormat/>
    <w:uiPriority w:val="0"/>
    <w:pPr>
      <w:widowControl/>
      <w:spacing w:line="400" w:lineRule="exact"/>
      <w:jc w:val="center"/>
    </w:pPr>
  </w:style>
  <w:style w:type="character" w:customStyle="1" w:styleId="244">
    <w:name w:val="批注文字 Char"/>
    <w:autoRedefine/>
    <w:qFormat/>
    <w:uiPriority w:val="99"/>
    <w:rPr>
      <w:kern w:val="2"/>
      <w:sz w:val="21"/>
      <w:szCs w:val="24"/>
    </w:rPr>
  </w:style>
  <w:style w:type="character" w:customStyle="1" w:styleId="245">
    <w:name w:val="标题 Char"/>
    <w:autoRedefine/>
    <w:qFormat/>
    <w:uiPriority w:val="0"/>
    <w:rPr>
      <w:b/>
      <w:kern w:val="2"/>
      <w:sz w:val="32"/>
    </w:rPr>
  </w:style>
  <w:style w:type="paragraph" w:customStyle="1" w:styleId="246">
    <w:name w:val="图例"/>
    <w:basedOn w:val="1"/>
    <w:autoRedefine/>
    <w:qFormat/>
    <w:uiPriority w:val="0"/>
    <w:pPr>
      <w:spacing w:before="120" w:after="120" w:line="360" w:lineRule="auto"/>
      <w:jc w:val="center"/>
    </w:pPr>
    <w:rPr>
      <w:rFonts w:eastAsia="仿宋_GB2312"/>
      <w:b/>
      <w:sz w:val="24"/>
      <w:szCs w:val="20"/>
    </w:rPr>
  </w:style>
  <w:style w:type="paragraph" w:customStyle="1" w:styleId="247">
    <w:name w:val="Table Paragraph"/>
    <w:basedOn w:val="1"/>
    <w:autoRedefine/>
    <w:qFormat/>
    <w:uiPriority w:val="1"/>
    <w:pPr>
      <w:autoSpaceDE w:val="0"/>
      <w:autoSpaceDN w:val="0"/>
      <w:jc w:val="left"/>
    </w:pPr>
    <w:rPr>
      <w:rFonts w:ascii="宋体" w:hAnsi="宋体" w:cs="宋体"/>
      <w:kern w:val="0"/>
      <w:sz w:val="22"/>
      <w:szCs w:val="22"/>
      <w:lang w:eastAsia="en-US"/>
    </w:rPr>
  </w:style>
  <w:style w:type="table" w:customStyle="1" w:styleId="248">
    <w:name w:val="Table Normal"/>
    <w:autoRedefine/>
    <w:semiHidden/>
    <w:qFormat/>
    <w:uiPriority w:val="2"/>
    <w:pPr>
      <w:widowControl w:val="0"/>
      <w:autoSpaceDE w:val="0"/>
      <w:autoSpaceDN w:val="0"/>
    </w:pPr>
    <w:rPr>
      <w:rFonts w:ascii="Calibri" w:hAnsi="Calibri"/>
      <w:sz w:val="22"/>
      <w:szCs w:val="22"/>
      <w:lang w:val="en-US" w:eastAsia="en-US" w:bidi="ar-SA"/>
    </w:rPr>
    <w:tblPr>
      <w:tblCellMar>
        <w:top w:w="0" w:type="dxa"/>
        <w:left w:w="0" w:type="dxa"/>
        <w:bottom w:w="0" w:type="dxa"/>
        <w:right w:w="0" w:type="dxa"/>
      </w:tblCellMar>
    </w:tblPr>
  </w:style>
  <w:style w:type="paragraph" w:customStyle="1" w:styleId="249">
    <w:name w:val="成文日期"/>
    <w:basedOn w:val="1"/>
    <w:link w:val="250"/>
    <w:autoRedefine/>
    <w:qFormat/>
    <w:uiPriority w:val="0"/>
    <w:pPr>
      <w:spacing w:line="570" w:lineRule="exact"/>
      <w:ind w:right="400" w:rightChars="400" w:firstLine="200" w:firstLineChars="200"/>
      <w:jc w:val="right"/>
    </w:pPr>
    <w:rPr>
      <w:rFonts w:ascii="仿宋_GB2312" w:eastAsia="仿宋_GB2312"/>
      <w:sz w:val="32"/>
      <w:szCs w:val="20"/>
    </w:rPr>
  </w:style>
  <w:style w:type="character" w:customStyle="1" w:styleId="250">
    <w:name w:val="成文日期 Char"/>
    <w:link w:val="249"/>
    <w:autoRedefine/>
    <w:qFormat/>
    <w:uiPriority w:val="0"/>
    <w:rPr>
      <w:rFonts w:ascii="仿宋_GB2312" w:eastAsia="仿宋_GB2312"/>
      <w:kern w:val="2"/>
      <w:sz w:val="32"/>
    </w:rPr>
  </w:style>
  <w:style w:type="character" w:customStyle="1" w:styleId="251">
    <w:name w:val="样式 纯文本 + (符号) 宋体 Char"/>
    <w:link w:val="252"/>
    <w:autoRedefine/>
    <w:qFormat/>
    <w:uiPriority w:val="0"/>
    <w:rPr>
      <w:rFonts w:cs="Times New Roman"/>
      <w:szCs w:val="20"/>
    </w:rPr>
  </w:style>
  <w:style w:type="paragraph" w:customStyle="1" w:styleId="252">
    <w:name w:val="样式 纯文本 + (符号) 宋体"/>
    <w:basedOn w:val="23"/>
    <w:link w:val="251"/>
    <w:autoRedefine/>
    <w:qFormat/>
    <w:uiPriority w:val="0"/>
    <w:pPr>
      <w:jc w:val="center"/>
    </w:pPr>
    <w:rPr>
      <w:rFonts w:cs="Times New Roman"/>
      <w:szCs w:val="20"/>
    </w:rPr>
  </w:style>
  <w:style w:type="character" w:customStyle="1" w:styleId="253">
    <w:name w:val="current"/>
    <w:autoRedefine/>
    <w:qFormat/>
    <w:uiPriority w:val="0"/>
    <w:rPr>
      <w:b/>
      <w:bCs/>
      <w:color w:val="05A7D8"/>
      <w:sz w:val="12"/>
      <w:szCs w:val="12"/>
    </w:rPr>
  </w:style>
  <w:style w:type="character" w:customStyle="1" w:styleId="254">
    <w:name w:val="l-btn-left"/>
    <w:autoRedefine/>
    <w:qFormat/>
    <w:uiPriority w:val="0"/>
  </w:style>
  <w:style w:type="character" w:customStyle="1" w:styleId="255">
    <w:name w:val="l-btn-text36"/>
    <w:autoRedefine/>
    <w:qFormat/>
    <w:uiPriority w:val="0"/>
  </w:style>
  <w:style w:type="character" w:customStyle="1" w:styleId="256">
    <w:name w:val="font11"/>
    <w:basedOn w:val="46"/>
    <w:autoRedefine/>
    <w:qFormat/>
    <w:uiPriority w:val="0"/>
    <w:rPr>
      <w:rFonts w:hint="eastAsia" w:ascii="宋体" w:hAnsi="宋体" w:eastAsia="宋体" w:cs="宋体"/>
      <w:color w:val="000000"/>
      <w:sz w:val="18"/>
      <w:szCs w:val="18"/>
      <w:u w:val="none"/>
    </w:rPr>
  </w:style>
  <w:style w:type="character" w:customStyle="1" w:styleId="257">
    <w:name w:val="font31"/>
    <w:basedOn w:val="46"/>
    <w:autoRedefine/>
    <w:qFormat/>
    <w:uiPriority w:val="0"/>
    <w:rPr>
      <w:rFonts w:ascii="Calibri" w:hAnsi="Calibri" w:cs="Calibri"/>
      <w:color w:val="000000"/>
      <w:sz w:val="18"/>
      <w:szCs w:val="18"/>
      <w:u w:val="none"/>
    </w:rPr>
  </w:style>
  <w:style w:type="character" w:customStyle="1" w:styleId="258">
    <w:name w:val="font41"/>
    <w:basedOn w:val="46"/>
    <w:autoRedefine/>
    <w:qFormat/>
    <w:uiPriority w:val="0"/>
    <w:rPr>
      <w:rFonts w:hint="eastAsia" w:ascii="宋体" w:hAnsi="宋体" w:eastAsia="宋体" w:cs="宋体"/>
      <w:color w:val="000000"/>
      <w:sz w:val="18"/>
      <w:szCs w:val="18"/>
      <w:u w:val="none"/>
    </w:rPr>
  </w:style>
  <w:style w:type="character" w:customStyle="1" w:styleId="259">
    <w:name w:val="font01"/>
    <w:autoRedefine/>
    <w:qFormat/>
    <w:uiPriority w:val="0"/>
    <w:rPr>
      <w:rFonts w:hint="eastAsia" w:ascii="宋体" w:hAnsi="宋体" w:eastAsia="宋体" w:cs="宋体"/>
      <w:color w:val="000000"/>
      <w:sz w:val="22"/>
      <w:szCs w:val="22"/>
      <w:u w:val="none"/>
    </w:rPr>
  </w:style>
  <w:style w:type="character" w:customStyle="1" w:styleId="260">
    <w:name w:val="font61"/>
    <w:autoRedefine/>
    <w:qFormat/>
    <w:uiPriority w:val="0"/>
    <w:rPr>
      <w:rFonts w:ascii="Calibri" w:hAnsi="Calibri" w:cs="Calibri"/>
      <w:color w:val="000000"/>
      <w:sz w:val="18"/>
      <w:szCs w:val="18"/>
      <w:u w:val="none"/>
    </w:rPr>
  </w:style>
  <w:style w:type="paragraph" w:customStyle="1" w:styleId="261">
    <w:name w:val="普通正文"/>
    <w:basedOn w:val="1"/>
    <w:qFormat/>
    <w:uiPriority w:val="0"/>
    <w:pPr>
      <w:spacing w:before="120" w:after="120" w:line="360" w:lineRule="auto"/>
      <w:ind w:firstLine="480"/>
      <w:jc w:val="left"/>
    </w:pPr>
    <w:rPr>
      <w:rFonts w:ascii="Arial" w:hAnsi="Arial"/>
      <w:sz w:val="24"/>
      <w:szCs w:val="24"/>
    </w:rPr>
  </w:style>
  <w:style w:type="paragraph" w:customStyle="1" w:styleId="262">
    <w:name w:val="列表段落1"/>
    <w:basedOn w:val="1"/>
    <w:qFormat/>
    <w:uiPriority w:val="34"/>
    <w:pPr>
      <w:widowControl/>
      <w:ind w:left="720"/>
      <w:contextualSpacing/>
      <w:jc w:val="left"/>
    </w:pPr>
    <w:rPr>
      <w:rFonts w:ascii="Calibri" w:hAnsi="Calibri"/>
      <w:sz w:val="24"/>
      <w:szCs w:val="24"/>
      <w:lang w:eastAsia="en-US" w:bidi="en-US"/>
    </w:rPr>
  </w:style>
  <w:style w:type="paragraph" w:customStyle="1" w:styleId="263">
    <w:name w:val="标题 11"/>
    <w:basedOn w:val="1"/>
    <w:next w:val="1"/>
    <w:qFormat/>
    <w:uiPriority w:val="0"/>
    <w:pPr>
      <w:keepNext/>
      <w:jc w:val="left"/>
      <w:outlineLvl w:val="0"/>
    </w:pPr>
    <w:rPr>
      <w:rFonts w:ascii="楷体_GB2312" w:hAnsi="楷体_GB2312"/>
      <w:b/>
      <w:sz w:val="32"/>
      <w:szCs w:val="28"/>
    </w:rPr>
  </w:style>
  <w:style w:type="paragraph" w:customStyle="1" w:styleId="264">
    <w:name w:val="文档说明标题"/>
    <w:next w:val="1"/>
    <w:qFormat/>
    <w:uiPriority w:val="0"/>
    <w:pPr>
      <w:widowControl w:val="0"/>
      <w:adjustRightInd w:val="0"/>
      <w:spacing w:before="100" w:after="100" w:line="240" w:lineRule="auto"/>
      <w:jc w:val="center"/>
      <w:outlineLvl w:val="9"/>
    </w:pPr>
    <w:rPr>
      <w:rFonts w:ascii="Times New Roman" w:hAnsi="Times New Roman" w:eastAsia="黑体" w:cs="Times New Roman"/>
      <w:kern w:val="2"/>
      <w:sz w:val="52"/>
      <w:szCs w:val="52"/>
      <w:lang w:bidi="ar-SA"/>
    </w:rPr>
  </w:style>
  <w:style w:type="paragraph" w:customStyle="1" w:styleId="265">
    <w:name w:val="题注1"/>
    <w:next w:val="1"/>
    <w:qFormat/>
    <w:uiPriority w:val="0"/>
    <w:pPr>
      <w:widowControl w:val="0"/>
      <w:adjustRightInd w:val="0"/>
      <w:spacing w:before="240" w:after="120" w:line="288" w:lineRule="auto"/>
      <w:jc w:val="center"/>
    </w:pPr>
    <w:rPr>
      <w:rFonts w:ascii="Times New Roman" w:hAnsi="Times New Roman" w:eastAsia="宋体" w:cs="宋体"/>
      <w:kern w:val="2"/>
      <w:sz w:val="24"/>
      <w:szCs w:val="22"/>
      <w:lang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136</Pages>
  <Words>10571</Words>
  <Characters>11221</Characters>
  <Lines>291</Lines>
  <Paragraphs>82</Paragraphs>
  <TotalTime>2</TotalTime>
  <ScaleCrop>false</ScaleCrop>
  <LinksUpToDate>false</LinksUpToDate>
  <CharactersWithSpaces>11461</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2022-05-30T08:04:00Z</dcterms:created>
  <dc:creator>Yin Hao</dc:creator>
  <cp:lastModifiedBy>彭文华</cp:lastModifiedBy>
  <cp:lastPrinted>2020-04-02T19:13:00Z</cp:lastPrinted>
  <dcterms:modified xsi:type="dcterms:W3CDTF">2026-06-10T09:09:10Z</dcterms:modified>
  <dc:title>02年杜范本稿</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F7EBA5D8F5A04FAAB331BF8E5C99E8BA_13</vt:lpwstr>
  </property>
  <property fmtid="{D5CDD505-2E9C-101B-9397-08002B2CF9AE}" pid="4" name="KSOTemplateDocerSaveRecord">
    <vt:lpwstr>eyJoZGlkIjoiZGJmNGVmOTkyYmRlYWVmNjNhMWY0NGViOTkzY2NlZDYiLCJ1c2VySWQiOiIxNjcxOTk3NTUzIn0=</vt:lpwstr>
  </property>
</Properties>
</file>