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b/>
          <w:bCs/>
          <w:color w:val="auto"/>
          <w:spacing w:val="80"/>
          <w:sz w:val="52"/>
          <w:szCs w:val="52"/>
          <w:highlight w:val="none"/>
        </w:rPr>
      </w:pPr>
      <w:r/>
      <w:bookmarkStart w:id="26" w:name="_GoBack"/>
      <w:r/>
      <w:bookmarkEnd w:id="26"/>
      <w:r/>
      <w:r/>
    </w:p>
    <w:p>
      <w:pPr>
        <w:pStyle w:val="753"/>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53"/>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1"/>
        <w:tblpPr w:horzAnchor="page" w:tblpX="1796" w:vertAnchor="text" w:tblpY="300"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default"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eastAsia="zh-CN"/>
              </w:rPr>
              <w:t xml:space="preserve">徐圩港区大宗商品储备基地规划研究（非专门面向中小企业）</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JSZC-320700-SXSD-G2026-0021</w:t>
            </w:r>
            <w:r/>
          </w:p>
        </w:tc>
      </w:tr>
    </w:tbl>
    <w:p>
      <w:pPr>
        <w:pStyle w:val="75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41"/>
        <w:tblpPr w:horzAnchor="page" w:tblpX="1747" w:vertAnchor="text" w:tblpY="97"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Borders>
              <w:top w:val="single" w:color="auto" w:sz="18" w:space="0"/>
            </w:tcBorders>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国家东中西区域合作示范区（连云港徐圩新区）徐圩港区管理办公室</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江苏新时代工程项目管理有限公司</w:t>
            </w:r>
            <w:r/>
          </w:p>
        </w:tc>
      </w:tr>
    </w:tbl>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月</w:t>
      </w:r>
      <w:r/>
    </w:p>
    <w:p>
      <w:pPr>
        <w:pStyle w:val="753"/>
        <w:spacing w:line="360" w:lineRule="auto"/>
        <w:rPr>
          <w:rFonts w:hint="eastAsia" w:ascii="宋体" w:hAnsi="宋体" w:eastAsia="宋体" w:cs="宋体"/>
          <w:color w:val="auto"/>
          <w:highlight w:val="none"/>
        </w:rPr>
        <w:sectPr>
          <w:headerReference w:type="default" r:id="rId8"/>
          <w:headerReference w:type="first" r:id="rId9"/>
          <w:footerReference w:type="first" r:id="rId11"/>
          <w:footnotePr/>
          <w:endnotePr/>
          <w:type w:val="nextPage"/>
          <w:pgSz w:w="11905" w:h="16838" w:orient="portrait"/>
          <w:pgMar w:top="1417" w:right="1134" w:bottom="1417" w:left="1134" w:header="851" w:footer="992" w:gutter="0"/>
          <w:pgNumType w:start="1"/>
          <w:cols w:num="1" w:sep="0" w:space="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7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fldChar w:fldCharType="end"/>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_Toc6120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_Toc6120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_Toc18233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_Toc18233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_Toc5548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_Toc5548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_Toc6864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_Toc6864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_Toc26840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60"/>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_Toc6552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pStyle w:val="779"/>
        <w:rPr>
          <w:rFonts w:hint="eastAsia" w:ascii="宋体" w:hAnsi="宋体" w:eastAsia="宋体" w:cs="宋体"/>
          <w:color w:val="auto"/>
          <w:highlight w:val="none"/>
        </w:rPr>
        <w:sectPr>
          <w:footerReference w:type="default" r:id="rId12"/>
          <w:footnotePr/>
          <w:endnotePr/>
          <w:type w:val="nextPage"/>
          <w:pgSz w:w="11905" w:h="16838" w:orient="portrait"/>
          <w:pgMar w:top="1417" w:right="1134" w:bottom="1417" w:left="1134" w:header="851" w:footer="992" w:gutter="0"/>
          <w:cols w:num="1" w:sep="0" w:space="0" w:equalWidth="1"/>
          <w:docGrid w:linePitch="360"/>
        </w:sectPr>
      </w:pPr>
      <w:r>
        <w:rPr>
          <w:rFonts w:hint="eastAsia" w:ascii="宋体" w:hAnsi="宋体" w:eastAsia="宋体" w:cs="宋体"/>
          <w:color w:val="auto"/>
          <w:highlight w:val="none"/>
        </w:rPr>
      </w:r>
      <w:r/>
    </w:p>
    <w:p>
      <w:pPr>
        <w:pStyle w:val="731"/>
        <w:jc w:val="center"/>
        <w:spacing w:line="360" w:lineRule="auto"/>
        <w:rPr>
          <w:rFonts w:hint="eastAsia" w:ascii="宋体" w:hAnsi="宋体" w:eastAsia="宋体" w:cs="宋体"/>
          <w:b w:val="0"/>
          <w:color w:val="auto"/>
          <w:highlight w:val="none"/>
        </w:rPr>
      </w:pPr>
      <w:r/>
      <w:bookmarkStart w:id="1" w:name="_Toc162361610"/>
      <w:r/>
      <w:bookmarkStart w:id="2" w:name="_Toc612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国家东中西区域合作示范区（连云港徐圩新区）徐圩港区管理办公室</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江苏新时代工程项目管理有限公司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徐圩港区大宗商品储备基地规划研究（非专门面向中小企业）</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JSZC-320700-SXSD-G2026-0021</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772"/>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徐圩港区大宗商品储备基地规划研究（非专门面向中小企业）</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rPr>
              <w:t xml:space="preserve">江苏政府采购网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color w:val="auto"/>
                <w:sz w:val="24"/>
                <w:szCs w:val="24"/>
                <w:highlight w:val="none"/>
                <w:u w:val="single"/>
              </w:rPr>
              <w:t xml:space="preserve">202</w:t>
            </w:r>
            <w:r>
              <w:rPr>
                <w:rFonts w:hint="eastAsia" w:ascii="宋体" w:hAnsi="宋体" w:eastAsia="宋体" w:cs="宋体"/>
                <w:b/>
                <w:color w:val="auto"/>
                <w:sz w:val="24"/>
                <w:szCs w:val="24"/>
                <w:highlight w:val="none"/>
                <w:u w:val="single"/>
                <w:lang w:val="en-US" w:eastAsia="zh-CN"/>
              </w:rPr>
              <w:t xml:space="preserve">6-6-15 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sz w:val="24"/>
                <w:szCs w:val="24"/>
                <w:highlight w:val="none"/>
              </w:rPr>
              <w:t xml:space="preserve">（北京时间）前递交投标文件。</w:t>
            </w:r>
            <w:r/>
          </w:p>
        </w:tc>
      </w:tr>
    </w:tbl>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JSZC-320700-SXSD-G2026-0021</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徐圩港区大宗商品储备基地规划研究</w:t>
      </w:r>
      <w:r>
        <w:rPr>
          <w:rFonts w:hint="eastAsia" w:ascii="宋体" w:hAnsi="宋体" w:eastAsia="宋体" w:cs="宋体"/>
          <w:color w:val="auto"/>
          <w:sz w:val="24"/>
          <w:szCs w:val="24"/>
          <w:highlight w:val="none"/>
        </w:rPr>
        <w:t xml:space="preserve">（非专门面向中小企业）</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480</w:t>
      </w:r>
      <w:r>
        <w:rPr>
          <w:rFonts w:hint="eastAsia" w:ascii="宋体" w:hAnsi="宋体" w:eastAsia="宋体" w:cs="宋体"/>
          <w:color w:val="auto"/>
          <w:sz w:val="24"/>
          <w:szCs w:val="24"/>
          <w:highlight w:val="none"/>
        </w:rPr>
        <w:t xml:space="preserve">万元</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最高限价：人民币</w:t>
      </w:r>
      <w:r>
        <w:rPr>
          <w:rFonts w:hint="eastAsia" w:ascii="宋体" w:hAnsi="宋体" w:eastAsia="宋体" w:cs="宋体"/>
          <w:b w:val="0"/>
          <w:bCs w:val="0"/>
          <w:color w:val="auto"/>
          <w:sz w:val="24"/>
          <w:highlight w:val="none"/>
          <w:lang w:val="en-US" w:eastAsia="zh-CN"/>
        </w:rPr>
        <w:t xml:space="preserve">480</w:t>
      </w:r>
      <w:r>
        <w:rPr>
          <w:rFonts w:hint="eastAsia" w:ascii="宋体" w:hAnsi="宋体" w:eastAsia="宋体" w:cs="宋体"/>
          <w:b w:val="0"/>
          <w:bCs w:val="0"/>
          <w:color w:val="auto"/>
          <w:sz w:val="24"/>
          <w:highlight w:val="none"/>
        </w:rPr>
        <w:t xml:space="preserve">万元，投标报价超过最高限价的投标无效。</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采购需求：徐圩港区大宗商品储备基地规划研究，内容主要包括基础现状与发展条件评估、市场需求分析、发展目标及功能定位、总体布局与设施配置、存在问题及解决措施等，具体详见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个月，自合同签订之日起算</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8.本项目(是/否)接受联合体投标：否</w:t>
      </w:r>
      <w:r>
        <w:rPr>
          <w:rFonts w:hint="eastAsia" w:ascii="宋体" w:hAnsi="宋体" w:eastAsia="宋体" w:cs="宋体"/>
          <w:color w:val="auto"/>
          <w:sz w:val="24"/>
          <w:szCs w:val="24"/>
          <w:highlight w:val="none"/>
        </w:rPr>
        <w:t xml:space="preserve">。</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(如有，请按要求提供）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7.资格审查现场查询“信用中国”网站，</w:t>
      </w:r>
      <w:r>
        <w:rPr>
          <w:rFonts w:hint="eastAsia" w:ascii="宋体" w:hAnsi="宋体" w:eastAsia="宋体" w:cs="宋体"/>
          <w:color w:val="auto"/>
          <w:sz w:val="24"/>
          <w:szCs w:val="24"/>
          <w:highlight w:val="none"/>
          <w:lang w:val="en-US" w:eastAsia="zh-CN"/>
        </w:rPr>
        <w:t xml:space="preserve">投标人被</w:t>
      </w:r>
      <w:r>
        <w:rPr>
          <w:rFonts w:hint="eastAsia" w:ascii="宋体" w:hAnsi="宋体" w:eastAsia="宋体" w:cs="宋体"/>
          <w:color w:val="auto"/>
          <w:sz w:val="24"/>
          <w:szCs w:val="24"/>
          <w:highlight w:val="none"/>
        </w:rPr>
        <w:t xml:space="preserve">列入失信被执行人、税收违法</w:t>
      </w:r>
      <w:r>
        <w:rPr>
          <w:rFonts w:hint="eastAsia" w:ascii="宋体" w:hAnsi="宋体" w:eastAsia="宋体" w:cs="宋体"/>
          <w:color w:val="auto"/>
          <w:sz w:val="24"/>
          <w:szCs w:val="24"/>
          <w:highlight w:val="none"/>
          <w:lang w:val="en-US" w:eastAsia="zh-CN"/>
        </w:rPr>
        <w:t xml:space="preserve">黑名单</w:t>
      </w:r>
      <w:r>
        <w:rPr>
          <w:rFonts w:hint="eastAsia" w:ascii="宋体" w:hAnsi="宋体" w:eastAsia="宋体" w:cs="宋体"/>
          <w:color w:val="auto"/>
          <w:sz w:val="24"/>
          <w:szCs w:val="24"/>
          <w:highlight w:val="none"/>
        </w:rPr>
        <w:t xml:space="preserve">、政府采购严重失信行为记录名单及其他不符合《中华人民共和国政府采购法》第二十二条</w:t>
      </w:r>
      <w:r>
        <w:rPr>
          <w:rFonts w:hint="eastAsia" w:ascii="宋体" w:hAnsi="宋体" w:eastAsia="宋体" w:cs="宋体"/>
          <w:color w:val="auto"/>
          <w:sz w:val="24"/>
          <w:szCs w:val="24"/>
          <w:highlight w:val="none"/>
          <w:lang w:val="en-US" w:eastAsia="zh-CN"/>
        </w:rPr>
        <w:t xml:space="preserve">规定情形的，拒绝其参与政府采购活动。</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方式：自行</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6-6-15 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地点：“苏采云”政府采购交易系统</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bCs/>
          <w:color w:val="auto"/>
          <w:sz w:val="24"/>
          <w:szCs w:val="24"/>
          <w:highlight w:val="none"/>
        </w:rPr>
        <w:t xml:space="preserve">斜体且有下划线部分为实质性要求和条件</w:t>
      </w:r>
      <w:r>
        <w:rPr>
          <w:rFonts w:hint="eastAsia" w:ascii="宋体" w:hAnsi="宋体" w:eastAsia="宋体" w:cs="宋体"/>
          <w:color w:val="auto"/>
          <w:sz w:val="24"/>
          <w:szCs w:val="24"/>
          <w:highlight w:val="none"/>
        </w:rPr>
        <w:t xml:space="preserve">，投标人须逐条做出满足实质性要求和条件的响应，否则将按无效响应处理。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国家东中西区域合作示范区（连云港徐圩新区）徐圩港区管理办公室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highlight w:val="none"/>
        </w:rPr>
        <w:t xml:space="preserve">连云港市徐圩新区产业服务中心605室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highlight w:val="none"/>
        </w:rPr>
        <w:t xml:space="preserve">潘岳</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highlight w:val="none"/>
        </w:rPr>
        <w:t xml:space="preserve">0518-82258810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江苏新时代工程项目管理有限公司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地址：连云港市海州区朝阳东路36号凤凰大厦</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徐琨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联系电话：0518-81163378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徐琨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0518-81163378</w:t>
      </w:r>
      <w:r/>
    </w:p>
    <w:p>
      <w:pPr>
        <w:rPr>
          <w:rFonts w:hint="eastAsia" w:ascii="宋体" w:hAnsi="宋体" w:eastAsia="宋体" w:cs="宋体"/>
          <w:b w:val="0"/>
          <w:color w:val="auto"/>
          <w:highlight w:val="none"/>
        </w:rPr>
      </w:pPr>
      <w:r/>
      <w:bookmarkStart w:id="3" w:name="_Toc162361611"/>
      <w:r>
        <w:rPr>
          <w:rFonts w:hint="eastAsia" w:ascii="宋体" w:hAnsi="宋体" w:eastAsia="宋体" w:cs="宋体"/>
          <w:b w:val="0"/>
          <w:color w:val="auto"/>
          <w:highlight w:val="none"/>
        </w:rPr>
        <w:br w:type="page" w:clear="all"/>
      </w:r>
      <w:r/>
    </w:p>
    <w:p>
      <w:pPr>
        <w:pStyle w:val="731"/>
        <w:jc w:val="center"/>
        <w:spacing w:line="360" w:lineRule="auto"/>
        <w:rPr>
          <w:rFonts w:hint="eastAsia" w:ascii="宋体" w:hAnsi="宋体" w:eastAsia="宋体" w:cs="宋体"/>
          <w:b w:val="0"/>
          <w:color w:val="auto"/>
          <w:highlight w:val="none"/>
        </w:rPr>
      </w:pPr>
      <w:r/>
      <w:bookmarkStart w:id="4" w:name="_Toc18233"/>
      <w:r>
        <w:rPr>
          <w:rFonts w:hint="eastAsia" w:ascii="宋体" w:hAnsi="宋体" w:eastAsia="宋体" w:cs="宋体"/>
          <w:b w:val="0"/>
          <w:color w:val="auto"/>
          <w:highlight w:val="none"/>
        </w:rPr>
        <w:t xml:space="preserve">第二章  投标人须知</w:t>
      </w:r>
      <w:bookmarkEnd w:id="3"/>
      <w:r/>
      <w:bookmarkEnd w:id="4"/>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本次招标采取公开招标方式，本招标文件仅适用于招标公告中所述项目。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满足本招标文件全部实质性要求和条件的规定。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以联合体形式进行政府采购的，参加联合体的供应商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本次招标及由此产生的合同受中华人民共和国有关的法律法规制约和保护。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江苏新时代工程项目管理有限公司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本次招标采购人和采购代理机构不收取标书工本费，中标服务费由</w:t>
      </w:r>
      <w:r>
        <w:rPr>
          <w:rFonts w:hint="eastAsia" w:ascii="宋体" w:hAnsi="宋体" w:eastAsia="宋体" w:cs="宋体"/>
          <w:color w:val="auto"/>
          <w:sz w:val="24"/>
          <w:highlight w:val="none"/>
        </w:rPr>
        <w:t xml:space="preserve">中标单位支付，</w:t>
      </w:r>
      <w:r>
        <w:rPr>
          <w:rFonts w:hint="eastAsia" w:ascii="宋体" w:hAnsi="宋体" w:eastAsia="宋体" w:cs="宋体"/>
          <w:color w:val="auto"/>
          <w:sz w:val="24"/>
          <w:szCs w:val="24"/>
          <w:highlight w:val="none"/>
        </w:rPr>
        <w:t xml:space="preserve">在接收</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通知书前</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szCs w:val="24"/>
          <w:highlight w:val="none"/>
        </w:rPr>
        <w:t xml:space="preserve">《江苏省政府采购代理服务收费指导意见》苏政采协[2024]20号</w:t>
      </w:r>
      <w:r>
        <w:rPr>
          <w:rFonts w:hint="eastAsia" w:ascii="宋体" w:hAnsi="宋体" w:eastAsia="宋体" w:cs="宋体"/>
          <w:color w:val="auto"/>
          <w:sz w:val="24"/>
          <w:szCs w:val="24"/>
          <w:highlight w:val="none"/>
          <w:lang w:val="en-US" w:eastAsia="zh-CN"/>
        </w:rPr>
        <w:t xml:space="preserve">文收费标准的70%</w:t>
      </w:r>
      <w:r>
        <w:rPr>
          <w:rFonts w:hint="eastAsia" w:ascii="宋体" w:hAnsi="宋体" w:eastAsia="宋体" w:cs="宋体"/>
          <w:color w:val="auto"/>
          <w:sz w:val="24"/>
          <w:highlight w:val="none"/>
        </w:rPr>
        <w:t xml:space="preserve">一次性向代理机构支付。上述费用由投标人在报价时综合考虑，不单列。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投标人应根据投标报价要求在投标分项报价表中列明各项投标单价、总价等，未全部列示的作无效响应处理。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投标货币。投标文件中的单价和总价无特殊规定的采用人民币报价，以元为单位标注。招标文件中另有规定的按规定执行。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15.3投标人需根据招标文件要求提供所投标的的主要组成部分、功能设计、实现思路及关键技术等。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w:t>
      </w:r>
      <w:r>
        <w:rPr>
          <w:rFonts w:hint="eastAsia" w:ascii="宋体" w:hAnsi="宋体" w:eastAsia="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无效投标处理，但评标时以开标一览表中价格为准。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在特殊情况下（法律法规另有规定的除外），经监管部门批准后，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投标人应当按照《操作手册》规定，在投标截止时间前制作并递交（上传）电子投标文件。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rPr>
        <w:t xml:space="preserve">投标人在开标、评标全过程中应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，及时登录“苏采云”系统查阅、答复相关信息，并安排专人与采购代理机构及评委会联系。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文件规定的评审程序、评审方法和评审标准进行独立评审并确定中标候选人。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default" w:ascii="宋体" w:hAnsi="宋体" w:eastAsia="宋体" w:cs="宋体"/>
          <w:color w:val="auto"/>
          <w:sz w:val="24"/>
          <w:szCs w:val="24"/>
          <w:highlight w:val="none"/>
          <w:lang w:val="en-US"/>
        </w:rPr>
        <w:t xml:space="preserve">供应商</w:t>
      </w:r>
      <w:r>
        <w:rPr>
          <w:rFonts w:hint="eastAsia" w:ascii="宋体" w:hAnsi="宋体" w:eastAsia="宋体" w:cs="宋体"/>
          <w:color w:val="auto"/>
          <w:sz w:val="24"/>
          <w:szCs w:val="24"/>
          <w:highlight w:val="none"/>
        </w:rPr>
        <w:t xml:space="preserve">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投标文件审查分为资格审查和符合性审查。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资格审查：采购人依据法律法规和招标文件的规定，对投标文件中的资格证明文件进行审查。资格审查的结论，采购人以书面形式向评委会进行反馈。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采购人进行资格审查同时，将在信用中国网站（www.creditchina.gov.cn）查询投标人的信用记录，以确定投标人是否具备投标资格，查询结果留存并归档。</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i/>
          <w:iCs/>
          <w:color w:val="auto"/>
          <w:sz w:val="24"/>
          <w:highlight w:val="none"/>
          <w:u w:val="none"/>
        </w:rPr>
      </w:pPr>
      <w:r>
        <w:rPr>
          <w:rFonts w:hint="eastAsia" w:ascii="宋体" w:hAnsi="宋体" w:eastAsia="宋体" w:cs="宋体"/>
          <w:b/>
          <w:bCs/>
          <w:i/>
          <w:iCs/>
          <w:color w:val="auto"/>
          <w:sz w:val="24"/>
          <w:highlight w:val="none"/>
          <w:u w:val="single"/>
          <w:lang w:val="en-US" w:eastAsia="zh-CN"/>
        </w:rPr>
        <w:t xml:space="preserve">如</w:t>
      </w:r>
      <w:r>
        <w:rPr>
          <w:rFonts w:hint="eastAsia" w:ascii="宋体" w:hAnsi="宋体" w:eastAsia="宋体" w:cs="宋体"/>
          <w:b/>
          <w:bCs/>
          <w:i/>
          <w:iCs/>
          <w:color w:val="auto"/>
          <w:sz w:val="24"/>
          <w:highlight w:val="none"/>
          <w:u w:val="single"/>
        </w:rPr>
        <w:t xml:space="preserve">接受联合体的项目，联合体各方均需提供资格审查材料。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26.1.3政府采购异常低价审查：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1.投标(响应)报价低于全部通过符合性审查供应商投标(响应)报价平均值50%的，即投标(响应)报价&lt;全部通过符合性审查供应商投标(响应)报价平均值X50%;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2.投标(响应)报价低于通过符合性审查的次低报价供应商投标(响应)报价50%的，即投标(响应)报价&lt;通过符合性审查的次低报价供应商投标(响应)报价X50%;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3.投标(响应)报价低于采购项目最高限价45%的，即投标(响应)报价&lt;采购项目最高限价X45%;</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告知其未通过的原因，评审结束后，将不再告知。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如果投标文件实质上没有响应招标文件的要求，评委会将予以拒绝，投标人不得通过修改或撤销不符合要求的偏离而使其投标成为实质性响应的投标。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（4）投标人被信用中国网站（www.creditchina.gov.cn）列入失信被执行人、税收违法</w:t>
      </w:r>
      <w:r>
        <w:rPr>
          <w:rFonts w:hint="eastAsia" w:ascii="宋体" w:hAnsi="宋体" w:eastAsia="宋体" w:cs="宋体"/>
          <w:color w:val="auto"/>
          <w:sz w:val="24"/>
          <w:szCs w:val="24"/>
          <w:highlight w:val="none"/>
          <w:lang w:val="en-US" w:eastAsia="zh-CN"/>
        </w:rPr>
        <w:t xml:space="preserve">黑</w:t>
      </w:r>
      <w:r>
        <w:rPr>
          <w:rFonts w:hint="eastAsia" w:ascii="宋体" w:hAnsi="宋体" w:eastAsia="宋体" w:cs="宋体"/>
          <w:color w:val="auto"/>
          <w:sz w:val="24"/>
          <w:szCs w:val="24"/>
          <w:highlight w:val="none"/>
        </w:rPr>
        <w:t xml:space="preserve">名单、政府采购严重违法失信行为记录名单及其他不符合《中华人民共和国政府采购法》第二十二条规定情形的。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（8）不符合招标文件中规定的实质性要求和条件的（本招标文件中斜体且有下划线部分为实质性要求和条件）。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投标人所投标产品不符合招标文件中所列国家强制性标准的。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中标人在中标后七个工作日内，需向采购人提供一份与电子投标文件一致的纸质打印胶装投标文件，封面、骑缝需加盖公章。具体以采购人要求为准。</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七、履约保证金及授予合同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招标文件、中标人的投标文件及招标过程中有关澄清、承诺等文件均应作为合同附件。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31.4 </w:t>
      </w:r>
      <w:r>
        <w:rPr>
          <w:rFonts w:hint="eastAsia" w:ascii="宋体" w:hAnsi="宋体" w:eastAsia="宋体" w:cs="宋体"/>
          <w:color w:val="auto"/>
          <w:sz w:val="24"/>
          <w:highlight w:val="none"/>
        </w:rPr>
        <w:t xml:space="preserve">采购人应当在合同签订后2日内上传合同至苏采云公示。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32.合同标的的追加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供应商对政府采购活动事项有疑问的，可以提出询问，采购人或者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应当告知供应商向采购人提出。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供应商认为</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文件、采购过程、采购结果使自己的权益受到损害的，可以在知道或者应知其权益受到损害之日（获取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文件之日、采购公告发布之日）起七个工作日内以书面形式向采购人、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采购文件的供应商，视为未参与该项目的采购活动，不具备对该</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文件时间设定不符合有关法律法规规定等原因使供应商权益受损的除外。</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 未尽事宜，依照有关法律、法规执行。</w:t>
      </w:r>
      <w:r/>
    </w:p>
    <w:p>
      <w:pPr>
        <w:pStyle w:val="73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38.促进中小企业发展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w:t>
      </w:r>
      <w:r>
        <w:rPr>
          <w:rFonts w:hint="eastAsia" w:ascii="宋体" w:hAnsi="宋体" w:eastAsia="宋体" w:cs="宋体"/>
          <w:color w:val="auto"/>
          <w:sz w:val="24"/>
          <w:szCs w:val="24"/>
          <w:highlight w:val="none"/>
          <w:lang w:val="en-US" w:eastAsia="zh-CN"/>
        </w:rPr>
        <w:t xml:space="preserve">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38.2 </w:t>
      </w:r>
      <w:r>
        <w:rPr>
          <w:rFonts w:hint="eastAsia" w:ascii="宋体" w:hAnsi="宋体" w:cs="宋体"/>
          <w:b/>
          <w:bCs/>
          <w:color w:val="auto"/>
          <w:sz w:val="24"/>
          <w:highlight w:val="none"/>
        </w:rPr>
        <w:t xml:space="preserve">本项目对提供的服务全部由小型企业、微型企业、残疾人福利性单位和监狱企业承接的报价给予10%的扣除，用扣除后的价格参与评审。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38.3 参加本项目政府采购活动的供应商享受价格评审优惠的应当提供的材料：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（1）供应商为小型企业、微型企业的，提供《中小企业声明函》（第六章 </w:t>
      </w:r>
      <w:r>
        <w:rPr>
          <w:rFonts w:hint="eastAsia" w:ascii="宋体" w:hAnsi="宋体" w:eastAsia="宋体" w:cs="宋体"/>
          <w:color w:val="auto"/>
          <w:sz w:val="24"/>
          <w:highlight w:val="none"/>
          <w:lang w:eastAsia="zh-CN"/>
        </w:rPr>
        <w:t xml:space="preserve">投标文件</w:t>
      </w:r>
      <w:r>
        <w:rPr>
          <w:rFonts w:hint="eastAsia" w:ascii="宋体" w:hAnsi="宋体" w:cs="宋体"/>
          <w:color w:val="auto"/>
          <w:sz w:val="24"/>
          <w:highlight w:val="none"/>
        </w:rPr>
        <w:t xml:space="preserve">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（2）符合《关于促进残疾人就业政府采购政策的通知》（财库〔2017〕141号）规定的条件并提供《残疾人福利性单位声明函》（第六章 </w:t>
      </w:r>
      <w:r>
        <w:rPr>
          <w:rFonts w:hint="eastAsia" w:ascii="宋体" w:hAnsi="宋体" w:eastAsia="宋体" w:cs="宋体"/>
          <w:color w:val="auto"/>
          <w:sz w:val="24"/>
          <w:highlight w:val="none"/>
          <w:lang w:eastAsia="zh-CN"/>
        </w:rPr>
        <w:t xml:space="preserve">投标文件</w:t>
      </w:r>
      <w:r>
        <w:rPr>
          <w:rFonts w:hint="eastAsia" w:ascii="宋体" w:hAnsi="宋体" w:cs="宋体"/>
          <w:color w:val="auto"/>
          <w:sz w:val="24"/>
          <w:highlight w:val="none"/>
        </w:rPr>
        <w:t xml:space="preserve">格式）的残疾人福利性单位视同小型、微型企业。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38.4 残疾人福利单位、监狱企业属于小型、微型企业的，不重复享受政策。</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38.5 享受扶持政策获得政府采购合同的，小微型企业不得将合同分包给大中型企业，中型企业不得将合同分包给大型企业。</w:t>
      </w:r>
      <w:r/>
    </w:p>
    <w:p>
      <w:pPr>
        <w:ind w:firstLine="480"/>
        <w:jc w:val="left"/>
        <w:spacing w:line="360" w:lineRule="auto"/>
        <w:rPr>
          <w:rFonts w:hint="eastAsia" w:ascii="宋体" w:hAnsi="宋体" w:cs="宋体"/>
          <w:color w:val="auto"/>
          <w:sz w:val="24"/>
          <w:highlight w:val="none"/>
        </w:rPr>
      </w:pPr>
      <w:r>
        <w:rPr>
          <w:rFonts w:hint="eastAsia" w:ascii="宋体" w:hAnsi="宋体" w:eastAsia="宋体" w:cs="宋体"/>
          <w:b/>
          <w:bCs/>
          <w:color w:val="auto"/>
          <w:sz w:val="24"/>
          <w:highlight w:val="none"/>
          <w:lang w:eastAsia="zh-CN"/>
        </w:rPr>
        <w:t xml:space="preserve">注：</w:t>
      </w:r>
      <w:r>
        <w:rPr>
          <w:rFonts w:hint="eastAsia" w:ascii="宋体" w:hAnsi="宋体" w:eastAsia="宋体" w:cs="宋体"/>
          <w:b/>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39</w:t>
      </w:r>
      <w:r>
        <w:rPr>
          <w:rFonts w:hint="eastAsia" w:ascii="宋体" w:hAnsi="宋体" w:eastAsia="宋体" w:cs="宋体"/>
          <w:b/>
          <w:color w:val="auto"/>
          <w:sz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39.1 </w:t>
      </w:r>
      <w:r>
        <w:rPr>
          <w:rFonts w:hint="eastAsia" w:ascii="宋体" w:hAnsi="宋体" w:eastAsia="宋体" w:cs="宋体"/>
          <w:color w:val="auto"/>
          <w:sz w:val="24"/>
          <w:szCs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39.2 </w:t>
      </w:r>
      <w:r>
        <w:rPr>
          <w:rFonts w:hint="eastAsia" w:ascii="宋体" w:hAnsi="宋体" w:eastAsia="宋体" w:cs="宋体"/>
          <w:color w:val="auto"/>
          <w:sz w:val="24"/>
          <w:szCs w:val="24"/>
          <w:highlight w:val="none"/>
        </w:rPr>
        <w:t xml:space="preserve">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p>
    <w:p>
      <w:pPr>
        <w:pStyle w:val="733"/>
        <w:ind w:firstLine="480"/>
        <w:jc w:val="left"/>
        <w:spacing w:before="0" w:after="0" w:line="360" w:lineRule="auto"/>
        <w:rPr>
          <w:rFonts w:hint="eastAsia" w:ascii="宋体" w:hAnsi="宋体" w:cs="宋体"/>
          <w:color w:val="auto"/>
          <w:sz w:val="24"/>
          <w:szCs w:val="24"/>
          <w:highlight w:val="none"/>
        </w:rPr>
      </w:pPr>
      <w:r/>
      <w:bookmarkStart w:id="5" w:name="_Toc162361612"/>
      <w:r>
        <w:rPr>
          <w:rFonts w:hint="eastAsia" w:ascii="宋体" w:hAnsi="宋体" w:cs="宋体"/>
          <w:color w:val="auto"/>
          <w:sz w:val="24"/>
          <w:szCs w:val="24"/>
          <w:highlight w:val="none"/>
        </w:rPr>
        <w:t xml:space="preserve">40、政府采购需求标准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40.1 本项目执行《绿色数据中心政府采购需求</w:t>
      </w:r>
      <w:r>
        <w:rPr>
          <w:rFonts w:hint="eastAsia" w:ascii="宋体" w:hAnsi="宋体" w:cs="宋体"/>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33"/>
        <w:ind w:firstLine="48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41、</w:t>
      </w:r>
      <w:r>
        <w:rPr>
          <w:rFonts w:hint="eastAsia" w:ascii="宋体" w:hAnsi="宋体" w:cs="宋体"/>
          <w:color w:val="auto"/>
          <w:sz w:val="24"/>
          <w:szCs w:val="24"/>
          <w:highlight w:val="none"/>
        </w:rPr>
        <w:t xml:space="preserve">采购本国产品的支持政策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41.1</w:t>
      </w:r>
      <w:r>
        <w:rPr>
          <w:rFonts w:hint="eastAsia" w:ascii="宋体" w:hAnsi="宋体" w:cs="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41.2</w:t>
      </w: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41.3</w:t>
      </w:r>
      <w:r>
        <w:rPr>
          <w:rFonts w:hint="eastAsia" w:ascii="宋体" w:hAnsi="宋体" w:cs="宋体"/>
          <w:color w:val="auto"/>
          <w:sz w:val="24"/>
          <w:highlight w:val="none"/>
        </w:rPr>
        <w:t xml:space="preserve">供应商需按照招标文件的要求提供《关于符合本国产品标准的声明函》（以下简称《声明函》），如不提供将不享受本国产品价格评审优惠。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41.4</w:t>
      </w:r>
      <w:r>
        <w:rPr>
          <w:rFonts w:hint="eastAsia" w:ascii="宋体" w:hAnsi="宋体" w:cs="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41.5</w:t>
      </w:r>
      <w:r>
        <w:rPr>
          <w:rFonts w:hint="eastAsia" w:ascii="宋体" w:hAnsi="宋体" w:cs="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41.6</w:t>
      </w:r>
      <w:r>
        <w:rPr>
          <w:rFonts w:hint="eastAsia" w:ascii="宋体" w:hAnsi="宋体" w:cs="宋体"/>
          <w:color w:val="auto"/>
          <w:sz w:val="24"/>
          <w:highlight w:val="none"/>
        </w:rPr>
        <w:t xml:space="preserve">政府采购中的本国产品标准及其他未尽事宜详见《国务院办公厅关于在政府采购中实施本国产品标准及相关政策的通知》（国办发〔2025〕34号）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41.7</w:t>
      </w:r>
      <w:r>
        <w:rPr>
          <w:rFonts w:hint="eastAsia"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41.8</w:t>
      </w:r>
      <w:r>
        <w:rPr>
          <w:rFonts w:hint="eastAsia"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3"/>
        <w:jc w:val="left"/>
        <w:spacing w:line="360" w:lineRule="auto"/>
        <w:tabs>
          <w:tab w:val="left" w:pos="900" w:leader="none"/>
        </w:tabs>
        <w:rPr>
          <w:rFonts w:hint="eastAsia" w:ascii="宋体" w:hAnsi="宋体" w:eastAsia="宋体" w:cs="宋体"/>
          <w:b w:val="0"/>
          <w:color w:val="auto"/>
          <w:highlight w:val="none"/>
        </w:rPr>
      </w:pPr>
      <w:r>
        <w:rPr>
          <w:rFonts w:ascii="宋体" w:hAnsi="Times New Roman" w:eastAsia="黑体" w:cs="Times New Roman"/>
          <w:b/>
          <w:color w:val="000000"/>
          <w:sz w:val="36"/>
          <w:szCs w:val="20"/>
          <w:highlight w:val="none"/>
        </w:rPr>
        <w:br w:type="page" w:clear="all"/>
      </w:r>
      <w:r/>
    </w:p>
    <w:p>
      <w:pPr>
        <w:pStyle w:val="731"/>
        <w:jc w:val="center"/>
        <w:spacing w:line="360" w:lineRule="auto"/>
        <w:rPr>
          <w:rFonts w:hint="eastAsia" w:ascii="宋体" w:hAnsi="宋体" w:eastAsia="宋体" w:cs="宋体"/>
          <w:b w:val="0"/>
          <w:color w:val="auto"/>
          <w:highlight w:val="none"/>
        </w:rPr>
      </w:pPr>
      <w:r/>
      <w:bookmarkStart w:id="6" w:name="_Toc5548"/>
      <w:r>
        <w:rPr>
          <w:rFonts w:hint="eastAsia" w:ascii="宋体" w:hAnsi="宋体" w:eastAsia="宋体" w:cs="宋体"/>
          <w:b w:val="0"/>
          <w:color w:val="auto"/>
          <w:highlight w:val="none"/>
        </w:rPr>
        <w:t xml:space="preserve">第三章  合同文本</w:t>
      </w:r>
      <w:bookmarkEnd w:id="5"/>
      <w:r/>
      <w:bookmarkEnd w:id="6"/>
      <w:r/>
      <w:r/>
    </w:p>
    <w:p>
      <w:pPr>
        <w:ind w:firstLine="480"/>
        <w:jc w:val="both"/>
        <w:spacing w:line="500" w:lineRule="exact"/>
        <w:rPr>
          <w:rFonts w:hint="eastAsia" w:ascii="宋体" w:hAnsi="宋体" w:eastAsia="宋体" w:cs="宋体"/>
          <w:color w:val="auto"/>
          <w:sz w:val="24"/>
          <w:szCs w:val="24"/>
          <w:highlight w:val="none"/>
        </w:rPr>
      </w:pPr>
      <w:r/>
      <w:bookmarkStart w:id="7" w:name="_Toc6864"/>
      <w:r/>
      <w:bookmarkStart w:id="8" w:name="_Toc162361613"/>
      <w:r>
        <w:rPr>
          <w:rFonts w:hint="eastAsia" w:ascii="宋体" w:hAnsi="宋体" w:eastAsia="宋体" w:cs="宋体"/>
          <w:color w:val="auto"/>
          <w:sz w:val="24"/>
          <w:szCs w:val="24"/>
          <w:highlight w:val="none"/>
        </w:rPr>
        <w:t xml:space="preserve">（备注：以下为中标后签订本项目合同的通用条款，中标人不得提出实质性的修改，签订合同时请删除本条备注。）</w:t>
      </w:r>
      <w:r/>
    </w:p>
    <w:p>
      <w:pPr>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连云港市政府采购合同（服务）</w:t>
      </w:r>
      <w:r/>
    </w:p>
    <w:p>
      <w:pPr>
        <w:jc w:val="center"/>
        <w:spacing w:line="50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（合同编号：***）</w:t>
      </w:r>
      <w:r/>
    </w:p>
    <w:p>
      <w:pPr>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）公开招标的结果，签订本合同。</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4"/>
          <w:highlight w:val="none"/>
          <w:u w:val="single"/>
        </w:rPr>
        <w:t xml:space="preserve">徐圩港区大宗商品储备基地规划研究，内容主要包括基础现状与发展条件评估、市场需求分析、发展目标及功能定位、总体布局与设施配置、存在问题及解决措施等。</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4"/>
          <w:highlight w:val="none"/>
          <w:u w:val="single"/>
        </w:rPr>
        <w:t xml:space="preserve">编制《徐圩港区大宗商品储备基地规划研究》报告，并协助纳入国家重大项目规划</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4"/>
          <w:highlight w:val="none"/>
          <w:u w:val="single"/>
        </w:rPr>
        <w:t xml:space="preserve">采购标的需执行的国家相关标准、行业标准、地方标准或者其他标准、规范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本合同价款包含所有乙方提供合同约定产品和服务的报酬及乙方提供合同约定产品和服务所支出的必要费用，</w:t>
      </w:r>
      <w:r>
        <w:rPr>
          <w:rFonts w:hint="eastAsia" w:ascii="宋体" w:hAnsi="宋体" w:eastAsia="宋体" w:cs="宋体"/>
          <w:b w:val="0"/>
          <w:bCs w:val="0"/>
          <w:color w:val="auto"/>
          <w:sz w:val="24"/>
          <w:highlight w:val="none"/>
          <w:lang w:val="en-US"/>
        </w:rPr>
        <w:t xml:space="preserve">包含但不限于</w:t>
      </w:r>
      <w:r>
        <w:rPr>
          <w:rFonts w:hint="eastAsia" w:ascii="宋体" w:hAnsi="宋体" w:eastAsia="宋体" w:cs="宋体"/>
          <w:b w:val="0"/>
          <w:bCs w:val="0"/>
          <w:color w:val="auto"/>
          <w:sz w:val="24"/>
          <w:highlight w:val="none"/>
          <w:lang w:val="en-US" w:eastAsia="zh-CN"/>
        </w:rPr>
        <w:t xml:space="preserve">资料收集、调研费用、研究报告及成果编制、会务费、</w:t>
      </w:r>
      <w:r>
        <w:rPr>
          <w:rFonts w:hint="eastAsia" w:ascii="宋体" w:hAnsi="宋体" w:eastAsia="宋体" w:cs="宋体"/>
          <w:b w:val="0"/>
          <w:bCs w:val="0"/>
          <w:color w:val="auto"/>
          <w:sz w:val="24"/>
          <w:highlight w:val="none"/>
          <w:lang w:val="en-US"/>
        </w:rPr>
        <w:t xml:space="preserve">人工、差旅、专家评审</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税金、利润</w:t>
      </w:r>
      <w:r>
        <w:rPr>
          <w:rFonts w:hint="eastAsia" w:ascii="宋体" w:hAnsi="宋体" w:eastAsia="宋体" w:cs="宋体"/>
          <w:b w:val="0"/>
          <w:bCs w:val="0"/>
          <w:color w:val="auto"/>
          <w:sz w:val="24"/>
          <w:szCs w:val="24"/>
          <w:highlight w:val="none"/>
        </w:rPr>
        <w:t xml:space="preserve">等所有相关费用</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color w:val="auto"/>
          <w:sz w:val="24"/>
          <w:szCs w:val="24"/>
          <w:highlight w:val="none"/>
        </w:rPr>
        <w:t xml:space="preserve">甲方在上述合同价款之外不再向乙方支付其他任何费用。</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乙方应按招标文件规定的时间向甲方提供有关技术资料。</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五、产权担保</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六、履约保证金</w:t>
      </w:r>
      <w:r/>
    </w:p>
    <w:p>
      <w:pPr>
        <w:ind w:firstLine="480"/>
        <w:jc w:val="both"/>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6.1本项目不缴纳履约保证金。</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七、合同转包或分包</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八、服务时间</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w:t>
      </w:r>
      <w:r>
        <w:rPr>
          <w:rFonts w:hint="eastAsia" w:ascii="宋体" w:hAnsi="宋体" w:eastAsia="宋体" w:cs="宋体"/>
          <w:color w:val="auto"/>
          <w:sz w:val="24"/>
          <w:szCs w:val="24"/>
          <w:highlight w:val="none"/>
          <w:u w:val="single"/>
        </w:rPr>
        <w:t xml:space="preserve">6个月，自合同签订之日起算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九、合同内容的交付</w:t>
      </w:r>
      <w:r/>
    </w:p>
    <w:p>
      <w:pPr>
        <w:ind w:firstLine="480"/>
        <w:jc w:val="both"/>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9.1 交 付 期：</w:t>
      </w:r>
      <w:r>
        <w:rPr>
          <w:rFonts w:hint="eastAsia" w:ascii="宋体" w:hAnsi="宋体" w:eastAsia="宋体" w:cs="宋体"/>
          <w:color w:val="auto"/>
          <w:sz w:val="24"/>
          <w:szCs w:val="24"/>
          <w:highlight w:val="none"/>
          <w:u w:val="single"/>
        </w:rPr>
        <w:t xml:space="preserve">6个月，自合同签订之日起算</w:t>
      </w:r>
      <w:r>
        <w:rPr>
          <w:rFonts w:hint="eastAsia" w:ascii="宋体" w:hAnsi="宋体" w:eastAsia="宋体" w:cs="宋体"/>
          <w:color w:val="auto"/>
          <w:sz w:val="24"/>
          <w:szCs w:val="24"/>
          <w:highlight w:val="none"/>
          <w:u w:val="none"/>
        </w:rPr>
        <w:t xml:space="preserve">。</w:t>
      </w:r>
      <w:r/>
    </w:p>
    <w:p>
      <w:pPr>
        <w:ind w:firstLine="480"/>
        <w:jc w:val="both"/>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9.2 交付方式：</w:t>
      </w:r>
      <w:r>
        <w:rPr>
          <w:rFonts w:hint="eastAsia" w:ascii="宋体" w:hAnsi="宋体" w:eastAsia="宋体" w:cs="宋体"/>
          <w:color w:val="auto"/>
          <w:sz w:val="24"/>
          <w:szCs w:val="24"/>
          <w:highlight w:val="none"/>
          <w:u w:val="single"/>
        </w:rPr>
        <w:t xml:space="preserve">评审会验收</w:t>
      </w:r>
      <w:r>
        <w:rPr>
          <w:rFonts w:hint="eastAsia" w:ascii="宋体" w:hAnsi="宋体" w:eastAsia="宋体" w:cs="宋体"/>
          <w:color w:val="auto"/>
          <w:sz w:val="24"/>
          <w:szCs w:val="24"/>
          <w:highlight w:val="none"/>
          <w:u w:val="none"/>
        </w:rPr>
        <w:t xml:space="preserve">。</w:t>
      </w:r>
      <w:r/>
    </w:p>
    <w:p>
      <w:pPr>
        <w:ind w:firstLine="480"/>
        <w:jc w:val="both"/>
        <w:spacing w:line="50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9.3 交付地点：</w:t>
      </w:r>
      <w:r>
        <w:rPr>
          <w:rFonts w:hint="eastAsia" w:ascii="宋体" w:hAnsi="宋体" w:eastAsia="宋体" w:cs="宋体"/>
          <w:color w:val="auto"/>
          <w:sz w:val="24"/>
          <w:szCs w:val="24"/>
          <w:highlight w:val="none"/>
          <w:u w:val="single"/>
        </w:rPr>
        <w:t xml:space="preserve">连云港徐圩新区</w:t>
      </w:r>
      <w:r>
        <w:rPr>
          <w:rFonts w:hint="eastAsia" w:ascii="宋体" w:hAnsi="宋体" w:eastAsia="宋体" w:cs="宋体"/>
          <w:color w:val="auto"/>
          <w:sz w:val="24"/>
          <w:szCs w:val="24"/>
          <w:highlight w:val="none"/>
          <w:u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十、合同款支付</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w:t>
      </w:r>
      <w:r>
        <w:rPr>
          <w:rFonts w:hint="eastAsia" w:ascii="宋体" w:hAnsi="宋体" w:eastAsia="宋体" w:cs="宋体"/>
          <w:color w:val="auto"/>
          <w:sz w:val="24"/>
          <w:szCs w:val="24"/>
          <w:highlight w:val="none"/>
          <w:u w:val="single"/>
        </w:rPr>
        <w:t xml:space="preserve">合同签订后10日内甲方向乙方支付合同价款30%，提交研究成果后10日内支付合同价款的30%，研究成果纳入国家重大项目规划后10日内支付合同价款的40%（无息）。</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十一、税费</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十二、质量保证及售后服务</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乙方应按招标文件规定和投标文件承诺的性能、技术要求、质量标准向甲方提供产品或服务。</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十三、项目验收</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》。乙方在履约过程中有政府采购法律法规规定的违法违规情形的，甲方将及时报告本级财政部门。</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十四、违约责任</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甲方无正当理由拒收的，甲方向乙方偿付拒收标的总额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甲方无故逾期验收和办理合同款支付手续的，甲方应按逾期付款总额每日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乙方逾期交付合同标的的，乙方应按逾期交付总额每日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向甲方支付违约金，由甲方从待付合同款中扣除，最高限额为本合同总额的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。逾期超过约定日期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10个工作日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不能交付的，甲方可解除本合同。乙方因逾期交付或因其他违约行为导致甲方解除合同的，乙方应向甲方支付合同总额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十五、不可抗力事件处理</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十六、解决争议的方法</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种方式解决：</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rPr>
          <w:rFonts w:hint="eastAsia" w:ascii="宋体" w:hAnsi="宋体" w:eastAsia="宋体" w:cs="宋体"/>
          <w:color w:val="auto"/>
          <w:sz w:val="24"/>
          <w:szCs w:val="24"/>
          <w:highlight w:val="none"/>
          <w:lang w:val="en-US" w:eastAsia="zh-CN"/>
        </w:rPr>
        <w:t xml:space="preserve">徐圩新区</w:t>
      </w:r>
      <w:r>
        <w:rPr>
          <w:rFonts w:hint="eastAsia" w:ascii="宋体" w:hAnsi="宋体" w:eastAsia="宋体" w:cs="宋体"/>
          <w:color w:val="auto"/>
          <w:sz w:val="24"/>
          <w:szCs w:val="24"/>
          <w:highlight w:val="none"/>
        </w:rPr>
        <w:t xml:space="preserve">。</w:t>
      </w:r>
      <w:r/>
    </w:p>
    <w:p>
      <w:pPr>
        <w:ind w:firstLine="480"/>
        <w:jc w:val="both"/>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十七、合同生效及其他</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合同经双方法定代表人或授权代表签字并加盖单位公章后生效。</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本合同未尽事宜，遵照</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本合同正本一式四份，具有同等法律效力，甲方执二份、乙方执</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both"/>
        <w:spacing w:line="500" w:lineRule="exact"/>
        <w:rPr>
          <w:rFonts w:hint="eastAsia" w:ascii="宋体" w:hAnsi="宋体" w:eastAsia="宋体" w:cs="宋体"/>
          <w:b w:val="0"/>
          <w:color w:val="auto"/>
          <w:highlight w:val="none"/>
          <w:lang w:val="en-US" w:eastAsia="zh-CN"/>
        </w:rPr>
      </w:pPr>
      <w:r>
        <w:rPr>
          <w:rFonts w:hint="eastAsia" w:ascii="宋体" w:hAnsi="宋体" w:eastAsia="宋体" w:cs="宋体"/>
          <w:color w:val="auto"/>
          <w:sz w:val="24"/>
          <w:szCs w:val="24"/>
          <w:highlight w:val="none"/>
        </w:rPr>
        <w:t xml:space="preserve">签订日期：       年    月    日</w:t>
      </w:r>
      <w:r/>
    </w:p>
    <w:p>
      <w:pPr>
        <w:pStyle w:val="73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7"/>
      <w:r/>
      <w:bookmarkEnd w:id="8"/>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说明：本项目属性为</w:t>
      </w:r>
      <w:r>
        <w:rPr>
          <w:rFonts w:hint="eastAsia" w:ascii="宋体" w:hAnsi="宋体" w:eastAsia="宋体" w:cs="宋体"/>
          <w:b/>
          <w:color w:val="auto"/>
          <w:sz w:val="24"/>
          <w:szCs w:val="24"/>
          <w:highlight w:val="none"/>
          <w:u w:val="single"/>
          <w:lang w:val="en-US" w:eastAsia="zh-CN"/>
        </w:rPr>
        <w:t xml:space="preserve"> 服务 </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b/>
          <w:bCs/>
          <w:color w:val="auto"/>
          <w:sz w:val="24"/>
          <w:szCs w:val="24"/>
          <w:highlight w:val="non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为实质性要求和条件，由采购人根据实际情况设置，投标人必须逐条明确作出满足实质性要求和条件的响应，否则将按</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lef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徐圩港区临港产业、腹地产业及拟投资项目对于煤炭、矿石等大宗散货运输需求旺盛；但港区现有具备煤炭矿石</w:t>
      </w:r>
      <w:r>
        <w:rPr>
          <w:rFonts w:hint="eastAsia" w:ascii="宋体" w:hAnsi="宋体" w:eastAsia="宋体" w:cs="宋体"/>
          <w:color w:val="auto"/>
          <w:sz w:val="24"/>
          <w:szCs w:val="24"/>
          <w:highlight w:val="none"/>
          <w:lang w:val="en-US" w:eastAsia="zh-CN"/>
        </w:rPr>
        <w:t xml:space="preserve">装卸条件的泊位仅有7个，</w:t>
      </w:r>
      <w:r>
        <w:rPr>
          <w:rFonts w:hint="eastAsia" w:ascii="宋体" w:hAnsi="宋体" w:eastAsia="宋体" w:cs="宋体"/>
          <w:color w:val="auto"/>
          <w:sz w:val="24"/>
          <w:szCs w:val="24"/>
          <w:highlight w:val="none"/>
        </w:rPr>
        <w:t xml:space="preserve">合计通过能力不超过3500万吨，</w:t>
      </w:r>
      <w:r>
        <w:rPr>
          <w:rFonts w:hint="eastAsia" w:ascii="宋体" w:hAnsi="宋体" w:eastAsia="宋体" w:cs="宋体"/>
          <w:color w:val="auto"/>
          <w:sz w:val="24"/>
          <w:szCs w:val="24"/>
          <w:highlight w:val="none"/>
          <w:lang w:val="en-US" w:eastAsia="zh-CN"/>
        </w:rPr>
        <w:t xml:space="preserve">此外，受制于围填海政策限制，三、五港池干散货泊位区尚未开发建设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为科学研判大宗商品储运发展趋势、合理评估港区布置大宗商品储备基地的条件、指导港口大宗商品储运业务发展，研究在</w:t>
      </w:r>
      <w:r>
        <w:rPr>
          <w:rFonts w:hint="eastAsia" w:ascii="宋体" w:hAnsi="宋体" w:eastAsia="宋体" w:cs="宋体"/>
          <w:color w:val="auto"/>
          <w:sz w:val="24"/>
          <w:szCs w:val="24"/>
          <w:highlight w:val="none"/>
        </w:rPr>
        <w:t xml:space="preserve">徐圩港区布局大宗</w:t>
      </w:r>
      <w:r>
        <w:rPr>
          <w:rFonts w:hint="eastAsia" w:ascii="宋体" w:hAnsi="宋体" w:eastAsia="宋体" w:cs="宋体"/>
          <w:color w:val="auto"/>
          <w:sz w:val="24"/>
          <w:szCs w:val="24"/>
          <w:highlight w:val="none"/>
          <w:lang w:val="en-US" w:eastAsia="zh-CN"/>
        </w:rPr>
        <w:t xml:space="preserve">商品</w:t>
      </w:r>
      <w:r>
        <w:rPr>
          <w:rFonts w:hint="eastAsia" w:ascii="宋体" w:hAnsi="宋体" w:eastAsia="宋体" w:cs="宋体"/>
          <w:color w:val="auto"/>
          <w:sz w:val="24"/>
          <w:szCs w:val="24"/>
          <w:highlight w:val="none"/>
        </w:rPr>
        <w:t xml:space="preserve">储备基地</w:t>
      </w:r>
      <w:r>
        <w:rPr>
          <w:rFonts w:hint="eastAsia" w:ascii="宋体" w:hAnsi="宋体" w:eastAsia="宋体" w:cs="宋体"/>
          <w:color w:val="auto"/>
          <w:sz w:val="24"/>
          <w:szCs w:val="24"/>
          <w:highlight w:val="none"/>
          <w:lang w:val="en-US" w:eastAsia="zh-CN"/>
        </w:rPr>
        <w:t xml:space="preserve">是必要的。</w:t>
      </w:r>
      <w:r/>
    </w:p>
    <w:p>
      <w:pPr>
        <w:ind w:left="0" w:firstLine="482"/>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二、服务</w:t>
      </w:r>
      <w:r>
        <w:rPr>
          <w:rFonts w:hint="eastAsia" w:ascii="宋体" w:hAnsi="宋体" w:eastAsia="宋体" w:cs="宋体"/>
          <w:b/>
          <w:color w:val="auto"/>
          <w:sz w:val="24"/>
          <w:szCs w:val="24"/>
          <w:highlight w:val="none"/>
          <w:lang w:val="en-US" w:eastAsia="zh-CN"/>
        </w:rPr>
        <w:t xml:space="preserve">内容</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徐圩港区大宗商品储备基地规划研究，内容主要包括基础现状与发展条件评估、市场需求分析、发展目标及功能定位、总体布局与设施配置、存在问题及解决措施等。</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围绕徐圩新区纳入全国大宗商品储运基地等上位规划总体目标，全面开展徐圩港区大宗商品储备基地前期研究，系统评估徐圩港区港口航道、码头泊位、仓储</w:t>
      </w:r>
      <w:r>
        <w:rPr>
          <w:rFonts w:hint="eastAsia" w:ascii="宋体" w:hAnsi="宋体" w:eastAsia="宋体" w:cs="宋体"/>
          <w:color w:val="auto"/>
          <w:sz w:val="24"/>
          <w:szCs w:val="24"/>
          <w:highlight w:val="none"/>
          <w:lang w:val="en-US" w:eastAsia="zh-CN"/>
        </w:rPr>
        <w:t xml:space="preserve">设施、集疏运体系等基础现状，精准研判区位条件、产业支撑、政策环境、资源禀赋等内外部发展优势与制约因素；全面梳理煤炭、矿石等核心大宗商品的区域供需格局、贸易流向、储备规模、增长趋势，科学预测中长期市场容量与储备需求；紧密对接国家战略与上位规划要求，结合区域产业发展定位，明确基地近中远期发展目标、核心功能定位与特色发展方向；深入剖析当前在规划衔接、设施配套、功能协同、政策保障、运营管理、风险防控等方面存在的短板问题，针对性提出项目落地、设施建设、功能提升、体制创新、要素保障、风险化解等一揽子解决方案与实施路径。</w:t>
      </w:r>
      <w:r/>
    </w:p>
    <w:p>
      <w:pPr>
        <w:ind w:left="0" w:firstLine="482"/>
        <w:pageBreakBefore w:val="0"/>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三、人员配备要求</w:t>
      </w:r>
      <w:r/>
    </w:p>
    <w:p>
      <w:pPr>
        <w:ind w:left="0" w:firstLine="480"/>
        <w:jc w:val="left"/>
        <w:pageBreakBefore w:val="0"/>
        <w:spacing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项目负责人1名，项目组成员2名及以上。</w:t>
      </w:r>
      <w:r/>
    </w:p>
    <w:p>
      <w:pPr>
        <w:ind w:left="0" w:firstLine="482"/>
        <w:pageBreakBefore w:val="0"/>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四、服务期限</w:t>
      </w:r>
      <w:r/>
    </w:p>
    <w:p>
      <w:pPr>
        <w:ind w:left="0" w:firstLine="480"/>
        <w:pageBreakBefore w:val="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服务期限</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6</w:t>
      </w:r>
      <w:r>
        <w:rPr>
          <w:rFonts w:hint="eastAsia" w:ascii="宋体" w:hAnsi="宋体" w:eastAsia="宋体" w:cs="宋体"/>
          <w:i/>
          <w:iCs/>
          <w:color w:val="auto"/>
          <w:sz w:val="24"/>
          <w:szCs w:val="24"/>
          <w:highlight w:val="none"/>
          <w:u w:val="single"/>
          <w:lang w:eastAsia="zh-CN"/>
        </w:rPr>
        <w:t xml:space="preserve">个月，自合同签订之日起算</w:t>
      </w:r>
      <w:r>
        <w:rPr>
          <w:rFonts w:hint="eastAsia" w:ascii="宋体" w:hAnsi="宋体" w:eastAsia="宋体" w:cs="宋体"/>
          <w:i/>
          <w:iCs/>
          <w:color w:val="auto"/>
          <w:sz w:val="24"/>
          <w:szCs w:val="24"/>
          <w:highlight w:val="none"/>
          <w:u w:val="single"/>
          <w:lang w:val="en-US" w:eastAsia="zh-CN"/>
        </w:rPr>
        <w:t xml:space="preserve">。</w:t>
      </w:r>
      <w:r/>
    </w:p>
    <w:p>
      <w:pPr>
        <w:ind w:left="0" w:firstLine="482"/>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五、服务标准</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color w:val="auto"/>
          <w:sz w:val="24"/>
          <w:highlight w:val="none"/>
        </w:rPr>
        <w:t xml:space="preserve">采购标的需执行的国家相关标准、行业标准、地方标准或者其他标准、规范。</w:t>
      </w:r>
      <w:r/>
    </w:p>
    <w:p>
      <w:pPr>
        <w:ind w:left="0" w:firstLine="482"/>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六、成果要求</w:t>
      </w: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outlineLvl w:val="1"/>
      </w:pPr>
      <w:r>
        <w:rPr>
          <w:rFonts w:hint="eastAsia" w:ascii="宋体" w:hAnsi="宋体" w:eastAsia="宋体" w:cs="宋体"/>
          <w:i w:val="0"/>
          <w:iCs w:val="0"/>
          <w:color w:val="auto"/>
          <w:sz w:val="24"/>
          <w:szCs w:val="24"/>
          <w:highlight w:val="none"/>
          <w:u w:val="none"/>
        </w:rPr>
        <w:t xml:space="preserve">编制</w:t>
      </w:r>
      <w:r>
        <w:rPr>
          <w:rFonts w:hint="eastAsia" w:ascii="宋体" w:hAnsi="宋体" w:eastAsia="宋体" w:cs="宋体"/>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徐圩港区大宗商品储备基地规划研究</w:t>
      </w:r>
      <w:r>
        <w:rPr>
          <w:rFonts w:hint="eastAsia" w:ascii="宋体" w:hAnsi="宋体" w:eastAsia="宋体" w:cs="宋体"/>
          <w:color w:val="auto"/>
          <w:sz w:val="24"/>
          <w:szCs w:val="24"/>
          <w:highlight w:val="none"/>
          <w:u w:val="none"/>
        </w:rPr>
        <w:t xml:space="preserve">》报告，并协助纳入国家重大项目规划</w:t>
      </w:r>
      <w:r>
        <w:rPr>
          <w:rFonts w:hint="eastAsia" w:ascii="宋体" w:hAnsi="宋体" w:eastAsia="宋体" w:cs="宋体"/>
          <w:color w:val="auto"/>
          <w:sz w:val="24"/>
          <w:szCs w:val="24"/>
          <w:highlight w:val="none"/>
          <w:u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1、验收主体</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验收组织单位：采购人，即国家东中西区域合作示范区（连云港徐圩新区）徐圩港区管理办公室。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合同服务期满后，由中标人提供验收报告，经采购人确认后组织验收。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3、验收方式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采购人邀请相关行业专家，按照有关规定的形式和程序，对报告进行审查，并做出相应的结论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4、验收程序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中标人提供验收报告，经采购人确认后，组织相关行业专家成立项目评审小组，召开项目评审会进行验收。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5、验收内容</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招标文件与合同约定的服务内容</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6、验收标准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招标文件、投标文件、合同文本、国内相应的标准、规范。</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、付款方式与履约保证金</w:t>
      </w:r>
      <w:r/>
    </w:p>
    <w:p>
      <w:pPr>
        <w:ind w:left="0" w:firstLine="480"/>
        <w:jc w:val="left"/>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1、付款方式</w:t>
      </w:r>
      <w:r/>
    </w:p>
    <w:p>
      <w:pPr>
        <w:numPr>
          <w:ilvl w:val="0"/>
          <w:numId w:val="0"/>
        </w:numPr>
        <w:ind w:left="0" w:firstLine="480"/>
        <w:pageBreakBefore w:val="0"/>
        <w:spacing w:line="360" w:lineRule="auto"/>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eastAsia="zh-CN"/>
        </w:rPr>
        <w:t xml:space="preserve">合同签订后10日内甲方向乙方支付合同价款30%，提交研究成果后10日内支付合同价款的30%，研究成果纳入国家重大项目规划后10日内支付合同价款的40%（无息）。</w:t>
      </w:r>
      <w:r/>
    </w:p>
    <w:p>
      <w:pPr>
        <w:ind w:left="0" w:firstLine="480"/>
        <w:jc w:val="left"/>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2、履约保证金</w:t>
      </w:r>
      <w:r/>
    </w:p>
    <w:p>
      <w:pPr>
        <w:ind w:left="0" w:firstLine="480"/>
        <w:pageBreakBefore w:val="0"/>
        <w:spacing w:line="360" w:lineRule="auto"/>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本项目</w:t>
      </w:r>
      <w:r>
        <w:rPr>
          <w:rFonts w:hint="eastAsia" w:ascii="宋体" w:hAnsi="宋体" w:eastAsia="宋体" w:cs="宋体"/>
          <w:i/>
          <w:iCs/>
          <w:color w:val="auto"/>
          <w:sz w:val="24"/>
          <w:szCs w:val="24"/>
          <w:highlight w:val="none"/>
          <w:u w:val="single"/>
          <w:lang w:val="en-US" w:eastAsia="zh-CN"/>
        </w:rPr>
        <w:t xml:space="preserve">不</w:t>
      </w:r>
      <w:r>
        <w:rPr>
          <w:rFonts w:hint="eastAsia" w:ascii="宋体" w:hAnsi="宋体" w:eastAsia="宋体" w:cs="宋体"/>
          <w:i/>
          <w:iCs/>
          <w:color w:val="auto"/>
          <w:sz w:val="24"/>
          <w:szCs w:val="24"/>
          <w:highlight w:val="none"/>
          <w:u w:val="single"/>
        </w:rPr>
        <w:t xml:space="preserve">收取履约保证金</w:t>
      </w:r>
      <w:r>
        <w:rPr>
          <w:rFonts w:hint="eastAsia" w:ascii="宋体" w:hAnsi="宋体" w:eastAsia="宋体" w:cs="宋体"/>
          <w:i/>
          <w:iCs/>
          <w:color w:val="auto"/>
          <w:sz w:val="24"/>
          <w:szCs w:val="24"/>
          <w:highlight w:val="none"/>
          <w:u w:val="singl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、报价要求</w:t>
      </w:r>
      <w:r/>
    </w:p>
    <w:p>
      <w:pPr>
        <w:ind w:left="0" w:firstLine="480"/>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本合同价款包含所有乙方提供合同约定产品和服务的报酬及乙方提供合同约定产品和服务所支出的必要费用，</w:t>
      </w:r>
      <w:r>
        <w:rPr>
          <w:rFonts w:hint="eastAsia" w:ascii="宋体" w:hAnsi="宋体" w:eastAsia="宋体" w:cs="宋体"/>
          <w:i/>
          <w:iCs/>
          <w:color w:val="auto"/>
          <w:sz w:val="24"/>
          <w:szCs w:val="24"/>
          <w:highlight w:val="none"/>
          <w:u w:val="single"/>
          <w:lang w:val="en-US"/>
        </w:rPr>
        <w:t xml:space="preserve">包含但不限于</w:t>
      </w:r>
      <w:r>
        <w:rPr>
          <w:rFonts w:hint="eastAsia" w:ascii="宋体" w:hAnsi="宋体" w:eastAsia="宋体" w:cs="宋体"/>
          <w:i/>
          <w:iCs/>
          <w:color w:val="auto"/>
          <w:sz w:val="24"/>
          <w:szCs w:val="24"/>
          <w:highlight w:val="none"/>
          <w:u w:val="single"/>
          <w:lang w:val="en-US" w:eastAsia="zh-CN"/>
        </w:rPr>
        <w:t xml:space="preserve">资料收集、调研费用、研究报告及成果编制、会务费、</w:t>
      </w:r>
      <w:r>
        <w:rPr>
          <w:rFonts w:hint="eastAsia" w:ascii="宋体" w:hAnsi="宋体" w:eastAsia="宋体" w:cs="宋体"/>
          <w:i/>
          <w:iCs/>
          <w:color w:val="auto"/>
          <w:sz w:val="24"/>
          <w:szCs w:val="24"/>
          <w:highlight w:val="none"/>
          <w:u w:val="single"/>
          <w:lang w:val="en-US"/>
        </w:rPr>
        <w:t xml:space="preserve">人工、差旅、专家评审</w:t>
      </w:r>
      <w:r>
        <w:rPr>
          <w:rFonts w:hint="eastAsia" w:ascii="宋体" w:hAnsi="宋体" w:eastAsia="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eastAsia="zh-CN"/>
        </w:rPr>
        <w:t xml:space="preserve">税金、利润</w:t>
      </w:r>
      <w:r>
        <w:rPr>
          <w:rFonts w:hint="eastAsia" w:ascii="宋体" w:hAnsi="宋体" w:eastAsia="宋体" w:cs="宋体"/>
          <w:i/>
          <w:iCs/>
          <w:color w:val="auto"/>
          <w:sz w:val="24"/>
          <w:szCs w:val="24"/>
          <w:highlight w:val="none"/>
          <w:u w:val="single"/>
        </w:rPr>
        <w:t xml:space="preserve">等所有相关费用</w:t>
      </w:r>
      <w:r>
        <w:rPr>
          <w:rFonts w:hint="eastAsia" w:ascii="宋体" w:hAnsi="宋体" w:eastAsia="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rPr>
        <w:t xml:space="preserve">甲方在上述合同价款之外不再向乙方支付其他任何费用。</w:t>
      </w:r>
      <w:r/>
    </w:p>
    <w:p>
      <w:pPr>
        <w:ind w:left="0" w:firstLine="480"/>
        <w:pageBreakBefore w:val="0"/>
        <w:spacing w:line="360" w:lineRule="auto"/>
        <w:rPr>
          <w:rFonts w:hint="eastAsia" w:ascii="宋体" w:hAnsi="宋体" w:eastAsia="宋体" w:cs="宋体"/>
          <w:b/>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报价包含本项目范围内的全部费用。供应商有漏报或不报的，采购人将视为有关费用已包括在本项目的报价中而不予支付。采购人不支付报价以外的任何费用。</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十、其他</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firstLine="480"/>
        <w:pageBreakBefore w:val="0"/>
        <w:spacing w:line="360" w:lineRule="auto"/>
        <w:rPr>
          <w:rFonts w:hint="eastAsia" w:ascii="宋体" w:hAnsi="宋体" w:eastAsia="宋体" w:cs="宋体"/>
          <w:b w:val="0"/>
          <w:color w:val="auto"/>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bookmarkStart w:id="9" w:name="_Toc26840"/>
      <w:r/>
      <w:bookmarkStart w:id="10" w:name="_Toc162361614"/>
      <w:r/>
      <w:r/>
    </w:p>
    <w:p>
      <w:pPr>
        <w:rPr>
          <w:rFonts w:hint="eastAsia" w:ascii="宋体" w:hAnsi="宋体" w:eastAsia="宋体" w:cs="宋体"/>
          <w:color w:val="auto"/>
          <w:highlight w:val="none"/>
        </w:rPr>
      </w:pPr>
      <w:r>
        <w:rPr>
          <w:rFonts w:hint="eastAsia" w:ascii="宋体" w:hAnsi="宋体" w:eastAsia="宋体" w:cs="宋体"/>
          <w:b w:val="0"/>
          <w:color w:val="auto"/>
          <w:highlight w:val="none"/>
        </w:rPr>
        <w:br w:type="page" w:clear="all"/>
      </w:r>
      <w:r/>
    </w:p>
    <w:p>
      <w:pPr>
        <w:pStyle w:val="73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9"/>
      <w:r/>
      <w:bookmarkEnd w:id="10"/>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商务</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tbl>
      <w:tblPr>
        <w:tblStyle w:val="741"/>
        <w:tblW w:w="50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6"/>
      </w:tblGrid>
      <w:tr>
        <w:trPr>
          <w:jc w:val="center"/>
          <w:trHeight w:val="574"/>
        </w:trPr>
        <w:tc>
          <w:tcPr>
            <w:tcW w:w="868"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4131"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团队</w:t>
            </w:r>
            <w:r/>
          </w:p>
          <w:p>
            <w:pPr>
              <w:jc w:val="center"/>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 xml:space="preserve">（25分）</w:t>
            </w:r>
            <w:r/>
          </w:p>
        </w:tc>
        <w:tc>
          <w:tcPr>
            <w:tcW w:w="4131" w:type="pct"/>
            <w:vAlign w:val="center"/>
            <w:textDirection w:val="lrTb"/>
            <w:noWrap w:val="false"/>
          </w:tcPr>
          <w:p>
            <w:pPr>
              <w:numPr>
                <w:ilvl w:val="0"/>
                <w:numId w:val="0"/>
              </w:num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项目负责人具有</w:t>
            </w:r>
            <w:r>
              <w:rPr>
                <w:rFonts w:hint="eastAsia" w:ascii="宋体" w:hAnsi="宋体" w:eastAsia="宋体" w:cs="宋体"/>
                <w:color w:val="auto"/>
                <w:sz w:val="24"/>
                <w:szCs w:val="24"/>
                <w:highlight w:val="none"/>
                <w:lang w:val="en-US" w:eastAsia="zh-CN"/>
              </w:rPr>
              <w:t xml:space="preserve">正高级及以上技术职称的，得5分；具备高级技术职称，得3分。最高得5分。</w:t>
            </w:r>
            <w:r/>
          </w:p>
          <w:p>
            <w:pPr>
              <w:pStyle w:val="968"/>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项目组成员（项目负责人除外）具有高级及以上技术职称的，每有1人得2分，最高得10分。</w:t>
            </w:r>
            <w:r/>
          </w:p>
          <w:p>
            <w:pPr>
              <w:pStyle w:val="968"/>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3、项目组成员（项目负责人除外）</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val="en-US" w:eastAsia="zh-CN"/>
              </w:rPr>
              <w:t xml:space="preserve">注册咨询（投资）工程师的，每有1人得2分，最高得10分。</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注：提供证书原件扫描件、投标人</w:t>
            </w:r>
            <w:r>
              <w:rPr>
                <w:rFonts w:hint="eastAsia" w:ascii="宋体" w:hAnsi="宋体" w:eastAsia="宋体" w:cs="宋体"/>
                <w:b/>
                <w:bCs/>
                <w:i w:val="0"/>
                <w:iCs w:val="0"/>
                <w:color w:val="auto"/>
                <w:sz w:val="24"/>
                <w:szCs w:val="24"/>
                <w:highlight w:val="none"/>
                <w:u w:val="none"/>
                <w:lang w:val="en-US" w:eastAsia="zh-CN"/>
              </w:rPr>
              <w:t xml:space="preserve">为其缴纳</w:t>
            </w:r>
            <w:r>
              <w:rPr>
                <w:rFonts w:hint="eastAsia" w:ascii="宋体" w:hAnsi="宋体" w:eastAsia="宋体" w:cs="宋体"/>
                <w:b/>
                <w:bCs/>
                <w:i w:val="0"/>
                <w:iCs w:val="0"/>
                <w:color w:val="auto"/>
                <w:sz w:val="24"/>
                <w:szCs w:val="24"/>
                <w:highlight w:val="none"/>
                <w:u w:val="none"/>
              </w:rPr>
              <w:t xml:space="preserve">的202</w:t>
            </w:r>
            <w:r>
              <w:rPr>
                <w:rFonts w:hint="eastAsia" w:ascii="宋体" w:hAnsi="宋体" w:eastAsia="宋体" w:cs="宋体"/>
                <w:b/>
                <w:bCs/>
                <w:i w:val="0"/>
                <w:iCs w:val="0"/>
                <w:color w:val="auto"/>
                <w:sz w:val="24"/>
                <w:szCs w:val="24"/>
                <w:highlight w:val="none"/>
                <w:u w:val="none"/>
                <w:lang w:val="en-US" w:eastAsia="zh-CN"/>
              </w:rPr>
              <w:t xml:space="preserve">6</w:t>
            </w:r>
            <w:r>
              <w:rPr>
                <w:rFonts w:hint="eastAsia" w:ascii="宋体" w:hAnsi="宋体" w:eastAsia="宋体" w:cs="宋体"/>
                <w:b/>
                <w:bCs/>
                <w:i w:val="0"/>
                <w:iCs w:val="0"/>
                <w:color w:val="auto"/>
                <w:sz w:val="24"/>
                <w:szCs w:val="24"/>
                <w:highlight w:val="none"/>
                <w:u w:val="none"/>
              </w:rPr>
              <w:t xml:space="preserve">年</w:t>
            </w:r>
            <w:r>
              <w:rPr>
                <w:rFonts w:hint="eastAsia" w:ascii="宋体" w:hAnsi="宋体" w:eastAsia="宋体" w:cs="宋体"/>
                <w:b/>
                <w:bCs/>
                <w:i w:val="0"/>
                <w:iCs w:val="0"/>
                <w:color w:val="auto"/>
                <w:sz w:val="24"/>
                <w:szCs w:val="24"/>
                <w:highlight w:val="none"/>
                <w:u w:val="none"/>
                <w:lang w:val="en-US" w:eastAsia="zh-CN"/>
              </w:rPr>
              <w:t xml:space="preserve">1</w:t>
            </w:r>
            <w:r>
              <w:rPr>
                <w:rFonts w:hint="eastAsia" w:ascii="宋体" w:hAnsi="宋体" w:eastAsia="宋体" w:cs="宋体"/>
                <w:b/>
                <w:bCs/>
                <w:i w:val="0"/>
                <w:iCs w:val="0"/>
                <w:color w:val="auto"/>
                <w:sz w:val="24"/>
                <w:szCs w:val="24"/>
                <w:highlight w:val="none"/>
                <w:u w:val="none"/>
              </w:rPr>
              <w:t xml:space="preserve">月至今任意一个月社保缴纳证明（</w:t>
            </w:r>
            <w:r>
              <w:rPr>
                <w:rFonts w:hint="eastAsia" w:ascii="宋体" w:hAnsi="宋体" w:eastAsia="宋体" w:cs="宋体"/>
                <w:b/>
                <w:bCs/>
                <w:i w:val="0"/>
                <w:iCs w:val="0"/>
                <w:color w:val="auto"/>
                <w:sz w:val="24"/>
                <w:szCs w:val="24"/>
                <w:highlight w:val="none"/>
                <w:u w:val="none"/>
                <w:lang w:val="en-US" w:eastAsia="zh-CN"/>
              </w:rPr>
              <w:t xml:space="preserve">投标文件中提供</w:t>
            </w:r>
            <w:r>
              <w:rPr>
                <w:rFonts w:hint="eastAsia" w:ascii="宋体" w:hAnsi="宋体" w:eastAsia="宋体" w:cs="宋体"/>
                <w:b/>
                <w:bCs/>
                <w:i w:val="0"/>
                <w:iCs w:val="0"/>
                <w:color w:val="auto"/>
                <w:sz w:val="24"/>
                <w:szCs w:val="24"/>
                <w:highlight w:val="none"/>
                <w:u w:val="none"/>
              </w:rPr>
              <w:t xml:space="preserve">加盖社保中心章或社保中心参保缴费证明电子专用章</w:t>
            </w:r>
            <w:r>
              <w:rPr>
                <w:rFonts w:hint="eastAsia" w:ascii="宋体" w:hAnsi="宋体" w:eastAsia="宋体" w:cs="宋体"/>
                <w:b/>
                <w:bCs/>
                <w:i w:val="0"/>
                <w:iCs w:val="0"/>
                <w:color w:val="auto"/>
                <w:sz w:val="24"/>
                <w:szCs w:val="24"/>
                <w:highlight w:val="none"/>
                <w:u w:val="none"/>
                <w:lang w:val="en-US" w:eastAsia="zh-CN"/>
              </w:rPr>
              <w:t xml:space="preserve">的社保证明材料</w:t>
            </w:r>
            <w:r>
              <w:rPr>
                <w:rFonts w:hint="eastAsia" w:ascii="宋体" w:hAnsi="宋体" w:eastAsia="宋体" w:cs="宋体"/>
                <w:b/>
                <w:bCs/>
                <w:i w:val="0"/>
                <w:iCs w:val="0"/>
                <w:color w:val="auto"/>
                <w:sz w:val="24"/>
                <w:szCs w:val="24"/>
                <w:highlight w:val="none"/>
                <w:u w:val="none"/>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企业业绩</w:t>
            </w:r>
            <w:r/>
          </w:p>
          <w:p>
            <w:pPr>
              <w:jc w:val="center"/>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 xml:space="preserve">（10分）</w:t>
            </w:r>
            <w:r/>
          </w:p>
        </w:tc>
        <w:tc>
          <w:tcPr>
            <w:tcW w:w="4131" w:type="pct"/>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年1月1日以来（</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以合同签订日期为准）</w:t>
            </w:r>
            <w:r>
              <w:rPr>
                <w:rFonts w:ascii="宋体" w:hAnsi="宋体" w:eastAsia="宋体" w:cs="宋体"/>
                <w:b w:val="0"/>
                <w:bCs w:val="0"/>
                <w:color w:val="auto"/>
                <w:sz w:val="24"/>
                <w:szCs w:val="24"/>
                <w:highlight w:val="none"/>
              </w:rPr>
              <w:t xml:space="preserve">承担过</w:t>
            </w:r>
            <w:r>
              <w:rPr>
                <w:rStyle w:val="773"/>
                <w:rFonts w:ascii="宋体" w:hAnsi="宋体" w:eastAsia="宋体" w:cs="宋体"/>
                <w:b w:val="0"/>
                <w:bCs w:val="0"/>
                <w:color w:val="auto"/>
                <w:sz w:val="24"/>
                <w:szCs w:val="24"/>
                <w:highlight w:val="none"/>
              </w:rPr>
              <w:t xml:space="preserve">大宗商品储运领域</w:t>
            </w:r>
            <w:r>
              <w:rPr>
                <w:rFonts w:ascii="宋体" w:hAnsi="宋体" w:eastAsia="宋体" w:cs="宋体"/>
                <w:b w:val="0"/>
                <w:bCs w:val="0"/>
                <w:color w:val="auto"/>
                <w:sz w:val="24"/>
                <w:szCs w:val="24"/>
                <w:highlight w:val="none"/>
              </w:rPr>
              <w:t xml:space="preserve">或</w:t>
            </w:r>
            <w:r>
              <w:rPr>
                <w:rStyle w:val="773"/>
                <w:rFonts w:ascii="宋体" w:hAnsi="宋体" w:eastAsia="宋体" w:cs="宋体"/>
                <w:b w:val="0"/>
                <w:bCs w:val="0"/>
                <w:color w:val="auto"/>
                <w:sz w:val="24"/>
                <w:szCs w:val="24"/>
                <w:highlight w:val="none"/>
              </w:rPr>
              <w:t xml:space="preserve">物流行业</w:t>
            </w:r>
            <w:r>
              <w:rPr>
                <w:rFonts w:ascii="宋体" w:hAnsi="宋体" w:eastAsia="宋体" w:cs="宋体"/>
                <w:b w:val="0"/>
                <w:bCs w:val="0"/>
                <w:color w:val="auto"/>
                <w:sz w:val="24"/>
                <w:szCs w:val="24"/>
                <w:highlight w:val="none"/>
              </w:rPr>
              <w:t xml:space="preserve">的</w:t>
            </w:r>
            <w:r>
              <w:rPr>
                <w:rStyle w:val="773"/>
                <w:rFonts w:ascii="宋体" w:hAnsi="宋体" w:eastAsia="宋体" w:cs="宋体"/>
                <w:b w:val="0"/>
                <w:bCs w:val="0"/>
                <w:color w:val="auto"/>
                <w:sz w:val="24"/>
                <w:szCs w:val="24"/>
                <w:highlight w:val="none"/>
              </w:rPr>
              <w:t xml:space="preserve">可研报告（含评估）、专项规划、实施方案</w:t>
            </w:r>
            <w:r>
              <w:rPr>
                <w:rFonts w:ascii="宋体" w:hAnsi="宋体" w:eastAsia="宋体" w:cs="宋体"/>
                <w:color w:val="auto"/>
                <w:sz w:val="24"/>
                <w:szCs w:val="24"/>
                <w:highlight w:val="none"/>
              </w:rPr>
              <w:t xml:space="preserve">等咨询类项目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每</w:t>
            </w:r>
            <w:r>
              <w:rPr>
                <w:rFonts w:hint="eastAsia" w:ascii="宋体" w:hAnsi="宋体" w:eastAsia="宋体" w:cs="宋体"/>
                <w:color w:val="auto"/>
                <w:sz w:val="24"/>
                <w:szCs w:val="24"/>
                <w:highlight w:val="none"/>
                <w:lang w:val="en-US" w:eastAsia="zh-CN"/>
              </w:rPr>
              <w:t xml:space="preserve">1个</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，最多得</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注：业绩</w:t>
            </w:r>
            <w:r>
              <w:rPr>
                <w:rFonts w:hint="eastAsia" w:ascii="宋体" w:hAnsi="宋体" w:eastAsia="宋体" w:cs="宋体"/>
                <w:b/>
                <w:bCs/>
                <w:color w:val="auto"/>
                <w:sz w:val="24"/>
                <w:szCs w:val="24"/>
                <w:highlight w:val="none"/>
              </w:rPr>
              <w:t xml:space="preserve">须清晰</w:t>
            </w:r>
            <w:r>
              <w:rPr>
                <w:rFonts w:hint="eastAsia" w:ascii="宋体" w:hAnsi="宋体" w:eastAsia="宋体" w:cs="宋体"/>
                <w:b/>
                <w:bCs/>
                <w:color w:val="auto"/>
                <w:sz w:val="24"/>
                <w:szCs w:val="24"/>
                <w:highlight w:val="none"/>
                <w:lang w:eastAsia="zh-CN"/>
              </w:rPr>
              <w:t xml:space="preserve">地</w:t>
            </w:r>
            <w:r>
              <w:rPr>
                <w:rFonts w:hint="eastAsia" w:ascii="宋体" w:hAnsi="宋体" w:eastAsia="宋体" w:cs="宋体"/>
                <w:b/>
                <w:bCs/>
                <w:color w:val="auto"/>
                <w:sz w:val="24"/>
                <w:szCs w:val="24"/>
                <w:highlight w:val="none"/>
              </w:rPr>
              <w:t xml:space="preserve">表明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内容、时间等需要明示的内容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提供完整合同原件扫描件。</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（5分）</w:t>
            </w:r>
            <w:r/>
          </w:p>
        </w:tc>
        <w:tc>
          <w:tcPr>
            <w:tcW w:w="4131" w:type="pct"/>
            <w:vAlign w:val="center"/>
            <w:textDirection w:val="lrTb"/>
            <w:noWrap w:val="false"/>
          </w:tcPr>
          <w:p>
            <w:pPr>
              <w:numPr>
                <w:ilvl w:val="0"/>
                <w:numId w:val="0"/>
              </w:numPr>
              <w:jc w:val="left"/>
              <w:keepLines w:val="0"/>
              <w:keepNext w:val="0"/>
              <w:pageBreakBefore w:val="0"/>
              <w:spacing w:line="360" w:lineRule="auto"/>
              <w:widowControl w:val="off"/>
              <w:rPr>
                <w:rStyle w:val="773"/>
                <w:rFonts w:hint="default" w:ascii="宋体" w:hAnsi="宋体" w:eastAsia="宋体" w:cs="宋体"/>
                <w:b w:val="0"/>
                <w:bCs w:val="0"/>
                <w:color w:val="auto"/>
                <w:sz w:val="24"/>
                <w:szCs w:val="24"/>
                <w:highlight w:val="none"/>
                <w:lang w:val="en-US" w:eastAsia="zh-CN"/>
              </w:rPr>
            </w:pPr>
            <w:r>
              <w:rPr>
                <w:rStyle w:val="773"/>
                <w:rFonts w:hint="eastAsia" w:ascii="宋体" w:hAnsi="宋体" w:eastAsia="宋体" w:cs="宋体"/>
                <w:b w:val="0"/>
                <w:bCs w:val="0"/>
                <w:color w:val="auto"/>
                <w:sz w:val="24"/>
                <w:szCs w:val="24"/>
                <w:highlight w:val="none"/>
                <w:lang w:val="en-US" w:eastAsia="zh-CN"/>
              </w:rPr>
              <w:t xml:space="preserve">供应商</w:t>
            </w:r>
            <w:r>
              <w:rPr>
                <w:rStyle w:val="773"/>
                <w:rFonts w:hint="eastAsia" w:ascii="宋体" w:hAnsi="宋体" w:eastAsia="宋体" w:cs="宋体"/>
                <w:b w:val="0"/>
                <w:bCs w:val="0"/>
                <w:color w:val="auto"/>
                <w:sz w:val="24"/>
                <w:szCs w:val="24"/>
                <w:highlight w:val="none"/>
              </w:rPr>
              <w:t xml:space="preserve">具备工程咨询单位甲级专业资信证书的得</w:t>
            </w:r>
            <w:r>
              <w:rPr>
                <w:rStyle w:val="773"/>
                <w:rFonts w:hint="eastAsia" w:ascii="宋体" w:hAnsi="宋体" w:eastAsia="宋体" w:cs="宋体"/>
                <w:b w:val="0"/>
                <w:bCs w:val="0"/>
                <w:color w:val="auto"/>
                <w:sz w:val="24"/>
                <w:szCs w:val="24"/>
                <w:highlight w:val="none"/>
                <w:lang w:val="en-US" w:eastAsia="zh-CN"/>
              </w:rPr>
              <w:t xml:space="preserve">5</w:t>
            </w:r>
            <w:r>
              <w:rPr>
                <w:rStyle w:val="773"/>
                <w:rFonts w:hint="eastAsia" w:ascii="宋体" w:hAnsi="宋体" w:eastAsia="宋体" w:cs="宋体"/>
                <w:b w:val="0"/>
                <w:bCs w:val="0"/>
                <w:color w:val="auto"/>
                <w:sz w:val="24"/>
                <w:szCs w:val="24"/>
                <w:highlight w:val="none"/>
              </w:rPr>
              <w:t xml:space="preserve">分</w:t>
            </w:r>
            <w:r>
              <w:rPr>
                <w:rStyle w:val="773"/>
                <w:rFonts w:hint="eastAsia" w:ascii="宋体" w:hAnsi="宋体" w:eastAsia="宋体" w:cs="宋体"/>
                <w:b w:val="0"/>
                <w:bCs w:val="0"/>
                <w:color w:val="auto"/>
                <w:sz w:val="24"/>
                <w:szCs w:val="24"/>
                <w:highlight w:val="none"/>
                <w:lang w:eastAsia="zh-CN"/>
              </w:rPr>
              <w:t xml:space="preserve">；</w:t>
            </w:r>
            <w:r>
              <w:rPr>
                <w:rStyle w:val="773"/>
                <w:rFonts w:hint="eastAsia" w:ascii="宋体" w:hAnsi="宋体" w:eastAsia="宋体" w:cs="宋体"/>
                <w:b w:val="0"/>
                <w:bCs w:val="0"/>
                <w:color w:val="auto"/>
                <w:sz w:val="24"/>
                <w:szCs w:val="24"/>
                <w:highlight w:val="none"/>
                <w:lang w:val="en-US" w:eastAsia="zh-CN"/>
              </w:rPr>
              <w:t xml:space="preserve">乙级专业资信证书的得3分。</w:t>
            </w:r>
            <w:r/>
          </w:p>
          <w:p>
            <w:pPr>
              <w:pStyle w:val="968"/>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rPr>
              <w:t xml:space="preserve">提供证书</w:t>
            </w:r>
            <w:r>
              <w:rPr>
                <w:rFonts w:hint="eastAsia" w:ascii="宋体" w:hAnsi="宋体" w:eastAsia="宋体" w:cs="宋体"/>
                <w:b/>
                <w:bCs/>
                <w:color w:val="auto"/>
                <w:sz w:val="24"/>
                <w:szCs w:val="24"/>
                <w:highlight w:val="none"/>
                <w:lang w:val="en-US" w:eastAsia="zh-CN"/>
              </w:rPr>
              <w:t xml:space="preserve">原件</w:t>
            </w:r>
            <w:r>
              <w:rPr>
                <w:rFonts w:hint="eastAsia" w:ascii="宋体" w:hAnsi="宋体" w:cs="宋体"/>
                <w:b/>
                <w:bCs/>
                <w:color w:val="auto"/>
                <w:sz w:val="24"/>
                <w:szCs w:val="24"/>
                <w:highlight w:val="none"/>
                <w:lang w:val="en-US" w:eastAsia="zh-CN"/>
              </w:rPr>
              <w:t xml:space="preserve">扫描</w:t>
            </w:r>
            <w:r>
              <w:rPr>
                <w:rFonts w:hint="eastAsia" w:ascii="宋体" w:hAnsi="宋体" w:eastAsia="宋体" w:cs="宋体"/>
                <w:b/>
                <w:bCs/>
                <w:color w:val="auto"/>
                <w:sz w:val="24"/>
                <w:szCs w:val="24"/>
                <w:highlight w:val="none"/>
                <w:lang w:val="en-US"/>
              </w:rPr>
              <w:t xml:space="preserve">件，否则不得分</w:t>
            </w:r>
            <w:r>
              <w:rPr>
                <w:rFonts w:hint="eastAsia" w:ascii="宋体" w:hAnsi="宋体" w:eastAsia="宋体" w:cs="宋体"/>
                <w:b/>
                <w:bCs/>
                <w:color w:val="auto"/>
                <w:sz w:val="24"/>
                <w:szCs w:val="24"/>
                <w:highlight w:val="none"/>
                <w:lang w:val="en-US" w:eastAsia="zh-CN"/>
              </w:rPr>
              <w:t xml:space="preserve">。</w:t>
            </w:r>
            <w:r/>
          </w:p>
        </w:tc>
      </w:tr>
    </w:tbl>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tbl>
      <w:tblPr>
        <w:tblStyle w:val="741"/>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4136"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服务方案</w:t>
            </w:r>
            <w:r/>
          </w:p>
          <w:p>
            <w:pPr>
              <w:ind w:left="-21" w:right="-21"/>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15分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keepLines w:val="0"/>
              <w:keepNext w:val="0"/>
              <w:pageBreakBefore w:val="0"/>
              <w:spacing w:line="360" w:lineRule="auto"/>
              <w:widowControl w:val="off"/>
              <w:rPr>
                <w:rFonts w:hint="eastAsia" w:eastAsia="宋体"/>
                <w:b/>
                <w:bCs/>
                <w:color w:val="auto"/>
                <w:sz w:val="24"/>
                <w:szCs w:val="24"/>
                <w:highlight w:val="none"/>
                <w:lang w:val="en-US" w:eastAsia="zh-CN"/>
              </w:rPr>
            </w:pPr>
            <w:r>
              <w:rPr>
                <w:rFonts w:hint="eastAsia"/>
                <w:b/>
                <w:bCs/>
                <w:color w:val="auto"/>
                <w:sz w:val="24"/>
                <w:szCs w:val="24"/>
                <w:highlight w:val="none"/>
                <w:lang w:val="zh-CN"/>
              </w:rPr>
              <w:t xml:space="preserve">根据</w:t>
            </w:r>
            <w:r>
              <w:rPr>
                <w:rFonts w:hint="eastAsia"/>
                <w:b/>
                <w:bCs/>
                <w:color w:val="auto"/>
                <w:sz w:val="24"/>
                <w:szCs w:val="24"/>
                <w:highlight w:val="none"/>
              </w:rPr>
              <w:t xml:space="preserve">供应商针对本项目的服务方案（包括政策解读和研究、问题梳理、成果提交等）进行</w:t>
            </w:r>
            <w:r>
              <w:rPr>
                <w:rFonts w:hint="eastAsia" w:eastAsia="宋体"/>
                <w:b/>
                <w:bCs/>
                <w:color w:val="auto"/>
                <w:sz w:val="24"/>
                <w:szCs w:val="24"/>
                <w:highlight w:val="none"/>
                <w:lang w:val="en-US" w:eastAsia="zh-CN"/>
              </w:rPr>
              <w:t xml:space="preserve">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服务方案涵盖政策解读与研究、问题梳理、成果提交等全部核心模块，无遗漏</w:t>
            </w:r>
            <w:r>
              <w:rPr>
                <w:rFonts w:hint="eastAsia" w:ascii="宋体" w:hAnsi="宋体" w:eastAsia="宋体" w:cs="宋体"/>
                <w:color w:val="auto"/>
                <w:sz w:val="24"/>
                <w:szCs w:val="24"/>
                <w:highlight w:val="none"/>
                <w:lang w:val="en-US" w:eastAsia="zh-CN"/>
              </w:rPr>
              <w:t xml:space="preserve">、政策解读符合本项目实际情况，研究分析落地可行性强，问题梳理清单明确，成果提交清单清晰，完全匹配项目需求，得15分；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服务方案涵盖全部核心模块，无重大遗漏</w:t>
            </w:r>
            <w:r>
              <w:rPr>
                <w:rFonts w:hint="eastAsia" w:ascii="宋体" w:hAnsi="宋体" w:eastAsia="宋体" w:cs="宋体"/>
                <w:color w:val="auto"/>
                <w:sz w:val="24"/>
                <w:szCs w:val="24"/>
                <w:highlight w:val="none"/>
                <w:lang w:val="en-US" w:eastAsia="zh-CN"/>
              </w:rPr>
              <w:t xml:space="preserve">、政策解读基本符合本项目实际情况，有基本研究分析，问题梳理清单明确，</w:t>
            </w:r>
            <w:r>
              <w:rPr>
                <w:rFonts w:hint="default" w:ascii="宋体" w:hAnsi="宋体" w:eastAsia="宋体" w:cs="宋体"/>
                <w:color w:val="auto"/>
                <w:sz w:val="24"/>
                <w:szCs w:val="24"/>
                <w:highlight w:val="none"/>
                <w:lang w:val="en-US" w:eastAsia="zh-CN"/>
              </w:rPr>
              <w:t xml:space="preserve">预期效果可量化</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符合项目招标文件基本要求</w:t>
            </w:r>
            <w:r>
              <w:rPr>
                <w:rFonts w:hint="eastAsia" w:ascii="宋体" w:hAnsi="宋体" w:eastAsia="宋体" w:cs="宋体"/>
                <w:color w:val="auto"/>
                <w:sz w:val="24"/>
                <w:szCs w:val="24"/>
                <w:highlight w:val="none"/>
                <w:lang w:val="en-US" w:eastAsia="zh-CN"/>
              </w:rPr>
              <w:t xml:space="preserve">，得12分；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服务方案核心模块完整，无关键模块缺失</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政策解读有基本内容</w:t>
            </w:r>
            <w:r>
              <w:rPr>
                <w:rFonts w:hint="eastAsia" w:ascii="宋体" w:hAnsi="宋体" w:eastAsia="宋体" w:cs="宋体"/>
                <w:color w:val="auto"/>
                <w:sz w:val="24"/>
                <w:szCs w:val="24"/>
                <w:highlight w:val="none"/>
                <w:lang w:val="en-US" w:eastAsia="zh-CN"/>
              </w:rPr>
              <w:t xml:space="preserve">，问题梳理</w:t>
            </w:r>
            <w:r>
              <w:rPr>
                <w:rFonts w:hint="default" w:ascii="宋体" w:hAnsi="宋体" w:eastAsia="宋体" w:cs="宋体"/>
                <w:color w:val="auto"/>
                <w:sz w:val="24"/>
                <w:szCs w:val="24"/>
                <w:highlight w:val="none"/>
                <w:lang w:val="en-US" w:eastAsia="zh-CN"/>
              </w:rPr>
              <w:t xml:space="preserve">表述基本清晰</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预期效果有初步量化</w:t>
            </w:r>
            <w:r>
              <w:rPr>
                <w:rFonts w:hint="eastAsia" w:ascii="宋体" w:hAnsi="宋体" w:eastAsia="宋体" w:cs="宋体"/>
                <w:color w:val="auto"/>
                <w:sz w:val="24"/>
                <w:szCs w:val="24"/>
                <w:highlight w:val="none"/>
                <w:lang w:val="en-US" w:eastAsia="zh-CN"/>
              </w:rPr>
              <w:t xml:space="preserve">，与项目需求有一定差距，得9分；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服务方案核心模块不完整</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政策解读内容简略</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问题梳理不明确，未清晰列出核心问题</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成果提交清单不完整</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预期效果未量化，与项目招标文件要求差距较大</w:t>
            </w: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项目需求理解及重难点分析</w:t>
            </w:r>
            <w:r/>
          </w:p>
          <w:p>
            <w:pPr>
              <w:ind w:left="-21" w:right="-21"/>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15分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pStyle w:val="786"/>
              <w:jc w:val="both"/>
              <w:keepLines w:val="0"/>
              <w:keepNext w:val="0"/>
              <w:pageBreakBefore w:val="0"/>
              <w:spacing w:line="360" w:lineRule="auto"/>
              <w:widowControl w:val="off"/>
              <w:rPr>
                <w:rFonts w:hint="eastAsia" w:hAnsi="宋体"/>
                <w:b/>
                <w:bCs/>
                <w:color w:val="auto"/>
                <w:sz w:val="24"/>
                <w:szCs w:val="24"/>
                <w:highlight w:val="none"/>
              </w:rPr>
            </w:pPr>
            <w:r>
              <w:rPr>
                <w:rFonts w:hint="eastAsia" w:hAnsi="宋体"/>
                <w:b/>
                <w:bCs/>
                <w:color w:val="auto"/>
                <w:sz w:val="24"/>
                <w:szCs w:val="24"/>
                <w:highlight w:val="none"/>
              </w:rPr>
              <w:t xml:space="preserve">从对招标项目的特点关键技术问题、重点、难点的认识及对策措施等方面进行评分。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完整阐述本项目核心重点、难点及关键技术问题，认识全面且完全贴合项目实际，无任何偏差；针对重点、难点、关键技术问题，均提出具体可落地的对策措施，每类措施明确执行流程、责任主体、实施时限及验证标准，对策措施针对性极强，可直接解决对应问题，完全满足项目实施需求，</w:t>
            </w:r>
            <w:r>
              <w:rPr>
                <w:rFonts w:hint="eastAsia" w:ascii="宋体" w:hAnsi="宋体" w:eastAsia="宋体" w:cs="宋体"/>
                <w:color w:val="auto"/>
                <w:sz w:val="24"/>
                <w:szCs w:val="24"/>
                <w:highlight w:val="none"/>
                <w:lang w:val="en-US" w:eastAsia="zh-CN"/>
              </w:rPr>
              <w:t xml:space="preserve">得15分；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完整阐述本项目核心重点、难点及关键技术问题，认识基本贴合项目实际；针对重点、难点、关键技术问题，均提出对策措施，措施明确具体，有基本执行方向和责任主体，无明显漏洞，针对性一般，可基本解决对应问题，满足项目实施基本需求</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完整阐述本项目核心重点、难点及关键技术问题，认识较贴合项目实际，存在非核心偏差；针对重点、难点、关键技术问题，均提出对策措施，措施基本具体，可满足项目基础实施需求，针对性一般，无重大遗漏，能够覆盖核心解决方向，量化指标与分值对应清晰。</w:t>
            </w:r>
            <w:r>
              <w:rPr>
                <w:rFonts w:hint="eastAsia" w:ascii="宋体" w:hAnsi="宋体" w:eastAsia="宋体" w:cs="宋体"/>
                <w:color w:val="auto"/>
                <w:sz w:val="24"/>
                <w:szCs w:val="24"/>
                <w:highlight w:val="none"/>
                <w:lang w:val="en-US" w:eastAsia="zh-CN"/>
              </w:rPr>
              <w:t xml:space="preserve">得9分；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阐述本项目核心重点、难点及关键技术问题不完整，认识存在明显偏差；仅针对部分重点、难点、关键技术问题提出对策措施，措施过于简略，未明确执行流程和责任主体，仅能满足项目最基础的实施需求，针对性不足，存在明显漏洞，量化指标覆盖不全面。</w:t>
            </w: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进度安排</w:t>
            </w:r>
            <w:r/>
          </w:p>
          <w:p>
            <w:pPr>
              <w:ind w:left="-21" w:right="-21"/>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10分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keepLines w:val="0"/>
              <w:keepNext w:val="0"/>
              <w:pageBreakBefore w:val="0"/>
              <w:spacing w:line="360" w:lineRule="auto"/>
              <w:widowControl w:val="off"/>
              <w:rPr>
                <w:rFonts w:hint="eastAsia" w:eastAsia="宋体"/>
                <w:b/>
                <w:bCs/>
                <w:color w:val="auto"/>
                <w:sz w:val="24"/>
                <w:szCs w:val="24"/>
                <w:highlight w:val="none"/>
                <w:lang w:val="en-US" w:eastAsia="zh-CN"/>
              </w:rPr>
            </w:pPr>
            <w:r>
              <w:rPr>
                <w:rFonts w:hint="eastAsia"/>
                <w:b/>
                <w:bCs/>
                <w:color w:val="auto"/>
                <w:sz w:val="24"/>
                <w:szCs w:val="24"/>
                <w:highlight w:val="none"/>
              </w:rPr>
              <w:t xml:space="preserve">根据供应商提供的项目进度安排（包括服务期管理、项目实施进程）进行评</w:t>
            </w:r>
            <w:r>
              <w:rPr>
                <w:rFonts w:hint="eastAsia" w:eastAsia="宋体"/>
                <w:b/>
                <w:bCs/>
                <w:color w:val="auto"/>
                <w:sz w:val="24"/>
                <w:szCs w:val="24"/>
                <w:highlight w:val="none"/>
                <w:lang w:val="en-US" w:eastAsia="zh-CN"/>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进度安排严格遵循项目全周期管理要求</w:t>
            </w:r>
            <w:r>
              <w:rPr>
                <w:rFonts w:hint="eastAsia" w:ascii="宋体" w:hAnsi="宋体" w:eastAsia="宋体" w:cs="宋体"/>
                <w:color w:val="auto"/>
                <w:sz w:val="24"/>
                <w:szCs w:val="24"/>
                <w:highlight w:val="none"/>
                <w:lang w:val="en-US" w:eastAsia="zh-CN"/>
              </w:rPr>
              <w:t xml:space="preserve">、各工序有完善的管理措施、项目实施进程</w:t>
            </w:r>
            <w:r>
              <w:rPr>
                <w:rFonts w:hint="default" w:ascii="宋体" w:hAnsi="宋体" w:eastAsia="宋体" w:cs="宋体"/>
                <w:color w:val="auto"/>
                <w:sz w:val="24"/>
                <w:szCs w:val="24"/>
                <w:highlight w:val="none"/>
                <w:lang w:val="en-US" w:eastAsia="zh-CN"/>
              </w:rPr>
              <w:t xml:space="preserve">可控可靠</w:t>
            </w:r>
            <w:r>
              <w:rPr>
                <w:rFonts w:hint="eastAsia" w:ascii="宋体" w:hAnsi="宋体" w:eastAsia="宋体" w:cs="宋体"/>
                <w:color w:val="auto"/>
                <w:sz w:val="24"/>
                <w:szCs w:val="24"/>
                <w:highlight w:val="none"/>
                <w:lang w:val="en-US" w:eastAsia="zh-CN"/>
              </w:rPr>
              <w:t xml:space="preserve">得10分；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进度安排科学合理</w:t>
            </w:r>
            <w:r>
              <w:rPr>
                <w:rFonts w:hint="eastAsia" w:ascii="宋体" w:hAnsi="宋体" w:eastAsia="宋体" w:cs="宋体"/>
                <w:color w:val="auto"/>
                <w:sz w:val="24"/>
                <w:szCs w:val="24"/>
                <w:highlight w:val="none"/>
                <w:lang w:val="en-US" w:eastAsia="zh-CN"/>
              </w:rPr>
              <w:t xml:space="preserve">、各工序有完善的管理措施、项目实施进程安排</w:t>
            </w:r>
            <w:r>
              <w:rPr>
                <w:rFonts w:hint="default" w:ascii="宋体" w:hAnsi="宋体" w:eastAsia="宋体" w:cs="宋体"/>
                <w:color w:val="auto"/>
                <w:sz w:val="24"/>
                <w:szCs w:val="24"/>
                <w:highlight w:val="none"/>
                <w:lang w:val="en-US" w:eastAsia="zh-CN"/>
              </w:rPr>
              <w:t xml:space="preserve">满足项目进度基本管控需求</w:t>
            </w:r>
            <w:r>
              <w:rPr>
                <w:rFonts w:hint="eastAsia" w:ascii="宋体" w:hAnsi="宋体" w:eastAsia="宋体" w:cs="宋体"/>
                <w:color w:val="auto"/>
                <w:sz w:val="24"/>
                <w:szCs w:val="24"/>
                <w:highlight w:val="none"/>
                <w:lang w:val="en-US" w:eastAsia="zh-CN"/>
              </w:rPr>
              <w:t xml:space="preserve">得8分；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进度安排适当</w:t>
            </w:r>
            <w:r>
              <w:rPr>
                <w:rFonts w:hint="eastAsia" w:ascii="宋体" w:hAnsi="宋体" w:eastAsia="宋体" w:cs="宋体"/>
                <w:color w:val="auto"/>
                <w:sz w:val="24"/>
                <w:szCs w:val="24"/>
                <w:highlight w:val="none"/>
                <w:lang w:val="en-US" w:eastAsia="zh-CN"/>
              </w:rPr>
              <w:t xml:space="preserve">、各工序安排无明显不当、</w:t>
            </w:r>
            <w:r>
              <w:rPr>
                <w:rFonts w:hint="default" w:ascii="宋体" w:hAnsi="宋体" w:eastAsia="宋体" w:cs="宋体"/>
                <w:color w:val="auto"/>
                <w:sz w:val="24"/>
                <w:szCs w:val="24"/>
                <w:highlight w:val="none"/>
                <w:lang w:val="en-US" w:eastAsia="zh-CN"/>
              </w:rPr>
              <w:t xml:space="preserve">基本可保障项目按大致节奏推进</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进度、实施安排描述简单、</w:t>
            </w:r>
            <w:r>
              <w:rPr>
                <w:rFonts w:hint="default" w:ascii="宋体" w:hAnsi="宋体" w:eastAsia="宋体" w:cs="宋体"/>
                <w:color w:val="auto"/>
                <w:sz w:val="24"/>
                <w:szCs w:val="24"/>
                <w:highlight w:val="none"/>
                <w:lang w:val="en-US" w:eastAsia="zh-CN"/>
              </w:rPr>
              <w:t xml:space="preserve">满足项目最基础的进度推进需求</w:t>
            </w:r>
            <w:r>
              <w:rPr>
                <w:rFonts w:hint="eastAsia" w:ascii="宋体" w:hAnsi="宋体" w:eastAsia="宋体" w:cs="宋体"/>
                <w:color w:val="auto"/>
                <w:sz w:val="24"/>
                <w:szCs w:val="24"/>
                <w:highlight w:val="none"/>
                <w:lang w:val="en-US" w:eastAsia="zh-CN"/>
              </w:rPr>
              <w:t xml:space="preserve">得2分；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r>
        <w:trPr>
          <w:jc w:val="center"/>
          <w:trHeight w:val="621"/>
        </w:trPr>
        <w:tc>
          <w:tcPr>
            <w:tcW w:w="863" w:type="pct"/>
            <w:vAlign w:val="center"/>
            <w:textDirection w:val="lrTb"/>
            <w:noWrap w:val="false"/>
          </w:tcPr>
          <w:p>
            <w:pPr>
              <w:ind w:left="-21" w:right="-21"/>
              <w:jc w:val="center"/>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质量保障措施</w:t>
            </w:r>
            <w:r/>
          </w:p>
          <w:p>
            <w:pPr>
              <w:ind w:left="-21" w:right="-21"/>
              <w:jc w:val="center"/>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10分</w:t>
            </w:r>
            <w:r>
              <w:rPr>
                <w:rFonts w:hint="eastAsia" w:ascii="宋体" w:hAnsi="宋体" w:eastAsia="宋体" w:cs="Times New Roman"/>
                <w:color w:val="auto"/>
                <w:sz w:val="24"/>
                <w:szCs w:val="24"/>
                <w:highlight w:val="none"/>
                <w:lang w:eastAsia="zh-CN"/>
              </w:rPr>
              <w:t xml:space="preserve">）</w:t>
            </w:r>
            <w:r/>
          </w:p>
        </w:tc>
        <w:tc>
          <w:tcPr>
            <w:tcW w:w="4136" w:type="pct"/>
            <w:vAlign w:val="center"/>
            <w:textDirection w:val="lrTb"/>
            <w:noWrap w:val="false"/>
          </w:tcPr>
          <w:p>
            <w:pPr>
              <w:pStyle w:val="786"/>
              <w:jc w:val="both"/>
              <w:keepLines w:val="0"/>
              <w:keepNext w:val="0"/>
              <w:pageBreakBefore w:val="0"/>
              <w:spacing w:line="360" w:lineRule="auto"/>
              <w:widowControl w:val="off"/>
              <w:rPr>
                <w:rFonts w:hint="eastAsia" w:hAnsi="宋体"/>
                <w:b/>
                <w:bCs/>
                <w:color w:val="auto"/>
                <w:sz w:val="24"/>
                <w:szCs w:val="24"/>
                <w:highlight w:val="none"/>
              </w:rPr>
            </w:pPr>
            <w:r>
              <w:rPr>
                <w:rFonts w:hint="eastAsia" w:hAnsi="宋体"/>
                <w:b/>
                <w:bCs/>
                <w:color w:val="auto"/>
                <w:sz w:val="24"/>
                <w:szCs w:val="24"/>
                <w:highlight w:val="none"/>
              </w:rPr>
              <w:t xml:space="preserve">从工作计划、质量保证措施方面进行评分。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工作计划涵盖项目全周期</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质量管理组织机构明确</w:t>
            </w:r>
            <w:r>
              <w:rPr>
                <w:rFonts w:hint="eastAsia" w:ascii="宋体" w:hAnsi="宋体" w:eastAsia="宋体" w:cs="宋体"/>
                <w:color w:val="auto"/>
                <w:sz w:val="24"/>
                <w:szCs w:val="24"/>
                <w:highlight w:val="none"/>
                <w:lang w:val="en-US" w:eastAsia="zh-CN"/>
              </w:rPr>
              <w:t xml:space="preserve">、质量保证措施</w:t>
            </w:r>
            <w:r>
              <w:rPr>
                <w:rFonts w:hint="default" w:ascii="宋体" w:hAnsi="宋体" w:eastAsia="宋体" w:cs="宋体"/>
                <w:color w:val="auto"/>
                <w:sz w:val="24"/>
                <w:szCs w:val="24"/>
                <w:highlight w:val="none"/>
                <w:lang w:val="en-US" w:eastAsia="zh-CN"/>
              </w:rPr>
              <w:t xml:space="preserve">可落地执行</w:t>
            </w:r>
            <w:r>
              <w:rPr>
                <w:rFonts w:hint="eastAsia" w:ascii="宋体" w:hAnsi="宋体" w:eastAsia="宋体" w:cs="宋体"/>
                <w:color w:val="auto"/>
                <w:sz w:val="24"/>
                <w:szCs w:val="24"/>
                <w:highlight w:val="none"/>
                <w:lang w:val="en-US" w:eastAsia="zh-CN"/>
              </w:rPr>
              <w:t xml:space="preserve">得10分；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工作计划涵盖项目全周期</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质量管理组织机构基本健全</w:t>
            </w:r>
            <w:r>
              <w:rPr>
                <w:rFonts w:hint="eastAsia" w:ascii="宋体" w:hAnsi="宋体" w:eastAsia="宋体" w:cs="宋体"/>
                <w:color w:val="auto"/>
                <w:sz w:val="24"/>
                <w:szCs w:val="24"/>
                <w:highlight w:val="none"/>
                <w:lang w:val="en-US" w:eastAsia="zh-CN"/>
              </w:rPr>
              <w:t xml:space="preserve">、质量保证措施</w:t>
            </w:r>
            <w:r>
              <w:rPr>
                <w:rFonts w:hint="default" w:ascii="宋体" w:hAnsi="宋体" w:eastAsia="宋体" w:cs="宋体"/>
                <w:color w:val="auto"/>
                <w:sz w:val="24"/>
                <w:szCs w:val="24"/>
                <w:highlight w:val="none"/>
                <w:lang w:val="en-US" w:eastAsia="zh-CN"/>
              </w:rPr>
              <w:t xml:space="preserve">可满足项目质量基本管控需求</w:t>
            </w:r>
            <w:r>
              <w:rPr>
                <w:rFonts w:hint="eastAsia" w:ascii="宋体" w:hAnsi="宋体" w:eastAsia="宋体" w:cs="宋体"/>
                <w:color w:val="auto"/>
                <w:sz w:val="24"/>
                <w:szCs w:val="24"/>
                <w:highlight w:val="none"/>
                <w:lang w:val="en-US" w:eastAsia="zh-CN"/>
              </w:rPr>
              <w:t xml:space="preserve">得8分；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工作计划涵盖项目核心实施阶段</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质量管理组织机构有基本框架</w:t>
            </w:r>
            <w:r>
              <w:rPr>
                <w:rFonts w:hint="eastAsia" w:ascii="宋体" w:hAnsi="宋体" w:eastAsia="宋体" w:cs="宋体"/>
                <w:color w:val="auto"/>
                <w:sz w:val="24"/>
                <w:szCs w:val="24"/>
                <w:highlight w:val="none"/>
                <w:lang w:val="en-US" w:eastAsia="zh-CN"/>
              </w:rPr>
              <w:t xml:space="preserve">、质量保证措施</w:t>
            </w:r>
            <w:r>
              <w:rPr>
                <w:rFonts w:hint="default" w:ascii="宋体" w:hAnsi="宋体" w:eastAsia="宋体" w:cs="宋体"/>
                <w:color w:val="auto"/>
                <w:sz w:val="24"/>
                <w:szCs w:val="24"/>
                <w:highlight w:val="none"/>
                <w:lang w:val="en-US" w:eastAsia="zh-CN"/>
              </w:rPr>
              <w:t xml:space="preserve">流程简略，质量保证措施有基本内容</w:t>
            </w:r>
            <w:r>
              <w:rPr>
                <w:rFonts w:hint="eastAsia" w:ascii="宋体" w:hAnsi="宋体" w:eastAsia="宋体" w:cs="宋体"/>
                <w:color w:val="auto"/>
                <w:sz w:val="24"/>
                <w:szCs w:val="24"/>
                <w:highlight w:val="none"/>
                <w:lang w:val="en-US" w:eastAsia="zh-CN"/>
              </w:rPr>
              <w:t xml:space="preserve">得6分；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工作计划仅包含部分实施内容</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质量管理组织机构不健全</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质量保证措施简略</w:t>
            </w:r>
            <w:r>
              <w:rPr>
                <w:rFonts w:hint="eastAsia" w:ascii="宋体" w:hAnsi="宋体" w:eastAsia="宋体" w:cs="宋体"/>
                <w:color w:val="auto"/>
                <w:sz w:val="24"/>
                <w:szCs w:val="24"/>
                <w:highlight w:val="none"/>
                <w:lang w:val="en-US" w:eastAsia="zh-CN"/>
              </w:rPr>
              <w:t xml:space="preserve">，仅能满足基础需求得4分；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未见阐述的不得分。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val="0"/>
          <w:color w:val="auto"/>
          <w:highlight w:val="none"/>
        </w:rPr>
      </w:pPr>
      <w:r>
        <w:rPr>
          <w:rFonts w:hint="eastAsia" w:ascii="宋体" w:hAnsi="宋体" w:eastAsia="宋体" w:cs="宋体"/>
          <w:color w:val="auto"/>
          <w:sz w:val="24"/>
          <w:szCs w:val="24"/>
          <w:highlight w:val="none"/>
        </w:rPr>
        <w:br w:type="page" w:clear="all"/>
      </w:r>
      <w:bookmarkStart w:id="11" w:name="_Toc162361615"/>
      <w:r/>
      <w:bookmarkStart w:id="12" w:name="_Toc6552"/>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3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11"/>
      <w:r/>
      <w:bookmarkEnd w:id="12"/>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注：请供应商如实填写联系方式并在评审过程中保持联系方式畅通，评审过程中如联系不上，由供应商承担一切不利后果。</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rPr>
          <w:rFonts w:hint="eastAsia" w:ascii="宋体" w:hAnsi="宋体" w:eastAsia="宋体" w:cs="宋体"/>
          <w:b/>
          <w:color w:val="auto"/>
          <w:sz w:val="32"/>
          <w:szCs w:val="32"/>
          <w:highlight w:val="none"/>
        </w:rPr>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江苏新时代工程项目管理有限公司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十一、中小企业声明函（</w:t>
      </w:r>
      <w:r>
        <w:rPr>
          <w:rFonts w:hint="eastAsia" w:ascii="宋体" w:hAnsi="宋体" w:eastAsia="宋体" w:cs="宋体"/>
          <w:b/>
          <w:color w:val="auto"/>
          <w:sz w:val="36"/>
          <w:highlight w:val="none"/>
          <w:lang w:val="en-US" w:eastAsia="zh-CN"/>
        </w:rPr>
        <w:t xml:space="preserve">服务</w:t>
      </w:r>
      <w:r>
        <w:rPr>
          <w:rFonts w:hint="eastAsia" w:ascii="宋体" w:hAnsi="宋体" w:eastAsia="宋体" w:cs="宋体"/>
          <w:b/>
          <w:color w:val="auto"/>
          <w:sz w:val="36"/>
          <w:highlight w:val="none"/>
        </w:rPr>
        <w:t xml:space="preserve">）（分包号：**）</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，如填写不完整或不一致或填写有误，供应商承担一切不利后果。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，如填写不完整或不一致或填写有误，供应商承担一切不利后果。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十三、联合体协议（本项目不接受联合体）</w:t>
      </w:r>
      <w:r/>
    </w:p>
    <w:p>
      <w:pPr>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（联合体中各供应商全称）</w:t>
      </w:r>
      <w:r>
        <w:rPr>
          <w:rFonts w:hint="eastAsia" w:ascii="宋体" w:hAnsi="宋体" w:eastAsia="宋体" w:cs="宋体"/>
          <w:color w:val="auto"/>
          <w:sz w:val="24"/>
          <w:szCs w:val="21"/>
          <w:highlight w:val="none"/>
        </w:rPr>
        <w:t xml:space="preserve">在此达成以下协议：</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 xml:space="preserve">自愿组成联合体，参加</w:t>
      </w:r>
      <w:r>
        <w:rPr>
          <w:rFonts w:hint="eastAsia" w:ascii="宋体" w:hAnsi="宋体" w:eastAsia="宋体" w:cs="宋体"/>
          <w:color w:val="auto"/>
          <w:sz w:val="24"/>
          <w:szCs w:val="24"/>
          <w:highlight w:val="none"/>
        </w:rPr>
        <w:t xml:space="preserve">连云港市公共资源交易中心</w:t>
      </w:r>
      <w:r>
        <w:rPr>
          <w:rFonts w:hint="eastAsia" w:ascii="宋体" w:hAnsi="宋体" w:eastAsia="宋体" w:cs="宋体"/>
          <w:color w:val="auto"/>
          <w:sz w:val="24"/>
          <w:szCs w:val="21"/>
          <w:highlight w:val="none"/>
        </w:rPr>
        <w:t xml:space="preserve">组织的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1"/>
          <w:highlight w:val="none"/>
        </w:rPr>
        <w:t xml:space="preserve">的政府采购活动，我联合体指定</w:t>
      </w:r>
      <w:r>
        <w:rPr>
          <w:rFonts w:hint="eastAsia" w:ascii="宋体" w:hAnsi="宋体" w:eastAsia="宋体" w:cs="宋体"/>
          <w:color w:val="auto"/>
          <w:sz w:val="24"/>
          <w:szCs w:val="21"/>
          <w:highlight w:val="none"/>
          <w:u w:val="single"/>
        </w:rPr>
        <w:t xml:space="preserve">（供应商*）</w:t>
      </w:r>
      <w:r>
        <w:rPr>
          <w:rFonts w:hint="eastAsia" w:ascii="宋体" w:hAnsi="宋体" w:eastAsia="宋体" w:cs="宋体"/>
          <w:color w:val="auto"/>
          <w:sz w:val="24"/>
          <w:szCs w:val="21"/>
          <w:highlight w:val="none"/>
        </w:rPr>
        <w:t xml:space="preserve">为牵头单位（牵头单位必须为联合体成员）。</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2、若我们联合中标、成交，</w:t>
      </w:r>
      <w:r>
        <w:rPr>
          <w:rFonts w:hint="eastAsia" w:ascii="宋体" w:hAnsi="宋体" w:eastAsia="宋体" w:cs="宋体"/>
          <w:color w:val="auto"/>
          <w:sz w:val="24"/>
          <w:szCs w:val="21"/>
          <w:highlight w:val="none"/>
          <w:u w:val="single"/>
        </w:rPr>
        <w:t xml:space="preserve">（供应商单位1全称）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w:t>
      </w:r>
      <w:r>
        <w:rPr>
          <w:rFonts w:hint="eastAsia" w:ascii="宋体" w:hAnsi="宋体" w:eastAsia="宋体" w:cs="宋体"/>
          <w:color w:val="auto"/>
          <w:sz w:val="24"/>
          <w:szCs w:val="21"/>
          <w:highlight w:val="none"/>
          <w:u w:val="single"/>
        </w:rPr>
        <w:t xml:space="preserve">（供应商单位2全称）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3、其中</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（小型、微型企业/残疾人福利性单位/监狱企业全称）为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%。（可选）</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供应商1全称（公章）：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供应商2全称（公章）：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备注：本招标文件中要求加盖公章的内容，仅需加盖牵头单位的公章。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十四、投标分项报价表（分包号：**）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4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033"/>
        <w:gridCol w:w="1639"/>
        <w:gridCol w:w="1149"/>
        <w:gridCol w:w="1271"/>
        <w:gridCol w:w="2721"/>
      </w:tblGrid>
      <w:tr>
        <w:trPr>
          <w:cantSplit/>
          <w:jc w:val="center"/>
          <w:trHeight w:val="898"/>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产品、服务（标的）名称</w:t>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分项单位</w:t>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单项</w:t>
            </w:r>
            <w:r/>
          </w:p>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合计价</w:t>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3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83"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2"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1"/>
        </w:trPr>
        <w:tc>
          <w:tcPr>
            <w:gridSpan w:val="5"/>
            <w:tcW w:w="3618"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总计（元）</w:t>
            </w:r>
            <w:r/>
          </w:p>
        </w:tc>
        <w:tc>
          <w:tcPr>
            <w:tcW w:w="1381" w:type="pct"/>
            <w:vAlign w:val="center"/>
            <w:textDirection w:val="lrTb"/>
            <w:noWrap w:val="false"/>
          </w:tcPr>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9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请按所投产品的实际技术参数，逐条对应</w:t>
      </w:r>
      <w:r>
        <w:rPr>
          <w:rFonts w:hint="eastAsia" w:ascii="宋体" w:hAnsi="宋体" w:eastAsia="宋体" w:cs="宋体"/>
          <w:color w:val="auto"/>
          <w:sz w:val="24"/>
          <w:szCs w:val="22"/>
          <w:highlight w:val="none"/>
          <w:lang w:val="en-US" w:eastAsia="zh-CN"/>
        </w:rPr>
        <w:t xml:space="preserve">招标</w:t>
      </w:r>
      <w:r>
        <w:rPr>
          <w:rFonts w:hint="eastAsia" w:ascii="宋体" w:hAnsi="宋体" w:eastAsia="宋体" w:cs="宋体"/>
          <w:color w:val="auto"/>
          <w:sz w:val="24"/>
          <w:szCs w:val="22"/>
          <w:highlight w:val="none"/>
        </w:rPr>
        <w:t xml:space="preserve">文件“</w:t>
      </w:r>
      <w:r>
        <w:rPr>
          <w:rFonts w:hint="eastAsia" w:ascii="宋体" w:hAnsi="宋体" w:eastAsia="宋体" w:cs="宋体"/>
          <w:color w:val="auto"/>
          <w:sz w:val="24"/>
          <w:szCs w:val="22"/>
          <w:highlight w:val="none"/>
          <w:lang w:val="en-US" w:eastAsia="zh-CN"/>
        </w:rPr>
        <w:t xml:space="preserve">采购</w:t>
      </w:r>
      <w:r>
        <w:rPr>
          <w:rFonts w:hint="eastAsia" w:ascii="宋体" w:hAnsi="宋体" w:eastAsia="宋体" w:cs="宋体"/>
          <w:color w:val="auto"/>
          <w:sz w:val="24"/>
          <w:szCs w:val="22"/>
          <w:highlight w:val="none"/>
        </w:rPr>
        <w:t xml:space="preserve">需求”中要求的技术规范填写该表，该表不能作为所投产品的技术文件，投标人应在投标文件中单独提供技术文件。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bookmarkStart w:id="13" w:name="_Hlt26955054"/>
      <w:r/>
      <w:bookmarkEnd w:id="13"/>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十六、商务要求响应及偏离表（分包号：**）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4" w:name="_Hlt26580838"/>
            <w:r/>
            <w:bookmarkEnd w:id="14"/>
            <w:r/>
            <w:bookmarkStart w:id="15" w:name="_Hlt26609391"/>
            <w:r/>
            <w:bookmarkEnd w:id="15"/>
            <w:r/>
            <w:bookmarkStart w:id="16" w:name="_Hlt24879081"/>
            <w:r/>
            <w:bookmarkEnd w:id="16"/>
            <w:r/>
            <w:bookmarkStart w:id="17" w:name="_Hlt26955064"/>
            <w:r/>
            <w:bookmarkEnd w:id="17"/>
            <w:r/>
            <w:bookmarkStart w:id="18" w:name="_Hlt26955056"/>
            <w:r/>
            <w:bookmarkEnd w:id="18"/>
            <w:r/>
            <w:bookmarkStart w:id="19" w:name="_Hlt26782999"/>
            <w:r/>
            <w:bookmarkEnd w:id="19"/>
            <w:r/>
            <w:bookmarkStart w:id="20" w:name="_Hlt26671343"/>
            <w:r/>
            <w:bookmarkEnd w:id="20"/>
            <w:r/>
            <w:bookmarkStart w:id="21" w:name="_Hlt26671372"/>
            <w:r/>
            <w:bookmarkEnd w:id="21"/>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1"/>
        <w:jc w:val="both"/>
        <w:keepLines/>
        <w:keepNext/>
        <w:spacing w:before="20" w:after="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注：填写“第四章  采购需求”中斜体下划线条款。</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bookmarkStart w:id="22" w:name="_格式2__法定代表人授权书"/>
      <w:r/>
      <w:bookmarkEnd w:id="22"/>
      <w:r/>
      <w:bookmarkStart w:id="23" w:name="_Hlt26609389"/>
      <w:r/>
      <w:bookmarkEnd w:id="23"/>
      <w:r/>
      <w:bookmarkStart w:id="24" w:name="_Hlt26671374"/>
      <w:r/>
      <w:bookmarkEnd w:id="24"/>
      <w:r/>
      <w:bookmarkStart w:id="25" w:name="_Hlt26955066"/>
      <w:r/>
      <w:bookmarkEnd w:id="25"/>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19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5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十九、开标一览表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rPr>
          <w:rFonts w:hint="eastAsia" w:ascii="宋体" w:hAnsi="宋体" w:eastAsia="宋体" w:cs="宋体"/>
          <w:bCs/>
          <w:color w:val="auto"/>
          <w:sz w:val="24"/>
          <w:szCs w:val="24"/>
          <w:highlight w:val="none"/>
        </w:rPr>
        <w:t xml:space="preserve">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4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2"/>
        <w:gridCol w:w="3282"/>
        <w:gridCol w:w="3285"/>
      </w:tblGrid>
      <w:tr>
        <w:trPr/>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p>
        </w:tc>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1666"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3333" w:type="pct"/>
            <w:vAlign w:val="top"/>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lang w:val="en-US" w:eastAsia="zh-CN"/>
        </w:rPr>
        <w:outlineLvl w:val="1"/>
      </w:pPr>
      <w:r>
        <w:rPr>
          <w:rFonts w:hint="eastAsia" w:ascii="宋体" w:hAnsi="宋体" w:eastAsia="宋体" w:cs="宋体"/>
          <w:b/>
          <w:color w:val="auto"/>
          <w:sz w:val="36"/>
          <w:highlight w:val="none"/>
          <w:lang w:val="en-US" w:eastAsia="zh-CN"/>
        </w:rPr>
        <w:t xml:space="preserve">二十、关于符合本国产品标准的声明函（本项目不适用）</w:t>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000000"/>
          <w:sz w:val="24"/>
          <w:szCs w:val="22"/>
          <w:highlight w:val="none"/>
          <w:lang w:val="en-US" w:eastAsia="zh-CN" w:bidi="ar"/>
        </w:rPr>
      </w:pPr>
      <w:r>
        <w:rPr>
          <w:rFonts w:ascii="方正魏碑_GBK" w:hAnsi="方正魏碑_GBK" w:eastAsia="方正魏碑_GBK" w:cs="方正魏碑_GBK"/>
          <w:color w:val="000000"/>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970"/>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
        </w:rPr>
        <w:t xml:space="preserve">。</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7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p>
    <w:p>
      <w:pPr>
        <w:jc w:val="left"/>
        <w:keepLines w:val="0"/>
        <w:keepNext w:val="0"/>
        <w:pageBreakBefore w:val="0"/>
        <w:spacing w:line="360" w:lineRule="auto"/>
        <w:shd w:val="clear" w:color="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left"/>
        <w:keepLines w:val="0"/>
        <w:keepNext w:val="0"/>
        <w:pageBreakBefore w:val="0"/>
        <w:spacing w:line="360" w:lineRule="auto"/>
        <w:shd w:val="clear" w:color="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请供应商如实填写，如填写有误，将承担一切不利后果。</w:t>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000000"/>
          <w:sz w:val="24"/>
          <w:szCs w:val="2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9.</w:t>
      </w:r>
      <w:r>
        <w:rPr>
          <w:rFonts w:hint="eastAsia" w:ascii="宋体" w:hAnsi="宋体" w:eastAsia="宋体" w:cs="Times New Roman"/>
          <w:color w:val="000000"/>
          <w:sz w:val="24"/>
          <w:szCs w:val="24"/>
          <w:highlight w:val="none"/>
          <w:lang w:val="en-US" w:eastAsia="zh-CN" w:bidi="ar"/>
        </w:rPr>
        <w:t xml:space="preserve">中标人的</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000000"/>
          <w:sz w:val="24"/>
          <w:szCs w:val="24"/>
          <w:highlight w:val="none"/>
          <w:lang w:val="en-US" w:eastAsia="zh-CN" w:bidi="ar"/>
        </w:rPr>
        <w:t xml:space="preserve">随中标结果公开，接受社会监督。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0"/>
      <w:footerReference w:type="default" r:id="rId13"/>
      <w:footnotePr/>
      <w:endnotePr/>
      <w:type w:val="nextPage"/>
      <w:pgSz w:w="11905" w:h="16838" w:orient="portrait"/>
      <w:pgMar w:top="1417" w:right="1134" w:bottom="1417"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新宋体">
    <w:panose1 w:val="02010609030101010101"/>
  </w:font>
  <w:font w:name="金山简黑体">
    <w:panose1 w:val="020B0503020202020204"/>
  </w:font>
  <w:font w:name="华文楷体">
    <w:panose1 w:val="02010600040101010101"/>
  </w:font>
  <w:font w:name="Courier New">
    <w:panose1 w:val="02070309020205020404"/>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8"/>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8"/>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v:textbox>
            </v:shape>
          </w:pict>
        </mc:Fallback>
      </mc:AlternateContent>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pBdr>
        <w:bottom w:val="none" w:color="auto" w:sz="0" w:space="1"/>
      </w:pBdr>
    </w:pPr>
    <w:r/>
    <w:r/>
  </w:p>
  <w:p>
    <w:pPr>
      <w:pStyle w:val="759"/>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0"/>
    <w:uiPriority w:val="0"/>
    <w:qFormat/>
    <w:pPr>
      <w:jc w:val="both"/>
      <w:widowControl w:val="off"/>
    </w:pPr>
    <w:rPr>
      <w:rFonts w:hint="default" w:ascii="Calibri" w:hAnsi="Calibri" w:eastAsia="Arial" w:cs="Arial"/>
      <w:sz w:val="21"/>
      <w:szCs w:val="22"/>
      <w:lang w:val="en-US" w:eastAsia="zh-CN" w:bidi="ar-SA"/>
    </w:rPr>
  </w:style>
  <w:style w:type="paragraph" w:styleId="731">
    <w:name w:val="Heading 1"/>
    <w:basedOn w:val="730"/>
    <w:next w:val="730"/>
    <w:link w:val="813"/>
    <w:uiPriority w:val="0"/>
    <w:qFormat/>
    <w:pPr>
      <w:keepLines/>
      <w:keepNext/>
      <w:spacing w:before="340" w:after="330" w:line="578" w:lineRule="auto"/>
      <w:outlineLvl w:val="0"/>
    </w:pPr>
    <w:rPr>
      <w:b/>
      <w:bCs/>
      <w:sz w:val="44"/>
      <w:szCs w:val="44"/>
    </w:rPr>
  </w:style>
  <w:style w:type="paragraph" w:styleId="732">
    <w:name w:val="Heading 2"/>
    <w:basedOn w:val="730"/>
    <w:next w:val="730"/>
    <w:link w:val="815"/>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33">
    <w:name w:val="Heading 3"/>
    <w:basedOn w:val="730"/>
    <w:next w:val="730"/>
    <w:link w:val="816"/>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6"/>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7"/>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8"/>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0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0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unhideWhenUsed/>
    <w:qFormat/>
  </w:style>
  <w:style w:type="table" w:styleId="741" w:default="1">
    <w:name w:val="Normal Table"/>
    <w:uiPriority w:val="99"/>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99"/>
    <w:qFormat/>
    <w:pPr>
      <w:ind w:firstLine="420"/>
    </w:pPr>
    <w:rPr>
      <w:rFonts w:eastAsia="Times New Roman"/>
      <w:sz w:val="24"/>
      <w:szCs w:val="20"/>
    </w:rPr>
  </w:style>
  <w:style w:type="paragraph" w:styleId="744">
    <w:name w:val="Caption"/>
    <w:basedOn w:val="730"/>
    <w:next w:val="730"/>
    <w:uiPriority w:val="35"/>
    <w:unhideWhenUsed/>
    <w:qFormat/>
    <w:pPr>
      <w:spacing w:line="276" w:lineRule="auto"/>
    </w:pPr>
    <w:rPr>
      <w:b/>
      <w:bCs/>
      <w:color w:val="4f81bd"/>
      <w:sz w:val="18"/>
      <w:szCs w:val="18"/>
    </w:rPr>
  </w:style>
  <w:style w:type="paragraph" w:styleId="745">
    <w:name w:val="Document Map"/>
    <w:basedOn w:val="730"/>
    <w:link w:val="814"/>
    <w:uiPriority w:val="0"/>
    <w:unhideWhenUsed/>
    <w:qFormat/>
    <w:rPr>
      <w:rFonts w:ascii="宋体" w:eastAsia="宋体"/>
      <w:sz w:val="18"/>
      <w:szCs w:val="18"/>
    </w:rPr>
  </w:style>
  <w:style w:type="paragraph" w:styleId="746">
    <w:name w:val="toa heading"/>
    <w:basedOn w:val="730"/>
    <w:next w:val="730"/>
    <w:uiPriority w:val="99"/>
    <w:unhideWhenUsed/>
    <w:qFormat/>
    <w:pPr>
      <w:spacing w:before="120"/>
    </w:pPr>
    <w:rPr>
      <w:rFonts w:ascii="Cambria" w:hAnsi="Cambria" w:eastAsia="宋体" w:cs="Times New Roman"/>
      <w:sz w:val="24"/>
      <w:szCs w:val="24"/>
    </w:rPr>
  </w:style>
  <w:style w:type="paragraph" w:styleId="747">
    <w:name w:val="annotation text"/>
    <w:basedOn w:val="730"/>
    <w:link w:val="818"/>
    <w:uiPriority w:val="0"/>
    <w:qFormat/>
    <w:pPr>
      <w:ind w:firstLine="922"/>
      <w:jc w:val="left"/>
      <w:spacing w:line="360" w:lineRule="auto"/>
    </w:pPr>
    <w:rPr>
      <w:rFonts w:ascii="Times New Roman" w:hAnsi="Times New Roman" w:eastAsia="宋体" w:cs="Times New Roman"/>
      <w:szCs w:val="24"/>
    </w:rPr>
  </w:style>
  <w:style w:type="paragraph" w:styleId="748">
    <w:name w:val="Body Text"/>
    <w:basedOn w:val="730"/>
    <w:next w:val="730"/>
    <w:link w:val="822"/>
    <w:uiPriority w:val="0"/>
    <w:semiHidden/>
    <w:qFormat/>
    <w:rPr>
      <w:rFonts w:ascii="Arial" w:hAnsi="Arial" w:eastAsia="Arial" w:cs="Arial"/>
      <w:szCs w:val="21"/>
      <w:lang w:eastAsia="en-US"/>
    </w:rPr>
  </w:style>
  <w:style w:type="paragraph" w:styleId="749">
    <w:name w:val="Body Text Indent"/>
    <w:basedOn w:val="730"/>
    <w:next w:val="750"/>
    <w:uiPriority w:val="99"/>
    <w:qFormat/>
    <w:pPr>
      <w:ind w:firstLine="301"/>
      <w:spacing w:line="200" w:lineRule="exact"/>
    </w:pPr>
    <w:rPr>
      <w:rFonts w:ascii="Tahoma" w:hAnsi="黑体"/>
      <w:spacing w:val="-4"/>
      <w:sz w:val="18"/>
      <w:szCs w:val="20"/>
    </w:rPr>
  </w:style>
  <w:style w:type="paragraph" w:styleId="750">
    <w:name w:val="envelope return"/>
    <w:basedOn w:val="730"/>
    <w:uiPriority w:val="99"/>
    <w:qFormat/>
    <w:rPr>
      <w:rFonts w:ascii="Arial" w:hAnsi="Arial"/>
    </w:rPr>
  </w:style>
  <w:style w:type="paragraph" w:styleId="751">
    <w:name w:val="toc 5"/>
    <w:basedOn w:val="730"/>
    <w:next w:val="730"/>
    <w:uiPriority w:val="39"/>
    <w:unhideWhenUsed/>
    <w:qFormat/>
    <w:pPr>
      <w:ind w:left="1134" w:right="0" w:firstLine="0"/>
      <w:spacing w:after="57"/>
    </w:pPr>
  </w:style>
  <w:style w:type="paragraph" w:styleId="752">
    <w:name w:val="toc 3"/>
    <w:basedOn w:val="730"/>
    <w:next w:val="730"/>
    <w:uiPriority w:val="39"/>
    <w:unhideWhenUsed/>
    <w:qFormat/>
    <w:pPr>
      <w:ind w:left="567" w:right="0" w:firstLine="0"/>
      <w:spacing w:after="57"/>
    </w:pPr>
  </w:style>
  <w:style w:type="paragraph" w:styleId="753">
    <w:name w:val="Plain Text"/>
    <w:basedOn w:val="730"/>
    <w:link w:val="821"/>
    <w:uiPriority w:val="0"/>
    <w:qFormat/>
    <w:rPr>
      <w:rFonts w:ascii="宋体" w:hAnsi="Courier New" w:eastAsia="宋体" w:cs="Times New Roman"/>
      <w:szCs w:val="20"/>
    </w:rPr>
  </w:style>
  <w:style w:type="paragraph" w:styleId="754">
    <w:name w:val="toc 8"/>
    <w:basedOn w:val="730"/>
    <w:next w:val="730"/>
    <w:uiPriority w:val="39"/>
    <w:unhideWhenUsed/>
    <w:qFormat/>
    <w:pPr>
      <w:ind w:left="1984" w:right="0" w:firstLine="0"/>
      <w:spacing w:after="57"/>
    </w:pPr>
  </w:style>
  <w:style w:type="paragraph" w:styleId="755">
    <w:name w:val="Date"/>
    <w:basedOn w:val="730"/>
    <w:next w:val="730"/>
    <w:link w:val="817"/>
    <w:uiPriority w:val="99"/>
    <w:unhideWhenUsed/>
    <w:qFormat/>
    <w:pPr>
      <w:ind w:left="100"/>
    </w:pPr>
  </w:style>
  <w:style w:type="paragraph" w:styleId="756">
    <w:name w:val="endnote text"/>
    <w:basedOn w:val="730"/>
    <w:link w:val="810"/>
    <w:uiPriority w:val="99"/>
    <w:unhideWhenUsed/>
    <w:qFormat/>
    <w:pPr>
      <w:spacing w:after="0" w:line="240" w:lineRule="auto"/>
    </w:pPr>
    <w:rPr>
      <w:sz w:val="20"/>
    </w:rPr>
  </w:style>
  <w:style w:type="paragraph" w:styleId="757">
    <w:name w:val="Balloon Text"/>
    <w:basedOn w:val="730"/>
    <w:link w:val="819"/>
    <w:uiPriority w:val="0"/>
    <w:unhideWhenUsed/>
    <w:qFormat/>
    <w:rPr>
      <w:sz w:val="18"/>
      <w:szCs w:val="18"/>
    </w:rPr>
  </w:style>
  <w:style w:type="paragraph" w:styleId="758">
    <w:name w:val="Footer"/>
    <w:basedOn w:val="730"/>
    <w:link w:val="812"/>
    <w:uiPriority w:val="0"/>
    <w:unhideWhenUsed/>
    <w:qFormat/>
    <w:pPr>
      <w:jc w:val="left"/>
      <w:tabs>
        <w:tab w:val="center" w:pos="4153" w:leader="none"/>
        <w:tab w:val="right" w:pos="8306" w:leader="none"/>
      </w:tabs>
    </w:pPr>
    <w:rPr>
      <w:sz w:val="18"/>
      <w:szCs w:val="18"/>
    </w:rPr>
  </w:style>
  <w:style w:type="paragraph" w:styleId="759">
    <w:name w:val="Header"/>
    <w:basedOn w:val="730"/>
    <w:link w:val="81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0"/>
    <w:next w:val="730"/>
    <w:uiPriority w:val="39"/>
    <w:unhideWhenUsed/>
    <w:qFormat/>
    <w:pPr>
      <w:jc w:val="center"/>
      <w:spacing w:line="360" w:lineRule="auto"/>
      <w:tabs>
        <w:tab w:val="right" w:pos="9628" w:leader="dot"/>
      </w:tabs>
    </w:pPr>
    <w:rPr>
      <w:sz w:val="32"/>
    </w:rPr>
  </w:style>
  <w:style w:type="paragraph" w:styleId="761">
    <w:name w:val="toc 4"/>
    <w:basedOn w:val="730"/>
    <w:next w:val="730"/>
    <w:uiPriority w:val="39"/>
    <w:unhideWhenUsed/>
    <w:qFormat/>
    <w:pPr>
      <w:ind w:left="850" w:right="0" w:firstLine="0"/>
      <w:spacing w:after="57"/>
    </w:pPr>
  </w:style>
  <w:style w:type="paragraph" w:styleId="762">
    <w:name w:val="Subtitle"/>
    <w:basedOn w:val="730"/>
    <w:next w:val="730"/>
    <w:link w:val="803"/>
    <w:uiPriority w:val="11"/>
    <w:qFormat/>
    <w:pPr>
      <w:spacing w:before="200" w:after="200"/>
    </w:pPr>
    <w:rPr>
      <w:sz w:val="24"/>
      <w:szCs w:val="24"/>
    </w:rPr>
  </w:style>
  <w:style w:type="paragraph" w:styleId="763">
    <w:name w:val="footnote text"/>
    <w:basedOn w:val="730"/>
    <w:link w:val="809"/>
    <w:uiPriority w:val="99"/>
    <w:unhideWhenUsed/>
    <w:qFormat/>
    <w:pPr>
      <w:spacing w:after="40" w:line="240" w:lineRule="auto"/>
    </w:pPr>
    <w:rPr>
      <w:sz w:val="18"/>
    </w:rPr>
  </w:style>
  <w:style w:type="paragraph" w:styleId="764">
    <w:name w:val="toc 6"/>
    <w:basedOn w:val="730"/>
    <w:next w:val="730"/>
    <w:uiPriority w:val="39"/>
    <w:unhideWhenUsed/>
    <w:qFormat/>
    <w:pPr>
      <w:ind w:left="1417" w:right="0" w:firstLine="0"/>
      <w:spacing w:after="57"/>
    </w:pPr>
  </w:style>
  <w:style w:type="paragraph" w:styleId="765">
    <w:name w:val="table of figures"/>
    <w:basedOn w:val="730"/>
    <w:next w:val="730"/>
    <w:uiPriority w:val="99"/>
    <w:unhideWhenUsed/>
    <w:qFormat/>
    <w:pPr>
      <w:spacing w:after="0" w:afterAutospacing="0"/>
    </w:pPr>
  </w:style>
  <w:style w:type="paragraph" w:styleId="766">
    <w:name w:val="toc 2"/>
    <w:basedOn w:val="730"/>
    <w:next w:val="730"/>
    <w:uiPriority w:val="39"/>
    <w:unhideWhenUsed/>
    <w:qFormat/>
    <w:pPr>
      <w:ind w:left="283" w:right="0" w:firstLine="0"/>
      <w:spacing w:after="57"/>
    </w:pPr>
  </w:style>
  <w:style w:type="paragraph" w:styleId="767">
    <w:name w:val="toc 9"/>
    <w:basedOn w:val="730"/>
    <w:next w:val="730"/>
    <w:uiPriority w:val="39"/>
    <w:unhideWhenUsed/>
    <w:qFormat/>
    <w:pPr>
      <w:ind w:left="2268" w:right="0" w:firstLine="0"/>
      <w:spacing w:after="57"/>
    </w:pPr>
  </w:style>
  <w:style w:type="paragraph" w:styleId="768">
    <w:name w:val="Normal (Web)"/>
    <w:basedOn w:val="730"/>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69">
    <w:name w:val="Title"/>
    <w:basedOn w:val="730"/>
    <w:next w:val="730"/>
    <w:link w:val="802"/>
    <w:uiPriority w:val="10"/>
    <w:qFormat/>
    <w:pPr>
      <w:contextualSpacing/>
      <w:spacing w:before="300" w:after="200"/>
    </w:pPr>
    <w:rPr>
      <w:sz w:val="48"/>
      <w:szCs w:val="48"/>
    </w:rPr>
  </w:style>
  <w:style w:type="paragraph" w:styleId="770">
    <w:name w:val="Body Text First Indent"/>
    <w:basedOn w:val="748"/>
    <w:uiPriority w:val="0"/>
    <w:qFormat/>
    <w:pPr>
      <w:ind w:firstLine="420"/>
      <w:spacing w:line="360" w:lineRule="auto"/>
    </w:pPr>
    <w:rPr>
      <w:rFonts w:ascii="宋体" w:hAnsi="宋体"/>
      <w:sz w:val="24"/>
    </w:rPr>
  </w:style>
  <w:style w:type="paragraph" w:styleId="771">
    <w:name w:val="Body Text First Indent 2"/>
    <w:basedOn w:val="749"/>
    <w:uiPriority w:val="99"/>
    <w:qFormat/>
    <w:pPr>
      <w:ind w:firstLine="420"/>
    </w:p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0"/>
    <w:uiPriority w:val="22"/>
    <w:qFormat/>
    <w:rPr>
      <w:b/>
    </w:rPr>
  </w:style>
  <w:style w:type="character" w:styleId="774">
    <w:name w:val="endnote reference"/>
    <w:basedOn w:val="740"/>
    <w:uiPriority w:val="99"/>
    <w:unhideWhenUsed/>
    <w:qFormat/>
    <w:rPr>
      <w:vertAlign w:val="superscript"/>
    </w:rPr>
  </w:style>
  <w:style w:type="character" w:styleId="775">
    <w:name w:val="page number"/>
    <w:basedOn w:val="740"/>
    <w:uiPriority w:val="99"/>
    <w:unhideWhenUsed/>
    <w:qFormat/>
  </w:style>
  <w:style w:type="character" w:styleId="776">
    <w:name w:val="Hyperlink"/>
    <w:uiPriority w:val="99"/>
    <w:qFormat/>
    <w:rPr>
      <w:color w:val="0000ff"/>
      <w:u w:val="none"/>
    </w:rPr>
  </w:style>
  <w:style w:type="character" w:styleId="777">
    <w:name w:val="annotation reference"/>
    <w:basedOn w:val="740"/>
    <w:uiPriority w:val="0"/>
    <w:qFormat/>
    <w:rPr>
      <w:sz w:val="21"/>
      <w:szCs w:val="21"/>
    </w:rPr>
  </w:style>
  <w:style w:type="character" w:styleId="778">
    <w:name w:val="footnote reference"/>
    <w:basedOn w:val="740"/>
    <w:uiPriority w:val="99"/>
    <w:unhideWhenUsed/>
    <w:qFormat/>
    <w:rPr>
      <w:vertAlign w:val="superscript"/>
    </w:rPr>
  </w:style>
  <w:style w:type="paragraph" w:styleId="7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80" w:customStyle="1">
    <w:name w:val="Quote1"/>
    <w:basedOn w:val="730"/>
    <w:next w:val="730"/>
    <w:uiPriority w:val="99"/>
    <w:qFormat/>
    <w:pPr>
      <w:ind w:left="864" w:right="864"/>
      <w:jc w:val="center"/>
      <w:spacing w:before="200" w:after="160"/>
      <w:widowControl/>
    </w:pPr>
    <w:rPr>
      <w:rFonts w:ascii="宋体"/>
      <w:i/>
      <w:color w:val="404040"/>
    </w:rPr>
  </w:style>
  <w:style w:type="paragraph" w:styleId="781" w:customStyle="1">
    <w:name w:val="List Paragraph"/>
    <w:basedOn w:val="730"/>
    <w:uiPriority w:val="34"/>
    <w:qFormat/>
    <w:pPr>
      <w:contextualSpacing/>
      <w:ind w:left="720"/>
    </w:pPr>
  </w:style>
  <w:style w:type="paragraph" w:styleId="782"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783" w:customStyle="1">
    <w:name w:val="Quote"/>
    <w:basedOn w:val="730"/>
    <w:next w:val="730"/>
    <w:link w:val="804"/>
    <w:uiPriority w:val="29"/>
    <w:qFormat/>
    <w:pPr>
      <w:ind w:left="720" w:right="720"/>
    </w:pPr>
    <w:rPr>
      <w:i/>
    </w:rPr>
  </w:style>
  <w:style w:type="paragraph" w:styleId="784" w:customStyle="1">
    <w:name w:val="Intense Quote"/>
    <w:basedOn w:val="730"/>
    <w:next w:val="730"/>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5" w:customStyle="1">
    <w:name w:val="TOC Heading"/>
    <w:uiPriority w:val="39"/>
    <w:unhideWhenUsed/>
    <w:qFormat/>
    <w:rPr>
      <w:rFonts w:hint="default" w:ascii="Calibri" w:hAnsi="Calibri" w:eastAsia="Arial" w:cs="Arial"/>
      <w:lang w:val="en-US" w:eastAsia="zh-CN" w:bidi="ar-SA"/>
    </w:rPr>
  </w:style>
  <w:style w:type="paragraph" w:styleId="786" w:customStyle="1">
    <w:name w:val="Default"/>
    <w:link w:val="820"/>
    <w:uiPriority w:val="99"/>
    <w:qFormat/>
    <w:pPr>
      <w:widowControl w:val="off"/>
    </w:pPr>
    <w:rPr>
      <w:rFonts w:hint="default" w:ascii="MS Mincho" w:hAnsi="Calibri" w:eastAsia="宋体" w:cs="Times New Roman"/>
      <w:color w:val="000000"/>
      <w:sz w:val="21"/>
      <w:szCs w:val="24"/>
      <w:lang w:val="en-US" w:eastAsia="zh-CN" w:bidi="ar-SA"/>
    </w:rPr>
  </w:style>
  <w:style w:type="paragraph" w:styleId="787"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788" w:customStyle="1">
    <w:name w:val="Table Text"/>
    <w:basedOn w:val="730"/>
    <w:uiPriority w:val="0"/>
    <w:semiHidden/>
    <w:qFormat/>
    <w:rPr>
      <w:rFonts w:ascii="宋体" w:hAnsi="宋体" w:eastAsia="宋体" w:cs="宋体"/>
      <w:sz w:val="24"/>
      <w:szCs w:val="24"/>
      <w:lang w:eastAsia="en-US"/>
    </w:rPr>
  </w:style>
  <w:style w:type="paragraph" w:styleId="789" w:customStyle="1">
    <w:name w:val="纯文本11"/>
    <w:basedOn w:val="730"/>
    <w:next w:val="730"/>
    <w:uiPriority w:val="0"/>
    <w:qFormat/>
    <w:pPr>
      <w:ind w:firstLine="922"/>
      <w:spacing w:line="360" w:lineRule="auto"/>
    </w:pPr>
    <w:rPr>
      <w:rFonts w:ascii="宋体" w:hAnsi="Courier New" w:eastAsia="宋体" w:cs="Times New Roman"/>
      <w:szCs w:val="20"/>
    </w:rPr>
  </w:style>
  <w:style w:type="paragraph" w:styleId="790" w:customStyle="1">
    <w:name w:val="正文文本1"/>
    <w:basedOn w:val="730"/>
    <w:next w:val="786"/>
    <w:uiPriority w:val="0"/>
    <w:qFormat/>
    <w:pPr>
      <w:ind w:firstLine="922"/>
      <w:spacing w:line="360" w:lineRule="auto"/>
    </w:pPr>
    <w:rPr>
      <w:rFonts w:ascii="金山简黑体" w:hAnsi="Courier New" w:eastAsia="金山简黑体" w:cs="Times New Roman"/>
      <w:b/>
      <w:spacing w:val="-8"/>
      <w:sz w:val="44"/>
      <w:szCs w:val="20"/>
    </w:rPr>
  </w:style>
  <w:style w:type="paragraph" w:styleId="791" w:customStyle="1">
    <w:name w:val="正文1"/>
    <w:basedOn w:val="743"/>
    <w:uiPriority w:val="0"/>
    <w:qFormat/>
    <w:pPr>
      <w:spacing w:line="500" w:lineRule="exact"/>
    </w:pPr>
    <w:rPr>
      <w:rFonts w:hAnsi="新宋体"/>
    </w:rPr>
  </w:style>
  <w:style w:type="paragraph" w:styleId="792" w:customStyle="1">
    <w:name w:val="_Style 6"/>
    <w:basedOn w:val="730"/>
    <w:next w:val="730"/>
    <w:uiPriority w:val="0"/>
    <w:qFormat/>
    <w:pPr>
      <w:ind w:firstLine="420"/>
      <w:spacing w:line="192" w:lineRule="auto"/>
    </w:pPr>
    <w:rPr>
      <w:rFonts w:ascii="Calibri" w:hAnsi="Calibri" w:eastAsia="宋体" w:cs="Times New Roman"/>
      <w:szCs w:val="24"/>
    </w:rPr>
  </w:style>
  <w:style w:type="character" w:styleId="793" w:customStyle="1">
    <w:name w:val="Heading 1 Char"/>
    <w:basedOn w:val="740"/>
    <w:uiPriority w:val="9"/>
    <w:qFormat/>
    <w:rPr>
      <w:rFonts w:ascii="Arial" w:hAnsi="Arial" w:eastAsia="Arial" w:cs="Arial"/>
      <w:sz w:val="40"/>
      <w:szCs w:val="40"/>
    </w:rPr>
  </w:style>
  <w:style w:type="character" w:styleId="794" w:customStyle="1">
    <w:name w:val="Heading 2 Char"/>
    <w:basedOn w:val="740"/>
    <w:uiPriority w:val="9"/>
    <w:qFormat/>
    <w:rPr>
      <w:rFonts w:ascii="Arial" w:hAnsi="Arial" w:eastAsia="Arial" w:cs="Arial"/>
      <w:sz w:val="34"/>
    </w:rPr>
  </w:style>
  <w:style w:type="character" w:styleId="795" w:customStyle="1">
    <w:name w:val="Heading 3 Char"/>
    <w:basedOn w:val="740"/>
    <w:uiPriority w:val="9"/>
    <w:qFormat/>
    <w:rPr>
      <w:rFonts w:ascii="Arial" w:hAnsi="Arial" w:eastAsia="Arial" w:cs="Arial"/>
      <w:sz w:val="30"/>
      <w:szCs w:val="30"/>
    </w:rPr>
  </w:style>
  <w:style w:type="character" w:styleId="796" w:customStyle="1">
    <w:name w:val="Heading 4 Char"/>
    <w:basedOn w:val="740"/>
    <w:link w:val="734"/>
    <w:uiPriority w:val="9"/>
    <w:qFormat/>
    <w:rPr>
      <w:rFonts w:ascii="Arial" w:hAnsi="Arial" w:eastAsia="Arial" w:cs="Arial"/>
      <w:b/>
      <w:bCs/>
      <w:sz w:val="26"/>
      <w:szCs w:val="26"/>
    </w:rPr>
  </w:style>
  <w:style w:type="character" w:styleId="797" w:customStyle="1">
    <w:name w:val="Heading 5 Char"/>
    <w:basedOn w:val="740"/>
    <w:link w:val="735"/>
    <w:uiPriority w:val="9"/>
    <w:qFormat/>
    <w:rPr>
      <w:rFonts w:ascii="Arial" w:hAnsi="Arial" w:eastAsia="Arial" w:cs="Arial"/>
      <w:b/>
      <w:bCs/>
      <w:sz w:val="24"/>
      <w:szCs w:val="24"/>
    </w:rPr>
  </w:style>
  <w:style w:type="character" w:styleId="798" w:customStyle="1">
    <w:name w:val="Heading 6 Char"/>
    <w:basedOn w:val="740"/>
    <w:link w:val="736"/>
    <w:uiPriority w:val="9"/>
    <w:qFormat/>
    <w:rPr>
      <w:rFonts w:ascii="Arial" w:hAnsi="Arial" w:eastAsia="Arial" w:cs="Arial"/>
      <w:b/>
      <w:bCs/>
      <w:sz w:val="22"/>
      <w:szCs w:val="22"/>
    </w:rPr>
  </w:style>
  <w:style w:type="character" w:styleId="799" w:customStyle="1">
    <w:name w:val="Heading 7 Char"/>
    <w:basedOn w:val="740"/>
    <w:link w:val="737"/>
    <w:uiPriority w:val="9"/>
    <w:qFormat/>
    <w:rPr>
      <w:rFonts w:ascii="Arial" w:hAnsi="Arial" w:eastAsia="Arial" w:cs="Arial"/>
      <w:b/>
      <w:bCs/>
      <w:i/>
      <w:iCs/>
      <w:sz w:val="22"/>
      <w:szCs w:val="22"/>
    </w:rPr>
  </w:style>
  <w:style w:type="character" w:styleId="800" w:customStyle="1">
    <w:name w:val="Heading 8 Char"/>
    <w:basedOn w:val="740"/>
    <w:link w:val="738"/>
    <w:uiPriority w:val="9"/>
    <w:qFormat/>
    <w:rPr>
      <w:rFonts w:ascii="Arial" w:hAnsi="Arial" w:eastAsia="Arial" w:cs="Arial"/>
      <w:i/>
      <w:iCs/>
      <w:sz w:val="22"/>
      <w:szCs w:val="22"/>
    </w:rPr>
  </w:style>
  <w:style w:type="character" w:styleId="801" w:customStyle="1">
    <w:name w:val="Heading 9 Char"/>
    <w:basedOn w:val="740"/>
    <w:link w:val="739"/>
    <w:uiPriority w:val="9"/>
    <w:qFormat/>
    <w:rPr>
      <w:rFonts w:ascii="Arial" w:hAnsi="Arial" w:eastAsia="Arial" w:cs="Arial"/>
      <w:i/>
      <w:iCs/>
      <w:sz w:val="21"/>
      <w:szCs w:val="21"/>
    </w:rPr>
  </w:style>
  <w:style w:type="character" w:styleId="802" w:customStyle="1">
    <w:name w:val="Title Char"/>
    <w:basedOn w:val="740"/>
    <w:link w:val="769"/>
    <w:uiPriority w:val="10"/>
    <w:qFormat/>
    <w:rPr>
      <w:sz w:val="48"/>
      <w:szCs w:val="48"/>
    </w:rPr>
  </w:style>
  <w:style w:type="character" w:styleId="803" w:customStyle="1">
    <w:name w:val="Subtitle Char"/>
    <w:basedOn w:val="740"/>
    <w:link w:val="762"/>
    <w:uiPriority w:val="11"/>
    <w:qFormat/>
    <w:rPr>
      <w:sz w:val="24"/>
      <w:szCs w:val="24"/>
    </w:rPr>
  </w:style>
  <w:style w:type="character" w:styleId="804" w:customStyle="1">
    <w:name w:val="Quote Char"/>
    <w:link w:val="783"/>
    <w:uiPriority w:val="29"/>
    <w:qFormat/>
    <w:rPr>
      <w:i/>
    </w:rPr>
  </w:style>
  <w:style w:type="character" w:styleId="805" w:customStyle="1">
    <w:name w:val="Intense Quote Char"/>
    <w:link w:val="784"/>
    <w:uiPriority w:val="30"/>
    <w:qFormat/>
    <w:rPr>
      <w:i/>
    </w:rPr>
  </w:style>
  <w:style w:type="character" w:styleId="806" w:customStyle="1">
    <w:name w:val="Header Char"/>
    <w:basedOn w:val="740"/>
    <w:uiPriority w:val="99"/>
    <w:qFormat/>
  </w:style>
  <w:style w:type="character" w:styleId="807" w:customStyle="1">
    <w:name w:val="Footer Char"/>
    <w:basedOn w:val="740"/>
    <w:uiPriority w:val="99"/>
    <w:qFormat/>
  </w:style>
  <w:style w:type="character" w:styleId="808" w:customStyle="1">
    <w:name w:val="Caption Char"/>
    <w:uiPriority w:val="99"/>
    <w:qFormat/>
  </w:style>
  <w:style w:type="character" w:styleId="809" w:customStyle="1">
    <w:name w:val="Footnote Text Char"/>
    <w:link w:val="763"/>
    <w:uiPriority w:val="99"/>
    <w:qFormat/>
    <w:rPr>
      <w:sz w:val="18"/>
    </w:rPr>
  </w:style>
  <w:style w:type="character" w:styleId="810" w:customStyle="1">
    <w:name w:val="Endnote Text Char"/>
    <w:link w:val="756"/>
    <w:uiPriority w:val="99"/>
    <w:qFormat/>
    <w:rPr>
      <w:sz w:val="20"/>
    </w:rPr>
  </w:style>
  <w:style w:type="character" w:styleId="811" w:customStyle="1">
    <w:name w:val="页眉 Char"/>
    <w:basedOn w:val="740"/>
    <w:link w:val="759"/>
    <w:uiPriority w:val="0"/>
    <w:qFormat/>
    <w:rPr>
      <w:sz w:val="18"/>
      <w:szCs w:val="18"/>
    </w:rPr>
  </w:style>
  <w:style w:type="character" w:styleId="812" w:customStyle="1">
    <w:name w:val="页脚 Char"/>
    <w:basedOn w:val="740"/>
    <w:link w:val="758"/>
    <w:uiPriority w:val="0"/>
    <w:qFormat/>
    <w:rPr>
      <w:sz w:val="18"/>
      <w:szCs w:val="18"/>
    </w:rPr>
  </w:style>
  <w:style w:type="character" w:styleId="813" w:customStyle="1">
    <w:name w:val="标题 1 Char"/>
    <w:basedOn w:val="740"/>
    <w:link w:val="731"/>
    <w:uiPriority w:val="0"/>
    <w:qFormat/>
    <w:rPr>
      <w:b/>
      <w:bCs/>
      <w:sz w:val="44"/>
      <w:szCs w:val="44"/>
    </w:rPr>
  </w:style>
  <w:style w:type="character" w:styleId="814" w:customStyle="1">
    <w:name w:val="文档结构图 Char"/>
    <w:basedOn w:val="740"/>
    <w:link w:val="745"/>
    <w:uiPriority w:val="0"/>
    <w:qFormat/>
    <w:rPr>
      <w:rFonts w:ascii="宋体" w:eastAsia="宋体"/>
      <w:sz w:val="18"/>
      <w:szCs w:val="18"/>
    </w:rPr>
  </w:style>
  <w:style w:type="character" w:styleId="815" w:customStyle="1">
    <w:name w:val="标题 2 Char"/>
    <w:basedOn w:val="740"/>
    <w:link w:val="732"/>
    <w:uiPriority w:val="9"/>
    <w:qFormat/>
    <w:rPr>
      <w:rFonts w:ascii="Cambria" w:hAnsi="Cambria" w:eastAsia="Arial" w:cs="Arial"/>
      <w:b/>
      <w:bCs/>
      <w:sz w:val="32"/>
      <w:szCs w:val="32"/>
    </w:rPr>
  </w:style>
  <w:style w:type="character" w:styleId="816" w:customStyle="1">
    <w:name w:val="标题 3 Char"/>
    <w:basedOn w:val="740"/>
    <w:link w:val="733"/>
    <w:uiPriority w:val="9"/>
    <w:qFormat/>
    <w:rPr>
      <w:b/>
      <w:bCs/>
      <w:sz w:val="32"/>
      <w:szCs w:val="32"/>
    </w:rPr>
  </w:style>
  <w:style w:type="character" w:styleId="817" w:customStyle="1">
    <w:name w:val="日期 Char"/>
    <w:basedOn w:val="740"/>
    <w:link w:val="755"/>
    <w:uiPriority w:val="99"/>
    <w:semiHidden/>
    <w:qFormat/>
  </w:style>
  <w:style w:type="character" w:styleId="818" w:customStyle="1">
    <w:name w:val="批注文字 Char"/>
    <w:basedOn w:val="740"/>
    <w:link w:val="747"/>
    <w:uiPriority w:val="0"/>
    <w:qFormat/>
    <w:rPr>
      <w:rFonts w:ascii="Times New Roman" w:hAnsi="Times New Roman" w:eastAsia="宋体" w:cs="Times New Roman"/>
      <w:szCs w:val="24"/>
    </w:rPr>
  </w:style>
  <w:style w:type="character" w:styleId="819" w:customStyle="1">
    <w:name w:val="批注框文本 Char"/>
    <w:basedOn w:val="740"/>
    <w:link w:val="757"/>
    <w:uiPriority w:val="0"/>
    <w:qFormat/>
    <w:rPr>
      <w:sz w:val="18"/>
      <w:szCs w:val="18"/>
    </w:rPr>
  </w:style>
  <w:style w:type="character" w:styleId="820" w:customStyle="1">
    <w:name w:val="Default Char"/>
    <w:link w:val="786"/>
    <w:uiPriority w:val="99"/>
    <w:qFormat/>
    <w:rPr>
      <w:rFonts w:ascii="MS Mincho" w:hAnsi="Calibri" w:eastAsia="宋体" w:cs="Times New Roman"/>
      <w:color w:val="000000"/>
      <w:szCs w:val="24"/>
    </w:rPr>
  </w:style>
  <w:style w:type="character" w:styleId="821" w:customStyle="1">
    <w:name w:val="纯文本 Char"/>
    <w:basedOn w:val="740"/>
    <w:link w:val="753"/>
    <w:uiPriority w:val="0"/>
    <w:qFormat/>
    <w:rPr>
      <w:rFonts w:ascii="宋体" w:hAnsi="Courier New" w:eastAsia="宋体" w:cs="Times New Roman"/>
      <w:szCs w:val="20"/>
    </w:rPr>
  </w:style>
  <w:style w:type="character" w:styleId="822" w:customStyle="1">
    <w:name w:val="正文文本 Char"/>
    <w:basedOn w:val="740"/>
    <w:link w:val="748"/>
    <w:uiPriority w:val="0"/>
    <w:semiHidden/>
    <w:qFormat/>
    <w:rPr>
      <w:rFonts w:ascii="Arial" w:hAnsi="Arial" w:eastAsia="Arial" w:cs="Arial"/>
      <w:szCs w:val="21"/>
      <w:lang w:eastAsia="en-US"/>
    </w:rPr>
  </w:style>
  <w:style w:type="character" w:styleId="823" w:customStyle="1">
    <w:name w:val="font81"/>
    <w:basedOn w:val="740"/>
    <w:uiPriority w:val="0"/>
    <w:qFormat/>
    <w:rPr>
      <w:rFonts w:hint="eastAsia" w:ascii="宋体" w:hAnsi="宋体" w:eastAsia="宋体" w:cs="宋体"/>
      <w:color w:val="000000"/>
      <w:sz w:val="20"/>
      <w:szCs w:val="20"/>
      <w:u w:val="none"/>
    </w:rPr>
  </w:style>
  <w:style w:type="character" w:styleId="824" w:customStyle="1">
    <w:name w:val="font71"/>
    <w:basedOn w:val="740"/>
    <w:uiPriority w:val="0"/>
    <w:qFormat/>
    <w:rPr>
      <w:rFonts w:hint="default" w:ascii="方正仿宋_GBK" w:hAnsi="方正仿宋_GBK" w:eastAsia="方正仿宋_GBK" w:cs="方正仿宋_GBK"/>
      <w:color w:val="000000"/>
      <w:sz w:val="20"/>
      <w:szCs w:val="20"/>
      <w:u w:val="none"/>
    </w:rPr>
  </w:style>
  <w:style w:type="character" w:styleId="825" w:customStyle="1">
    <w:name w:val="font91"/>
    <w:basedOn w:val="740"/>
    <w:uiPriority w:val="0"/>
    <w:qFormat/>
    <w:rPr>
      <w:rFonts w:hint="eastAsia" w:ascii="宋体" w:hAnsi="宋体" w:eastAsia="宋体" w:cs="宋体"/>
      <w:color w:val="000000"/>
      <w:sz w:val="20"/>
      <w:szCs w:val="20"/>
      <w:u w:val="none"/>
    </w:rPr>
  </w:style>
  <w:style w:type="character" w:styleId="826" w:customStyle="1">
    <w:name w:val="font31"/>
    <w:basedOn w:val="740"/>
    <w:uiPriority w:val="0"/>
    <w:qFormat/>
    <w:rPr>
      <w:rFonts w:hint="default" w:ascii="方正仿宋_GBK" w:hAnsi="方正仿宋_GBK" w:eastAsia="方正仿宋_GBK" w:cs="方正仿宋_GBK"/>
      <w:color w:val="000000"/>
      <w:sz w:val="20"/>
      <w:szCs w:val="20"/>
      <w:u w:val="none"/>
    </w:rPr>
  </w:style>
  <w:style w:type="character" w:styleId="827" w:customStyle="1">
    <w:name w:val="font51"/>
    <w:basedOn w:val="740"/>
    <w:uiPriority w:val="0"/>
    <w:qFormat/>
    <w:rPr>
      <w:rFonts w:hint="default" w:ascii="方正仿宋_GBK" w:hAnsi="方正仿宋_GBK" w:eastAsia="方正仿宋_GBK" w:cs="方正仿宋_GBK"/>
      <w:color w:val="000000"/>
      <w:sz w:val="21"/>
      <w:szCs w:val="21"/>
      <w:u w:val="none"/>
    </w:rPr>
  </w:style>
  <w:style w:type="character" w:styleId="828" w:customStyle="1">
    <w:name w:val="font61"/>
    <w:basedOn w:val="740"/>
    <w:uiPriority w:val="0"/>
    <w:qFormat/>
    <w:rPr>
      <w:rFonts w:hint="default" w:ascii="方正仿宋_GBK" w:hAnsi="方正仿宋_GBK" w:eastAsia="方正仿宋_GBK" w:cs="方正仿宋_GBK"/>
      <w:color w:val="000000"/>
      <w:sz w:val="24"/>
      <w:szCs w:val="24"/>
      <w:u w:val="none"/>
    </w:rPr>
  </w:style>
  <w:style w:type="table" w:styleId="829" w:customStyle="1">
    <w:name w:val="Table Grid Light"/>
    <w:basedOn w:val="74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0" w:customStyle="1">
    <w:name w:val="Plain Table 1"/>
    <w:basedOn w:val="74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4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4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4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4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1 Light"/>
    <w:basedOn w:val="74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6" w:customStyle="1">
    <w:name w:val="Grid Table 1 Light - Accent 1"/>
    <w:basedOn w:val="74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7" w:customStyle="1">
    <w:name w:val="Grid Table 1 Light - Accent 2"/>
    <w:basedOn w:val="74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8" w:customStyle="1">
    <w:name w:val="Grid Table 1 Light - Accent 3"/>
    <w:basedOn w:val="74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9" w:customStyle="1">
    <w:name w:val="Grid Table 1 Light - Accent 4"/>
    <w:basedOn w:val="74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0" w:customStyle="1">
    <w:name w:val="Grid Table 1 Light - Accent 5"/>
    <w:basedOn w:val="74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1" w:customStyle="1">
    <w:name w:val="Grid Table 1 Light - Accent 6"/>
    <w:basedOn w:val="74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2" w:customStyle="1">
    <w:name w:val="Grid Table 2"/>
    <w:basedOn w:val="74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2 - Accent 1"/>
    <w:basedOn w:val="74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2 - Accent 2"/>
    <w:basedOn w:val="74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2 - Accent 3"/>
    <w:basedOn w:val="74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2 - Accent 4"/>
    <w:basedOn w:val="74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2 - Accent 5"/>
    <w:basedOn w:val="74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2 - Accent 6"/>
    <w:basedOn w:val="74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3"/>
    <w:basedOn w:val="74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3 - Accent 1"/>
    <w:basedOn w:val="74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3 - Accent 2"/>
    <w:basedOn w:val="74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3 - Accent 3"/>
    <w:basedOn w:val="74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3 - Accent 4"/>
    <w:basedOn w:val="74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3 - Accent 5"/>
    <w:basedOn w:val="74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3 - Accent 6"/>
    <w:basedOn w:val="74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4"/>
    <w:basedOn w:val="74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4 - Accent 1"/>
    <w:basedOn w:val="74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4 - Accent 2"/>
    <w:basedOn w:val="74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4 - Accent 3"/>
    <w:basedOn w:val="74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4 - Accent 4"/>
    <w:basedOn w:val="74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4 - Accent 5"/>
    <w:basedOn w:val="74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4 - Accent 6"/>
    <w:basedOn w:val="74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5 Dark"/>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5 Dark- Accent 1"/>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5 Dark - Accent 2"/>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5 Dark - Accent 3"/>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5 Dark- Accent 4"/>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5 Dark - Accent 5"/>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5 Dark - Accent 6"/>
    <w:basedOn w:val="74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6 Colorful"/>
    <w:basedOn w:val="74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71" w:customStyle="1">
    <w:name w:val="Grid Table 6 Colorful - Accent 1"/>
    <w:basedOn w:val="74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72" w:customStyle="1">
    <w:name w:val="Grid Table 6 Colorful - Accent 2"/>
    <w:basedOn w:val="74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73" w:customStyle="1">
    <w:name w:val="Grid Table 6 Colorful - Accent 3"/>
    <w:basedOn w:val="74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74" w:customStyle="1">
    <w:name w:val="Grid Table 6 Colorful - Accent 4"/>
    <w:basedOn w:val="74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75" w:customStyle="1">
    <w:name w:val="Grid Table 6 Colorful - Accent 5"/>
    <w:basedOn w:val="74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6" w:customStyle="1">
    <w:name w:val="Grid Table 6 Colorful - Accent 6"/>
    <w:basedOn w:val="74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7" w:customStyle="1">
    <w:name w:val="Grid Table 7 Colorful"/>
    <w:basedOn w:val="74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7 Colorful - Accent 1"/>
    <w:basedOn w:val="74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7 Colorful - Accent 2"/>
    <w:basedOn w:val="74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7 Colorful - Accent 3"/>
    <w:basedOn w:val="74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7 Colorful - Accent 4"/>
    <w:basedOn w:val="74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7 Colorful - Accent 5"/>
    <w:basedOn w:val="74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7 Colorful - Accent 6"/>
    <w:basedOn w:val="74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1 Light"/>
    <w:basedOn w:val="74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1 Light - Accent 1"/>
    <w:basedOn w:val="74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1 Light - Accent 2"/>
    <w:basedOn w:val="74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1 Light - Accent 3"/>
    <w:basedOn w:val="74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1 Light - Accent 4"/>
    <w:basedOn w:val="74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1 Light - Accent 5"/>
    <w:basedOn w:val="74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1 Light - Accent 6"/>
    <w:basedOn w:val="74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2"/>
    <w:basedOn w:val="74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2" w:customStyle="1">
    <w:name w:val="List Table 2 - Accent 1"/>
    <w:basedOn w:val="74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93" w:customStyle="1">
    <w:name w:val="List Table 2 - Accent 2"/>
    <w:basedOn w:val="74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94" w:customStyle="1">
    <w:name w:val="List Table 2 - Accent 3"/>
    <w:basedOn w:val="74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95" w:customStyle="1">
    <w:name w:val="List Table 2 - Accent 4"/>
    <w:basedOn w:val="74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96" w:customStyle="1">
    <w:name w:val="List Table 2 - Accent 5"/>
    <w:basedOn w:val="74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97" w:customStyle="1">
    <w:name w:val="List Table 2 - Accent 6"/>
    <w:basedOn w:val="74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98" w:customStyle="1">
    <w:name w:val="List Table 3"/>
    <w:basedOn w:val="74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9" w:customStyle="1">
    <w:name w:val="List Table 3 - Accent 1"/>
    <w:basedOn w:val="74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0" w:customStyle="1">
    <w:name w:val="List Table 3 - Accent 2"/>
    <w:basedOn w:val="74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1" w:customStyle="1">
    <w:name w:val="List Table 3 - Accent 3"/>
    <w:basedOn w:val="74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2" w:customStyle="1">
    <w:name w:val="List Table 3 - Accent 4"/>
    <w:basedOn w:val="74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3" w:customStyle="1">
    <w:name w:val="List Table 3 - Accent 5"/>
    <w:basedOn w:val="74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4" w:customStyle="1">
    <w:name w:val="List Table 3 - Accent 6"/>
    <w:basedOn w:val="74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5" w:customStyle="1">
    <w:name w:val="List Table 4"/>
    <w:basedOn w:val="74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6" w:customStyle="1">
    <w:name w:val="List Table 4 - Accent 1"/>
    <w:basedOn w:val="74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7" w:customStyle="1">
    <w:name w:val="List Table 4 - Accent 2"/>
    <w:basedOn w:val="74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8" w:customStyle="1">
    <w:name w:val="List Table 4 - Accent 3"/>
    <w:basedOn w:val="74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9" w:customStyle="1">
    <w:name w:val="List Table 4 - Accent 4"/>
    <w:basedOn w:val="74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0" w:customStyle="1">
    <w:name w:val="List Table 4 - Accent 5"/>
    <w:basedOn w:val="74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1" w:customStyle="1">
    <w:name w:val="List Table 4 - Accent 6"/>
    <w:basedOn w:val="74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2" w:customStyle="1">
    <w:name w:val="List Table 5 Dark"/>
    <w:basedOn w:val="74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13" w:customStyle="1">
    <w:name w:val="List Table 5 Dark - Accent 1"/>
    <w:basedOn w:val="74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14" w:customStyle="1">
    <w:name w:val="List Table 5 Dark - Accent 2"/>
    <w:basedOn w:val="74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15" w:customStyle="1">
    <w:name w:val="List Table 5 Dark - Accent 3"/>
    <w:basedOn w:val="74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16" w:customStyle="1">
    <w:name w:val="List Table 5 Dark - Accent 4"/>
    <w:basedOn w:val="74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17" w:customStyle="1">
    <w:name w:val="List Table 5 Dark - Accent 5"/>
    <w:basedOn w:val="74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18" w:customStyle="1">
    <w:name w:val="List Table 5 Dark - Accent 6"/>
    <w:basedOn w:val="74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19" w:customStyle="1">
    <w:name w:val="List Table 6 Colorful"/>
    <w:basedOn w:val="74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6 Colorful - Accent 1"/>
    <w:basedOn w:val="74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6 Colorful - Accent 2"/>
    <w:basedOn w:val="74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6 Colorful - Accent 3"/>
    <w:basedOn w:val="74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List Table 6 Colorful - Accent 4"/>
    <w:basedOn w:val="74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6 Colorful - Accent 5"/>
    <w:basedOn w:val="74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6 Colorful - Accent 6"/>
    <w:basedOn w:val="74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7 Colorful"/>
    <w:basedOn w:val="741"/>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7 Colorful - Accent 1"/>
    <w:basedOn w:val="74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7 Colorful - Accent 2"/>
    <w:basedOn w:val="741"/>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3"/>
    <w:basedOn w:val="741"/>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7 Colorful - Accent 4"/>
    <w:basedOn w:val="741"/>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5"/>
    <w:basedOn w:val="741"/>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7 Colorful - Accent 6"/>
    <w:basedOn w:val="741"/>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4"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5"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6"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7"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8"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9"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0" w:customStyle="1">
    <w:name w:val="Bordered &amp; Lined - Accent"/>
    <w:basedOn w:val="74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1" w:customStyle="1">
    <w:name w:val="Bordered &amp; Lined - Accent 1"/>
    <w:basedOn w:val="74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2" w:customStyle="1">
    <w:name w:val="Bordered &amp; Lined - Accent 2"/>
    <w:basedOn w:val="74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3" w:customStyle="1">
    <w:name w:val="Bordered &amp; Lined - Accent 3"/>
    <w:basedOn w:val="74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4" w:customStyle="1">
    <w:name w:val="Bordered &amp; Lined - Accent 4"/>
    <w:basedOn w:val="74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5" w:customStyle="1">
    <w:name w:val="Bordered &amp; Lined - Accent 5"/>
    <w:basedOn w:val="74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6" w:customStyle="1">
    <w:name w:val="Bordered &amp; Lined - Accent 6"/>
    <w:basedOn w:val="74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7" w:customStyle="1">
    <w:name w:val="Bordered"/>
    <w:basedOn w:val="74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Bordered - Accent 1"/>
    <w:basedOn w:val="74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Bordered - Accent 2"/>
    <w:basedOn w:val="74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Bordered - Accent 3"/>
    <w:basedOn w:val="74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4"/>
    <w:basedOn w:val="74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Bordered - Accent 5"/>
    <w:basedOn w:val="74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Bordered - Accent 6"/>
    <w:basedOn w:val="74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paragraph" w:styleId="955" w:customStyle="1">
    <w:name w:val="列出段落1"/>
    <w:basedOn w:val="730"/>
    <w:uiPriority w:val="0"/>
    <w:qFormat/>
    <w:pPr>
      <w:ind w:firstLine="420"/>
    </w:pPr>
    <w:rPr>
      <w:szCs w:val="21"/>
    </w:rPr>
  </w:style>
  <w:style w:type="paragraph" w:styleId="956" w:customStyle="1">
    <w:name w:val="列出段落"/>
    <w:basedOn w:val="730"/>
    <w:uiPriority w:val="34"/>
    <w:qFormat/>
    <w:pPr>
      <w:ind w:firstLine="200"/>
    </w:pPr>
    <w:rPr>
      <w:rFonts w:ascii="Times New Roman" w:hAnsi="Times New Roman" w:eastAsia="宋体" w:cs="Times New Roman"/>
      <w:szCs w:val="24"/>
    </w:rPr>
  </w:style>
  <w:style w:type="paragraph" w:styleId="957" w:customStyle="1">
    <w:name w:val="批注文字1"/>
    <w:basedOn w:val="730"/>
    <w:uiPriority w:val="0"/>
    <w:qFormat/>
    <w:pPr>
      <w:ind w:firstLine="200"/>
      <w:jc w:val="left"/>
      <w:spacing w:line="360" w:lineRule="auto"/>
    </w:pPr>
    <w:rPr>
      <w:rFonts w:ascii="Times New Roman" w:hAnsi="Times New Roman" w:eastAsia="宋体" w:cs="Times New Roman"/>
      <w:szCs w:val="24"/>
    </w:rPr>
  </w:style>
  <w:style w:type="paragraph" w:styleId="958" w:customStyle="1">
    <w:name w:val="普通(网站)1"/>
    <w:basedOn w:val="730"/>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959" w:customStyle="1">
    <w:name w:val="段落正文"/>
    <w:basedOn w:val="730"/>
    <w:uiPriority w:val="0"/>
    <w:qFormat/>
  </w:style>
  <w:style w:type="paragraph" w:styleId="960" w:customStyle="1">
    <w:name w:val="图表标题"/>
    <w:basedOn w:val="730"/>
    <w:uiPriority w:val="0"/>
    <w:qFormat/>
    <w:pPr>
      <w:ind w:firstLine="0"/>
      <w:jc w:val="center"/>
    </w:pPr>
  </w:style>
  <w:style w:type="paragraph" w:styleId="961" w:customStyle="1">
    <w:name w:val="左"/>
    <w:basedOn w:val="960"/>
    <w:uiPriority w:val="0"/>
    <w:qFormat/>
    <w:pPr>
      <w:jc w:val="left"/>
    </w:pPr>
  </w:style>
  <w:style w:type="paragraph" w:styleId="962" w:customStyle="1">
    <w:name w:val="表内文字"/>
    <w:basedOn w:val="730"/>
    <w:uiPriority w:val="0"/>
    <w:qFormat/>
    <w:pPr>
      <w:ind w:firstLine="0"/>
      <w:spacing w:before="30" w:after="30" w:line="240" w:lineRule="auto"/>
    </w:pPr>
    <w:rPr>
      <w:rFonts w:ascii="宋体" w:hAnsi="宋体"/>
      <w:sz w:val="24"/>
      <w:szCs w:val="20"/>
    </w:rPr>
  </w:style>
  <w:style w:type="character" w:styleId="963" w:customStyle="1">
    <w:name w:val="样式 仿宋"/>
    <w:uiPriority w:val="0"/>
    <w:qFormat/>
    <w:rPr>
      <w:rFonts w:ascii="仿宋" w:hAnsi="仿宋" w:eastAsia="仿宋"/>
    </w:rPr>
  </w:style>
  <w:style w:type="paragraph" w:styleId="964" w:customStyle="1">
    <w:name w:val="一级条标题"/>
    <w:basedOn w:val="965"/>
    <w:next w:val="966"/>
    <w:uiPriority w:val="0"/>
    <w:qFormat/>
    <w:pPr>
      <w:ind w:left="420"/>
      <w:spacing w:line="240" w:lineRule="auto"/>
      <w:outlineLvl w:val="2"/>
    </w:pPr>
  </w:style>
  <w:style w:type="paragraph" w:styleId="965" w:customStyle="1">
    <w:name w:val="章标题"/>
    <w:next w:val="730"/>
    <w:uiPriority w:val="0"/>
    <w:qFormat/>
    <w:pPr>
      <w:jc w:val="both"/>
      <w:spacing w:line="360" w:lineRule="auto"/>
      <w:outlineLvl w:val="1"/>
    </w:pPr>
    <w:rPr>
      <w:rFonts w:ascii="黑体" w:hAnsi="Times New Roman" w:eastAsia="黑体" w:cs="Times New Roman"/>
      <w:sz w:val="21"/>
      <w:szCs w:val="22"/>
      <w:lang w:val="en-US" w:eastAsia="zh-CN" w:bidi="ar-SA"/>
    </w:rPr>
  </w:style>
  <w:style w:type="paragraph" w:styleId="966" w:customStyle="1">
    <w:name w:val="段"/>
    <w:next w:val="730"/>
    <w:uiPriority w:val="0"/>
    <w:qFormat/>
    <w:pPr>
      <w:ind w:firstLine="200"/>
      <w:jc w:val="both"/>
    </w:pPr>
    <w:rPr>
      <w:rFonts w:ascii="宋体" w:hAnsi="Times New Roman" w:eastAsia="宋体" w:cs="Times New Roman"/>
      <w:sz w:val="21"/>
      <w:szCs w:val="22"/>
      <w:lang w:val="en-US" w:eastAsia="zh-CN" w:bidi="ar-SA"/>
    </w:rPr>
  </w:style>
  <w:style w:type="paragraph" w:styleId="967" w:customStyle="1">
    <w:name w:val="首行缩进"/>
    <w:basedOn w:val="730"/>
    <w:uiPriority w:val="0"/>
    <w:qFormat/>
    <w:pPr>
      <w:ind w:firstLine="480"/>
    </w:pPr>
    <w:rPr>
      <w:lang w:val="zh-CN"/>
    </w:rPr>
  </w:style>
  <w:style w:type="paragraph" w:styleId="968" w:customStyle="1">
    <w:name w:val="Table Paragraph"/>
    <w:basedOn w:val="730"/>
    <w:uiPriority w:val="1"/>
    <w:qFormat/>
    <w:pPr>
      <w:jc w:val="left"/>
    </w:pPr>
    <w:rPr>
      <w:sz w:val="24"/>
    </w:rPr>
  </w:style>
  <w:style w:type="paragraph" w:styleId="96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70" w:customStyle="1">
    <w:name w:val="强调11"/>
    <w:link w:val="730"/>
    <w:uiPriority w:val="0"/>
    <w:qFormat/>
    <w:rPr>
      <w:rFonts w:hint="default" w:ascii="Calibri" w:hAnsi="Calibri" w:eastAsia="Arial" w:cs="Arial"/>
      <w:sz w:val="21"/>
      <w:szCs w:val="22"/>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497b0e60-122a-4e0c-9eae-f47ba1ed89e4</errorID>
      <errorWord>间</errorWord>
      <group>L1_Word</group>
      <groupName>字词问题</groupName>
      <ability>L2_Typo</ability>
      <abilityName>字词错误</abilityName>
      <candidateList>
        <item>间之</item>
      </candidateList>
      <explain/>
      <paraID>599D16D8</paraID>
      <start>10</start>
      <end>11</end>
      <status>unmodified</status>
      <modifiedWord/>
      <trackRevisions>false</trackRevisions>
    </reviewItem>
    <reviewItem>
      <errorID>9349d286-85c7-44d5-a9b9-d98c57bd3098</errorID>
      <errorWord>&lt;</errorWord>
      <group>L1_Format</group>
      <groupName>格式问题</groupName>
      <ability>L2_HalfPunc</ability>
      <abilityName>全半角检查</abilityName>
      <candidateList>
        <item>〈</item>
      </candidateList>
      <explain>文本全半角错误。</explain>
      <paraID>3BFBC21D</paraID>
      <start>49</start>
      <end>50</end>
      <status>unmodified</status>
      <modifiedWord/>
      <trackRevisions>false</trackRevisions>
    </reviewItem>
    <reviewItem>
      <errorID>ad691afe-6c9f-4141-8e08-8b5202952740</errorID>
      <errorWord>&lt;</errorWord>
      <group>L1_Format</group>
      <groupName>格式问题</groupName>
      <ability>L2_HalfPunc</ability>
      <abilityName>全半角检查</abilityName>
      <candidateList>
        <item>〈</item>
      </candidateList>
      <explain>文本全半角错误。</explain>
      <paraID>444243B7</paraID>
      <start>49</start>
      <end>50</end>
      <status>unmodified</status>
      <modifiedWord/>
      <trackRevisions>false</trackRevisions>
    </reviewItem>
    <reviewItem>
      <errorID>bc3641b6-319d-4ca2-9994-76f0f5a3f5dc</errorID>
      <errorWord>&lt;</errorWord>
      <group>L1_Format</group>
      <groupName>格式问题</groupName>
      <ability>L2_HalfPunc</ability>
      <abilityName>全半角检查</abilityName>
      <candidateList>
        <item>〈</item>
      </candidateList>
      <explain>文本全半角错误。</explain>
      <paraID>5253BD73</paraID>
      <start>34</start>
      <end>35</end>
      <status>unmodified</status>
      <modifiedWord/>
      <trackRevisions>false</trackRevisions>
    </reviewItem>
    <reviewItem>
      <errorID>d9372606-f541-4080-8fe7-42f8f76c20c9</errorID>
      <errorWord>，</errorWord>
      <group>L1_Word</group>
      <groupName>字词问题</groupName>
      <ability>L2_Typo</ability>
      <abilityName>字词错误</abilityName>
      <candidateList>
        <item>，并</item>
      </candidateList>
      <explain/>
      <paraID>3BC3AF80</paraID>
      <start>72</start>
      <end>73</end>
      <status>unmodified</status>
      <modifiedWord/>
      <trackRevisions>false</trackRevisions>
    </reviewItem>
    <reviewItem>
      <errorID>295060fc-9327-4fd9-b36b-55c5e37d4c93</errorID>
      <errorWord>国家发改委</errorWord>
      <group>L1_Knowledge</group>
      <groupName>知识性问题</groupName>
      <ability>L2_Knowledge</ability>
      <abilityName>其他知识</abilityName>
      <candidateList>
        <item>国家发展改革委</item>
      </candidateList>
      <explain/>
      <paraID>3584654A</paraID>
      <start>19</start>
      <end>24</end>
      <status>unmodified</status>
      <modifiedWord/>
      <trackRevisions>false</trackRevisions>
    </reviewItem>
    <reviewItem>
      <errorID>3b1d60c4-5059-4cb6-a8c9-874af047640a</errorID>
      <errorWord>&lt;</errorWord>
      <group>L1_Format</group>
      <groupName>格式问题</groupName>
      <ability>L2_HalfPunc</ability>
      <abilityName>全半角检查</abilityName>
      <candidateList>
        <item>〈</item>
      </candidateList>
      <explain>文本全半角错误。</explain>
      <paraID>79AE86D1</paraID>
      <start>15</start>
      <end>16</end>
      <status>unmodified</status>
      <modifiedWord/>
      <trackRevisions>false</trackRevisions>
    </reviewItem>
    <reviewItem>
      <errorID>0a28590c-81a8-46c7-8f3b-042f6404ead9</errorID>
      <errorWord>&gt;的通知》</errorWord>
      <group>L1_Punc</group>
      <groupName>标点问题</groupName>
      <ability>L2_Punc</ability>
      <abilityName>标点符号检查</abilityName>
      <candidateList>
        <item>〉的通知》</item>
      </candidateList>
      <explain/>
      <paraID>79AE86D1</paraID>
      <start>32</start>
      <end>37</end>
      <status>unmodified</status>
      <modifiedWord/>
      <trackRevisions>false</trackRevisions>
    </reviewItem>
    <reviewItem>
      <errorID>359fcf5b-fdc2-4bdc-a069-769c610ba268</errorID>
      <errorWord>&lt;</errorWord>
      <group>L1_Format</group>
      <groupName>格式问题</groupName>
      <ability>L2_HalfPunc</ability>
      <abilityName>全半角检查</abilityName>
      <candidateList>
        <item>〈</item>
      </candidateList>
      <explain>文本全半角错误。</explain>
      <paraID>46659D0A</paraID>
      <start>35</start>
      <end>36</end>
      <status>unmodified</status>
      <modifiedWord/>
      <trackRevisions>false</trackRevisions>
    </reviewItem>
    <reviewItem>
      <errorID>d8091f34-22c2-42a7-9488-0b21878028ab</errorID>
      <errorWord>&gt;的通知》</errorWord>
      <group>L1_Punc</group>
      <groupName>标点问题</groupName>
      <ability>L2_Punc</ability>
      <abilityName>标点符号检查</abilityName>
      <candidateList>
        <item>〉的通知》</item>
      </candidateList>
      <explain/>
      <paraID>46659D0A</paraID>
      <start>54</start>
      <end>59</end>
      <status>unmodified</status>
      <modifiedWord/>
      <trackRevisions>false</trackRevisions>
    </reviewItem>
    <reviewItem>
      <errorID>d0ed5a77-a3a4-414f-ae2f-541210884ad9</errorID>
      <errorWord>》</errorWord>
      <group>L1_Word</group>
      <groupName>字词问题</groupName>
      <ability>L2_Typo</ability>
      <abilityName>字词错误</abilityName>
      <candidateList>
        <item>》等</item>
      </candidateList>
      <explain/>
      <paraID>60DB9EB6</paraID>
      <start>41</start>
      <end>42</end>
      <status>unmodified</status>
      <modifiedWord/>
      <trackRevisions>false</trackRevisions>
    </reviewItem>
    <reviewItem>
      <errorID>9f9db0f8-1e22-4da8-8abe-6fc10b076afa</errorID>
      <errorWord>大宗商品储备基地</errorWord>
      <group>L1_Political</group>
      <groupName>政治性问题</groupName>
      <ability>L2_Keyword</ability>
      <abilityName>固定表述</abilityName>
      <candidateList>
        <item>大宗商品储运基地</item>
      </candidateList>
      <explain>词汇“大宗商品储运基地”在特定场景下为固定表述形式，请确认此处的“大宗商品储备基地”是否存在不当。</explain>
      <paraID>366AB5C8</paraID>
      <start>133</start>
      <end>141</end>
      <status>unmodified</status>
      <modifiedWord/>
      <trackRevisions>false</trackRevisions>
    </reviewItem>
    <reviewItem>
      <errorID>bc910d6f-a51b-4d4a-88c2-c3707ebf126e</errorID>
      <errorWord>大宗商品储备基地</errorWord>
      <group>L1_Political</group>
      <groupName>政治性问题</groupName>
      <ability>L2_Keyword</ability>
      <abilityName>固定表述</abilityName>
      <candidateList>
        <item>大宗商品储运基地</item>
      </candidateList>
      <explain>词汇“大宗商品储运基地”在特定场景下为固定表述形式，请确认此处的“大宗商品储备基地”是否存在不当。</explain>
      <paraID>366AB5C8</paraID>
      <start>169</start>
      <end>177</end>
      <status>unmodified</status>
      <modifiedWord/>
      <trackRevisions>false</trackRevisions>
    </reviewItem>
    <reviewItem>
      <errorID>32d29a33-441f-46ad-bee0-c7e1666aa955</errorID>
      <errorWord>大宗商品储备基地</errorWord>
      <group>L1_Political</group>
      <groupName>政治性问题</groupName>
      <ability>L2_Keyword</ability>
      <abilityName>固定表述</abilityName>
      <candidateList>
        <item>大宗商品储运基地</item>
      </candidateList>
      <explain>词汇“大宗商品储运基地”在特定场景下为固定表述形式，请确认此处的“大宗商品储备基地”是否存在不当。</explain>
      <paraID>43A91B19</paraID>
      <start>36</start>
      <end>44</end>
      <status>unmodified</status>
      <modifiedWord/>
      <trackRevisions>false</trackRevisions>
    </reviewItem>
    <reviewItem>
      <errorID>04e7c8ed-0d08-44fa-b715-a6aea5389bfc</errorID>
      <errorWord>点</errorWord>
      <group>L1_Word</group>
      <groupName>字词问题</groupName>
      <ability>L2_Typo</ability>
      <abilityName>字词错误</abilityName>
      <candidateList>
        <item>点和</item>
      </candidateList>
      <explain/>
      <paraID>237C35C2</paraID>
      <start>8</start>
      <end>9</end>
      <status>unmodified</status>
      <modifiedWord/>
      <trackRevisions>false</trackRevisions>
    </reviewItem>
    <reviewItem>
      <errorID>63651c3d-eac7-4554-bdfc-2a1a18a6c25f</errorID>
      <errorWord>基础实施</errorWord>
      <group>L1_Word</group>
      <groupName>字词问题</groupName>
      <ability>L2_Typo</ability>
      <abilityName>字词错误</abilityName>
      <candidateList>
        <item>基础设施</item>
      </candidateList>
      <explain/>
      <paraID>5713AB2F</paraID>
      <start>75</start>
      <end>79</end>
      <status>unmodified</status>
      <modifiedWord/>
      <trackRevisions>false</trackRevisions>
    </reviewItem>
    <reviewItem>
      <errorID>0fe4935e-2748-4984-bbff-452d2af18584</errorID>
      <errorWord>间</errorWord>
      <group>L1_Word</group>
      <groupName>字词问题</groupName>
      <ability>L2_Typo</ability>
      <abilityName>字词错误</abilityName>
      <candidateList>
        <item>间内</item>
      </candidateList>
      <explain/>
      <paraID>630F7779</paraID>
      <start>47</start>
      <end>48</end>
      <status>unmodified</status>
      <modifiedWord/>
      <trackRevisions>false</trackRevisions>
    </reviewItem>
    <reviewItem>
      <errorID>9807fcf0-3e86-48df-a32a-2f3c96b20d51</errorID>
      <errorWord>，</errorWord>
      <group>L1_Word</group>
      <groupName>字词问题</groupName>
      <ability>L2_Typo</ability>
      <abilityName>字词错误</abilityName>
      <candidateList>
        <item>，由</item>
      </candidateList>
      <explain/>
      <paraID>3CD80E29</paraID>
      <start>39</start>
      <end>40</end>
      <status>unmodified</status>
      <modifiedWord/>
      <trackRevisions>false</trackRevisions>
    </reviewItem>
    <reviewItem>
      <errorID>e2fee539-6405-4d74-8e52-8a8fe91f1409</errorID>
      <errorWord>，</errorWord>
      <group>L1_Word</group>
      <groupName>字词问题</groupName>
      <ability>L2_Typo</ability>
      <abilityName>字词错误</abilityName>
      <candidateList>
        <item>，由</item>
      </candidateList>
      <explain/>
      <paraID>2C63F8B6</paraID>
      <start>39</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6594A13-B481-4EE8-A77B-653E21E5E2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徐琨</cp:lastModifiedBy>
  <cp:revision>3</cp:revision>
  <dcterms:created xsi:type="dcterms:W3CDTF">2024-01-04T03:50:00Z</dcterms:created>
  <dcterms:modified xsi:type="dcterms:W3CDTF">2026-05-26T06:48:06Z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eyJoZGlkIjoiYTI5NDEwNjAxMjhhNmFjNGQ1NGQ1ZDVlOWRhY2FmNzgiLCJ1c2VySWQiOiI5MTE1ODIzODMifQ==</vt:lpwstr>
  </property>
  <property fmtid="{D5CDD505-2E9C-101B-9397-08002B2CF9AE}" pid="3" name="KSOProductBuildVer">
    <vt:lpwstr>2052-12.1.0.25865</vt:lpwstr>
  </property>
  <property fmtid="{D5CDD505-2E9C-101B-9397-08002B2CF9AE}" pid="4" name="ICV">
    <vt:lpwstr>BB70BE73E1EC48BC90593A03D7CFF936_13</vt:lpwstr>
  </property>
</Properties>
</file>