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rPr>
          <w:rFonts w:hint="eastAsia"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JSZC-320583-KSZJ-T2026-0015</w:t>
      </w:r>
      <w:r>
        <w:rPr>
          <w:rFonts w:ascii="宋体" w:hAnsi="宋体"/>
          <w:sz w:val="28"/>
          <w:szCs w:val="28"/>
        </w:rPr>
        <w:t xml:space="preserve">号</w:t>
      </w:r>
      <w:r>
        <w:rPr>
          <w:rFonts w:hint="eastAsia" w:ascii="宋体" w:hAnsi="宋体"/>
          <w:sz w:val="28"/>
          <w:szCs w:val="28"/>
        </w:rPr>
      </w:r>
      <w:r/>
    </w:p>
    <w:p>
      <w:pPr>
        <w:pStyle w:val="898"/>
        <w:spacing w:line="360" w:lineRule="auto"/>
        <w:rPr>
          <w:rFonts w:hint="eastAsia" w:ascii="宋体" w:hAnsi="宋体"/>
          <w:sz w:val="36"/>
        </w:rPr>
      </w:pPr>
      <w:r>
        <w:rPr>
          <w:rFonts w:hint="eastAsia" w:ascii="宋体" w:hAnsi="宋体"/>
          <w:sz w:val="36"/>
        </w:rPr>
        <w:t xml:space="preserve"> </w:t>
      </w:r>
      <w:r/>
    </w:p>
    <w:p>
      <w:pPr>
        <w:pStyle w:val="898"/>
        <w:spacing w:line="360" w:lineRule="auto"/>
        <w:rPr>
          <w:rFonts w:hint="eastAsia" w:ascii="宋体" w:hAnsi="宋体"/>
        </w:rPr>
      </w:pPr>
      <w:r>
        <w:rPr>
          <w:rFonts w:hint="eastAsia" w:ascii="宋体" w:hAnsi="宋体"/>
        </w:rPr>
        <w:t xml:space="preserve"> </w:t>
      </w:r>
      <w:r/>
    </w:p>
    <w:p>
      <w:pPr>
        <w:pStyle w:val="898"/>
        <w:jc w:val="center"/>
        <w:spacing w:line="360" w:lineRule="auto"/>
        <w:rPr>
          <w:rFonts w:hint="eastAsia" w:ascii="宋体" w:hAnsi="宋体"/>
          <w:sz w:val="32"/>
          <w:szCs w:val="32"/>
        </w:rPr>
      </w:pPr>
      <w:r>
        <w:rPr>
          <w:rFonts w:hint="eastAsia" w:ascii="宋体" w:hAnsi="宋体"/>
          <w:sz w:val="32"/>
          <w:szCs w:val="32"/>
        </w:rPr>
        <w:t xml:space="preserve">昆山市政府采购竞争性谈判文件</w:t>
      </w:r>
      <w:r/>
    </w:p>
    <w:p>
      <w:pPr>
        <w:pStyle w:val="898"/>
        <w:jc w:val="center"/>
        <w:spacing w:line="360" w:lineRule="auto"/>
        <w:rPr>
          <w:rFonts w:hint="eastAsia" w:ascii="宋体" w:hAnsi="宋体"/>
          <w:sz w:val="32"/>
          <w:szCs w:val="32"/>
        </w:rPr>
      </w:pPr>
      <w:r>
        <w:rPr>
          <w:rFonts w:hint="eastAsia" w:ascii="宋体" w:hAnsi="宋体"/>
          <w:sz w:val="32"/>
          <w:szCs w:val="32"/>
        </w:rPr>
      </w:r>
      <w:r/>
    </w:p>
    <w:p>
      <w:pPr>
        <w:pStyle w:val="898"/>
        <w:jc w:val="center"/>
        <w:spacing w:line="360" w:lineRule="auto"/>
        <w:rPr>
          <w:rFonts w:hint="eastAsia" w:ascii="宋体" w:hAnsi="宋体"/>
          <w:sz w:val="32"/>
          <w:szCs w:val="32"/>
        </w:rPr>
      </w:pPr>
      <w:r>
        <w:rPr>
          <w:rFonts w:hint="eastAsia" w:ascii="宋体" w:hAnsi="宋体"/>
          <w:sz w:val="32"/>
          <w:szCs w:val="32"/>
        </w:rPr>
      </w:r>
      <w:r/>
    </w:p>
    <w:p>
      <w:pPr>
        <w:pStyle w:val="898"/>
        <w:spacing w:line="360" w:lineRule="auto"/>
        <w:rPr>
          <w:rFonts w:hint="eastAsia" w:ascii="宋体" w:hAnsi="宋体"/>
          <w:sz w:val="32"/>
          <w:szCs w:val="32"/>
        </w:rPr>
      </w:pPr>
      <w:r>
        <w:rPr>
          <w:rFonts w:hint="eastAsia" w:ascii="宋体" w:hAnsi="宋体"/>
          <w:sz w:val="32"/>
          <w:szCs w:val="32"/>
        </w:rPr>
      </w:r>
      <w:r/>
    </w:p>
    <w:p>
      <w:pPr>
        <w:pStyle w:val="898"/>
        <w:jc w:val="center"/>
        <w:spacing w:line="360" w:lineRule="auto"/>
        <w:rPr>
          <w:rFonts w:hint="eastAsia" w:ascii="宋体" w:hAnsi="宋体"/>
          <w:sz w:val="32"/>
          <w:szCs w:val="32"/>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3" o:title=""/>
              </v:shape>
            </w:pict>
          </mc:Fallback>
        </mc:AlternateContent>
      </w:r>
      <w:r>
        <w:rPr>
          <w:rFonts w:hint="eastAsia" w:ascii="宋体" w:hAnsi="宋体"/>
          <w:sz w:val="32"/>
          <w:szCs w:val="32"/>
        </w:rPr>
      </w:r>
      <w:r/>
    </w:p>
    <w:p>
      <w:pPr>
        <w:pStyle w:val="898"/>
        <w:jc w:val="center"/>
        <w:spacing w:line="360" w:lineRule="auto"/>
        <w:rPr>
          <w:rFonts w:hint="eastAsia" w:ascii="宋体" w:hAnsi="宋体"/>
          <w:sz w:val="44"/>
          <w:szCs w:val="44"/>
        </w:rPr>
      </w:pPr>
      <w:r>
        <w:rPr>
          <w:rFonts w:hint="eastAsia" w:ascii="宋体" w:hAnsi="宋体"/>
          <w:sz w:val="44"/>
          <w:szCs w:val="44"/>
        </w:rPr>
      </w:r>
      <w:r/>
    </w:p>
    <w:p>
      <w:pPr>
        <w:pStyle w:val="898"/>
        <w:jc w:val="center"/>
        <w:spacing w:line="360" w:lineRule="auto"/>
        <w:rPr>
          <w:rFonts w:hint="eastAsia" w:ascii="宋体" w:hAnsi="宋体"/>
          <w:sz w:val="44"/>
          <w:szCs w:val="44"/>
        </w:rPr>
      </w:pPr>
      <w:r>
        <w:rPr>
          <w:rFonts w:hint="eastAsia" w:ascii="宋体" w:hAnsi="宋体"/>
          <w:sz w:val="44"/>
          <w:szCs w:val="44"/>
        </w:rPr>
      </w:r>
      <w:r/>
    </w:p>
    <w:p>
      <w:pPr>
        <w:pStyle w:val="898"/>
        <w:jc w:val="center"/>
        <w:spacing w:line="360" w:lineRule="auto"/>
        <w:rPr>
          <w:rFonts w:hint="eastAsia" w:ascii="宋体" w:hAnsi="宋体"/>
          <w:sz w:val="44"/>
          <w:szCs w:val="44"/>
        </w:rPr>
      </w:pPr>
      <w:r>
        <w:rPr>
          <w:rFonts w:hint="eastAsia" w:ascii="宋体" w:hAnsi="宋体"/>
          <w:sz w:val="44"/>
          <w:szCs w:val="44"/>
        </w:rPr>
      </w:r>
      <w:r/>
    </w:p>
    <w:p>
      <w:pPr>
        <w:pStyle w:val="898"/>
        <w:jc w:val="center"/>
        <w:spacing w:line="360" w:lineRule="auto"/>
        <w:rPr>
          <w:rFonts w:hint="eastAsia" w:ascii="宋体" w:hAnsi="宋体"/>
          <w:sz w:val="28"/>
        </w:rPr>
      </w:pPr>
      <w:r>
        <w:rPr>
          <w:rFonts w:hint="eastAsia" w:ascii="宋体" w:hAnsi="宋体"/>
          <w:sz w:val="28"/>
        </w:rPr>
        <w:t xml:space="preserve">项目名称：</w:t>
      </w:r>
      <w:r>
        <w:rPr>
          <w:rFonts w:hint="eastAsia" w:ascii="宋体" w:hAnsi="宋体"/>
          <w:sz w:val="28"/>
        </w:rPr>
        <w:t xml:space="preserve">昆山市中医医院医疗责任险合作项目</w:t>
      </w:r>
      <w:r>
        <w:rPr>
          <w:rFonts w:hint="eastAsia" w:ascii="宋体" w:hAnsi="宋体"/>
          <w:sz w:val="28"/>
        </w:rPr>
      </w:r>
      <w:r/>
    </w:p>
    <w:p>
      <w:pPr>
        <w:pStyle w:val="898"/>
        <w:jc w:val="center"/>
        <w:spacing w:line="360" w:lineRule="auto"/>
        <w:rPr>
          <w:rFonts w:hint="eastAsia" w:ascii="宋体" w:hAnsi="宋体"/>
          <w:sz w:val="28"/>
        </w:rPr>
      </w:pPr>
      <w:r>
        <w:rPr>
          <w:rFonts w:hint="eastAsia" w:ascii="宋体" w:hAnsi="宋体"/>
          <w:sz w:val="28"/>
        </w:rPr>
        <w:t xml:space="preserve">采购单位：昆山市中医医院</w:t>
      </w:r>
      <w:r/>
    </w:p>
    <w:p>
      <w:pPr>
        <w:pStyle w:val="898"/>
        <w:spacing w:line="360" w:lineRule="auto"/>
        <w:rPr>
          <w:rFonts w:hint="eastAsia" w:ascii="宋体" w:hAnsi="宋体"/>
          <w:sz w:val="28"/>
        </w:rPr>
      </w:pPr>
      <w:r>
        <w:rPr>
          <w:rFonts w:hint="eastAsia" w:ascii="宋体" w:hAnsi="宋体"/>
          <w:sz w:val="28"/>
        </w:rPr>
      </w:r>
      <w:r/>
    </w:p>
    <w:p>
      <w:pPr>
        <w:pStyle w:val="898"/>
        <w:spacing w:line="360" w:lineRule="auto"/>
        <w:rPr>
          <w:rFonts w:hint="eastAsia" w:ascii="宋体" w:hAnsi="宋体"/>
          <w:sz w:val="28"/>
        </w:rPr>
      </w:pPr>
      <w:r>
        <w:rPr>
          <w:rFonts w:hint="eastAsia" w:ascii="宋体" w:hAnsi="宋体"/>
          <w:sz w:val="28"/>
        </w:rPr>
      </w:r>
      <w:r/>
    </w:p>
    <w:p>
      <w:pPr>
        <w:pStyle w:val="898"/>
        <w:ind w:firstLine="280"/>
        <w:jc w:val="center"/>
        <w:rPr>
          <w:rFonts w:hint="eastAsia" w:ascii="宋体" w:hAnsi="宋体"/>
          <w:sz w:val="28"/>
        </w:rPr>
      </w:pPr>
      <w:r>
        <w:rPr>
          <w:rFonts w:ascii="宋体" w:hAnsi="宋体"/>
          <w:sz w:val="28"/>
        </w:rPr>
        <w:t xml:space="preserve">昆山新忠健项目管理有限公司</w:t>
      </w:r>
      <w:r>
        <w:rPr>
          <w:rFonts w:hint="eastAsia" w:ascii="宋体" w:hAnsi="宋体"/>
          <w:sz w:val="28"/>
        </w:rPr>
      </w:r>
      <w:r/>
    </w:p>
    <w:p>
      <w:pPr>
        <w:pStyle w:val="898"/>
        <w:ind w:firstLine="280"/>
        <w:jc w:val="center"/>
        <w:rPr>
          <w:rFonts w:hint="eastAsia" w:ascii="宋体" w:hAnsi="宋体"/>
          <w:sz w:val="28"/>
        </w:rPr>
      </w:pPr>
      <w:r>
        <w:rPr>
          <w:rFonts w:ascii="宋体" w:hAnsi="宋体"/>
          <w:sz w:val="28"/>
        </w:rPr>
        <w:t xml:space="preserve">二</w:t>
      </w:r>
      <w:r>
        <w:rPr>
          <w:rFonts w:hint="eastAsia" w:ascii="宋体" w:hAnsi="宋体"/>
          <w:sz w:val="28"/>
        </w:rPr>
        <w:t xml:space="preserve">○</w:t>
      </w:r>
      <w:r>
        <w:rPr>
          <w:rFonts w:ascii="宋体" w:hAnsi="宋体"/>
          <w:sz w:val="28"/>
        </w:rPr>
        <w:t xml:space="preserve">二</w:t>
      </w:r>
      <w:r>
        <w:rPr>
          <w:rFonts w:hint="eastAsia" w:ascii="宋体" w:hAnsi="宋体"/>
          <w:sz w:val="28"/>
        </w:rPr>
        <w:t xml:space="preserve">六</w:t>
      </w:r>
      <w:r>
        <w:rPr>
          <w:rFonts w:hint="eastAsia" w:ascii="宋体" w:hAnsi="宋体"/>
          <w:sz w:val="28"/>
        </w:rPr>
        <w:t xml:space="preserve">年</w:t>
      </w:r>
      <w:r/>
    </w:p>
    <w:p>
      <w:pPr>
        <w:pStyle w:val="898"/>
        <w:jc w:val="center"/>
        <w:spacing w:line="360" w:lineRule="auto"/>
        <w:rPr>
          <w:rFonts w:hint="eastAsia" w:ascii="宋体" w:hAnsi="宋体"/>
          <w:b/>
          <w:sz w:val="36"/>
        </w:rPr>
      </w:pPr>
      <w:r>
        <w:rPr>
          <w:rFonts w:hint="eastAsia" w:ascii="宋体" w:hAnsi="宋体"/>
          <w:b/>
          <w:sz w:val="36"/>
        </w:rPr>
      </w:r>
      <w:r/>
    </w:p>
    <w:p>
      <w:pPr>
        <w:pStyle w:val="898"/>
        <w:jc w:val="center"/>
        <w:spacing w:line="360" w:lineRule="auto"/>
        <w:rPr>
          <w:rFonts w:ascii="宋体" w:hAnsi="宋体"/>
          <w:b/>
          <w:sz w:val="36"/>
        </w:rPr>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36"/>
        </w:rPr>
      </w:r>
      <w:r/>
    </w:p>
    <w:p>
      <w:pPr>
        <w:pStyle w:val="898"/>
        <w:jc w:val="center"/>
        <w:spacing w:line="360" w:lineRule="auto"/>
        <w:rPr>
          <w:rFonts w:hint="eastAsia" w:ascii="宋体" w:hAnsi="宋体"/>
          <w:b/>
          <w:sz w:val="48"/>
        </w:rPr>
      </w:pPr>
      <w:r>
        <w:rPr>
          <w:rFonts w:hint="eastAsia" w:ascii="宋体" w:hAnsi="宋体"/>
          <w:b/>
          <w:sz w:val="48"/>
        </w:rPr>
        <w:t xml:space="preserve">目   录</w:t>
      </w:r>
      <w:r/>
    </w:p>
    <w:p>
      <w:pPr>
        <w:pStyle w:val="955"/>
        <w:spacing w:line="480" w:lineRule="auto"/>
        <w:tabs>
          <w:tab w:val="left" w:pos="1438" w:leader="none"/>
        </w:tabs>
        <w:rPr>
          <w:rFonts w:ascii="宋体" w:hAnsi="宋体" w:eastAsia="宋体"/>
          <w:b w:val="0"/>
          <w:caps w:val="0"/>
          <w:spacing w:val="0"/>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"1-3" \h \z \u </w:instrText>
      </w:r>
      <w:r>
        <w:rPr>
          <w:rFonts w:ascii="宋体" w:hAnsi="宋体" w:eastAsia="宋体"/>
          <w:b w:val="0"/>
          <w:sz w:val="24"/>
          <w:szCs w:val="24"/>
        </w:rPr>
        <w:fldChar w:fldCharType="separate"/>
      </w: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"_Toc161591365"</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第一章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竞争性谈判邀请函</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_Toc161591365 \h </w:instrText>
      </w:r>
      <w:r>
        <w:rPr>
          <w:rFonts w:ascii="宋体" w:hAnsi="宋体" w:eastAsia="宋体"/>
          <w:b w:val="0"/>
          <w:sz w:val="24"/>
          <w:szCs w:val="24"/>
        </w:rPr>
        <w:fldChar w:fldCharType="separate"/>
      </w:r>
      <w:r>
        <w:rPr>
          <w:rFonts w:ascii="宋体" w:hAnsi="宋体" w:eastAsia="宋体"/>
          <w:b w:val="0"/>
          <w:sz w:val="24"/>
          <w:szCs w:val="24"/>
        </w:rPr>
        <w:t xml:space="preserve">3</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"_Toc161591366"</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第二章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响应人须知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_Toc161591366 \h </w:instrText>
      </w:r>
      <w:r>
        <w:rPr>
          <w:rFonts w:ascii="宋体" w:hAnsi="宋体" w:eastAsia="宋体"/>
          <w:b w:val="0"/>
          <w:sz w:val="24"/>
          <w:szCs w:val="24"/>
        </w:rPr>
        <w:fldChar w:fldCharType="separate"/>
      </w:r>
      <w:r>
        <w:rPr>
          <w:rFonts w:ascii="宋体" w:hAnsi="宋体" w:eastAsia="宋体"/>
          <w:b w:val="0"/>
          <w:sz w:val="24"/>
          <w:szCs w:val="24"/>
        </w:rPr>
        <w:t xml:space="preserve">6</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"_Toc161591367"</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第三章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谈判内容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_Toc161591367 \h </w:instrText>
      </w:r>
      <w:r>
        <w:rPr>
          <w:rFonts w:ascii="宋体" w:hAnsi="宋体" w:eastAsia="宋体"/>
          <w:b w:val="0"/>
          <w:sz w:val="24"/>
          <w:szCs w:val="24"/>
        </w:rPr>
        <w:fldChar w:fldCharType="separate"/>
      </w:r>
      <w:r>
        <w:rPr>
          <w:rFonts w:ascii="宋体" w:hAnsi="宋体" w:eastAsia="宋体"/>
          <w:b w:val="0"/>
          <w:sz w:val="24"/>
          <w:szCs w:val="24"/>
        </w:rPr>
        <w:t xml:space="preserve">18</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"_Toc161591374"</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第四章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合同主要内容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_Toc161591374 \h </w:instrText>
      </w:r>
      <w:r>
        <w:rPr>
          <w:rFonts w:ascii="宋体" w:hAnsi="宋体" w:eastAsia="宋体"/>
          <w:b w:val="0"/>
          <w:sz w:val="24"/>
          <w:szCs w:val="24"/>
        </w:rPr>
        <w:fldChar w:fldCharType="separate"/>
      </w:r>
      <w:r>
        <w:rPr>
          <w:rFonts w:ascii="宋体" w:hAnsi="宋体" w:eastAsia="宋体"/>
          <w:b w:val="0"/>
          <w:sz w:val="24"/>
          <w:szCs w:val="24"/>
        </w:rPr>
        <w:t xml:space="preserve">20</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"_Toc161591375"</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第五章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评标办法</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_Toc161591375 \h </w:instrText>
      </w:r>
      <w:r>
        <w:rPr>
          <w:rFonts w:ascii="宋体" w:hAnsi="宋体" w:eastAsia="宋体"/>
          <w:b w:val="0"/>
          <w:sz w:val="24"/>
          <w:szCs w:val="24"/>
        </w:rPr>
        <w:fldChar w:fldCharType="separate"/>
      </w:r>
      <w:r>
        <w:rPr>
          <w:rFonts w:ascii="宋体" w:hAnsi="宋体" w:eastAsia="宋体"/>
          <w:b w:val="0"/>
          <w:sz w:val="24"/>
          <w:szCs w:val="24"/>
        </w:rPr>
        <w:t xml:space="preserve">24</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955"/>
        <w:spacing w:line="480" w:lineRule="auto"/>
        <w:tabs>
          <w:tab w:val="left" w:pos="1438" w:leader="none"/>
        </w:tabs>
        <w:rPr>
          <w:rFonts w:ascii="宋体" w:hAnsi="宋体" w:eastAsia="宋体"/>
          <w:b w:val="0"/>
          <w:caps w:val="0"/>
          <w:spacing w:val="0"/>
          <w:sz w:val="24"/>
          <w:szCs w:val="24"/>
        </w:rPr>
      </w:pPr>
      <w:r>
        <w:rPr>
          <w:rStyle w:val="979"/>
          <w:rFonts w:ascii="宋体" w:hAnsi="宋体" w:eastAsia="宋体"/>
          <w:b/>
          <w:color w:val="000000"/>
          <w:sz w:val="24"/>
          <w:szCs w:val="24"/>
        </w:rPr>
        <w:fldChar w:fldCharType="begin"/>
      </w:r>
      <w:r>
        <w:rPr>
          <w:rStyle w:val="979"/>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"_Toc161591376"</w:instrText>
      </w:r>
      <w:r>
        <w:rPr>
          <w:rStyle w:val="979"/>
          <w:rFonts w:ascii="宋体" w:hAnsi="宋体" w:eastAsia="宋体"/>
          <w:b/>
          <w:color w:val="000000"/>
          <w:sz w:val="24"/>
          <w:szCs w:val="24"/>
        </w:rPr>
        <w:instrText xml:space="preserve"> </w:instrText>
      </w:r>
      <w:r>
        <w:rPr>
          <w:rStyle w:val="979"/>
          <w:rFonts w:ascii="宋体" w:hAnsi="宋体" w:eastAsia="宋体"/>
          <w:b/>
          <w:color w:val="000000"/>
          <w:sz w:val="24"/>
          <w:szCs w:val="24"/>
        </w:rPr>
        <w:fldChar w:fldCharType="separate"/>
      </w:r>
      <w:r>
        <w:rPr>
          <w:rStyle w:val="979"/>
          <w:rFonts w:hint="eastAsia" w:ascii="宋体" w:hAnsi="宋体" w:eastAsia="宋体"/>
          <w:b/>
          <w:color w:val="000000"/>
          <w:sz w:val="24"/>
          <w:szCs w:val="24"/>
        </w:rPr>
        <w:t xml:space="preserve">第六章</w:t>
      </w:r>
      <w:r>
        <w:rPr>
          <w:rFonts w:ascii="宋体" w:hAnsi="宋体" w:eastAsia="宋体"/>
          <w:b w:val="0"/>
          <w:caps w:val="0"/>
          <w:spacing w:val="0"/>
          <w:sz w:val="24"/>
          <w:szCs w:val="24"/>
        </w:rPr>
        <w:tab/>
      </w:r>
      <w:r>
        <w:rPr>
          <w:rStyle w:val="979"/>
          <w:rFonts w:hint="eastAsia" w:ascii="宋体" w:hAnsi="宋体" w:eastAsia="宋体"/>
          <w:b/>
          <w:color w:val="000000"/>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_Toc161591376 \h </w:instrText>
      </w:r>
      <w:r>
        <w:rPr>
          <w:rFonts w:ascii="宋体" w:hAnsi="宋体" w:eastAsia="宋体"/>
          <w:b w:val="0"/>
          <w:sz w:val="24"/>
          <w:szCs w:val="24"/>
        </w:rPr>
        <w:fldChar w:fldCharType="separate"/>
      </w:r>
      <w:r>
        <w:rPr>
          <w:rFonts w:ascii="宋体" w:hAnsi="宋体" w:eastAsia="宋体"/>
          <w:b w:val="0"/>
          <w:sz w:val="24"/>
          <w:szCs w:val="24"/>
        </w:rPr>
        <w:t xml:space="preserve">27</w:t>
      </w:r>
      <w:r>
        <w:rPr>
          <w:rFonts w:ascii="宋体" w:hAnsi="宋体" w:eastAsia="宋体"/>
          <w:b w:val="0"/>
          <w:sz w:val="24"/>
          <w:szCs w:val="24"/>
        </w:rPr>
        <w:fldChar w:fldCharType="end"/>
      </w:r>
      <w:r>
        <w:rPr>
          <w:rStyle w:val="979"/>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898"/>
        <w:spacing w:line="480" w:lineRule="auto"/>
      </w:pPr>
      <w:r>
        <w:rPr>
          <w:rFonts w:ascii="宋体" w:hAnsi="宋体"/>
          <w:sz w:val="24"/>
          <w:szCs w:val="24"/>
        </w:rPr>
        <w:fldChar w:fldCharType="end"/>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8"/>
        <w:ind w:firstLine="480"/>
        <w:rPr>
          <w:rFonts w:hint="eastAsia" w:ascii="宋体" w:hAnsi="宋体"/>
          <w:b/>
          <w:sz w:val="24"/>
        </w:rPr>
      </w:pPr>
      <w:r>
        <w:rPr>
          <w:rFonts w:hint="eastAsia" w:ascii="宋体" w:hAnsi="宋体"/>
          <w:b/>
          <w:sz w:val="24"/>
        </w:rPr>
      </w:r>
      <w:r/>
    </w:p>
    <w:p>
      <w:pPr>
        <w:pStyle w:val="899"/>
        <w:numPr>
          <w:ilvl w:val="0"/>
          <w:numId w:val="9"/>
        </w:numPr>
        <w:spacing w:line="360" w:lineRule="auto"/>
        <w:tabs>
          <w:tab w:val="left" w:pos="405" w:leader="none"/>
          <w:tab w:val="left" w:pos="420" w:leader="none"/>
        </w:tabs>
        <w:rPr>
          <w:rFonts w:hint="eastAsia" w:ascii="宋体" w:hAnsi="宋体"/>
          <w:b/>
        </w:rPr>
      </w:pPr>
      <w:r/>
      <w:bookmarkStart w:id="0" w:name="_Toc161591365"/>
      <w:r>
        <w:rPr>
          <w:rFonts w:hint="eastAsia" w:ascii="宋体" w:hAnsi="宋体"/>
          <w:b/>
        </w:rPr>
        <w:t xml:space="preserve">竞争性谈判邀请函</w:t>
      </w:r>
      <w:bookmarkEnd w:id="0"/>
      <w:r>
        <w:rPr>
          <w:rFonts w:hint="eastAsia" w:ascii="宋体" w:hAnsi="宋体"/>
          <w:b/>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项目概况：</w:t>
      </w:r>
      <w:r>
        <w:rPr>
          <w:rFonts w:hint="eastAsia" w:ascii="宋体" w:hAnsi="宋体"/>
          <w:sz w:val="24"/>
          <w:szCs w:val="24"/>
        </w:rPr>
        <w:t xml:space="preserve">昆山市中医医院医疗责任险合作项目</w:t>
      </w:r>
      <w:r>
        <w:rPr>
          <w:rFonts w:hint="eastAsia" w:ascii="宋体" w:hAnsi="宋体"/>
          <w:sz w:val="24"/>
          <w:szCs w:val="24"/>
        </w:rPr>
        <w:t xml:space="preserve">的潜在供应商在苏采云系统自行下载谈判文件，并于</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6</w:t>
      </w:r>
      <w:r>
        <w:rPr>
          <w:rFonts w:hint="eastAsia" w:ascii="宋体" w:hAnsi="宋体"/>
          <w:sz w:val="24"/>
          <w:szCs w:val="24"/>
        </w:rPr>
        <w:t xml:space="preserve">月</w:t>
      </w:r>
      <w:r>
        <w:rPr>
          <w:rFonts w:hint="eastAsia" w:ascii="宋体" w:hAnsi="宋体"/>
          <w:sz w:val="24"/>
          <w:szCs w:val="24"/>
        </w:rPr>
        <w:t xml:space="preserve">12</w:t>
      </w:r>
      <w:r>
        <w:rPr>
          <w:rFonts w:hint="eastAsia" w:ascii="宋体" w:hAnsi="宋体"/>
          <w:sz w:val="24"/>
          <w:szCs w:val="24"/>
        </w:rPr>
        <w:t xml:space="preserve">日1</w:t>
      </w:r>
      <w:r>
        <w:rPr>
          <w:rFonts w:hint="eastAsia" w:ascii="宋体" w:hAnsi="宋体"/>
          <w:sz w:val="24"/>
          <w:szCs w:val="24"/>
        </w:rPr>
        <w:t xml:space="preserve">0</w:t>
      </w:r>
      <w:r>
        <w:rPr>
          <w:rFonts w:hint="eastAsia" w:ascii="宋体" w:hAnsi="宋体"/>
          <w:sz w:val="24"/>
          <w:szCs w:val="24"/>
        </w:rPr>
        <w:t xml:space="preserve">点30分（北京时间）前提交电子响应文件。</w:t>
      </w:r>
      <w:r/>
    </w:p>
    <w:p>
      <w:pPr>
        <w:pStyle w:val="898"/>
        <w:ind w:firstLine="482"/>
        <w:spacing w:line="360" w:lineRule="auto"/>
        <w:rPr>
          <w:rFonts w:ascii="宋体" w:hAnsi="宋体"/>
          <w:b/>
          <w:bCs/>
          <w:sz w:val="24"/>
          <w:szCs w:val="24"/>
        </w:rPr>
      </w:pPr>
      <w:r>
        <w:rPr>
          <w:rFonts w:hint="eastAsia" w:ascii="宋体" w:hAnsi="宋体"/>
          <w:b/>
          <w:bCs/>
          <w:sz w:val="24"/>
          <w:szCs w:val="24"/>
        </w:rPr>
        <w:t xml:space="preserve">一、项目基本情况</w:t>
      </w:r>
      <w:r>
        <w:rPr>
          <w:rFonts w:ascii="宋体" w:hAnsi="宋体"/>
          <w:b/>
          <w:bCs/>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项目编号：</w:t>
      </w:r>
      <w:r>
        <w:rPr>
          <w:rFonts w:ascii="宋体" w:hAnsi="宋体"/>
          <w:sz w:val="24"/>
          <w:szCs w:val="24"/>
        </w:rPr>
        <w:t xml:space="preserve">JSZC-320583-KSZJ-T2026-0015</w:t>
      </w:r>
      <w:r>
        <w:rPr>
          <w:rFonts w:hint="eastAsia" w:ascii="宋体" w:hAnsi="宋体"/>
          <w:sz w:val="24"/>
          <w:szCs w:val="24"/>
        </w:rPr>
        <w:t xml:space="preserve"> </w:t>
      </w:r>
      <w:r>
        <w:rPr>
          <w:rFonts w:hint="eastAsia" w:ascii="宋体" w:hAnsi="宋体"/>
          <w:sz w:val="24"/>
          <w:szCs w:val="24"/>
        </w:rPr>
        <w:t xml:space="preserve">；</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项目名称：</w:t>
      </w:r>
      <w:r>
        <w:rPr>
          <w:rFonts w:hint="eastAsia" w:ascii="宋体" w:hAnsi="宋体"/>
          <w:sz w:val="24"/>
          <w:szCs w:val="24"/>
        </w:rPr>
        <w:t xml:space="preserve">昆山市中医医院医疗责任险合作项目</w:t>
      </w:r>
      <w:r>
        <w:rPr>
          <w:rFonts w:hint="eastAsia" w:ascii="宋体" w:hAnsi="宋体"/>
          <w:sz w:val="24"/>
          <w:szCs w:val="24"/>
        </w:rPr>
        <w:t xml:space="preserve">；</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采购方式：竞争性谈判；</w:t>
      </w:r>
      <w:r>
        <w:rPr>
          <w:rFonts w:ascii="宋体" w:hAnsi="宋体"/>
          <w:sz w:val="24"/>
          <w:szCs w:val="24"/>
        </w:rPr>
      </w:r>
      <w:r/>
    </w:p>
    <w:p>
      <w:pPr>
        <w:pStyle w:val="898"/>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预算金额：人民币叁佰捌拾万</w:t>
      </w:r>
      <w:r>
        <w:rPr>
          <w:rFonts w:ascii="宋体" w:hAnsi="宋体"/>
          <w:sz w:val="24"/>
          <w:szCs w:val="24"/>
        </w:rPr>
        <w:t xml:space="preserve">元整</w:t>
      </w:r>
      <w:r>
        <w:rPr>
          <w:rFonts w:hint="eastAsia" w:ascii="宋体" w:hAnsi="宋体"/>
          <w:sz w:val="24"/>
          <w:szCs w:val="24"/>
        </w:rPr>
        <w:t xml:space="preserve">（RMB:3800000元）；</w:t>
      </w:r>
      <w:r/>
    </w:p>
    <w:p>
      <w:pPr>
        <w:pStyle w:val="898"/>
        <w:ind w:firstLine="480"/>
        <w:spacing w:line="360" w:lineRule="auto"/>
        <w:rPr>
          <w:rFonts w:hint="eastAsia" w:ascii="宋体" w:hAnsi="宋体"/>
          <w:sz w:val="24"/>
          <w:szCs w:val="24"/>
        </w:rPr>
      </w:pPr>
      <w:r>
        <w:rPr>
          <w:rFonts w:hint="eastAsia" w:ascii="宋体" w:hAnsi="宋体"/>
          <w:sz w:val="24"/>
          <w:szCs w:val="24"/>
        </w:rPr>
        <w:t xml:space="preserve">5.最高限价：人民币叁佰捌拾万</w:t>
      </w:r>
      <w:r>
        <w:rPr>
          <w:rFonts w:ascii="宋体" w:hAnsi="宋体"/>
          <w:sz w:val="24"/>
          <w:szCs w:val="24"/>
        </w:rPr>
        <w:t xml:space="preserve">元整</w:t>
      </w:r>
      <w:r>
        <w:rPr>
          <w:rFonts w:hint="eastAsia" w:ascii="宋体" w:hAnsi="宋体"/>
          <w:sz w:val="24"/>
          <w:szCs w:val="24"/>
        </w:rPr>
        <w:t xml:space="preserve">（RMB:3800000元）；</w:t>
      </w:r>
      <w:r/>
    </w:p>
    <w:p>
      <w:pPr>
        <w:pStyle w:val="898"/>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sz w:val="24"/>
          <w:szCs w:val="24"/>
        </w:rPr>
        <w:t xml:space="preserve">昆山市中医医院医疗责任险合作项目</w:t>
      </w:r>
      <w:r>
        <w:rPr>
          <w:rFonts w:hint="eastAsia" w:ascii="宋体" w:hAnsi="宋体"/>
          <w:sz w:val="24"/>
          <w:szCs w:val="24"/>
        </w:rPr>
        <w:t xml:space="preserve">，具体详见谈判文件；</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服务期：</w:t>
      </w:r>
      <w:r>
        <w:rPr>
          <w:rFonts w:hint="eastAsia" w:ascii="宋体" w:hAnsi="宋体"/>
          <w:b/>
          <w:sz w:val="24"/>
          <w:szCs w:val="24"/>
        </w:rPr>
        <w:t xml:space="preserve">2年（具体合同中明确）；</w:t>
      </w:r>
      <w:r>
        <w:rPr>
          <w:rFonts w:ascii="宋体" w:hAnsi="宋体"/>
          <w:sz w:val="24"/>
          <w:szCs w:val="24"/>
        </w:rPr>
      </w:r>
      <w:r/>
    </w:p>
    <w:p>
      <w:pPr>
        <w:pStyle w:val="898"/>
        <w:ind w:firstLine="482"/>
        <w:spacing w:line="360" w:lineRule="auto"/>
        <w:rPr>
          <w:rFonts w:ascii="宋体" w:hAnsi="宋体"/>
          <w:b/>
          <w:bCs/>
          <w:sz w:val="24"/>
          <w:szCs w:val="24"/>
        </w:rPr>
      </w:pPr>
      <w:r>
        <w:rPr>
          <w:rFonts w:hint="eastAsia" w:ascii="宋体" w:hAnsi="宋体"/>
          <w:b/>
          <w:bCs/>
          <w:sz w:val="24"/>
          <w:szCs w:val="24"/>
        </w:rPr>
        <w:t xml:space="preserve">二、申请人的资格要求</w:t>
      </w:r>
      <w:r>
        <w:rPr>
          <w:rFonts w:ascii="宋体" w:hAnsi="宋体"/>
          <w:b/>
          <w:bCs/>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（一）满足《中华人民共和国政府采购法》第二十二条规定。</w:t>
      </w:r>
      <w:r>
        <w:rPr>
          <w:rFonts w:ascii="宋体" w:hAnsi="宋体"/>
          <w:sz w:val="24"/>
          <w:szCs w:val="24"/>
        </w:rPr>
      </w:r>
      <w:r/>
    </w:p>
    <w:p>
      <w:pPr>
        <w:pStyle w:val="898"/>
        <w:ind w:firstLine="420"/>
        <w:spacing w:line="360" w:lineRule="auto"/>
        <w:rPr>
          <w:rFonts w:hint="eastAsia" w:ascii="宋体" w:hAnsi="宋体"/>
          <w:sz w:val="24"/>
          <w:szCs w:val="24"/>
        </w:rPr>
      </w:pPr>
      <w:r/>
      <w:bookmarkStart w:id="1" w:name="_Toc28359004"/>
      <w:r>
        <w:rPr>
          <w:rFonts w:hint="eastAsia" w:ascii="宋体" w:hAnsi="宋体"/>
          <w:sz w:val="24"/>
          <w:szCs w:val="24"/>
        </w:rPr>
        <w:t xml:space="preserve">（二）落实政府采购政策需满足的资格要求：无。</w:t>
      </w:r>
      <w:r/>
    </w:p>
    <w:p>
      <w:pPr>
        <w:pStyle w:val="898"/>
        <w:ind w:firstLine="420"/>
        <w:spacing w:line="360" w:lineRule="auto"/>
        <w:rPr>
          <w:rFonts w:hint="eastAsia" w:ascii="宋体" w:hAnsi="宋体"/>
          <w:sz w:val="24"/>
          <w:szCs w:val="24"/>
        </w:rPr>
      </w:pPr>
      <w:r>
        <w:rPr>
          <w:rFonts w:hint="eastAsia" w:ascii="宋体" w:hAnsi="宋体"/>
          <w:sz w:val="24"/>
          <w:szCs w:val="24"/>
        </w:rPr>
        <w:t xml:space="preserve">（三）本项目的特定资格要求</w:t>
      </w:r>
      <w:bookmarkEnd w:id="1"/>
      <w:r>
        <w:rPr>
          <w:rFonts w:hint="eastAsia" w:ascii="宋体" w:hAnsi="宋体"/>
          <w:sz w:val="24"/>
          <w:szCs w:val="24"/>
        </w:rPr>
        <w:t xml:space="preserve">：</w:t>
      </w:r>
      <w:r/>
    </w:p>
    <w:p>
      <w:pPr>
        <w:pStyle w:val="898"/>
        <w:ind w:firstLine="420"/>
        <w:spacing w:line="360" w:lineRule="auto"/>
        <w:rPr>
          <w:rFonts w:hint="eastAsia" w:ascii="宋体" w:hAnsi="宋体"/>
          <w:sz w:val="24"/>
          <w:szCs w:val="24"/>
        </w:rPr>
      </w:pPr>
      <w:r>
        <w:rPr>
          <w:rFonts w:hint="eastAsia" w:ascii="宋体" w:hAnsi="宋体"/>
          <w:sz w:val="24"/>
          <w:szCs w:val="24"/>
        </w:rPr>
        <w:t xml:space="preserve">1.未被“信用中国”网站（www.creditchina.gov.cn）列入失信被执行人、重大税收违法案件当事人名单、政府采购严重失信行为记录名单。</w:t>
      </w:r>
      <w:r/>
    </w:p>
    <w:p>
      <w:pPr>
        <w:pStyle w:val="898"/>
        <w:ind w:right="-433" w:firstLine="420"/>
        <w:spacing w:line="360" w:lineRule="auto"/>
        <w:rPr>
          <w:rFonts w:hint="eastAsia" w:ascii="宋体" w:hAnsi="宋体"/>
          <w:sz w:val="24"/>
          <w:szCs w:val="24"/>
        </w:rPr>
      </w:pPr>
      <w:r>
        <w:rPr>
          <w:rFonts w:hint="eastAsia" w:ascii="宋体" w:hAnsi="宋体"/>
          <w:sz w:val="24"/>
          <w:szCs w:val="24"/>
        </w:rPr>
        <w:t xml:space="preserve">2.投标人具有相关部门核发的《保险许可证》。</w:t>
      </w:r>
      <w:r/>
    </w:p>
    <w:p>
      <w:pPr>
        <w:pStyle w:val="898"/>
        <w:ind w:right="-433" w:firstLine="420"/>
        <w:spacing w:line="360" w:lineRule="auto"/>
        <w:rPr>
          <w:rFonts w:hint="eastAsia" w:ascii="宋体" w:hAnsi="宋体"/>
          <w:sz w:val="24"/>
          <w:szCs w:val="24"/>
        </w:rPr>
      </w:pPr>
      <w:r>
        <w:rPr>
          <w:rFonts w:hint="eastAsia" w:ascii="宋体" w:hAnsi="宋体"/>
          <w:sz w:val="24"/>
          <w:szCs w:val="24"/>
        </w:rPr>
        <w:t xml:space="preserve">3.本项目</w:t>
      </w:r>
      <w:r>
        <w:rPr>
          <w:rFonts w:hint="eastAsia" w:ascii="宋体" w:hAnsi="宋体"/>
          <w:sz w:val="24"/>
          <w:szCs w:val="24"/>
        </w:rPr>
        <w:t xml:space="preserve">属于保险采购项目，</w:t>
      </w:r>
      <w:r>
        <w:rPr>
          <w:rFonts w:hint="eastAsia" w:ascii="宋体" w:hAnsi="宋体"/>
          <w:sz w:val="24"/>
          <w:szCs w:val="24"/>
        </w:rPr>
        <w:t xml:space="preserve">接受法人分支机构</w:t>
      </w:r>
      <w:r>
        <w:rPr>
          <w:rFonts w:hint="eastAsia" w:ascii="宋体" w:hAnsi="宋体"/>
          <w:sz w:val="24"/>
          <w:szCs w:val="24"/>
        </w:rPr>
        <w:t xml:space="preserve">进行投标。</w:t>
      </w:r>
      <w:r>
        <w:rPr>
          <w:rFonts w:hint="eastAsia" w:ascii="宋体" w:hAnsi="宋体"/>
          <w:sz w:val="24"/>
          <w:szCs w:val="24"/>
        </w:rPr>
        <w:t xml:space="preserve">注：同一保险公司有两个及两个以上的下属分支机构同时参加本项目的，则其响应文件均按无效响应文件处理。</w:t>
      </w:r>
      <w:r/>
    </w:p>
    <w:p>
      <w:pPr>
        <w:pStyle w:val="898"/>
        <w:ind w:right="-315" w:firstLine="420"/>
        <w:spacing w:line="360" w:lineRule="auto"/>
        <w:rPr>
          <w:rFonts w:hint="eastAsia" w:ascii="宋体" w:hAnsi="宋体"/>
          <w:b/>
          <w:sz w:val="24"/>
          <w:szCs w:val="24"/>
        </w:rPr>
      </w:pPr>
      <w:r>
        <w:rPr>
          <w:rFonts w:hint="eastAsia" w:ascii="宋体" w:hAnsi="宋体"/>
          <w:b/>
          <w:sz w:val="24"/>
          <w:szCs w:val="24"/>
        </w:rPr>
        <w:t xml:space="preserve">（四）联合体及转包、分包：本项目不接受联合体，不得转包、分包本项目。</w:t>
      </w:r>
      <w:r/>
    </w:p>
    <w:p>
      <w:pPr>
        <w:pStyle w:val="898"/>
        <w:ind w:right="-315" w:firstLine="420"/>
        <w:spacing w:line="360" w:lineRule="auto"/>
        <w:rPr>
          <w:rFonts w:hint="eastAsia" w:ascii="宋体" w:hAnsi="宋体"/>
          <w:sz w:val="24"/>
          <w:szCs w:val="24"/>
        </w:rPr>
      </w:pPr>
      <w:r>
        <w:rPr>
          <w:rFonts w:hint="eastAsia" w:ascii="宋体" w:hAnsi="宋体"/>
          <w:sz w:val="24"/>
        </w:rPr>
        <w:t xml:space="preserve">三、获取谈判文件</w:t>
      </w:r>
      <w:r>
        <w:rPr>
          <w:rFonts w:hint="eastAsia" w:ascii="宋体" w:hAnsi="宋体"/>
          <w:sz w:val="24"/>
          <w:szCs w:val="24"/>
        </w:rPr>
      </w:r>
      <w:r/>
    </w:p>
    <w:p>
      <w:pPr>
        <w:pStyle w:val="898"/>
        <w:ind w:right="-433" w:firstLine="420"/>
        <w:spacing w:line="360" w:lineRule="auto"/>
        <w:rPr>
          <w:rFonts w:hint="eastAsia" w:ascii="宋体" w:hAnsi="宋体"/>
          <w:sz w:val="24"/>
          <w:szCs w:val="24"/>
        </w:rPr>
      </w:pPr>
      <w:r>
        <w:rPr>
          <w:rFonts w:hint="eastAsia" w:ascii="宋体" w:hAnsi="宋体"/>
          <w:sz w:val="24"/>
          <w:szCs w:val="24"/>
        </w:rPr>
        <w:t xml:space="preserve">1.获取时间，自</w:t>
      </w:r>
      <w:r>
        <w:rPr>
          <w:rFonts w:hint="eastAsia" w:ascii="宋体" w:hAnsi="宋体"/>
          <w:sz w:val="24"/>
          <w:szCs w:val="24"/>
          <w:lang w:eastAsia="en-US"/>
        </w:rPr>
        <w:t xml:space="preserve">公告发布</w:t>
      </w:r>
      <w:r>
        <w:rPr>
          <w:rFonts w:hint="eastAsia" w:ascii="宋体" w:hAnsi="宋体"/>
          <w:sz w:val="24"/>
          <w:szCs w:val="24"/>
        </w:rPr>
        <w:t xml:space="preserve">之日</w:t>
      </w:r>
      <w:r>
        <w:rPr>
          <w:rFonts w:hint="eastAsia" w:ascii="宋体" w:hAnsi="宋体"/>
          <w:sz w:val="24"/>
          <w:szCs w:val="24"/>
        </w:rPr>
        <w:t xml:space="preserve">5</w:t>
      </w:r>
      <w:r>
        <w:rPr>
          <w:rFonts w:hint="eastAsia" w:ascii="宋体" w:hAnsi="宋体"/>
          <w:sz w:val="24"/>
          <w:szCs w:val="24"/>
        </w:rPr>
        <w:t xml:space="preserve">个工作日。</w:t>
      </w:r>
      <w:r/>
    </w:p>
    <w:p>
      <w:pPr>
        <w:pStyle w:val="898"/>
        <w:ind w:right="-433" w:firstLine="420"/>
        <w:spacing w:line="360" w:lineRule="auto"/>
        <w:rPr>
          <w:rFonts w:hint="eastAsia" w:ascii="宋体" w:hAnsi="宋体"/>
          <w:sz w:val="24"/>
          <w:szCs w:val="24"/>
        </w:rPr>
      </w:pPr>
      <w:r>
        <w:rPr>
          <w:rFonts w:hint="eastAsia" w:ascii="宋体" w:hAnsi="宋体"/>
          <w:sz w:val="24"/>
          <w:szCs w:val="24"/>
        </w:rPr>
        <w:t xml:space="preserve">2.方式：在苏采云系统自行下载。</w:t>
      </w:r>
      <w:r/>
    </w:p>
    <w:p>
      <w:pPr>
        <w:pStyle w:val="898"/>
        <w:ind w:firstLine="420"/>
        <w:jc w:val="left"/>
        <w:spacing w:line="360" w:lineRule="auto"/>
        <w:rPr>
          <w:rFonts w:ascii="宋体" w:hAnsi="宋体"/>
          <w:sz w:val="24"/>
          <w:szCs w:val="24"/>
        </w:rPr>
      </w:pPr>
      <w:r>
        <w:rPr>
          <w:rFonts w:hint="eastAsia" w:ascii="宋体" w:hAnsi="宋体"/>
          <w:sz w:val="24"/>
          <w:szCs w:val="24"/>
        </w:rPr>
        <w:t xml:space="preserve">3.售价：免费</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四、提交响应文件截止时间、开标时间和地点</w:t>
      </w:r>
      <w:r/>
    </w:p>
    <w:p>
      <w:pPr>
        <w:pStyle w:val="898"/>
        <w:ind w:right="-433" w:firstLine="42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提交响应文件截止时间：</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6</w:t>
      </w:r>
      <w:r>
        <w:rPr>
          <w:rFonts w:hint="eastAsia" w:ascii="宋体" w:hAnsi="宋体"/>
          <w:sz w:val="24"/>
          <w:szCs w:val="24"/>
        </w:rPr>
        <w:t xml:space="preserve">月</w:t>
      </w:r>
      <w:r>
        <w:rPr>
          <w:rFonts w:hint="eastAsia" w:ascii="宋体" w:hAnsi="宋体"/>
          <w:sz w:val="24"/>
          <w:szCs w:val="24"/>
        </w:rPr>
        <w:t xml:space="preserve">12</w:t>
      </w:r>
      <w:r>
        <w:rPr>
          <w:rFonts w:hint="eastAsia" w:ascii="宋体" w:hAnsi="宋体"/>
          <w:sz w:val="24"/>
          <w:szCs w:val="24"/>
        </w:rPr>
        <w:t xml:space="preserve">日1</w:t>
      </w:r>
      <w:r>
        <w:rPr>
          <w:rFonts w:hint="eastAsia" w:ascii="宋体" w:hAnsi="宋体"/>
          <w:sz w:val="24"/>
          <w:szCs w:val="24"/>
        </w:rPr>
        <w:t xml:space="preserve">0</w:t>
      </w:r>
      <w:r>
        <w:rPr>
          <w:rFonts w:hint="eastAsia" w:ascii="宋体" w:hAnsi="宋体"/>
          <w:sz w:val="24"/>
          <w:szCs w:val="24"/>
        </w:rPr>
        <w:t xml:space="preserve">:30（北京时间）；</w:t>
      </w:r>
      <w:r>
        <w:rPr>
          <w:rFonts w:ascii="宋体" w:hAnsi="宋体"/>
          <w:sz w:val="24"/>
          <w:szCs w:val="24"/>
        </w:rPr>
      </w:r>
      <w:r/>
    </w:p>
    <w:p>
      <w:pPr>
        <w:pStyle w:val="898"/>
        <w:ind w:right="-433"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开标时间：</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6月12</w:t>
      </w:r>
      <w:r>
        <w:rPr>
          <w:rFonts w:hint="eastAsia" w:ascii="宋体" w:hAnsi="宋体"/>
          <w:sz w:val="24"/>
          <w:szCs w:val="24"/>
        </w:rPr>
        <w:t xml:space="preserve">日1</w:t>
      </w:r>
      <w:r>
        <w:rPr>
          <w:rFonts w:hint="eastAsia" w:ascii="宋体" w:hAnsi="宋体"/>
          <w:sz w:val="24"/>
          <w:szCs w:val="24"/>
        </w:rPr>
        <w:t xml:space="preserve">0</w:t>
      </w:r>
      <w:r>
        <w:rPr>
          <w:rFonts w:hint="eastAsia" w:ascii="宋体" w:hAnsi="宋体"/>
          <w:sz w:val="24"/>
          <w:szCs w:val="24"/>
        </w:rPr>
        <w:t xml:space="preserve">:30（北京时间）；</w:t>
      </w:r>
      <w:r>
        <w:rPr>
          <w:rFonts w:ascii="宋体" w:hAnsi="宋体"/>
          <w:sz w:val="24"/>
          <w:szCs w:val="24"/>
        </w:rPr>
      </w:r>
      <w:r/>
    </w:p>
    <w:p>
      <w:pPr>
        <w:pStyle w:val="898"/>
        <w:ind w:firstLine="42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开标地点：“苏采云”系统（网址：</w:t>
      </w:r>
      <w:r>
        <w:rPr>
          <w:rFonts w:ascii="宋体" w:hAnsi="宋体"/>
          <w:sz w:val="24"/>
          <w:szCs w:val="24"/>
        </w:rPr>
        <w:t xml:space="preserve">http://jszfcg.jsczt.cn/</w:t>
      </w:r>
      <w:r>
        <w:rPr>
          <w:rFonts w:hint="eastAsia" w:ascii="宋体" w:hAnsi="宋体"/>
          <w:sz w:val="24"/>
          <w:szCs w:val="24"/>
        </w:rPr>
        <w:t xml:space="preserve">）</w:t>
      </w:r>
      <w:r>
        <w:rPr>
          <w:rFonts w:ascii="宋体" w:hAnsi="宋体"/>
          <w:sz w:val="24"/>
          <w:szCs w:val="24"/>
        </w:rPr>
      </w:r>
      <w:r/>
    </w:p>
    <w:p>
      <w:pPr>
        <w:pStyle w:val="898"/>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rPr>
          <w:rFonts w:ascii="宋体" w:hAnsi="宋体"/>
          <w:sz w:val="24"/>
          <w:szCs w:val="24"/>
        </w:rPr>
      </w:r>
      <w:r/>
    </w:p>
    <w:p>
      <w:pPr>
        <w:pStyle w:val="898"/>
        <w:ind w:firstLine="420"/>
        <w:jc w:val="left"/>
        <w:spacing w:line="360" w:lineRule="auto"/>
        <w:rPr>
          <w:rFonts w:ascii="宋体" w:hAnsi="宋体"/>
          <w:b/>
          <w:sz w:val="24"/>
          <w:szCs w:val="24"/>
        </w:rPr>
      </w:pPr>
      <w:r>
        <w:rPr>
          <w:rFonts w:hint="eastAsia" w:ascii="宋体" w:hAnsi="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rPr>
          <w:rFonts w:ascii="宋体" w:hAnsi="宋体"/>
          <w:b/>
          <w:sz w:val="24"/>
          <w:szCs w:val="24"/>
        </w:rPr>
      </w:r>
      <w:r/>
    </w:p>
    <w:p>
      <w:pPr>
        <w:pStyle w:val="898"/>
        <w:ind w:firstLine="422"/>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rPr>
          <w:rFonts w:ascii="宋体" w:hAnsi="宋体"/>
          <w:sz w:val="24"/>
          <w:szCs w:val="24"/>
        </w:rPr>
      </w:r>
      <w:r/>
    </w:p>
    <w:p>
      <w:pPr>
        <w:pStyle w:val="898"/>
        <w:ind w:firstLine="420"/>
        <w:spacing w:line="360" w:lineRule="auto"/>
        <w:rPr>
          <w:rFonts w:hint="eastAsia" w:ascii="宋体" w:hAnsi="宋体"/>
          <w:bCs/>
          <w:sz w:val="24"/>
          <w:szCs w:val="24"/>
        </w:rPr>
      </w:pPr>
      <w:r>
        <w:rPr>
          <w:rFonts w:hint="eastAsia" w:ascii="宋体" w:hAnsi="宋体"/>
          <w:bCs/>
          <w:sz w:val="24"/>
          <w:szCs w:val="24"/>
        </w:rPr>
        <w:t xml:space="preserve">五、公告期限：自公告发布之日起3个工作日。</w:t>
      </w:r>
      <w:r/>
    </w:p>
    <w:p>
      <w:pPr>
        <w:pStyle w:val="898"/>
        <w:ind w:right="-315" w:firstLine="420"/>
        <w:spacing w:line="360" w:lineRule="auto"/>
        <w:rPr>
          <w:rFonts w:hint="eastAsia" w:ascii="宋体" w:hAnsi="宋体"/>
          <w:sz w:val="24"/>
          <w:szCs w:val="24"/>
        </w:rPr>
      </w:pPr>
      <w:r>
        <w:rPr>
          <w:rFonts w:hint="eastAsia" w:ascii="宋体" w:hAnsi="宋体"/>
          <w:sz w:val="24"/>
          <w:szCs w:val="24"/>
        </w:rPr>
        <w:t xml:space="preserve">六、成交单位需按以下计算标准支付中标服务费，以差额定率累进计算法收费（按预算金额100万元以下，收取1.5%；100-500万元，收取1.1%；500-1000万元，收取0.8%，1000-5000万元，收取0.5%）。</w:t>
      </w:r>
      <w:r/>
    </w:p>
    <w:p>
      <w:pPr>
        <w:pStyle w:val="898"/>
        <w:ind w:firstLine="420"/>
        <w:spacing w:line="360" w:lineRule="auto"/>
        <w:rPr>
          <w:rFonts w:hint="eastAsia" w:ascii="宋体" w:hAnsi="宋体"/>
          <w:bCs/>
          <w:sz w:val="24"/>
          <w:szCs w:val="24"/>
        </w:rPr>
      </w:pPr>
      <w:r>
        <w:rPr>
          <w:rFonts w:hint="eastAsia" w:ascii="宋体" w:hAnsi="宋体"/>
          <w:bCs/>
          <w:sz w:val="24"/>
          <w:szCs w:val="24"/>
        </w:rPr>
        <w:t xml:space="preserve">七、投标保证金：本项目不收取投标保证金。</w:t>
      </w:r>
      <w:r/>
    </w:p>
    <w:p>
      <w:pPr>
        <w:pStyle w:val="898"/>
        <w:ind w:firstLine="420"/>
        <w:spacing w:line="360" w:lineRule="auto"/>
        <w:rPr>
          <w:rFonts w:hint="eastAsia"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p>
    <w:p>
      <w:pPr>
        <w:pStyle w:val="898"/>
        <w:ind w:firstLine="420"/>
        <w:spacing w:line="360" w:lineRule="auto"/>
        <w:rPr>
          <w:rFonts w:hint="eastAsia"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hint="eastAsia" w:ascii="宋体" w:hAnsi="宋体"/>
          <w:sz w:val="24"/>
          <w:szCs w:val="24"/>
        </w:rPr>
      </w:r>
      <w:r/>
    </w:p>
    <w:p>
      <w:pPr>
        <w:pStyle w:val="898"/>
        <w:ind w:firstLine="482"/>
        <w:spacing w:line="360" w:lineRule="auto"/>
        <w:rPr>
          <w:rFonts w:ascii="宋体" w:hAnsi="宋体"/>
          <w:b/>
          <w:bCs/>
          <w:sz w:val="24"/>
          <w:szCs w:val="24"/>
        </w:rPr>
      </w:pPr>
      <w:r>
        <w:rPr>
          <w:rFonts w:hint="eastAsia" w:ascii="宋体" w:hAnsi="宋体"/>
          <w:b/>
          <w:bCs/>
          <w:sz w:val="24"/>
          <w:szCs w:val="24"/>
        </w:rPr>
        <w:t xml:space="preserve">十、联系事项</w:t>
      </w:r>
      <w:r>
        <w:rPr>
          <w:rFonts w:ascii="宋体" w:hAnsi="宋体"/>
          <w:b/>
          <w:bCs/>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1.甲方（采购方）：昆山市中医医院</w:t>
      </w:r>
      <w:r/>
    </w:p>
    <w:p>
      <w:pPr>
        <w:pStyle w:val="898"/>
        <w:ind w:firstLine="420"/>
        <w:spacing w:line="360" w:lineRule="auto"/>
        <w:rPr>
          <w:rFonts w:hint="eastAsia" w:ascii="宋体" w:hAnsi="宋体"/>
          <w:sz w:val="24"/>
          <w:szCs w:val="24"/>
        </w:rPr>
      </w:pPr>
      <w:r>
        <w:rPr>
          <w:rFonts w:hint="eastAsia" w:ascii="宋体" w:hAnsi="宋体"/>
          <w:sz w:val="24"/>
          <w:szCs w:val="24"/>
        </w:rPr>
        <w:t xml:space="preserve">联系人：盛怡茗     联系电话：0512-50260205    </w:t>
      </w:r>
      <w:r/>
    </w:p>
    <w:p>
      <w:pPr>
        <w:pStyle w:val="898"/>
        <w:ind w:firstLine="420"/>
        <w:spacing w:line="360" w:lineRule="auto"/>
        <w:rPr>
          <w:rFonts w:hint="eastAsia" w:ascii="宋体" w:hAnsi="宋体"/>
          <w:sz w:val="24"/>
          <w:szCs w:val="24"/>
        </w:rPr>
      </w:pPr>
      <w:r>
        <w:rPr>
          <w:rFonts w:hint="eastAsia" w:ascii="宋体" w:hAnsi="宋体"/>
          <w:sz w:val="24"/>
          <w:szCs w:val="24"/>
        </w:rPr>
        <w:t xml:space="preserve">2.招标代理人（机构）：</w:t>
      </w:r>
      <w:r>
        <w:rPr>
          <w:rFonts w:hint="eastAsia" w:ascii="宋体" w:hAnsi="宋体"/>
          <w:sz w:val="24"/>
          <w:szCs w:val="24"/>
        </w:rPr>
        <w:t xml:space="preserve">昆山新忠健项目管理有限公司</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地址：昆山市前进西路1468号泰和国际12F </w:t>
      </w:r>
      <w:r/>
    </w:p>
    <w:p>
      <w:pPr>
        <w:pStyle w:val="898"/>
        <w:ind w:firstLine="420"/>
        <w:spacing w:line="360" w:lineRule="auto"/>
        <w:rPr>
          <w:rFonts w:hint="eastAsia" w:ascii="宋体" w:hAnsi="宋体"/>
          <w:sz w:val="24"/>
          <w:szCs w:val="24"/>
        </w:rPr>
      </w:pPr>
      <w:r>
        <w:rPr>
          <w:rFonts w:hint="eastAsia" w:ascii="宋体" w:hAnsi="宋体"/>
          <w:sz w:val="24"/>
          <w:szCs w:val="24"/>
        </w:rPr>
        <w:t xml:space="preserve">电话：0512-55210560 </w:t>
      </w:r>
      <w:r/>
    </w:p>
    <w:p>
      <w:pPr>
        <w:pStyle w:val="898"/>
        <w:ind w:firstLine="420"/>
        <w:spacing w:line="360" w:lineRule="auto"/>
        <w:rPr>
          <w:rFonts w:hint="eastAsia" w:ascii="宋体" w:hAnsi="宋体"/>
          <w:sz w:val="24"/>
          <w:szCs w:val="24"/>
        </w:rPr>
      </w:pPr>
      <w:r>
        <w:rPr>
          <w:rFonts w:hint="eastAsia" w:ascii="宋体" w:hAnsi="宋体"/>
          <w:sz w:val="24"/>
          <w:szCs w:val="24"/>
        </w:rPr>
        <w:t xml:space="preserve">联系人：金丽丽、王女容</w:t>
      </w:r>
      <w:r/>
    </w:p>
    <w:p>
      <w:pPr>
        <w:pStyle w:val="898"/>
        <w:ind w:firstLine="420"/>
        <w:spacing w:line="360" w:lineRule="auto"/>
        <w:rPr>
          <w:rFonts w:hint="eastAsia" w:ascii="宋体" w:hAnsi="宋体"/>
          <w:sz w:val="24"/>
          <w:szCs w:val="24"/>
        </w:rPr>
      </w:pPr>
      <w:r>
        <w:rPr>
          <w:rFonts w:hint="eastAsia" w:ascii="宋体" w:hAnsi="宋体"/>
          <w:sz w:val="24"/>
          <w:szCs w:val="24"/>
        </w:rPr>
        <w:t xml:space="preserve">3.昆山市政府采购监督电话：0512-57310854</w:t>
      </w:r>
      <w:r/>
    </w:p>
    <w:p>
      <w:pPr>
        <w:pStyle w:val="898"/>
        <w:ind w:firstLine="420"/>
        <w:spacing w:line="360" w:lineRule="auto"/>
        <w:rPr>
          <w:rFonts w:hint="eastAsia" w:ascii="宋体" w:hAnsi="宋体"/>
          <w:sz w:val="24"/>
          <w:szCs w:val="24"/>
        </w:rPr>
      </w:pPr>
      <w:r>
        <w:rPr>
          <w:rFonts w:hint="eastAsia" w:ascii="宋体" w:hAnsi="宋体"/>
          <w:sz w:val="24"/>
          <w:szCs w:val="24"/>
        </w:rPr>
        <w:t xml:space="preserve">十一、其他</w:t>
      </w:r>
      <w:r/>
    </w:p>
    <w:p>
      <w:pPr>
        <w:pStyle w:val="898"/>
        <w:ind w:firstLine="420"/>
        <w:jc w:val="left"/>
        <w:spacing w:line="360" w:lineRule="auto"/>
        <w:rPr>
          <w:rFonts w:ascii="宋体" w:hAnsi="宋体"/>
          <w:sz w:val="24"/>
          <w:szCs w:val="24"/>
        </w:rPr>
      </w:pPr>
      <w:r>
        <w:rPr>
          <w:rFonts w:hint="eastAsia" w:ascii="宋体" w:hAnsi="宋体"/>
          <w:sz w:val="24"/>
          <w:szCs w:val="24"/>
        </w:rPr>
        <w:t xml:space="preserve">1.CA证书办理</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4"/>
          <w:szCs w:val="24"/>
        </w:rPr>
        <w:t xml:space="preserve">苏州现场办理地址：苏州市高新区邓尉路105号狮山科技馆一楼服务大厅,咨询电话：0512-</w:t>
      </w:r>
      <w:r>
        <w:rPr>
          <w:rFonts w:ascii="宋体" w:hAnsi="宋体"/>
          <w:b/>
          <w:sz w:val="24"/>
          <w:szCs w:val="24"/>
        </w:rPr>
        <w:t xml:space="preserve">65737699</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2.参与采购活动</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3.电子投标准备</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供应商在“苏采云”系统中操作成功参与项目后，必须在“已参与项目”界面中下载电子谈判文件（后缀名为“.kedt”）并导入政府采购客户端工具后方可进行响应文件制作和提交（具体详见《苏采云系统供应商操作手册》，网址链接</w:t>
      </w:r>
      <w:r>
        <w:rPr>
          <w:rFonts w:ascii="宋体" w:hAnsi="宋体"/>
          <w:sz w:val="24"/>
          <w:szCs w:val="24"/>
        </w:rPr>
        <w:t xml:space="preserve">https://czju.suzhou.gov.cn/zfcg/html/content/20231220161910031.shtml</w:t>
      </w:r>
      <w:r>
        <w:rPr>
          <w:rFonts w:hint="eastAsia" w:ascii="宋体" w:hAnsi="宋体"/>
          <w:sz w:val="24"/>
          <w:szCs w:val="24"/>
        </w:rPr>
        <w:t xml:space="preserve">）。</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在系统操作过程中如有疑问，请按以下方式联系：</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注册咨询：</w:t>
      </w:r>
      <w:r>
        <w:rPr>
          <w:rFonts w:ascii="宋体" w:hAnsi="宋体"/>
          <w:sz w:val="24"/>
          <w:szCs w:val="24"/>
        </w:rPr>
        <w:t xml:space="preserve">18261002950</w:t>
      </w:r>
      <w:r>
        <w:rPr>
          <w:rFonts w:hint="eastAsia" w:ascii="宋体" w:hAnsi="宋体"/>
          <w:sz w:val="24"/>
          <w:szCs w:val="24"/>
        </w:rPr>
        <w:t xml:space="preserve">；</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rPr>
          <w:rFonts w:ascii="宋体" w:hAnsi="宋体"/>
          <w:sz w:val="24"/>
          <w:szCs w:val="24"/>
        </w:rPr>
      </w:r>
      <w:r/>
    </w:p>
    <w:p>
      <w:pPr>
        <w:pStyle w:val="898"/>
        <w:ind w:firstLine="420"/>
        <w:jc w:val="left"/>
        <w:spacing w:line="360" w:lineRule="auto"/>
        <w:rPr>
          <w:rFonts w:ascii="宋体" w:hAnsi="宋体"/>
          <w:sz w:val="24"/>
          <w:szCs w:val="24"/>
        </w:rPr>
      </w:pPr>
      <w:r>
        <w:rPr>
          <w:rFonts w:hint="eastAsia" w:ascii="宋体" w:hAnsi="宋体"/>
          <w:sz w:val="24"/>
          <w:szCs w:val="24"/>
        </w:rPr>
        <w:t xml:space="preserve">签章使用问题：025-83633811、025-83633812、15380932027、15371015030；</w:t>
      </w:r>
      <w:r>
        <w:rPr>
          <w:rFonts w:ascii="宋体" w:hAnsi="宋体"/>
          <w:sz w:val="24"/>
          <w:szCs w:val="24"/>
        </w:rPr>
      </w:r>
      <w:r/>
    </w:p>
    <w:p>
      <w:pPr>
        <w:pStyle w:val="898"/>
        <w:ind w:firstLine="420"/>
        <w:jc w:val="left"/>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sz w:val="24"/>
          <w:szCs w:val="24"/>
        </w:rPr>
        <w:t xml:space="preserve">系统使用指导与咨询：联系电话：18261002950；QQ：3048755361、1315179389、895706745。</w:t>
      </w:r>
      <w:r>
        <w:rPr>
          <w:rFonts w:ascii="宋体" w:hAnsi="宋体"/>
          <w:sz w:val="24"/>
          <w:szCs w:val="24"/>
        </w:rPr>
      </w:r>
      <w:r/>
    </w:p>
    <w:p>
      <w:pPr>
        <w:pStyle w:val="899"/>
        <w:numPr>
          <w:ilvl w:val="0"/>
          <w:numId w:val="9"/>
        </w:numPr>
        <w:spacing w:line="360" w:lineRule="auto"/>
        <w:tabs>
          <w:tab w:val="left" w:pos="405" w:leader="none"/>
          <w:tab w:val="left" w:pos="420" w:leader="none"/>
        </w:tabs>
        <w:rPr>
          <w:rFonts w:hint="eastAsia" w:ascii="宋体" w:hAnsi="宋体"/>
          <w:b/>
        </w:rPr>
      </w:pPr>
      <w:r/>
      <w:bookmarkStart w:id="2" w:name="_Toc161591366"/>
      <w:r>
        <w:rPr>
          <w:rFonts w:hint="eastAsia" w:ascii="宋体" w:hAnsi="宋体"/>
          <w:b/>
        </w:rPr>
        <w:t xml:space="preserve">响应人须知</w:t>
      </w:r>
      <w:bookmarkEnd w:id="2"/>
      <w:r>
        <w:rPr>
          <w:rFonts w:hint="eastAsia" w:ascii="宋体" w:hAnsi="宋体"/>
          <w:b/>
        </w:rPr>
      </w:r>
      <w:r/>
    </w:p>
    <w:p>
      <w:pPr>
        <w:pStyle w:val="898"/>
        <w:ind w:firstLine="420"/>
        <w:spacing w:line="360" w:lineRule="auto"/>
        <w:rPr>
          <w:rFonts w:hint="eastAsia" w:ascii="宋体" w:hAnsi="宋体"/>
          <w:b/>
          <w:sz w:val="24"/>
          <w:szCs w:val="24"/>
        </w:rPr>
      </w:pPr>
      <w:r/>
      <w:bookmarkStart w:id="3" w:name="_Toc16938519"/>
      <w:r/>
      <w:bookmarkStart w:id="4" w:name="_Toc513029203"/>
      <w:r/>
      <w:bookmarkStart w:id="5" w:name="_Toc20823275"/>
      <w:r/>
      <w:bookmarkStart w:id="6" w:name="_Toc120614214"/>
      <w:r/>
      <w:bookmarkStart w:id="7" w:name="_Toc339548795"/>
      <w:r/>
      <w:bookmarkStart w:id="8" w:name="_Toc339563486"/>
      <w:r/>
      <w:bookmarkStart w:id="9" w:name="_Toc196471478"/>
      <w:r/>
      <w:bookmarkStart w:id="10" w:name="_Toc336415025"/>
      <w:r>
        <w:rPr>
          <w:rFonts w:hint="eastAsia" w:ascii="宋体" w:hAnsi="宋体"/>
          <w:b/>
          <w:sz w:val="24"/>
          <w:szCs w:val="24"/>
        </w:rPr>
        <w:t xml:space="preserve">一、总则</w:t>
      </w:r>
      <w:bookmarkEnd w:id="3"/>
      <w:r/>
      <w:bookmarkEnd w:id="4"/>
      <w:r/>
      <w:bookmarkEnd w:id="5"/>
      <w:r/>
      <w:bookmarkEnd w:id="6"/>
      <w:r>
        <w:rPr>
          <w:rFonts w:hint="eastAsia" w:ascii="宋体" w:hAnsi="宋体"/>
          <w:b/>
          <w:sz w:val="24"/>
          <w:szCs w:val="24"/>
        </w:rPr>
      </w:r>
      <w:r/>
    </w:p>
    <w:p>
      <w:pPr>
        <w:pStyle w:val="898"/>
        <w:ind w:firstLine="420"/>
        <w:spacing w:line="360" w:lineRule="auto"/>
        <w:rPr>
          <w:rFonts w:hint="eastAsia" w:ascii="宋体" w:hAnsi="宋体"/>
          <w:sz w:val="24"/>
          <w:szCs w:val="24"/>
        </w:rPr>
      </w:pPr>
      <w:r/>
      <w:bookmarkStart w:id="11" w:name="_Hlt16619475"/>
      <w:r/>
      <w:bookmarkEnd w:id="11"/>
      <w:r/>
      <w:bookmarkStart w:id="12" w:name="_Toc458694821"/>
      <w:r/>
      <w:bookmarkStart w:id="13" w:name="_Toc513029204"/>
      <w:r/>
      <w:bookmarkStart w:id="14" w:name="_Toc16938520"/>
      <w:r/>
      <w:bookmarkStart w:id="15" w:name="_Toc20823276"/>
      <w:r>
        <w:rPr>
          <w:rFonts w:hint="eastAsia" w:ascii="宋体" w:hAnsi="宋体"/>
          <w:sz w:val="24"/>
          <w:szCs w:val="24"/>
        </w:rPr>
        <w:t xml:space="preserve">1</w:t>
      </w:r>
      <w:bookmarkEnd w:id="12"/>
      <w:r>
        <w:rPr>
          <w:rFonts w:hint="eastAsia" w:ascii="宋体" w:hAnsi="宋体"/>
          <w:sz w:val="24"/>
          <w:szCs w:val="24"/>
        </w:rPr>
        <w:t xml:space="preserve">.</w:t>
      </w:r>
      <w:r>
        <w:rPr>
          <w:rFonts w:hint="eastAsia" w:ascii="宋体" w:hAnsi="宋体"/>
          <w:sz w:val="24"/>
          <w:szCs w:val="24"/>
        </w:rPr>
        <w:t xml:space="preserve">采购方式</w:t>
      </w:r>
      <w:bookmarkEnd w:id="13"/>
      <w:r/>
      <w:bookmarkEnd w:id="14"/>
      <w:r/>
      <w:bookmarkEnd w:id="15"/>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1.1本次政府采购活动采取竞争性谈判(以下简称谈判)方式，本谈判文件仅适用于谈判公告中所述项目。</w:t>
      </w:r>
      <w:r/>
    </w:p>
    <w:p>
      <w:pPr>
        <w:pStyle w:val="898"/>
        <w:ind w:firstLine="420"/>
        <w:spacing w:line="360" w:lineRule="auto"/>
        <w:rPr>
          <w:rFonts w:hint="eastAsia" w:ascii="宋体" w:hAnsi="宋体"/>
          <w:sz w:val="24"/>
          <w:szCs w:val="24"/>
        </w:rPr>
      </w:pPr>
      <w:r/>
      <w:bookmarkStart w:id="16" w:name="_Toc20823277"/>
      <w:r/>
      <w:bookmarkStart w:id="17" w:name="_Toc513029205"/>
      <w:r/>
      <w:bookmarkStart w:id="18" w:name="_Toc16938521"/>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合格的</w:t>
      </w:r>
      <w:bookmarkEnd w:id="16"/>
      <w:r/>
      <w:bookmarkEnd w:id="17"/>
      <w:r/>
      <w:bookmarkEnd w:id="18"/>
      <w:r>
        <w:rPr>
          <w:rFonts w:hint="eastAsia" w:ascii="宋体" w:hAnsi="宋体"/>
          <w:sz w:val="24"/>
          <w:szCs w:val="24"/>
        </w:rPr>
        <w:t xml:space="preserve">供应商</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2.1满足谈判公告中供应商资格要求的规定。</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 满足本谈判文件实质性要求和条件的规定。</w:t>
      </w:r>
      <w:r/>
    </w:p>
    <w:p>
      <w:pPr>
        <w:pStyle w:val="898"/>
        <w:ind w:firstLine="420"/>
        <w:spacing w:line="360" w:lineRule="auto"/>
        <w:rPr>
          <w:rFonts w:hint="eastAsia" w:ascii="宋体" w:hAnsi="宋体"/>
          <w:sz w:val="24"/>
          <w:szCs w:val="24"/>
        </w:rPr>
      </w:pPr>
      <w:r/>
      <w:bookmarkStart w:id="19" w:name="_Toc513029206"/>
      <w:r/>
      <w:bookmarkStart w:id="20" w:name="_Toc20823278"/>
      <w:r/>
      <w:bookmarkStart w:id="21" w:name="_Toc16938522"/>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适用法律</w:t>
      </w:r>
      <w:bookmarkEnd w:id="19"/>
      <w:r/>
      <w:bookmarkEnd w:id="20"/>
      <w:r/>
      <w:bookmarkEnd w:id="21"/>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3.1 本次谈判及由此产生的合同受中华人民共和国有关的法律法规制约和保护</w:t>
      </w:r>
      <w:r>
        <w:rPr>
          <w:rFonts w:ascii="宋体" w:hAnsi="宋体"/>
          <w:sz w:val="24"/>
          <w:szCs w:val="24"/>
        </w:rPr>
        <w:t xml:space="preserve">。</w:t>
      </w:r>
      <w:r>
        <w:rPr>
          <w:rFonts w:hint="eastAsia"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3.2本谈判文件的解释权属于</w:t>
      </w:r>
      <w:r>
        <w:rPr>
          <w:rFonts w:hint="eastAsia" w:ascii="宋体" w:hAnsi="宋体"/>
          <w:sz w:val="24"/>
          <w:szCs w:val="24"/>
        </w:rPr>
        <w:t xml:space="preserve">昆山新忠健项目管理有限公司</w:t>
      </w:r>
      <w:r>
        <w:rPr>
          <w:rFonts w:hint="eastAsia" w:ascii="宋体" w:hAnsi="宋体"/>
          <w:sz w:val="24"/>
          <w:szCs w:val="24"/>
        </w:rPr>
        <w:t xml:space="preserve">。</w:t>
      </w:r>
      <w:r>
        <w:rPr>
          <w:rFonts w:ascii="宋体" w:hAnsi="宋体"/>
          <w:sz w:val="24"/>
          <w:szCs w:val="24"/>
        </w:rPr>
      </w:r>
      <w:r/>
    </w:p>
    <w:p>
      <w:pPr>
        <w:pStyle w:val="898"/>
        <w:ind w:firstLine="420"/>
        <w:spacing w:line="360" w:lineRule="auto"/>
        <w:rPr>
          <w:rFonts w:hint="eastAsia" w:ascii="宋体" w:hAnsi="宋体"/>
          <w:sz w:val="24"/>
          <w:szCs w:val="24"/>
        </w:rPr>
      </w:pPr>
      <w:r/>
      <w:bookmarkStart w:id="22" w:name="_Toc16938523"/>
      <w:r/>
      <w:bookmarkStart w:id="23" w:name="_Toc462564067"/>
      <w:r/>
      <w:bookmarkStart w:id="24" w:name="_Toc20823279"/>
      <w:r/>
      <w:bookmarkStart w:id="25" w:name="_Toc513029207"/>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谈判费用</w:t>
      </w:r>
      <w:bookmarkEnd w:id="22"/>
      <w:r/>
      <w:bookmarkEnd w:id="23"/>
      <w:r/>
      <w:bookmarkEnd w:id="24"/>
      <w:r/>
      <w:bookmarkEnd w:id="25"/>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4.1</w:t>
      </w:r>
      <w:r>
        <w:rPr>
          <w:rFonts w:hint="eastAsia" w:ascii="宋体" w:hAnsi="宋体"/>
          <w:b/>
          <w:sz w:val="24"/>
          <w:szCs w:val="24"/>
        </w:rPr>
        <w:t xml:space="preserve">本次谈判成交服务费向成交单位收取，以差额定率累进计算法收费（按预算金额100万元以下，收取1.5%；100-500万元，收取1.1%；500-1000万元，收取0.8%，1000-5000万元，收取0.5%）。</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谈判文件的约束力</w:t>
      </w:r>
      <w:r/>
    </w:p>
    <w:p>
      <w:pPr>
        <w:pStyle w:val="898"/>
        <w:ind w:firstLine="420"/>
        <w:spacing w:line="360" w:lineRule="auto"/>
        <w:rPr>
          <w:rFonts w:hint="eastAsia" w:ascii="宋体" w:hAnsi="宋体"/>
          <w:sz w:val="24"/>
          <w:szCs w:val="24"/>
        </w:rPr>
      </w:pPr>
      <w:r>
        <w:rPr>
          <w:rFonts w:hint="eastAsia" w:ascii="宋体" w:hAnsi="宋体"/>
          <w:sz w:val="24"/>
          <w:szCs w:val="24"/>
        </w:rPr>
        <w:t xml:space="preserve">5.1供应商一旦参加本项目采购活动，即被认为接受了本谈判文件的规定和约束。</w:t>
      </w:r>
      <w:r/>
    </w:p>
    <w:p>
      <w:pPr>
        <w:pStyle w:val="898"/>
        <w:ind w:firstLine="420"/>
        <w:spacing w:line="360" w:lineRule="auto"/>
        <w:rPr>
          <w:rFonts w:hint="eastAsia" w:ascii="宋体" w:hAnsi="宋体"/>
          <w:b/>
          <w:sz w:val="24"/>
          <w:szCs w:val="24"/>
        </w:rPr>
      </w:pPr>
      <w:r/>
      <w:bookmarkStart w:id="26" w:name="_Toc16938525"/>
      <w:r/>
      <w:bookmarkStart w:id="27" w:name="_Toc513029209"/>
      <w:r/>
      <w:bookmarkStart w:id="28" w:name="_Toc20823281"/>
      <w:r/>
      <w:bookmarkStart w:id="29" w:name="_Toc120614215"/>
      <w:r>
        <w:rPr>
          <w:rFonts w:hint="eastAsia" w:ascii="宋体" w:hAnsi="宋体"/>
          <w:b/>
          <w:sz w:val="24"/>
          <w:szCs w:val="24"/>
        </w:rPr>
        <w:t xml:space="preserve">二、</w:t>
      </w:r>
      <w:bookmarkEnd w:id="26"/>
      <w:r/>
      <w:bookmarkEnd w:id="27"/>
      <w:r/>
      <w:bookmarkEnd w:id="28"/>
      <w:r/>
      <w:bookmarkEnd w:id="29"/>
      <w:r>
        <w:rPr>
          <w:rFonts w:hint="eastAsia" w:ascii="宋体" w:hAnsi="宋体"/>
          <w:b/>
          <w:sz w:val="24"/>
          <w:szCs w:val="24"/>
        </w:rPr>
        <w:t xml:space="preserve">谈判文件</w:t>
      </w:r>
      <w:r/>
    </w:p>
    <w:p>
      <w:pPr>
        <w:pStyle w:val="898"/>
        <w:ind w:firstLine="420"/>
        <w:spacing w:line="360" w:lineRule="auto"/>
        <w:rPr>
          <w:rFonts w:hint="eastAsia" w:ascii="宋体" w:hAnsi="宋体"/>
          <w:sz w:val="24"/>
          <w:szCs w:val="24"/>
        </w:rPr>
      </w:pPr>
      <w:r/>
      <w:bookmarkStart w:id="30" w:name="_Toc513029210"/>
      <w:r/>
      <w:bookmarkStart w:id="31" w:name="_Toc16938526"/>
      <w:r/>
      <w:bookmarkStart w:id="32" w:name="_Toc20823282"/>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谈判文件构成</w:t>
      </w:r>
      <w:bookmarkEnd w:id="30"/>
      <w:r/>
      <w:bookmarkEnd w:id="31"/>
      <w:r/>
      <w:bookmarkEnd w:id="32"/>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6.1谈判文件由以下部分组成：</w:t>
      </w:r>
      <w:r/>
    </w:p>
    <w:p>
      <w:pPr>
        <w:pStyle w:val="898"/>
        <w:ind w:firstLine="420"/>
        <w:spacing w:line="360" w:lineRule="auto"/>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（2）供应商须知</w:t>
      </w:r>
      <w:r/>
    </w:p>
    <w:p>
      <w:pPr>
        <w:pStyle w:val="898"/>
        <w:ind w:firstLine="420"/>
        <w:spacing w:line="360" w:lineRule="auto"/>
        <w:rPr>
          <w:rFonts w:hint="eastAsia" w:ascii="宋体" w:hAnsi="宋体"/>
          <w:sz w:val="24"/>
          <w:szCs w:val="24"/>
        </w:rPr>
      </w:pPr>
      <w:r>
        <w:rPr>
          <w:rFonts w:hint="eastAsia" w:ascii="宋体" w:hAnsi="宋体"/>
          <w:sz w:val="24"/>
          <w:szCs w:val="24"/>
        </w:rPr>
        <w:t xml:space="preserve">（3）合同文本</w:t>
      </w:r>
      <w:r/>
    </w:p>
    <w:p>
      <w:pPr>
        <w:pStyle w:val="898"/>
        <w:ind w:firstLine="420"/>
        <w:spacing w:line="360" w:lineRule="auto"/>
        <w:rPr>
          <w:rFonts w:hint="eastAsia" w:ascii="宋体" w:hAnsi="宋体"/>
          <w:sz w:val="24"/>
          <w:szCs w:val="24"/>
        </w:rPr>
      </w:pPr>
      <w:r>
        <w:rPr>
          <w:rFonts w:hint="eastAsia" w:ascii="宋体" w:hAnsi="宋体"/>
          <w:sz w:val="24"/>
          <w:szCs w:val="24"/>
        </w:rPr>
        <w:t xml:space="preserve">（4）谈判内容</w:t>
      </w:r>
      <w:r/>
    </w:p>
    <w:p>
      <w:pPr>
        <w:pStyle w:val="898"/>
        <w:ind w:firstLine="420"/>
        <w:spacing w:line="360" w:lineRule="auto"/>
        <w:rPr>
          <w:rFonts w:hint="eastAsia" w:ascii="宋体" w:hAnsi="宋体"/>
          <w:sz w:val="24"/>
          <w:szCs w:val="24"/>
        </w:rPr>
      </w:pPr>
      <w:r>
        <w:rPr>
          <w:rFonts w:hint="eastAsia" w:ascii="宋体" w:hAnsi="宋体"/>
          <w:sz w:val="24"/>
          <w:szCs w:val="24"/>
        </w:rPr>
        <w:t xml:space="preserve">（5）评审方法与评审标准</w:t>
      </w:r>
      <w:r/>
    </w:p>
    <w:p>
      <w:pPr>
        <w:pStyle w:val="898"/>
        <w:ind w:firstLine="420"/>
        <w:spacing w:line="360" w:lineRule="auto"/>
        <w:rPr>
          <w:rFonts w:hint="eastAsia" w:ascii="宋体" w:hAnsi="宋体"/>
          <w:sz w:val="24"/>
          <w:szCs w:val="24"/>
        </w:rPr>
      </w:pPr>
      <w:r>
        <w:rPr>
          <w:rFonts w:hint="eastAsia" w:ascii="宋体" w:hAnsi="宋体"/>
          <w:sz w:val="24"/>
          <w:szCs w:val="24"/>
        </w:rPr>
        <w:t xml:space="preserve">（6）附件格式</w:t>
      </w:r>
      <w:r/>
    </w:p>
    <w:p>
      <w:pPr>
        <w:pStyle w:val="898"/>
        <w:ind w:firstLine="420"/>
        <w:spacing w:line="360" w:lineRule="auto"/>
        <w:rPr>
          <w:rFonts w:hint="eastAsia"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98"/>
        <w:ind w:firstLine="420"/>
        <w:spacing w:line="360" w:lineRule="auto"/>
        <w:rPr>
          <w:rFonts w:hint="eastAsia" w:ascii="宋体" w:hAnsi="宋体"/>
          <w:sz w:val="24"/>
          <w:szCs w:val="24"/>
        </w:rPr>
      </w:pPr>
      <w:r/>
      <w:bookmarkStart w:id="33" w:name="_Toc16938527"/>
      <w:r/>
      <w:bookmarkStart w:id="34" w:name="_Toc462564070"/>
      <w:r/>
      <w:bookmarkStart w:id="35" w:name="_Toc20823283"/>
      <w:r/>
      <w:bookmarkStart w:id="36" w:name="_Toc513029211"/>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谈判文件的澄清</w:t>
      </w:r>
      <w:bookmarkEnd w:id="33"/>
      <w:r/>
      <w:bookmarkEnd w:id="34"/>
      <w:r/>
      <w:bookmarkEnd w:id="35"/>
      <w:r/>
      <w:bookmarkEnd w:id="36"/>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7.1 任何要求对谈判文件进行澄清的供应商，应在谈判截止期5日前按谈判公告中的通讯地址，以书面形式通知采购人或代理机构。</w:t>
      </w:r>
      <w:r/>
    </w:p>
    <w:p>
      <w:pPr>
        <w:pStyle w:val="898"/>
        <w:ind w:firstLine="420"/>
        <w:spacing w:line="360" w:lineRule="auto"/>
        <w:rPr>
          <w:rFonts w:hint="eastAsia" w:ascii="宋体" w:hAnsi="宋体"/>
          <w:sz w:val="24"/>
          <w:szCs w:val="24"/>
        </w:rPr>
      </w:pPr>
      <w:r/>
      <w:bookmarkStart w:id="37" w:name="_Toc20823284"/>
      <w:r/>
      <w:bookmarkStart w:id="38" w:name="_Toc513029212"/>
      <w:r/>
      <w:bookmarkStart w:id="39" w:name="_Toc16938528"/>
      <w:r/>
      <w:bookmarkStart w:id="40" w:name="_Toc462564071"/>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谈判文件的澄清和修改</w:t>
      </w:r>
      <w:bookmarkEnd w:id="37"/>
      <w:r/>
      <w:bookmarkEnd w:id="38"/>
      <w:r/>
      <w:bookmarkEnd w:id="39"/>
      <w:r/>
      <w:bookmarkEnd w:id="40"/>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8.1 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 更正公告内容将作为谈判文件的组成部分，并对供应商具有约束力。</w:t>
      </w:r>
      <w:r/>
    </w:p>
    <w:p>
      <w:pPr>
        <w:pStyle w:val="898"/>
        <w:ind w:firstLine="420"/>
        <w:spacing w:line="360" w:lineRule="auto"/>
        <w:rPr>
          <w:rFonts w:hint="eastAsia" w:ascii="宋体" w:hAnsi="宋体"/>
          <w:sz w:val="24"/>
          <w:szCs w:val="24"/>
        </w:rPr>
      </w:pPr>
      <w:r/>
      <w:bookmarkStart w:id="41" w:name="_Toc20823285"/>
      <w:r/>
      <w:bookmarkStart w:id="42" w:name="_Toc120614216"/>
      <w:r/>
      <w:bookmarkStart w:id="43" w:name="_Toc16938529"/>
      <w:r/>
      <w:bookmarkStart w:id="44" w:name="_Toc462564072"/>
      <w:r/>
      <w:bookmarkStart w:id="45" w:name="_Toc513029213"/>
      <w:r>
        <w:rPr>
          <w:rFonts w:hint="eastAsia" w:ascii="宋体" w:hAnsi="宋体"/>
          <w:sz w:val="24"/>
          <w:szCs w:val="24"/>
        </w:rPr>
        <w:t xml:space="preserve">三、响应文件的编制</w:t>
      </w:r>
      <w:bookmarkEnd w:id="41"/>
      <w:r/>
      <w:bookmarkEnd w:id="42"/>
      <w:r/>
      <w:bookmarkEnd w:id="43"/>
      <w:r/>
      <w:bookmarkEnd w:id="44"/>
      <w:r/>
      <w:bookmarkEnd w:id="45"/>
      <w:r>
        <w:rPr>
          <w:rFonts w:hint="eastAsia" w:ascii="宋体" w:hAnsi="宋体"/>
          <w:sz w:val="24"/>
          <w:szCs w:val="24"/>
        </w:rPr>
      </w:r>
      <w:r/>
    </w:p>
    <w:p>
      <w:pPr>
        <w:pStyle w:val="898"/>
        <w:ind w:firstLine="420"/>
        <w:spacing w:line="360" w:lineRule="auto"/>
        <w:rPr>
          <w:rFonts w:hint="eastAsia" w:ascii="宋体" w:hAnsi="宋体"/>
          <w:sz w:val="24"/>
          <w:szCs w:val="24"/>
        </w:rPr>
      </w:pPr>
      <w:r/>
      <w:bookmarkStart w:id="46" w:name="_Toc513029214"/>
      <w:r/>
      <w:bookmarkStart w:id="47" w:name="_Toc462564073"/>
      <w:r/>
      <w:bookmarkStart w:id="48" w:name="_Toc16938530"/>
      <w:r/>
      <w:bookmarkStart w:id="49" w:name="_Toc20823286"/>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响应文件的语言及度量衡单位</w:t>
      </w:r>
      <w:bookmarkEnd w:id="46"/>
      <w:r/>
      <w:bookmarkEnd w:id="47"/>
      <w:r/>
      <w:bookmarkEnd w:id="48"/>
      <w:r/>
      <w:bookmarkEnd w:id="49"/>
      <w:r>
        <w:rPr>
          <w:rFonts w:hint="eastAsia"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9.2 除技术性能另有规定外，响应文件所使用的度量衡单位，均须采用国家法定计量单位。</w:t>
      </w:r>
      <w:r/>
    </w:p>
    <w:p>
      <w:pPr>
        <w:pStyle w:val="898"/>
        <w:ind w:firstLine="420"/>
        <w:spacing w:line="360" w:lineRule="auto"/>
        <w:rPr>
          <w:rFonts w:ascii="宋体" w:hAnsi="宋体"/>
          <w:b/>
          <w:sz w:val="24"/>
          <w:szCs w:val="24"/>
        </w:rPr>
      </w:pPr>
      <w:r>
        <w:rPr>
          <w:rFonts w:hint="eastAsia" w:ascii="宋体" w:hAnsi="宋体"/>
          <w:b/>
          <w:sz w:val="24"/>
          <w:szCs w:val="24"/>
        </w:rPr>
        <w:t xml:space="preserve">10.响应文件的组成</w:t>
      </w:r>
      <w:r>
        <w:rPr>
          <w:rFonts w:ascii="宋体" w:hAnsi="宋体"/>
          <w:b/>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10.1封面</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10.1.1开标</w:t>
      </w:r>
      <w:r>
        <w:rPr>
          <w:rFonts w:ascii="宋体" w:hAnsi="宋体"/>
          <w:b/>
          <w:sz w:val="24"/>
          <w:szCs w:val="24"/>
        </w:rPr>
        <w:t xml:space="preserve">一览表</w:t>
      </w:r>
      <w:r>
        <w:rPr>
          <w:rFonts w:hint="eastAsia" w:ascii="宋体" w:hAnsi="宋体"/>
          <w:b/>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10.1.2谈判报价分析表（格式见第六章）</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10.1.3资格审查</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10.1.3.1</w:t>
      </w:r>
      <w:r>
        <w:rPr>
          <w:rFonts w:hint="eastAsia" w:ascii="宋体" w:hAnsi="宋体"/>
          <w:b/>
          <w:sz w:val="24"/>
        </w:rPr>
        <w:t xml:space="preserve">满足《中华人民共和国政府采购法》第二十二条规定</w:t>
      </w:r>
      <w:r>
        <w:rPr>
          <w:rFonts w:hint="eastAsia" w:ascii="宋体" w:hAnsi="宋体"/>
          <w:b/>
          <w:sz w:val="24"/>
          <w:szCs w:val="24"/>
        </w:rPr>
      </w:r>
      <w:r/>
    </w:p>
    <w:p>
      <w:pPr>
        <w:pStyle w:val="898"/>
        <w:ind w:firstLine="42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rPr>
          <w:rFonts w:ascii="宋体" w:hAnsi="宋体"/>
          <w:b/>
          <w:sz w:val="24"/>
        </w:rPr>
      </w:r>
      <w:r/>
    </w:p>
    <w:p>
      <w:pPr>
        <w:pStyle w:val="898"/>
        <w:ind w:firstLine="420"/>
        <w:spacing w:line="360" w:lineRule="auto"/>
        <w:rPr>
          <w:rFonts w:ascii="宋体" w:hAnsi="宋体"/>
          <w:b/>
          <w:sz w:val="24"/>
        </w:rPr>
      </w:pPr>
      <w:r>
        <w:rPr>
          <w:rFonts w:hint="eastAsia" w:ascii="宋体" w:hAnsi="宋体"/>
          <w:b/>
          <w:sz w:val="24"/>
        </w:rPr>
        <w:t xml:space="preserve">（2）</w:t>
      </w:r>
      <w:r>
        <w:rPr>
          <w:rFonts w:ascii="宋体" w:hAnsi="宋体"/>
          <w:b/>
          <w:sz w:val="24"/>
        </w:rPr>
        <w:t xml:space="preserve">具有良好的商业信誉和健全的财务会计制度</w:t>
      </w:r>
      <w:r>
        <w:rPr>
          <w:rFonts w:hint="eastAsia" w:ascii="宋体" w:hAnsi="宋体"/>
          <w:b/>
          <w:sz w:val="24"/>
        </w:rPr>
        <w:t xml:space="preserve">（投标承诺函或提供相应证明材料）；</w:t>
      </w:r>
      <w:r>
        <w:rPr>
          <w:rFonts w:ascii="宋体" w:hAnsi="宋体"/>
          <w:b/>
          <w:sz w:val="24"/>
        </w:rPr>
      </w:r>
      <w:r/>
    </w:p>
    <w:p>
      <w:pPr>
        <w:pStyle w:val="898"/>
        <w:ind w:firstLine="420"/>
        <w:spacing w:line="360" w:lineRule="auto"/>
        <w:rPr>
          <w:rFonts w:ascii="宋体" w:hAnsi="宋体"/>
          <w:b/>
          <w:sz w:val="24"/>
        </w:rPr>
      </w:pPr>
      <w:r>
        <w:rPr>
          <w:rFonts w:hint="eastAsia" w:ascii="宋体" w:hAnsi="宋体"/>
          <w:b/>
          <w:sz w:val="24"/>
        </w:rPr>
        <w:t xml:space="preserve">（3）</w:t>
      </w:r>
      <w:r>
        <w:rPr>
          <w:rFonts w:ascii="宋体" w:hAnsi="宋体"/>
          <w:b/>
          <w:sz w:val="24"/>
        </w:rPr>
        <w:t xml:space="preserve">具有履行合同所必需的设备和专业技术能力</w:t>
      </w:r>
      <w:r>
        <w:rPr>
          <w:rFonts w:hint="eastAsia" w:ascii="宋体" w:hAnsi="宋体"/>
          <w:b/>
          <w:sz w:val="24"/>
        </w:rPr>
        <w:t xml:space="preserve">（投标承诺函或提供相应证明材料）</w:t>
      </w:r>
      <w:r>
        <w:rPr>
          <w:rFonts w:ascii="宋体" w:hAnsi="宋体"/>
          <w:b/>
          <w:sz w:val="24"/>
        </w:rPr>
        <w:t xml:space="preserve">；</w:t>
      </w:r>
      <w:r/>
    </w:p>
    <w:p>
      <w:pPr>
        <w:pStyle w:val="898"/>
        <w:ind w:firstLine="420"/>
        <w:spacing w:line="360" w:lineRule="auto"/>
        <w:rPr>
          <w:rFonts w:ascii="宋体" w:hAnsi="宋体"/>
          <w:b/>
          <w:sz w:val="24"/>
        </w:rPr>
      </w:pPr>
      <w:r>
        <w:rPr>
          <w:rFonts w:hint="eastAsia" w:ascii="宋体" w:hAnsi="宋体"/>
          <w:b/>
          <w:sz w:val="24"/>
        </w:rPr>
        <w:t xml:space="preserve">（4）具</w:t>
      </w:r>
      <w:r>
        <w:rPr>
          <w:rFonts w:ascii="宋体" w:hAnsi="宋体"/>
          <w:b/>
          <w:sz w:val="24"/>
        </w:rPr>
        <w:t xml:space="preserve">有依法缴纳税收和社会保障资金的良好记录</w:t>
      </w:r>
      <w:r>
        <w:rPr>
          <w:rFonts w:hint="eastAsia" w:ascii="宋体" w:hAnsi="宋体"/>
          <w:b/>
          <w:sz w:val="24"/>
        </w:rPr>
        <w:t xml:space="preserve">（投标承诺函或提供相应证明材料）；</w:t>
      </w:r>
      <w:r>
        <w:rPr>
          <w:rFonts w:ascii="宋体" w:hAnsi="宋体"/>
          <w:b/>
          <w:sz w:val="24"/>
        </w:rPr>
      </w:r>
      <w:r/>
    </w:p>
    <w:p>
      <w:pPr>
        <w:pStyle w:val="898"/>
        <w:ind w:firstLine="420"/>
        <w:spacing w:line="360" w:lineRule="auto"/>
        <w:rPr>
          <w:rFonts w:hint="eastAsia" w:ascii="宋体" w:hAnsi="宋体"/>
          <w:b/>
          <w:sz w:val="24"/>
        </w:rPr>
      </w:pPr>
      <w:r>
        <w:rPr>
          <w:rFonts w:hint="eastAsia" w:ascii="宋体" w:hAnsi="宋体"/>
          <w:b/>
          <w:sz w:val="24"/>
        </w:rPr>
        <w:t xml:space="preserve">（5）</w:t>
      </w:r>
      <w:r>
        <w:rPr>
          <w:rFonts w:ascii="宋体" w:hAnsi="宋体"/>
          <w:b/>
          <w:sz w:val="24"/>
        </w:rPr>
        <w:t xml:space="preserve">参加政府采购活动前三年内，在经营活动中没有重大违法记录</w:t>
      </w:r>
      <w:r>
        <w:rPr>
          <w:rFonts w:hint="eastAsia" w:ascii="宋体" w:hAnsi="宋体"/>
          <w:b/>
          <w:sz w:val="24"/>
        </w:rPr>
        <w:t xml:space="preserve">（投标承诺函或提供相应证明材料）；</w:t>
      </w:r>
      <w:r/>
    </w:p>
    <w:p>
      <w:pPr>
        <w:pStyle w:val="898"/>
        <w:ind w:firstLine="420"/>
        <w:spacing w:line="360" w:lineRule="auto"/>
        <w:rPr>
          <w:rFonts w:ascii="宋体" w:hAnsi="宋体"/>
          <w:b/>
          <w:sz w:val="24"/>
        </w:rPr>
      </w:pPr>
      <w:r>
        <w:rPr>
          <w:rFonts w:hint="eastAsia" w:ascii="宋体" w:hAnsi="宋体"/>
          <w:b/>
          <w:sz w:val="24"/>
        </w:rPr>
        <w:t xml:space="preserve">（6）法律、行政法规规定的其他条件。</w:t>
      </w:r>
      <w:r>
        <w:rPr>
          <w:rFonts w:ascii="宋体" w:hAnsi="宋体"/>
          <w:b/>
          <w:sz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10.1.3.2未被“信用中国”网站（www.creditchina.gov.cn）列入失信被执行人、重大税收违法案件当事人名单、政府采购严重失信行为记录名单。</w:t>
      </w:r>
      <w:r/>
    </w:p>
    <w:p>
      <w:pPr>
        <w:pStyle w:val="898"/>
        <w:ind w:firstLine="426"/>
        <w:spacing w:line="360" w:lineRule="auto"/>
        <w:rPr>
          <w:rFonts w:hint="eastAsia" w:ascii="宋体" w:hAnsi="宋体"/>
          <w:b/>
          <w:sz w:val="24"/>
          <w:szCs w:val="24"/>
        </w:rPr>
      </w:pPr>
      <w:r>
        <w:rPr>
          <w:rFonts w:hint="eastAsia" w:ascii="宋体" w:hAnsi="宋体"/>
          <w:b/>
          <w:sz w:val="24"/>
          <w:szCs w:val="24"/>
        </w:rPr>
        <w:t xml:space="preserve">10.1.3.3相关部门核发的《保险许可证》复印件。</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10.1.4符合性审查</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10.1.4.1关于响应文件的声明函；</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10.1.4.2偏离表；</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10.1.4.3供应商情况表（格式见第六章）；</w:t>
      </w:r>
      <w:r/>
    </w:p>
    <w:p>
      <w:pPr>
        <w:pStyle w:val="898"/>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rPr>
          <w:rFonts w:ascii="宋体" w:hAnsi="宋体"/>
          <w:b/>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10.1.5</w:t>
      </w:r>
      <w:r>
        <w:rPr>
          <w:rFonts w:ascii="宋体" w:hAnsi="宋体"/>
          <w:b/>
          <w:sz w:val="24"/>
          <w:szCs w:val="24"/>
        </w:rPr>
        <w:t xml:space="preserve">项目人员配置表</w:t>
      </w:r>
      <w:r>
        <w:rPr>
          <w:rFonts w:hint="eastAsia" w:ascii="宋体" w:hAnsi="宋体"/>
          <w:b/>
          <w:sz w:val="24"/>
          <w:szCs w:val="24"/>
        </w:rPr>
        <w:t xml:space="preserve">（格式见第六章）；</w:t>
      </w:r>
      <w:r/>
    </w:p>
    <w:p>
      <w:pPr>
        <w:pStyle w:val="898"/>
        <w:ind w:firstLine="420"/>
        <w:spacing w:line="360" w:lineRule="auto"/>
        <w:rPr>
          <w:rFonts w:ascii="宋体" w:hAnsi="宋体"/>
          <w:b/>
          <w:sz w:val="24"/>
          <w:szCs w:val="24"/>
        </w:rPr>
      </w:pPr>
      <w:r>
        <w:rPr>
          <w:rFonts w:hint="eastAsia" w:ascii="宋体" w:hAnsi="宋体"/>
          <w:b/>
          <w:sz w:val="24"/>
          <w:szCs w:val="24"/>
        </w:rPr>
        <w:t xml:space="preserve">10.1.</w:t>
      </w:r>
      <w:r>
        <w:rPr>
          <w:rFonts w:hint="eastAsia" w:ascii="宋体" w:hAnsi="宋体"/>
          <w:b/>
          <w:sz w:val="24"/>
          <w:szCs w:val="24"/>
        </w:rPr>
        <w:t xml:space="preserve">6</w:t>
      </w:r>
      <w:r>
        <w:rPr>
          <w:rFonts w:hint="eastAsia" w:ascii="宋体" w:hAnsi="宋体"/>
          <w:b/>
          <w:sz w:val="24"/>
          <w:szCs w:val="24"/>
        </w:rPr>
        <w:t xml:space="preserve">中小企业文件证明材料</w:t>
      </w:r>
      <w:r>
        <w:rPr>
          <w:rFonts w:ascii="宋体" w:hAnsi="宋体"/>
          <w:b/>
          <w:sz w:val="24"/>
          <w:szCs w:val="24"/>
        </w:rPr>
      </w:r>
      <w:r/>
    </w:p>
    <w:p>
      <w:pPr>
        <w:pStyle w:val="898"/>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rPr>
          <w:rFonts w:ascii="宋体" w:hAnsi="宋体"/>
          <w:b/>
          <w:sz w:val="24"/>
          <w:szCs w:val="24"/>
        </w:rPr>
      </w:r>
      <w:r/>
    </w:p>
    <w:p>
      <w:pPr>
        <w:pStyle w:val="898"/>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rPr>
          <w:rFonts w:ascii="宋体" w:hAnsi="宋体"/>
          <w:b/>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(3)监狱企业证明文件。</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10.1.</w:t>
      </w:r>
      <w:r>
        <w:rPr>
          <w:rFonts w:hint="eastAsia" w:ascii="宋体" w:hAnsi="宋体"/>
          <w:b/>
          <w:sz w:val="24"/>
          <w:szCs w:val="24"/>
        </w:rPr>
        <w:t xml:space="preserve">7</w:t>
      </w:r>
      <w:r>
        <w:rPr>
          <w:rFonts w:hint="eastAsia" w:ascii="宋体" w:hAnsi="宋体"/>
          <w:b/>
          <w:sz w:val="24"/>
          <w:szCs w:val="24"/>
        </w:rPr>
        <w:t xml:space="preserve">谈判文件要求递交其他文件。</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w:t>
      </w:r>
      <w:r>
        <w:rPr>
          <w:rFonts w:hint="eastAsia" w:ascii="宋体" w:hAnsi="宋体"/>
          <w:b/>
          <w:sz w:val="24"/>
          <w:szCs w:val="24"/>
        </w:rPr>
        <w:t xml:space="preserve">5</w:t>
      </w:r>
      <w:r>
        <w:rPr>
          <w:rFonts w:hint="eastAsia" w:ascii="宋体" w:hAnsi="宋体"/>
          <w:b/>
          <w:sz w:val="24"/>
          <w:szCs w:val="24"/>
        </w:rPr>
        <w:t xml:space="preserve">资料不可缺少，否则，将被认定为未实质性响应谈判文件要求。</w:t>
      </w:r>
      <w:r/>
    </w:p>
    <w:p>
      <w:pPr>
        <w:pStyle w:val="898"/>
        <w:ind w:firstLine="420"/>
        <w:spacing w:line="360" w:lineRule="auto"/>
        <w:rPr>
          <w:rFonts w:ascii="宋体" w:hAnsi="宋体"/>
          <w:sz w:val="24"/>
          <w:szCs w:val="24"/>
        </w:rPr>
      </w:pPr>
      <w:r>
        <w:rPr>
          <w:rFonts w:hint="eastAsia" w:ascii="宋体" w:hAnsi="宋体"/>
          <w:sz w:val="24"/>
          <w:szCs w:val="24"/>
        </w:rPr>
        <w:t xml:space="preserve">11.响应文件的有效期</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p>
    <w:p>
      <w:pPr>
        <w:pStyle w:val="898"/>
        <w:ind w:firstLine="420"/>
        <w:spacing w:line="360" w:lineRule="auto"/>
        <w:rPr>
          <w:rFonts w:hint="eastAsia" w:ascii="宋体" w:hAnsi="宋体"/>
          <w:sz w:val="24"/>
          <w:szCs w:val="24"/>
        </w:rPr>
      </w:pPr>
      <w:r>
        <w:rPr>
          <w:rFonts w:hint="eastAsia" w:ascii="宋体" w:hAnsi="宋体"/>
          <w:sz w:val="24"/>
          <w:szCs w:val="24"/>
        </w:rPr>
        <w:t xml:space="preserve">12.谈判有效期的延长</w:t>
      </w:r>
      <w:r/>
    </w:p>
    <w:p>
      <w:pPr>
        <w:pStyle w:val="898"/>
        <w:ind w:firstLine="420"/>
        <w:spacing w:line="360" w:lineRule="auto"/>
        <w:rPr>
          <w:rFonts w:hint="eastAsia"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r/>
    </w:p>
    <w:p>
      <w:pPr>
        <w:pStyle w:val="898"/>
        <w:ind w:firstLine="420"/>
        <w:spacing w:line="360" w:lineRule="auto"/>
        <w:rPr>
          <w:rFonts w:hint="eastAsia" w:ascii="宋体" w:hAnsi="宋体"/>
          <w:b/>
          <w:sz w:val="24"/>
          <w:szCs w:val="24"/>
        </w:rPr>
      </w:pPr>
      <w:r/>
      <w:bookmarkStart w:id="50" w:name="_Toc120614217"/>
      <w:r/>
      <w:bookmarkStart w:id="51" w:name="_Toc513029224"/>
      <w:r/>
      <w:bookmarkStart w:id="52" w:name="_Toc16938540"/>
      <w:r/>
      <w:bookmarkStart w:id="53" w:name="_Toc20823296"/>
      <w:r>
        <w:rPr>
          <w:rFonts w:hint="eastAsia" w:ascii="宋体" w:hAnsi="宋体"/>
          <w:b/>
          <w:sz w:val="24"/>
          <w:szCs w:val="24"/>
        </w:rPr>
        <w:t xml:space="preserve">四、响应文件的递交</w:t>
      </w:r>
      <w:bookmarkEnd w:id="50"/>
      <w:r/>
      <w:bookmarkEnd w:id="51"/>
      <w:r/>
      <w:bookmarkEnd w:id="52"/>
      <w:r/>
      <w:bookmarkEnd w:id="53"/>
      <w:r>
        <w:rPr>
          <w:rFonts w:hint="eastAsia" w:ascii="宋体" w:hAnsi="宋体"/>
          <w:b/>
          <w:sz w:val="24"/>
          <w:szCs w:val="24"/>
        </w:rPr>
      </w:r>
      <w:r/>
    </w:p>
    <w:p>
      <w:pPr>
        <w:pStyle w:val="898"/>
        <w:ind w:firstLine="420"/>
        <w:spacing w:line="360" w:lineRule="auto"/>
        <w:rPr>
          <w:rFonts w:hint="eastAsia" w:ascii="宋体" w:hAnsi="宋体"/>
          <w:sz w:val="24"/>
          <w:szCs w:val="24"/>
        </w:rPr>
      </w:pPr>
      <w:r/>
      <w:bookmarkStart w:id="54" w:name="_Toc20823297"/>
      <w:r/>
      <w:bookmarkStart w:id="55" w:name="_Toc16938541"/>
      <w:r/>
      <w:bookmarkStart w:id="56" w:name="_Toc513029225"/>
      <w:r/>
      <w:bookmarkStart w:id="57" w:name="_Toc462564084"/>
      <w:r>
        <w:rPr>
          <w:rFonts w:hint="eastAsia" w:ascii="宋体" w:hAnsi="宋体"/>
          <w:sz w:val="24"/>
          <w:szCs w:val="24"/>
        </w:rPr>
        <w:t xml:space="preserve">13</w:t>
      </w:r>
      <w:r>
        <w:rPr>
          <w:rFonts w:hint="eastAsia" w:ascii="宋体" w:hAnsi="宋体"/>
          <w:sz w:val="24"/>
          <w:szCs w:val="24"/>
        </w:rPr>
        <w:t xml:space="preserve">.</w:t>
      </w:r>
      <w:r>
        <w:rPr>
          <w:rFonts w:hint="eastAsia" w:ascii="宋体" w:hAnsi="宋体"/>
          <w:sz w:val="24"/>
          <w:szCs w:val="24"/>
        </w:rPr>
        <w:t xml:space="preserve">电子谈判</w:t>
      </w:r>
      <w:bookmarkEnd w:id="54"/>
      <w:r/>
      <w:bookmarkEnd w:id="55"/>
      <w:r/>
      <w:bookmarkEnd w:id="56"/>
      <w:r/>
      <w:bookmarkEnd w:id="57"/>
      <w:r>
        <w:rPr>
          <w:rFonts w:hint="eastAsia" w:ascii="宋体" w:hAnsi="宋体"/>
          <w:sz w:val="24"/>
          <w:szCs w:val="24"/>
        </w:rPr>
        <w:t xml:space="preserve">响应文件的递交</w:t>
      </w:r>
      <w:r/>
    </w:p>
    <w:p>
      <w:pPr>
        <w:pStyle w:val="898"/>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13.1供应商应当按照《操作手册》规定，在提交响应文件截止时间前</w:t>
      </w:r>
      <w:r>
        <w:rPr>
          <w:rFonts w:ascii="宋体" w:hAnsi="宋体"/>
          <w:sz w:val="24"/>
          <w:szCs w:val="24"/>
        </w:rPr>
        <w:t xml:space="preserve">制作</w:t>
      </w:r>
      <w:r>
        <w:rPr>
          <w:rFonts w:hint="eastAsia" w:ascii="宋体" w:hAnsi="宋体"/>
          <w:sz w:val="24"/>
          <w:szCs w:val="24"/>
        </w:rPr>
        <w:t xml:space="preserve">并上传电子响应文件。</w:t>
      </w:r>
      <w:bookmarkStart w:id="58" w:name="_Toc20823298"/>
      <w:r/>
      <w:bookmarkStart w:id="59" w:name="_Toc513029226"/>
      <w:r/>
      <w:bookmarkStart w:id="60" w:name="_Toc16938542"/>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 xml:space="preserve">.</w:t>
      </w:r>
      <w:r>
        <w:rPr>
          <w:rFonts w:hint="eastAsia" w:ascii="宋体" w:hAnsi="宋体"/>
          <w:sz w:val="24"/>
          <w:szCs w:val="24"/>
        </w:rPr>
        <w:t xml:space="preserve">提交响应文件截止时间</w:t>
      </w:r>
      <w:bookmarkEnd w:id="58"/>
      <w:r/>
      <w:bookmarkEnd w:id="59"/>
      <w:r/>
      <w:bookmarkEnd w:id="60"/>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本谈判文件第二章第21.3.2条规定做无效响应处理。</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p>
    <w:p>
      <w:pPr>
        <w:pStyle w:val="898"/>
        <w:ind w:firstLine="420"/>
        <w:spacing w:line="360" w:lineRule="auto"/>
        <w:rPr>
          <w:rFonts w:hint="eastAsia" w:ascii="宋体" w:hAnsi="宋体"/>
          <w:sz w:val="24"/>
          <w:szCs w:val="24"/>
        </w:rPr>
      </w:pPr>
      <w:r/>
      <w:bookmarkStart w:id="61" w:name="_Toc513029227"/>
      <w:r/>
      <w:bookmarkStart w:id="62" w:name="_Toc20823299"/>
      <w:r/>
      <w:bookmarkStart w:id="63" w:name="_Toc16938543"/>
      <w:r>
        <w:rPr>
          <w:rFonts w:hint="eastAsia" w:ascii="宋体" w:hAnsi="宋体"/>
          <w:sz w:val="24"/>
          <w:szCs w:val="24"/>
        </w:rPr>
        <w:t xml:space="preserve">15</w:t>
      </w:r>
      <w:r>
        <w:rPr>
          <w:rFonts w:hint="eastAsia" w:ascii="宋体" w:hAnsi="宋体"/>
          <w:sz w:val="24"/>
          <w:szCs w:val="24"/>
        </w:rPr>
        <w:t xml:space="preserve">.</w:t>
      </w:r>
      <w:r>
        <w:rPr>
          <w:rFonts w:hint="eastAsia" w:ascii="宋体" w:hAnsi="宋体"/>
          <w:sz w:val="24"/>
          <w:szCs w:val="24"/>
        </w:rPr>
        <w:t xml:space="preserve">响应文件</w:t>
      </w:r>
      <w:bookmarkEnd w:id="61"/>
      <w:r/>
      <w:bookmarkEnd w:id="62"/>
      <w:r/>
      <w:bookmarkEnd w:id="63"/>
      <w:r>
        <w:rPr>
          <w:rFonts w:hint="eastAsia" w:ascii="宋体" w:hAnsi="宋体"/>
          <w:sz w:val="24"/>
          <w:szCs w:val="24"/>
        </w:rPr>
        <w:t xml:space="preserve">的拒收</w:t>
      </w:r>
      <w:r/>
    </w:p>
    <w:p>
      <w:pPr>
        <w:pStyle w:val="898"/>
        <w:ind w:firstLine="420"/>
        <w:spacing w:line="360" w:lineRule="auto"/>
        <w:rPr>
          <w:rFonts w:hint="eastAsia" w:ascii="宋体" w:hAnsi="宋体"/>
          <w:sz w:val="24"/>
          <w:szCs w:val="24"/>
        </w:rPr>
      </w:pPr>
      <w:r>
        <w:rPr>
          <w:rFonts w:hint="eastAsia" w:ascii="宋体" w:hAnsi="宋体"/>
          <w:sz w:val="24"/>
          <w:szCs w:val="24"/>
        </w:rPr>
        <w:t xml:space="preserve">15.1采购人（或采购代理机构）拒绝接收在其规定的提交响应文件截止时间后上传的任何电子响应文件。</w:t>
      </w:r>
      <w:r/>
    </w:p>
    <w:p>
      <w:pPr>
        <w:pStyle w:val="898"/>
        <w:ind w:firstLine="420"/>
        <w:spacing w:line="360" w:lineRule="auto"/>
        <w:rPr>
          <w:rFonts w:hint="eastAsia" w:ascii="宋体" w:hAnsi="宋体"/>
          <w:sz w:val="24"/>
          <w:szCs w:val="24"/>
        </w:rPr>
      </w:pPr>
      <w:r/>
      <w:bookmarkStart w:id="64" w:name="_Toc513029228"/>
      <w:r/>
      <w:bookmarkStart w:id="65" w:name="_Toc20823300"/>
      <w:r/>
      <w:bookmarkStart w:id="66" w:name="_Toc16938544"/>
      <w:r>
        <w:rPr>
          <w:rFonts w:hint="eastAsia" w:ascii="宋体" w:hAnsi="宋体"/>
          <w:sz w:val="24"/>
          <w:szCs w:val="24"/>
        </w:rPr>
        <w:t xml:space="preserve">16</w:t>
      </w:r>
      <w:r>
        <w:rPr>
          <w:rFonts w:hint="eastAsia" w:ascii="宋体" w:hAnsi="宋体"/>
          <w:sz w:val="24"/>
          <w:szCs w:val="24"/>
        </w:rPr>
        <w:t xml:space="preserve">.</w:t>
      </w:r>
      <w:r>
        <w:rPr>
          <w:rFonts w:hint="eastAsia" w:ascii="宋体" w:hAnsi="宋体"/>
          <w:sz w:val="24"/>
          <w:szCs w:val="24"/>
        </w:rPr>
        <w:t xml:space="preserve">响应文件的撤回和修改</w:t>
      </w:r>
      <w:bookmarkEnd w:id="64"/>
      <w:r/>
      <w:bookmarkEnd w:id="65"/>
      <w:r/>
      <w:bookmarkEnd w:id="66"/>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16.1响应文件的撤回</w:t>
      </w:r>
      <w:r/>
    </w:p>
    <w:p>
      <w:pPr>
        <w:pStyle w:val="898"/>
        <w:ind w:firstLine="420"/>
        <w:spacing w:line="360" w:lineRule="auto"/>
        <w:rPr>
          <w:rFonts w:hint="eastAsia" w:ascii="宋体" w:hAnsi="宋体"/>
          <w:sz w:val="24"/>
          <w:szCs w:val="24"/>
        </w:rPr>
      </w:pPr>
      <w:r>
        <w:rPr>
          <w:rFonts w:hint="eastAsia" w:ascii="宋体" w:hAnsi="宋体"/>
          <w:sz w:val="24"/>
          <w:szCs w:val="24"/>
        </w:rPr>
        <w:t xml:space="preserve">16.1.1电子响应文件的撤回</w:t>
      </w:r>
      <w:r/>
    </w:p>
    <w:p>
      <w:pPr>
        <w:pStyle w:val="898"/>
        <w:ind w:firstLine="420"/>
        <w:spacing w:line="360" w:lineRule="auto"/>
        <w:rPr>
          <w:rFonts w:hint="eastAsia"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p>
    <w:p>
      <w:pPr>
        <w:pStyle w:val="898"/>
        <w:ind w:firstLine="420"/>
        <w:spacing w:line="360" w:lineRule="auto"/>
        <w:rPr>
          <w:rFonts w:hint="eastAsia" w:ascii="宋体" w:hAnsi="宋体"/>
          <w:sz w:val="24"/>
          <w:szCs w:val="24"/>
        </w:rPr>
      </w:pPr>
      <w:r>
        <w:rPr>
          <w:rFonts w:hint="eastAsia" w:ascii="宋体" w:hAnsi="宋体"/>
          <w:sz w:val="24"/>
          <w:szCs w:val="24"/>
        </w:rPr>
        <w:t xml:space="preserve">16.2响应文件的修改</w:t>
      </w:r>
      <w:r/>
    </w:p>
    <w:p>
      <w:pPr>
        <w:pStyle w:val="898"/>
        <w:ind w:firstLine="420"/>
        <w:spacing w:line="360" w:lineRule="auto"/>
        <w:rPr>
          <w:rFonts w:hint="eastAsia"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p>
    <w:p>
      <w:pPr>
        <w:pStyle w:val="898"/>
        <w:ind w:firstLine="420"/>
        <w:spacing w:line="360" w:lineRule="auto"/>
        <w:rPr>
          <w:rFonts w:hint="eastAsia" w:ascii="宋体" w:hAnsi="宋体"/>
          <w:sz w:val="24"/>
          <w:szCs w:val="24"/>
        </w:rPr>
      </w:pPr>
      <w:r>
        <w:rPr>
          <w:rFonts w:hint="eastAsia" w:ascii="宋体" w:hAnsi="宋体"/>
          <w:sz w:val="24"/>
          <w:szCs w:val="24"/>
        </w:rPr>
        <w:t xml:space="preserve">16.3在提交响应文件截止时间之后，供应商不得对其电子响应文件作任何修改。</w:t>
      </w:r>
      <w:r/>
    </w:p>
    <w:p>
      <w:pPr>
        <w:pStyle w:val="898"/>
        <w:ind w:firstLine="420"/>
        <w:spacing w:line="360" w:lineRule="auto"/>
        <w:rPr>
          <w:rFonts w:hint="eastAsia" w:ascii="宋体" w:hAnsi="宋体"/>
          <w:sz w:val="24"/>
          <w:szCs w:val="24"/>
        </w:rPr>
      </w:pPr>
      <w:r>
        <w:rPr>
          <w:rFonts w:hint="eastAsia" w:ascii="宋体" w:hAnsi="宋体"/>
          <w:sz w:val="24"/>
          <w:szCs w:val="24"/>
        </w:rPr>
        <w:t xml:space="preserve">16.4在提交响应文件截止时间至谈判文件中规定的谈判有效期满之间的这段时间内，供应商不得撤回其响应文件。</w:t>
      </w:r>
      <w:r/>
    </w:p>
    <w:p>
      <w:pPr>
        <w:pStyle w:val="898"/>
        <w:ind w:firstLine="420"/>
        <w:spacing w:line="360" w:lineRule="auto"/>
        <w:rPr>
          <w:rFonts w:hint="eastAsia" w:ascii="宋体" w:hAnsi="宋体"/>
          <w:b/>
          <w:sz w:val="24"/>
          <w:szCs w:val="24"/>
        </w:rPr>
      </w:pPr>
      <w:r/>
      <w:bookmarkStart w:id="67" w:name="_Toc513029229"/>
      <w:r/>
      <w:bookmarkStart w:id="68" w:name="_Toc20823301"/>
      <w:r/>
      <w:bookmarkStart w:id="69" w:name="_Toc16938545"/>
      <w:r/>
      <w:bookmarkStart w:id="70" w:name="_Toc120614218"/>
      <w:r>
        <w:rPr>
          <w:rFonts w:hint="eastAsia" w:ascii="宋体" w:hAnsi="宋体"/>
          <w:b/>
          <w:sz w:val="24"/>
          <w:szCs w:val="24"/>
        </w:rPr>
        <w:t xml:space="preserve">五、响应文件的解密与评审</w:t>
      </w:r>
      <w:bookmarkEnd w:id="67"/>
      <w:r/>
      <w:bookmarkEnd w:id="68"/>
      <w:r/>
      <w:bookmarkEnd w:id="69"/>
      <w:r/>
      <w:bookmarkEnd w:id="70"/>
      <w:r>
        <w:rPr>
          <w:rFonts w:hint="eastAsia" w:ascii="宋体" w:hAnsi="宋体"/>
          <w:b/>
          <w:sz w:val="24"/>
          <w:szCs w:val="24"/>
        </w:rPr>
      </w:r>
      <w:r/>
    </w:p>
    <w:p>
      <w:pPr>
        <w:pStyle w:val="898"/>
        <w:ind w:firstLine="420"/>
        <w:spacing w:line="360" w:lineRule="auto"/>
        <w:rPr>
          <w:rFonts w:hint="eastAsia" w:ascii="宋体" w:hAnsi="宋体"/>
          <w:sz w:val="24"/>
          <w:szCs w:val="24"/>
        </w:rPr>
      </w:pPr>
      <w:r/>
      <w:bookmarkStart w:id="71" w:name="_Toc16938546"/>
      <w:r/>
      <w:bookmarkStart w:id="72" w:name="_Toc20823302"/>
      <w:r/>
      <w:bookmarkStart w:id="73" w:name="_Toc513029230"/>
      <w:r>
        <w:rPr>
          <w:rFonts w:hint="eastAsia" w:ascii="宋体" w:hAnsi="宋体"/>
          <w:sz w:val="24"/>
          <w:szCs w:val="24"/>
        </w:rPr>
        <w:t xml:space="preserve">17</w:t>
      </w:r>
      <w:bookmarkEnd w:id="71"/>
      <w:r/>
      <w:bookmarkEnd w:id="72"/>
      <w:r/>
      <w:bookmarkEnd w:id="73"/>
      <w:r>
        <w:rPr>
          <w:rFonts w:hint="eastAsia" w:ascii="宋体" w:hAnsi="宋体"/>
          <w:sz w:val="24"/>
          <w:szCs w:val="24"/>
        </w:rPr>
        <w:t xml:space="preserve">.</w:t>
      </w:r>
      <w:r>
        <w:rPr>
          <w:rFonts w:hint="eastAsia" w:ascii="宋体" w:hAnsi="宋体"/>
          <w:sz w:val="24"/>
          <w:szCs w:val="24"/>
        </w:rPr>
        <w:t xml:space="preserve">响应文件解密</w:t>
      </w:r>
      <w:r/>
    </w:p>
    <w:p>
      <w:pPr>
        <w:pStyle w:val="898"/>
        <w:ind w:firstLine="420"/>
        <w:spacing w:line="360" w:lineRule="auto"/>
        <w:rPr>
          <w:rFonts w:hint="eastAsia" w:ascii="宋体" w:hAnsi="宋体"/>
          <w:sz w:val="24"/>
          <w:szCs w:val="24"/>
        </w:rPr>
      </w:pPr>
      <w:r>
        <w:rPr>
          <w:rFonts w:hint="eastAsia" w:ascii="宋体" w:hAnsi="宋体"/>
          <w:sz w:val="24"/>
          <w:szCs w:val="24"/>
        </w:rPr>
        <w:t xml:space="preserve">17.1供应商应当按照《操作手册》规定，在苏采云系统规定的时间内对谈判响应文件进行解密。</w:t>
      </w:r>
      <w:r/>
    </w:p>
    <w:p>
      <w:pPr>
        <w:pStyle w:val="898"/>
        <w:ind w:firstLine="420"/>
        <w:spacing w:line="360" w:lineRule="auto"/>
        <w:rPr>
          <w:rFonts w:hint="eastAsia" w:ascii="宋体" w:hAnsi="宋体"/>
          <w:sz w:val="24"/>
          <w:szCs w:val="24"/>
        </w:rPr>
      </w:pPr>
      <w:r/>
      <w:bookmarkStart w:id="74" w:name="_Toc16938547"/>
      <w:r/>
      <w:bookmarkStart w:id="75" w:name="_Toc513029231"/>
      <w:r/>
      <w:bookmarkStart w:id="76" w:name="_Toc20823303"/>
      <w:r>
        <w:rPr>
          <w:rFonts w:hint="eastAsia" w:ascii="宋体" w:hAnsi="宋体"/>
          <w:sz w:val="24"/>
          <w:szCs w:val="24"/>
        </w:rPr>
        <w:t xml:space="preserve">18</w:t>
      </w:r>
      <w:r>
        <w:rPr>
          <w:rFonts w:hint="eastAsia" w:ascii="宋体" w:hAnsi="宋体"/>
          <w:sz w:val="24"/>
          <w:szCs w:val="24"/>
        </w:rPr>
        <w:t xml:space="preserve">.</w:t>
      </w:r>
      <w:r>
        <w:rPr>
          <w:rFonts w:hint="eastAsia" w:ascii="宋体" w:hAnsi="宋体"/>
          <w:sz w:val="24"/>
          <w:szCs w:val="24"/>
        </w:rPr>
        <w:t xml:space="preserve">谈判小组</w:t>
      </w:r>
      <w:r/>
    </w:p>
    <w:p>
      <w:pPr>
        <w:pStyle w:val="898"/>
        <w:ind w:firstLine="420"/>
        <w:spacing w:line="360" w:lineRule="auto"/>
        <w:rPr>
          <w:rFonts w:hint="eastAsia" w:ascii="宋体" w:hAnsi="宋体"/>
          <w:sz w:val="24"/>
          <w:szCs w:val="24"/>
        </w:rPr>
      </w:pPr>
      <w:r>
        <w:rPr>
          <w:rFonts w:hint="eastAsia" w:ascii="宋体" w:hAnsi="宋体"/>
          <w:sz w:val="24"/>
          <w:szCs w:val="24"/>
        </w:rPr>
        <w:t xml:space="preserve">18.1采购代理机构将组织谈判小组对响应文件进行评审。谈判小组由采购人代表和有关技术、经济等方面的专家组成，且人员构成符合政府采购有关规定。</w:t>
      </w:r>
      <w:r/>
    </w:p>
    <w:p>
      <w:pPr>
        <w:pStyle w:val="898"/>
        <w:ind w:firstLine="420"/>
        <w:spacing w:line="360" w:lineRule="auto"/>
        <w:rPr>
          <w:rFonts w:hint="eastAsia" w:ascii="宋体" w:hAnsi="宋体"/>
          <w:sz w:val="24"/>
          <w:szCs w:val="24"/>
        </w:rPr>
      </w:pPr>
      <w:r>
        <w:rPr>
          <w:rFonts w:hint="eastAsia" w:ascii="宋体" w:hAnsi="宋体"/>
          <w:sz w:val="24"/>
          <w:szCs w:val="24"/>
        </w:rPr>
        <w:t xml:space="preserve">18.2谈判小组独立工作，负责评审所有响应文件并确定成交侯选人。</w:t>
      </w:r>
      <w:r/>
    </w:p>
    <w:p>
      <w:pPr>
        <w:pStyle w:val="898"/>
        <w:ind w:firstLine="420"/>
        <w:spacing w:line="360" w:lineRule="auto"/>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 xml:space="preserve">.</w:t>
      </w:r>
      <w:r>
        <w:rPr>
          <w:rFonts w:hint="eastAsia" w:ascii="宋体" w:hAnsi="宋体"/>
          <w:sz w:val="24"/>
          <w:szCs w:val="24"/>
        </w:rPr>
        <w:t xml:space="preserve">评审过程的保密与公正</w:t>
      </w:r>
      <w:r/>
    </w:p>
    <w:p>
      <w:pPr>
        <w:pStyle w:val="898"/>
        <w:ind w:firstLine="420"/>
        <w:spacing w:line="360" w:lineRule="auto"/>
        <w:rPr>
          <w:rFonts w:hint="eastAsia" w:ascii="宋体" w:hAnsi="宋体"/>
          <w:sz w:val="24"/>
          <w:szCs w:val="24"/>
        </w:rPr>
      </w:pPr>
      <w:r/>
      <w:bookmarkEnd w:id="74"/>
      <w:r/>
      <w:bookmarkEnd w:id="75"/>
      <w:r/>
      <w:bookmarkEnd w:id="76"/>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p>
    <w:p>
      <w:pPr>
        <w:pStyle w:val="898"/>
        <w:ind w:firstLine="420"/>
        <w:spacing w:line="360" w:lineRule="auto"/>
        <w:rPr>
          <w:rFonts w:hint="eastAsia"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p>
    <w:p>
      <w:pPr>
        <w:pStyle w:val="898"/>
        <w:ind w:firstLine="420"/>
        <w:spacing w:line="360" w:lineRule="auto"/>
        <w:rPr>
          <w:rFonts w:hint="eastAsia" w:ascii="宋体" w:hAnsi="宋体"/>
          <w:sz w:val="24"/>
          <w:szCs w:val="24"/>
        </w:rPr>
      </w:pPr>
      <w:r>
        <w:rPr>
          <w:rFonts w:hint="eastAsia" w:ascii="宋体" w:hAnsi="宋体"/>
          <w:sz w:val="24"/>
          <w:szCs w:val="24"/>
        </w:rPr>
        <w:t xml:space="preserve">19.3采购代理机构和谈判小组不向未成交的供应商解释未成交原因，也不公布评审过程中的相关细节。</w:t>
      </w:r>
      <w:r/>
    </w:p>
    <w:p>
      <w:pPr>
        <w:pStyle w:val="898"/>
        <w:ind w:firstLine="420"/>
        <w:spacing w:line="360" w:lineRule="auto"/>
        <w:rPr>
          <w:rFonts w:hint="eastAsia" w:ascii="宋体" w:hAnsi="宋体"/>
          <w:sz w:val="24"/>
          <w:szCs w:val="24"/>
        </w:rPr>
      </w:pPr>
      <w:r/>
      <w:bookmarkStart w:id="77" w:name="_Toc20823304"/>
      <w:r/>
      <w:bookmarkStart w:id="78" w:name="_Toc513029232"/>
      <w:r/>
      <w:bookmarkStart w:id="79" w:name="_Toc16938548"/>
      <w:r>
        <w:rPr>
          <w:rFonts w:hint="eastAsia" w:ascii="宋体" w:hAnsi="宋体"/>
          <w:sz w:val="24"/>
          <w:szCs w:val="24"/>
        </w:rPr>
        <w:t xml:space="preserve">20</w:t>
      </w:r>
      <w:r>
        <w:rPr>
          <w:rFonts w:hint="eastAsia" w:ascii="宋体" w:hAnsi="宋体"/>
          <w:sz w:val="24"/>
          <w:szCs w:val="24"/>
        </w:rPr>
        <w:t xml:space="preserve">.</w:t>
      </w:r>
      <w:r>
        <w:rPr>
          <w:rFonts w:hint="eastAsia" w:ascii="宋体" w:hAnsi="宋体"/>
          <w:sz w:val="24"/>
          <w:szCs w:val="24"/>
        </w:rPr>
        <w:t xml:space="preserve">评审过程中的的澄清</w:t>
      </w:r>
      <w:bookmarkEnd w:id="77"/>
      <w:r/>
      <w:bookmarkEnd w:id="78"/>
      <w:r/>
      <w:bookmarkEnd w:id="79"/>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98"/>
        <w:ind w:firstLine="420"/>
        <w:spacing w:line="360" w:lineRule="auto"/>
        <w:rPr>
          <w:rFonts w:hint="eastAsia" w:ascii="宋体" w:hAnsi="宋体"/>
          <w:sz w:val="24"/>
          <w:szCs w:val="24"/>
        </w:rPr>
      </w:pPr>
      <w:r>
        <w:rPr>
          <w:rFonts w:hint="eastAsia" w:ascii="宋体" w:hAnsi="宋体"/>
          <w:sz w:val="24"/>
          <w:szCs w:val="24"/>
        </w:rPr>
        <w:t xml:space="preserve">谈判小组并非对每个供应商都作澄清要求。</w:t>
      </w:r>
      <w:r/>
    </w:p>
    <w:p>
      <w:pPr>
        <w:pStyle w:val="898"/>
        <w:ind w:firstLine="420"/>
        <w:spacing w:line="360" w:lineRule="auto"/>
        <w:rPr>
          <w:rFonts w:hint="eastAsia" w:ascii="宋体" w:hAnsi="宋体"/>
          <w:sz w:val="24"/>
          <w:szCs w:val="24"/>
        </w:rPr>
      </w:pPr>
      <w:r>
        <w:rPr>
          <w:rFonts w:hint="eastAsia" w:ascii="宋体" w:hAnsi="宋体"/>
          <w:sz w:val="24"/>
          <w:szCs w:val="24"/>
        </w:rPr>
        <w:t xml:space="preserve">20.2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p>
    <w:p>
      <w:pPr>
        <w:pStyle w:val="898"/>
        <w:ind w:firstLine="420"/>
        <w:spacing w:line="360" w:lineRule="auto"/>
        <w:rPr>
          <w:rFonts w:hint="eastAsia"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p>
    <w:p>
      <w:pPr>
        <w:pStyle w:val="898"/>
        <w:ind w:firstLine="420"/>
        <w:spacing w:line="360" w:lineRule="auto"/>
        <w:rPr>
          <w:rFonts w:hint="eastAsia" w:ascii="宋体" w:hAnsi="宋体"/>
          <w:sz w:val="24"/>
          <w:szCs w:val="24"/>
        </w:rPr>
      </w:pPr>
      <w:r/>
      <w:bookmarkStart w:id="80" w:name="_Toc20823305"/>
      <w:r/>
      <w:bookmarkStart w:id="81" w:name="_Toc16938549"/>
      <w:r/>
      <w:bookmarkStart w:id="82" w:name="_Toc513029233"/>
      <w:r>
        <w:rPr>
          <w:rFonts w:hint="eastAsia" w:ascii="宋体" w:hAnsi="宋体"/>
          <w:sz w:val="24"/>
          <w:szCs w:val="24"/>
        </w:rPr>
        <w:t xml:space="preserve">21</w:t>
      </w:r>
      <w:r>
        <w:rPr>
          <w:rFonts w:hint="eastAsia" w:ascii="宋体" w:hAnsi="宋体"/>
          <w:sz w:val="24"/>
          <w:szCs w:val="24"/>
        </w:rPr>
        <w:t xml:space="preserve">.</w:t>
      </w:r>
      <w:r>
        <w:rPr>
          <w:rFonts w:hint="eastAsia" w:ascii="宋体" w:hAnsi="宋体"/>
          <w:sz w:val="24"/>
          <w:szCs w:val="24"/>
        </w:rPr>
        <w:t xml:space="preserve">对响应文件的审</w:t>
      </w:r>
      <w:bookmarkEnd w:id="80"/>
      <w:r/>
      <w:bookmarkEnd w:id="81"/>
      <w:r/>
      <w:bookmarkEnd w:id="82"/>
      <w:r>
        <w:rPr>
          <w:rFonts w:hint="eastAsia" w:ascii="宋体" w:hAnsi="宋体"/>
          <w:sz w:val="24"/>
          <w:szCs w:val="24"/>
        </w:rPr>
        <w:t xml:space="preserve">查</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21.1响应文件审查分为资格审查和符合性审查。</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p>
    <w:p>
      <w:pPr>
        <w:pStyle w:val="898"/>
        <w:ind w:firstLine="420"/>
        <w:jc w:val="left"/>
        <w:spacing w:line="360" w:lineRule="auto"/>
        <w:rPr>
          <w:rFonts w:hint="eastAsia"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谈判小组在进行资格审查的同时，将在“信用中国”网站（www.creditchina.gov.cn）查询供应商的信用记录，以确定供应商是否具备谈判资格,并归档。</w:t>
      </w:r>
      <w:r/>
    </w:p>
    <w:p>
      <w:pPr>
        <w:pStyle w:val="898"/>
        <w:ind w:firstLine="420"/>
        <w:spacing w:line="360" w:lineRule="auto"/>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21.1.2符合性审查：依据谈判文件的规定，由谈判小组从响应文件的有效性、完整性和对谈判文件的响应程度进行审查，以确定是否对谈判文件的实质性要求作出响应。</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21.1.3未通过资格审查或符合性审查的供应商，谈判小组将在苏采云系统中告知未通过资格审查或符合性审查的原因，评审结束后，谈判小组将不再告知未通过资格审查或符合性审查的原因。</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p>
    <w:p>
      <w:pPr>
        <w:pStyle w:val="898"/>
        <w:ind w:firstLine="420"/>
        <w:spacing w:line="360" w:lineRule="auto"/>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21.3未实质性响应谈判文件的情形</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21.3.1供应商在苏采云系统规定的时间内未成功解密电子响应文件的。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21.3.2供应商未按照谈判文件要求上传电子响应文件的。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21.3.3同一供应商提交两个（含两个）以上不同的响应文件或者最后报价的。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21.3.4供应商不具备谈判文件中规定资格要求的。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21.3.5供应商的最后报价超过了采购预算。</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21.3.6不符合谈判文件中规定的实质性要求和条件的。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21.3.8响应文件含有采购人不能接受的附加条件的。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21.3.10响应文件未按照谈判文件要求加盖CA电子公章的。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21.4未实质性响应谈判文件的响应文件按无效响应处理。</w:t>
      </w:r>
      <w:r/>
    </w:p>
    <w:p>
      <w:pPr>
        <w:pStyle w:val="898"/>
        <w:ind w:firstLine="420"/>
        <w:spacing w:line="360" w:lineRule="auto"/>
        <w:rPr>
          <w:rFonts w:hint="eastAsia"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p>
    <w:p>
      <w:pPr>
        <w:pStyle w:val="898"/>
        <w:ind w:firstLine="420"/>
        <w:spacing w:line="360" w:lineRule="auto"/>
        <w:rPr>
          <w:rFonts w:hint="eastAsia" w:ascii="宋体" w:hAnsi="宋体"/>
          <w:sz w:val="24"/>
          <w:szCs w:val="24"/>
        </w:rPr>
      </w:pPr>
      <w:r/>
      <w:bookmarkStart w:id="83" w:name="_Toc513029234"/>
      <w:r/>
      <w:bookmarkStart w:id="84" w:name="_Toc20823306"/>
      <w:r/>
      <w:bookmarkStart w:id="85" w:name="_Toc16938550"/>
      <w:r>
        <w:rPr>
          <w:rFonts w:hint="eastAsia" w:ascii="宋体" w:hAnsi="宋体"/>
          <w:sz w:val="24"/>
          <w:szCs w:val="24"/>
        </w:rPr>
        <w:t xml:space="preserve">21.6供应商在项目评审全过程中应保持通讯畅通，并安排专人与代理机构及谈判小组联系。</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22</w:t>
      </w:r>
      <w:bookmarkEnd w:id="83"/>
      <w:r/>
      <w:bookmarkEnd w:id="84"/>
      <w:r/>
      <w:bookmarkEnd w:id="85"/>
      <w:r>
        <w:rPr>
          <w:rFonts w:hint="eastAsia" w:ascii="宋体" w:hAnsi="宋体"/>
          <w:b/>
          <w:sz w:val="24"/>
          <w:szCs w:val="24"/>
        </w:rPr>
        <w:t xml:space="preserve">.</w:t>
      </w:r>
      <w:r>
        <w:rPr>
          <w:rFonts w:hint="eastAsia" w:ascii="宋体" w:hAnsi="宋体"/>
          <w:b/>
          <w:sz w:val="24"/>
          <w:szCs w:val="24"/>
        </w:rPr>
        <w:t xml:space="preserve">谈判程序及成交原则</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22.1谈判程序</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898"/>
        <w:ind w:firstLine="420"/>
        <w:spacing w:line="360" w:lineRule="auto"/>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898"/>
        <w:ind w:firstLine="420"/>
        <w:spacing w:line="360" w:lineRule="auto"/>
        <w:rPr>
          <w:rFonts w:hint="eastAsia" w:ascii="宋体" w:hAnsi="宋体"/>
          <w:sz w:val="24"/>
          <w:szCs w:val="24"/>
        </w:rPr>
      </w:pPr>
      <w:r>
        <w:rPr>
          <w:rFonts w:hint="eastAsia" w:ascii="宋体" w:hAnsi="宋体"/>
          <w:sz w:val="24"/>
          <w:szCs w:val="24"/>
        </w:rPr>
        <w:t xml:space="preserve"> 22.1.2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提交最后报价的时间为</w:t>
      </w:r>
      <w:r>
        <w:rPr>
          <w:rFonts w:hint="eastAsia" w:ascii="宋体" w:hAnsi="宋体"/>
          <w:b/>
          <w:sz w:val="24"/>
          <w:szCs w:val="24"/>
        </w:rPr>
        <w:t xml:space="preserve">10分钟。</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w:t>
      </w:r>
      <w:r>
        <w:rPr>
          <w:rFonts w:hint="eastAsia" w:ascii="宋体" w:hAnsi="宋体"/>
          <w:b/>
          <w:sz w:val="24"/>
          <w:szCs w:val="24"/>
        </w:rPr>
        <w:t xml:space="preserve">（最后报价时间为10分钟）</w:t>
      </w:r>
      <w:r>
        <w:rPr>
          <w:rFonts w:hint="eastAsia" w:ascii="宋体" w:hAnsi="宋体"/>
          <w:sz w:val="24"/>
          <w:szCs w:val="24"/>
        </w:rPr>
        <w:t xml:space="preserve">提交最后报价。 </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22.1.</w:t>
      </w:r>
      <w:r>
        <w:rPr>
          <w:rFonts w:hint="eastAsia" w:ascii="宋体" w:hAnsi="宋体"/>
          <w:b/>
          <w:sz w:val="24"/>
          <w:szCs w:val="24"/>
        </w:rPr>
        <w:t xml:space="preserve">3供应商未在谈判小组规定的时间内在苏采云系统中提交最后报价的视为放弃谈判，其响应文件按无效响应处理，最后报价格式表须加盖CA电子公章,否则视为未提交最后报价。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，并在苏采云系统中提交“退出谈判函”并加盖CA电子公章</w:t>
      </w:r>
      <w:r>
        <w:rPr>
          <w:rFonts w:ascii="宋体" w:hAnsi="宋体"/>
          <w:b/>
          <w:sz w:val="24"/>
          <w:szCs w:val="24"/>
        </w:rPr>
        <w:t xml:space="preserve">。</w:t>
      </w:r>
      <w:r>
        <w:rPr>
          <w:rFonts w:hint="eastAsia"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22.2成交原则</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22.2.2供应商的最后报价如相同，则优先采购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898"/>
        <w:ind w:firstLine="420"/>
        <w:spacing w:line="360" w:lineRule="auto"/>
        <w:rPr>
          <w:rFonts w:ascii="宋体" w:hAnsi="宋体"/>
          <w:sz w:val="24"/>
          <w:szCs w:val="24"/>
        </w:rPr>
      </w:pPr>
      <w:r>
        <w:rPr>
          <w:rFonts w:hint="eastAsia" w:ascii="宋体" w:hAnsi="宋体"/>
          <w:sz w:val="24"/>
          <w:szCs w:val="24"/>
        </w:rPr>
        <w:t xml:space="preserve">22.2.4 采购人确定成交供应商后，采购代理机构将在“苏州市政府采购网”发布成交结果公告，公告期限为1个工作日。</w:t>
      </w:r>
      <w:r>
        <w:rPr>
          <w:rFonts w:ascii="宋体" w:hAnsi="宋体"/>
          <w:sz w:val="24"/>
          <w:szCs w:val="24"/>
        </w:rPr>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22.3.1因情况变化，不再符合规定的竞争性谈判采购方式适用情形的。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22.3.2出现影响采购公正的违法、违规行为的。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22.3.4在苏采云系统规定时间内成功解密电子响应文件的供应商不足3家的。</w:t>
      </w:r>
      <w:r/>
    </w:p>
    <w:p>
      <w:pPr>
        <w:pStyle w:val="898"/>
        <w:ind w:firstLine="420"/>
        <w:spacing w:line="360" w:lineRule="auto"/>
        <w:rPr>
          <w:rFonts w:hint="eastAsia" w:ascii="宋体" w:hAnsi="宋体"/>
          <w:b/>
          <w:sz w:val="24"/>
          <w:szCs w:val="24"/>
        </w:rPr>
      </w:pPr>
      <w:r>
        <w:rPr>
          <w:rFonts w:hint="eastAsia" w:ascii="宋体" w:hAnsi="宋体"/>
          <w:b/>
          <w:sz w:val="24"/>
          <w:szCs w:val="24"/>
        </w:rPr>
        <w:t xml:space="preserve">23.异常低价响应审查</w:t>
      </w:r>
      <w:r/>
    </w:p>
    <w:p>
      <w:pPr>
        <w:pStyle w:val="898"/>
        <w:ind w:firstLine="420"/>
        <w:spacing w:line="360" w:lineRule="auto"/>
        <w:rPr>
          <w:rFonts w:ascii="宋体" w:hAnsi="宋体"/>
          <w:b/>
          <w:sz w:val="24"/>
        </w:rPr>
      </w:pPr>
      <w:r>
        <w:rPr>
          <w:rFonts w:hint="eastAsia" w:ascii="宋体" w:hAnsi="宋体"/>
          <w:b/>
          <w:sz w:val="24"/>
        </w:rPr>
        <w:t xml:space="preserve">23.1政府采购评审中出现下列情形之一的，评审委员会应当启动异常低价投标（响应）审查程序：</w:t>
      </w:r>
      <w:r>
        <w:rPr>
          <w:rFonts w:ascii="宋体" w:hAnsi="宋体"/>
          <w:b/>
          <w:sz w:val="24"/>
        </w:rPr>
      </w:r>
      <w:r/>
    </w:p>
    <w:p>
      <w:pPr>
        <w:pStyle w:val="898"/>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23.1.1投标（响应）报价低于全部通过符合性审查供应商投标（响应）报价平均值50%的，即投标（响应）报价&lt;全部通过符合性审查供应商投标（响应）报价平均值×50%；</w:t>
      </w:r>
      <w:r>
        <w:rPr>
          <w:rFonts w:ascii="Calibri" w:hAnsi="Calibri" w:cs="Calibri"/>
          <w:b/>
          <w:szCs w:val="21"/>
        </w:rPr>
      </w:r>
      <w:r/>
    </w:p>
    <w:p>
      <w:pPr>
        <w:pStyle w:val="898"/>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23.1.2投标（响应）报价低于通过符合性审查的次低报价供应商投标（响应）报价50%的，即投标（响应）报价&lt;通过符合性审查的次低报价供应商投标（响应）报价×50%；</w:t>
      </w:r>
      <w:r>
        <w:rPr>
          <w:rFonts w:ascii="Calibri" w:hAnsi="Calibri" w:cs="Calibri"/>
          <w:b/>
          <w:szCs w:val="21"/>
        </w:rPr>
      </w:r>
      <w:r/>
    </w:p>
    <w:p>
      <w:pPr>
        <w:pStyle w:val="898"/>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23.1.3投标（响应）报价低于采购项目最高限价45%的，即投标（响应）报价&lt;采购项目最高限价×45%；</w:t>
      </w:r>
      <w:r>
        <w:rPr>
          <w:rFonts w:ascii="Calibri" w:hAnsi="Calibri" w:cs="Calibri"/>
          <w:b/>
          <w:szCs w:val="21"/>
        </w:rPr>
      </w:r>
      <w:r/>
    </w:p>
    <w:p>
      <w:pPr>
        <w:pStyle w:val="898"/>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23.1.4评审委员会基于专业判断，认为供应商报价过低，有可能影响产品质量或者不能诚信履约的其他情形。</w:t>
      </w:r>
      <w:r>
        <w:rPr>
          <w:rFonts w:ascii="Calibri" w:hAnsi="Calibri" w:cs="Calibri"/>
          <w:b/>
          <w:szCs w:val="21"/>
        </w:rPr>
      </w:r>
      <w:r/>
    </w:p>
    <w:p>
      <w:pPr>
        <w:pStyle w:val="898"/>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Calibri" w:hAnsi="Calibri" w:cs="Calibri"/>
          <w:b/>
          <w:szCs w:val="21"/>
        </w:rPr>
      </w:r>
      <w:r/>
    </w:p>
    <w:p>
      <w:pPr>
        <w:pStyle w:val="898"/>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b/>
          <w:szCs w:val="21"/>
        </w:rPr>
      </w:r>
      <w:r/>
    </w:p>
    <w:p>
      <w:pPr>
        <w:pStyle w:val="898"/>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rPr>
          <w:b/>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t xml:space="preserve">.</w:t>
      </w:r>
      <w:r>
        <w:rPr>
          <w:rFonts w:hint="eastAsia" w:ascii="宋体" w:hAnsi="宋体"/>
          <w:sz w:val="24"/>
          <w:szCs w:val="24"/>
        </w:rPr>
        <w:t xml:space="preserve">成交供应商被取消成交资格情形</w:t>
      </w:r>
      <w:r/>
    </w:p>
    <w:p>
      <w:pPr>
        <w:pStyle w:val="898"/>
        <w:ind w:firstLine="420"/>
        <w:spacing w:line="360" w:lineRule="auto"/>
        <w:rPr>
          <w:rFonts w:hint="eastAsia" w:ascii="宋体" w:hAnsi="宋体"/>
          <w:sz w:val="24"/>
          <w:szCs w:val="24"/>
        </w:rPr>
      </w:pPr>
      <w:r>
        <w:rPr>
          <w:rFonts w:hint="eastAsia" w:ascii="宋体" w:hAnsi="宋体"/>
          <w:sz w:val="24"/>
          <w:szCs w:val="24"/>
        </w:rPr>
        <w:t xml:space="preserve">若有充分证据证明，成交供应商出现下列情况之一的，一经查实，将被取消成交资格：</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24.1提供虚假材料谋取成交的。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24.2与评审专家、采购人、其他供应商或者采购代理机构工作人员恶意串通的。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24.3向评审专家、采购人或采购代理机构工作人员行贿或者提供其他不正当利益的。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24.4恶意竞争，最后报价明显低于其自身合理成本且又无法提供证明的。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24.5不满足本谈判文件规定的实质性要求，但在评审过程中又未被谈判小组发现的。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24.6成交后无正当理由拒不与采购人签订政府采购合同或者未按照谈判文件确定的事项签订政府采购合同的。</w:t>
      </w:r>
      <w:r/>
    </w:p>
    <w:p>
      <w:pPr>
        <w:pStyle w:val="898"/>
        <w:ind w:firstLine="420"/>
        <w:spacing w:line="360" w:lineRule="auto"/>
        <w:rPr>
          <w:rFonts w:hint="eastAsia" w:ascii="宋体" w:hAnsi="宋体"/>
          <w:sz w:val="24"/>
          <w:szCs w:val="24"/>
        </w:rPr>
      </w:pPr>
      <w:r>
        <w:rPr>
          <w:rFonts w:hint="eastAsia" w:ascii="宋体" w:hAnsi="宋体"/>
          <w:sz w:val="24"/>
          <w:szCs w:val="24"/>
        </w:rPr>
        <w:t xml:space="preserve">24.7将政府采购合同转包的。</w:t>
      </w:r>
      <w:r/>
    </w:p>
    <w:p>
      <w:pPr>
        <w:pStyle w:val="898"/>
        <w:ind w:firstLine="420"/>
        <w:spacing w:line="360" w:lineRule="auto"/>
        <w:rPr>
          <w:rFonts w:hint="eastAsia" w:ascii="宋体" w:hAnsi="宋体"/>
          <w:b/>
          <w:sz w:val="24"/>
          <w:szCs w:val="24"/>
        </w:rPr>
      </w:pPr>
      <w:r/>
      <w:bookmarkStart w:id="86" w:name="_Toc200451960"/>
      <w:r>
        <w:rPr>
          <w:rFonts w:ascii="宋体" w:hAnsi="宋体"/>
          <w:b/>
          <w:sz w:val="24"/>
          <w:szCs w:val="24"/>
        </w:rPr>
        <w:t xml:space="preserve">2</w:t>
      </w:r>
      <w:r>
        <w:rPr>
          <w:rFonts w:hint="eastAsia" w:ascii="宋体" w:hAnsi="宋体"/>
          <w:b/>
          <w:sz w:val="24"/>
          <w:szCs w:val="24"/>
        </w:rPr>
        <w:t xml:space="preserve">5</w:t>
      </w:r>
      <w:r>
        <w:rPr>
          <w:rFonts w:hint="eastAsia" w:ascii="宋体" w:hAnsi="宋体"/>
          <w:b/>
          <w:sz w:val="24"/>
          <w:szCs w:val="24"/>
        </w:rPr>
        <w:t xml:space="preserve">.</w:t>
      </w:r>
      <w:r>
        <w:rPr>
          <w:rFonts w:hint="eastAsia" w:ascii="宋体" w:hAnsi="宋体"/>
          <w:b/>
          <w:sz w:val="24"/>
          <w:szCs w:val="24"/>
        </w:rPr>
        <w:t xml:space="preserve">质疑处理</w:t>
      </w:r>
      <w:bookmarkEnd w:id="86"/>
      <w:r>
        <w:rPr>
          <w:rFonts w:hint="eastAsia" w:ascii="宋体" w:hAnsi="宋体"/>
          <w:b/>
          <w:sz w:val="24"/>
          <w:szCs w:val="24"/>
        </w:rPr>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5.1 1.提出质疑的供应商应当是参与所质疑项目采购活动的供应商。潜在供应商依法获取其可质疑的采购文件的，可以对采购谈判文件提出质疑。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5.2.1</w:t>
      </w:r>
      <w:r>
        <w:rPr>
          <w:rFonts w:ascii="宋体" w:hAnsi="宋体"/>
          <w:sz w:val="24"/>
          <w:szCs w:val="24"/>
        </w:rPr>
        <w:t xml:space="preserve">对可以质疑的采购文件提出质疑的，为收到采购文件之日或者采购谈判文件公告期限届满之日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5.2.3</w:t>
      </w:r>
      <w:r>
        <w:rPr>
          <w:rFonts w:ascii="宋体" w:hAnsi="宋体"/>
          <w:sz w:val="24"/>
          <w:szCs w:val="24"/>
        </w:rPr>
        <w:t xml:space="preserve">对成交结果提出质疑的，为成交结果公告期限届满之日。</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898"/>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5.3质疑函必须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社保证明。</w:t>
      </w:r>
      <w:r>
        <w:rPr>
          <w:rFonts w:ascii="宋体" w:hAnsi="宋体"/>
          <w:sz w:val="24"/>
          <w:szCs w:val="24"/>
        </w:rPr>
      </w:r>
      <w:r/>
    </w:p>
    <w:p>
      <w:pPr>
        <w:pStyle w:val="898"/>
        <w:ind w:firstLine="420"/>
        <w:jc w:val="left"/>
        <w:spacing w:line="360" w:lineRule="auto"/>
        <w:rPr>
          <w:rFonts w:hint="eastAsia"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rPr>
          <w:rFonts w:hint="eastAsia"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质疑函应包括以下主要内容，并按照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25.3.1供应商的姓名或者名称、地址、邮编、联系人及联系电话；</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25.3.2质疑项目名称、编号；</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25.3.3具体、明确的质疑事项和与质疑事项相关的请求；</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25.3.4具体的事实依据及相关证据材料；</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25.3.5必要的法律依据；</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25.3.6提出质疑的日期；</w:t>
      </w:r>
      <w:r>
        <w:rPr>
          <w:rFonts w:ascii="宋体" w:hAnsi="宋体"/>
          <w:sz w:val="24"/>
          <w:szCs w:val="24"/>
        </w:rPr>
      </w:r>
      <w:r/>
    </w:p>
    <w:p>
      <w:pPr>
        <w:pStyle w:val="898"/>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7</w:t>
      </w:r>
      <w:r>
        <w:rPr>
          <w:rFonts w:hint="eastAsia" w:ascii="宋体" w:hAnsi="宋体"/>
          <w:sz w:val="24"/>
          <w:szCs w:val="24"/>
        </w:rPr>
        <w:t xml:space="preserve">依法获取采购文件的证明（投标供应商确认函）；</w:t>
      </w:r>
      <w:r>
        <w:rPr>
          <w:rFonts w:ascii="宋体" w:hAnsi="宋体"/>
          <w:sz w:val="24"/>
          <w:szCs w:val="24"/>
        </w:rPr>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采购人及采购代理机构只接收以纸质原件形式送达的质疑,采购人质疑接收人及联系方式见本谈判文件第一章。</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5.5以下情形的质疑不予受理</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5.5.1内容不符合《政府采购质疑和投诉办法》第十二条规定的质疑。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5.5.2超出政府采购法定期限的质疑。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5.5.3以传真、电子邮件等方式递交的非原件形式的质疑。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5.5.4未参加谈判活动的供应商或在谈判活动中自身权益未受到损害的供应商所提出的质疑。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5.5.5供应商组成联合体参加谈判，联合体中任何一方或多方未按要求签字、盖章、加盖公章的质疑。</w:t>
      </w:r>
      <w:r/>
    </w:p>
    <w:p>
      <w:pPr>
        <w:pStyle w:val="898"/>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98"/>
        <w:ind w:firstLine="420"/>
        <w:spacing w:line="360" w:lineRule="auto"/>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w:t>
      </w:r>
      <w:r>
        <w:rPr>
          <w:rFonts w:hint="eastAsia" w:ascii="宋体" w:hAnsi="宋体"/>
          <w:b/>
          <w:sz w:val="24"/>
          <w:szCs w:val="24"/>
        </w:rPr>
        <w:t xml:space="preserve">成交通知书</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26</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98"/>
        <w:ind w:firstLine="420"/>
        <w:spacing w:line="360" w:lineRule="auto"/>
        <w:rPr>
          <w:rFonts w:hint="eastAsia" w:ascii="宋体" w:hAnsi="宋体"/>
          <w:sz w:val="24"/>
          <w:szCs w:val="24"/>
        </w:rPr>
      </w:pPr>
      <w:r>
        <w:rPr>
          <w:rFonts w:hint="eastAsia" w:ascii="宋体" w:hAnsi="宋体"/>
          <w:sz w:val="24"/>
          <w:szCs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pStyle w:val="898"/>
        <w:ind w:firstLine="420"/>
        <w:spacing w:line="360" w:lineRule="auto"/>
        <w:rPr>
          <w:rFonts w:hint="eastAsia" w:ascii="宋体" w:hAnsi="宋体"/>
          <w:b/>
          <w:sz w:val="24"/>
          <w:szCs w:val="24"/>
        </w:rPr>
      </w:pPr>
      <w:r/>
      <w:bookmarkStart w:id="87" w:name="_Toc16938552"/>
      <w:r/>
      <w:bookmarkStart w:id="88" w:name="_Toc120614220"/>
      <w:r/>
      <w:bookmarkStart w:id="89" w:name="_Toc20823308"/>
      <w:r/>
      <w:bookmarkStart w:id="90" w:name="_Toc513029236"/>
      <w:r>
        <w:rPr>
          <w:rFonts w:hint="eastAsia" w:ascii="宋体" w:hAnsi="宋体"/>
          <w:b/>
          <w:sz w:val="24"/>
          <w:szCs w:val="24"/>
        </w:rPr>
        <w:t xml:space="preserve">七、授予合同</w:t>
      </w:r>
      <w:bookmarkEnd w:id="88"/>
      <w:r>
        <w:rPr>
          <w:rFonts w:hint="eastAsia" w:ascii="宋体" w:hAnsi="宋体"/>
          <w:b/>
          <w:sz w:val="24"/>
          <w:szCs w:val="24"/>
        </w:rPr>
      </w:r>
      <w:r/>
    </w:p>
    <w:p>
      <w:pPr>
        <w:pStyle w:val="898"/>
        <w:ind w:firstLine="420"/>
        <w:spacing w:line="360" w:lineRule="auto"/>
        <w:rPr>
          <w:rFonts w:hint="eastAsia" w:ascii="宋体" w:hAnsi="宋体"/>
          <w:sz w:val="24"/>
          <w:szCs w:val="24"/>
        </w:rPr>
      </w:pPr>
      <w:r/>
      <w:bookmarkEnd w:id="87"/>
      <w:r/>
      <w:bookmarkEnd w:id="89"/>
      <w:r/>
      <w:bookmarkEnd w:id="90"/>
      <w:r/>
      <w:bookmarkStart w:id="91" w:name="_Toc16938553"/>
      <w:r/>
      <w:bookmarkStart w:id="92" w:name="_Toc20823309"/>
      <w:r/>
      <w:bookmarkStart w:id="93" w:name="_Toc513029237"/>
      <w:r>
        <w:rPr>
          <w:rFonts w:hint="eastAsia" w:ascii="宋体" w:hAnsi="宋体"/>
          <w:sz w:val="24"/>
          <w:szCs w:val="24"/>
        </w:rPr>
        <w:t xml:space="preserve">27.签订合同</w:t>
      </w:r>
      <w:r/>
    </w:p>
    <w:p>
      <w:pPr>
        <w:pStyle w:val="898"/>
        <w:ind w:firstLine="420"/>
        <w:spacing w:line="360" w:lineRule="auto"/>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rPr>
        <w:t xml:space="preserve">1</w:t>
      </w:r>
      <w:r>
        <w:rPr>
          <w:rFonts w:hint="eastAsia" w:ascii="宋体" w:hAnsi="宋体"/>
          <w:b/>
          <w:sz w:val="24"/>
          <w:szCs w:val="24"/>
        </w:rPr>
        <w:t xml:space="preserve">成交供应商应当在成交通知书发出之日起三十日内，按照谈判文件确定的事项与采购人签订政府采购合同。</w:t>
      </w:r>
      <w:r>
        <w:rPr>
          <w:rFonts w:hint="eastAsia"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27.2谈判文件、成交供应商的响应文件及谈判过程中有关澄清、承诺文件均应作为合同附件。</w:t>
      </w:r>
      <w:r/>
    </w:p>
    <w:p>
      <w:pPr>
        <w:pStyle w:val="898"/>
        <w:ind w:firstLine="420"/>
        <w:spacing w:line="360" w:lineRule="auto"/>
        <w:rPr>
          <w:rFonts w:hint="eastAsia" w:ascii="宋体" w:hAnsi="宋体"/>
          <w:sz w:val="24"/>
          <w:szCs w:val="24"/>
        </w:rPr>
      </w:pPr>
      <w:r>
        <w:rPr>
          <w:rFonts w:hint="eastAsia" w:ascii="宋体" w:hAnsi="宋体"/>
          <w:sz w:val="24"/>
          <w:szCs w:val="24"/>
        </w:rPr>
        <w:t xml:space="preserve">28.标的物的追加</w:t>
      </w:r>
      <w:r/>
    </w:p>
    <w:p>
      <w:pPr>
        <w:pStyle w:val="898"/>
        <w:ind w:firstLine="420"/>
        <w:spacing w:line="360" w:lineRule="auto"/>
        <w:rPr>
          <w:rFonts w:hint="eastAsia" w:ascii="宋体" w:hAnsi="宋体"/>
          <w:sz w:val="24"/>
          <w:szCs w:val="24"/>
        </w:rPr>
      </w:pPr>
      <w:r>
        <w:rPr>
          <w:rFonts w:hint="eastAsia" w:ascii="宋体" w:hAnsi="宋体"/>
          <w:sz w:val="24"/>
          <w:szCs w:val="24"/>
        </w:rPr>
        <w:t xml:space="preserve">28.1</w:t>
      </w:r>
      <w:r>
        <w:rPr>
          <w:rFonts w:hint="eastAsia" w:ascii="宋体" w:hAnsi="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98"/>
        <w:ind w:firstLine="420"/>
        <w:spacing w:line="360" w:lineRule="auto"/>
        <w:rPr>
          <w:rFonts w:ascii="宋体" w:hAnsi="宋体"/>
          <w:sz w:val="24"/>
          <w:szCs w:val="24"/>
        </w:rPr>
      </w:pPr>
      <w:r/>
      <w:bookmarkEnd w:id="91"/>
      <w:r/>
      <w:bookmarkEnd w:id="92"/>
      <w:r/>
      <w:bookmarkEnd w:id="93"/>
      <w:r>
        <w:rPr>
          <w:rFonts w:hint="eastAsia" w:ascii="宋体" w:hAnsi="宋体"/>
          <w:sz w:val="24"/>
          <w:szCs w:val="24"/>
        </w:rPr>
        <w:t xml:space="preserve">29</w:t>
      </w:r>
      <w:r>
        <w:rPr>
          <w:rFonts w:hint="eastAsia" w:ascii="宋体" w:hAnsi="宋体"/>
          <w:sz w:val="24"/>
          <w:szCs w:val="24"/>
        </w:rPr>
        <w:t xml:space="preserve">.</w:t>
      </w:r>
      <w:r>
        <w:rPr>
          <w:rFonts w:hint="eastAsia" w:ascii="宋体" w:hAnsi="宋体"/>
          <w:sz w:val="24"/>
          <w:szCs w:val="24"/>
        </w:rPr>
        <w:t xml:space="preserve">政府采购履约资金扶持政策</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p>
    <w:p>
      <w:pPr>
        <w:pStyle w:val="898"/>
        <w:ind w:firstLine="482"/>
        <w:spacing w:line="360" w:lineRule="auto"/>
        <w:rPr>
          <w:rFonts w:hint="eastAsia" w:ascii="宋体" w:hAnsi="宋体"/>
          <w:b/>
          <w:sz w:val="24"/>
          <w:szCs w:val="24"/>
        </w:rPr>
      </w:pPr>
      <w:r>
        <w:rPr>
          <w:rFonts w:hint="eastAsia" w:ascii="宋体" w:hAnsi="宋体"/>
          <w:b/>
          <w:sz w:val="24"/>
          <w:szCs w:val="24"/>
        </w:rPr>
      </w:r>
      <w:r/>
    </w:p>
    <w:p>
      <w:pPr>
        <w:pStyle w:val="898"/>
        <w:ind w:firstLine="482"/>
        <w:spacing w:line="360" w:lineRule="auto"/>
        <w:rPr>
          <w:rFonts w:hint="eastAsia" w:ascii="宋体" w:hAnsi="宋体"/>
          <w:b/>
          <w:sz w:val="24"/>
          <w:szCs w:val="24"/>
        </w:rPr>
      </w:pPr>
      <w:r>
        <w:rPr>
          <w:rFonts w:hint="eastAsia" w:ascii="宋体" w:hAnsi="宋体"/>
          <w:b/>
          <w:sz w:val="24"/>
          <w:szCs w:val="24"/>
        </w:rPr>
      </w:r>
      <w:r/>
    </w:p>
    <w:p>
      <w:pPr>
        <w:pStyle w:val="898"/>
        <w:ind w:firstLine="482"/>
        <w:spacing w:line="360" w:lineRule="auto"/>
        <w:rPr>
          <w:rFonts w:hint="eastAsia" w:ascii="宋体" w:hAnsi="宋体"/>
          <w:b/>
          <w:sz w:val="24"/>
          <w:szCs w:val="24"/>
        </w:rPr>
      </w:pPr>
      <w:r>
        <w:rPr>
          <w:rFonts w:hint="eastAsia" w:ascii="宋体" w:hAnsi="宋体"/>
          <w:b/>
          <w:sz w:val="24"/>
          <w:szCs w:val="24"/>
        </w:rPr>
      </w:r>
      <w:r/>
    </w:p>
    <w:p>
      <w:pPr>
        <w:pStyle w:val="898"/>
        <w:ind w:firstLine="482"/>
        <w:spacing w:line="360" w:lineRule="auto"/>
        <w:rPr>
          <w:rFonts w:hint="eastAsia" w:ascii="宋体" w:hAnsi="宋体"/>
          <w:b/>
          <w:sz w:val="24"/>
          <w:szCs w:val="24"/>
        </w:rPr>
      </w:pPr>
      <w:r>
        <w:rPr>
          <w:rFonts w:hint="eastAsia" w:ascii="宋体" w:hAnsi="宋体"/>
          <w:b/>
          <w:sz w:val="24"/>
          <w:szCs w:val="24"/>
        </w:rPr>
      </w:r>
      <w:r/>
    </w:p>
    <w:p>
      <w:pPr>
        <w:pStyle w:val="898"/>
        <w:ind w:firstLine="480"/>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sz w:val="24"/>
          <w:szCs w:val="24"/>
        </w:rPr>
      </w:r>
      <w:r/>
    </w:p>
    <w:p>
      <w:pPr>
        <w:pStyle w:val="899"/>
        <w:numPr>
          <w:ilvl w:val="0"/>
          <w:numId w:val="9"/>
        </w:numPr>
        <w:spacing w:line="360" w:lineRule="auto"/>
        <w:tabs>
          <w:tab w:val="left" w:pos="405" w:leader="none"/>
          <w:tab w:val="left" w:pos="420" w:leader="none"/>
        </w:tabs>
        <w:rPr>
          <w:rFonts w:ascii="宋体" w:hAnsi="宋体"/>
          <w:b/>
        </w:rPr>
      </w:pPr>
      <w:r/>
      <w:bookmarkStart w:id="94" w:name="_Toc161591367"/>
      <w:r>
        <w:rPr>
          <w:rFonts w:hint="eastAsia" w:ascii="宋体" w:hAnsi="宋体"/>
          <w:b/>
        </w:rPr>
        <w:t xml:space="preserve">谈判内容</w:t>
      </w:r>
      <w:bookmarkEnd w:id="94"/>
      <w:r>
        <w:rPr>
          <w:rFonts w:ascii="宋体" w:hAnsi="宋体"/>
          <w:b/>
        </w:rPr>
      </w:r>
      <w:r/>
    </w:p>
    <w:p>
      <w:pPr>
        <w:pStyle w:val="898"/>
        <w:ind w:firstLine="420"/>
        <w:spacing w:line="360" w:lineRule="auto"/>
        <w:rPr>
          <w:rFonts w:hint="eastAsia" w:ascii="宋体" w:hAnsi="宋体"/>
          <w:b/>
          <w:sz w:val="24"/>
          <w:szCs w:val="24"/>
        </w:rPr>
      </w:pPr>
      <w:r/>
      <w:bookmarkEnd w:id="7"/>
      <w:r/>
      <w:bookmarkEnd w:id="8"/>
      <w:r/>
      <w:bookmarkEnd w:id="9"/>
      <w:r/>
      <w:bookmarkEnd w:id="10"/>
      <w:r>
        <w:rPr>
          <w:rFonts w:hint="eastAsia" w:ascii="宋体" w:hAnsi="宋体"/>
          <w:b/>
          <w:sz w:val="24"/>
          <w:szCs w:val="24"/>
        </w:rPr>
        <w:t xml:space="preserve">一、项目基本情况</w:t>
      </w:r>
      <w:r/>
    </w:p>
    <w:p>
      <w:pPr>
        <w:pStyle w:val="898"/>
        <w:ind w:firstLine="420"/>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JSZC-320583-KSZJ-T2026-0015</w:t>
      </w:r>
      <w:r>
        <w:rPr>
          <w:rFonts w:hint="eastAsia" w:ascii="宋体" w:hAnsi="宋体"/>
          <w:sz w:val="24"/>
          <w:szCs w:val="24"/>
        </w:rPr>
        <w:t xml:space="preserve"> </w:t>
      </w:r>
      <w:r>
        <w:rPr>
          <w:rFonts w:hint="eastAsia" w:ascii="宋体" w:hAnsi="宋体"/>
          <w:sz w:val="24"/>
          <w:szCs w:val="24"/>
        </w:rPr>
        <w:t xml:space="preserve">;</w:t>
      </w:r>
      <w:r/>
    </w:p>
    <w:p>
      <w:pPr>
        <w:pStyle w:val="898"/>
        <w:ind w:firstLine="420"/>
        <w:spacing w:line="360"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昆山市中医医院医疗责任险合作项目</w:t>
      </w:r>
      <w:r>
        <w:rPr>
          <w:rFonts w:hint="eastAsia" w:ascii="宋体" w:hAnsi="宋体"/>
          <w:sz w:val="24"/>
          <w:szCs w:val="24"/>
        </w:rPr>
        <w:t xml:space="preserve">；</w:t>
      </w:r>
      <w:r/>
    </w:p>
    <w:p>
      <w:pPr>
        <w:pStyle w:val="898"/>
        <w:ind w:firstLine="420"/>
        <w:spacing w:line="360" w:lineRule="auto"/>
        <w:rPr>
          <w:rFonts w:hint="eastAsia" w:ascii="宋体" w:hAnsi="宋体"/>
          <w:sz w:val="24"/>
          <w:szCs w:val="24"/>
        </w:rPr>
      </w:pPr>
      <w:r>
        <w:rPr>
          <w:rFonts w:hint="eastAsia" w:ascii="宋体" w:hAnsi="宋体"/>
          <w:sz w:val="24"/>
          <w:szCs w:val="24"/>
        </w:rPr>
        <w:t xml:space="preserve">3.服务期：2年（具体合同中明确）；</w:t>
      </w:r>
      <w:r/>
    </w:p>
    <w:p>
      <w:pPr>
        <w:pStyle w:val="898"/>
        <w:ind w:firstLine="420"/>
        <w:spacing w:line="360" w:lineRule="auto"/>
        <w:rPr>
          <w:rFonts w:hint="eastAsia" w:ascii="宋体" w:hAnsi="宋体"/>
          <w:b/>
          <w:sz w:val="24"/>
          <w:szCs w:val="24"/>
        </w:rPr>
      </w:pPr>
      <w:r/>
      <w:bookmarkStart w:id="95" w:name="_Toc161591368"/>
      <w:r/>
      <w:bookmarkStart w:id="96" w:name="_Toc126766118"/>
      <w:r>
        <w:rPr>
          <w:rFonts w:hint="eastAsia" w:ascii="宋体" w:hAnsi="宋体"/>
          <w:b/>
          <w:sz w:val="24"/>
          <w:szCs w:val="24"/>
        </w:rPr>
        <w:t xml:space="preserve">二、谈判内容及要求</w:t>
      </w:r>
      <w:bookmarkEnd w:id="95"/>
      <w:r/>
      <w:bookmarkEnd w:id="96"/>
      <w:r>
        <w:rPr>
          <w:rFonts w:hint="eastAsia" w:ascii="宋体" w:hAnsi="宋体"/>
          <w:b/>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1.基本情况：医务人员数为 1901人，床位数 1246张，手术次数24967次。</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2.保障内容：</w:t>
      </w:r>
      <w:r/>
    </w:p>
    <w:p>
      <w:pPr>
        <w:pStyle w:val="898"/>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.1医疗事故：指经医疗事故鉴定机构鉴定，或经法院判决的</w:t>
      </w:r>
      <w:r>
        <w:rPr>
          <w:rFonts w:hint="eastAsia" w:ascii="宋体" w:hAnsi="宋体"/>
          <w:sz w:val="24"/>
          <w:szCs w:val="24"/>
        </w:rPr>
        <w:t xml:space="preserve">医患纠纷</w:t>
      </w:r>
      <w:r>
        <w:rPr>
          <w:rFonts w:ascii="宋体" w:hAnsi="宋体"/>
          <w:sz w:val="24"/>
          <w:szCs w:val="24"/>
        </w:rPr>
        <w:t xml:space="preserve">案例。</w:t>
      </w:r>
      <w:r/>
    </w:p>
    <w:p>
      <w:pPr>
        <w:pStyle w:val="898"/>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.2院内协商：</w:t>
      </w:r>
      <w:r>
        <w:rPr>
          <w:rFonts w:hint="eastAsia" w:ascii="宋体" w:hAnsi="宋体"/>
          <w:sz w:val="24"/>
          <w:szCs w:val="24"/>
        </w:rPr>
        <w:t xml:space="preserve">指发生医疗事故后，因案情简单，为方便群众，缩短事故善后处理过程，不通过</w:t>
      </w:r>
      <w:r>
        <w:rPr>
          <w:rFonts w:ascii="宋体" w:hAnsi="宋体"/>
          <w:sz w:val="24"/>
          <w:szCs w:val="24"/>
        </w:rPr>
        <w:t xml:space="preserve">医疗事故鉴定机构鉴定，</w:t>
      </w:r>
      <w:r>
        <w:rPr>
          <w:rFonts w:hint="eastAsia" w:ascii="宋体" w:hAnsi="宋体"/>
          <w:sz w:val="24"/>
          <w:szCs w:val="24"/>
        </w:rPr>
        <w:t xml:space="preserve">也不通过</w:t>
      </w:r>
      <w:r>
        <w:rPr>
          <w:rFonts w:ascii="宋体" w:hAnsi="宋体"/>
          <w:sz w:val="24"/>
          <w:szCs w:val="24"/>
        </w:rPr>
        <w:t xml:space="preserve">法院判决处理</w:t>
      </w:r>
      <w:r>
        <w:rPr>
          <w:rFonts w:hint="eastAsia" w:ascii="宋体" w:hAnsi="宋体"/>
          <w:sz w:val="24"/>
          <w:szCs w:val="24"/>
        </w:rPr>
        <w:t xml:space="preserve">，仅由医患双方协商，或经法院调解，或经昆山市医疗纠纷人民调解委员会调解的医患纠纷</w:t>
      </w:r>
      <w:r>
        <w:rPr>
          <w:rFonts w:ascii="宋体" w:hAnsi="宋体"/>
          <w:sz w:val="24"/>
          <w:szCs w:val="24"/>
        </w:rPr>
        <w:t xml:space="preserve">案例</w:t>
      </w:r>
      <w:r>
        <w:rPr>
          <w:rFonts w:hint="eastAsia" w:ascii="宋体" w:hAnsi="宋体"/>
          <w:sz w:val="24"/>
          <w:szCs w:val="24"/>
        </w:rPr>
        <w:t xml:space="preserve">。</w:t>
      </w:r>
      <w:r>
        <w:rPr>
          <w:rFonts w:ascii="宋体" w:hAnsi="宋体"/>
          <w:sz w:val="24"/>
          <w:szCs w:val="24"/>
        </w:rPr>
        <w:t xml:space="preserve">保险公司接受医患</w:t>
      </w:r>
      <w:r>
        <w:rPr>
          <w:rFonts w:hint="eastAsia" w:ascii="宋体" w:hAnsi="宋体"/>
          <w:sz w:val="24"/>
          <w:szCs w:val="24"/>
        </w:rPr>
        <w:t xml:space="preserve">双方</w:t>
      </w:r>
      <w:r>
        <w:rPr>
          <w:rFonts w:ascii="宋体" w:hAnsi="宋体"/>
          <w:sz w:val="24"/>
          <w:szCs w:val="24"/>
        </w:rPr>
        <w:t xml:space="preserve">协商的结果，并以此作为理赔依据。对于索赔金额不超5万元的纠纷案件免除事故认定书，由被保险人出具相关情况说明，保险公司按照医院实际承担的金额赔付（不超5万元）。</w:t>
      </w:r>
      <w:r/>
    </w:p>
    <w:p>
      <w:pPr>
        <w:pStyle w:val="898"/>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保险</w:t>
      </w:r>
      <w:r>
        <w:rPr>
          <w:rFonts w:hint="eastAsia" w:ascii="宋体" w:hAnsi="宋体"/>
          <w:sz w:val="24"/>
          <w:szCs w:val="24"/>
        </w:rPr>
        <w:t xml:space="preserve">方案</w:t>
      </w:r>
      <w:r>
        <w:rPr>
          <w:rFonts w:ascii="宋体" w:hAnsi="宋体"/>
          <w:sz w:val="24"/>
          <w:szCs w:val="24"/>
        </w:rPr>
        <w:t xml:space="preserve">：</w:t>
      </w:r>
      <w:r/>
    </w:p>
    <w:p>
      <w:pPr>
        <w:pStyle w:val="898"/>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赔偿限额：</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医疗责任</w:t>
      </w:r>
      <w:r>
        <w:rPr>
          <w:rFonts w:hint="eastAsia" w:ascii="宋体" w:hAnsi="宋体"/>
          <w:sz w:val="24"/>
          <w:szCs w:val="24"/>
        </w:rPr>
        <w:t xml:space="preserve"> 责任</w:t>
      </w:r>
      <w:r>
        <w:rPr>
          <w:rFonts w:hint="eastAsia" w:ascii="宋体" w:hAnsi="宋体"/>
          <w:sz w:val="24"/>
          <w:szCs w:val="24"/>
        </w:rPr>
        <w:t xml:space="preserve">限额（医疗</w:t>
      </w:r>
      <w:r>
        <w:rPr>
          <w:rFonts w:ascii="宋体" w:hAnsi="宋体"/>
          <w:sz w:val="24"/>
          <w:szCs w:val="24"/>
        </w:rPr>
        <w:t xml:space="preserve">事故</w:t>
      </w:r>
      <w:r>
        <w:rPr>
          <w:rFonts w:hint="eastAsia" w:ascii="宋体" w:hAnsi="宋体"/>
          <w:sz w:val="24"/>
          <w:szCs w:val="24"/>
        </w:rPr>
        <w:t xml:space="preserve">/院内</w:t>
      </w:r>
      <w:r>
        <w:rPr>
          <w:rFonts w:ascii="宋体" w:hAnsi="宋体"/>
          <w:sz w:val="24"/>
          <w:szCs w:val="24"/>
        </w:rPr>
        <w:t xml:space="preserve">协商</w:t>
      </w:r>
      <w:r>
        <w:rPr>
          <w:rFonts w:hint="eastAsia" w:ascii="宋体" w:hAnsi="宋体"/>
          <w:sz w:val="24"/>
          <w:szCs w:val="24"/>
        </w:rPr>
        <w:t xml:space="preserve">）：每人责任限额：20万元，累计责任限额：</w:t>
      </w:r>
      <w:r>
        <w:rPr>
          <w:rFonts w:ascii="宋体" w:hAnsi="宋体"/>
          <w:sz w:val="24"/>
          <w:szCs w:val="24"/>
        </w:rPr>
        <w:t xml:space="preserve">2</w:t>
      </w:r>
      <w:r>
        <w:rPr>
          <w:rFonts w:hint="eastAsia" w:ascii="宋体" w:hAnsi="宋体"/>
          <w:sz w:val="24"/>
          <w:szCs w:val="24"/>
        </w:rPr>
        <w:t xml:space="preserve">40万元；</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法律费用责任限额：每次事故责任限额：3</w:t>
      </w:r>
      <w:r>
        <w:rPr>
          <w:rFonts w:ascii="宋体" w:hAnsi="宋体"/>
          <w:sz w:val="24"/>
          <w:szCs w:val="24"/>
        </w:rPr>
        <w:t xml:space="preserve">0</w:t>
      </w:r>
      <w:r>
        <w:rPr>
          <w:rFonts w:hint="eastAsia" w:ascii="宋体" w:hAnsi="宋体"/>
          <w:sz w:val="24"/>
          <w:szCs w:val="24"/>
        </w:rPr>
        <w:t xml:space="preserve">万元，累计责任限额：</w:t>
      </w:r>
      <w:r>
        <w:rPr>
          <w:rFonts w:ascii="宋体" w:hAnsi="宋体"/>
          <w:sz w:val="24"/>
          <w:szCs w:val="24"/>
        </w:rPr>
        <w:t xml:space="preserve">100</w:t>
      </w:r>
      <w:r>
        <w:rPr>
          <w:rFonts w:hint="eastAsia" w:ascii="宋体" w:hAnsi="宋体"/>
          <w:sz w:val="24"/>
          <w:szCs w:val="24"/>
        </w:rPr>
        <w:t xml:space="preserve">万元；</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3.2</w:t>
      </w:r>
      <w:r>
        <w:rPr>
          <w:rFonts w:ascii="宋体" w:hAnsi="宋体"/>
          <w:sz w:val="24"/>
          <w:szCs w:val="24"/>
        </w:rPr>
        <w:t xml:space="preserve">免赔标准：</w:t>
      </w:r>
      <w:r>
        <w:rPr>
          <w:rFonts w:hint="eastAsia" w:ascii="宋体" w:hAnsi="宋体"/>
          <w:sz w:val="24"/>
          <w:szCs w:val="24"/>
        </w:rPr>
        <w:t xml:space="preserve">每次事故免赔额</w:t>
      </w:r>
      <w:r>
        <w:rPr>
          <w:rFonts w:hint="eastAsia" w:ascii="宋体" w:hAnsi="宋体"/>
          <w:sz w:val="24"/>
          <w:szCs w:val="24"/>
        </w:rPr>
        <w:t xml:space="preserve">3</w:t>
      </w:r>
      <w:r>
        <w:rPr>
          <w:rFonts w:hint="eastAsia" w:ascii="宋体" w:hAnsi="宋体"/>
          <w:sz w:val="24"/>
          <w:szCs w:val="24"/>
        </w:rPr>
        <w:t xml:space="preserve">万，免赔率 25%，两者以高者为准；</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赔付率（近5年）：95</w:t>
      </w:r>
      <w:r>
        <w:rPr>
          <w:rFonts w:ascii="宋体" w:hAnsi="宋体"/>
          <w:sz w:val="24"/>
          <w:szCs w:val="24"/>
        </w:rPr>
        <w:t xml:space="preserve">%；</w:t>
      </w:r>
      <w:r/>
    </w:p>
    <w:p>
      <w:pPr>
        <w:pStyle w:val="898"/>
        <w:ind w:firstLine="420"/>
        <w:spacing w:line="360" w:lineRule="auto"/>
        <w:rPr>
          <w:rFonts w:ascii="宋体" w:hAnsi="宋体"/>
          <w:sz w:val="24"/>
          <w:szCs w:val="24"/>
        </w:rPr>
      </w:pPr>
      <w:r>
        <w:rPr>
          <w:rFonts w:hint="eastAsia" w:ascii="宋体" w:hAnsi="宋体"/>
          <w:sz w:val="24"/>
          <w:szCs w:val="24"/>
        </w:rPr>
        <w:t xml:space="preserve">3.4</w:t>
      </w:r>
      <w:r>
        <w:rPr>
          <w:rFonts w:ascii="宋体" w:hAnsi="宋体"/>
          <w:sz w:val="24"/>
          <w:szCs w:val="24"/>
        </w:rPr>
        <w:t xml:space="preserve">附加险</w:t>
      </w:r>
      <w:r/>
    </w:p>
    <w:p>
      <w:pPr>
        <w:pStyle w:val="898"/>
        <w:ind w:firstLine="420"/>
        <w:spacing w:line="360" w:lineRule="auto"/>
        <w:rPr>
          <w:rFonts w:ascii="宋体" w:hAnsi="宋体"/>
          <w:sz w:val="24"/>
          <w:szCs w:val="24"/>
        </w:rPr>
      </w:pPr>
      <w:r>
        <w:rPr>
          <w:rFonts w:ascii="宋体" w:hAnsi="宋体"/>
          <w:sz w:val="24"/>
          <w:szCs w:val="24"/>
        </w:rPr>
        <w:t xml:space="preserve">附加医务人员伤害责任</w:t>
      </w:r>
      <w:r>
        <w:rPr>
          <w:rFonts w:hint="eastAsia" w:ascii="宋体" w:hAnsi="宋体"/>
          <w:sz w:val="24"/>
          <w:szCs w:val="24"/>
        </w:rPr>
        <w:t xml:space="preserve">（每人限额30万元）</w:t>
      </w:r>
      <w:r>
        <w:rPr>
          <w:rFonts w:ascii="宋体" w:hAnsi="宋体"/>
          <w:sz w:val="24"/>
          <w:szCs w:val="24"/>
        </w:rPr>
      </w:r>
      <w:r/>
    </w:p>
    <w:p>
      <w:pPr>
        <w:pStyle w:val="898"/>
        <w:ind w:firstLine="420"/>
        <w:spacing w:line="360" w:lineRule="auto"/>
        <w:rPr>
          <w:rFonts w:ascii="宋体" w:hAnsi="宋体"/>
          <w:sz w:val="24"/>
          <w:szCs w:val="24"/>
        </w:rPr>
      </w:pPr>
      <w:r>
        <w:rPr>
          <w:rFonts w:ascii="宋体" w:hAnsi="宋体"/>
          <w:sz w:val="24"/>
          <w:szCs w:val="24"/>
        </w:rPr>
        <w:t xml:space="preserve">附加医疗机构场所责任</w:t>
      </w:r>
      <w:r>
        <w:rPr>
          <w:rFonts w:hint="eastAsia" w:ascii="宋体" w:hAnsi="宋体"/>
          <w:sz w:val="24"/>
          <w:szCs w:val="24"/>
        </w:rPr>
        <w:t xml:space="preserve">（每次30万元）</w:t>
      </w:r>
      <w:r>
        <w:rPr>
          <w:rFonts w:ascii="宋体" w:hAnsi="宋体"/>
          <w:sz w:val="24"/>
          <w:szCs w:val="24"/>
        </w:rPr>
      </w:r>
      <w:r/>
    </w:p>
    <w:p>
      <w:pPr>
        <w:pStyle w:val="898"/>
        <w:ind w:firstLine="420"/>
        <w:spacing w:line="360" w:lineRule="auto"/>
        <w:rPr>
          <w:rFonts w:ascii="宋体" w:hAnsi="宋体"/>
          <w:sz w:val="24"/>
          <w:szCs w:val="24"/>
        </w:rPr>
      </w:pPr>
      <w:r>
        <w:rPr>
          <w:rFonts w:ascii="宋体" w:hAnsi="宋体"/>
          <w:sz w:val="24"/>
          <w:szCs w:val="24"/>
        </w:rPr>
        <w:t xml:space="preserve">附加外请医务人员医疗责任</w:t>
      </w:r>
      <w:r>
        <w:rPr>
          <w:rFonts w:hint="eastAsia" w:ascii="宋体" w:hAnsi="宋体"/>
          <w:sz w:val="24"/>
          <w:szCs w:val="24"/>
        </w:rPr>
        <w:t xml:space="preserve">（每人30万）</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4.特别</w:t>
      </w:r>
      <w:r>
        <w:rPr>
          <w:rFonts w:ascii="宋体" w:hAnsi="宋体"/>
          <w:sz w:val="24"/>
          <w:szCs w:val="24"/>
        </w:rPr>
        <w:t xml:space="preserve">说明</w:t>
      </w:r>
      <w:r/>
    </w:p>
    <w:p>
      <w:pPr>
        <w:pStyle w:val="898"/>
        <w:ind w:firstLine="420"/>
        <w:spacing w:line="360" w:lineRule="auto"/>
        <w:rPr>
          <w:rFonts w:hint="eastAsia" w:ascii="宋体" w:hAnsi="宋体"/>
          <w:sz w:val="24"/>
          <w:szCs w:val="24"/>
        </w:rPr>
      </w:pPr>
      <w:r>
        <w:rPr>
          <w:rFonts w:hint="eastAsia" w:ascii="宋体" w:hAnsi="宋体"/>
          <w:sz w:val="24"/>
          <w:szCs w:val="24"/>
        </w:rPr>
        <w:t xml:space="preserve">4.1本保单保障范围仅限投保时提供的人员（以清单为准）；若保险期限内有新进人员，被保险人需在次月15日前（节假日顺延）重新提供人员清单。 </w:t>
      </w:r>
      <w:r/>
    </w:p>
    <w:p>
      <w:pPr>
        <w:pStyle w:val="898"/>
        <w:ind w:firstLine="420"/>
        <w:spacing w:line="360" w:lineRule="auto"/>
        <w:rPr>
          <w:rFonts w:hint="eastAsia" w:ascii="宋体" w:hAnsi="宋体"/>
          <w:sz w:val="24"/>
          <w:szCs w:val="24"/>
        </w:rPr>
      </w:pPr>
      <w:r>
        <w:rPr>
          <w:rFonts w:hint="eastAsia" w:ascii="宋体" w:hAnsi="宋体"/>
          <w:sz w:val="24"/>
          <w:szCs w:val="24"/>
        </w:rPr>
        <w:t xml:space="preserve">4.3经双方协商确定：为快速消除纠纷案件对医院日常运营产生的不利影响，对于索赔金额不超5万元的纠纷案件免除事故认定书，由被保险人出具相关情况说明，保险公司按照医院实际承担的金额赔付（不超5万元）。</w:t>
      </w:r>
      <w:r/>
    </w:p>
    <w:p>
      <w:pPr>
        <w:pStyle w:val="898"/>
        <w:ind w:firstLine="420"/>
        <w:spacing w:line="360" w:lineRule="auto"/>
        <w:rPr>
          <w:rFonts w:ascii="宋体" w:hAnsi="宋体"/>
          <w:sz w:val="24"/>
          <w:szCs w:val="24"/>
        </w:rPr>
      </w:pPr>
      <w:r>
        <w:rPr>
          <w:rFonts w:hint="eastAsia" w:ascii="宋体" w:hAnsi="宋体"/>
          <w:sz w:val="24"/>
          <w:szCs w:val="24"/>
        </w:rPr>
        <w:t xml:space="preserve">4.5理赔材料医务处章用印效用等同于医院公章。</w:t>
      </w:r>
      <w:r>
        <w:rPr>
          <w:rFonts w:ascii="宋体" w:hAnsi="宋体"/>
          <w:sz w:val="24"/>
          <w:szCs w:val="24"/>
        </w:rPr>
      </w:r>
      <w:r/>
    </w:p>
    <w:p>
      <w:pPr>
        <w:pStyle w:val="898"/>
        <w:ind w:firstLine="420"/>
        <w:spacing w:line="360" w:lineRule="auto"/>
        <w:rPr>
          <w:rFonts w:hint="eastAsia"/>
          <w:sz w:val="24"/>
          <w:szCs w:val="24"/>
        </w:rPr>
      </w:pPr>
      <w:r>
        <w:rPr>
          <w:rFonts w:hint="eastAsia"/>
          <w:sz w:val="24"/>
          <w:szCs w:val="24"/>
        </w:rPr>
        <w:t xml:space="preserve">三、综合说明</w:t>
      </w:r>
      <w:r/>
    </w:p>
    <w:p>
      <w:pPr>
        <w:pStyle w:val="898"/>
        <w:ind w:firstLine="420"/>
        <w:spacing w:line="360" w:lineRule="auto"/>
        <w:widowControl/>
        <w:rPr>
          <w:rFonts w:ascii="宋体" w:hAnsi="宋体" w:cs="Arial"/>
          <w:sz w:val="24"/>
          <w:szCs w:val="24"/>
        </w:rPr>
      </w:pPr>
      <w:r>
        <w:rPr>
          <w:rFonts w:hint="eastAsia" w:ascii="宋体" w:hAnsi="宋体" w:cs="Arial"/>
          <w:sz w:val="24"/>
          <w:szCs w:val="24"/>
        </w:rPr>
        <w:t xml:space="preserve">1.投标单位必须明确提供所投项目的说明及服务内容。</w:t>
      </w:r>
      <w:r>
        <w:rPr>
          <w:rFonts w:ascii="宋体" w:hAnsi="宋体" w:cs="Arial"/>
          <w:sz w:val="24"/>
          <w:szCs w:val="24"/>
        </w:rPr>
      </w:r>
      <w:r/>
    </w:p>
    <w:p>
      <w:pPr>
        <w:pStyle w:val="898"/>
        <w:ind w:firstLine="420"/>
        <w:spacing w:line="360" w:lineRule="auto"/>
        <w:widowControl/>
        <w:rPr>
          <w:rFonts w:ascii="宋体" w:hAnsi="宋体" w:cs="Arial"/>
          <w:sz w:val="24"/>
          <w:szCs w:val="24"/>
        </w:rPr>
      </w:pPr>
      <w:r>
        <w:rPr>
          <w:rFonts w:hint="eastAsia" w:ascii="宋体" w:hAnsi="宋体" w:cs="Arial"/>
          <w:sz w:val="24"/>
          <w:szCs w:val="24"/>
        </w:rPr>
        <w:t xml:space="preserve">2.投标单位必须承诺谈判文件中提出的全部技术要求，如果以其中某些条款不响应时，应在文件中逐条列出，未列出的视同响应。</w:t>
      </w:r>
      <w:r>
        <w:rPr>
          <w:rFonts w:ascii="宋体" w:hAnsi="宋体" w:cs="Arial"/>
          <w:sz w:val="24"/>
          <w:szCs w:val="24"/>
        </w:rPr>
      </w:r>
      <w:r/>
    </w:p>
    <w:p>
      <w:pPr>
        <w:pStyle w:val="898"/>
        <w:ind w:firstLine="420"/>
        <w:spacing w:line="360" w:lineRule="auto"/>
        <w:widowControl/>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cs="Arial"/>
          <w:sz w:val="24"/>
          <w:szCs w:val="24"/>
        </w:rPr>
        <w:t xml:space="preserve">3.凡涉及谈判文件的补充说明和修改，均以苏州市政府采购网通知为准。</w:t>
      </w:r>
      <w:r>
        <w:rPr>
          <w:rFonts w:ascii="宋体" w:hAnsi="宋体" w:cs="Arial"/>
          <w:szCs w:val="21"/>
        </w:rPr>
      </w:r>
      <w:r/>
    </w:p>
    <w:p>
      <w:pPr>
        <w:pStyle w:val="899"/>
        <w:numPr>
          <w:ilvl w:val="0"/>
          <w:numId w:val="9"/>
        </w:numPr>
        <w:spacing w:line="360" w:lineRule="auto"/>
        <w:tabs>
          <w:tab w:val="left" w:pos="405" w:leader="none"/>
          <w:tab w:val="left" w:pos="420" w:leader="none"/>
        </w:tabs>
        <w:rPr>
          <w:rFonts w:hint="eastAsia" w:ascii="宋体" w:hAnsi="宋体"/>
          <w:b/>
        </w:rPr>
      </w:pPr>
      <w:r/>
      <w:bookmarkStart w:id="97" w:name="_Toc161591374"/>
      <w:r>
        <w:rPr>
          <w:rFonts w:hint="eastAsia" w:ascii="宋体" w:hAnsi="宋体"/>
          <w:b/>
        </w:rPr>
        <w:t xml:space="preserve">合同主要内容</w:t>
      </w:r>
      <w:bookmarkEnd w:id="97"/>
      <w:r>
        <w:rPr>
          <w:rFonts w:hint="eastAsia" w:ascii="宋体" w:hAnsi="宋体"/>
          <w:b/>
        </w:rPr>
      </w:r>
      <w:r/>
    </w:p>
    <w:p>
      <w:pPr>
        <w:pStyle w:val="898"/>
        <w:rPr>
          <w:rFonts w:hint="eastAsia"/>
        </w:rPr>
      </w:pPr>
      <w:r>
        <w:rPr>
          <w:rFonts w:hint="eastAsia"/>
        </w:rPr>
      </w:r>
      <w:r/>
    </w:p>
    <w:p>
      <w:pPr>
        <w:pStyle w:val="935"/>
      </w:pPr>
      <w:r/>
      <w:r/>
    </w:p>
    <w:p>
      <w:pPr>
        <w:pStyle w:val="898"/>
        <w:ind w:firstLine="480"/>
        <w:spacing w:line="360" w:lineRule="auto"/>
        <w:rPr>
          <w:rFonts w:ascii="宋体" w:hAnsi="宋体"/>
          <w:sz w:val="24"/>
        </w:rPr>
      </w:pPr>
      <w:r>
        <w:rPr>
          <w:rFonts w:hint="eastAsia" w:ascii="宋体" w:hAnsi="宋体"/>
          <w:sz w:val="24"/>
        </w:rPr>
        <w:t xml:space="preserve">甲方：</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地址：</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电话：</w:t>
      </w:r>
      <w:r>
        <w:rPr>
          <w:rFonts w:ascii="宋体" w:hAnsi="宋体"/>
          <w:sz w:val="24"/>
        </w:rPr>
      </w:r>
      <w:r/>
    </w:p>
    <w:p>
      <w:pPr>
        <w:pStyle w:val="898"/>
        <w:ind w:firstLine="480"/>
        <w:spacing w:line="360" w:lineRule="auto"/>
        <w:rPr>
          <w:rFonts w:ascii="宋体" w:hAnsi="宋体"/>
          <w:sz w:val="24"/>
        </w:rPr>
      </w:pP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乙方：</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地址：</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电话：</w:t>
      </w:r>
      <w:r>
        <w:rPr>
          <w:rFonts w:ascii="宋体" w:hAnsi="宋体"/>
          <w:sz w:val="24"/>
        </w:rPr>
      </w:r>
      <w:r/>
    </w:p>
    <w:p>
      <w:pPr>
        <w:pStyle w:val="898"/>
        <w:spacing w:line="360" w:lineRule="auto"/>
        <w:rPr>
          <w:rFonts w:hint="eastAsia" w:ascii="宋体" w:hAnsi="宋体"/>
          <w:sz w:val="24"/>
        </w:rPr>
      </w:pPr>
      <w:r>
        <w:rPr>
          <w:rFonts w:hint="eastAsia" w:ascii="宋体" w:hAnsi="宋体"/>
          <w:sz w:val="24"/>
        </w:rPr>
      </w:r>
      <w:r/>
    </w:p>
    <w:p>
      <w:pPr>
        <w:pStyle w:val="898"/>
        <w:ind w:firstLine="420"/>
        <w:spacing w:line="360" w:lineRule="auto"/>
        <w:rPr>
          <w:rFonts w:ascii="宋体" w:hAnsi="宋体"/>
          <w:sz w:val="24"/>
          <w:szCs w:val="24"/>
        </w:rPr>
      </w:pPr>
      <w:r>
        <w:rPr>
          <w:rFonts w:hint="eastAsia" w:ascii="宋体" w:hAnsi="宋体"/>
          <w:sz w:val="24"/>
          <w:szCs w:val="24"/>
        </w:rPr>
        <w:t xml:space="preserve">甲、乙双方本着自愿、平等、互利和诚实信用的原则，就此次确定的昆山市中医医院医疗责任保险事宜签订本合同。</w:t>
      </w:r>
      <w:r>
        <w:rPr>
          <w:rFonts w:ascii="宋体" w:hAnsi="宋体"/>
          <w:sz w:val="24"/>
          <w:szCs w:val="24"/>
        </w:rPr>
      </w:r>
      <w:r/>
    </w:p>
    <w:p>
      <w:pPr>
        <w:pStyle w:val="898"/>
        <w:ind w:firstLine="420"/>
        <w:spacing w:line="360" w:lineRule="auto"/>
        <w:rPr>
          <w:rFonts w:ascii="宋体" w:hAnsi="宋体"/>
          <w:b/>
          <w:sz w:val="24"/>
        </w:rPr>
      </w:pPr>
      <w:r>
        <w:rPr>
          <w:rFonts w:hint="eastAsia" w:ascii="宋体" w:hAnsi="宋体"/>
          <w:b/>
          <w:sz w:val="24"/>
        </w:rPr>
        <w:t xml:space="preserve">一、保险当事人</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“投保人”是指与保险人订立保险合同，并按照保险合同负有支付保险费义务的人或单位。</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“保险人”是指与投保人订立保险合同，并承担赔偿或者给付保险金责任的保险公司。</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“被保险人”是指按本合同约定在乙方办理保险的具体采购单位</w:t>
      </w:r>
      <w:r>
        <w:rPr>
          <w:rFonts w:ascii="宋体" w:hAnsi="宋体"/>
          <w:sz w:val="24"/>
          <w:szCs w:val="24"/>
        </w:rPr>
      </w:r>
      <w:r/>
    </w:p>
    <w:p>
      <w:pPr>
        <w:pStyle w:val="898"/>
        <w:ind w:firstLine="420"/>
        <w:spacing w:line="360" w:lineRule="auto"/>
        <w:rPr>
          <w:rFonts w:ascii="宋体" w:hAnsi="宋体"/>
          <w:b/>
          <w:sz w:val="24"/>
        </w:rPr>
      </w:pPr>
      <w:r>
        <w:rPr>
          <w:rFonts w:hint="eastAsia" w:ascii="宋体" w:hAnsi="宋体"/>
          <w:b/>
          <w:sz w:val="24"/>
        </w:rPr>
        <w:t xml:space="preserve">二、保险责任及保险期间</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1.保险责任：被保险人如发生保险事故，乙方即按保险金额按保单约定给付保险金。</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保险期限：二年，即2026年  月 日至  年 月  日</w:t>
      </w:r>
      <w:r>
        <w:rPr>
          <w:rFonts w:hint="eastAsia" w:ascii="宋体" w:hAnsi="宋体"/>
          <w:sz w:val="24"/>
          <w:szCs w:val="24"/>
        </w:rPr>
        <w:t xml:space="preserve">。</w:t>
      </w:r>
      <w:r>
        <w:rPr>
          <w:rFonts w:ascii="宋体" w:hAnsi="宋体"/>
          <w:sz w:val="24"/>
          <w:szCs w:val="24"/>
        </w:rPr>
      </w:r>
      <w:r/>
    </w:p>
    <w:p>
      <w:pPr>
        <w:pStyle w:val="898"/>
        <w:ind w:firstLine="480"/>
        <w:spacing w:line="360" w:lineRule="auto"/>
        <w:rPr>
          <w:rFonts w:ascii="宋体" w:hAnsi="宋体"/>
          <w:sz w:val="24"/>
        </w:rPr>
      </w:pPr>
      <w:r>
        <w:rPr>
          <w:rFonts w:hint="eastAsia" w:ascii="宋体" w:hAnsi="宋体"/>
          <w:b/>
          <w:sz w:val="24"/>
        </w:rPr>
        <w:t xml:space="preserve">三、保险金的申领及给付</w:t>
      </w:r>
      <w:r>
        <w:rPr>
          <w:rFonts w:hint="eastAsia" w:ascii="宋体" w:hAnsi="宋体"/>
          <w:sz w:val="24"/>
        </w:rPr>
        <w:t xml:space="preserve">：详见本合同“七、理赔服务”。</w:t>
      </w:r>
      <w:r>
        <w:rPr>
          <w:rFonts w:ascii="宋体" w:hAnsi="宋体"/>
          <w:sz w:val="24"/>
        </w:rPr>
      </w:r>
      <w:r/>
    </w:p>
    <w:p>
      <w:pPr>
        <w:pStyle w:val="898"/>
        <w:ind w:firstLine="420"/>
        <w:spacing w:line="360" w:lineRule="auto"/>
        <w:rPr>
          <w:rFonts w:ascii="宋体" w:hAnsi="宋体"/>
          <w:b/>
          <w:sz w:val="24"/>
        </w:rPr>
      </w:pPr>
      <w:r>
        <w:rPr>
          <w:rFonts w:hint="eastAsia" w:ascii="宋体" w:hAnsi="宋体"/>
          <w:b/>
          <w:sz w:val="24"/>
        </w:rPr>
        <w:t xml:space="preserve">四、保费及结算办法</w:t>
      </w:r>
      <w:r>
        <w:rPr>
          <w:rFonts w:ascii="宋体" w:hAnsi="宋体"/>
          <w:b/>
          <w:sz w:val="24"/>
        </w:rPr>
      </w:r>
      <w:r/>
    </w:p>
    <w:p>
      <w:pPr>
        <w:pStyle w:val="898"/>
        <w:ind w:firstLine="480"/>
        <w:spacing w:line="360" w:lineRule="auto"/>
        <w:rPr>
          <w:rFonts w:ascii="宋体" w:hAnsi="宋体"/>
          <w:sz w:val="24"/>
        </w:rPr>
      </w:pPr>
      <w:r>
        <w:rPr>
          <w:rFonts w:hint="eastAsia" w:ascii="宋体" w:hAnsi="宋体"/>
          <w:sz w:val="24"/>
        </w:rPr>
        <w:t xml:space="preserve">（一）保费：</w:t>
      </w:r>
      <w:r>
        <w:rPr>
          <w:rFonts w:hint="eastAsia" w:ascii="宋体" w:hAnsi="宋体"/>
          <w:sz w:val="24"/>
          <w:u w:val="single"/>
        </w:rPr>
        <w:t xml:space="preserve">           </w:t>
      </w:r>
      <w:r>
        <w:rPr>
          <w:rFonts w:hint="eastAsia" w:ascii="宋体" w:hAnsi="宋体"/>
          <w:sz w:val="24"/>
        </w:rPr>
        <w:t xml:space="preserve">元整（RMB：</w:t>
      </w:r>
      <w:r>
        <w:rPr>
          <w:rFonts w:hint="eastAsia" w:ascii="宋体" w:hAnsi="宋体"/>
          <w:sz w:val="24"/>
          <w:u w:val="single"/>
        </w:rPr>
        <w:t xml:space="preserve">        </w:t>
      </w:r>
      <w:r>
        <w:rPr>
          <w:rFonts w:hint="eastAsia" w:ascii="宋体" w:hAnsi="宋体"/>
          <w:sz w:val="24"/>
        </w:rPr>
        <w:t xml:space="preserve">元）</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（二）结算方法：</w:t>
      </w:r>
      <w:r>
        <w:rPr>
          <w:rFonts w:ascii="宋体" w:hAnsi="宋体"/>
          <w:sz w:val="24"/>
        </w:rPr>
      </w:r>
      <w:r/>
    </w:p>
    <w:p>
      <w:pPr>
        <w:pStyle w:val="898"/>
        <w:ind w:firstLine="420"/>
        <w:spacing w:line="360" w:lineRule="auto"/>
        <w:rPr>
          <w:rFonts w:ascii="宋体" w:hAnsi="宋体"/>
          <w:sz w:val="24"/>
          <w:szCs w:val="24"/>
        </w:rPr>
      </w:pPr>
      <w:r>
        <w:rPr>
          <w:rFonts w:hint="eastAsia" w:ascii="宋体" w:hAnsi="宋体"/>
          <w:sz w:val="24"/>
          <w:szCs w:val="24"/>
        </w:rPr>
        <w:t xml:space="preserve">1.乙方根据投保资料协助甲方填写投保单，并完成核保与出单事宜；</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2.乙方并在收到投保单三个工作日内将保单正本和保费发票送达甲方；</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3.甲方在与乙方签订合同后，收到当年保单正本和保费发票后十五个工作日内将保费一次性划入乙方帐户。</w:t>
      </w:r>
      <w:r>
        <w:rPr>
          <w:rFonts w:ascii="宋体" w:hAnsi="宋体"/>
          <w:sz w:val="24"/>
          <w:szCs w:val="24"/>
        </w:rPr>
      </w:r>
      <w:r/>
    </w:p>
    <w:p>
      <w:pPr>
        <w:pStyle w:val="898"/>
        <w:ind w:firstLine="420"/>
        <w:spacing w:line="360" w:lineRule="auto"/>
        <w:rPr>
          <w:rFonts w:ascii="宋体" w:hAnsi="宋体"/>
          <w:b/>
          <w:sz w:val="24"/>
        </w:rPr>
      </w:pPr>
      <w:r>
        <w:rPr>
          <w:rFonts w:hint="eastAsia" w:ascii="宋体" w:hAnsi="宋体"/>
          <w:b/>
          <w:sz w:val="24"/>
        </w:rPr>
        <w:t xml:space="preserve">五、其他</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1.甲方应积极配合乙方做好保险宣传、防灾安全和报案理赔工作；乙方应定期对甲方提供有关培训。</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2.如遇重大突发事件发生,成交保险公司应及时介入协助做好理赔工作,并可应采购单位的要求特事特办,在赔付限额标准以上妥善协商解决。</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3.本保险合同有效期间为二年。</w:t>
      </w:r>
      <w:r>
        <w:rPr>
          <w:rFonts w:ascii="宋体" w:hAnsi="宋体"/>
          <w:sz w:val="24"/>
          <w:szCs w:val="24"/>
        </w:rPr>
      </w:r>
      <w:r/>
    </w:p>
    <w:p>
      <w:pPr>
        <w:pStyle w:val="898"/>
        <w:ind w:firstLine="420"/>
        <w:spacing w:line="360" w:lineRule="auto"/>
        <w:rPr>
          <w:rFonts w:ascii="宋体" w:hAnsi="宋体"/>
          <w:b/>
          <w:sz w:val="24"/>
        </w:rPr>
      </w:pPr>
      <w:r>
        <w:rPr>
          <w:rFonts w:hint="eastAsia" w:ascii="宋体" w:hAnsi="宋体"/>
          <w:b/>
          <w:sz w:val="24"/>
        </w:rPr>
        <w:t xml:space="preserve">六、合同的组成</w:t>
      </w:r>
      <w:r>
        <w:rPr>
          <w:rFonts w:ascii="宋体" w:hAnsi="宋体"/>
          <w:b/>
          <w:sz w:val="24"/>
        </w:rPr>
      </w:r>
      <w:r/>
    </w:p>
    <w:p>
      <w:pPr>
        <w:pStyle w:val="898"/>
        <w:ind w:firstLine="420"/>
        <w:spacing w:line="360" w:lineRule="auto"/>
        <w:rPr>
          <w:sz w:val="24"/>
          <w:szCs w:val="24"/>
        </w:rPr>
      </w:pPr>
      <w:r>
        <w:rPr>
          <w:rFonts w:hint="eastAsia"/>
          <w:sz w:val="24"/>
          <w:szCs w:val="24"/>
        </w:rPr>
        <w:t xml:space="preserve">下列文件应作为本合同的组成部分：本合同书；招标文件及其附件；响应文件及其附件；成交通知书；投保人的投保材料；投保单、保险单及批改申请书、批单；与本次采购有关的并经当事人双方确认的其他文件。</w:t>
      </w:r>
      <w:r>
        <w:rPr>
          <w:sz w:val="24"/>
          <w:szCs w:val="24"/>
        </w:rPr>
      </w:r>
      <w:r/>
    </w:p>
    <w:p>
      <w:pPr>
        <w:pStyle w:val="898"/>
        <w:ind w:firstLine="482"/>
        <w:spacing w:line="360" w:lineRule="auto"/>
        <w:rPr>
          <w:rFonts w:ascii="宋体" w:hAnsi="宋体"/>
          <w:b/>
          <w:sz w:val="24"/>
        </w:rPr>
      </w:pPr>
      <w:r>
        <w:rPr>
          <w:rFonts w:hint="eastAsia" w:ascii="宋体" w:hAnsi="宋体"/>
          <w:b/>
          <w:sz w:val="24"/>
        </w:rPr>
        <w:t xml:space="preserve">七、理赔服务</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1.设立24小时保险服务专线电话，电话号码：</w:t>
      </w:r>
      <w:r>
        <w:rPr>
          <w:rFonts w:hint="eastAsia" w:ascii="宋体" w:hAnsi="宋体"/>
          <w:sz w:val="24"/>
          <w:szCs w:val="24"/>
          <w:u w:val="single"/>
        </w:rPr>
        <w:t xml:space="preserve">               </w:t>
      </w:r>
      <w:r>
        <w:rPr>
          <w:rFonts w:hint="eastAsia" w:ascii="宋体" w:hAnsi="宋体"/>
          <w:sz w:val="24"/>
          <w:szCs w:val="24"/>
        </w:rPr>
        <w:t xml:space="preserve">，可全年365天随时接受被保险人的出险报案，并立即通知保险公司本项目客户服务专员。</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2.保险公司同意以被保险人提供的损失清单及其他证明材料作为赔付理算依据。</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3.对于不属于保险责任的，同意在接到被保险人赔偿请求后5个工作日内向其发出《拒赔通知书》。</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4.对于不属于保险责任的，保险公司在接到被保险人赔偿请求后没有按规定时间向其发出《拒赔通知书》，则按保险责任处理。</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5.保险公司接到被保险人索赔材料后立即审查核实，若认为有关证明或材料不完整，立刻以书面或口头方式通知被保险人需补充提供的有关证明或材料。若保险公司在接到索赔资料后5个工作日内未给予有关审核意见，则视为认可索赔资料的完整性；</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6.在被保险人提供完整必要的索赔材料后，保险公司应在10个工作日内向被保险人支付赔款。 </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7.如自收到完整的索赔资料之日起10个工作日内未能确定赔偿金额，同意根据已有证明和资料将可以确定的最低赔偿数额先于支付，待最终确定赔偿金额后及时支付相应的差额。</w:t>
      </w:r>
      <w:r>
        <w:rPr>
          <w:rFonts w:ascii="宋体" w:hAnsi="宋体"/>
          <w:sz w:val="24"/>
          <w:szCs w:val="24"/>
        </w:rPr>
      </w:r>
      <w:r/>
    </w:p>
    <w:p>
      <w:pPr>
        <w:pStyle w:val="898"/>
        <w:ind w:firstLine="482"/>
        <w:spacing w:line="360" w:lineRule="auto"/>
        <w:rPr>
          <w:rFonts w:ascii="宋体" w:hAnsi="宋体"/>
          <w:sz w:val="24"/>
        </w:rPr>
      </w:pPr>
      <w:r>
        <w:rPr>
          <w:rFonts w:hint="eastAsia" w:ascii="宋体" w:hAnsi="宋体"/>
          <w:b/>
          <w:sz w:val="24"/>
        </w:rPr>
        <w:t xml:space="preserve">八、保险范围</w:t>
      </w:r>
      <w:r>
        <w:rPr>
          <w:rFonts w:ascii="宋体" w:hAnsi="宋体"/>
          <w:sz w:val="24"/>
        </w:rPr>
      </w:r>
      <w:r/>
    </w:p>
    <w:p>
      <w:pPr>
        <w:pStyle w:val="898"/>
        <w:ind w:firstLine="482"/>
        <w:spacing w:line="360" w:lineRule="auto"/>
        <w:rPr>
          <w:rFonts w:ascii="宋体" w:hAnsi="宋体"/>
          <w:b/>
          <w:sz w:val="24"/>
        </w:rPr>
      </w:pPr>
      <w:r>
        <w:rPr>
          <w:rFonts w:hint="eastAsia" w:ascii="宋体" w:hAnsi="宋体"/>
          <w:b/>
          <w:sz w:val="24"/>
        </w:rPr>
        <w:t xml:space="preserve">（一）保障内容：</w:t>
      </w:r>
      <w:r>
        <w:rPr>
          <w:rFonts w:ascii="宋体" w:hAnsi="宋体"/>
          <w:b/>
          <w:sz w:val="24"/>
        </w:rPr>
      </w:r>
      <w:r/>
    </w:p>
    <w:p>
      <w:pPr>
        <w:pStyle w:val="898"/>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在保险期间或保险单载明的追溯期内,昆山市中医医院提供专业服务时，由于疏忽或过失造成委托人的经济损失，由委托人在保险期间内首次向昆山市中医医院提出损害赔偿请求，依法应由昆山市中医医院承担的经济赔偿责任，保险公司按照本保险合同约定负责赔偿。</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2.除另有约定外，昆山市中医医院委托的顾问、承包人、分包人或代理人提供专业服务时，由于疏忽或过失造成委托人的经济损失，由委托人在保险期间内首次向被保险人提出损害赔偿请求，依法应由昆山市中医医院承担的经济赔偿责任，保险公司按照本保险合同约定也负责赔偿。</w:t>
      </w:r>
      <w:r>
        <w:rPr>
          <w:rFonts w:ascii="宋体" w:hAnsi="宋体"/>
          <w:sz w:val="24"/>
        </w:rPr>
      </w:r>
      <w:r/>
    </w:p>
    <w:p>
      <w:pPr>
        <w:pStyle w:val="898"/>
        <w:ind w:firstLine="482"/>
        <w:spacing w:line="360" w:lineRule="auto"/>
        <w:rPr>
          <w:rFonts w:ascii="宋体" w:hAnsi="宋体"/>
          <w:b/>
          <w:sz w:val="24"/>
        </w:rPr>
      </w:pPr>
      <w:r>
        <w:rPr>
          <w:rFonts w:hint="eastAsia" w:ascii="宋体" w:hAnsi="宋体"/>
          <w:b/>
          <w:sz w:val="24"/>
        </w:rPr>
        <w:t xml:space="preserve">（二）</w:t>
      </w:r>
      <w:r>
        <w:rPr>
          <w:rFonts w:ascii="宋体" w:hAnsi="宋体"/>
          <w:b/>
          <w:sz w:val="24"/>
        </w:rPr>
        <w:t xml:space="preserve">保险</w:t>
      </w:r>
      <w:r>
        <w:rPr>
          <w:rFonts w:hint="eastAsia" w:ascii="宋体" w:hAnsi="宋体"/>
          <w:b/>
          <w:sz w:val="24"/>
        </w:rPr>
        <w:t xml:space="preserve">方案</w:t>
      </w:r>
      <w:r>
        <w:rPr>
          <w:rFonts w:ascii="宋体" w:hAnsi="宋体"/>
          <w:b/>
          <w:sz w:val="24"/>
        </w:rPr>
        <w:t xml:space="preserve">：</w:t>
      </w:r>
      <w:r/>
    </w:p>
    <w:p>
      <w:pPr>
        <w:pStyle w:val="898"/>
        <w:ind w:firstLine="480"/>
        <w:spacing w:line="360" w:lineRule="auto"/>
        <w:rPr>
          <w:rFonts w:ascii="宋体" w:hAnsi="宋体"/>
          <w:sz w:val="24"/>
        </w:rPr>
      </w:pPr>
      <w:r>
        <w:rPr>
          <w:rFonts w:hint="eastAsia" w:ascii="宋体" w:hAnsi="宋体"/>
          <w:sz w:val="24"/>
        </w:rPr>
        <w:t xml:space="preserve">1.限额：</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医疗责任</w:t>
      </w:r>
      <w:r>
        <w:rPr>
          <w:rFonts w:hint="eastAsia" w:ascii="宋体" w:hAnsi="宋体"/>
          <w:sz w:val="24"/>
        </w:rPr>
        <w:t xml:space="preserve"> 责任</w:t>
      </w:r>
      <w:r>
        <w:rPr>
          <w:rFonts w:hint="eastAsia" w:ascii="宋体" w:hAnsi="宋体"/>
          <w:sz w:val="24"/>
        </w:rPr>
        <w:t xml:space="preserve">限额（医疗</w:t>
      </w:r>
      <w:r>
        <w:rPr>
          <w:rFonts w:ascii="宋体" w:hAnsi="宋体"/>
          <w:sz w:val="24"/>
        </w:rPr>
        <w:t xml:space="preserve">事故</w:t>
      </w:r>
      <w:r>
        <w:rPr>
          <w:rFonts w:hint="eastAsia" w:ascii="宋体" w:hAnsi="宋体"/>
          <w:sz w:val="24"/>
        </w:rPr>
        <w:t xml:space="preserve">/院内</w:t>
      </w:r>
      <w:r>
        <w:rPr>
          <w:rFonts w:ascii="宋体" w:hAnsi="宋体"/>
          <w:sz w:val="24"/>
        </w:rPr>
        <w:t xml:space="preserve">协商</w:t>
      </w:r>
      <w:r>
        <w:rPr>
          <w:rFonts w:hint="eastAsia" w:ascii="宋体" w:hAnsi="宋体"/>
          <w:sz w:val="24"/>
        </w:rPr>
        <w:t xml:space="preserve">）：每人责任限额：20万元，累计责任限额：240万元</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法律费用责任限额：每次事故责任限额：</w:t>
      </w:r>
      <w:r>
        <w:rPr>
          <w:rFonts w:ascii="宋体" w:hAnsi="宋体"/>
          <w:sz w:val="24"/>
        </w:rPr>
        <w:t xml:space="preserve">30</w:t>
      </w:r>
      <w:r>
        <w:rPr>
          <w:rFonts w:hint="eastAsia" w:ascii="宋体" w:hAnsi="宋体"/>
          <w:sz w:val="24"/>
        </w:rPr>
        <w:t xml:space="preserve">万元，累计责任限额：</w:t>
      </w:r>
      <w:r>
        <w:rPr>
          <w:rFonts w:ascii="宋体" w:hAnsi="宋体"/>
          <w:sz w:val="24"/>
        </w:rPr>
        <w:t xml:space="preserve">100</w:t>
      </w:r>
      <w:r>
        <w:rPr>
          <w:rFonts w:hint="eastAsia" w:ascii="宋体" w:hAnsi="宋体"/>
          <w:sz w:val="24"/>
        </w:rPr>
        <w:t xml:space="preserve">万元</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免赔标准：</w:t>
      </w:r>
      <w:r>
        <w:rPr>
          <w:rFonts w:hint="eastAsia" w:ascii="宋体" w:hAnsi="宋体"/>
          <w:sz w:val="24"/>
        </w:rPr>
        <w:t xml:space="preserve">每次事故免赔额</w:t>
      </w:r>
      <w:r>
        <w:rPr>
          <w:rFonts w:hint="eastAsia" w:ascii="宋体" w:hAnsi="宋体"/>
          <w:sz w:val="24"/>
        </w:rPr>
        <w:t xml:space="preserve">3</w:t>
      </w:r>
      <w:r>
        <w:rPr>
          <w:rFonts w:hint="eastAsia" w:ascii="宋体" w:hAnsi="宋体"/>
          <w:sz w:val="24"/>
        </w:rPr>
        <w:t xml:space="preserve">万，免赔率</w:t>
      </w:r>
      <w:r>
        <w:rPr>
          <w:rFonts w:ascii="宋体" w:hAnsi="宋体"/>
          <w:sz w:val="24"/>
        </w:rPr>
        <w:t xml:space="preserve">2</w:t>
      </w:r>
      <w:r>
        <w:rPr>
          <w:rFonts w:hint="eastAsia" w:ascii="宋体" w:hAnsi="宋体"/>
          <w:sz w:val="24"/>
        </w:rPr>
        <w:t xml:space="preserve">5%，两者以高者为准</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附加险</w:t>
      </w:r>
      <w:r/>
    </w:p>
    <w:p>
      <w:pPr>
        <w:pStyle w:val="898"/>
        <w:ind w:firstLine="480"/>
        <w:spacing w:line="360" w:lineRule="auto"/>
        <w:rPr>
          <w:rFonts w:ascii="宋体" w:hAnsi="宋体"/>
          <w:sz w:val="24"/>
        </w:rPr>
      </w:pPr>
      <w:r>
        <w:rPr>
          <w:rFonts w:ascii="宋体" w:hAnsi="宋体"/>
          <w:sz w:val="24"/>
        </w:rPr>
        <w:t xml:space="preserve">附加医务人员伤害责任</w:t>
      </w:r>
      <w:r>
        <w:rPr>
          <w:rFonts w:hint="eastAsia" w:ascii="宋体" w:hAnsi="宋体"/>
          <w:sz w:val="24"/>
        </w:rPr>
        <w:t xml:space="preserve">（每人30万元）</w:t>
      </w:r>
      <w:r>
        <w:rPr>
          <w:rFonts w:ascii="宋体" w:hAnsi="宋体"/>
          <w:sz w:val="24"/>
        </w:rPr>
      </w:r>
      <w:r/>
    </w:p>
    <w:p>
      <w:pPr>
        <w:pStyle w:val="898"/>
        <w:ind w:firstLine="480"/>
        <w:spacing w:line="360" w:lineRule="auto"/>
        <w:rPr>
          <w:rFonts w:ascii="宋体" w:hAnsi="宋体"/>
          <w:sz w:val="24"/>
        </w:rPr>
      </w:pPr>
      <w:r>
        <w:rPr>
          <w:rFonts w:ascii="宋体" w:hAnsi="宋体"/>
          <w:sz w:val="24"/>
        </w:rPr>
        <w:t xml:space="preserve">附加医疗机构场所责任</w:t>
      </w:r>
      <w:r>
        <w:rPr>
          <w:rFonts w:hint="eastAsia" w:ascii="宋体" w:hAnsi="宋体"/>
          <w:sz w:val="24"/>
        </w:rPr>
        <w:t xml:space="preserve">（每次30万元）</w:t>
      </w:r>
      <w:r>
        <w:rPr>
          <w:rFonts w:ascii="宋体" w:hAnsi="宋体"/>
          <w:sz w:val="24"/>
        </w:rPr>
      </w:r>
      <w:r/>
    </w:p>
    <w:p>
      <w:pPr>
        <w:pStyle w:val="898"/>
        <w:ind w:firstLine="480"/>
        <w:spacing w:line="360" w:lineRule="auto"/>
        <w:rPr>
          <w:rFonts w:ascii="宋体" w:hAnsi="宋体"/>
          <w:sz w:val="24"/>
        </w:rPr>
      </w:pPr>
      <w:r>
        <w:rPr>
          <w:rFonts w:ascii="宋体" w:hAnsi="宋体"/>
          <w:sz w:val="24"/>
        </w:rPr>
        <w:t xml:space="preserve">附加外请医务人员医疗责任</w:t>
      </w:r>
      <w:r>
        <w:rPr>
          <w:rFonts w:hint="eastAsia" w:ascii="宋体" w:hAnsi="宋体"/>
          <w:sz w:val="24"/>
        </w:rPr>
        <w:t xml:space="preserve">（每人30万元）</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4.特别</w:t>
      </w:r>
      <w:r>
        <w:rPr>
          <w:rFonts w:ascii="宋体" w:hAnsi="宋体"/>
          <w:sz w:val="24"/>
        </w:rPr>
        <w:t xml:space="preserve">说明</w:t>
      </w:r>
      <w:r/>
    </w:p>
    <w:p>
      <w:pPr>
        <w:pStyle w:val="898"/>
        <w:ind w:firstLine="420"/>
        <w:spacing w:line="360" w:lineRule="auto"/>
        <w:rPr>
          <w:rFonts w:ascii="宋体" w:hAnsi="宋体"/>
          <w:sz w:val="24"/>
          <w:szCs w:val="24"/>
        </w:rPr>
      </w:pPr>
      <w:r>
        <w:rPr>
          <w:rFonts w:hint="eastAsia" w:ascii="宋体" w:hAnsi="宋体"/>
          <w:sz w:val="24"/>
          <w:szCs w:val="24"/>
        </w:rPr>
        <w:t xml:space="preserve">4.1精神损失赔偿也属于保险范围，但以相关法律规定准则为限。</w:t>
      </w:r>
      <w:r>
        <w:rPr>
          <w:rFonts w:ascii="宋体" w:hAnsi="宋体"/>
          <w:sz w:val="24"/>
          <w:szCs w:val="24"/>
        </w:rPr>
      </w:r>
      <w:r/>
    </w:p>
    <w:p>
      <w:pPr>
        <w:pStyle w:val="898"/>
        <w:ind w:firstLine="420"/>
        <w:spacing w:line="360" w:lineRule="auto"/>
        <w:rPr>
          <w:rFonts w:hint="eastAsia" w:ascii="宋体" w:hAnsi="宋体"/>
          <w:sz w:val="24"/>
          <w:szCs w:val="24"/>
        </w:rPr>
      </w:pPr>
      <w:r>
        <w:rPr>
          <w:rFonts w:hint="eastAsia" w:ascii="宋体" w:hAnsi="宋体"/>
          <w:sz w:val="24"/>
          <w:szCs w:val="24"/>
        </w:rPr>
        <w:t xml:space="preserve">4.2本保单保障范围仅限投保时提供的人员（以清单为准）；若保险期限内有新进人员，被保险人需在次月15日前（节假日顺延）重新提供人员清单。 </w:t>
      </w:r>
      <w:r/>
    </w:p>
    <w:p>
      <w:pPr>
        <w:pStyle w:val="898"/>
        <w:ind w:firstLine="420"/>
        <w:spacing w:line="360" w:lineRule="auto"/>
        <w:rPr>
          <w:rFonts w:hint="eastAsia" w:ascii="宋体" w:hAnsi="宋体"/>
          <w:sz w:val="24"/>
          <w:szCs w:val="24"/>
        </w:rPr>
      </w:pPr>
      <w:r>
        <w:rPr>
          <w:rFonts w:hint="eastAsia" w:ascii="宋体" w:hAnsi="宋体"/>
          <w:sz w:val="24"/>
          <w:szCs w:val="24"/>
        </w:rPr>
        <w:t xml:space="preserve">4.3经双方协商确定：为快速消除纠纷案件对医院日常运营产生的不利影响，对于索赔金额不超5万元的纠纷案件免除事故认定书，由被保险人出具相关情况说明，保险公司按照医院实际承担的金额赔付（不超5万元）。</w:t>
      </w:r>
      <w:r/>
    </w:p>
    <w:p>
      <w:pPr>
        <w:pStyle w:val="898"/>
        <w:ind w:firstLine="420"/>
        <w:spacing w:line="360" w:lineRule="auto"/>
        <w:rPr>
          <w:rFonts w:ascii="宋体" w:hAnsi="宋体"/>
          <w:sz w:val="24"/>
          <w:szCs w:val="24"/>
        </w:rPr>
      </w:pPr>
      <w:r>
        <w:rPr>
          <w:rFonts w:hint="eastAsia" w:ascii="宋体" w:hAnsi="宋体"/>
          <w:sz w:val="24"/>
          <w:szCs w:val="24"/>
        </w:rPr>
        <w:t xml:space="preserve">4.4理赔材料医务处章用印效用等同于医院公章。</w:t>
      </w:r>
      <w:r>
        <w:rPr>
          <w:rFonts w:ascii="宋体" w:hAnsi="宋体"/>
          <w:sz w:val="24"/>
          <w:szCs w:val="24"/>
        </w:rPr>
      </w:r>
      <w:r/>
    </w:p>
    <w:p>
      <w:pPr>
        <w:pStyle w:val="898"/>
        <w:ind w:firstLine="482"/>
        <w:spacing w:line="360" w:lineRule="auto"/>
        <w:rPr>
          <w:rFonts w:ascii="宋体" w:hAnsi="宋体"/>
          <w:b/>
          <w:sz w:val="24"/>
        </w:rPr>
      </w:pPr>
      <w:r>
        <w:rPr>
          <w:rFonts w:hint="eastAsia" w:ascii="宋体" w:hAnsi="宋体"/>
          <w:b/>
          <w:sz w:val="24"/>
        </w:rPr>
        <w:t xml:space="preserve">九、违约责任：</w:t>
      </w:r>
      <w:r>
        <w:rPr>
          <w:rFonts w:ascii="宋体" w:hAnsi="宋体"/>
          <w:b/>
          <w:sz w:val="24"/>
        </w:rPr>
      </w:r>
      <w:r/>
    </w:p>
    <w:p>
      <w:pPr>
        <w:pStyle w:val="898"/>
        <w:ind w:firstLine="480"/>
        <w:spacing w:line="360" w:lineRule="auto"/>
        <w:rPr>
          <w:rFonts w:ascii="宋体" w:hAnsi="宋体"/>
          <w:sz w:val="24"/>
        </w:rPr>
      </w:pPr>
      <w:r>
        <w:rPr>
          <w:rFonts w:hint="eastAsia" w:ascii="宋体" w:hAnsi="宋体"/>
          <w:sz w:val="24"/>
        </w:rPr>
        <w:t xml:space="preserve">若乙方有下列违约情形，违约一次，予与警告；违约二次，支付5000元违约金，全市通报；违约三次，甲方有权解除本合同，退还未到期的保费，此行为列入不良记录，同时支付20000元违约金，并取消乙方下一次参与昆山市中医医院医疗责任保险的资格。</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1.收到保险具体采购单位或各被保险人对乙方的投诉，经查情况属实；</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2.检查发现投保手续偏离基本服务要求中的“承保服务”部分任何一条，经查情况属实； </w:t>
      </w:r>
      <w:r>
        <w:rPr>
          <w:rFonts w:ascii="宋体" w:hAnsi="宋体"/>
          <w:sz w:val="24"/>
        </w:rPr>
      </w:r>
      <w:r/>
    </w:p>
    <w:p>
      <w:pPr>
        <w:pStyle w:val="898"/>
        <w:ind w:firstLine="480"/>
        <w:spacing w:line="360" w:lineRule="auto"/>
        <w:rPr>
          <w:rFonts w:ascii="宋体" w:hAnsi="宋体"/>
          <w:sz w:val="24"/>
        </w:rPr>
      </w:pPr>
      <w:r>
        <w:rPr>
          <w:rFonts w:hint="eastAsia" w:ascii="宋体" w:hAnsi="宋体"/>
          <w:sz w:val="24"/>
        </w:rPr>
        <w:t xml:space="preserve">3.检查发现理赔服务手续偏离基本服务要求中的“理赔服务”部分任何一条，经查情况属实；</w:t>
      </w:r>
      <w:r>
        <w:rPr>
          <w:rFonts w:ascii="宋体" w:hAnsi="宋体"/>
          <w:sz w:val="24"/>
        </w:rPr>
      </w:r>
      <w:r/>
    </w:p>
    <w:p>
      <w:pPr>
        <w:pStyle w:val="898"/>
        <w:ind w:firstLine="482"/>
        <w:spacing w:line="360" w:lineRule="auto"/>
        <w:rPr>
          <w:rFonts w:ascii="宋体" w:hAnsi="宋体"/>
          <w:b/>
          <w:sz w:val="24"/>
        </w:rPr>
      </w:pPr>
      <w:r>
        <w:rPr>
          <w:rFonts w:hint="eastAsia" w:ascii="宋体" w:hAnsi="宋体"/>
          <w:b/>
          <w:sz w:val="24"/>
        </w:rPr>
        <w:t xml:space="preserve">十、合同修改</w:t>
      </w:r>
      <w:r>
        <w:rPr>
          <w:rFonts w:ascii="宋体" w:hAnsi="宋体"/>
          <w:b/>
          <w:sz w:val="24"/>
        </w:rPr>
      </w:r>
      <w:r/>
    </w:p>
    <w:p>
      <w:pPr>
        <w:pStyle w:val="898"/>
        <w:ind w:firstLine="480"/>
        <w:spacing w:line="360" w:lineRule="auto"/>
        <w:rPr>
          <w:rFonts w:ascii="宋体" w:hAnsi="宋体"/>
          <w:sz w:val="24"/>
        </w:rPr>
      </w:pPr>
      <w:r>
        <w:rPr>
          <w:rFonts w:hint="eastAsia" w:ascii="宋体" w:hAnsi="宋体"/>
          <w:sz w:val="24"/>
        </w:rPr>
        <w:t xml:space="preserve">对于本合同的未尽事宜，需进行修改、补充或完善的，甲乙双方必须就所修改的内容签订书面的合同修改书，作为本合同的补充协议。补充协议与本合同具有同等法律效力。</w:t>
      </w:r>
      <w:r>
        <w:rPr>
          <w:rFonts w:ascii="宋体" w:hAnsi="宋体"/>
          <w:sz w:val="24"/>
        </w:rPr>
      </w:r>
      <w:r/>
    </w:p>
    <w:p>
      <w:pPr>
        <w:pStyle w:val="898"/>
        <w:ind w:firstLine="482"/>
        <w:spacing w:line="360" w:lineRule="auto"/>
        <w:rPr>
          <w:rFonts w:ascii="宋体" w:hAnsi="宋体"/>
          <w:b/>
          <w:sz w:val="24"/>
        </w:rPr>
      </w:pPr>
      <w:r>
        <w:rPr>
          <w:rFonts w:hint="eastAsia" w:ascii="宋体" w:hAnsi="宋体"/>
          <w:b/>
          <w:sz w:val="24"/>
        </w:rPr>
        <w:t xml:space="preserve">十二、合同生效及其他</w:t>
      </w:r>
      <w:r>
        <w:rPr>
          <w:rFonts w:ascii="宋体" w:hAnsi="宋体"/>
          <w:b/>
          <w:sz w:val="24"/>
        </w:rPr>
      </w:r>
      <w:r/>
    </w:p>
    <w:p>
      <w:pPr>
        <w:pStyle w:val="898"/>
        <w:ind w:firstLine="420"/>
        <w:spacing w:line="360" w:lineRule="auto"/>
        <w:rPr>
          <w:rFonts w:ascii="宋体" w:hAnsi="宋体"/>
          <w:sz w:val="24"/>
          <w:szCs w:val="24"/>
        </w:rPr>
      </w:pPr>
      <w:r>
        <w:rPr>
          <w:rFonts w:hint="eastAsia" w:ascii="宋体" w:hAnsi="宋体"/>
          <w:sz w:val="24"/>
          <w:szCs w:val="24"/>
        </w:rPr>
        <w:t xml:space="preserve">1.除非合同中另有说明，本合同经甲乙双方法定代表人(法定负责人)或授权代理人签字盖章后生效。</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2.本合同中的附件均为本合同不可分割的部分，与本合同具有同等的法律效力。</w:t>
      </w:r>
      <w:r>
        <w:rPr>
          <w:rFonts w:ascii="宋体" w:hAnsi="宋体"/>
          <w:sz w:val="24"/>
          <w:szCs w:val="24"/>
        </w:rPr>
      </w:r>
      <w:r/>
    </w:p>
    <w:p>
      <w:pPr>
        <w:pStyle w:val="898"/>
        <w:ind w:firstLine="420"/>
        <w:spacing w:line="360" w:lineRule="auto"/>
        <w:rPr>
          <w:rFonts w:ascii="宋体" w:hAnsi="宋体"/>
          <w:sz w:val="24"/>
          <w:szCs w:val="24"/>
        </w:rPr>
      </w:pPr>
      <w:r>
        <w:rPr>
          <w:rFonts w:hint="eastAsia" w:ascii="宋体" w:hAnsi="宋体"/>
          <w:sz w:val="24"/>
          <w:szCs w:val="24"/>
        </w:rPr>
        <w:t xml:space="preserve">3.本合同一式肆份，甲乙双方各壹份、备案机构和招标代理人各执壹份，各份具有同等法律效力。</w:t>
      </w:r>
      <w:r>
        <w:rPr>
          <w:rFonts w:ascii="宋体" w:hAnsi="宋体"/>
          <w:sz w:val="24"/>
          <w:szCs w:val="24"/>
        </w:rPr>
      </w:r>
      <w:r/>
    </w:p>
    <w:p>
      <w:pPr>
        <w:pStyle w:val="898"/>
        <w:ind w:firstLine="468"/>
        <w:jc w:val="left"/>
        <w:spacing w:line="360" w:lineRule="auto"/>
        <w:rPr>
          <w:rFonts w:hint="eastAsia" w:ascii="宋体" w:hAnsi="宋体" w:cs="宋体"/>
          <w:spacing w:val="-3"/>
          <w:sz w:val="24"/>
          <w:szCs w:val="24"/>
        </w:rPr>
        <w:outlineLvl w:val="0"/>
      </w:pPr>
      <w:r>
        <w:rPr>
          <w:rFonts w:hint="eastAsia" w:ascii="宋体" w:hAnsi="宋体" w:cs="宋体"/>
          <w:spacing w:val="-3"/>
          <w:sz w:val="24"/>
          <w:szCs w:val="24"/>
        </w:rPr>
      </w:r>
      <w:r/>
    </w:p>
    <w:p>
      <w:pPr>
        <w:pStyle w:val="898"/>
        <w:ind w:firstLine="468"/>
        <w:jc w:val="left"/>
        <w:spacing w:line="480" w:lineRule="auto"/>
        <w:rPr>
          <w:rFonts w:hint="eastAsia" w:ascii="宋体" w:hAnsi="宋体" w:cs="宋体"/>
          <w:spacing w:val="-3"/>
          <w:sz w:val="24"/>
          <w:szCs w:val="24"/>
        </w:rPr>
        <w:outlineLvl w:val="0"/>
      </w:pPr>
      <w:r>
        <w:rPr>
          <w:rFonts w:hint="eastAsia" w:ascii="宋体" w:hAnsi="宋体" w:cs="宋体"/>
          <w:spacing w:val="-3"/>
          <w:sz w:val="24"/>
          <w:szCs w:val="24"/>
        </w:rPr>
        <w:t xml:space="preserve">甲方：（盖章）                             乙方：（盖章）</w:t>
      </w:r>
      <w:r/>
    </w:p>
    <w:p>
      <w:pPr>
        <w:pStyle w:val="898"/>
        <w:ind w:firstLine="468"/>
        <w:jc w:val="left"/>
        <w:spacing w:line="480" w:lineRule="auto"/>
        <w:rPr>
          <w:rFonts w:hint="eastAsia" w:ascii="宋体" w:hAnsi="宋体" w:cs="宋体"/>
          <w:spacing w:val="-3"/>
          <w:sz w:val="24"/>
          <w:szCs w:val="24"/>
        </w:rPr>
        <w:outlineLvl w:val="0"/>
      </w:pPr>
      <w:r>
        <w:rPr>
          <w:rFonts w:hint="eastAsia" w:ascii="宋体" w:hAnsi="宋体" w:cs="宋体"/>
          <w:spacing w:val="-3"/>
          <w:sz w:val="24"/>
          <w:szCs w:val="24"/>
        </w:rPr>
        <w:t xml:space="preserve">法定（授权）代表人：                      法定（授权）代表人：</w:t>
      </w:r>
      <w:r/>
    </w:p>
    <w:p>
      <w:pPr>
        <w:pStyle w:val="898"/>
        <w:ind w:firstLine="468"/>
        <w:jc w:val="left"/>
        <w:spacing w:line="480" w:lineRule="auto"/>
        <w:widowControl/>
        <w:rPr>
          <w:rFonts w:hint="eastAsia" w:ascii="宋体" w:hAnsi="宋体"/>
          <w:b/>
          <w:sz w:val="32"/>
          <w:szCs w:val="32"/>
        </w:rPr>
      </w:pPr>
      <w:r>
        <w:rPr>
          <w:rFonts w:hint="eastAsia" w:ascii="宋体" w:hAnsi="宋体" w:cs="宋体"/>
          <w:spacing w:val="-3"/>
          <w:sz w:val="24"/>
          <w:szCs w:val="24"/>
        </w:rPr>
        <w:t xml:space="preserve">签订日期：    年   月   日</w:t>
      </w:r>
      <w:r>
        <w:rPr>
          <w:rFonts w:hint="eastAsia" w:ascii="宋体" w:hAnsi="宋体"/>
          <w:b/>
          <w:sz w:val="32"/>
          <w:szCs w:val="32"/>
        </w:rPr>
      </w:r>
      <w:r/>
    </w:p>
    <w:p>
      <w:pPr>
        <w:pStyle w:val="898"/>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99"/>
        <w:numPr>
          <w:ilvl w:val="0"/>
          <w:numId w:val="9"/>
        </w:numPr>
        <w:spacing w:line="360" w:lineRule="auto"/>
        <w:tabs>
          <w:tab w:val="left" w:pos="405" w:leader="none"/>
          <w:tab w:val="left" w:pos="420" w:leader="none"/>
        </w:tabs>
        <w:rPr>
          <w:rFonts w:hint="eastAsia" w:ascii="宋体" w:hAnsi="宋体"/>
          <w:b/>
        </w:rPr>
      </w:pPr>
      <w:r/>
      <w:bookmarkStart w:id="98" w:name="_Toc161591375"/>
      <w:r>
        <w:rPr>
          <w:rFonts w:hint="eastAsia" w:ascii="宋体" w:hAnsi="宋体"/>
          <w:b/>
        </w:rPr>
        <w:t xml:space="preserve">评标办法</w:t>
      </w:r>
      <w:bookmarkEnd w:id="98"/>
      <w:r>
        <w:rPr>
          <w:rFonts w:hint="eastAsia" w:ascii="宋体" w:hAnsi="宋体"/>
          <w:b/>
        </w:rPr>
      </w:r>
      <w:r/>
    </w:p>
    <w:p>
      <w:pPr>
        <w:pStyle w:val="898"/>
        <w:ind w:firstLine="420"/>
        <w:spacing w:line="360" w:lineRule="auto"/>
        <w:rPr>
          <w:rFonts w:ascii="宋体" w:hAnsi="宋体"/>
          <w:sz w:val="24"/>
          <w:szCs w:val="24"/>
        </w:rPr>
      </w:pPr>
      <w:r>
        <w:rPr>
          <w:rFonts w:ascii="宋体" w:hAnsi="宋体"/>
          <w:sz w:val="24"/>
          <w:szCs w:val="24"/>
        </w:rPr>
        <w:t xml:space="preserve">一、评审办法</w:t>
      </w:r>
      <w:r/>
    </w:p>
    <w:p>
      <w:pPr>
        <w:pStyle w:val="898"/>
        <w:ind w:firstLine="420"/>
        <w:spacing w:line="360" w:lineRule="auto"/>
        <w:rPr>
          <w:rFonts w:hint="eastAsia" w:ascii="宋体" w:hAnsi="宋体"/>
          <w:sz w:val="24"/>
          <w:szCs w:val="24"/>
        </w:rPr>
      </w:pPr>
      <w:r>
        <w:rPr>
          <w:rFonts w:hint="eastAsia" w:ascii="宋体" w:hAnsi="宋体"/>
          <w:sz w:val="24"/>
          <w:szCs w:val="24"/>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10分钟。</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p>
    <w:p>
      <w:pPr>
        <w:pStyle w:val="898"/>
        <w:ind w:firstLine="420"/>
        <w:spacing w:line="360" w:lineRule="auto"/>
        <w:rPr>
          <w:rFonts w:hint="eastAsia"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p>
    <w:p>
      <w:pPr>
        <w:pStyle w:val="898"/>
        <w:ind w:firstLine="420"/>
        <w:spacing w:line="360" w:lineRule="auto"/>
        <w:rPr>
          <w:rFonts w:hint="eastAsia"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pStyle w:val="898"/>
        <w:ind w:firstLine="420"/>
        <w:spacing w:line="360" w:lineRule="auto"/>
        <w:rPr>
          <w:rFonts w:hint="eastAsia"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pStyle w:val="898"/>
        <w:ind w:firstLine="420"/>
        <w:spacing w:line="360" w:lineRule="auto"/>
        <w:rPr>
          <w:rFonts w:hint="eastAsia" w:ascii="宋体" w:hAnsi="宋体"/>
          <w:sz w:val="24"/>
          <w:szCs w:val="24"/>
        </w:rPr>
      </w:pPr>
      <w:r>
        <w:rPr>
          <w:rFonts w:hint="eastAsia" w:ascii="宋体" w:hAnsi="宋体"/>
          <w:sz w:val="24"/>
          <w:szCs w:val="24"/>
        </w:rPr>
        <w:t xml:space="preserve">二、采购政策</w:t>
      </w:r>
      <w:r/>
    </w:p>
    <w:p>
      <w:pPr>
        <w:pStyle w:val="898"/>
        <w:ind w:firstLine="420"/>
        <w:spacing w:line="360" w:lineRule="auto"/>
        <w:rPr>
          <w:rFonts w:ascii="宋体" w:hAnsi="宋体"/>
          <w:sz w:val="24"/>
        </w:rPr>
      </w:pPr>
      <w:r>
        <w:rPr>
          <w:rFonts w:hint="eastAsia" w:ascii="宋体" w:hAnsi="宋体"/>
          <w:sz w:val="24"/>
        </w:rPr>
        <w:t xml:space="preserve">1.针对小微型企业、残疾人福利性单位及监狱单位的评审：</w:t>
      </w:r>
      <w:r>
        <w:rPr>
          <w:rFonts w:ascii="宋体" w:hAnsi="宋体"/>
          <w:sz w:val="24"/>
        </w:rPr>
      </w:r>
      <w:r/>
    </w:p>
    <w:p>
      <w:pPr>
        <w:pStyle w:val="898"/>
        <w:ind w:firstLine="420"/>
        <w:spacing w:line="360" w:lineRule="auto"/>
        <w:rPr>
          <w:rFonts w:ascii="宋体" w:hAnsi="宋体"/>
          <w:sz w:val="24"/>
        </w:rPr>
      </w:pPr>
      <w:r>
        <w:rPr>
          <w:rFonts w:hint="eastAsia" w:ascii="宋体" w:hAnsi="宋体"/>
          <w:sz w:val="24"/>
        </w:rPr>
        <w:t xml:space="preserve">1.1根据《政府采购促进中小企业发展办法》（财库〔2020〕46号）的相关规定，对属于小型、微型企业的供应商给予价格扣除：</w:t>
      </w:r>
      <w:r>
        <w:rPr>
          <w:rFonts w:ascii="宋体" w:hAnsi="宋体"/>
          <w:sz w:val="24"/>
        </w:rPr>
      </w:r>
      <w:r/>
    </w:p>
    <w:p>
      <w:pPr>
        <w:pStyle w:val="898"/>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rPr>
          <w:rFonts w:ascii="宋体" w:hAnsi="宋体"/>
          <w:sz w:val="24"/>
        </w:rPr>
      </w:r>
      <w:r/>
    </w:p>
    <w:p>
      <w:pPr>
        <w:pStyle w:val="898"/>
        <w:ind w:firstLine="420"/>
        <w:spacing w:line="360" w:lineRule="auto"/>
        <w:rPr>
          <w:rFonts w:hint="eastAsia" w:ascii="宋体" w:hAnsi="宋体"/>
          <w:sz w:val="24"/>
        </w:rPr>
      </w:pPr>
      <w:r>
        <w:rPr>
          <w:rFonts w:hint="eastAsia" w:ascii="宋体" w:hAnsi="宋体"/>
          <w:sz w:val="24"/>
        </w:rPr>
        <w:t xml:space="preserve">如供应商属于小型企业，且提供自有产品或服务，对其报价给予20%的扣除；如供应商属于微型企业，且提供自有产品或服务，对其报价给予20%的扣除；扣除后的价格参与价格评审。</w:t>
      </w:r>
      <w:r/>
    </w:p>
    <w:p>
      <w:pPr>
        <w:pStyle w:val="898"/>
        <w:ind w:firstLine="420"/>
        <w:spacing w:line="360" w:lineRule="auto"/>
        <w:rPr>
          <w:rFonts w:ascii="宋体" w:hAnsi="宋体"/>
          <w:sz w:val="24"/>
        </w:rPr>
      </w:pPr>
      <w:r>
        <w:rPr>
          <w:rFonts w:hint="eastAsia" w:ascii="宋体" w:hAnsi="宋体"/>
          <w:sz w:val="24"/>
        </w:rPr>
        <w:t xml:space="preserve">1.2残疾人福利性单位</w:t>
      </w:r>
      <w:r>
        <w:rPr>
          <w:rFonts w:ascii="宋体" w:hAnsi="宋体"/>
          <w:sz w:val="24"/>
        </w:rPr>
      </w:r>
      <w:r/>
    </w:p>
    <w:p>
      <w:pPr>
        <w:pStyle w:val="898"/>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rPr>
          <w:rFonts w:ascii="宋体" w:hAnsi="宋体"/>
          <w:sz w:val="24"/>
        </w:rPr>
      </w:r>
      <w:r/>
    </w:p>
    <w:p>
      <w:pPr>
        <w:pStyle w:val="898"/>
        <w:ind w:firstLine="420"/>
        <w:spacing w:line="360" w:lineRule="auto"/>
        <w:rPr>
          <w:rFonts w:hint="eastAsia"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pStyle w:val="898"/>
        <w:ind w:firstLine="420"/>
        <w:spacing w:line="360" w:lineRule="auto"/>
        <w:rPr>
          <w:rFonts w:ascii="宋体" w:hAnsi="宋体"/>
          <w:sz w:val="24"/>
        </w:rPr>
      </w:pPr>
      <w:r>
        <w:rPr>
          <w:rFonts w:hint="eastAsia" w:ascii="宋体" w:hAnsi="宋体"/>
          <w:sz w:val="24"/>
        </w:rPr>
        <w:t xml:space="preserve">1.3监狱企业</w:t>
      </w:r>
      <w:r>
        <w:rPr>
          <w:rFonts w:ascii="宋体" w:hAnsi="宋体"/>
          <w:sz w:val="24"/>
        </w:rPr>
      </w:r>
      <w:r/>
    </w:p>
    <w:p>
      <w:pPr>
        <w:pStyle w:val="898"/>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rPr>
          <w:rFonts w:ascii="宋体" w:hAnsi="宋体"/>
          <w:sz w:val="24"/>
        </w:rPr>
      </w:r>
      <w:r/>
    </w:p>
    <w:p>
      <w:pPr>
        <w:pStyle w:val="898"/>
        <w:ind w:firstLine="420"/>
        <w:spacing w:line="360" w:lineRule="auto"/>
        <w:rPr>
          <w:rFonts w:hint="eastAsia"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p>
    <w:p>
      <w:pPr>
        <w:pStyle w:val="898"/>
        <w:ind w:firstLine="420"/>
        <w:spacing w:line="360" w:lineRule="auto"/>
        <w:rPr>
          <w:rFonts w:ascii="宋体" w:hAnsi="宋体"/>
          <w:sz w:val="24"/>
        </w:rPr>
      </w:pPr>
      <w:r>
        <w:rPr>
          <w:rFonts w:hint="eastAsia" w:ascii="宋体" w:hAnsi="宋体"/>
          <w:sz w:val="24"/>
        </w:rPr>
        <w:t xml:space="preserve">2.绿色采购</w:t>
      </w:r>
      <w:r>
        <w:rPr>
          <w:rFonts w:ascii="宋体" w:hAnsi="宋体"/>
          <w:sz w:val="24"/>
        </w:rPr>
      </w:r>
      <w:r/>
    </w:p>
    <w:p>
      <w:pPr>
        <w:pStyle w:val="898"/>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rPr>
          <w:rFonts w:ascii="宋体" w:hAnsi="宋体"/>
          <w:sz w:val="24"/>
        </w:rPr>
      </w:r>
      <w:r/>
    </w:p>
    <w:p>
      <w:pPr>
        <w:pStyle w:val="898"/>
        <w:ind w:firstLine="420"/>
        <w:spacing w:line="360" w:lineRule="auto"/>
        <w:rPr>
          <w:rFonts w:hint="eastAsia" w:ascii="宋体" w:hAnsi="宋体"/>
          <w:b/>
          <w:sz w:val="24"/>
        </w:rPr>
      </w:pPr>
      <w:r>
        <w:rPr>
          <w:rFonts w:hint="eastAsia" w:ascii="宋体" w:hAnsi="宋体"/>
          <w:b/>
          <w:sz w:val="24"/>
        </w:rPr>
        <w:t xml:space="preserve">3.若供应商提供的《中小企业声明函》、《残疾人福利性单位声明函》及监狱企业认定证明等材料为虚假材料，按《政府采购法》相关规定处理并报请政府采购监管部门给予行政处罚。</w:t>
      </w:r>
      <w:r/>
    </w:p>
    <w:p>
      <w:pPr>
        <w:pStyle w:val="898"/>
        <w:ind w:firstLine="42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W w:w="92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295"/>
        <w:gridCol w:w="1762"/>
      </w:tblGrid>
      <w:tr>
        <w:trPr>
          <w:trHeight w:val="5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jc w:val="center"/>
              <w:spacing w:line="360" w:lineRule="auto"/>
              <w:rPr>
                <w:rFonts w:ascii="宋体" w:hAnsi="宋体"/>
                <w:sz w:val="24"/>
                <w:szCs w:val="24"/>
              </w:rPr>
            </w:pPr>
            <w:r>
              <w:rPr>
                <w:rFonts w:hint="eastAsia" w:ascii="宋体" w:hAnsi="宋体"/>
                <w:sz w:val="24"/>
                <w:szCs w:val="24"/>
              </w:rPr>
              <w:t xml:space="preserve">评审内容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898"/>
              <w:jc w:val="center"/>
              <w:rPr>
                <w:rFonts w:ascii="宋体" w:hAnsi="宋体"/>
                <w:sz w:val="24"/>
                <w:szCs w:val="24"/>
              </w:rPr>
            </w:pPr>
            <w:r>
              <w:rPr>
                <w:rFonts w:hint="eastAsia" w:ascii="宋体" w:hAnsi="宋体"/>
                <w:sz w:val="24"/>
                <w:szCs w:val="24"/>
              </w:rPr>
              <w:t xml:space="preserve">是否合格</w:t>
            </w:r>
            <w:r>
              <w:rPr>
                <w:rFonts w:ascii="宋体" w:hAnsi="宋体"/>
                <w:sz w:val="24"/>
                <w:szCs w:val="24"/>
              </w:rPr>
            </w:r>
            <w:r/>
          </w:p>
          <w:p>
            <w:pPr>
              <w:pStyle w:val="898"/>
              <w:jc w:val="center"/>
              <w:spacing w:line="360" w:lineRule="auto"/>
              <w:rPr>
                <w:rFonts w:ascii="宋体" w:hAnsi="宋体"/>
                <w:sz w:val="24"/>
                <w:szCs w:val="24"/>
              </w:rPr>
            </w:pPr>
            <w:r>
              <w:rPr>
                <w:rFonts w:hint="eastAsia" w:ascii="宋体" w:hAnsi="宋体"/>
                <w:sz w:val="24"/>
                <w:szCs w:val="24"/>
              </w:rPr>
              <w:t xml:space="preserve">（是/否）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898"/>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合格谈判供应商的资格条件</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rPr>
                <w:rFonts w:ascii="宋体" w:hAnsi="宋体"/>
                <w:sz w:val="24"/>
                <w:szCs w:val="24"/>
              </w:rPr>
            </w:pPr>
            <w:r>
              <w:rPr>
                <w:rFonts w:hint="eastAsia" w:ascii="宋体" w:hAnsi="宋体"/>
                <w:sz w:val="24"/>
                <w:szCs w:val="24"/>
              </w:rPr>
              <w:t xml:space="preserve">2.谈判采购内容及</w:t>
            </w:r>
            <w:r>
              <w:rPr>
                <w:rFonts w:ascii="宋体" w:hAnsi="宋体"/>
                <w:sz w:val="24"/>
                <w:szCs w:val="24"/>
              </w:rPr>
              <w:t xml:space="preserve">要求符合性</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r>
      <w:tr>
        <w:trP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rPr>
                <w:rFonts w:ascii="宋体" w:hAnsi="宋体"/>
                <w:sz w:val="24"/>
                <w:szCs w:val="24"/>
              </w:rPr>
            </w:pPr>
            <w:r>
              <w:rPr>
                <w:rFonts w:hint="eastAsia" w:ascii="宋体" w:hAnsi="宋体"/>
                <w:sz w:val="24"/>
                <w:szCs w:val="24"/>
              </w:rPr>
              <w:t xml:space="preserve">3.服务期</w:t>
            </w:r>
            <w:r>
              <w:rPr>
                <w:rFonts w:ascii="宋体" w:hAnsi="宋体"/>
                <w:sz w:val="24"/>
                <w:szCs w:val="24"/>
              </w:rPr>
              <w:t xml:space="preserve">、付款、合同内容等其他综合内容承诺</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898"/>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898"/>
              <w:spacing w:line="360" w:lineRule="auto"/>
              <w:rPr>
                <w:rFonts w:ascii="宋体" w:hAnsi="宋体"/>
                <w:sz w:val="24"/>
                <w:szCs w:val="24"/>
              </w:rPr>
            </w:pPr>
            <w:r>
              <w:rPr>
                <w:rFonts w:ascii="宋体" w:hAnsi="宋体"/>
                <w:sz w:val="24"/>
                <w:szCs w:val="24"/>
              </w:rPr>
            </w:r>
            <w:r/>
          </w:p>
        </w:tc>
      </w:tr>
    </w:tbl>
    <w:p>
      <w:pPr>
        <w:pStyle w:val="898"/>
        <w:ind w:firstLine="420"/>
        <w:spacing w:line="360" w:lineRule="auto"/>
        <w:rPr>
          <w:rFonts w:hint="eastAsia" w:ascii="宋体" w:hAnsi="宋体"/>
          <w:b/>
        </w:rPr>
      </w:pPr>
      <w:r>
        <w:rPr>
          <w:rFonts w:ascii="仿宋_GB2312" w:eastAsia="仿宋_GB2312"/>
          <w:b/>
          <w:sz w:val="24"/>
        </w:rPr>
        <w:br w:type="page" w:clear="all"/>
      </w:r>
      <w:r>
        <w:rPr>
          <w:rFonts w:hint="eastAsia" w:ascii="宋体" w:hAnsi="宋体"/>
          <w:b/>
        </w:rPr>
      </w:r>
      <w:r/>
    </w:p>
    <w:p>
      <w:pPr>
        <w:pStyle w:val="899"/>
        <w:numPr>
          <w:ilvl w:val="0"/>
          <w:numId w:val="9"/>
        </w:numPr>
        <w:spacing w:line="360" w:lineRule="auto"/>
        <w:tabs>
          <w:tab w:val="left" w:pos="405" w:leader="none"/>
          <w:tab w:val="left" w:pos="420" w:leader="none"/>
        </w:tabs>
        <w:rPr>
          <w:rFonts w:hint="eastAsia" w:ascii="宋体" w:hAnsi="宋体"/>
          <w:b/>
        </w:rPr>
      </w:pPr>
      <w:r>
        <w:rPr>
          <w:rFonts w:hint="eastAsia" w:ascii="宋体" w:hAnsi="宋体"/>
          <w:b/>
        </w:rPr>
        <w:t xml:space="preserve"> </w:t>
      </w:r>
      <w:bookmarkStart w:id="99" w:name="_Toc161591376"/>
      <w:r>
        <w:rPr>
          <w:rFonts w:hint="eastAsia" w:ascii="宋体" w:hAnsi="宋体"/>
          <w:b/>
        </w:rPr>
        <w:t xml:space="preserve">附件</w:t>
      </w:r>
      <w:bookmarkEnd w:id="99"/>
      <w:r/>
      <w:bookmarkStart w:id="100" w:name="gpcItem_SubmitDocStruct"/>
      <w:r>
        <w:rPr>
          <w:rFonts w:ascii="宋体" w:hAnsi="宋体"/>
          <w:b/>
        </w:rPr>
        <w:t xml:space="preserve">  </w:t>
      </w:r>
      <w:bookmarkEnd w:id="100"/>
      <w:r>
        <w:rPr>
          <w:rFonts w:hint="eastAsia" w:ascii="宋体" w:hAnsi="宋体"/>
          <w:b/>
        </w:rPr>
      </w:r>
      <w:r/>
    </w:p>
    <w:p>
      <w:pPr>
        <w:pStyle w:val="898"/>
        <w:rPr>
          <w:rFonts w:hint="eastAsia" w:ascii="仿宋_GB2312" w:eastAsia="仿宋_GB2312"/>
          <w:sz w:val="28"/>
        </w:rPr>
      </w:pPr>
      <w:r>
        <w:rPr>
          <w:rFonts w:hint="eastAsia" w:ascii="仿宋_GB2312" w:eastAsia="仿宋_GB2312"/>
          <w:sz w:val="28"/>
        </w:rPr>
        <w:t xml:space="preserve">投标文档结构表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686"/>
        <w:gridCol w:w="4075"/>
      </w:tblGrid>
      <w:tr>
        <w:trPr/>
        <w:tc>
          <w:tcPr>
            <w:tcW w:w="1242" w:type="dxa"/>
            <w:vAlign w:val="center"/>
            <w:textDirection w:val="lrTb"/>
            <w:noWrap w:val="false"/>
          </w:tcPr>
          <w:p>
            <w:pPr>
              <w:pStyle w:val="898"/>
              <w:jc w:val="center"/>
              <w:rPr>
                <w:rFonts w:hint="eastAsia" w:ascii="宋体" w:hAnsi="宋体"/>
                <w:sz w:val="24"/>
              </w:rPr>
            </w:pPr>
            <w:r/>
            <w:bookmarkStart w:id="101" w:name="gpcItem_tenderStruct2"/>
            <w:r>
              <w:rPr>
                <w:rFonts w:hint="eastAsia" w:ascii="宋体" w:hAnsi="宋体"/>
                <w:sz w:val="24"/>
              </w:rPr>
              <w:t xml:space="preserve">标书名称</w:t>
            </w:r>
            <w:r/>
          </w:p>
        </w:tc>
        <w:tc>
          <w:tcPr>
            <w:tcW w:w="3686" w:type="dxa"/>
            <w:vAlign w:val="center"/>
            <w:textDirection w:val="lrTb"/>
            <w:noWrap w:val="false"/>
          </w:tcPr>
          <w:p>
            <w:pPr>
              <w:pStyle w:val="898"/>
              <w:jc w:val="center"/>
              <w:rPr>
                <w:rFonts w:hint="eastAsia" w:ascii="宋体" w:hAnsi="宋体"/>
                <w:sz w:val="24"/>
              </w:rPr>
            </w:pPr>
            <w:r>
              <w:rPr>
                <w:rFonts w:hint="eastAsia" w:ascii="宋体" w:hAnsi="宋体"/>
                <w:sz w:val="24"/>
              </w:rPr>
              <w:t xml:space="preserve">文档名称</w:t>
            </w:r>
            <w:r/>
          </w:p>
        </w:tc>
        <w:tc>
          <w:tcPr>
            <w:tcW w:w="4075" w:type="dxa"/>
            <w:vAlign w:val="center"/>
            <w:textDirection w:val="lrTb"/>
            <w:noWrap w:val="false"/>
          </w:tcPr>
          <w:p>
            <w:pPr>
              <w:pStyle w:val="898"/>
              <w:jc w:val="center"/>
              <w:rPr>
                <w:rFonts w:hint="eastAsia" w:ascii="宋体" w:hAnsi="宋体"/>
                <w:sz w:val="24"/>
                <w:szCs w:val="24"/>
              </w:rPr>
            </w:pPr>
            <w:r>
              <w:rPr>
                <w:rFonts w:hint="eastAsia" w:ascii="宋体" w:hAnsi="宋体"/>
                <w:sz w:val="24"/>
                <w:szCs w:val="24"/>
              </w:rPr>
              <w:t xml:space="preserve">标题名称</w:t>
            </w:r>
            <w:r/>
          </w:p>
        </w:tc>
      </w:tr>
      <w:tr>
        <w:trPr>
          <w:cantSplit/>
        </w:trPr>
        <w:tc>
          <w:tcPr>
            <w:tcW w:w="1242" w:type="dxa"/>
            <w:vAlign w:val="center"/>
            <w:vMerge w:val="restart"/>
            <w:textDirection w:val="lrTb"/>
            <w:noWrap w:val="false"/>
          </w:tcPr>
          <w:p>
            <w:pPr>
              <w:pStyle w:val="898"/>
              <w:jc w:val="center"/>
              <w:rPr>
                <w:rFonts w:hint="eastAsia" w:ascii="宋体" w:hAnsi="宋体"/>
                <w:sz w:val="24"/>
              </w:rPr>
            </w:pPr>
            <w:r>
              <w:rPr>
                <w:rFonts w:hint="eastAsia" w:ascii="宋体" w:hAnsi="宋体"/>
                <w:sz w:val="24"/>
              </w:rPr>
              <w:t xml:space="preserve">标书结构</w:t>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1：供应商情况表</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"_附件1：供应商情况表"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1：供应商情况表</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2：谈判响应函</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"_附件2：谈判响应函"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2：谈判响应函</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3：谈判承诺函</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"_附件3：谈判承诺函"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3：谈判承诺函</w:t>
            </w:r>
            <w:r>
              <w:rPr>
                <w:rFonts w:ascii="宋体" w:hAnsi="宋体"/>
                <w:sz w:val="24"/>
                <w:szCs w:val="24"/>
              </w:rPr>
              <w:fldChar w:fldCharType="end"/>
            </w:r>
            <w:r>
              <w:rPr>
                <w:rFonts w:hint="eastAsia" w:ascii="宋体" w:hAnsi="宋体"/>
                <w:sz w:val="24"/>
                <w:szCs w:val="24"/>
              </w:rPr>
            </w:r>
            <w:r/>
          </w:p>
        </w:tc>
      </w:tr>
      <w:tr>
        <w:trPr>
          <w:cantSplit/>
          <w:trHeight w:val="223"/>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4：中小企业声明函</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"_附件4：中小企业声明函"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4：中小企业声明函</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5：残疾人福利性单位声明函</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"_附件5：残疾人福利性单位声明函" </w:instrText>
            </w:r>
            <w:r>
              <w:rPr>
                <w:rFonts w:ascii="宋体" w:hAnsi="宋体"/>
                <w:sz w:val="24"/>
                <w:szCs w:val="24"/>
              </w:rPr>
              <w:fldChar w:fldCharType="separate"/>
            </w:r>
            <w:r>
              <w:rPr>
                <w:rStyle w:val="979"/>
                <w:rFonts w:hint="eastAsia" w:ascii="宋体" w:hAnsi="宋体"/>
                <w:color w:val="000000"/>
                <w:sz w:val="24"/>
                <w:szCs w:val="24"/>
                <w:u w:val="none"/>
              </w:rPr>
              <w:t xml:space="preserve">附件</w:t>
            </w:r>
            <w:r>
              <w:rPr>
                <w:rStyle w:val="979"/>
                <w:rFonts w:ascii="宋体" w:hAnsi="宋体"/>
                <w:color w:val="000000"/>
                <w:sz w:val="24"/>
                <w:szCs w:val="24"/>
                <w:u w:val="none"/>
              </w:rPr>
              <w:t xml:space="preserve">5：残疾人福利性单位声明函</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6：法定代表人授权委托书:</w:t>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"_附件6：法定代表人授权委托书:" </w:instrText>
            </w:r>
            <w:r>
              <w:rPr>
                <w:rFonts w:ascii="宋体" w:hAnsi="宋体"/>
                <w:sz w:val="24"/>
                <w:szCs w:val="24"/>
              </w:rPr>
              <w:fldChar w:fldCharType="separate"/>
            </w:r>
            <w:r>
              <w:rPr>
                <w:rFonts w:hint="eastAsia" w:ascii="宋体" w:hAnsi="宋体"/>
                <w:sz w:val="24"/>
                <w:szCs w:val="24"/>
              </w:rPr>
              <w:t xml:space="preserve">附件</w:t>
            </w:r>
            <w:r>
              <w:rPr>
                <w:rFonts w:ascii="宋体" w:hAnsi="宋体"/>
                <w:sz w:val="24"/>
                <w:szCs w:val="24"/>
              </w:rPr>
              <w:t xml:space="preserve">6：法定代表人授权委托书:</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7：</w:t>
            </w:r>
            <w:r>
              <w:rPr>
                <w:rFonts w:hint="eastAsia" w:ascii="宋体" w:hAnsi="宋体"/>
                <w:sz w:val="24"/>
                <w:szCs w:val="24"/>
              </w:rPr>
              <w:t xml:space="preserve">关于响应文件的声明函</w:t>
            </w:r>
            <w:r/>
          </w:p>
        </w:tc>
        <w:tc>
          <w:tcPr>
            <w:tcW w:w="4075" w:type="dxa"/>
            <w:vAlign w:val="center"/>
            <w:textDirection w:val="lrTb"/>
            <w:noWrap w:val="false"/>
          </w:tcPr>
          <w:p>
            <w:pPr>
              <w:pStyle w:val="898"/>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7：</w:t>
            </w:r>
            <w:r>
              <w:rPr>
                <w:rFonts w:hint="eastAsia" w:ascii="宋体" w:hAnsi="宋体"/>
                <w:sz w:val="24"/>
                <w:szCs w:val="24"/>
              </w:rPr>
              <w:t xml:space="preserve">关于响应文件的声明函</w:t>
            </w:r>
            <w:r>
              <w:rPr>
                <w:rFonts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"_附件7：开标一览表" </w:instrText>
            </w:r>
            <w:r>
              <w:rPr>
                <w:rFonts w:ascii="宋体" w:hAnsi="宋体"/>
                <w:sz w:val="24"/>
                <w:szCs w:val="24"/>
              </w:rPr>
              <w:fldChar w:fldCharType="separate"/>
            </w:r>
            <w:r>
              <w:rPr>
                <w:rFonts w:hint="eastAsia" w:ascii="宋体" w:hAnsi="宋体"/>
                <w:sz w:val="24"/>
                <w:szCs w:val="24"/>
              </w:rPr>
              <w:t xml:space="preserve">附件8</w:t>
            </w:r>
            <w:r>
              <w:rPr>
                <w:rFonts w:ascii="宋体" w:hAnsi="宋体"/>
                <w:sz w:val="24"/>
                <w:szCs w:val="24"/>
              </w:rPr>
              <w:t xml:space="preserve">：开标一览表</w:t>
            </w:r>
            <w:r>
              <w:rPr>
                <w:rFonts w:ascii="宋体" w:hAnsi="宋体"/>
                <w:sz w:val="24"/>
                <w:szCs w:val="24"/>
              </w:rPr>
              <w:fldChar w:fldCharType="end"/>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"_附件7：开标一览表" </w:instrText>
            </w:r>
            <w:r>
              <w:rPr>
                <w:rFonts w:ascii="宋体" w:hAnsi="宋体"/>
                <w:sz w:val="24"/>
                <w:szCs w:val="24"/>
              </w:rPr>
              <w:fldChar w:fldCharType="separate"/>
            </w:r>
            <w:r>
              <w:rPr>
                <w:rFonts w:hint="eastAsia" w:ascii="宋体" w:hAnsi="宋体"/>
                <w:sz w:val="24"/>
                <w:szCs w:val="24"/>
              </w:rPr>
              <w:t xml:space="preserve">附件8</w:t>
            </w:r>
            <w:r>
              <w:rPr>
                <w:rFonts w:ascii="宋体" w:hAnsi="宋体"/>
                <w:sz w:val="24"/>
                <w:szCs w:val="24"/>
              </w:rPr>
              <w:t xml:space="preserve">：开标一览表</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"_附件8：报价分析表" </w:instrText>
            </w:r>
            <w:r>
              <w:rPr>
                <w:rFonts w:ascii="宋体" w:hAnsi="宋体"/>
                <w:sz w:val="24"/>
                <w:szCs w:val="24"/>
              </w:rPr>
              <w:fldChar w:fldCharType="separate"/>
            </w:r>
            <w:r>
              <w:rPr>
                <w:rFonts w:hint="eastAsia" w:ascii="宋体" w:hAnsi="宋体"/>
                <w:sz w:val="24"/>
                <w:szCs w:val="24"/>
              </w:rPr>
              <w:t xml:space="preserve">附件9</w:t>
            </w:r>
            <w:r>
              <w:rPr>
                <w:rFonts w:ascii="宋体" w:hAnsi="宋体"/>
                <w:sz w:val="24"/>
                <w:szCs w:val="24"/>
              </w:rPr>
              <w:t xml:space="preserve">：谈判报价分析表</w:t>
            </w:r>
            <w:r>
              <w:rPr>
                <w:rFonts w:ascii="宋体" w:hAnsi="宋体"/>
                <w:sz w:val="24"/>
                <w:szCs w:val="24"/>
              </w:rPr>
              <w:fldChar w:fldCharType="end"/>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"_附件8：报价分析表" </w:instrText>
            </w:r>
            <w:r>
              <w:rPr>
                <w:rFonts w:ascii="宋体" w:hAnsi="宋体"/>
                <w:sz w:val="24"/>
                <w:szCs w:val="24"/>
              </w:rPr>
              <w:fldChar w:fldCharType="separate"/>
            </w:r>
            <w:r>
              <w:rPr>
                <w:rFonts w:hint="eastAsia" w:ascii="宋体" w:hAnsi="宋体"/>
                <w:sz w:val="24"/>
                <w:szCs w:val="24"/>
              </w:rPr>
              <w:t xml:space="preserve">附件9</w:t>
            </w:r>
            <w:r>
              <w:rPr>
                <w:rFonts w:ascii="宋体" w:hAnsi="宋体"/>
                <w:sz w:val="24"/>
                <w:szCs w:val="24"/>
              </w:rPr>
              <w:t xml:space="preserve">：谈判报价分析表</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"_附件9：偏离表（技术、商务）" </w:instrText>
            </w:r>
            <w:r>
              <w:rPr>
                <w:rFonts w:ascii="宋体" w:hAnsi="宋体"/>
                <w:sz w:val="24"/>
                <w:szCs w:val="24"/>
              </w:rPr>
              <w:fldChar w:fldCharType="separate"/>
            </w:r>
            <w:r>
              <w:rPr>
                <w:rStyle w:val="979"/>
                <w:rFonts w:hint="eastAsia" w:ascii="宋体" w:hAnsi="宋体"/>
                <w:color w:val="000000"/>
                <w:sz w:val="24"/>
                <w:szCs w:val="24"/>
                <w:u w:val="none"/>
              </w:rPr>
              <w:t xml:space="preserve">附件10</w:t>
            </w:r>
            <w:r>
              <w:rPr>
                <w:rStyle w:val="979"/>
                <w:rFonts w:ascii="宋体" w:hAnsi="宋体"/>
                <w:color w:val="000000"/>
                <w:sz w:val="24"/>
                <w:szCs w:val="24"/>
                <w:u w:val="none"/>
              </w:rPr>
              <w:t xml:space="preserve">：偏离表（技术、商务）</w:t>
            </w:r>
            <w:r>
              <w:rPr>
                <w:rFonts w:ascii="宋体" w:hAnsi="宋体"/>
                <w:sz w:val="24"/>
                <w:szCs w:val="24"/>
              </w:rPr>
              <w:fldChar w:fldCharType="end"/>
            </w:r>
            <w:r>
              <w:rPr>
                <w:rFonts w:hint="eastAsia" w:ascii="宋体" w:hAnsi="宋体"/>
                <w:sz w:val="24"/>
                <w:szCs w:val="24"/>
              </w:rPr>
            </w:r>
            <w:r/>
          </w:p>
        </w:tc>
        <w:tc>
          <w:tcPr>
            <w:tcW w:w="4075" w:type="dxa"/>
            <w:vAlign w:val="center"/>
            <w:textDirection w:val="lrTb"/>
            <w:noWrap w:val="false"/>
          </w:tcPr>
          <w:p>
            <w:pPr>
              <w:pStyle w:val="898"/>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"_附件9：偏离表（技术、商务）" </w:instrText>
            </w:r>
            <w:r>
              <w:rPr>
                <w:rFonts w:ascii="宋体" w:hAnsi="宋体"/>
                <w:sz w:val="24"/>
                <w:szCs w:val="24"/>
              </w:rPr>
              <w:fldChar w:fldCharType="separate"/>
            </w:r>
            <w:r>
              <w:rPr>
                <w:rStyle w:val="979"/>
                <w:rFonts w:hint="eastAsia" w:ascii="宋体" w:hAnsi="宋体"/>
                <w:color w:val="000000"/>
                <w:sz w:val="24"/>
                <w:szCs w:val="24"/>
                <w:u w:val="none"/>
              </w:rPr>
              <w:t xml:space="preserve">附件10</w:t>
            </w:r>
            <w:r>
              <w:rPr>
                <w:rStyle w:val="979"/>
                <w:rFonts w:ascii="宋体" w:hAnsi="宋体"/>
                <w:color w:val="000000"/>
                <w:sz w:val="24"/>
                <w:szCs w:val="24"/>
                <w:u w:val="none"/>
              </w:rPr>
              <w:t xml:space="preserve">：偏离表（技术、商务）</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"_附件10：项目人员配置表" </w:instrText>
            </w:r>
            <w:r>
              <w:rPr>
                <w:rFonts w:ascii="宋体" w:hAnsi="宋体"/>
                <w:sz w:val="24"/>
                <w:szCs w:val="24"/>
              </w:rPr>
              <w:fldChar w:fldCharType="separate"/>
            </w:r>
            <w:r>
              <w:rPr>
                <w:rStyle w:val="979"/>
                <w:rFonts w:ascii="宋体" w:hAnsi="宋体"/>
                <w:color w:val="000000"/>
                <w:sz w:val="24"/>
                <w:szCs w:val="24"/>
                <w:u w:val="none"/>
              </w:rPr>
              <w:t xml:space="preserve">附件1</w:t>
            </w:r>
            <w:r>
              <w:rPr>
                <w:rStyle w:val="979"/>
                <w:rFonts w:hint="eastAsia" w:ascii="宋体" w:hAnsi="宋体"/>
                <w:color w:val="000000"/>
                <w:sz w:val="24"/>
                <w:szCs w:val="24"/>
                <w:u w:val="none"/>
              </w:rPr>
              <w:t xml:space="preserve">1</w:t>
            </w:r>
            <w:r>
              <w:rPr>
                <w:rStyle w:val="979"/>
                <w:rFonts w:ascii="宋体" w:hAnsi="宋体"/>
                <w:color w:val="000000"/>
                <w:sz w:val="24"/>
                <w:szCs w:val="24"/>
                <w:u w:val="none"/>
              </w:rPr>
              <w:t xml:space="preserve">：项目人员配置表</w:t>
            </w:r>
            <w:r>
              <w:rPr>
                <w:rFonts w:ascii="宋体" w:hAnsi="宋体"/>
                <w:sz w:val="24"/>
                <w:szCs w:val="24"/>
              </w:rPr>
              <w:fldChar w:fldCharType="end"/>
            </w:r>
            <w:r>
              <w:rPr>
                <w:rFonts w:ascii="宋体" w:hAnsi="宋体"/>
                <w:sz w:val="24"/>
                <w:szCs w:val="24"/>
              </w:rPr>
            </w:r>
            <w:r/>
          </w:p>
        </w:tc>
        <w:tc>
          <w:tcPr>
            <w:tcW w:w="4075" w:type="dxa"/>
            <w:vAlign w:val="center"/>
            <w:textDirection w:val="lrTb"/>
            <w:noWrap w:val="false"/>
          </w:tcPr>
          <w:p>
            <w:pPr>
              <w:pStyle w:val="898"/>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"_附件10：项目人员配置表" </w:instrText>
            </w:r>
            <w:r>
              <w:rPr>
                <w:rFonts w:ascii="宋体" w:hAnsi="宋体"/>
                <w:sz w:val="24"/>
                <w:szCs w:val="24"/>
              </w:rPr>
              <w:fldChar w:fldCharType="separate"/>
            </w:r>
            <w:r>
              <w:rPr>
                <w:rStyle w:val="979"/>
                <w:rFonts w:ascii="宋体" w:hAnsi="宋体"/>
                <w:color w:val="000000"/>
                <w:sz w:val="24"/>
                <w:szCs w:val="24"/>
                <w:u w:val="none"/>
              </w:rPr>
              <w:t xml:space="preserve">附件1</w:t>
            </w:r>
            <w:r>
              <w:rPr>
                <w:rStyle w:val="979"/>
                <w:rFonts w:hint="eastAsia" w:ascii="宋体" w:hAnsi="宋体"/>
                <w:color w:val="000000"/>
                <w:sz w:val="24"/>
                <w:szCs w:val="24"/>
                <w:u w:val="none"/>
              </w:rPr>
              <w:t xml:space="preserve">1</w:t>
            </w:r>
            <w:r>
              <w:rPr>
                <w:rStyle w:val="979"/>
                <w:rFonts w:ascii="宋体" w:hAnsi="宋体"/>
                <w:color w:val="000000"/>
                <w:sz w:val="24"/>
                <w:szCs w:val="24"/>
                <w:u w:val="none"/>
              </w:rPr>
              <w:t xml:space="preserve">：项目人员配置表</w:t>
            </w:r>
            <w:r>
              <w:rPr>
                <w:rFonts w:ascii="宋体" w:hAnsi="宋体"/>
                <w:sz w:val="24"/>
                <w:szCs w:val="24"/>
              </w:rPr>
              <w:fldChar w:fldCharType="end"/>
            </w:r>
            <w:r>
              <w:rPr>
                <w:rFonts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898"/>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"_附件11：类似业绩证明材料" </w:instrText>
            </w:r>
            <w:r>
              <w:rPr>
                <w:rFonts w:ascii="宋体" w:hAnsi="宋体"/>
                <w:sz w:val="24"/>
                <w:szCs w:val="24"/>
              </w:rPr>
              <w:fldChar w:fldCharType="separate"/>
            </w:r>
            <w:r>
              <w:rPr>
                <w:rStyle w:val="979"/>
                <w:rFonts w:ascii="宋体" w:hAnsi="宋体"/>
                <w:color w:val="000000"/>
                <w:sz w:val="24"/>
                <w:szCs w:val="24"/>
                <w:u w:val="none"/>
              </w:rPr>
              <w:t xml:space="preserve">附件1</w:t>
            </w:r>
            <w:r>
              <w:rPr>
                <w:rStyle w:val="979"/>
                <w:rFonts w:hint="eastAsia" w:ascii="宋体" w:hAnsi="宋体"/>
                <w:color w:val="000000"/>
                <w:sz w:val="24"/>
                <w:szCs w:val="24"/>
                <w:u w:val="none"/>
              </w:rPr>
              <w:t xml:space="preserve">2</w:t>
            </w:r>
            <w:r>
              <w:rPr>
                <w:rStyle w:val="979"/>
                <w:rFonts w:ascii="宋体" w:hAnsi="宋体"/>
                <w:color w:val="000000"/>
                <w:sz w:val="24"/>
                <w:szCs w:val="24"/>
                <w:u w:val="none"/>
              </w:rPr>
              <w:t xml:space="preserve">：类似业绩证明材料</w:t>
            </w:r>
            <w:r>
              <w:rPr>
                <w:rFonts w:ascii="宋体" w:hAnsi="宋体"/>
                <w:sz w:val="24"/>
                <w:szCs w:val="24"/>
              </w:rPr>
              <w:fldChar w:fldCharType="end"/>
            </w:r>
            <w:r>
              <w:rPr>
                <w:rFonts w:ascii="宋体" w:hAnsi="宋体"/>
                <w:sz w:val="24"/>
                <w:szCs w:val="24"/>
              </w:rPr>
            </w:r>
            <w:r/>
          </w:p>
        </w:tc>
        <w:tc>
          <w:tcPr>
            <w:tcW w:w="4075" w:type="dxa"/>
            <w:vAlign w:val="center"/>
            <w:textDirection w:val="lrTb"/>
            <w:noWrap w:val="false"/>
          </w:tcPr>
          <w:p>
            <w:pPr>
              <w:pStyle w:val="898"/>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"_附件11：类似业绩证明材料" </w:instrText>
            </w:r>
            <w:r>
              <w:rPr>
                <w:rFonts w:ascii="宋体" w:hAnsi="宋体"/>
                <w:sz w:val="24"/>
                <w:szCs w:val="24"/>
              </w:rPr>
              <w:fldChar w:fldCharType="separate"/>
            </w:r>
            <w:r>
              <w:rPr>
                <w:rStyle w:val="979"/>
                <w:rFonts w:ascii="宋体" w:hAnsi="宋体"/>
                <w:color w:val="000000"/>
                <w:sz w:val="24"/>
                <w:szCs w:val="24"/>
                <w:u w:val="none"/>
              </w:rPr>
              <w:t xml:space="preserve">附件1</w:t>
            </w:r>
            <w:r>
              <w:rPr>
                <w:rStyle w:val="979"/>
                <w:rFonts w:hint="eastAsia" w:ascii="宋体" w:hAnsi="宋体"/>
                <w:color w:val="000000"/>
                <w:sz w:val="24"/>
                <w:szCs w:val="24"/>
                <w:u w:val="none"/>
              </w:rPr>
              <w:t xml:space="preserve">2</w:t>
            </w:r>
            <w:r>
              <w:rPr>
                <w:rStyle w:val="979"/>
                <w:rFonts w:ascii="宋体" w:hAnsi="宋体"/>
                <w:color w:val="000000"/>
                <w:sz w:val="24"/>
                <w:szCs w:val="24"/>
                <w:u w:val="none"/>
              </w:rPr>
              <w:t xml:space="preserve">：类似业绩证明材料</w:t>
            </w:r>
            <w:r>
              <w:rPr>
                <w:rFonts w:ascii="宋体" w:hAnsi="宋体"/>
                <w:sz w:val="24"/>
                <w:szCs w:val="24"/>
              </w:rPr>
              <w:fldChar w:fldCharType="end"/>
            </w:r>
            <w:r>
              <w:rPr>
                <w:rFonts w:ascii="宋体" w:hAnsi="宋体"/>
                <w:sz w:val="24"/>
                <w:szCs w:val="24"/>
              </w:rPr>
            </w:r>
            <w:r/>
          </w:p>
        </w:tc>
      </w:tr>
      <w:tr>
        <w:trPr>
          <w:cantSplit/>
        </w:trPr>
        <w:tc>
          <w:tcPr>
            <w:tcW w:w="1242" w:type="dxa"/>
            <w:vAlign w:val="center"/>
            <w:vMerge w:val="continue"/>
            <w:textDirection w:val="lrTb"/>
            <w:noWrap w:val="false"/>
          </w:tcPr>
          <w:p>
            <w:pPr>
              <w:pStyle w:val="898"/>
              <w:rPr>
                <w:rFonts w:hint="eastAsia" w:ascii="宋体" w:hAnsi="宋体"/>
                <w:sz w:val="24"/>
              </w:rPr>
            </w:pPr>
            <w:r>
              <w:rPr>
                <w:rFonts w:hint="eastAsia" w:ascii="宋体" w:hAnsi="宋体"/>
                <w:sz w:val="24"/>
              </w:rPr>
            </w:r>
            <w:r/>
          </w:p>
        </w:tc>
        <w:tc>
          <w:tcPr>
            <w:tcW w:w="3686" w:type="dxa"/>
            <w:vAlign w:val="center"/>
            <w:textDirection w:val="lrTb"/>
            <w:noWrap w:val="false"/>
          </w:tcPr>
          <w:p>
            <w:pPr>
              <w:pStyle w:val="900"/>
              <w:rPr>
                <w:b w:val="0"/>
                <w:szCs w:val="21"/>
              </w:rPr>
            </w:pPr>
            <w:r>
              <w:rPr>
                <w:b w:val="0"/>
                <w:szCs w:val="21"/>
              </w:rPr>
              <w:t xml:space="preserve">附件</w:t>
            </w:r>
            <w:r>
              <w:rPr>
                <w:rFonts w:hint="eastAsia"/>
                <w:b w:val="0"/>
                <w:szCs w:val="21"/>
              </w:rPr>
              <w:t xml:space="preserve">13、类似保险项目理赔经验表</w:t>
            </w:r>
            <w:r>
              <w:rPr>
                <w:b w:val="0"/>
                <w:szCs w:val="21"/>
              </w:rPr>
            </w:r>
            <w:r/>
          </w:p>
        </w:tc>
        <w:tc>
          <w:tcPr>
            <w:tcW w:w="4075" w:type="dxa"/>
            <w:vAlign w:val="center"/>
            <w:textDirection w:val="lrTb"/>
            <w:noWrap w:val="false"/>
          </w:tcPr>
          <w:p>
            <w:pPr>
              <w:pStyle w:val="900"/>
              <w:rPr>
                <w:b w:val="0"/>
                <w:szCs w:val="21"/>
              </w:rPr>
            </w:pPr>
            <w:r>
              <w:rPr>
                <w:b w:val="0"/>
                <w:szCs w:val="21"/>
              </w:rPr>
              <w:t xml:space="preserve">附件</w:t>
            </w:r>
            <w:r>
              <w:rPr>
                <w:rFonts w:hint="eastAsia"/>
                <w:b w:val="0"/>
                <w:szCs w:val="21"/>
              </w:rPr>
              <w:t xml:space="preserve">13、类似保险项目理赔经验表</w:t>
            </w:r>
            <w:r>
              <w:rPr>
                <w:b w:val="0"/>
                <w:szCs w:val="21"/>
              </w:rPr>
            </w:r>
            <w:r/>
          </w:p>
        </w:tc>
      </w:tr>
    </w:tbl>
    <w:p>
      <w:pPr>
        <w:pStyle w:val="898"/>
        <w:rPr>
          <w:rFonts w:hint="eastAsia"/>
        </w:rPr>
      </w:pPr>
      <w:r/>
      <w:bookmarkEnd w:id="101"/>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898"/>
        <w:rPr>
          <w:rFonts w:hint="eastAsia"/>
        </w:rPr>
      </w:pPr>
      <w:r>
        <w:rPr>
          <w:rFonts w:hint="eastAsia"/>
        </w:rPr>
      </w:r>
      <w:r/>
    </w:p>
    <w:p>
      <w:pPr>
        <w:pStyle w:val="900"/>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102" w:name="_附件1：（谈判方）法定代表人授权委托书"/>
      <w:r/>
      <w:bookmarkEnd w:id="102"/>
      <w:r/>
      <w:bookmarkStart w:id="103" w:name="_附件1：供应商情况表"/>
      <w:r/>
      <w:bookmarkEnd w:id="103"/>
      <w:r/>
      <w:bookmarkStart w:id="104" w:name="_Ref499899149"/>
      <w:r/>
      <w:bookmarkStart w:id="105" w:name="_Toc519686649"/>
      <w:r/>
      <w:bookmarkStart w:id="106" w:name="_Toc500143975"/>
      <w:r/>
      <w:bookmarkStart w:id="107" w:name="_Ref10712456"/>
      <w:r/>
      <w:bookmarkStart w:id="108" w:name="_Toc37495968"/>
      <w:r/>
      <w:bookmarkStart w:id="109" w:name="_Ref15302730"/>
      <w:r/>
      <w:bookmarkStart w:id="110" w:name="_Toc126766153"/>
      <w:r/>
      <w:bookmarkStart w:id="111" w:name="_Toc37496118"/>
      <w:r/>
      <w:bookmarkStart w:id="112" w:name="_Toc126763167"/>
      <w:r/>
      <w:bookmarkStart w:id="113" w:name="_Ref477865927"/>
      <w:r>
        <w:rPr>
          <w:szCs w:val="21"/>
        </w:rPr>
      </w:r>
      <w:r/>
    </w:p>
    <w:p>
      <w:pPr>
        <w:pStyle w:val="900"/>
        <w:rPr>
          <w:szCs w:val="21"/>
        </w:rPr>
      </w:pPr>
      <w:r/>
      <w:bookmarkStart w:id="114" w:name="_Toc161591377"/>
      <w:r>
        <w:rPr>
          <w:szCs w:val="21"/>
        </w:rPr>
        <w:t xml:space="preserve">附件1：</w:t>
      </w:r>
      <w:bookmarkEnd w:id="104"/>
      <w:r/>
      <w:bookmarkEnd w:id="105"/>
      <w:r/>
      <w:bookmarkEnd w:id="106"/>
      <w:r/>
      <w:bookmarkEnd w:id="107"/>
      <w:r>
        <w:rPr>
          <w:szCs w:val="21"/>
        </w:rPr>
        <w:t xml:space="preserve">供应商情况表</w:t>
      </w:r>
      <w:bookmarkEnd w:id="108"/>
      <w:r/>
      <w:bookmarkEnd w:id="109"/>
      <w:r/>
      <w:bookmarkEnd w:id="110"/>
      <w:r/>
      <w:bookmarkEnd w:id="111"/>
      <w:r/>
      <w:bookmarkEnd w:id="112"/>
      <w:r/>
      <w:bookmarkEnd w:id="114"/>
      <w:r>
        <w:rPr>
          <w:szCs w:val="21"/>
        </w:rPr>
      </w:r>
      <w:r/>
    </w:p>
    <w:p>
      <w:pPr>
        <w:pStyle w:val="898"/>
        <w:jc w:val="center"/>
        <w:rPr>
          <w:szCs w:val="21"/>
        </w:rPr>
      </w:pPr>
      <w:r>
        <w:rPr>
          <w:rFonts w:hint="eastAsia"/>
          <w:szCs w:val="21"/>
        </w:rPr>
        <w:t xml:space="preserve">供应商情况表</w:t>
      </w:r>
      <w:r>
        <w:rPr>
          <w:szCs w:val="21"/>
        </w:rPr>
      </w:r>
      <w:r/>
    </w:p>
    <w:p>
      <w:pPr>
        <w:pStyle w:val="898"/>
        <w:spacing w:line="300" w:lineRule="auto"/>
        <w:rPr>
          <w:rFonts w:ascii="宋体" w:hAnsi="宋体"/>
          <w:szCs w:val="21"/>
        </w:rPr>
      </w:pPr>
      <w:r>
        <w:rPr>
          <w:rFonts w:ascii="宋体" w:hAnsi="宋体"/>
          <w:szCs w:val="21"/>
        </w:rPr>
        <w:t xml:space="preserve">单位名称（加盖公章）：</w:t>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15"/>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15"/>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15"/>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rPr>
                <w:rFonts w:ascii="宋体" w:hAnsi="宋体" w:eastAsia="宋体"/>
                <w:b/>
                <w:sz w:val="21"/>
                <w:szCs w:val="21"/>
              </w:rPr>
            </w:r>
            <w:r/>
          </w:p>
        </w:tc>
      </w:tr>
      <w:tr>
        <w:trPr>
          <w:trHeight w:val="645"/>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898"/>
              <w:rPr>
                <w:szCs w:val="21"/>
              </w:rPr>
            </w:pPr>
            <w:r>
              <w:rPr>
                <w:rFonts w:hint="eastAsia"/>
                <w:szCs w:val="21"/>
              </w:rPr>
              <w:t xml:space="preserve">单位从业人员数量</w:t>
            </w:r>
            <w:r>
              <w:rPr>
                <w:szCs w:val="21"/>
              </w:rPr>
            </w:r>
            <w:r/>
          </w:p>
        </w:tc>
        <w:tc>
          <w:tcPr>
            <w:gridSpan w:val="3"/>
            <w:tcBorders>
              <w:left w:val="single" w:color="000000" w:sz="4" w:space="0"/>
            </w:tcBorders>
            <w:tcW w:w="2773" w:type="dxa"/>
            <w:vAlign w:val="center"/>
            <w:textDirection w:val="lrTb"/>
            <w:noWrap w:val="false"/>
          </w:tcPr>
          <w:p>
            <w:pPr>
              <w:pStyle w:val="91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rPr>
                <w:rFonts w:ascii="宋体" w:hAnsi="宋体" w:eastAsia="宋体"/>
                <w:sz w:val="21"/>
                <w:szCs w:val="21"/>
              </w:rPr>
            </w:r>
            <w:r/>
          </w:p>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rPr>
                <w:rFonts w:ascii="宋体" w:hAnsi="宋体" w:eastAsia="宋体"/>
                <w:sz w:val="21"/>
                <w:szCs w:val="21"/>
              </w:rPr>
            </w:r>
            <w:r/>
          </w:p>
        </w:tc>
      </w:tr>
      <w:tr>
        <w:trPr>
          <w:trHeight w:val="1548"/>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top"/>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91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1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bookmarkEnd w:id="113"/>
      <w:r/>
      <w:bookmarkStart w:id="115" w:name="_Ref507166820"/>
      <w:r/>
      <w:bookmarkStart w:id="116" w:name="_Toc519686651"/>
      <w:r/>
      <w:bookmarkStart w:id="117" w:name="_Ref15302737"/>
      <w:r/>
      <w:bookmarkStart w:id="118" w:name="_Ref376770270"/>
      <w:r/>
      <w:bookmarkStart w:id="119" w:name="_Ref477865930"/>
      <w:r/>
      <w:bookmarkStart w:id="120" w:name="_Toc500143977"/>
      <w:r>
        <w:rPr>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900"/>
        <w:rPr>
          <w:szCs w:val="21"/>
        </w:rPr>
      </w:pPr>
      <w:r/>
      <w:bookmarkStart w:id="121" w:name="_附件2：谈判响应函"/>
      <w:r/>
      <w:bookmarkEnd w:id="121"/>
      <w:r/>
      <w:bookmarkStart w:id="122" w:name="_Toc126766154"/>
      <w:r/>
      <w:bookmarkStart w:id="123" w:name="_Ref33617519"/>
      <w:r/>
      <w:bookmarkStart w:id="124" w:name="_Toc161591378"/>
      <w:r/>
      <w:bookmarkStart w:id="125" w:name="_Toc126763168"/>
      <w:r/>
      <w:bookmarkStart w:id="126" w:name="_Toc37495969"/>
      <w:r/>
      <w:bookmarkStart w:id="127" w:name="_Toc37496119"/>
      <w:r>
        <w:rPr>
          <w:szCs w:val="21"/>
        </w:rPr>
        <w:t xml:space="preserve">附件2：</w:t>
      </w:r>
      <w:bookmarkEnd w:id="115"/>
      <w:r/>
      <w:bookmarkEnd w:id="116"/>
      <w:r>
        <w:rPr>
          <w:rFonts w:hint="eastAsia"/>
          <w:szCs w:val="21"/>
        </w:rPr>
        <w:t xml:space="preserve">谈判</w:t>
      </w:r>
      <w:r>
        <w:rPr>
          <w:szCs w:val="21"/>
        </w:rPr>
        <w:t xml:space="preserve">响应函</w:t>
      </w:r>
      <w:bookmarkEnd w:id="117"/>
      <w:r/>
      <w:bookmarkEnd w:id="122"/>
      <w:r/>
      <w:bookmarkEnd w:id="123"/>
      <w:r/>
      <w:bookmarkEnd w:id="124"/>
      <w:r/>
      <w:bookmarkEnd w:id="125"/>
      <w:r/>
      <w:bookmarkEnd w:id="126"/>
      <w:r/>
      <w:bookmarkEnd w:id="127"/>
      <w:r>
        <w:rPr>
          <w:szCs w:val="21"/>
        </w:rPr>
      </w:r>
      <w:r/>
    </w:p>
    <w:p>
      <w:pPr>
        <w:pStyle w:val="898"/>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pStyle w:val="898"/>
        <w:spacing w:line="360" w:lineRule="auto"/>
        <w:rPr>
          <w:rFonts w:ascii="宋体" w:hAnsi="宋体"/>
          <w:szCs w:val="21"/>
        </w:rPr>
      </w:pPr>
      <w:r>
        <w:rPr>
          <w:rFonts w:hint="eastAsia" w:ascii="宋体" w:hAnsi="宋体"/>
          <w:szCs w:val="21"/>
          <w:u w:val="single"/>
        </w:rPr>
        <w:t xml:space="preserve">昆山市中医医院</w:t>
      </w:r>
      <w:r>
        <w:rPr>
          <w:rFonts w:ascii="宋体" w:hAnsi="宋体"/>
          <w:szCs w:val="21"/>
        </w:rPr>
        <w:t xml:space="preserve">：</w:t>
      </w:r>
      <w:r/>
    </w:p>
    <w:p>
      <w:pPr>
        <w:pStyle w:val="898"/>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898"/>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我方同意提供与响应有关的一切数据或资料，并保证所提供的响应文件及相关资料均真实有效，若有不实，由此产生的后果由我方承担；</w:t>
      </w:r>
      <w:r>
        <w:rPr>
          <w:rFonts w:ascii="宋体" w:hAnsi="宋体"/>
          <w:szCs w:val="21"/>
        </w:rPr>
      </w:r>
      <w:r/>
    </w:p>
    <w:p>
      <w:pPr>
        <w:pStyle w:val="898"/>
        <w:ind w:firstLine="420"/>
        <w:jc w:val="left"/>
        <w:spacing w:line="360" w:lineRule="auto"/>
        <w:rPr>
          <w:rFonts w:ascii="宋体" w:hAnsi="宋体"/>
        </w:rPr>
      </w:pPr>
      <w:r>
        <w:rPr>
          <w:rFonts w:hint="eastAsia" w:ascii="宋体" w:hAnsi="宋体"/>
        </w:rPr>
        <w:t xml:space="preserve">2.我方具有良好的商业信誉和健全的财务会计制度；</w:t>
      </w:r>
      <w:r>
        <w:rPr>
          <w:rFonts w:ascii="宋体" w:hAnsi="宋体"/>
        </w:rPr>
      </w:r>
      <w:r/>
    </w:p>
    <w:p>
      <w:pPr>
        <w:pStyle w:val="898"/>
        <w:ind w:firstLine="420"/>
        <w:jc w:val="left"/>
        <w:spacing w:line="360" w:lineRule="auto"/>
        <w:rPr>
          <w:rFonts w:ascii="宋体" w:hAnsi="宋体"/>
        </w:rPr>
      </w:pPr>
      <w:r>
        <w:rPr>
          <w:rFonts w:hint="eastAsia" w:ascii="宋体" w:hAnsi="宋体"/>
        </w:rPr>
        <w:t xml:space="preserve">3.我方具有依法缴纳税收和社会保障资金的良好记录；</w:t>
      </w:r>
      <w:r>
        <w:rPr>
          <w:rFonts w:ascii="宋体" w:hAnsi="宋体"/>
        </w:rPr>
      </w:r>
      <w:r/>
    </w:p>
    <w:p>
      <w:pPr>
        <w:pStyle w:val="898"/>
        <w:ind w:firstLine="420"/>
        <w:jc w:val="left"/>
        <w:spacing w:line="360" w:lineRule="auto"/>
        <w:rPr>
          <w:rFonts w:ascii="宋体" w:hAnsi="宋体"/>
        </w:rPr>
      </w:pPr>
      <w:r>
        <w:rPr>
          <w:rFonts w:hint="eastAsia" w:ascii="宋体" w:hAnsi="宋体"/>
        </w:rPr>
        <w:t xml:space="preserve">4.我方具有履行合同所必需的设备和专业技术能力；</w:t>
      </w:r>
      <w:r>
        <w:rPr>
          <w:rFonts w:ascii="宋体" w:hAnsi="宋体"/>
        </w:rPr>
      </w:r>
      <w:r/>
    </w:p>
    <w:p>
      <w:pPr>
        <w:pStyle w:val="898"/>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rPr>
          <w:rFonts w:ascii="宋体" w:hAnsi="宋体"/>
          <w:szCs w:val="21"/>
        </w:rPr>
      </w:r>
      <w:r/>
    </w:p>
    <w:p>
      <w:pPr>
        <w:pStyle w:val="898"/>
        <w:ind w:firstLine="420"/>
        <w:spacing w:line="360" w:lineRule="auto"/>
        <w:rPr>
          <w:rFonts w:hint="eastAsia" w:ascii="宋体" w:hAnsi="宋体"/>
          <w:szCs w:val="21"/>
        </w:rPr>
      </w:pPr>
      <w:r>
        <w:rPr>
          <w:rFonts w:hint="eastAsia" w:ascii="宋体" w:hAnsi="宋体"/>
          <w:szCs w:val="21"/>
        </w:rPr>
        <w:t xml:space="preserve">6.我方符合法律、行政法规规定的其他条件；</w:t>
      </w:r>
      <w:r/>
    </w:p>
    <w:p>
      <w:pPr>
        <w:pStyle w:val="898"/>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8.我方同意按采购文件中的规定，响应文件的有效期限为开标后三个月；</w:t>
      </w:r>
      <w:r>
        <w:rPr>
          <w:rFonts w:ascii="宋体" w:hAnsi="宋体"/>
          <w:szCs w:val="21"/>
        </w:rPr>
      </w:r>
      <w:r/>
    </w:p>
    <w:p>
      <w:pPr>
        <w:pStyle w:val="898"/>
        <w:ind w:firstLine="420"/>
        <w:spacing w:line="360" w:lineRule="auto"/>
        <w:rPr>
          <w:rFonts w:hint="eastAsia"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p>
    <w:p>
      <w:pPr>
        <w:pStyle w:val="898"/>
        <w:ind w:firstLine="420"/>
        <w:spacing w:line="360" w:lineRule="auto"/>
        <w:rPr>
          <w:rFonts w:ascii="宋体" w:hAnsi="宋体"/>
          <w:szCs w:val="21"/>
        </w:rPr>
      </w:pPr>
      <w:r>
        <w:rPr>
          <w:rFonts w:hint="eastAsia" w:ascii="宋体" w:hAnsi="宋体"/>
          <w:szCs w:val="21"/>
        </w:rPr>
        <w:t xml:space="preserve">10.我方最后报价含服务过程所发生的全部费用</w:t>
      </w:r>
      <w:r>
        <w:rPr>
          <w:rFonts w:hint="eastAsia" w:ascii="宋体" w:hAnsi="宋体"/>
          <w:szCs w:val="21"/>
        </w:rPr>
        <w:t xml:space="preserve">(含成交服务费)</w:t>
      </w:r>
      <w:r>
        <w:rPr>
          <w:rFonts w:hint="eastAsia" w:ascii="宋体" w:hAnsi="宋体"/>
          <w:szCs w:val="21"/>
        </w:rPr>
        <w:t xml:space="preserve">。</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898"/>
        <w:ind w:firstLine="420"/>
        <w:spacing w:line="360" w:lineRule="auto"/>
        <w:rPr>
          <w:rFonts w:ascii="宋体" w:hAnsi="宋体"/>
          <w:szCs w:val="21"/>
        </w:rPr>
      </w:pPr>
      <w:r>
        <w:rPr>
          <w:rFonts w:ascii="宋体" w:hAnsi="宋体"/>
          <w:szCs w:val="21"/>
        </w:rPr>
        <w:t xml:space="preserve">所有有关响应文件的函电，请按下列地址联系：</w:t>
      </w:r>
      <w:r/>
    </w:p>
    <w:p>
      <w:pPr>
        <w:pStyle w:val="898"/>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rPr>
          <w:rFonts w:ascii="宋体" w:hAnsi="宋体"/>
          <w:szCs w:val="21"/>
        </w:rPr>
      </w:r>
      <w:r/>
    </w:p>
    <w:p>
      <w:pPr>
        <w:pStyle w:val="898"/>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pStyle w:val="898"/>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898"/>
        <w:ind w:firstLine="420"/>
        <w:jc w:val="right"/>
        <w:spacing w:line="360" w:lineRule="auto"/>
        <w:rPr>
          <w:rFonts w:ascii="宋体" w:hAnsi="宋体"/>
          <w:szCs w:val="21"/>
        </w:rPr>
      </w:pPr>
      <w:r>
        <w:rPr>
          <w:rFonts w:ascii="宋体" w:hAnsi="宋体"/>
          <w:szCs w:val="21"/>
        </w:rPr>
        <w:t xml:space="preserve">法定代表人或被授权人：（签字或盖章）</w:t>
      </w:r>
      <w:r/>
    </w:p>
    <w:p>
      <w:pPr>
        <w:pStyle w:val="898"/>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szCs w:val="21"/>
        </w:rPr>
      </w:pPr>
      <w:r>
        <w:rPr>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szCs w:val="21"/>
        </w:rPr>
      </w:pPr>
      <w:r>
        <w:rPr>
          <w:szCs w:val="21"/>
        </w:rPr>
      </w:r>
      <w:r/>
    </w:p>
    <w:p>
      <w:pPr>
        <w:pStyle w:val="900"/>
        <w:rPr>
          <w:szCs w:val="21"/>
        </w:rPr>
      </w:pPr>
      <w:r/>
      <w:bookmarkStart w:id="128" w:name="_附件3：谈判承诺函"/>
      <w:r/>
      <w:bookmarkEnd w:id="128"/>
      <w:r/>
      <w:bookmarkStart w:id="129" w:name="_Toc37495970"/>
      <w:r/>
      <w:bookmarkStart w:id="130" w:name="_Toc37496120"/>
      <w:r/>
      <w:bookmarkStart w:id="131" w:name="_Ref35960980"/>
      <w:r/>
      <w:bookmarkStart w:id="132" w:name="_Toc161591379"/>
      <w:r/>
      <w:bookmarkStart w:id="133" w:name="_Toc126766155"/>
      <w:r/>
      <w:bookmarkStart w:id="134" w:name="_Toc126763169"/>
      <w:r>
        <w:rPr>
          <w:szCs w:val="21"/>
        </w:rPr>
        <w:t xml:space="preserve">附件3：</w:t>
      </w:r>
      <w:r>
        <w:rPr>
          <w:rFonts w:hint="eastAsia"/>
          <w:szCs w:val="21"/>
        </w:rPr>
        <w:t xml:space="preserve">谈判承诺函</w:t>
      </w:r>
      <w:bookmarkEnd w:id="129"/>
      <w:r/>
      <w:bookmarkEnd w:id="130"/>
      <w:r/>
      <w:bookmarkEnd w:id="131"/>
      <w:r/>
      <w:bookmarkEnd w:id="132"/>
      <w:r/>
      <w:bookmarkEnd w:id="133"/>
      <w:r/>
      <w:bookmarkEnd w:id="134"/>
      <w:r>
        <w:rPr>
          <w:szCs w:val="21"/>
        </w:rPr>
      </w:r>
      <w:r/>
    </w:p>
    <w:p>
      <w:pPr>
        <w:pStyle w:val="898"/>
        <w:jc w:val="center"/>
        <w:spacing w:line="360" w:lineRule="auto"/>
        <w:rPr>
          <w:rFonts w:ascii="宋体" w:hAnsi="宋体"/>
          <w:szCs w:val="21"/>
        </w:rPr>
      </w:pPr>
      <w:r>
        <w:rPr>
          <w:rFonts w:hint="eastAsia" w:ascii="宋体" w:hAnsi="宋体"/>
          <w:szCs w:val="21"/>
        </w:rPr>
        <w:t xml:space="preserve">谈判承诺函</w:t>
      </w: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spacing w:line="360" w:lineRule="auto"/>
        <w:rPr>
          <w:rFonts w:ascii="宋体" w:hAnsi="宋体"/>
          <w:szCs w:val="21"/>
        </w:rPr>
      </w:pPr>
      <w:r>
        <w:rPr>
          <w:rFonts w:hint="eastAsia" w:ascii="宋体" w:hAnsi="宋体"/>
          <w:szCs w:val="21"/>
        </w:rPr>
        <w:t xml:space="preserve">致：</w:t>
      </w:r>
      <w:r>
        <w:rPr>
          <w:rFonts w:hint="eastAsia" w:ascii="宋体" w:hAnsi="宋体"/>
          <w:szCs w:val="21"/>
          <w:u w:val="single"/>
        </w:rPr>
        <w:t xml:space="preserve">昆山市中医医院</w:t>
      </w:r>
      <w:r>
        <w:rPr>
          <w:rFonts w:ascii="宋体" w:hAnsi="宋体"/>
          <w:szCs w:val="21"/>
        </w:rPr>
      </w:r>
      <w:r/>
    </w:p>
    <w:p>
      <w:pPr>
        <w:pStyle w:val="898"/>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898"/>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898"/>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898"/>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898"/>
        <w:ind w:firstLine="420"/>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898"/>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898"/>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pStyle w:val="898"/>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898"/>
        <w:ind w:firstLine="420"/>
        <w:jc w:val="left"/>
        <w:spacing w:line="360" w:lineRule="auto"/>
        <w:rPr>
          <w:rFonts w:ascii="宋体" w:hAnsi="宋体"/>
          <w:szCs w:val="21"/>
        </w:rPr>
      </w:pPr>
      <w:r>
        <w:rPr>
          <w:rFonts w:ascii="宋体" w:hAnsi="宋体"/>
          <w:szCs w:val="21"/>
        </w:rPr>
      </w:r>
      <w:r/>
    </w:p>
    <w:p>
      <w:pPr>
        <w:pStyle w:val="898"/>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898"/>
        <w:ind w:firstLine="420"/>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98"/>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jc w:val="center"/>
        <w:spacing w:line="360" w:lineRule="auto"/>
        <w:rPr>
          <w:rFonts w:ascii="宋体" w:hAnsi="宋体"/>
          <w:szCs w:val="21"/>
        </w:rPr>
      </w:pPr>
      <w:r>
        <w:rPr>
          <w:rFonts w:ascii="宋体" w:hAnsi="宋体"/>
          <w:szCs w:val="21"/>
        </w:rPr>
      </w:r>
      <w:r/>
    </w:p>
    <w:p>
      <w:pPr>
        <w:pStyle w:val="898"/>
        <w:rPr>
          <w:szCs w:val="21"/>
        </w:rPr>
      </w:pPr>
      <w:r>
        <w:rPr>
          <w:szCs w:val="21"/>
        </w:rPr>
      </w:r>
      <w:r/>
    </w:p>
    <w:p>
      <w:pPr>
        <w:pStyle w:val="900"/>
        <w:rPr>
          <w:szCs w:val="21"/>
        </w:rPr>
      </w:pPr>
      <w:r/>
      <w:bookmarkEnd w:id="118"/>
      <w:r/>
      <w:bookmarkEnd w:id="119"/>
      <w:r/>
      <w:bookmarkEnd w:id="120"/>
      <w:r/>
      <w:bookmarkStart w:id="135" w:name="_附件4：中小企业声明函"/>
      <w:r/>
      <w:bookmarkEnd w:id="135"/>
      <w:r/>
      <w:bookmarkStart w:id="136" w:name="_Ref33617527"/>
      <w:r/>
      <w:bookmarkStart w:id="137" w:name="_Toc37495971"/>
      <w:r/>
      <w:bookmarkStart w:id="138" w:name="_Toc126766156"/>
      <w:r/>
      <w:bookmarkStart w:id="139" w:name="_Toc161591380"/>
      <w:r/>
      <w:bookmarkStart w:id="140" w:name="_Toc126763170"/>
      <w:r/>
      <w:bookmarkStart w:id="141" w:name="_Toc37496121"/>
      <w:r>
        <w:rPr>
          <w:szCs w:val="21"/>
        </w:rPr>
        <w:t xml:space="preserve">附件4：中小企业声明函</w:t>
      </w:r>
      <w:bookmarkEnd w:id="136"/>
      <w:r/>
      <w:bookmarkEnd w:id="137"/>
      <w:r/>
      <w:bookmarkEnd w:id="138"/>
      <w:r/>
      <w:bookmarkEnd w:id="139"/>
      <w:r/>
      <w:bookmarkEnd w:id="140"/>
      <w:r/>
      <w:bookmarkEnd w:id="141"/>
      <w:r>
        <w:rPr>
          <w:szCs w:val="21"/>
        </w:rPr>
      </w:r>
      <w:r/>
    </w:p>
    <w:p>
      <w:pPr>
        <w:pStyle w:val="898"/>
        <w:jc w:val="center"/>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b/>
          <w:bCs/>
          <w:szCs w:val="21"/>
        </w:rPr>
        <w:t xml:space="preserve">中小企业声明函</w:t>
      </w:r>
      <w:r>
        <w:rPr>
          <w:rFonts w:ascii="Arial" w:hAnsi="Arial" w:cs="Arial"/>
          <w:szCs w:val="21"/>
        </w:rPr>
      </w:r>
      <w:r/>
    </w:p>
    <w:p>
      <w:pPr>
        <w:pStyle w:val="898"/>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本公司（联合体）郑重声明，根据《政府采购促进中小企业发展管理办法》（财库﹝2020﹞46号）的规定，本公司（联合体）参加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Arial" w:hAnsi="Arial" w:cs="Arial"/>
          <w:szCs w:val="21"/>
        </w:rPr>
      </w:r>
      <w:r/>
    </w:p>
    <w:p>
      <w:pPr>
        <w:pStyle w:val="898"/>
        <w:ind w:firstLine="480"/>
        <w:spacing w:line="360" w:lineRule="auto"/>
        <w:rPr>
          <w:rFonts w:ascii="宋体" w:hAnsi="宋体"/>
          <w:sz w:val="24"/>
          <w:szCs w:val="24"/>
        </w:rPr>
      </w:pP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（谈判文件中明确的所属行业）</w:t>
      </w:r>
      <w:r>
        <w:rPr>
          <w:rFonts w:ascii="宋体" w:hAnsi="宋体"/>
          <w:sz w:val="24"/>
          <w:szCs w:val="24"/>
        </w:rPr>
        <w:t xml:space="preserve">；承建（承接）企业为</w:t>
      </w:r>
      <w:r>
        <w:rPr>
          <w:rFonts w:ascii="宋体" w:hAnsi="宋体"/>
          <w:i/>
          <w:iCs/>
          <w:sz w:val="24"/>
          <w:szCs w:val="24"/>
          <w:u w:val="single"/>
        </w:rPr>
        <w:t xml:space="preserve">（企业名称）</w:t>
      </w:r>
      <w:r>
        <w:rPr>
          <w:rFonts w:ascii="宋体" w:hAnsi="宋体"/>
          <w:sz w:val="24"/>
          <w:szCs w:val="24"/>
        </w:rPr>
        <w:t xml:space="preserve">，从业人员人，营业收入为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i/>
          <w:iCs/>
          <w:sz w:val="24"/>
          <w:szCs w:val="24"/>
          <w:u w:val="single"/>
        </w:rPr>
        <w:t xml:space="preserve">（中型企业、小 型企业、微型企业）</w:t>
      </w:r>
      <w:r>
        <w:rPr>
          <w:rFonts w:ascii="宋体" w:hAnsi="宋体"/>
          <w:sz w:val="24"/>
          <w:szCs w:val="24"/>
        </w:rPr>
        <w:t xml:space="preserve">；</w:t>
      </w:r>
      <w:r/>
    </w:p>
    <w:p>
      <w:pPr>
        <w:pStyle w:val="898"/>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以上企业，不属于大企业的分支机构，不存在控股股东为大企业的情形，也不存在与大企业的负责人为同一人的情形。</w:t>
      </w:r>
      <w:r>
        <w:rPr>
          <w:rFonts w:ascii="Arial" w:hAnsi="Arial" w:cs="Arial"/>
          <w:szCs w:val="21"/>
        </w:rPr>
      </w:r>
      <w:r/>
    </w:p>
    <w:p>
      <w:pPr>
        <w:pStyle w:val="898"/>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本企业对上述声明内容的真实性负责。如有虚假，将依法承担相应责任。</w:t>
      </w:r>
      <w:r>
        <w:rPr>
          <w:rFonts w:ascii="Arial" w:hAnsi="Arial" w:cs="Arial"/>
          <w:szCs w:val="21"/>
        </w:rPr>
      </w:r>
      <w:r/>
    </w:p>
    <w:p>
      <w:pPr>
        <w:pStyle w:val="1297"/>
        <w:ind w:firstLine="480"/>
        <w:spacing w:line="360" w:lineRule="auto"/>
        <w:rPr>
          <w:rFonts w:hAnsi="宋体" w:eastAsia="宋体"/>
          <w:sz w:val="21"/>
          <w:szCs w:val="21"/>
        </w:rPr>
      </w:pPr>
      <w:r>
        <w:rPr>
          <w:rFonts w:hAnsi="宋体" w:cs="Arial"/>
          <w:sz w:val="24"/>
        </w:rPr>
        <w:t xml:space="preserve"> </w:t>
      </w:r>
      <w:r>
        <w:rPr>
          <w:rFonts w:hAnsi="宋体" w:eastAsia="宋体"/>
          <w:sz w:val="21"/>
          <w:szCs w:val="21"/>
        </w:rPr>
        <w:t xml:space="preserve">注：1.从业人员、营业收入、资产总额填报上一年度数据，无上一年度数据的新成立企业可不填报。</w:t>
      </w:r>
      <w:r/>
    </w:p>
    <w:p>
      <w:pPr>
        <w:pStyle w:val="1297"/>
        <w:spacing w:line="360" w:lineRule="auto"/>
        <w:rPr>
          <w:rFonts w:hAnsi="宋体" w:eastAsia="宋体"/>
          <w:b/>
          <w:sz w:val="21"/>
          <w:szCs w:val="21"/>
        </w:rPr>
      </w:pPr>
      <w:r>
        <w:rPr>
          <w:rFonts w:hAnsi="宋体" w:eastAsia="宋体"/>
          <w:b/>
          <w:sz w:val="21"/>
          <w:szCs w:val="21"/>
        </w:rPr>
        <w:t xml:space="preserve">       </w:t>
      </w:r>
      <w:r>
        <w:rPr>
          <w:rFonts w:hAnsi="宋体" w:eastAsia="宋体"/>
          <w:b/>
          <w:sz w:val="21"/>
          <w:szCs w:val="21"/>
        </w:rPr>
        <w:t xml:space="preserve">2.本次招标项目所属行业为其他未列明行业。中小微企业划型标准请根据《中小企业划型标准规定》（工信部联企业〔2011〕300号）。</w:t>
      </w:r>
      <w:r>
        <w:rPr>
          <w:rFonts w:hAnsi="宋体" w:eastAsia="宋体"/>
          <w:b/>
          <w:sz w:val="21"/>
          <w:szCs w:val="21"/>
        </w:rPr>
      </w:r>
      <w:r/>
    </w:p>
    <w:p>
      <w:pPr>
        <w:pStyle w:val="898"/>
        <w:ind w:firstLine="480"/>
        <w:jc w:val="left"/>
        <w:spacing w:before="100" w:beforeAutospacing="1" w:after="100" w:afterAutospacing="1" w:line="435" w:lineRule="atLeast"/>
        <w:shd w:val="clear" w:color="auto" w:fill="ffffff"/>
        <w:widowControl/>
        <w:rPr>
          <w:rFonts w:ascii="Arial" w:hAnsi="Arial" w:cs="Arial"/>
          <w:szCs w:val="21"/>
        </w:rPr>
      </w:pPr>
      <w:r>
        <w:rPr>
          <w:rFonts w:ascii="Arial" w:hAnsi="Arial" w:cs="Arial"/>
          <w:szCs w:val="21"/>
        </w:rPr>
      </w:r>
      <w:r/>
    </w:p>
    <w:p>
      <w:pPr>
        <w:pStyle w:val="898"/>
        <w:ind w:firstLine="5280"/>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供应商（盖章）：</w:t>
      </w:r>
      <w:r>
        <w:rPr>
          <w:rFonts w:ascii="Arial" w:hAnsi="Arial" w:cs="Arial"/>
          <w:szCs w:val="21"/>
        </w:rPr>
      </w:r>
      <w:r/>
    </w:p>
    <w:p>
      <w:pPr>
        <w:pStyle w:val="898"/>
        <w:jc w:val="left"/>
        <w:spacing w:before="100" w:beforeAutospacing="1" w:after="100" w:afterAutospacing="1" w:line="435" w:lineRule="atLeast"/>
        <w:shd w:val="clear" w:color="auto" w:fill="ffffff"/>
        <w:widowControl/>
        <w:rPr>
          <w:rFonts w:ascii="宋体" w:hAnsi="宋体"/>
          <w:szCs w:val="21"/>
        </w:rPr>
      </w:pPr>
      <w:r>
        <w:rPr>
          <w:rFonts w:hint="eastAsia" w:ascii="宋体" w:hAnsi="宋体" w:cs="Arial"/>
          <w:sz w:val="24"/>
        </w:rPr>
        <w:t xml:space="preserve">                                           日 期：</w:t>
      </w:r>
      <w:r>
        <w:rPr>
          <w:rFonts w:ascii="宋体" w:hAnsi="宋体"/>
          <w:szCs w:val="21"/>
        </w:rPr>
      </w:r>
      <w:r/>
    </w:p>
    <w:p>
      <w:pPr>
        <w:pStyle w:val="898"/>
        <w:ind w:firstLine="420"/>
        <w:jc w:val="left"/>
        <w:spacing w:line="360" w:lineRule="auto"/>
        <w:rPr>
          <w:rFonts w:hint="eastAsia" w:ascii="宋体" w:hAnsi="宋体" w:cs="宋体"/>
          <w:szCs w:val="21"/>
        </w:rPr>
      </w:pPr>
      <w:r>
        <w:rPr>
          <w:rFonts w:hint="eastAsia" w:ascii="宋体" w:hAnsi="宋体" w:cs="宋体"/>
          <w:szCs w:val="21"/>
        </w:rPr>
      </w:r>
      <w:r/>
    </w:p>
    <w:p>
      <w:pPr>
        <w:pStyle w:val="898"/>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pStyle w:val="898"/>
        <w:ind w:firstLine="420"/>
        <w:spacing w:line="360" w:lineRule="exact"/>
        <w:rPr>
          <w:rFonts w:ascii="宋体" w:hAnsi="宋体" w:cs="宋体"/>
          <w:bCs/>
          <w:szCs w:val="21"/>
        </w:rPr>
      </w:pPr>
      <w:r>
        <w:rPr>
          <w:rFonts w:hint="eastAsia" w:ascii="宋体" w:hAnsi="宋体" w:cs="宋体"/>
          <w:bCs/>
          <w:szCs w:val="21"/>
        </w:rPr>
        <w:t xml:space="preserve">附件</w:t>
      </w:r>
      <w:r>
        <w:rPr>
          <w:rFonts w:ascii="宋体" w:hAnsi="宋体" w:cs="宋体"/>
          <w:bCs/>
          <w:szCs w:val="21"/>
        </w:rPr>
      </w:r>
      <w:r/>
    </w:p>
    <w:p>
      <w:pPr>
        <w:pStyle w:val="898"/>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rPr>
          <w:rFonts w:ascii="宋体" w:hAnsi="宋体" w:cs="宋体"/>
          <w:szCs w:val="21"/>
        </w:rPr>
      </w:r>
      <w:r/>
    </w:p>
    <w:p>
      <w:pPr>
        <w:pStyle w:val="898"/>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rPr>
          <w:rFonts w:ascii="宋体" w:hAnsi="宋体" w:cs="宋体"/>
          <w:bCs/>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898"/>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四、各行业划型标准为：</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五、企业类型的划分以统计部门的统计数据为依据。</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rPr>
          <w:rFonts w:ascii="宋体" w:hAnsi="宋体" w:cs="宋体"/>
          <w:szCs w:val="21"/>
        </w:rPr>
      </w:r>
      <w:r/>
    </w:p>
    <w:p>
      <w:pPr>
        <w:pStyle w:val="898"/>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rPr>
          <w:rFonts w:ascii="宋体" w:hAnsi="宋体" w:cs="宋体"/>
          <w:szCs w:val="21"/>
        </w:rPr>
      </w:r>
      <w:r/>
    </w:p>
    <w:p>
      <w:pPr>
        <w:pStyle w:val="898"/>
        <w:ind w:firstLine="420"/>
        <w:jc w:val="left"/>
        <w:rPr>
          <w:rFonts w:hint="eastAsia"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rPr>
          <w:rFonts w:hint="eastAsia" w:ascii="宋体" w:hAnsi="宋体" w:cs="宋体"/>
          <w:szCs w:val="21"/>
        </w:rPr>
      </w:r>
      <w:r/>
    </w:p>
    <w:p>
      <w:pPr>
        <w:pStyle w:val="898"/>
        <w:rPr>
          <w:szCs w:val="21"/>
        </w:rPr>
      </w:pPr>
      <w:r>
        <w:rPr>
          <w:szCs w:val="21"/>
        </w:rPr>
      </w:r>
      <w:r/>
    </w:p>
    <w:p>
      <w:pPr>
        <w:pStyle w:val="900"/>
        <w:rPr>
          <w:szCs w:val="21"/>
        </w:rPr>
      </w:pPr>
      <w:r/>
      <w:bookmarkStart w:id="142" w:name="_附件5：残疾人福利性单位声明函"/>
      <w:r/>
      <w:bookmarkEnd w:id="142"/>
      <w:r/>
      <w:bookmarkStart w:id="143" w:name="_Toc161591381"/>
      <w:r/>
      <w:bookmarkStart w:id="144" w:name="_Toc37496122"/>
      <w:r/>
      <w:bookmarkStart w:id="145" w:name="_Toc126766157"/>
      <w:r/>
      <w:bookmarkStart w:id="146" w:name="_Toc126763171"/>
      <w:r/>
      <w:bookmarkStart w:id="147" w:name="_Toc37495972"/>
      <w:r/>
      <w:bookmarkStart w:id="148" w:name="_Ref33617531"/>
      <w:r>
        <w:rPr>
          <w:szCs w:val="21"/>
        </w:rPr>
        <w:t xml:space="preserve">附件5：残疾人福利性单位声明函</w:t>
      </w:r>
      <w:bookmarkEnd w:id="143"/>
      <w:r/>
      <w:bookmarkEnd w:id="144"/>
      <w:r/>
      <w:bookmarkEnd w:id="145"/>
      <w:r/>
      <w:bookmarkEnd w:id="146"/>
      <w:r/>
      <w:bookmarkEnd w:id="147"/>
      <w:r/>
      <w:bookmarkEnd w:id="148"/>
      <w:r>
        <w:rPr>
          <w:szCs w:val="21"/>
        </w:rPr>
      </w:r>
      <w:r/>
    </w:p>
    <w:p>
      <w:pPr>
        <w:pStyle w:val="1295"/>
        <w:jc w:val="center"/>
        <w:spacing w:line="360" w:lineRule="auto"/>
        <w:rPr>
          <w:rFonts w:hAnsi="宋体" w:eastAsia="宋体"/>
          <w:sz w:val="21"/>
          <w:szCs w:val="21"/>
        </w:rPr>
      </w:pPr>
      <w:r>
        <w:rPr>
          <w:rFonts w:hint="eastAsia" w:hAnsi="宋体" w:eastAsia="宋体"/>
          <w:sz w:val="21"/>
          <w:szCs w:val="21"/>
        </w:rPr>
        <w:t xml:space="preserve">残疾人福利性单位声明函</w:t>
      </w:r>
      <w:r>
        <w:rPr>
          <w:rFonts w:hAnsi="宋体" w:eastAsia="宋体"/>
          <w:sz w:val="21"/>
          <w:szCs w:val="21"/>
        </w:rPr>
      </w:r>
      <w:r/>
    </w:p>
    <w:p>
      <w:pPr>
        <w:pStyle w:val="1295"/>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295"/>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rPr>
          <w:rFonts w:hAnsi="宋体" w:eastAsia="宋体"/>
          <w:sz w:val="21"/>
          <w:szCs w:val="21"/>
        </w:rPr>
      </w:r>
      <w:r/>
    </w:p>
    <w:p>
      <w:pPr>
        <w:pStyle w:val="1295"/>
        <w:ind w:firstLine="425"/>
        <w:jc w:val="left"/>
        <w:spacing w:line="360" w:lineRule="auto"/>
        <w:rPr>
          <w:rFonts w:hAnsi="宋体" w:eastAsia="宋体"/>
          <w:sz w:val="21"/>
          <w:szCs w:val="21"/>
        </w:rPr>
      </w:pPr>
      <w:r>
        <w:rPr>
          <w:rFonts w:hAnsi="宋体" w:eastAsia="宋体"/>
          <w:sz w:val="21"/>
          <w:szCs w:val="21"/>
        </w:rPr>
      </w:r>
      <w:r/>
    </w:p>
    <w:p>
      <w:pPr>
        <w:pStyle w:val="898"/>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898"/>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pStyle w:val="898"/>
        <w:jc w:val="right"/>
        <w:spacing w:line="360" w:lineRule="auto"/>
        <w:rPr>
          <w:szCs w:val="21"/>
        </w:rPr>
      </w:pPr>
      <w:r>
        <w:rPr>
          <w:b/>
          <w:bCs/>
          <w:szCs w:val="21"/>
        </w:rPr>
        <w:br w:type="page" w:clear="all"/>
      </w:r>
      <w:r>
        <w:rPr>
          <w:szCs w:val="21"/>
        </w:rPr>
      </w:r>
      <w:r/>
    </w:p>
    <w:p>
      <w:pPr>
        <w:pStyle w:val="900"/>
        <w:rPr>
          <w:szCs w:val="21"/>
        </w:rPr>
      </w:pPr>
      <w:r/>
      <w:bookmarkStart w:id="149" w:name="_附件6：法定代表人授权委托书:"/>
      <w:r/>
      <w:bookmarkEnd w:id="149"/>
      <w:r/>
      <w:bookmarkStart w:id="150" w:name="_Ref33617535"/>
      <w:r/>
      <w:bookmarkStart w:id="151" w:name="_Toc126766158"/>
      <w:r/>
      <w:bookmarkStart w:id="152" w:name="_Toc37496123"/>
      <w:r/>
      <w:bookmarkStart w:id="153" w:name="_Toc161591382"/>
      <w:r/>
      <w:bookmarkStart w:id="154" w:name="_Toc126763172"/>
      <w:r/>
      <w:bookmarkStart w:id="155" w:name="_Toc37495973"/>
      <w:r>
        <w:rPr>
          <w:szCs w:val="21"/>
        </w:rPr>
        <w:t xml:space="preserve">附件6：法定代表人授权委托书:</w:t>
      </w:r>
      <w:bookmarkEnd w:id="150"/>
      <w:r/>
      <w:bookmarkEnd w:id="151"/>
      <w:r/>
      <w:bookmarkEnd w:id="152"/>
      <w:r/>
      <w:bookmarkEnd w:id="153"/>
      <w:r/>
      <w:bookmarkEnd w:id="154"/>
      <w:r/>
      <w:bookmarkEnd w:id="155"/>
      <w:r>
        <w:rPr>
          <w:szCs w:val="21"/>
        </w:rPr>
      </w:r>
      <w:r/>
    </w:p>
    <w:p>
      <w:pPr>
        <w:pStyle w:val="898"/>
        <w:jc w:val="center"/>
        <w:spacing w:line="360" w:lineRule="auto"/>
        <w:rPr>
          <w:rFonts w:hint="eastAsia" w:ascii="宋体" w:hAnsi="宋体"/>
          <w:szCs w:val="21"/>
        </w:rPr>
      </w:pPr>
      <w:r>
        <w:rPr>
          <w:rFonts w:hint="eastAsia" w:ascii="宋体" w:hAnsi="宋体"/>
          <w:szCs w:val="21"/>
        </w:rPr>
      </w:r>
      <w:r/>
    </w:p>
    <w:p>
      <w:pPr>
        <w:pStyle w:val="898"/>
        <w:jc w:val="center"/>
        <w:spacing w:line="360" w:lineRule="auto"/>
        <w:rPr>
          <w:rFonts w:ascii="宋体" w:hAnsi="宋体"/>
          <w:szCs w:val="21"/>
        </w:rPr>
      </w:pPr>
      <w:r>
        <w:rPr>
          <w:rFonts w:hint="eastAsia" w:ascii="宋体" w:hAnsi="宋体"/>
          <w:szCs w:val="21"/>
        </w:rPr>
        <w:t xml:space="preserve">法定代表人授权委托书</w:t>
      </w:r>
      <w:r>
        <w:rPr>
          <w:rFonts w:ascii="宋体" w:hAnsi="宋体"/>
          <w:szCs w:val="21"/>
        </w:rPr>
      </w:r>
      <w:r/>
    </w:p>
    <w:p>
      <w:pPr>
        <w:pStyle w:val="898"/>
        <w:spacing w:line="360" w:lineRule="auto"/>
        <w:rPr>
          <w:rFonts w:ascii="宋体" w:hAnsi="宋体"/>
          <w:szCs w:val="21"/>
        </w:rPr>
      </w:pPr>
      <w:r>
        <w:rPr>
          <w:rFonts w:hint="eastAsia" w:ascii="宋体" w:hAnsi="宋体"/>
          <w:szCs w:val="21"/>
          <w:u w:val="single"/>
        </w:rPr>
        <w:t xml:space="preserve">昆山市中医医院</w:t>
      </w:r>
      <w:r>
        <w:rPr>
          <w:rFonts w:hint="eastAsia" w:ascii="宋体" w:hAnsi="宋体"/>
          <w:szCs w:val="21"/>
        </w:rPr>
        <w:t xml:space="preserve">：</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本授权委托书自投标开始至合同履行完毕止。</w:t>
      </w: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代理人：                            职务：</w:t>
      </w: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身份证号码：                        联系电话：</w:t>
      </w: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ind w:firstLine="420"/>
        <w:spacing w:line="360" w:lineRule="auto"/>
        <w:rPr>
          <w:rFonts w:ascii="宋体" w:hAnsi="宋体"/>
          <w:szCs w:val="21"/>
        </w:rPr>
      </w:pPr>
      <w:r>
        <w:rPr>
          <w:rFonts w:hint="eastAsia" w:ascii="宋体" w:hAnsi="宋体"/>
          <w:szCs w:val="21"/>
        </w:rPr>
        <w:t xml:space="preserve">代理人签字</w:t>
      </w:r>
      <w:r>
        <w:rPr>
          <w:rFonts w:hint="eastAsia" w:ascii="宋体" w:hAnsi="宋体"/>
          <w:szCs w:val="21"/>
        </w:rPr>
        <w:t xml:space="preserve">或盖章</w:t>
      </w:r>
      <w:r>
        <w:rPr>
          <w:rFonts w:hint="eastAsia" w:ascii="宋体" w:hAnsi="宋体"/>
          <w:szCs w:val="21"/>
        </w:rPr>
        <w:t xml:space="preserve">：                   法定代表人签字或盖章：</w:t>
      </w: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ind w:firstLine="420"/>
        <w:spacing w:line="360" w:lineRule="auto"/>
        <w:rPr>
          <w:rFonts w:ascii="宋体" w:hAnsi="宋体"/>
          <w:szCs w:val="21"/>
        </w:rPr>
      </w:pPr>
      <w:r>
        <w:rPr>
          <w:rFonts w:ascii="宋体" w:hAnsi="宋体"/>
          <w:szCs w:val="21"/>
        </w:rPr>
      </w:r>
      <w:r/>
    </w:p>
    <w:p>
      <w:pPr>
        <w:pStyle w:val="898"/>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898"/>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rFonts w:hint="eastAsia"/>
          <w:szCs w:val="21"/>
        </w:rPr>
      </w:pPr>
      <w:r>
        <w:rPr>
          <w:rFonts w:hint="eastAsia"/>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900"/>
        <w:rPr>
          <w:szCs w:val="21"/>
        </w:rPr>
      </w:pPr>
      <w:r/>
      <w:bookmarkStart w:id="156" w:name="_附件7：开标一览表"/>
      <w:r/>
      <w:bookmarkEnd w:id="156"/>
      <w:r/>
      <w:bookmarkStart w:id="157" w:name="_Ref376770274"/>
      <w:r/>
      <w:bookmarkStart w:id="158" w:name="_Toc500143978"/>
      <w:r/>
      <w:bookmarkStart w:id="159" w:name="_Toc519686653"/>
      <w:r/>
      <w:bookmarkStart w:id="160" w:name="_Toc161591383"/>
      <w:r/>
      <w:bookmarkStart w:id="161" w:name="_Toc126763173"/>
      <w:r/>
      <w:bookmarkStart w:id="162" w:name="_Toc37496124"/>
      <w:r/>
      <w:bookmarkStart w:id="163" w:name="_Toc126766159"/>
      <w:r/>
      <w:bookmarkStart w:id="164" w:name="_Ref15302750"/>
      <w:r/>
      <w:bookmarkStart w:id="165" w:name="_Toc37495974"/>
      <w:r>
        <w:rPr>
          <w:szCs w:val="21"/>
        </w:rPr>
        <w:t xml:space="preserve">附件7：</w:t>
      </w:r>
      <w:bookmarkEnd w:id="157"/>
      <w:r/>
      <w:bookmarkEnd w:id="158"/>
      <w:r/>
      <w:bookmarkEnd w:id="159"/>
      <w:r>
        <w:rPr>
          <w:rFonts w:hint="eastAsia"/>
          <w:szCs w:val="21"/>
        </w:rPr>
        <w:t xml:space="preserve">关于响应文件的声明函</w:t>
      </w:r>
      <w:bookmarkEnd w:id="160"/>
      <w:r>
        <w:rPr>
          <w:szCs w:val="21"/>
        </w:rPr>
      </w:r>
      <w:r/>
    </w:p>
    <w:p>
      <w:pPr>
        <w:pStyle w:val="898"/>
      </w:pPr>
      <w:r/>
      <w:r/>
    </w:p>
    <w:p>
      <w:pPr>
        <w:pStyle w:val="898"/>
      </w:pPr>
      <w:r/>
      <w:r/>
    </w:p>
    <w:p>
      <w:pPr>
        <w:pStyle w:val="915"/>
        <w:ind w:firstLine="0"/>
        <w:spacing w:before="60" w:after="60"/>
        <w:rPr>
          <w:rFonts w:ascii="宋体" w:hAnsi="宋体" w:eastAsia="宋体"/>
          <w:sz w:val="21"/>
          <w:szCs w:val="21"/>
        </w:rPr>
      </w:pPr>
      <w:r>
        <w:rPr>
          <w:rFonts w:ascii="宋体" w:hAnsi="宋体" w:eastAsia="宋体"/>
          <w:sz w:val="21"/>
          <w:szCs w:val="21"/>
        </w:rPr>
      </w:r>
      <w:r/>
    </w:p>
    <w:p>
      <w:pPr>
        <w:pStyle w:val="915"/>
        <w:jc w:val="center"/>
        <w:spacing w:before="60" w:after="60" w:line="360" w:lineRule="auto"/>
        <w:rPr>
          <w:rFonts w:ascii="宋体" w:hAnsi="宋体" w:eastAsia="宋体"/>
          <w:sz w:val="21"/>
          <w:szCs w:val="21"/>
        </w:rPr>
      </w:pPr>
      <w:r>
        <w:rPr>
          <w:rFonts w:hint="eastAsia" w:ascii="宋体" w:hAnsi="宋体" w:eastAsia="宋体"/>
          <w:sz w:val="21"/>
          <w:szCs w:val="21"/>
        </w:rPr>
        <w:t xml:space="preserve">关于响应文件的声明函</w:t>
      </w:r>
      <w:r>
        <w:rPr>
          <w:rFonts w:ascii="宋体" w:hAnsi="宋体" w:eastAsia="宋体"/>
          <w:sz w:val="21"/>
          <w:szCs w:val="21"/>
        </w:rPr>
      </w:r>
      <w:r/>
    </w:p>
    <w:p>
      <w:pPr>
        <w:pStyle w:val="915"/>
        <w:jc w:val="center"/>
        <w:spacing w:before="60" w:after="60" w:line="360" w:lineRule="auto"/>
        <w:rPr>
          <w:rFonts w:ascii="宋体" w:hAnsi="宋体" w:eastAsia="宋体"/>
          <w:sz w:val="21"/>
          <w:szCs w:val="21"/>
        </w:rPr>
      </w:pPr>
      <w:r>
        <w:rPr>
          <w:rFonts w:ascii="宋体" w:hAnsi="宋体" w:eastAsia="宋体"/>
          <w:sz w:val="21"/>
          <w:szCs w:val="21"/>
        </w:rPr>
      </w:r>
      <w:r/>
    </w:p>
    <w:p>
      <w:pPr>
        <w:pStyle w:val="915"/>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rPr>
          <w:rFonts w:ascii="宋体" w:hAnsi="宋体" w:eastAsia="宋体"/>
          <w:sz w:val="21"/>
          <w:szCs w:val="21"/>
        </w:rPr>
      </w:r>
      <w:r/>
    </w:p>
    <w:p>
      <w:pPr>
        <w:pStyle w:val="915"/>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sz w:val="21"/>
          <w:szCs w:val="21"/>
        </w:rPr>
      </w:r>
      <w:r/>
    </w:p>
    <w:p>
      <w:pPr>
        <w:pStyle w:val="915"/>
        <w:spacing w:before="60" w:after="60" w:line="400" w:lineRule="exact"/>
        <w:rPr>
          <w:rFonts w:ascii="宋体" w:hAnsi="宋体" w:eastAsia="宋体"/>
          <w:sz w:val="21"/>
          <w:szCs w:val="21"/>
        </w:rPr>
      </w:pPr>
      <w:r>
        <w:rPr>
          <w:rFonts w:ascii="宋体" w:hAnsi="宋体" w:eastAsia="宋体"/>
          <w:sz w:val="21"/>
          <w:szCs w:val="21"/>
        </w:rPr>
      </w:r>
      <w:r/>
    </w:p>
    <w:p>
      <w:pPr>
        <w:pStyle w:val="915"/>
        <w:spacing w:before="60" w:after="60" w:line="400" w:lineRule="exact"/>
        <w:rPr>
          <w:rFonts w:ascii="宋体" w:hAnsi="宋体" w:eastAsia="宋体"/>
          <w:sz w:val="21"/>
          <w:szCs w:val="21"/>
        </w:rPr>
      </w:pPr>
      <w:r>
        <w:rPr>
          <w:rFonts w:ascii="宋体" w:hAnsi="宋体" w:eastAsia="宋体"/>
          <w:sz w:val="21"/>
          <w:szCs w:val="21"/>
        </w:rPr>
      </w:r>
      <w:r/>
    </w:p>
    <w:p>
      <w:pPr>
        <w:pStyle w:val="915"/>
        <w:spacing w:before="60" w:after="60" w:line="400" w:lineRule="exact"/>
        <w:rPr>
          <w:rFonts w:ascii="宋体" w:hAnsi="宋体" w:eastAsia="宋体"/>
          <w:sz w:val="21"/>
          <w:szCs w:val="21"/>
        </w:rPr>
      </w:pPr>
      <w:r>
        <w:rPr>
          <w:rFonts w:ascii="宋体" w:hAnsi="宋体" w:eastAsia="宋体"/>
          <w:sz w:val="21"/>
          <w:szCs w:val="21"/>
        </w:rPr>
      </w:r>
      <w:r/>
    </w:p>
    <w:p>
      <w:pPr>
        <w:pStyle w:val="898"/>
        <w:ind w:firstLine="420"/>
        <w:spacing w:line="360" w:lineRule="auto"/>
        <w:rPr>
          <w:rFonts w:ascii="宋体" w:hAnsi="宋体" w:cs="宋体"/>
          <w:szCs w:val="21"/>
          <w:lang w:val="zh-CN"/>
        </w:rPr>
      </w:pPr>
      <w:r>
        <w:rPr>
          <w:rFonts w:hint="eastAsia" w:ascii="宋体" w:hAnsi="宋体" w:cs="宋体"/>
          <w:szCs w:val="21"/>
          <w:lang w:val="zh-CN"/>
        </w:rPr>
        <w:t xml:space="preserve">供应商：（单位盖章）</w:t>
      </w:r>
      <w:r>
        <w:rPr>
          <w:rFonts w:ascii="宋体" w:hAnsi="宋体" w:cs="宋体"/>
          <w:szCs w:val="21"/>
          <w:lang w:val="zh-CN"/>
        </w:rPr>
      </w:r>
      <w:r/>
    </w:p>
    <w:p>
      <w:pPr>
        <w:pStyle w:val="898"/>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rPr>
          <w:rFonts w:ascii="宋体" w:hAnsi="宋体" w:cs="宋体"/>
          <w:szCs w:val="21"/>
          <w:lang w:val="zh-CN"/>
        </w:rPr>
      </w:r>
      <w:r/>
    </w:p>
    <w:p>
      <w:pPr>
        <w:pStyle w:val="898"/>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pPr>
        <w:pStyle w:val="898"/>
      </w:pPr>
      <w:r/>
      <w:r/>
    </w:p>
    <w:p>
      <w:pPr>
        <w:pStyle w:val="898"/>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900"/>
        <w:rPr>
          <w:szCs w:val="21"/>
        </w:rPr>
      </w:pPr>
      <w:r/>
      <w:bookmarkStart w:id="166" w:name="_Toc161591384"/>
      <w:r>
        <w:rPr>
          <w:szCs w:val="21"/>
        </w:rPr>
        <w:t xml:space="preserve">附件8</w:t>
      </w:r>
      <w:r>
        <w:rPr>
          <w:rFonts w:hint="eastAsia"/>
          <w:szCs w:val="21"/>
        </w:rPr>
        <w:t xml:space="preserve">开标一览表</w:t>
      </w:r>
      <w:bookmarkEnd w:id="161"/>
      <w:r/>
      <w:bookmarkEnd w:id="162"/>
      <w:r/>
      <w:bookmarkEnd w:id="163"/>
      <w:r/>
      <w:bookmarkEnd w:id="164"/>
      <w:r/>
      <w:bookmarkEnd w:id="165"/>
      <w:r/>
      <w:bookmarkEnd w:id="166"/>
      <w:r>
        <w:rPr>
          <w:szCs w:val="21"/>
        </w:rPr>
      </w:r>
      <w:r/>
    </w:p>
    <w:p>
      <w:pPr>
        <w:pStyle w:val="900"/>
        <w:rPr>
          <w:szCs w:val="21"/>
        </w:rPr>
      </w:pPr>
      <w:r>
        <w:rPr>
          <w:szCs w:val="21"/>
        </w:rPr>
      </w:r>
      <w:r/>
    </w:p>
    <w:p>
      <w:pPr>
        <w:pStyle w:val="898"/>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r>
      <w:r/>
    </w:p>
    <w:p>
      <w:pPr>
        <w:pStyle w:val="898"/>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以苏采云系统自动生成为准。</w:t>
      </w:r>
      <w:r/>
    </w:p>
    <w:p>
      <w:pPr>
        <w:pStyle w:val="898"/>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898"/>
        <w:rPr>
          <w:szCs w:val="21"/>
        </w:rPr>
      </w:pPr>
      <w:r>
        <w:rPr>
          <w:szCs w:val="21"/>
        </w:rPr>
      </w:r>
      <w:r/>
    </w:p>
    <w:p>
      <w:pPr>
        <w:pStyle w:val="900"/>
        <w:rPr>
          <w:rFonts w:hint="eastAsia"/>
          <w:szCs w:val="21"/>
        </w:rPr>
      </w:pPr>
      <w:r/>
      <w:bookmarkStart w:id="167" w:name="_附件8：报价分析表"/>
      <w:r/>
      <w:bookmarkEnd w:id="167"/>
      <w:r/>
      <w:bookmarkStart w:id="168" w:name="_Toc161591385"/>
      <w:r/>
      <w:bookmarkStart w:id="169" w:name="_Ref477865934"/>
      <w:r/>
      <w:bookmarkStart w:id="170" w:name="_Ref15304724"/>
      <w:r/>
      <w:bookmarkStart w:id="171" w:name="_Toc500143979"/>
      <w:r/>
      <w:bookmarkStart w:id="172" w:name="_Toc519686654"/>
      <w:r/>
      <w:bookmarkStart w:id="173" w:name="_Toc37495975"/>
      <w:r/>
      <w:bookmarkStart w:id="174" w:name="_Toc126766160"/>
      <w:r/>
      <w:bookmarkStart w:id="175" w:name="_Toc37496125"/>
      <w:r/>
      <w:bookmarkStart w:id="176" w:name="_Toc126763174"/>
      <w:r>
        <w:rPr>
          <w:szCs w:val="21"/>
        </w:rPr>
        <w:t xml:space="preserve">附件</w:t>
      </w:r>
      <w:r>
        <w:rPr>
          <w:rFonts w:hint="eastAsia"/>
          <w:szCs w:val="21"/>
        </w:rPr>
        <w:t xml:space="preserve">9</w:t>
      </w:r>
      <w:r>
        <w:rPr>
          <w:szCs w:val="21"/>
        </w:rPr>
        <w:t xml:space="preserve">：</w:t>
      </w:r>
      <w:bookmarkEnd w:id="168"/>
      <w:r/>
      <w:bookmarkEnd w:id="169"/>
      <w:r/>
      <w:bookmarkEnd w:id="170"/>
      <w:r/>
      <w:bookmarkEnd w:id="171"/>
      <w:r/>
      <w:bookmarkEnd w:id="172"/>
      <w:r/>
      <w:bookmarkEnd w:id="173"/>
      <w:r/>
      <w:bookmarkEnd w:id="174"/>
      <w:r/>
      <w:bookmarkEnd w:id="175"/>
      <w:r/>
      <w:bookmarkEnd w:id="176"/>
      <w:r>
        <w:rPr>
          <w:rFonts w:ascii="Segoe UI" w:hAnsi="Segoe UI" w:cs="Segoe UI"/>
          <w:szCs w:val="21"/>
        </w:rPr>
        <w:t xml:space="preserve">谈判报价分析表</w:t>
      </w:r>
      <w:r>
        <w:rPr>
          <w:rFonts w:hint="eastAsia"/>
          <w:szCs w:val="21"/>
        </w:rPr>
      </w:r>
      <w:r/>
    </w:p>
    <w:p>
      <w:pPr>
        <w:pStyle w:val="1294"/>
        <w:ind w:left="-210" w:right="-210"/>
        <w:jc w:val="center"/>
        <w:spacing w:line="360" w:lineRule="auto"/>
        <w:rPr>
          <w:rFonts w:hAnsi="宋体" w:eastAsia="宋体" w:cs="宋体"/>
          <w:sz w:val="24"/>
        </w:rPr>
      </w:pPr>
      <w:r>
        <w:rPr>
          <w:rFonts w:hAnsi="宋体" w:eastAsia="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34"/>
        <w:gridCol w:w="1050"/>
        <w:gridCol w:w="1651"/>
        <w:gridCol w:w="1649"/>
        <w:gridCol w:w="1313"/>
      </w:tblGrid>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序号</w:t>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投入项目及费用名称</w:t>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数量/年度</w:t>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单价</w:t>
            </w:r>
            <w:r/>
          </w:p>
          <w:p>
            <w:pPr>
              <w:pStyle w:val="1305"/>
              <w:jc w:val="center"/>
              <w:rPr>
                <w:rFonts w:hAnsi="宋体" w:eastAsia="宋体"/>
                <w:sz w:val="21"/>
                <w:szCs w:val="21"/>
              </w:rPr>
            </w:pPr>
            <w:r>
              <w:rPr>
                <w:rFonts w:hAnsi="宋体" w:eastAsia="宋体"/>
                <w:sz w:val="21"/>
                <w:szCs w:val="21"/>
              </w:rPr>
              <w:t xml:space="preserve">（单位：元）</w:t>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总价</w:t>
            </w:r>
            <w:r/>
          </w:p>
          <w:p>
            <w:pPr>
              <w:pStyle w:val="1305"/>
              <w:jc w:val="center"/>
              <w:rPr>
                <w:rFonts w:hAnsi="宋体" w:eastAsia="宋体"/>
                <w:sz w:val="21"/>
                <w:szCs w:val="21"/>
              </w:rPr>
            </w:pPr>
            <w:r>
              <w:rPr>
                <w:rFonts w:hAnsi="宋体" w:eastAsia="宋体"/>
                <w:sz w:val="21"/>
                <w:szCs w:val="21"/>
              </w:rPr>
              <w:t xml:space="preserve">（单位：元）</w:t>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备注</w:t>
            </w:r>
            <w:r/>
          </w:p>
        </w:tc>
      </w:tr>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1</w:t>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r>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t xml:space="preserve">2</w:t>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r>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r>
      <w:tr>
        <w:trPr>
          <w:cantSplit/>
          <w:trHeight w:val="567"/>
        </w:trPr>
        <w:tc>
          <w:tcPr>
            <w:tcW w:w="50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1352"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305"/>
              <w:jc w:val="center"/>
              <w:rPr>
                <w:rFonts w:hAnsi="宋体" w:eastAsia="宋体"/>
                <w:sz w:val="21"/>
                <w:szCs w:val="21"/>
              </w:rPr>
            </w:pPr>
            <w:r>
              <w:rPr>
                <w:rFonts w:hAnsi="宋体" w:eastAsia="宋体"/>
                <w:sz w:val="21"/>
                <w:szCs w:val="21"/>
              </w:rPr>
            </w:r>
            <w:r/>
          </w:p>
        </w:tc>
      </w:tr>
    </w:tbl>
    <w:p>
      <w:pPr>
        <w:pStyle w:val="941"/>
        <w:ind w:firstLine="420"/>
        <w:spacing w:line="400" w:lineRule="exact"/>
        <w:rPr>
          <w:rFonts w:hint="eastAsia" w:hAnsi="宋体" w:eastAsia="宋体"/>
          <w:sz w:val="21"/>
          <w:szCs w:val="21"/>
        </w:rPr>
      </w:pPr>
      <w:r>
        <w:rPr>
          <w:rFonts w:hAnsi="宋体" w:eastAsia="宋体"/>
          <w:sz w:val="21"/>
          <w:szCs w:val="21"/>
        </w:rPr>
        <w:t xml:space="preserve">说明：</w:t>
      </w:r>
      <w:r>
        <w:rPr>
          <w:rFonts w:hint="eastAsia" w:hAnsi="宋体" w:eastAsia="宋体"/>
          <w:sz w:val="21"/>
          <w:szCs w:val="21"/>
        </w:rPr>
      </w:r>
      <w:r/>
    </w:p>
    <w:p>
      <w:pPr>
        <w:pStyle w:val="941"/>
        <w:ind w:firstLine="420"/>
        <w:spacing w:line="400" w:lineRule="exact"/>
        <w:rPr>
          <w:rFonts w:hAnsi="宋体" w:eastAsia="宋体"/>
          <w:sz w:val="21"/>
          <w:szCs w:val="21"/>
        </w:rPr>
      </w:pPr>
      <w:r>
        <w:rPr>
          <w:rFonts w:hAnsi="宋体" w:eastAsia="宋体"/>
          <w:sz w:val="21"/>
          <w:szCs w:val="21"/>
        </w:rPr>
        <w:t xml:space="preserve">1.报价表包含投标单位各项成本核算和投入的成本明细，合计金额应与开标一览表合计金额一致；否则，以开标一览表为准。</w:t>
      </w:r>
      <w:r/>
    </w:p>
    <w:p>
      <w:pPr>
        <w:pStyle w:val="941"/>
        <w:ind w:firstLine="447"/>
        <w:spacing w:line="400" w:lineRule="exact"/>
        <w:rPr>
          <w:rFonts w:hAnsi="宋体" w:eastAsia="宋体"/>
          <w:sz w:val="21"/>
          <w:szCs w:val="21"/>
        </w:rPr>
      </w:pPr>
      <w:r>
        <w:rPr>
          <w:rFonts w:hAnsi="宋体" w:eastAsia="宋体"/>
          <w:sz w:val="21"/>
          <w:szCs w:val="21"/>
        </w:rPr>
        <w:t xml:space="preserve">2.表中所列项目必须核算明细，如有增加，可自行添加。</w:t>
      </w:r>
      <w:r/>
    </w:p>
    <w:p>
      <w:pPr>
        <w:pStyle w:val="1294"/>
        <w:ind w:left="-210" w:right="-210"/>
        <w:jc w:val="center"/>
        <w:spacing w:line="360" w:lineRule="auto"/>
        <w:rPr>
          <w:rFonts w:hAnsi="宋体" w:eastAsia="宋体"/>
          <w:sz w:val="21"/>
          <w:szCs w:val="21"/>
        </w:rPr>
      </w:pPr>
      <w:r>
        <w:rPr>
          <w:rFonts w:hAnsi="宋体" w:eastAsia="宋体"/>
          <w:sz w:val="21"/>
          <w:szCs w:val="21"/>
        </w:rPr>
      </w:r>
      <w:r/>
    </w:p>
    <w:p>
      <w:pPr>
        <w:pStyle w:val="1294"/>
        <w:ind w:left="-210" w:right="-210"/>
        <w:jc w:val="left"/>
        <w:spacing w:line="360" w:lineRule="auto"/>
        <w:rPr>
          <w:rFonts w:hAnsi="宋体" w:eastAsia="宋体"/>
          <w:sz w:val="21"/>
          <w:szCs w:val="21"/>
        </w:rPr>
      </w:pPr>
      <w:r>
        <w:rPr>
          <w:rFonts w:hAnsi="宋体" w:eastAsia="宋体"/>
          <w:sz w:val="21"/>
          <w:szCs w:val="21"/>
        </w:rPr>
      </w:r>
      <w:r/>
    </w:p>
    <w:p>
      <w:pPr>
        <w:pStyle w:val="898"/>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294"/>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294"/>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898"/>
        <w:rPr>
          <w:rFonts w:ascii="宋体" w:hAnsi="宋体"/>
          <w:szCs w:val="21"/>
        </w:rPr>
      </w:pPr>
      <w:r>
        <w:rPr>
          <w:rFonts w:ascii="宋体" w:hAnsi="宋体"/>
          <w:szCs w:val="21"/>
        </w:rPr>
      </w:r>
      <w:r/>
    </w:p>
    <w:p>
      <w:pPr>
        <w:pStyle w:val="898"/>
        <w:rPr>
          <w:rFonts w:ascii="宋体" w:hAnsi="宋体"/>
          <w:szCs w:val="21"/>
        </w:rPr>
      </w:pPr>
      <w:r>
        <w:rPr>
          <w:rFonts w:ascii="宋体" w:hAnsi="宋体"/>
          <w:szCs w:val="21"/>
        </w:rPr>
      </w:r>
      <w:r/>
    </w:p>
    <w:p>
      <w:pPr>
        <w:pStyle w:val="900"/>
        <w:rPr>
          <w:rFonts w:hint="eastAsia"/>
          <w:szCs w:val="21"/>
        </w:rPr>
      </w:pPr>
      <w:r/>
      <w:bookmarkStart w:id="177" w:name="_附件9：偏离表（技术、商务）"/>
      <w:r/>
      <w:bookmarkEnd w:id="177"/>
      <w:r/>
      <w:bookmarkStart w:id="178" w:name="_Toc500143980"/>
      <w:r/>
      <w:bookmarkStart w:id="179" w:name="_Toc519686655"/>
      <w:r/>
      <w:bookmarkStart w:id="180" w:name="_Ref477865937"/>
      <w:r/>
      <w:bookmarkStart w:id="181" w:name="_Ref15304731"/>
      <w:r/>
      <w:bookmarkStart w:id="182" w:name="_Toc37495976"/>
      <w:r/>
      <w:bookmarkStart w:id="183" w:name="_Toc37496126"/>
      <w:r/>
      <w:bookmarkStart w:id="184" w:name="_Toc126763175"/>
      <w:r/>
      <w:bookmarkStart w:id="185" w:name="_Ref33617553"/>
      <w:r>
        <w:rPr>
          <w:rFonts w:hint="eastAsia"/>
          <w:szCs w:val="21"/>
        </w:rPr>
      </w:r>
      <w:r/>
    </w:p>
    <w:p>
      <w:pPr>
        <w:pStyle w:val="900"/>
        <w:rPr>
          <w:rFonts w:hint="eastAsia"/>
          <w:szCs w:val="21"/>
        </w:rPr>
      </w:pPr>
      <w:r>
        <w:rPr>
          <w:rFonts w:hint="eastAsia"/>
          <w:szCs w:val="21"/>
        </w:rPr>
      </w:r>
      <w:r/>
    </w:p>
    <w:p>
      <w:pPr>
        <w:pStyle w:val="898"/>
        <w:rPr>
          <w:rFonts w:hint="eastAsia"/>
        </w:rPr>
      </w:pPr>
      <w:r>
        <w:rPr>
          <w:rFonts w:hint="eastAsia"/>
        </w:rPr>
      </w:r>
      <w:r/>
    </w:p>
    <w:p>
      <w:pPr>
        <w:pStyle w:val="898"/>
        <w:rPr>
          <w:rFonts w:hint="eastAsia"/>
        </w:rPr>
      </w:pPr>
      <w:r>
        <w:rPr>
          <w:rFonts w:hint="eastAsia"/>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rPr>
          <w:rFonts w:hint="eastAsia"/>
          <w:szCs w:val="21"/>
        </w:rPr>
      </w:pPr>
      <w:r>
        <w:rPr>
          <w:rFonts w:hint="eastAsia"/>
          <w:szCs w:val="21"/>
        </w:rPr>
      </w:r>
      <w:r/>
    </w:p>
    <w:p>
      <w:pPr>
        <w:pStyle w:val="900"/>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186" w:name="_Toc161591386"/>
      <w:r/>
      <w:bookmarkStart w:id="187" w:name="_Toc126766161"/>
      <w:r>
        <w:rPr>
          <w:szCs w:val="21"/>
        </w:rPr>
      </w:r>
      <w:r/>
    </w:p>
    <w:p>
      <w:pPr>
        <w:pStyle w:val="900"/>
        <w:rPr>
          <w:szCs w:val="21"/>
        </w:rPr>
      </w:pPr>
      <w:r>
        <w:rPr>
          <w:szCs w:val="21"/>
        </w:rPr>
        <w:t xml:space="preserve">附件</w:t>
      </w:r>
      <w:r>
        <w:rPr>
          <w:rFonts w:hint="eastAsia"/>
          <w:szCs w:val="21"/>
        </w:rPr>
        <w:t xml:space="preserve">10</w:t>
      </w:r>
      <w:r>
        <w:rPr>
          <w:szCs w:val="21"/>
        </w:rPr>
        <w:t xml:space="preserve">：</w:t>
      </w:r>
      <w:bookmarkEnd w:id="178"/>
      <w:r/>
      <w:bookmarkEnd w:id="179"/>
      <w:r/>
      <w:bookmarkEnd w:id="180"/>
      <w:r/>
      <w:bookmarkEnd w:id="181"/>
      <w:r>
        <w:rPr>
          <w:szCs w:val="21"/>
        </w:rPr>
        <w:t xml:space="preserve">偏离表（技术、商务）</w:t>
      </w:r>
      <w:bookmarkEnd w:id="182"/>
      <w:r/>
      <w:bookmarkEnd w:id="183"/>
      <w:r/>
      <w:bookmarkEnd w:id="184"/>
      <w:r/>
      <w:bookmarkEnd w:id="185"/>
      <w:r/>
      <w:bookmarkEnd w:id="186"/>
      <w:r/>
      <w:bookmarkEnd w:id="187"/>
      <w:r>
        <w:rPr>
          <w:szCs w:val="21"/>
        </w:rPr>
      </w:r>
      <w:r/>
    </w:p>
    <w:p>
      <w:pPr>
        <w:pStyle w:val="898"/>
        <w:jc w:val="center"/>
        <w:rPr>
          <w:rFonts w:ascii="宋体" w:hAnsi="宋体"/>
          <w:szCs w:val="21"/>
        </w:rPr>
      </w:pPr>
      <w:r>
        <w:rPr>
          <w:rFonts w:hint="eastAsia" w:ascii="宋体" w:hAnsi="宋体"/>
          <w:szCs w:val="21"/>
        </w:rPr>
        <w:t xml:space="preserve">偏离表（技术、商务）</w:t>
      </w:r>
      <w:r>
        <w:rPr>
          <w:rFonts w:ascii="宋体" w:hAnsi="宋体"/>
          <w:szCs w:val="21"/>
        </w:rPr>
      </w:r>
      <w:r/>
    </w:p>
    <w:p>
      <w:pPr>
        <w:pStyle w:val="898"/>
        <w:jc w:val="center"/>
        <w:rPr>
          <w:rFonts w:ascii="宋体" w:hAnsi="宋体"/>
          <w:szCs w:val="21"/>
        </w:rPr>
      </w:pP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915"/>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r>
            <w:r/>
          </w:p>
        </w:tc>
        <w:tc>
          <w:tcPr>
            <w:tcW w:w="2138" w:type="dxa"/>
            <w:vAlign w:val="top"/>
            <w:textDirection w:val="lrTb"/>
            <w:noWrap w:val="false"/>
          </w:tcPr>
          <w:p>
            <w:pPr>
              <w:pStyle w:val="915"/>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w:t>
            </w:r>
            <w:r>
              <w:rPr>
                <w:rFonts w:ascii="宋体" w:hAnsi="宋体" w:eastAsia="宋体"/>
                <w:sz w:val="21"/>
                <w:szCs w:val="21"/>
              </w:rPr>
            </w:r>
            <w:r/>
          </w:p>
        </w:tc>
        <w:tc>
          <w:tcPr>
            <w:tcW w:w="2139" w:type="dxa"/>
            <w:vAlign w:val="top"/>
            <w:textDirection w:val="lrTb"/>
            <w:noWrap w:val="false"/>
          </w:tcPr>
          <w:p>
            <w:pPr>
              <w:pStyle w:val="915"/>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w:t>
            </w:r>
            <w:r>
              <w:rPr>
                <w:rFonts w:ascii="宋体" w:hAnsi="宋体" w:eastAsia="宋体"/>
                <w:sz w:val="21"/>
                <w:szCs w:val="21"/>
              </w:rPr>
            </w:r>
            <w:r/>
          </w:p>
        </w:tc>
        <w:tc>
          <w:tcPr>
            <w:tcW w:w="2262" w:type="dxa"/>
            <w:vAlign w:val="top"/>
            <w:textDirection w:val="lrTb"/>
            <w:noWrap w:val="false"/>
          </w:tcPr>
          <w:p>
            <w:pPr>
              <w:pStyle w:val="915"/>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915"/>
              <w:ind w:firstLine="0"/>
              <w:spacing w:line="360" w:lineRule="auto"/>
              <w:rPr>
                <w:rFonts w:ascii="宋体" w:hAnsi="宋体" w:eastAsia="宋体"/>
                <w:sz w:val="21"/>
                <w:szCs w:val="21"/>
              </w:rPr>
            </w:pPr>
            <w:r>
              <w:rPr>
                <w:rFonts w:ascii="宋体" w:hAnsi="宋体" w:eastAsia="宋体"/>
                <w:sz w:val="21"/>
                <w:szCs w:val="21"/>
              </w:rPr>
            </w:r>
            <w:r/>
          </w:p>
        </w:tc>
      </w:tr>
    </w:tbl>
    <w:p>
      <w:pPr>
        <w:pStyle w:val="915"/>
        <w:ind w:right="105" w:firstLine="0"/>
        <w:jc w:val="right"/>
        <w:spacing w:line="360" w:lineRule="auto"/>
        <w:rPr>
          <w:rFonts w:ascii="宋体" w:hAnsi="宋体" w:eastAsia="宋体"/>
          <w:sz w:val="21"/>
          <w:szCs w:val="21"/>
        </w:rPr>
      </w:pPr>
      <w:r>
        <w:rPr>
          <w:rFonts w:ascii="宋体" w:hAnsi="宋体" w:eastAsia="宋体"/>
          <w:sz w:val="21"/>
          <w:szCs w:val="21"/>
        </w:rPr>
      </w:r>
      <w:r/>
    </w:p>
    <w:p>
      <w:pPr>
        <w:pStyle w:val="898"/>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294"/>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294"/>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898"/>
        <w:rPr>
          <w:rFonts w:ascii="宋体" w:hAnsi="宋体"/>
          <w:szCs w:val="21"/>
        </w:rPr>
      </w:pPr>
      <w:r>
        <w:rPr>
          <w:rFonts w:ascii="宋体" w:hAnsi="宋体"/>
          <w:szCs w:val="21"/>
        </w:rPr>
      </w:r>
      <w:r/>
    </w:p>
    <w:p>
      <w:pPr>
        <w:pStyle w:val="900"/>
        <w:rPr>
          <w:szCs w:val="21"/>
        </w:rPr>
      </w:pPr>
      <w:r/>
      <w:bookmarkStart w:id="188" w:name="_附件10：项目人员配置表"/>
      <w:r/>
      <w:bookmarkEnd w:id="188"/>
      <w:r/>
      <w:bookmarkStart w:id="189" w:name="_Toc519686656"/>
      <w:r/>
      <w:bookmarkStart w:id="190" w:name="_Ref477865939"/>
      <w:r/>
      <w:bookmarkStart w:id="191" w:name="_Toc500143981"/>
      <w:r/>
      <w:bookmarkStart w:id="192" w:name="_Toc37496127"/>
      <w:r/>
      <w:bookmarkStart w:id="193" w:name="_Toc126763176"/>
      <w:r/>
      <w:bookmarkStart w:id="194" w:name="_Toc37495977"/>
      <w:r/>
      <w:bookmarkStart w:id="195" w:name="_Toc126766162"/>
      <w:r/>
      <w:bookmarkStart w:id="196" w:name="_Ref15304737"/>
      <w:r/>
      <w:bookmarkStart w:id="197" w:name="_Toc161591387"/>
      <w:r>
        <w:rPr>
          <w:szCs w:val="21"/>
        </w:rPr>
        <w:t xml:space="preserve">附件1</w:t>
      </w:r>
      <w:r>
        <w:rPr>
          <w:rFonts w:hint="eastAsia"/>
          <w:szCs w:val="21"/>
        </w:rPr>
        <w:t xml:space="preserve">1</w:t>
      </w:r>
      <w:r>
        <w:rPr>
          <w:szCs w:val="21"/>
        </w:rPr>
        <w:t xml:space="preserve">：</w:t>
      </w:r>
      <w:bookmarkEnd w:id="189"/>
      <w:r/>
      <w:bookmarkEnd w:id="190"/>
      <w:r/>
      <w:bookmarkEnd w:id="191"/>
      <w:r>
        <w:rPr>
          <w:szCs w:val="21"/>
        </w:rPr>
        <w:t xml:space="preserve">项目人员配置表</w:t>
      </w:r>
      <w:bookmarkEnd w:id="192"/>
      <w:r/>
      <w:bookmarkEnd w:id="193"/>
      <w:r/>
      <w:bookmarkEnd w:id="194"/>
      <w:r/>
      <w:bookmarkEnd w:id="195"/>
      <w:r/>
      <w:bookmarkEnd w:id="196"/>
      <w:r/>
      <w:bookmarkEnd w:id="197"/>
      <w:r>
        <w:rPr>
          <w:szCs w:val="21"/>
        </w:rPr>
      </w:r>
      <w:r/>
    </w:p>
    <w:p>
      <w:pPr>
        <w:pStyle w:val="898"/>
        <w:jc w:val="center"/>
        <w:rPr>
          <w:rFonts w:ascii="宋体" w:hAnsi="宋体"/>
          <w:szCs w:val="21"/>
        </w:rPr>
      </w:pPr>
      <w:r>
        <w:rPr>
          <w:rFonts w:hint="eastAsia" w:ascii="宋体" w:hAnsi="宋体"/>
          <w:szCs w:val="21"/>
        </w:rPr>
        <w:t xml:space="preserve">项目人员配置表</w:t>
      </w:r>
      <w:r>
        <w:rPr>
          <w:rFonts w:ascii="宋体" w:hAnsi="宋体"/>
          <w:szCs w:val="21"/>
        </w:rPr>
      </w:r>
      <w:r/>
    </w:p>
    <w:p>
      <w:pPr>
        <w:pStyle w:val="898"/>
        <w:jc w:val="center"/>
        <w:rPr>
          <w:rFonts w:ascii="宋体" w:hAnsi="宋体"/>
          <w:szCs w:val="21"/>
        </w:rPr>
      </w:pPr>
      <w:r>
        <w:rPr>
          <w:rFonts w:ascii="宋体" w:hAnsi="宋体"/>
          <w:szCs w:val="21"/>
        </w:rPr>
      </w:r>
      <w:r/>
    </w:p>
    <w:tbl>
      <w:tblPr>
        <w:tblW w:w="833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1984"/>
        <w:gridCol w:w="1276"/>
      </w:tblGrid>
      <w:tr>
        <w:trPr/>
        <w:tc>
          <w:tcPr>
            <w:tcBorders>
              <w:top w:val="single" w:color="000000" w:sz="6" w:space="0"/>
              <w:left w:val="single" w:color="000000" w:sz="6" w:space="0"/>
              <w:bottom w:val="single" w:color="000000" w:sz="6" w:space="0"/>
              <w:right w:val="single" w:color="000000" w:sz="6" w:space="0"/>
            </w:tcBorders>
            <w:tcW w:w="895" w:type="dxa"/>
            <w:vAlign w:val="center"/>
            <w:textDirection w:val="lrTb"/>
            <w:noWrap w:val="false"/>
          </w:tcPr>
          <w:p>
            <w:pPr>
              <w:pStyle w:val="1295"/>
              <w:jc w:val="center"/>
              <w:spacing w:line="360" w:lineRule="auto"/>
              <w:rPr>
                <w:rFonts w:hAnsi="宋体" w:eastAsia="宋体"/>
                <w:sz w:val="21"/>
                <w:szCs w:val="21"/>
              </w:rPr>
            </w:pPr>
            <w:r>
              <w:rPr>
                <w:rFonts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4" w:space="0"/>
            </w:tcBorders>
            <w:tcW w:w="1907" w:type="dxa"/>
            <w:vAlign w:val="center"/>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姓名</w:t>
            </w: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center"/>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身份证号码</w:t>
            </w:r>
            <w:r>
              <w:rPr>
                <w:rFonts w:hAnsi="宋体" w:eastAsia="宋体"/>
                <w:sz w:val="21"/>
                <w:szCs w:val="21"/>
              </w:rPr>
            </w:r>
            <w:r/>
          </w:p>
        </w:tc>
        <w:tc>
          <w:tcPr>
            <w:tcBorders>
              <w:top w:val="single" w:color="000000" w:sz="6" w:space="0"/>
              <w:left w:val="single" w:color="000000" w:sz="6" w:space="0"/>
              <w:bottom w:val="single" w:color="000000" w:sz="4" w:space="0"/>
              <w:right w:val="single" w:color="000000" w:sz="4" w:space="0"/>
            </w:tcBorders>
            <w:tcW w:w="1984" w:type="dxa"/>
            <w:vAlign w:val="center"/>
            <w:textDirection w:val="lrTb"/>
            <w:noWrap w:val="false"/>
          </w:tcPr>
          <w:p>
            <w:pPr>
              <w:pStyle w:val="1295"/>
              <w:jc w:val="center"/>
              <w:rPr>
                <w:rFonts w:hAnsi="宋体" w:eastAsia="宋体"/>
                <w:sz w:val="21"/>
                <w:szCs w:val="21"/>
              </w:rPr>
            </w:pPr>
            <w:r>
              <w:rPr>
                <w:rFonts w:hint="eastAsia" w:hAnsi="宋体" w:eastAsia="宋体"/>
                <w:sz w:val="21"/>
                <w:szCs w:val="21"/>
              </w:rPr>
              <w:t xml:space="preserve">拟在本项目中担任的职务（岗位）</w:t>
            </w:r>
            <w:r>
              <w:rPr>
                <w:rFonts w:hAnsi="宋体" w:eastAsia="宋体"/>
                <w:sz w:val="21"/>
                <w:szCs w:val="21"/>
              </w:rPr>
            </w:r>
            <w:r/>
          </w:p>
        </w:tc>
        <w:tc>
          <w:tcPr>
            <w:tcBorders>
              <w:top w:val="single" w:color="000000" w:sz="6" w:space="0"/>
              <w:left w:val="single" w:color="000000" w:sz="4" w:space="0"/>
              <w:bottom w:val="single" w:color="000000" w:sz="4" w:space="0"/>
              <w:right w:val="single" w:color="000000" w:sz="4" w:space="0"/>
            </w:tcBorders>
            <w:tcW w:w="1276" w:type="dxa"/>
            <w:vAlign w:val="center"/>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备注</w:t>
            </w:r>
            <w:r>
              <w:rPr>
                <w:rFonts w:hAnsi="宋体" w:eastAsia="宋体"/>
                <w:sz w:val="21"/>
                <w:szCs w:val="21"/>
              </w:rPr>
            </w:r>
            <w:r/>
          </w:p>
        </w:tc>
      </w:tr>
      <w:tr>
        <w:trPr>
          <w:trHeight w:val="438"/>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4"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4"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3</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6</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7</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8</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9</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295"/>
              <w:jc w:val="center"/>
              <w:spacing w:line="360" w:lineRule="auto"/>
              <w:rPr>
                <w:rFonts w:hAnsi="宋体" w:eastAsia="宋体"/>
                <w:sz w:val="21"/>
                <w:szCs w:val="21"/>
              </w:rPr>
            </w:pPr>
            <w:r>
              <w:rPr>
                <w:rFonts w:hint="eastAsia" w:hAnsi="宋体" w:eastAsia="宋体"/>
                <w:sz w:val="21"/>
                <w:szCs w:val="21"/>
              </w:rPr>
              <w:t xml:space="preserve">.....</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295"/>
              <w:jc w:val="left"/>
              <w:spacing w:line="360" w:lineRule="auto"/>
              <w:rPr>
                <w:rFonts w:hAnsi="宋体" w:eastAsia="宋体"/>
                <w:sz w:val="21"/>
                <w:szCs w:val="21"/>
              </w:rPr>
            </w:pPr>
            <w:r>
              <w:rPr>
                <w:rFonts w:hAnsi="宋体" w:eastAsia="宋体"/>
                <w:sz w:val="21"/>
                <w:szCs w:val="21"/>
              </w:rPr>
            </w:r>
            <w:r/>
          </w:p>
        </w:tc>
      </w:tr>
    </w:tbl>
    <w:p>
      <w:pPr>
        <w:pStyle w:val="898"/>
        <w:jc w:val="right"/>
        <w:spacing w:line="360" w:lineRule="auto"/>
        <w:rPr>
          <w:rFonts w:ascii="宋体" w:hAnsi="宋体"/>
          <w:szCs w:val="21"/>
        </w:rPr>
      </w:pPr>
      <w:r>
        <w:rPr>
          <w:rFonts w:ascii="宋体" w:hAnsi="宋体"/>
          <w:szCs w:val="21"/>
        </w:rPr>
      </w:r>
      <w:r/>
    </w:p>
    <w:p>
      <w:pPr>
        <w:pStyle w:val="898"/>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294"/>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294"/>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898"/>
        <w:rPr>
          <w:rFonts w:hint="eastAsia"/>
          <w:szCs w:val="21"/>
        </w:rPr>
      </w:pPr>
      <w:r/>
      <w:bookmarkStart w:id="198" w:name="_附件11：类似业绩证明材料"/>
      <w:r/>
      <w:bookmarkEnd w:id="198"/>
      <w:r>
        <w:rPr>
          <w:rFonts w:hint="eastAsia"/>
          <w:szCs w:val="21"/>
        </w:rPr>
      </w:r>
      <w:r/>
    </w:p>
    <w:p>
      <w:pPr>
        <w:pStyle w:val="898"/>
        <w:rPr>
          <w:szCs w:val="21"/>
        </w:rPr>
      </w:pPr>
      <w:r>
        <w:rPr>
          <w:szCs w:val="21"/>
        </w:rPr>
        <w:t xml:space="preserve">（完）</w:t>
      </w:r>
      <w:r/>
    </w:p>
    <w:p>
      <w:pPr>
        <w:pStyle w:val="898"/>
        <w:rPr>
          <w:szCs w:val="21"/>
        </w:rPr>
      </w:pPr>
      <w:r>
        <w:rPr>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w:panose1 w:val="02070309020205020404"/>
  </w:font>
  <w:font w:name="Symbol">
    <w:panose1 w:val="05050102010706020507"/>
  </w:font>
  <w:font w:name="IDCSerif">
    <w:panose1 w:val="020B0503020202020204"/>
  </w:font>
  <w:font w:name="Segoe UI">
    <w:panose1 w:val="020B0502040204020203"/>
  </w:font>
  <w:font w:name="PMingLiU">
    <w:panose1 w:val="02020500000000000000"/>
  </w:font>
  <w:font w:name="Century Schoolbook">
    <w:panose1 w:val="02040604050505020304"/>
  </w:font>
  <w:font w:name="Wingdings">
    <w:panose1 w:val="05000000000000000000"/>
  </w:font>
  <w:font w:name="Tahoma">
    <w:panose1 w:val="020B0604030504040204"/>
  </w:font>
  <w:font w:name="Calibri">
    <w:panose1 w:val="020F0502020204030204"/>
  </w:font>
  <w:font w:name="OpenSymbol">
    <w:panose1 w:val="05010000000000000000"/>
  </w:font>
  <w:font w:name="Courier New">
    <w:panose1 w:val="02070309020205020404"/>
  </w:font>
  <w:font w:name="Arial Bold">
    <w:panose1 w:val="020B0604020202020204"/>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38</w:t>
    </w:r>
    <w:r>
      <w:rPr>
        <w:b/>
        <w:sz w:val="24"/>
        <w:szCs w:val="24"/>
      </w:rPr>
      <w:fldChar w:fldCharType="end"/>
    </w:r>
    <w:r/>
  </w:p>
  <w:p>
    <w:pPr>
      <w:pStyle w:val="9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38</w:t>
    </w:r>
    <w:r>
      <w:rPr>
        <w:b/>
        <w:sz w:val="24"/>
        <w:szCs w:val="24"/>
      </w:rPr>
      <w:fldChar w:fldCharType="end"/>
    </w:r>
    <w:r/>
  </w:p>
  <w:p>
    <w:pPr>
      <w:pStyle w:val="951"/>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left"/>
      <w:tabs>
        <w:tab w:val="right" w:pos="8820"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pStyle w:val="1030"/>
      <w:isLgl w:val="false"/>
      <w:suff w:val="tab"/>
      <w:lvlText w:val="%1、"/>
      <w:lvlJc w:val="left"/>
      <w:pPr>
        <w:pStyle w:val="898"/>
        <w:ind w:left="719" w:hanging="360"/>
        <w:tabs>
          <w:tab w:val="num" w:pos="719" w:leader="none"/>
        </w:tabs>
      </w:pPr>
    </w:lvl>
    <w:lvl w:ilvl="1">
      <w:start w:val="1"/>
      <w:numFmt w:val="lowerLetter"/>
      <w:isLgl w:val="false"/>
      <w:suff w:val="tab"/>
      <w:lvlText w:val="%2)"/>
      <w:lvlJc w:val="left"/>
      <w:pPr>
        <w:pStyle w:val="898"/>
        <w:ind w:left="1199" w:hanging="420"/>
        <w:tabs>
          <w:tab w:val="num" w:pos="1199" w:leader="none"/>
        </w:tabs>
      </w:pPr>
    </w:lvl>
    <w:lvl w:ilvl="2">
      <w:start w:val="1"/>
      <w:numFmt w:val="lowerRoman"/>
      <w:isLgl w:val="false"/>
      <w:suff w:val="tab"/>
      <w:lvlText w:val="%3."/>
      <w:lvlJc w:val="right"/>
      <w:pPr>
        <w:pStyle w:val="898"/>
        <w:ind w:left="1619" w:hanging="420"/>
        <w:tabs>
          <w:tab w:val="num" w:pos="1619" w:leader="none"/>
        </w:tabs>
      </w:pPr>
    </w:lvl>
    <w:lvl w:ilvl="3">
      <w:start w:val="1"/>
      <w:numFmt w:val="decimal"/>
      <w:isLgl w:val="false"/>
      <w:suff w:val="tab"/>
      <w:lvlText w:val="%4."/>
      <w:lvlJc w:val="left"/>
      <w:pPr>
        <w:pStyle w:val="898"/>
        <w:ind w:left="2039" w:hanging="420"/>
        <w:tabs>
          <w:tab w:val="num" w:pos="2039" w:leader="none"/>
        </w:tabs>
      </w:pPr>
    </w:lvl>
    <w:lvl w:ilvl="4">
      <w:start w:val="1"/>
      <w:numFmt w:val="lowerLetter"/>
      <w:isLgl w:val="false"/>
      <w:suff w:val="tab"/>
      <w:lvlText w:val="%5)"/>
      <w:lvlJc w:val="left"/>
      <w:pPr>
        <w:pStyle w:val="898"/>
        <w:ind w:left="2459" w:hanging="420"/>
        <w:tabs>
          <w:tab w:val="num" w:pos="2459" w:leader="none"/>
        </w:tabs>
      </w:pPr>
    </w:lvl>
    <w:lvl w:ilvl="5">
      <w:start w:val="1"/>
      <w:numFmt w:val="lowerRoman"/>
      <w:isLgl w:val="false"/>
      <w:suff w:val="tab"/>
      <w:lvlText w:val="%6."/>
      <w:lvlJc w:val="right"/>
      <w:pPr>
        <w:pStyle w:val="898"/>
        <w:ind w:left="2879" w:hanging="420"/>
        <w:tabs>
          <w:tab w:val="num" w:pos="2879" w:leader="none"/>
        </w:tabs>
      </w:pPr>
    </w:lvl>
    <w:lvl w:ilvl="6">
      <w:start w:val="1"/>
      <w:numFmt w:val="decimal"/>
      <w:isLgl w:val="false"/>
      <w:suff w:val="tab"/>
      <w:lvlText w:val="%7."/>
      <w:lvlJc w:val="left"/>
      <w:pPr>
        <w:pStyle w:val="898"/>
        <w:ind w:left="3299" w:hanging="420"/>
        <w:tabs>
          <w:tab w:val="num" w:pos="3299" w:leader="none"/>
        </w:tabs>
      </w:pPr>
    </w:lvl>
    <w:lvl w:ilvl="7">
      <w:start w:val="1"/>
      <w:numFmt w:val="lowerLetter"/>
      <w:isLgl w:val="false"/>
      <w:suff w:val="tab"/>
      <w:lvlText w:val="%8)"/>
      <w:lvlJc w:val="left"/>
      <w:pPr>
        <w:pStyle w:val="898"/>
        <w:ind w:left="3719" w:hanging="420"/>
        <w:tabs>
          <w:tab w:val="num" w:pos="3719" w:leader="none"/>
        </w:tabs>
      </w:pPr>
    </w:lvl>
    <w:lvl w:ilvl="8">
      <w:start w:val="1"/>
      <w:numFmt w:val="lowerRoman"/>
      <w:isLgl w:val="false"/>
      <w:suff w:val="tab"/>
      <w:lvlText w:val="%9."/>
      <w:lvlJc w:val="right"/>
      <w:pPr>
        <w:pStyle w:val="898"/>
        <w:ind w:left="4139" w:hanging="420"/>
        <w:tabs>
          <w:tab w:val="num" w:pos="4139" w:leader="none"/>
        </w:tabs>
      </w:pPr>
    </w:lvl>
  </w:abstractNum>
  <w:abstractNum w:abstractNumId="1">
    <w:multiLevelType w:val="hybridMultilevel"/>
    <w:lvl w:ilvl="0">
      <w:start w:val="1"/>
      <w:numFmt w:val="decimal"/>
      <w:pStyle w:val="1097"/>
      <w:isLgl w:val="false"/>
      <w:suff w:val="tab"/>
      <w:lvlText w:val="%1"/>
      <w:lvlJc w:val="left"/>
      <w:pPr>
        <w:pStyle w:val="898"/>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63"/>
      <w:isLgl w:val="false"/>
      <w:suff w:val="tab"/>
      <w:lvlText w:val=""/>
      <w:lvlJc w:val="left"/>
      <w:pPr>
        <w:pStyle w:val="898"/>
        <w:ind w:left="840" w:hanging="420"/>
        <w:tabs>
          <w:tab w:val="num" w:pos="840" w:leader="none"/>
        </w:tabs>
      </w:pPr>
      <w:rPr>
        <w:rFonts w:ascii="Wingdings" w:hAnsi="Wingdings"/>
        <w:color w:val="000000"/>
      </w:rPr>
    </w:lvl>
    <w:lvl w:ilvl="1">
      <w:start w:val="1"/>
      <w:numFmt w:val="decimal"/>
      <w:isLgl w:val="false"/>
      <w:suff w:val="tab"/>
      <w:lvlText w:val="%2."/>
      <w:lvlJc w:val="left"/>
      <w:pPr>
        <w:pStyle w:val="898"/>
        <w:ind w:left="1440" w:hanging="360"/>
        <w:tabs>
          <w:tab w:val="num" w:pos="1440" w:leader="none"/>
        </w:tabs>
      </w:pPr>
    </w:lvl>
    <w:lvl w:ilvl="2">
      <w:start w:val="1"/>
      <w:numFmt w:val="decimal"/>
      <w:isLgl w:val="false"/>
      <w:suff w:val="tab"/>
      <w:lvlText w:val="%3."/>
      <w:lvlJc w:val="left"/>
      <w:pPr>
        <w:pStyle w:val="898"/>
        <w:ind w:left="2160" w:hanging="360"/>
        <w:tabs>
          <w:tab w:val="num" w:pos="2160" w:leader="none"/>
        </w:tabs>
      </w:pPr>
    </w:lvl>
    <w:lvl w:ilvl="3">
      <w:start w:val="1"/>
      <w:numFmt w:val="decimal"/>
      <w:isLgl w:val="false"/>
      <w:suff w:val="tab"/>
      <w:lvlText w:val="%4."/>
      <w:lvlJc w:val="left"/>
      <w:pPr>
        <w:pStyle w:val="898"/>
        <w:ind w:left="2880" w:hanging="360"/>
        <w:tabs>
          <w:tab w:val="num" w:pos="2880" w:leader="none"/>
        </w:tabs>
      </w:pPr>
    </w:lvl>
    <w:lvl w:ilvl="4">
      <w:start w:val="1"/>
      <w:numFmt w:val="decimal"/>
      <w:isLgl w:val="false"/>
      <w:suff w:val="tab"/>
      <w:lvlText w:val="%5."/>
      <w:lvlJc w:val="left"/>
      <w:pPr>
        <w:pStyle w:val="898"/>
        <w:ind w:left="3600" w:hanging="360"/>
        <w:tabs>
          <w:tab w:val="num" w:pos="3600" w:leader="none"/>
        </w:tabs>
      </w:pPr>
    </w:lvl>
    <w:lvl w:ilvl="5">
      <w:start w:val="1"/>
      <w:numFmt w:val="decimal"/>
      <w:isLgl w:val="false"/>
      <w:suff w:val="tab"/>
      <w:lvlText w:val="%6."/>
      <w:lvlJc w:val="left"/>
      <w:pPr>
        <w:pStyle w:val="898"/>
        <w:ind w:left="4320" w:hanging="360"/>
        <w:tabs>
          <w:tab w:val="num" w:pos="4320" w:leader="none"/>
        </w:tabs>
      </w:pPr>
    </w:lvl>
    <w:lvl w:ilvl="6">
      <w:start w:val="1"/>
      <w:numFmt w:val="decimal"/>
      <w:isLgl w:val="false"/>
      <w:suff w:val="tab"/>
      <w:lvlText w:val="%7."/>
      <w:lvlJc w:val="left"/>
      <w:pPr>
        <w:pStyle w:val="898"/>
        <w:ind w:left="5040" w:hanging="360"/>
        <w:tabs>
          <w:tab w:val="num" w:pos="5040" w:leader="none"/>
        </w:tabs>
      </w:pPr>
    </w:lvl>
    <w:lvl w:ilvl="7">
      <w:start w:val="1"/>
      <w:numFmt w:val="decimal"/>
      <w:isLgl w:val="false"/>
      <w:suff w:val="tab"/>
      <w:lvlText w:val="%8."/>
      <w:lvlJc w:val="left"/>
      <w:pPr>
        <w:pStyle w:val="898"/>
        <w:ind w:left="5760" w:hanging="360"/>
        <w:tabs>
          <w:tab w:val="num" w:pos="5760" w:leader="none"/>
        </w:tabs>
      </w:pPr>
    </w:lvl>
    <w:lvl w:ilvl="8">
      <w:start w:val="1"/>
      <w:numFmt w:val="decimal"/>
      <w:isLgl w:val="false"/>
      <w:suff w:val="tab"/>
      <w:lvlText w:val="%9."/>
      <w:lvlJc w:val="left"/>
      <w:pPr>
        <w:pStyle w:val="898"/>
        <w:ind w:left="6480" w:hanging="360"/>
        <w:tabs>
          <w:tab w:val="num" w:pos="6480" w:leader="none"/>
        </w:tabs>
      </w:pPr>
    </w:lvl>
  </w:abstractNum>
  <w:abstractNum w:abstractNumId="3">
    <w:multiLevelType w:val="hybridMultilevel"/>
    <w:lvl w:ilvl="0">
      <w:start w:val="1"/>
      <w:numFmt w:val="decimal"/>
      <w:pStyle w:val="932"/>
      <w:isLgl w:val="false"/>
      <w:suff w:val="tab"/>
      <w:lvlText w:val="%1."/>
      <w:lvlJc w:val="left"/>
      <w:pPr>
        <w:pStyle w:val="898"/>
        <w:ind w:left="360" w:hanging="360"/>
        <w:tabs>
          <w:tab w:val="num" w:pos="360" w:leader="none"/>
        </w:tabs>
      </w:pPr>
      <w:rPr>
        <w:rFonts w:hint="eastAsia"/>
      </w:rPr>
    </w:lvl>
    <w:lvl w:ilvl="1">
      <w:start w:val="1"/>
      <w:numFmt w:val="lowerLetter"/>
      <w:isLgl w:val="false"/>
      <w:suff w:val="tab"/>
      <w:lvlText w:val="%2)"/>
      <w:lvlJc w:val="left"/>
      <w:pPr>
        <w:pStyle w:val="898"/>
        <w:ind w:left="840" w:hanging="420"/>
        <w:tabs>
          <w:tab w:val="num" w:pos="840" w:leader="none"/>
        </w:tabs>
      </w:pPr>
    </w:lvl>
    <w:lvl w:ilvl="2">
      <w:start w:val="1"/>
      <w:numFmt w:val="lowerRoman"/>
      <w:isLgl w:val="false"/>
      <w:suff w:val="tab"/>
      <w:lvlText w:val="%3."/>
      <w:lvlJc w:val="right"/>
      <w:pPr>
        <w:pStyle w:val="898"/>
        <w:ind w:left="1260" w:hanging="420"/>
        <w:tabs>
          <w:tab w:val="num" w:pos="1260" w:leader="none"/>
        </w:tabs>
      </w:pPr>
    </w:lvl>
    <w:lvl w:ilvl="3">
      <w:start w:val="1"/>
      <w:numFmt w:val="decimal"/>
      <w:isLgl w:val="false"/>
      <w:suff w:val="tab"/>
      <w:lvlText w:val="%4."/>
      <w:lvlJc w:val="left"/>
      <w:pPr>
        <w:pStyle w:val="898"/>
        <w:ind w:left="1680" w:hanging="420"/>
        <w:tabs>
          <w:tab w:val="num" w:pos="1680" w:leader="none"/>
        </w:tabs>
      </w:pPr>
    </w:lvl>
    <w:lvl w:ilvl="4">
      <w:start w:val="1"/>
      <w:numFmt w:val="lowerLetter"/>
      <w:isLgl w:val="false"/>
      <w:suff w:val="tab"/>
      <w:lvlText w:val="%5)"/>
      <w:lvlJc w:val="left"/>
      <w:pPr>
        <w:pStyle w:val="898"/>
        <w:ind w:left="2100" w:hanging="420"/>
        <w:tabs>
          <w:tab w:val="num" w:pos="2100" w:leader="none"/>
        </w:tabs>
      </w:pPr>
    </w:lvl>
    <w:lvl w:ilvl="5">
      <w:start w:val="1"/>
      <w:numFmt w:val="lowerRoman"/>
      <w:isLgl w:val="false"/>
      <w:suff w:val="tab"/>
      <w:lvlText w:val="%6."/>
      <w:lvlJc w:val="right"/>
      <w:pPr>
        <w:pStyle w:val="898"/>
        <w:ind w:left="2520" w:hanging="420"/>
        <w:tabs>
          <w:tab w:val="num" w:pos="2520" w:leader="none"/>
        </w:tabs>
      </w:pPr>
    </w:lvl>
    <w:lvl w:ilvl="6">
      <w:start w:val="1"/>
      <w:numFmt w:val="decimal"/>
      <w:isLgl w:val="false"/>
      <w:suff w:val="tab"/>
      <w:lvlText w:val="%7."/>
      <w:lvlJc w:val="left"/>
      <w:pPr>
        <w:pStyle w:val="898"/>
        <w:ind w:left="2940" w:hanging="420"/>
        <w:tabs>
          <w:tab w:val="num" w:pos="2940" w:leader="none"/>
        </w:tabs>
      </w:pPr>
    </w:lvl>
    <w:lvl w:ilvl="7">
      <w:start w:val="1"/>
      <w:numFmt w:val="lowerLetter"/>
      <w:isLgl w:val="false"/>
      <w:suff w:val="tab"/>
      <w:lvlText w:val="%8)"/>
      <w:lvlJc w:val="left"/>
      <w:pPr>
        <w:pStyle w:val="898"/>
        <w:ind w:left="3360" w:hanging="420"/>
        <w:tabs>
          <w:tab w:val="num" w:pos="3360" w:leader="none"/>
        </w:tabs>
      </w:pPr>
    </w:lvl>
    <w:lvl w:ilvl="8">
      <w:start w:val="1"/>
      <w:numFmt w:val="lowerRoman"/>
      <w:isLgl w:val="false"/>
      <w:suff w:val="tab"/>
      <w:lvlText w:val="%9."/>
      <w:lvlJc w:val="right"/>
      <w:pPr>
        <w:pStyle w:val="898"/>
        <w:ind w:left="3780" w:hanging="420"/>
        <w:tabs>
          <w:tab w:val="num" w:pos="3780" w:leader="none"/>
        </w:tabs>
      </w:pPr>
    </w:lvl>
  </w:abstractNum>
  <w:abstractNum w:abstractNumId="4">
    <w:multiLevelType w:val="hybridMultilevel"/>
    <w:lvl w:ilvl="0">
      <w:start w:val="1"/>
      <w:numFmt w:val="decimal"/>
      <w:pStyle w:val="922"/>
      <w:isLgl w:val="false"/>
      <w:suff w:val="tab"/>
      <w:lvlText w:val="%1."/>
      <w:lvlJc w:val="left"/>
      <w:pPr>
        <w:pStyle w:val="898"/>
        <w:ind w:left="381" w:hanging="360"/>
        <w:tabs>
          <w:tab w:val="num" w:pos="381" w:leader="none"/>
        </w:tabs>
      </w:pPr>
      <w:rPr>
        <w:rFonts w:hint="eastAsia"/>
      </w:rPr>
    </w:lvl>
    <w:lvl w:ilvl="1">
      <w:start w:val="1"/>
      <w:numFmt w:val="lowerLetter"/>
      <w:pStyle w:val="1246"/>
      <w:isLgl w:val="false"/>
      <w:suff w:val="tab"/>
      <w:lvlText w:val="%2)"/>
      <w:lvlJc w:val="left"/>
      <w:pPr>
        <w:pStyle w:val="898"/>
        <w:ind w:left="861" w:hanging="420"/>
        <w:tabs>
          <w:tab w:val="num" w:pos="861" w:leader="none"/>
        </w:tabs>
      </w:pPr>
    </w:lvl>
    <w:lvl w:ilvl="2">
      <w:start w:val="1"/>
      <w:numFmt w:val="lowerRoman"/>
      <w:pStyle w:val="1248"/>
      <w:isLgl w:val="false"/>
      <w:suff w:val="tab"/>
      <w:lvlText w:val="%3."/>
      <w:lvlJc w:val="right"/>
      <w:pPr>
        <w:pStyle w:val="898"/>
        <w:ind w:left="1281" w:hanging="420"/>
        <w:tabs>
          <w:tab w:val="num" w:pos="1281" w:leader="none"/>
        </w:tabs>
      </w:pPr>
    </w:lvl>
    <w:lvl w:ilvl="3">
      <w:start w:val="1"/>
      <w:numFmt w:val="decimal"/>
      <w:pStyle w:val="1250"/>
      <w:isLgl w:val="false"/>
      <w:suff w:val="tab"/>
      <w:lvlText w:val="%4."/>
      <w:lvlJc w:val="left"/>
      <w:pPr>
        <w:pStyle w:val="898"/>
        <w:ind w:left="1701" w:hanging="420"/>
        <w:tabs>
          <w:tab w:val="num" w:pos="1701" w:leader="none"/>
        </w:tabs>
      </w:pPr>
    </w:lvl>
    <w:lvl w:ilvl="4">
      <w:start w:val="1"/>
      <w:numFmt w:val="lowerLetter"/>
      <w:pStyle w:val="1253"/>
      <w:isLgl w:val="false"/>
      <w:suff w:val="tab"/>
      <w:lvlText w:val="%5)"/>
      <w:lvlJc w:val="left"/>
      <w:pPr>
        <w:pStyle w:val="898"/>
        <w:ind w:left="2121" w:hanging="420"/>
        <w:tabs>
          <w:tab w:val="num" w:pos="2121" w:leader="none"/>
        </w:tabs>
      </w:pPr>
    </w:lvl>
    <w:lvl w:ilvl="5">
      <w:start w:val="1"/>
      <w:numFmt w:val="lowerRoman"/>
      <w:isLgl w:val="false"/>
      <w:suff w:val="tab"/>
      <w:lvlText w:val="%6."/>
      <w:lvlJc w:val="right"/>
      <w:pPr>
        <w:pStyle w:val="898"/>
        <w:ind w:left="2541" w:hanging="420"/>
        <w:tabs>
          <w:tab w:val="num" w:pos="2541" w:leader="none"/>
        </w:tabs>
      </w:pPr>
    </w:lvl>
    <w:lvl w:ilvl="6">
      <w:start w:val="1"/>
      <w:numFmt w:val="decimal"/>
      <w:isLgl w:val="false"/>
      <w:suff w:val="tab"/>
      <w:lvlText w:val="%7."/>
      <w:lvlJc w:val="left"/>
      <w:pPr>
        <w:pStyle w:val="898"/>
        <w:ind w:left="2961" w:hanging="420"/>
        <w:tabs>
          <w:tab w:val="num" w:pos="2961" w:leader="none"/>
        </w:tabs>
      </w:pPr>
    </w:lvl>
    <w:lvl w:ilvl="7">
      <w:start w:val="1"/>
      <w:numFmt w:val="lowerLetter"/>
      <w:isLgl w:val="false"/>
      <w:suff w:val="tab"/>
      <w:lvlText w:val="%8)"/>
      <w:lvlJc w:val="left"/>
      <w:pPr>
        <w:pStyle w:val="898"/>
        <w:ind w:left="3381" w:hanging="420"/>
        <w:tabs>
          <w:tab w:val="num" w:pos="3381" w:leader="none"/>
        </w:tabs>
      </w:pPr>
    </w:lvl>
    <w:lvl w:ilvl="8">
      <w:start w:val="1"/>
      <w:numFmt w:val="lowerRoman"/>
      <w:isLgl w:val="false"/>
      <w:suff w:val="tab"/>
      <w:lvlText w:val="%9."/>
      <w:lvlJc w:val="right"/>
      <w:pPr>
        <w:pStyle w:val="898"/>
        <w:ind w:left="3801" w:hanging="420"/>
        <w:tabs>
          <w:tab w:val="num" w:pos="3801" w:leader="none"/>
        </w:tabs>
      </w:pPr>
    </w:lvl>
  </w:abstractNum>
  <w:abstractNum w:abstractNumId="5">
    <w:multiLevelType w:val="hybridMultilevel"/>
    <w:lvl w:ilvl="0">
      <w:start w:val="2"/>
      <w:numFmt w:val="decimal"/>
      <w:pStyle w:val="938"/>
      <w:isLgl w:val="false"/>
      <w:suff w:val="tab"/>
      <w:lvlText w:val="%1、"/>
      <w:lvlJc w:val="left"/>
      <w:pPr>
        <w:pStyle w:val="898"/>
        <w:ind w:left="780" w:hanging="360"/>
        <w:tabs>
          <w:tab w:val="num" w:pos="780" w:leader="none"/>
        </w:tabs>
      </w:pPr>
      <w:rPr>
        <w:rFonts w:hint="eastAsia"/>
      </w:rPr>
    </w:lvl>
    <w:lvl w:ilvl="1">
      <w:start w:val="1"/>
      <w:numFmt w:val="lowerLetter"/>
      <w:isLgl w:val="false"/>
      <w:suff w:val="tab"/>
      <w:lvlText w:val="%2)"/>
      <w:lvlJc w:val="left"/>
      <w:pPr>
        <w:pStyle w:val="898"/>
        <w:ind w:left="1260" w:hanging="420"/>
        <w:tabs>
          <w:tab w:val="num" w:pos="1260" w:leader="none"/>
        </w:tabs>
      </w:pPr>
    </w:lvl>
    <w:lvl w:ilvl="2">
      <w:start w:val="1"/>
      <w:numFmt w:val="lowerRoman"/>
      <w:isLgl w:val="false"/>
      <w:suff w:val="tab"/>
      <w:lvlText w:val="%3."/>
      <w:lvlJc w:val="right"/>
      <w:pPr>
        <w:pStyle w:val="898"/>
        <w:ind w:left="1680" w:hanging="420"/>
        <w:tabs>
          <w:tab w:val="num" w:pos="1680" w:leader="none"/>
        </w:tabs>
      </w:pPr>
    </w:lvl>
    <w:lvl w:ilvl="3">
      <w:start w:val="1"/>
      <w:numFmt w:val="decimal"/>
      <w:isLgl w:val="false"/>
      <w:suff w:val="tab"/>
      <w:lvlText w:val="%4."/>
      <w:lvlJc w:val="left"/>
      <w:pPr>
        <w:pStyle w:val="898"/>
        <w:ind w:left="2100" w:hanging="420"/>
        <w:tabs>
          <w:tab w:val="num" w:pos="2100" w:leader="none"/>
        </w:tabs>
      </w:pPr>
    </w:lvl>
    <w:lvl w:ilvl="4">
      <w:start w:val="1"/>
      <w:numFmt w:val="lowerLetter"/>
      <w:isLgl w:val="false"/>
      <w:suff w:val="tab"/>
      <w:lvlText w:val="%5)"/>
      <w:lvlJc w:val="left"/>
      <w:pPr>
        <w:pStyle w:val="898"/>
        <w:ind w:left="2520" w:hanging="420"/>
        <w:tabs>
          <w:tab w:val="num" w:pos="2520" w:leader="none"/>
        </w:tabs>
      </w:pPr>
    </w:lvl>
    <w:lvl w:ilvl="5">
      <w:start w:val="1"/>
      <w:numFmt w:val="lowerRoman"/>
      <w:isLgl w:val="false"/>
      <w:suff w:val="tab"/>
      <w:lvlText w:val="%6."/>
      <w:lvlJc w:val="right"/>
      <w:pPr>
        <w:pStyle w:val="898"/>
        <w:ind w:left="2940" w:hanging="420"/>
        <w:tabs>
          <w:tab w:val="num" w:pos="2940" w:leader="none"/>
        </w:tabs>
      </w:pPr>
    </w:lvl>
    <w:lvl w:ilvl="6">
      <w:start w:val="1"/>
      <w:numFmt w:val="decimal"/>
      <w:isLgl w:val="false"/>
      <w:suff w:val="tab"/>
      <w:lvlText w:val="%7."/>
      <w:lvlJc w:val="left"/>
      <w:pPr>
        <w:pStyle w:val="898"/>
        <w:ind w:left="3360" w:hanging="420"/>
        <w:tabs>
          <w:tab w:val="num" w:pos="3360" w:leader="none"/>
        </w:tabs>
      </w:pPr>
    </w:lvl>
    <w:lvl w:ilvl="7">
      <w:start w:val="1"/>
      <w:numFmt w:val="lowerLetter"/>
      <w:isLgl w:val="false"/>
      <w:suff w:val="tab"/>
      <w:lvlText w:val="%8)"/>
      <w:lvlJc w:val="left"/>
      <w:pPr>
        <w:pStyle w:val="898"/>
        <w:ind w:left="3780" w:hanging="420"/>
        <w:tabs>
          <w:tab w:val="num" w:pos="3780" w:leader="none"/>
        </w:tabs>
      </w:pPr>
    </w:lvl>
    <w:lvl w:ilvl="8">
      <w:start w:val="1"/>
      <w:numFmt w:val="lowerRoman"/>
      <w:isLgl w:val="false"/>
      <w:suff w:val="tab"/>
      <w:lvlText w:val="%9."/>
      <w:lvlJc w:val="right"/>
      <w:pPr>
        <w:pStyle w:val="898"/>
        <w:ind w:left="4200" w:hanging="420"/>
        <w:tabs>
          <w:tab w:val="num" w:pos="4200" w:leader="none"/>
        </w:tabs>
      </w:pPr>
    </w:lvl>
  </w:abstractNum>
  <w:abstractNum w:abstractNumId="6">
    <w:multiLevelType w:val="hybridMultilevel"/>
    <w:lvl w:ilvl="0">
      <w:start w:val="1"/>
      <w:numFmt w:val="decimal"/>
      <w:pStyle w:val="923"/>
      <w:isLgl w:val="false"/>
      <w:suff w:val="tab"/>
      <w:lvlText w:val="(%1)"/>
      <w:lvlJc w:val="left"/>
      <w:pPr>
        <w:pStyle w:val="898"/>
        <w:ind w:left="720" w:hanging="360"/>
        <w:tabs>
          <w:tab w:val="num" w:pos="720" w:leader="none"/>
        </w:tabs>
      </w:pPr>
      <w:rPr>
        <w:rFonts w:hint="eastAsia"/>
      </w:rPr>
    </w:lvl>
    <w:lvl w:ilvl="1">
      <w:start w:val="1"/>
      <w:numFmt w:val="lowerLetter"/>
      <w:isLgl w:val="false"/>
      <w:suff w:val="tab"/>
      <w:lvlText w:val="%2)"/>
      <w:lvlJc w:val="left"/>
      <w:pPr>
        <w:pStyle w:val="898"/>
        <w:ind w:left="1200" w:hanging="420"/>
        <w:tabs>
          <w:tab w:val="num" w:pos="1200" w:leader="none"/>
        </w:tabs>
      </w:pPr>
    </w:lvl>
    <w:lvl w:ilvl="2">
      <w:start w:val="1"/>
      <w:numFmt w:val="lowerRoman"/>
      <w:isLgl w:val="false"/>
      <w:suff w:val="tab"/>
      <w:lvlText w:val="%3."/>
      <w:lvlJc w:val="right"/>
      <w:pPr>
        <w:pStyle w:val="898"/>
        <w:ind w:left="1620" w:hanging="420"/>
        <w:tabs>
          <w:tab w:val="num" w:pos="1620" w:leader="none"/>
        </w:tabs>
      </w:pPr>
    </w:lvl>
    <w:lvl w:ilvl="3">
      <w:start w:val="1"/>
      <w:numFmt w:val="decimal"/>
      <w:isLgl w:val="false"/>
      <w:suff w:val="tab"/>
      <w:lvlText w:val="%4."/>
      <w:lvlJc w:val="left"/>
      <w:pPr>
        <w:pStyle w:val="898"/>
        <w:ind w:left="2040" w:hanging="420"/>
        <w:tabs>
          <w:tab w:val="num" w:pos="2040" w:leader="none"/>
        </w:tabs>
      </w:pPr>
    </w:lvl>
    <w:lvl w:ilvl="4">
      <w:start w:val="1"/>
      <w:numFmt w:val="lowerLetter"/>
      <w:isLgl w:val="false"/>
      <w:suff w:val="tab"/>
      <w:lvlText w:val="%5)"/>
      <w:lvlJc w:val="left"/>
      <w:pPr>
        <w:pStyle w:val="898"/>
        <w:ind w:left="2460" w:hanging="420"/>
        <w:tabs>
          <w:tab w:val="num" w:pos="2460" w:leader="none"/>
        </w:tabs>
      </w:pPr>
    </w:lvl>
    <w:lvl w:ilvl="5">
      <w:start w:val="1"/>
      <w:numFmt w:val="lowerRoman"/>
      <w:isLgl w:val="false"/>
      <w:suff w:val="tab"/>
      <w:lvlText w:val="%6."/>
      <w:lvlJc w:val="right"/>
      <w:pPr>
        <w:pStyle w:val="898"/>
        <w:ind w:left="2880" w:hanging="420"/>
        <w:tabs>
          <w:tab w:val="num" w:pos="2880" w:leader="none"/>
        </w:tabs>
      </w:pPr>
    </w:lvl>
    <w:lvl w:ilvl="6">
      <w:start w:val="1"/>
      <w:numFmt w:val="decimal"/>
      <w:isLgl w:val="false"/>
      <w:suff w:val="tab"/>
      <w:lvlText w:val="%7."/>
      <w:lvlJc w:val="left"/>
      <w:pPr>
        <w:pStyle w:val="898"/>
        <w:ind w:left="3300" w:hanging="420"/>
        <w:tabs>
          <w:tab w:val="num" w:pos="3300" w:leader="none"/>
        </w:tabs>
      </w:pPr>
    </w:lvl>
    <w:lvl w:ilvl="7">
      <w:start w:val="1"/>
      <w:numFmt w:val="lowerLetter"/>
      <w:isLgl w:val="false"/>
      <w:suff w:val="tab"/>
      <w:lvlText w:val="%8)"/>
      <w:lvlJc w:val="left"/>
      <w:pPr>
        <w:pStyle w:val="898"/>
        <w:ind w:left="3720" w:hanging="420"/>
        <w:tabs>
          <w:tab w:val="num" w:pos="3720" w:leader="none"/>
        </w:tabs>
      </w:pPr>
    </w:lvl>
    <w:lvl w:ilvl="8">
      <w:start w:val="1"/>
      <w:numFmt w:val="lowerRoman"/>
      <w:isLgl w:val="false"/>
      <w:suff w:val="tab"/>
      <w:lvlText w:val="%9."/>
      <w:lvlJc w:val="right"/>
      <w:pPr>
        <w:pStyle w:val="898"/>
        <w:ind w:left="4140" w:hanging="420"/>
        <w:tabs>
          <w:tab w:val="num" w:pos="4140" w:leader="none"/>
        </w:tabs>
      </w:pPr>
    </w:lvl>
  </w:abstractNum>
  <w:abstractNum w:abstractNumId="7">
    <w:multiLevelType w:val="hybridMultilevel"/>
    <w:lvl w:ilvl="0">
      <w:start w:val="1"/>
      <w:numFmt w:val="decimal"/>
      <w:pStyle w:val="1125"/>
      <w:isLgl w:val="false"/>
      <w:suff w:val="tab"/>
      <w:lvlText w:val="(%1)"/>
      <w:lvlJc w:val="left"/>
      <w:pPr>
        <w:pStyle w:val="898"/>
        <w:ind w:left="705" w:hanging="465"/>
        <w:tabs>
          <w:tab w:val="num" w:pos="705" w:leader="none"/>
        </w:tabs>
      </w:pPr>
      <w:rPr>
        <w:rFonts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898"/>
        <w:ind w:left="3512" w:hanging="870"/>
      </w:pPr>
    </w:lvl>
    <w:lvl w:ilvl="1">
      <w:start w:val="1"/>
      <w:numFmt w:val="lowerLetter"/>
      <w:isLgl w:val="false"/>
      <w:suff w:val="tab"/>
      <w:lvlText w:val="%2)"/>
      <w:lvlJc w:val="left"/>
      <w:pPr>
        <w:pStyle w:val="898"/>
        <w:ind w:left="3482" w:hanging="420"/>
      </w:pPr>
    </w:lvl>
    <w:lvl w:ilvl="2">
      <w:start w:val="1"/>
      <w:numFmt w:val="lowerRoman"/>
      <w:isLgl w:val="false"/>
      <w:suff w:val="tab"/>
      <w:lvlText w:val="%3."/>
      <w:lvlJc w:val="right"/>
      <w:pPr>
        <w:pStyle w:val="898"/>
        <w:ind w:left="3902" w:hanging="420"/>
      </w:pPr>
    </w:lvl>
    <w:lvl w:ilvl="3">
      <w:start w:val="1"/>
      <w:numFmt w:val="decimal"/>
      <w:isLgl w:val="false"/>
      <w:suff w:val="tab"/>
      <w:lvlText w:val="%4."/>
      <w:lvlJc w:val="left"/>
      <w:pPr>
        <w:pStyle w:val="898"/>
        <w:ind w:left="4322" w:hanging="420"/>
      </w:pPr>
    </w:lvl>
    <w:lvl w:ilvl="4">
      <w:start w:val="1"/>
      <w:numFmt w:val="lowerLetter"/>
      <w:isLgl w:val="false"/>
      <w:suff w:val="tab"/>
      <w:lvlText w:val="%5)"/>
      <w:lvlJc w:val="left"/>
      <w:pPr>
        <w:pStyle w:val="898"/>
        <w:ind w:left="4742" w:hanging="420"/>
      </w:pPr>
    </w:lvl>
    <w:lvl w:ilvl="5">
      <w:start w:val="1"/>
      <w:numFmt w:val="lowerRoman"/>
      <w:isLgl w:val="false"/>
      <w:suff w:val="tab"/>
      <w:lvlText w:val="%6."/>
      <w:lvlJc w:val="right"/>
      <w:pPr>
        <w:pStyle w:val="898"/>
        <w:ind w:left="5162" w:hanging="420"/>
      </w:pPr>
    </w:lvl>
    <w:lvl w:ilvl="6">
      <w:start w:val="1"/>
      <w:numFmt w:val="decimal"/>
      <w:isLgl w:val="false"/>
      <w:suff w:val="tab"/>
      <w:lvlText w:val="%7."/>
      <w:lvlJc w:val="left"/>
      <w:pPr>
        <w:pStyle w:val="898"/>
        <w:ind w:left="5582" w:hanging="420"/>
      </w:pPr>
    </w:lvl>
    <w:lvl w:ilvl="7">
      <w:start w:val="1"/>
      <w:numFmt w:val="lowerLetter"/>
      <w:isLgl w:val="false"/>
      <w:suff w:val="tab"/>
      <w:lvlText w:val="%8)"/>
      <w:lvlJc w:val="left"/>
      <w:pPr>
        <w:pStyle w:val="898"/>
        <w:ind w:left="6002" w:hanging="420"/>
      </w:pPr>
    </w:lvl>
    <w:lvl w:ilvl="8">
      <w:start w:val="1"/>
      <w:numFmt w:val="lowerRoman"/>
      <w:isLgl w:val="false"/>
      <w:suff w:val="tab"/>
      <w:lvlText w:val="%9."/>
      <w:lvlJc w:val="right"/>
      <w:pPr>
        <w:pStyle w:val="898"/>
        <w:ind w:left="6422" w:hanging="420"/>
      </w:pPr>
    </w:lvl>
  </w:abstractNum>
  <w:num w:numId="1">
    <w:abstractNumId w:val="4"/>
  </w:num>
  <w:num w:numId="2">
    <w:abstractNumId w:val="6"/>
  </w:num>
  <w:num w:numId="3">
    <w:abstractNumId w:val="3"/>
  </w:num>
  <w:num w:numId="4">
    <w:abstractNumId w:val="5"/>
  </w:num>
  <w:num w:numId="5">
    <w:abstractNumId w:val="0"/>
  </w:num>
  <w:num w:numId="6">
    <w:abstractNumId w:val="2"/>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8"/>
    <w:next w:val="898"/>
    <w:link w:val="723"/>
    <w:uiPriority w:val="9"/>
    <w:qFormat/>
    <w:pPr>
      <w:keepLines/>
      <w:keepNext/>
      <w:spacing w:before="480" w:after="200"/>
      <w:outlineLvl w:val="0"/>
    </w:pPr>
    <w:rPr>
      <w:rFonts w:ascii="Arial" w:hAnsi="Arial" w:eastAsia="Arial" w:cs="Arial"/>
      <w:sz w:val="40"/>
      <w:szCs w:val="40"/>
    </w:rPr>
  </w:style>
  <w:style w:type="character" w:styleId="723">
    <w:name w:val="Heading 1 Char"/>
    <w:link w:val="722"/>
    <w:uiPriority w:val="9"/>
    <w:rPr>
      <w:rFonts w:ascii="Arial" w:hAnsi="Arial" w:eastAsia="Arial" w:cs="Arial"/>
      <w:sz w:val="40"/>
      <w:szCs w:val="40"/>
    </w:rPr>
  </w:style>
  <w:style w:type="character" w:styleId="724">
    <w:name w:val="Heading 2 Char"/>
    <w:link w:val="1114"/>
    <w:uiPriority w:val="9"/>
    <w:rPr>
      <w:rFonts w:ascii="Arial" w:hAnsi="Arial" w:eastAsia="Arial" w:cs="Arial"/>
      <w:sz w:val="34"/>
    </w:rPr>
  </w:style>
  <w:style w:type="paragraph" w:styleId="725">
    <w:name w:val="Heading 3"/>
    <w:basedOn w:val="898"/>
    <w:next w:val="898"/>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8"/>
    <w:next w:val="898"/>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8"/>
    <w:next w:val="898"/>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8"/>
    <w:next w:val="898"/>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8"/>
    <w:next w:val="898"/>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8"/>
    <w:next w:val="898"/>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8"/>
    <w:next w:val="898"/>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lang w:val="en-US" w:eastAsia="zh-CN" w:bidi="ar-SA"/>
    </w:rPr>
  </w:style>
  <w:style w:type="paragraph" w:styleId="899">
    <w:name w:val="标题 1"/>
    <w:basedOn w:val="898"/>
    <w:next w:val="898"/>
    <w:link w:val="911"/>
    <w:qFormat/>
    <w:pPr>
      <w:jc w:val="left"/>
      <w:keepNext/>
      <w:spacing w:line="300" w:lineRule="auto"/>
      <w:outlineLvl w:val="0"/>
    </w:pPr>
    <w:rPr>
      <w:sz w:val="28"/>
    </w:rPr>
  </w:style>
  <w:style w:type="paragraph" w:styleId="900">
    <w:name w:val="标题 2"/>
    <w:basedOn w:val="898"/>
    <w:next w:val="898"/>
    <w:link w:val="912"/>
    <w:qFormat/>
    <w:pPr>
      <w:keepNext/>
      <w:outlineLvl w:val="1"/>
    </w:pPr>
    <w:rPr>
      <w:rFonts w:ascii="宋体" w:hAnsi="宋体"/>
      <w:b/>
    </w:rPr>
  </w:style>
  <w:style w:type="paragraph" w:styleId="901">
    <w:name w:val="标题 3"/>
    <w:basedOn w:val="898"/>
    <w:next w:val="898"/>
    <w:link w:val="913"/>
    <w:qFormat/>
    <w:pPr>
      <w:keepLines/>
      <w:keepNext/>
      <w:spacing w:before="260" w:after="260" w:line="413" w:lineRule="auto"/>
      <w:outlineLvl w:val="2"/>
    </w:pPr>
    <w:rPr>
      <w:b/>
      <w:sz w:val="32"/>
    </w:rPr>
  </w:style>
  <w:style w:type="paragraph" w:styleId="902">
    <w:name w:val="标题 4"/>
    <w:next w:val="898"/>
    <w:link w:val="898"/>
    <w:qFormat/>
    <w:pPr>
      <w:ind w:left="600" w:firstLine="357"/>
      <w:spacing w:before="468" w:after="468"/>
      <w:outlineLvl w:val="3"/>
    </w:pPr>
    <w:rPr>
      <w:rFonts w:ascii="宋体" w:hAnsi="宋体"/>
      <w:color w:val="000000"/>
      <w:sz w:val="24"/>
      <w:u w:val="single"/>
      <w:lang w:val="en-US" w:eastAsia="zh-CN" w:bidi="ar-SA"/>
    </w:rPr>
  </w:style>
  <w:style w:type="paragraph" w:styleId="903">
    <w:name w:val="标题 5"/>
    <w:basedOn w:val="898"/>
    <w:next w:val="915"/>
    <w:link w:val="914"/>
    <w:qFormat/>
    <w:pPr>
      <w:ind w:firstLine="420"/>
      <w:keepLines/>
      <w:keepNext/>
      <w:spacing w:before="100" w:after="100" w:line="376" w:lineRule="atLeast"/>
      <w:outlineLvl w:val="4"/>
    </w:pPr>
    <w:rPr>
      <w:rFonts w:ascii="宋体"/>
      <w:b/>
      <w:i/>
      <w:sz w:val="24"/>
    </w:rPr>
  </w:style>
  <w:style w:type="paragraph" w:styleId="904">
    <w:name w:val="标题 6"/>
    <w:basedOn w:val="898"/>
    <w:next w:val="898"/>
    <w:link w:val="917"/>
    <w:uiPriority w:val="9"/>
    <w:qFormat/>
    <w:pPr>
      <w:ind w:left="420"/>
      <w:keepNext/>
      <w:outlineLvl w:val="5"/>
    </w:pPr>
    <w:rPr>
      <w:rFonts w:ascii="Arial" w:hAnsi="Arial" w:eastAsia="黑体"/>
      <w:b/>
    </w:rPr>
  </w:style>
  <w:style w:type="paragraph" w:styleId="905">
    <w:name w:val="标题 7"/>
    <w:basedOn w:val="898"/>
    <w:next w:val="915"/>
    <w:link w:val="918"/>
    <w:uiPriority w:val="9"/>
    <w:qFormat/>
    <w:pPr>
      <w:keepNext/>
      <w:outlineLvl w:val="6"/>
    </w:pPr>
    <w:rPr>
      <w:rFonts w:ascii="Arial" w:hAnsi="Arial" w:eastAsia="黑体"/>
      <w:b/>
      <w:sz w:val="24"/>
    </w:rPr>
  </w:style>
  <w:style w:type="paragraph" w:styleId="906">
    <w:name w:val="标题 8"/>
    <w:basedOn w:val="898"/>
    <w:next w:val="898"/>
    <w:link w:val="919"/>
    <w:uiPriority w:val="9"/>
    <w:qFormat/>
    <w:pPr>
      <w:keepNext/>
      <w:outlineLvl w:val="7"/>
    </w:pPr>
    <w:rPr>
      <w:rFonts w:ascii="Arial" w:hAnsi="Arial"/>
      <w:b/>
      <w:color w:val="000000"/>
      <w:sz w:val="16"/>
    </w:rPr>
  </w:style>
  <w:style w:type="paragraph" w:styleId="907">
    <w:name w:val="标题 9"/>
    <w:basedOn w:val="898"/>
    <w:next w:val="915"/>
    <w:link w:val="920"/>
    <w:uiPriority w:val="9"/>
    <w:qFormat/>
    <w:pPr>
      <w:keepLines/>
      <w:keepNext/>
      <w:spacing w:before="240" w:after="64" w:line="317" w:lineRule="auto"/>
      <w:outlineLvl w:val="8"/>
    </w:pPr>
    <w:rPr>
      <w:rFonts w:ascii="Arial" w:hAnsi="Arial" w:eastAsia="黑体"/>
    </w:rPr>
  </w:style>
  <w:style w:type="character" w:styleId="908">
    <w:name w:val="默认段落字体"/>
    <w:next w:val="908"/>
    <w:link w:val="898"/>
  </w:style>
  <w:style w:type="table" w:styleId="909">
    <w:name w:val="普通表格"/>
    <w:next w:val="909"/>
    <w:link w:val="898"/>
    <w:semiHidden/>
    <w:tblPr/>
  </w:style>
  <w:style w:type="numbering" w:styleId="910">
    <w:name w:val="无列表"/>
    <w:next w:val="910"/>
    <w:link w:val="898"/>
    <w:uiPriority w:val="99"/>
    <w:semiHidden/>
    <w:unhideWhenUsed/>
  </w:style>
  <w:style w:type="character" w:styleId="911">
    <w:name w:val="标题 1 Char"/>
    <w:next w:val="911"/>
    <w:link w:val="899"/>
    <w:rPr>
      <w:sz w:val="28"/>
    </w:rPr>
  </w:style>
  <w:style w:type="character" w:styleId="912">
    <w:name w:val="标题 2 Char1"/>
    <w:next w:val="912"/>
    <w:link w:val="900"/>
    <w:rPr>
      <w:rFonts w:ascii="宋体" w:hAnsi="宋体"/>
      <w:b/>
      <w:sz w:val="21"/>
    </w:rPr>
  </w:style>
  <w:style w:type="character" w:styleId="913">
    <w:name w:val="标题 3 Char"/>
    <w:next w:val="913"/>
    <w:link w:val="901"/>
    <w:rPr>
      <w:rFonts w:eastAsia="宋体"/>
      <w:b/>
      <w:sz w:val="32"/>
      <w:lang w:val="en-US" w:eastAsia="zh-CN" w:bidi="ar-SA"/>
    </w:rPr>
  </w:style>
  <w:style w:type="character" w:styleId="914">
    <w:name w:val="标题 5 Char"/>
    <w:next w:val="914"/>
    <w:link w:val="903"/>
    <w:rPr>
      <w:rFonts w:ascii="宋体"/>
      <w:b/>
      <w:i/>
      <w:sz w:val="24"/>
    </w:rPr>
  </w:style>
  <w:style w:type="paragraph" w:styleId="915">
    <w:name w:val="正文缩进"/>
    <w:basedOn w:val="898"/>
    <w:next w:val="915"/>
    <w:link w:val="916"/>
    <w:qFormat/>
    <w:pPr>
      <w:ind w:firstLine="420"/>
      <w:jc w:val="left"/>
    </w:pPr>
    <w:rPr>
      <w:rFonts w:eastAsia="楷体_GB2312"/>
      <w:sz w:val="24"/>
    </w:rPr>
  </w:style>
  <w:style w:type="character" w:styleId="916">
    <w:name w:val="正文缩进 Char"/>
    <w:next w:val="916"/>
    <w:link w:val="915"/>
    <w:qFormat/>
    <w:rPr>
      <w:rFonts w:eastAsia="楷体_GB2312"/>
      <w:sz w:val="24"/>
      <w:lang w:val="en-US" w:eastAsia="zh-CN" w:bidi="ar-SA"/>
    </w:rPr>
  </w:style>
  <w:style w:type="character" w:styleId="917">
    <w:name w:val="标题 6 Char"/>
    <w:next w:val="917"/>
    <w:link w:val="904"/>
    <w:uiPriority w:val="9"/>
    <w:rPr>
      <w:rFonts w:ascii="Arial" w:hAnsi="Arial" w:eastAsia="黑体"/>
      <w:b/>
      <w:sz w:val="21"/>
    </w:rPr>
  </w:style>
  <w:style w:type="character" w:styleId="918">
    <w:name w:val="标题 7 Char"/>
    <w:next w:val="918"/>
    <w:link w:val="905"/>
    <w:uiPriority w:val="9"/>
    <w:rPr>
      <w:rFonts w:ascii="Arial" w:hAnsi="Arial" w:eastAsia="黑体"/>
      <w:b/>
      <w:sz w:val="24"/>
    </w:rPr>
  </w:style>
  <w:style w:type="character" w:styleId="919">
    <w:name w:val="标题 8 Char"/>
    <w:next w:val="919"/>
    <w:link w:val="906"/>
    <w:uiPriority w:val="9"/>
    <w:rPr>
      <w:rFonts w:ascii="Arial" w:hAnsi="Arial"/>
      <w:b/>
      <w:color w:val="000000"/>
      <w:sz w:val="16"/>
    </w:rPr>
  </w:style>
  <w:style w:type="character" w:styleId="920">
    <w:name w:val="标题 9 Char"/>
    <w:next w:val="920"/>
    <w:link w:val="907"/>
    <w:uiPriority w:val="9"/>
    <w:rPr>
      <w:rFonts w:ascii="Arial" w:hAnsi="Arial" w:eastAsia="黑体"/>
      <w:sz w:val="21"/>
    </w:rPr>
  </w:style>
  <w:style w:type="paragraph" w:styleId="921">
    <w:name w:val="目录 7"/>
    <w:basedOn w:val="898"/>
    <w:next w:val="898"/>
    <w:link w:val="898"/>
    <w:pPr>
      <w:ind w:left="2520"/>
    </w:pPr>
    <w:rPr>
      <w:szCs w:val="24"/>
    </w:rPr>
  </w:style>
  <w:style w:type="paragraph" w:styleId="922">
    <w:name w:val="列表项目符号 4"/>
    <w:basedOn w:val="898"/>
    <w:next w:val="922"/>
    <w:link w:val="898"/>
    <w:pPr>
      <w:numPr>
        <w:ilvl w:val="0"/>
        <w:numId w:val="1"/>
      </w:numPr>
      <w:spacing w:after="120"/>
      <w:tabs>
        <w:tab w:val="left" w:pos="381" w:leader="none"/>
      </w:tabs>
    </w:pPr>
    <w:rPr>
      <w:sz w:val="28"/>
    </w:rPr>
  </w:style>
  <w:style w:type="paragraph" w:styleId="923">
    <w:name w:val="列表编号"/>
    <w:basedOn w:val="898"/>
    <w:next w:val="923"/>
    <w:link w:val="898"/>
    <w:pPr>
      <w:numPr>
        <w:ilvl w:val="0"/>
        <w:numId w:val="2"/>
      </w:numPr>
      <w:jc w:val="left"/>
      <w:widowControl/>
      <w:tabs>
        <w:tab w:val="left" w:pos="839" w:leader="none"/>
      </w:tabs>
    </w:pPr>
    <w:rPr>
      <w:sz w:val="24"/>
    </w:rPr>
  </w:style>
  <w:style w:type="paragraph" w:styleId="924">
    <w:name w:val="题注"/>
    <w:basedOn w:val="898"/>
    <w:next w:val="898"/>
    <w:link w:val="925"/>
    <w:uiPriority w:val="35"/>
    <w:qFormat/>
    <w:pPr>
      <w:ind w:left="1260" w:hanging="720"/>
      <w:tabs>
        <w:tab w:val="left" w:pos="180" w:leader="none"/>
        <w:tab w:val="left" w:pos="840" w:leader="none"/>
      </w:tabs>
    </w:pPr>
    <w:rPr>
      <w:rFonts w:ascii="宋体" w:hAnsi="宋体"/>
      <w:b/>
    </w:rPr>
  </w:style>
  <w:style w:type="character" w:styleId="925">
    <w:name w:val="题注 Char"/>
    <w:next w:val="925"/>
    <w:link w:val="924"/>
    <w:rPr>
      <w:rFonts w:ascii="宋体" w:hAnsi="宋体"/>
      <w:b/>
      <w:sz w:val="21"/>
    </w:rPr>
  </w:style>
  <w:style w:type="paragraph" w:styleId="926">
    <w:name w:val="文档结构图"/>
    <w:basedOn w:val="898"/>
    <w:next w:val="926"/>
    <w:link w:val="927"/>
    <w:uiPriority w:val="99"/>
    <w:pPr>
      <w:shd w:val="clear" w:color="auto" w:fill="000080"/>
    </w:pPr>
  </w:style>
  <w:style w:type="character" w:styleId="927">
    <w:name w:val="文档结构图 Char"/>
    <w:next w:val="927"/>
    <w:link w:val="926"/>
    <w:uiPriority w:val="99"/>
    <w:rPr>
      <w:sz w:val="21"/>
      <w:shd w:val="clear" w:color="auto" w:fill="000080"/>
    </w:rPr>
  </w:style>
  <w:style w:type="paragraph" w:styleId="928">
    <w:name w:val="引文目录标题"/>
    <w:basedOn w:val="898"/>
    <w:next w:val="898"/>
    <w:link w:val="898"/>
    <w:pPr>
      <w:ind w:left="50"/>
      <w:spacing w:before="120" w:after="290" w:line="372" w:lineRule="auto"/>
    </w:pPr>
    <w:rPr>
      <w:rFonts w:ascii="Cambria" w:hAnsi="Cambria"/>
      <w:sz w:val="24"/>
      <w:szCs w:val="24"/>
      <w:lang w:eastAsia="ar-SA"/>
    </w:rPr>
  </w:style>
  <w:style w:type="paragraph" w:styleId="929">
    <w:name w:val="批注文字"/>
    <w:basedOn w:val="898"/>
    <w:next w:val="929"/>
    <w:link w:val="930"/>
    <w:pPr>
      <w:jc w:val="left"/>
    </w:pPr>
  </w:style>
  <w:style w:type="character" w:styleId="930">
    <w:name w:val="批注文字 Char"/>
    <w:next w:val="930"/>
    <w:link w:val="929"/>
    <w:rPr>
      <w:sz w:val="21"/>
    </w:rPr>
  </w:style>
  <w:style w:type="paragraph" w:styleId="931">
    <w:name w:val="正文文本 3"/>
    <w:basedOn w:val="898"/>
    <w:next w:val="931"/>
    <w:link w:val="898"/>
    <w:rPr>
      <w:color w:val="0000ff"/>
    </w:rPr>
  </w:style>
  <w:style w:type="paragraph" w:styleId="932">
    <w:name w:val="列表项目符号 3"/>
    <w:basedOn w:val="898"/>
    <w:next w:val="932"/>
    <w:link w:val="898"/>
    <w:pPr>
      <w:numPr>
        <w:ilvl w:val="0"/>
        <w:numId w:val="3"/>
      </w:numPr>
      <w:spacing w:after="120"/>
      <w:tabs>
        <w:tab w:val="left" w:pos="360" w:leader="none"/>
      </w:tabs>
    </w:pPr>
    <w:rPr>
      <w:sz w:val="28"/>
    </w:rPr>
  </w:style>
  <w:style w:type="paragraph" w:styleId="933">
    <w:name w:val="正文文本"/>
    <w:basedOn w:val="898"/>
    <w:next w:val="933"/>
    <w:link w:val="934"/>
    <w:pPr>
      <w:spacing w:after="120"/>
    </w:pPr>
  </w:style>
  <w:style w:type="character" w:styleId="934">
    <w:name w:val="正文文本 Char"/>
    <w:next w:val="934"/>
    <w:link w:val="933"/>
    <w:rPr>
      <w:sz w:val="21"/>
    </w:rPr>
  </w:style>
  <w:style w:type="paragraph" w:styleId="935">
    <w:name w:val="正文文本缩进"/>
    <w:basedOn w:val="898"/>
    <w:next w:val="935"/>
    <w:link w:val="936"/>
    <w:pPr>
      <w:ind w:firstLine="420"/>
      <w:spacing w:line="360" w:lineRule="auto"/>
    </w:pPr>
    <w:rPr>
      <w:rFonts w:ascii="宋体" w:hAnsi="宋体"/>
    </w:rPr>
  </w:style>
  <w:style w:type="character" w:styleId="936">
    <w:name w:val="正文文本缩进 Char"/>
    <w:next w:val="936"/>
    <w:link w:val="935"/>
    <w:rPr>
      <w:rFonts w:ascii="宋体" w:hAnsi="宋体"/>
      <w:sz w:val="21"/>
    </w:rPr>
  </w:style>
  <w:style w:type="paragraph" w:styleId="937">
    <w:name w:val="文本块"/>
    <w:basedOn w:val="898"/>
    <w:next w:val="937"/>
    <w:link w:val="898"/>
    <w:pPr>
      <w:ind w:left="630" w:right="-609" w:firstLine="420"/>
      <w:spacing w:line="360" w:lineRule="auto"/>
    </w:pPr>
    <w:rPr>
      <w:rFonts w:hint="eastAsia" w:ascii="仿宋_GB2312" w:eastAsia="仿宋_GB2312"/>
    </w:rPr>
  </w:style>
  <w:style w:type="paragraph" w:styleId="938">
    <w:name w:val="列表项目符号 2"/>
    <w:basedOn w:val="898"/>
    <w:next w:val="938"/>
    <w:link w:val="898"/>
    <w:pPr>
      <w:numPr>
        <w:ilvl w:val="0"/>
        <w:numId w:val="4"/>
      </w:numPr>
      <w:spacing w:after="120"/>
      <w:tabs>
        <w:tab w:val="left" w:pos="780" w:leader="none"/>
      </w:tabs>
    </w:pPr>
    <w:rPr>
      <w:sz w:val="28"/>
    </w:rPr>
  </w:style>
  <w:style w:type="paragraph" w:styleId="939">
    <w:name w:val="目录 5"/>
    <w:basedOn w:val="898"/>
    <w:next w:val="898"/>
    <w:link w:val="898"/>
    <w:pPr>
      <w:ind w:left="1438"/>
      <w:tabs>
        <w:tab w:val="right" w:pos="8302" w:leader="dot"/>
      </w:tabs>
    </w:pPr>
    <w:rPr>
      <w:szCs w:val="24"/>
    </w:rPr>
  </w:style>
  <w:style w:type="paragraph" w:styleId="940">
    <w:name w:val="目录 3"/>
    <w:basedOn w:val="898"/>
    <w:next w:val="898"/>
    <w:link w:val="898"/>
    <w:uiPriority w:val="39"/>
    <w:qFormat/>
    <w:pPr>
      <w:ind w:left="540"/>
      <w:spacing w:line="360" w:lineRule="auto"/>
      <w:tabs>
        <w:tab w:val="right" w:pos="8296" w:leader="dot"/>
      </w:tabs>
    </w:pPr>
    <w:rPr>
      <w:szCs w:val="24"/>
    </w:rPr>
  </w:style>
  <w:style w:type="paragraph" w:styleId="941">
    <w:name w:val="纯文本"/>
    <w:basedOn w:val="898"/>
    <w:next w:val="941"/>
    <w:link w:val="942"/>
    <w:qFormat/>
    <w:rPr>
      <w:rFonts w:ascii="宋体" w:hAnsi="Courier New" w:eastAsia="楷体_GB2312"/>
      <w:sz w:val="28"/>
    </w:rPr>
  </w:style>
  <w:style w:type="character" w:styleId="942">
    <w:name w:val="纯文本 Char1"/>
    <w:next w:val="942"/>
    <w:link w:val="941"/>
    <w:qFormat/>
    <w:rPr>
      <w:rFonts w:ascii="宋体" w:hAnsi="Courier New" w:eastAsia="楷体_GB2312"/>
      <w:sz w:val="28"/>
    </w:rPr>
  </w:style>
  <w:style w:type="paragraph" w:styleId="943">
    <w:name w:val="目录 8"/>
    <w:basedOn w:val="898"/>
    <w:next w:val="898"/>
    <w:link w:val="898"/>
    <w:pPr>
      <w:ind w:left="2940"/>
    </w:pPr>
    <w:rPr>
      <w:szCs w:val="24"/>
    </w:rPr>
  </w:style>
  <w:style w:type="paragraph" w:styleId="944">
    <w:name w:val="索引 3"/>
    <w:basedOn w:val="898"/>
    <w:next w:val="898"/>
    <w:link w:val="898"/>
    <w:pPr>
      <w:ind w:left="400"/>
      <w:spacing w:line="300" w:lineRule="auto"/>
    </w:pPr>
    <w:rPr>
      <w:sz w:val="28"/>
      <w:szCs w:val="24"/>
      <w:lang w:eastAsia="ar-SA"/>
    </w:rPr>
  </w:style>
  <w:style w:type="paragraph" w:styleId="945">
    <w:name w:val="日期"/>
    <w:basedOn w:val="898"/>
    <w:next w:val="898"/>
    <w:link w:val="946"/>
  </w:style>
  <w:style w:type="character" w:styleId="946">
    <w:name w:val="日期 Char"/>
    <w:next w:val="946"/>
    <w:link w:val="945"/>
    <w:rPr>
      <w:sz w:val="21"/>
    </w:rPr>
  </w:style>
  <w:style w:type="paragraph" w:styleId="947">
    <w:name w:val="正文文本缩进 2"/>
    <w:basedOn w:val="898"/>
    <w:next w:val="947"/>
    <w:link w:val="948"/>
    <w:pPr>
      <w:ind w:firstLine="540"/>
      <w:spacing w:line="360" w:lineRule="auto"/>
    </w:pPr>
    <w:rPr>
      <w:rFonts w:ascii="宋体" w:hAnsi="宋体"/>
      <w:sz w:val="24"/>
    </w:rPr>
  </w:style>
  <w:style w:type="character" w:styleId="948">
    <w:name w:val="正文文本缩进 2 Char"/>
    <w:next w:val="948"/>
    <w:link w:val="947"/>
    <w:rPr>
      <w:rFonts w:ascii="宋体" w:hAnsi="宋体"/>
      <w:sz w:val="24"/>
    </w:rPr>
  </w:style>
  <w:style w:type="paragraph" w:styleId="949">
    <w:name w:val="批注框文本"/>
    <w:basedOn w:val="898"/>
    <w:next w:val="949"/>
    <w:link w:val="950"/>
    <w:rPr>
      <w:sz w:val="18"/>
    </w:rPr>
  </w:style>
  <w:style w:type="character" w:styleId="950">
    <w:name w:val="批注框文本 Char"/>
    <w:next w:val="950"/>
    <w:link w:val="949"/>
    <w:rPr>
      <w:sz w:val="18"/>
    </w:rPr>
  </w:style>
  <w:style w:type="paragraph" w:styleId="951">
    <w:name w:val="页脚"/>
    <w:basedOn w:val="898"/>
    <w:next w:val="951"/>
    <w:link w:val="952"/>
    <w:uiPriority w:val="99"/>
    <w:pPr>
      <w:jc w:val="left"/>
      <w:tabs>
        <w:tab w:val="center" w:pos="4153" w:leader="none"/>
        <w:tab w:val="right" w:pos="8306" w:leader="none"/>
      </w:tabs>
    </w:pPr>
    <w:rPr>
      <w:rFonts w:eastAsia="楷体_GB2312"/>
      <w:sz w:val="18"/>
    </w:rPr>
  </w:style>
  <w:style w:type="character" w:styleId="952">
    <w:name w:val="页脚 Char"/>
    <w:next w:val="952"/>
    <w:link w:val="951"/>
    <w:uiPriority w:val="99"/>
    <w:rPr>
      <w:rFonts w:eastAsia="楷体_GB2312"/>
      <w:sz w:val="18"/>
      <w:lang w:val="en-US" w:eastAsia="zh-CN" w:bidi="ar-SA"/>
    </w:rPr>
  </w:style>
  <w:style w:type="paragraph" w:styleId="953">
    <w:name w:val="页眉"/>
    <w:basedOn w:val="898"/>
    <w:next w:val="953"/>
    <w:link w:val="954"/>
    <w:pPr>
      <w:jc w:val="center"/>
      <w:tabs>
        <w:tab w:val="center" w:pos="4153" w:leader="none"/>
        <w:tab w:val="right" w:pos="8306" w:leader="none"/>
      </w:tabs>
      <w:pBdr>
        <w:bottom w:val="single" w:color="000000" w:sz="6" w:space="1"/>
      </w:pBdr>
    </w:pPr>
    <w:rPr>
      <w:rFonts w:eastAsia="楷体_GB2312"/>
      <w:sz w:val="18"/>
    </w:rPr>
  </w:style>
  <w:style w:type="character" w:styleId="954">
    <w:name w:val="页眉 Char"/>
    <w:next w:val="954"/>
    <w:link w:val="953"/>
    <w:rPr>
      <w:rFonts w:eastAsia="楷体_GB2312"/>
      <w:sz w:val="18"/>
      <w:lang w:val="en-US" w:eastAsia="zh-CN" w:bidi="ar-SA"/>
    </w:rPr>
  </w:style>
  <w:style w:type="paragraph" w:styleId="955">
    <w:name w:val="目录 1"/>
    <w:basedOn w:val="898"/>
    <w:next w:val="898"/>
    <w:link w:val="898"/>
    <w:uiPriority w:val="39"/>
    <w:qFormat/>
    <w:pPr>
      <w:jc w:val="center"/>
      <w:spacing w:before="120" w:after="120"/>
      <w:tabs>
        <w:tab w:val="right" w:pos="8306" w:leader="dot"/>
      </w:tabs>
    </w:pPr>
    <w:rPr>
      <w:rFonts w:ascii="隶书" w:eastAsia="隶书"/>
      <w:b/>
      <w:caps/>
      <w:spacing w:val="30"/>
      <w:sz w:val="30"/>
    </w:rPr>
  </w:style>
  <w:style w:type="paragraph" w:styleId="956">
    <w:name w:val="目录 4"/>
    <w:basedOn w:val="898"/>
    <w:next w:val="898"/>
    <w:link w:val="898"/>
    <w:pPr>
      <w:ind w:left="540"/>
      <w:spacing w:line="360" w:lineRule="auto"/>
      <w:tabs>
        <w:tab w:val="right" w:pos="8296" w:leader="dot"/>
      </w:tabs>
    </w:pPr>
    <w:rPr>
      <w:rFonts w:ascii="仿宋_GB2312" w:eastAsia="仿宋_GB2312"/>
      <w:szCs w:val="21"/>
    </w:rPr>
  </w:style>
  <w:style w:type="paragraph" w:styleId="957">
    <w:name w:val="列表"/>
    <w:basedOn w:val="898"/>
    <w:next w:val="957"/>
    <w:link w:val="898"/>
    <w:pPr>
      <w:ind w:left="420" w:hanging="420"/>
      <w:spacing w:line="360" w:lineRule="auto"/>
    </w:pPr>
    <w:rPr>
      <w:rFonts w:eastAsia="仿宋_GB2312"/>
      <w:sz w:val="24"/>
    </w:rPr>
  </w:style>
  <w:style w:type="paragraph" w:styleId="958">
    <w:name w:val="目录 6"/>
    <w:basedOn w:val="898"/>
    <w:next w:val="898"/>
    <w:link w:val="898"/>
    <w:pPr>
      <w:ind w:left="2100"/>
    </w:pPr>
    <w:rPr>
      <w:szCs w:val="24"/>
    </w:rPr>
  </w:style>
  <w:style w:type="paragraph" w:styleId="959">
    <w:name w:val="正文文本缩进 3"/>
    <w:basedOn w:val="898"/>
    <w:next w:val="959"/>
    <w:link w:val="898"/>
    <w:pPr>
      <w:ind w:firstLine="480"/>
      <w:spacing w:line="360" w:lineRule="auto"/>
      <w:widowControl/>
    </w:pPr>
    <w:rPr>
      <w:sz w:val="24"/>
    </w:rPr>
  </w:style>
  <w:style w:type="paragraph" w:styleId="960">
    <w:name w:val="目录 2"/>
    <w:basedOn w:val="898"/>
    <w:next w:val="898"/>
    <w:link w:val="898"/>
    <w:uiPriority w:val="39"/>
    <w:qFormat/>
    <w:pPr>
      <w:ind w:left="240"/>
      <w:jc w:val="left"/>
      <w:spacing w:line="312" w:lineRule="atLeast"/>
      <w:tabs>
        <w:tab w:val="right" w:pos="8306" w:leader="dot"/>
      </w:tabs>
    </w:pPr>
    <w:rPr>
      <w:rFonts w:eastAsia="楷体_GB2312"/>
      <w:smallCaps/>
      <w:sz w:val="20"/>
    </w:rPr>
  </w:style>
  <w:style w:type="paragraph" w:styleId="961">
    <w:name w:val="目录 9"/>
    <w:basedOn w:val="898"/>
    <w:next w:val="898"/>
    <w:link w:val="898"/>
    <w:pPr>
      <w:ind w:left="3360"/>
    </w:pPr>
    <w:rPr>
      <w:rFonts w:ascii="Calibri" w:hAnsi="Calibri"/>
      <w:szCs w:val="22"/>
    </w:rPr>
  </w:style>
  <w:style w:type="paragraph" w:styleId="962">
    <w:name w:val="正文文本 2"/>
    <w:basedOn w:val="898"/>
    <w:next w:val="962"/>
    <w:link w:val="898"/>
    <w:pPr>
      <w:spacing w:line="360" w:lineRule="auto"/>
      <w:tabs>
        <w:tab w:val="left" w:pos="630" w:leader="none"/>
      </w:tabs>
    </w:pPr>
    <w:rPr>
      <w:rFonts w:ascii="宋体" w:hAnsi="宋体"/>
      <w:sz w:val="24"/>
    </w:rPr>
  </w:style>
  <w:style w:type="paragraph" w:styleId="963">
    <w:name w:val="HTML 预设格式"/>
    <w:basedOn w:val="898"/>
    <w:next w:val="963"/>
    <w:link w:val="964"/>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4">
    <w:name w:val="HTML 预设格式 Char"/>
    <w:next w:val="964"/>
    <w:link w:val="963"/>
    <w:uiPriority w:val="99"/>
    <w:rPr>
      <w:rFonts w:ascii="宋体" w:hAnsi="宋体"/>
      <w:sz w:val="24"/>
      <w:szCs w:val="24"/>
    </w:rPr>
  </w:style>
  <w:style w:type="paragraph" w:styleId="965">
    <w:name w:val="普通(网站)"/>
    <w:basedOn w:val="898"/>
    <w:next w:val="965"/>
    <w:link w:val="898"/>
    <w:pPr>
      <w:jc w:val="left"/>
      <w:spacing w:before="100" w:beforeAutospacing="1" w:after="100" w:afterAutospacing="1"/>
      <w:widowControl/>
    </w:pPr>
    <w:rPr>
      <w:rFonts w:ascii="Arial Unicode MS" w:hAnsi="Arial Unicode MS" w:eastAsia="Arial Unicode MS"/>
      <w:color w:val="000000"/>
      <w:sz w:val="24"/>
    </w:rPr>
  </w:style>
  <w:style w:type="paragraph" w:styleId="966">
    <w:name w:val="索引 1"/>
    <w:basedOn w:val="898"/>
    <w:next w:val="898"/>
    <w:link w:val="898"/>
    <w:rPr>
      <w:sz w:val="28"/>
      <w:szCs w:val="24"/>
      <w:lang w:eastAsia="ar-SA"/>
    </w:rPr>
  </w:style>
  <w:style w:type="paragraph" w:styleId="967">
    <w:name w:val="索引 2"/>
    <w:basedOn w:val="898"/>
    <w:next w:val="898"/>
    <w:link w:val="898"/>
    <w:pPr>
      <w:ind w:left="200"/>
      <w:spacing w:line="300" w:lineRule="auto"/>
    </w:pPr>
    <w:rPr>
      <w:sz w:val="28"/>
      <w:szCs w:val="24"/>
      <w:lang w:eastAsia="ar-SA"/>
    </w:rPr>
  </w:style>
  <w:style w:type="paragraph" w:styleId="968">
    <w:name w:val="标题"/>
    <w:basedOn w:val="898"/>
    <w:next w:val="968"/>
    <w:link w:val="969"/>
    <w:qFormat/>
    <w:pPr>
      <w:jc w:val="center"/>
      <w:spacing w:before="156"/>
    </w:pPr>
    <w:rPr>
      <w:rFonts w:eastAsia="黑体"/>
      <w:b/>
      <w:sz w:val="32"/>
    </w:rPr>
  </w:style>
  <w:style w:type="character" w:styleId="969">
    <w:name w:val="标题 Char"/>
    <w:next w:val="969"/>
    <w:link w:val="968"/>
    <w:rPr>
      <w:rFonts w:eastAsia="黑体"/>
      <w:b/>
      <w:sz w:val="32"/>
    </w:rPr>
  </w:style>
  <w:style w:type="paragraph" w:styleId="970">
    <w:name w:val="批注主题"/>
    <w:basedOn w:val="929"/>
    <w:next w:val="929"/>
    <w:link w:val="971"/>
    <w:rPr>
      <w:b/>
      <w:bCs/>
    </w:rPr>
  </w:style>
  <w:style w:type="character" w:styleId="971">
    <w:name w:val="批注主题 Char"/>
    <w:next w:val="971"/>
    <w:link w:val="970"/>
    <w:rPr>
      <w:b/>
      <w:bCs/>
      <w:sz w:val="21"/>
    </w:rPr>
  </w:style>
  <w:style w:type="paragraph" w:styleId="972">
    <w:name w:val="正文首行缩进"/>
    <w:basedOn w:val="898"/>
    <w:next w:val="972"/>
    <w:link w:val="898"/>
    <w:pPr>
      <w:ind w:firstLine="425"/>
      <w:spacing w:line="360" w:lineRule="auto"/>
    </w:pPr>
    <w:rPr>
      <w:sz w:val="24"/>
    </w:rPr>
  </w:style>
  <w:style w:type="table" w:styleId="973">
    <w:name w:val="网格型"/>
    <w:basedOn w:val="909"/>
    <w:next w:val="973"/>
    <w:link w:val="898"/>
    <w:uiPriority w:val="59"/>
    <w:qFormat/>
    <w:tblPr/>
  </w:style>
  <w:style w:type="character" w:styleId="974">
    <w:name w:val="要点"/>
    <w:next w:val="974"/>
    <w:link w:val="898"/>
    <w:uiPriority w:val="22"/>
    <w:qFormat/>
    <w:rPr>
      <w:b/>
    </w:rPr>
  </w:style>
  <w:style w:type="character" w:styleId="975">
    <w:name w:val="页码"/>
    <w:next w:val="975"/>
    <w:link w:val="898"/>
  </w:style>
  <w:style w:type="character" w:styleId="976">
    <w:name w:val="访问过的超链接"/>
    <w:next w:val="976"/>
    <w:link w:val="898"/>
    <w:uiPriority w:val="99"/>
    <w:rPr>
      <w:color w:val="800080"/>
      <w:u w:val="single"/>
    </w:rPr>
  </w:style>
  <w:style w:type="character" w:styleId="977">
    <w:name w:val="强调"/>
    <w:next w:val="977"/>
    <w:link w:val="898"/>
    <w:qFormat/>
    <w:rPr>
      <w:color w:val="cc0000"/>
    </w:rPr>
  </w:style>
  <w:style w:type="character" w:styleId="978">
    <w:name w:val="HTML 打字机"/>
    <w:next w:val="978"/>
    <w:link w:val="898"/>
    <w:rPr>
      <w:rFonts w:ascii="宋体" w:hAnsi="宋体" w:eastAsia="宋体" w:cs="宋体"/>
      <w:sz w:val="24"/>
      <w:szCs w:val="24"/>
      <w:lang w:val="en-US" w:eastAsia="zh-CN" w:bidi="ar-SA"/>
    </w:rPr>
  </w:style>
  <w:style w:type="character" w:styleId="979">
    <w:name w:val="超链接"/>
    <w:next w:val="979"/>
    <w:link w:val="898"/>
    <w:uiPriority w:val="99"/>
    <w:rPr>
      <w:color w:val="0000ff"/>
      <w:u w:val="single"/>
    </w:rPr>
  </w:style>
  <w:style w:type="character" w:styleId="980">
    <w:name w:val="HTML 代码"/>
    <w:next w:val="980"/>
    <w:link w:val="898"/>
    <w:uiPriority w:val="99"/>
    <w:unhideWhenUsed/>
    <w:rPr>
      <w:rFonts w:ascii="宋体" w:hAnsi="宋体" w:eastAsia="宋体" w:cs="宋体"/>
      <w:sz w:val="24"/>
      <w:szCs w:val="24"/>
    </w:rPr>
  </w:style>
  <w:style w:type="character" w:styleId="981">
    <w:name w:val="批注引用"/>
    <w:next w:val="981"/>
    <w:link w:val="898"/>
    <w:rPr>
      <w:sz w:val="21"/>
      <w:szCs w:val="21"/>
    </w:rPr>
  </w:style>
  <w:style w:type="character" w:styleId="982">
    <w:name w:val="xxk_c"/>
    <w:next w:val="982"/>
    <w:link w:val="898"/>
    <w:rPr>
      <w:rFonts w:ascii="Tahoma" w:hAnsi="Tahoma" w:eastAsia="宋体"/>
      <w:sz w:val="24"/>
      <w:szCs w:val="24"/>
      <w:lang w:val="en-US" w:eastAsia="zh-CN" w:bidi="ar-SA"/>
    </w:rPr>
  </w:style>
  <w:style w:type="character" w:styleId="983">
    <w:name w:val="style14"/>
    <w:next w:val="983"/>
    <w:link w:val="898"/>
  </w:style>
  <w:style w:type="character" w:styleId="984">
    <w:name w:val="样式 标题 3H3Titre33heading 3Heading 3 - oldH31H32H33H34H3...1"/>
    <w:next w:val="984"/>
    <w:link w:val="898"/>
    <w:rPr>
      <w:rFonts w:ascii="仿宋_GB2312" w:hAnsi="宋体" w:eastAsia="仿宋_GB2312"/>
    </w:rPr>
  </w:style>
  <w:style w:type="character" w:styleId="985">
    <w:name w:val="new1"/>
    <w:next w:val="985"/>
    <w:link w:val="898"/>
    <w:rPr>
      <w:rFonts w:ascii="Verdana" w:hAnsi="Verdana"/>
      <w:color w:val="333333"/>
      <w:sz w:val="18"/>
      <w:shd w:val="clear" w:color="auto" w:fill="ffffff"/>
    </w:rPr>
  </w:style>
  <w:style w:type="character" w:styleId="986">
    <w:name w:val="line1"/>
    <w:next w:val="986"/>
    <w:link w:val="898"/>
  </w:style>
  <w:style w:type="character" w:styleId="987">
    <w:name w:val="标题 2 Char,H2 Char,sect 1.2 Char,H21 Char,sect 1.21 Char,H22 Char,sect 1.22 Char,H211 Char,sect 1.211 Char,H23 Char,sect 1.23 Char,H212 Char,sect 1.212 Char,Heading 2 Hidden Char,h2 Char,heading 2 Char,Heading 2 CCBS Char,标题 1.1 Char,Titre2 Char,2 Char"/>
    <w:next w:val="987"/>
    <w:link w:val="898"/>
    <w:rPr>
      <w:rFonts w:ascii="Arial" w:hAnsi="Arial" w:eastAsia="黑体"/>
      <w:b/>
      <w:bCs/>
      <w:sz w:val="32"/>
      <w:szCs w:val="32"/>
      <w:lang w:val="en-US" w:eastAsia="zh-CN" w:bidi="ar-SA"/>
    </w:rPr>
  </w:style>
  <w:style w:type="character" w:styleId="988">
    <w:name w:val="span21"/>
    <w:next w:val="988"/>
    <w:link w:val="898"/>
    <w:rPr>
      <w:color w:val="c00000"/>
    </w:rPr>
  </w:style>
  <w:style w:type="character" w:styleId="989">
    <w:name w:val="标准 Char Char"/>
    <w:next w:val="989"/>
    <w:link w:val="990"/>
    <w:rPr>
      <w:rFonts w:eastAsia="楷体_GB2312"/>
      <w:sz w:val="24"/>
      <w:lang w:val="en-US" w:eastAsia="zh-CN" w:bidi="ar-SA"/>
    </w:rPr>
  </w:style>
  <w:style w:type="paragraph" w:styleId="990">
    <w:name w:val="标准"/>
    <w:basedOn w:val="898"/>
    <w:next w:val="990"/>
    <w:link w:val="989"/>
    <w:pPr>
      <w:spacing w:line="240" w:lineRule="atLeast"/>
    </w:pPr>
    <w:rPr>
      <w:rFonts w:eastAsia="楷体_GB2312"/>
      <w:sz w:val="24"/>
    </w:rPr>
  </w:style>
  <w:style w:type="character" w:styleId="991">
    <w:name w:val="z-窗体顶端 Char"/>
    <w:next w:val="991"/>
    <w:link w:val="992"/>
    <w:rPr>
      <w:rFonts w:ascii="Arial" w:hAnsi="Arial" w:cs="Arial"/>
      <w:vanish/>
      <w:sz w:val="16"/>
      <w:szCs w:val="16"/>
    </w:rPr>
  </w:style>
  <w:style w:type="paragraph" w:styleId="992">
    <w:name w:val="z-窗体顶端"/>
    <w:basedOn w:val="898"/>
    <w:next w:val="898"/>
    <w:link w:val="991"/>
    <w:pPr>
      <w:jc w:val="center"/>
      <w:widowControl/>
      <w:pBdr>
        <w:bottom w:val="single" w:color="000000" w:sz="6" w:space="1"/>
      </w:pBdr>
    </w:pPr>
    <w:rPr>
      <w:rFonts w:ascii="Arial" w:hAnsi="Arial"/>
      <w:vanish/>
      <w:sz w:val="16"/>
      <w:szCs w:val="16"/>
    </w:rPr>
  </w:style>
  <w:style w:type="character" w:styleId="993">
    <w:name w:val="Char Char Char Char Char Char Char Char Char"/>
    <w:next w:val="993"/>
    <w:link w:val="994"/>
    <w:rPr>
      <w:rFonts w:ascii="Tahoma" w:hAnsi="Tahoma" w:eastAsia="宋体"/>
      <w:sz w:val="24"/>
      <w:lang w:val="en-US" w:eastAsia="zh-CN" w:bidi="ar-SA"/>
    </w:rPr>
  </w:style>
  <w:style w:type="paragraph" w:styleId="994">
    <w:name w:val="Char Char Char Char Char Char Char"/>
    <w:basedOn w:val="898"/>
    <w:next w:val="994"/>
    <w:link w:val="993"/>
    <w:pPr>
      <w:ind w:firstLine="480"/>
      <w:spacing w:line="360" w:lineRule="auto"/>
    </w:pPr>
    <w:rPr>
      <w:rFonts w:ascii="Tahoma" w:hAnsi="Tahoma"/>
      <w:sz w:val="24"/>
    </w:rPr>
  </w:style>
  <w:style w:type="character" w:styleId="995">
    <w:name w:val="porttext"/>
    <w:next w:val="995"/>
    <w:link w:val="898"/>
  </w:style>
  <w:style w:type="character" w:styleId="996">
    <w:name w:val="段落正文 Char Char"/>
    <w:next w:val="996"/>
    <w:link w:val="997"/>
    <w:rPr>
      <w:rFonts w:eastAsia="宋体"/>
      <w:sz w:val="24"/>
      <w:szCs w:val="24"/>
      <w:lang w:val="en-US" w:eastAsia="zh-CN" w:bidi="ar-SA"/>
    </w:rPr>
  </w:style>
  <w:style w:type="paragraph" w:styleId="997">
    <w:name w:val="段落正文"/>
    <w:basedOn w:val="898"/>
    <w:next w:val="997"/>
    <w:link w:val="996"/>
    <w:pPr>
      <w:ind w:firstLine="200"/>
      <w:spacing w:line="360" w:lineRule="auto"/>
    </w:pPr>
    <w:rPr>
      <w:sz w:val="24"/>
      <w:szCs w:val="24"/>
    </w:rPr>
  </w:style>
  <w:style w:type="character" w:styleId="998">
    <w:name w:val="unnamed21"/>
    <w:next w:val="998"/>
    <w:link w:val="898"/>
    <w:rPr>
      <w:color w:val="000000"/>
      <w:sz w:val="22"/>
    </w:rPr>
  </w:style>
  <w:style w:type="character" w:styleId="999">
    <w:name w:val="fs1"/>
    <w:next w:val="999"/>
    <w:link w:val="898"/>
    <w:rPr>
      <w:rFonts w:ascii="Verdana" w:hAnsi="Verdana"/>
      <w:color w:val="003366"/>
      <w:sz w:val="18"/>
      <w:u w:val="none"/>
    </w:rPr>
  </w:style>
  <w:style w:type="character" w:styleId="1000">
    <w:name w:val="nr"/>
    <w:next w:val="1000"/>
    <w:link w:val="898"/>
  </w:style>
  <w:style w:type="character" w:styleId="1001">
    <w:name w:val="profont"/>
    <w:next w:val="1001"/>
    <w:link w:val="898"/>
  </w:style>
  <w:style w:type="character" w:styleId="1002">
    <w:name w:val="msonormal"/>
    <w:next w:val="1002"/>
    <w:link w:val="898"/>
  </w:style>
  <w:style w:type="character" w:styleId="1003">
    <w:name w:val="txt1"/>
    <w:next w:val="1003"/>
    <w:link w:val="898"/>
    <w:rPr>
      <w:color w:val="000099"/>
      <w:sz w:val="20"/>
      <w:u w:val="none"/>
    </w:rPr>
  </w:style>
  <w:style w:type="character" w:styleId="1004">
    <w:name w:val="label"/>
    <w:next w:val="1004"/>
    <w:link w:val="898"/>
  </w:style>
  <w:style w:type="character" w:styleId="1005">
    <w:name w:val="cn21"/>
    <w:next w:val="1005"/>
    <w:link w:val="898"/>
    <w:rPr>
      <w:color w:val="ffffff"/>
      <w:sz w:val="18"/>
      <w:u w:val="none"/>
    </w:rPr>
  </w:style>
  <w:style w:type="character" w:styleId="1006">
    <w:name w:val="text"/>
    <w:next w:val="1006"/>
    <w:link w:val="898"/>
  </w:style>
  <w:style w:type="character" w:styleId="1007">
    <w:name w:val="标题 3 Char Char Char"/>
    <w:next w:val="1007"/>
    <w:link w:val="898"/>
    <w:rPr>
      <w:rFonts w:eastAsia="宋体"/>
      <w:b/>
      <w:color w:val="000000"/>
      <w:sz w:val="28"/>
      <w:lang w:val="en-US" w:eastAsia="zh-CN"/>
    </w:rPr>
  </w:style>
  <w:style w:type="character" w:styleId="1008">
    <w:name w:val="diy Char Char"/>
    <w:next w:val="1008"/>
    <w:link w:val="1009"/>
    <w:rPr>
      <w:rFonts w:ascii="宋体" w:hAnsi="宋体" w:eastAsia="宋体"/>
      <w:sz w:val="24"/>
      <w:lang w:val="en-US" w:eastAsia="zh-CN" w:bidi="ar-SA"/>
    </w:rPr>
  </w:style>
  <w:style w:type="paragraph" w:styleId="1009">
    <w:name w:val="diy"/>
    <w:basedOn w:val="898"/>
    <w:next w:val="1009"/>
    <w:link w:val="1008"/>
    <w:pPr>
      <w:ind w:firstLine="480"/>
      <w:spacing w:before="156" w:after="156" w:line="300" w:lineRule="auto"/>
      <w:tabs>
        <w:tab w:val="right" w:pos="9030" w:leader="middleDot"/>
      </w:tabs>
    </w:pPr>
    <w:rPr>
      <w:rFonts w:ascii="宋体" w:hAnsi="宋体"/>
      <w:sz w:val="24"/>
    </w:rPr>
  </w:style>
  <w:style w:type="character" w:styleId="1010">
    <w:name w:val="xxk_a"/>
    <w:next w:val="1010"/>
    <w:link w:val="898"/>
    <w:rPr>
      <w:rFonts w:ascii="Tahoma" w:hAnsi="Tahoma" w:eastAsia="宋体"/>
      <w:sz w:val="24"/>
      <w:szCs w:val="24"/>
      <w:lang w:val="en-US" w:eastAsia="zh-CN" w:bidi="ar-SA"/>
    </w:rPr>
  </w:style>
  <w:style w:type="character" w:styleId="1011">
    <w:name w:val="text1"/>
    <w:next w:val="1011"/>
    <w:link w:val="898"/>
    <w:rPr>
      <w:color w:val="cccccc"/>
      <w:sz w:val="18"/>
    </w:rPr>
  </w:style>
  <w:style w:type="character" w:styleId="1012">
    <w:name w:val="z-窗体底端 Char"/>
    <w:next w:val="1012"/>
    <w:link w:val="1013"/>
    <w:rPr>
      <w:rFonts w:ascii="Arial" w:hAnsi="Arial" w:cs="Arial"/>
      <w:vanish/>
      <w:sz w:val="16"/>
      <w:szCs w:val="16"/>
    </w:rPr>
  </w:style>
  <w:style w:type="paragraph" w:styleId="1013">
    <w:name w:val="z-窗体底端"/>
    <w:basedOn w:val="898"/>
    <w:next w:val="898"/>
    <w:link w:val="1012"/>
    <w:pPr>
      <w:jc w:val="center"/>
      <w:widowControl/>
      <w:pBdr>
        <w:top w:val="single" w:color="000000" w:sz="6" w:space="1"/>
      </w:pBdr>
    </w:pPr>
    <w:rPr>
      <w:rFonts w:ascii="Arial" w:hAnsi="Arial"/>
      <w:vanish/>
      <w:sz w:val="16"/>
      <w:szCs w:val="16"/>
    </w:rPr>
  </w:style>
  <w:style w:type="character" w:styleId="1014">
    <w:name w:val="DIY文本正文 Char Char"/>
    <w:next w:val="1014"/>
    <w:link w:val="1015"/>
    <w:rPr>
      <w:rFonts w:ascii="长城仿宋" w:eastAsia="宋体"/>
      <w:sz w:val="24"/>
      <w:lang w:val="en-US" w:eastAsia="zh-CN" w:bidi="ar-SA"/>
    </w:rPr>
  </w:style>
  <w:style w:type="paragraph" w:styleId="1015">
    <w:name w:val="DIY文本正文"/>
    <w:basedOn w:val="898"/>
    <w:next w:val="1015"/>
    <w:link w:val="1014"/>
    <w:pPr>
      <w:ind w:firstLine="454"/>
      <w:spacing w:line="300" w:lineRule="auto"/>
    </w:pPr>
    <w:rPr>
      <w:rFonts w:ascii="长城仿宋"/>
      <w:sz w:val="24"/>
    </w:rPr>
  </w:style>
  <w:style w:type="character" w:styleId="1016">
    <w:name w:val="body"/>
    <w:next w:val="1016"/>
    <w:link w:val="898"/>
  </w:style>
  <w:style w:type="character" w:styleId="1017">
    <w:name w:val="9font1"/>
    <w:next w:val="1017"/>
    <w:link w:val="898"/>
    <w:rPr>
      <w:rFonts w:hint="eastAsia" w:ascii="黑体" w:eastAsia="黑体"/>
      <w:color w:val="000000"/>
      <w:sz w:val="20"/>
    </w:rPr>
  </w:style>
  <w:style w:type="paragraph" w:styleId="1018">
    <w:name w:val="xl38"/>
    <w:basedOn w:val="898"/>
    <w:next w:val="1018"/>
    <w:link w:val="898"/>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019">
    <w:name w:val="版权"/>
    <w:basedOn w:val="898"/>
    <w:next w:val="1019"/>
    <w:link w:val="898"/>
    <w:pPr>
      <w:ind w:hanging="108"/>
      <w:jc w:val="center"/>
      <w:spacing w:before="120" w:line="400" w:lineRule="exact"/>
    </w:pPr>
    <w:rPr>
      <w:rFonts w:ascii="楷体_GB2312" w:hAnsi="Tahoma" w:eastAsia="楷体_GB2312"/>
      <w:b/>
      <w:sz w:val="24"/>
    </w:rPr>
  </w:style>
  <w:style w:type="paragraph" w:styleId="1020">
    <w:name w:val="标题5"/>
    <w:basedOn w:val="898"/>
    <w:next w:val="1020"/>
    <w:link w:val="898"/>
    <w:pPr>
      <w:spacing w:line="360" w:lineRule="auto"/>
    </w:pPr>
    <w:rPr>
      <w:sz w:val="24"/>
    </w:rPr>
  </w:style>
  <w:style w:type="paragraph" w:styleId="1021">
    <w:name w:val="文档正文"/>
    <w:basedOn w:val="898"/>
    <w:next w:val="1021"/>
    <w:link w:val="898"/>
    <w:pPr>
      <w:ind w:firstLine="567"/>
      <w:spacing w:line="480" w:lineRule="atLeast"/>
    </w:pPr>
    <w:rPr>
      <w:rFonts w:ascii="长城仿宋"/>
      <w:sz w:val="24"/>
    </w:rPr>
  </w:style>
  <w:style w:type="paragraph" w:styleId="1022">
    <w:name w:val="符号列表"/>
    <w:basedOn w:val="898"/>
    <w:next w:val="1022"/>
    <w:link w:val="898"/>
    <w:pPr>
      <w:jc w:val="left"/>
      <w:spacing w:line="440" w:lineRule="exact"/>
      <w:widowControl/>
    </w:pPr>
    <w:rPr>
      <w:rFonts w:ascii="宋体" w:hAnsi="宋体"/>
      <w:color w:val="000000"/>
    </w:rPr>
  </w:style>
  <w:style w:type="paragraph" w:styleId="1023">
    <w:name w:val="Txt"/>
    <w:basedOn w:val="1024"/>
    <w:next w:val="1023"/>
    <w:link w:val="898"/>
  </w:style>
  <w:style w:type="paragraph" w:styleId="1024">
    <w:name w:val="Txt."/>
    <w:basedOn w:val="902"/>
    <w:next w:val="1024"/>
    <w:link w:val="898"/>
    <w:pPr>
      <w:ind w:left="0" w:firstLine="0"/>
      <w:jc w:val="both"/>
      <w:keepLines/>
      <w:keepNext/>
      <w:spacing w:before="280" w:after="290" w:line="372" w:lineRule="auto"/>
      <w:widowControl w:val="off"/>
    </w:pPr>
    <w:rPr>
      <w:rFonts w:ascii="Arial" w:hAnsi="Arial" w:eastAsia="黑体"/>
      <w:b/>
      <w:color w:val="000000"/>
      <w:sz w:val="28"/>
      <w:u w:val="none"/>
    </w:rPr>
  </w:style>
  <w:style w:type="paragraph" w:styleId="1025">
    <w:name w:val="Table bold"/>
    <w:basedOn w:val="898"/>
    <w:next w:val="1025"/>
    <w:link w:val="898"/>
    <w:pPr>
      <w:ind w:left="420" w:hanging="420"/>
      <w:tabs>
        <w:tab w:val="left" w:pos="420" w:leader="none"/>
      </w:tabs>
    </w:pPr>
    <w:rPr>
      <w:rFonts w:ascii="宋体" w:hAnsi="宋体"/>
      <w:b/>
      <w:sz w:val="28"/>
    </w:rPr>
  </w:style>
  <w:style w:type="paragraph" w:styleId="1026">
    <w:name w:val="表格正文"/>
    <w:basedOn w:val="898"/>
    <w:next w:val="1026"/>
    <w:link w:val="898"/>
    <w:pPr>
      <w:ind w:hanging="108"/>
      <w:jc w:val="center"/>
      <w:spacing w:before="60" w:after="60" w:line="360" w:lineRule="auto"/>
      <w:widowControl/>
    </w:pPr>
    <w:rPr>
      <w:rFonts w:ascii="宋体" w:hAnsi="宋体"/>
      <w:color w:val="ff0000"/>
    </w:rPr>
  </w:style>
  <w:style w:type="paragraph" w:styleId="1027">
    <w:name w:val="xl30"/>
    <w:basedOn w:val="898"/>
    <w:next w:val="1027"/>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28">
    <w:name w:val="样式 图表 + 段后: 1 行"/>
    <w:basedOn w:val="898"/>
    <w:next w:val="1028"/>
    <w:link w:val="898"/>
    <w:pPr>
      <w:jc w:val="center"/>
      <w:keepNext/>
      <w:spacing w:after="312"/>
    </w:pPr>
    <w:rPr>
      <w:rFonts w:ascii="Arial" w:hAnsi="Arial"/>
      <w:b/>
      <w:color w:val="333333"/>
      <w:sz w:val="24"/>
    </w:rPr>
  </w:style>
  <w:style w:type="paragraph" w:styleId="1029">
    <w:name w:val="_Style 30"/>
    <w:basedOn w:val="898"/>
    <w:next w:val="941"/>
    <w:link w:val="898"/>
    <w:rPr>
      <w:rFonts w:ascii="宋体" w:hAnsi="Courier New"/>
    </w:rPr>
  </w:style>
  <w:style w:type="paragraph" w:styleId="1030">
    <w:name w:val="title1"/>
    <w:basedOn w:val="898"/>
    <w:next w:val="1030"/>
    <w:link w:val="898"/>
    <w:pPr>
      <w:numPr>
        <w:ilvl w:val="0"/>
        <w:numId w:val="5"/>
      </w:numPr>
      <w:ind w:left="960" w:hanging="240"/>
      <w:jc w:val="left"/>
      <w:tabs>
        <w:tab w:val="left" w:pos="719" w:leader="none"/>
      </w:tabs>
    </w:pPr>
    <w:rPr>
      <w:rFonts w:ascii="Wingdings" w:hAnsi="Wingdings" w:eastAsia="PMingLiU"/>
      <w:b/>
      <w:sz w:val="24"/>
      <w:lang w:eastAsia="zh-TW"/>
    </w:rPr>
  </w:style>
  <w:style w:type="paragraph" w:styleId="1031">
    <w:name w:val=" Char Char Char Char Char Char Char Char Char Char Char Char Char Char Char Char"/>
    <w:basedOn w:val="898"/>
    <w:next w:val="1031"/>
    <w:link w:val="898"/>
    <w:rPr>
      <w:rFonts w:ascii="Tahoma" w:hAnsi="Tahoma" w:eastAsia="仿宋_GB2312"/>
      <w:color w:val="000000"/>
      <w:sz w:val="24"/>
    </w:rPr>
  </w:style>
  <w:style w:type="paragraph" w:styleId="1032">
    <w:name w:val="biaoge1"/>
    <w:basedOn w:val="898"/>
    <w:next w:val="1032"/>
    <w:link w:val="898"/>
    <w:pPr>
      <w:jc w:val="left"/>
      <w:spacing w:before="100" w:beforeAutospacing="1" w:after="100" w:afterAutospacing="1" w:line="375" w:lineRule="atLeast"/>
      <w:widowControl/>
    </w:pPr>
    <w:rPr>
      <w:rFonts w:ascii="宋体" w:hAnsi="宋体" w:cs="宋体"/>
      <w:color w:val="000000"/>
      <w:sz w:val="20"/>
    </w:rPr>
  </w:style>
  <w:style w:type="paragraph" w:styleId="1033">
    <w:name w:val="Char Char"/>
    <w:basedOn w:val="926"/>
    <w:next w:val="1033"/>
    <w:link w:val="898"/>
    <w:pPr>
      <w:ind w:left="425" w:hanging="425"/>
      <w:tabs>
        <w:tab w:val="left" w:pos="425" w:leader="none"/>
      </w:tabs>
    </w:pPr>
    <w:rPr>
      <w:rFonts w:ascii="Tahoma" w:hAnsi="Tahoma"/>
      <w:sz w:val="24"/>
      <w:szCs w:val="24"/>
    </w:rPr>
  </w:style>
  <w:style w:type="paragraph" w:styleId="1034">
    <w:name w:val="xl32"/>
    <w:basedOn w:val="898"/>
    <w:next w:val="103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35">
    <w:name w:val="font7"/>
    <w:basedOn w:val="898"/>
    <w:next w:val="1035"/>
    <w:link w:val="898"/>
    <w:pPr>
      <w:jc w:val="left"/>
      <w:spacing w:before="100" w:beforeAutospacing="1" w:after="100" w:afterAutospacing="1"/>
      <w:widowControl/>
    </w:pPr>
    <w:rPr>
      <w:rFonts w:ascii="Verdana" w:hAnsi="Verdana"/>
      <w:sz w:val="20"/>
    </w:rPr>
  </w:style>
  <w:style w:type="paragraph" w:styleId="1036">
    <w:name w:val="表格"/>
    <w:basedOn w:val="898"/>
    <w:next w:val="1036"/>
    <w:link w:val="898"/>
    <w:pPr>
      <w:ind w:firstLine="42"/>
    </w:pPr>
    <w:rPr>
      <w:rFonts w:ascii="宋体" w:hAnsi="宋体"/>
      <w:sz w:val="20"/>
    </w:rPr>
  </w:style>
  <w:style w:type="paragraph" w:styleId="1037">
    <w:name w:val="word2"/>
    <w:basedOn w:val="898"/>
    <w:next w:val="1037"/>
    <w:link w:val="898"/>
    <w:pPr>
      <w:jc w:val="left"/>
      <w:spacing w:before="100" w:beforeAutospacing="1" w:after="100" w:afterAutospacing="1" w:line="348" w:lineRule="atLeast"/>
      <w:widowControl/>
    </w:pPr>
    <w:rPr>
      <w:rFonts w:ascii="宋体" w:hAnsi="宋体"/>
    </w:rPr>
  </w:style>
  <w:style w:type="paragraph" w:styleId="1038">
    <w:name w:val="标书1"/>
    <w:basedOn w:val="898"/>
    <w:next w:val="1038"/>
    <w:link w:val="898"/>
    <w:pPr>
      <w:ind w:firstLine="200"/>
      <w:spacing w:line="360" w:lineRule="auto"/>
    </w:pPr>
    <w:rPr>
      <w:sz w:val="24"/>
    </w:rPr>
  </w:style>
  <w:style w:type="paragraph" w:styleId="1039">
    <w:name w:val="标书正文格式"/>
    <w:next w:val="1039"/>
    <w:link w:val="898"/>
    <w:pPr>
      <w:ind w:firstLine="200"/>
      <w:spacing w:line="360" w:lineRule="auto"/>
    </w:pPr>
    <w:rPr>
      <w:rFonts w:eastAsia="仿宋_GB2312"/>
      <w:sz w:val="28"/>
      <w:lang w:val="en-US" w:eastAsia="zh-CN" w:bidi="ar-SA"/>
    </w:rPr>
  </w:style>
  <w:style w:type="paragraph" w:styleId="1040">
    <w:name w:val="_Style 31"/>
    <w:basedOn w:val="898"/>
    <w:next w:val="941"/>
    <w:link w:val="898"/>
    <w:rPr>
      <w:rFonts w:ascii="宋体" w:hAnsi="Courier New"/>
    </w:rPr>
  </w:style>
  <w:style w:type="paragraph" w:styleId="1041">
    <w:name w:val=" Char Char Char"/>
    <w:basedOn w:val="898"/>
    <w:next w:val="1041"/>
    <w:link w:val="898"/>
    <w:rPr>
      <w:rFonts w:ascii="Tahoma" w:hAnsi="Tahoma"/>
      <w:sz w:val="24"/>
    </w:rPr>
  </w:style>
  <w:style w:type="paragraph" w:styleId="1042">
    <w:name w:val="正文格式"/>
    <w:basedOn w:val="898"/>
    <w:next w:val="1042"/>
    <w:link w:val="898"/>
    <w:rPr>
      <w:spacing w:val="20"/>
      <w:sz w:val="24"/>
      <w:szCs w:val="24"/>
    </w:rPr>
  </w:style>
  <w:style w:type="paragraph" w:styleId="1043">
    <w:name w:val=" Char Char1 Char Char Char Char Char Char Char"/>
    <w:basedOn w:val="898"/>
    <w:next w:val="1043"/>
    <w:link w:val="898"/>
    <w:rPr>
      <w:rFonts w:ascii="Tahoma" w:hAnsi="Tahoma"/>
      <w:sz w:val="24"/>
    </w:rPr>
  </w:style>
  <w:style w:type="paragraph" w:styleId="1044">
    <w:name w:val="正文文字1"/>
    <w:basedOn w:val="933"/>
    <w:next w:val="1044"/>
    <w:link w:val="898"/>
    <w:pPr>
      <w:ind w:firstLine="560"/>
      <w:spacing w:before="156" w:after="156" w:line="360" w:lineRule="auto"/>
    </w:pPr>
    <w:rPr>
      <w:rFonts w:ascii="Arial" w:hAnsi="宋体"/>
      <w:sz w:val="24"/>
    </w:rPr>
  </w:style>
  <w:style w:type="paragraph" w:styleId="1045">
    <w:name w:val="Char Char Char Char"/>
    <w:basedOn w:val="926"/>
    <w:next w:val="1045"/>
    <w:link w:val="898"/>
    <w:pPr>
      <w:spacing w:line="360" w:lineRule="auto"/>
    </w:pPr>
    <w:rPr>
      <w:rFonts w:ascii="Tahoma" w:hAnsi="Tahoma"/>
      <w:sz w:val="24"/>
      <w:szCs w:val="24"/>
    </w:rPr>
  </w:style>
  <w:style w:type="paragraph" w:styleId="1046">
    <w:name w:val="_Style 27"/>
    <w:basedOn w:val="898"/>
    <w:next w:val="941"/>
    <w:link w:val="898"/>
    <w:rPr>
      <w:rFonts w:ascii="宋体" w:hAnsi="Courier New"/>
    </w:rPr>
  </w:style>
  <w:style w:type="paragraph" w:styleId="1047">
    <w:name w:val="卜"/>
    <w:basedOn w:val="898"/>
    <w:next w:val="1047"/>
    <w:link w:val="898"/>
    <w:pPr>
      <w:spacing w:line="480" w:lineRule="exact"/>
    </w:pPr>
    <w:rPr>
      <w:b/>
      <w:sz w:val="24"/>
    </w:rPr>
  </w:style>
  <w:style w:type="paragraph" w:styleId="1048">
    <w:name w:val="目录1"/>
    <w:basedOn w:val="898"/>
    <w:next w:val="1048"/>
    <w:link w:val="898"/>
    <w:pPr>
      <w:jc w:val="left"/>
      <w:spacing w:after="136" w:line="289" w:lineRule="atLeast"/>
      <w:widowControl/>
      <w:tabs>
        <w:tab w:val="left" w:pos="8503" w:leader="dot"/>
      </w:tabs>
    </w:pPr>
    <w:rPr>
      <w:rFonts w:ascii="Arial" w:eastAsia="黑体"/>
      <w:color w:val="000000"/>
      <w:sz w:val="28"/>
    </w:rPr>
  </w:style>
  <w:style w:type="paragraph" w:styleId="1049">
    <w:name w:val="table"/>
    <w:basedOn w:val="898"/>
    <w:next w:val="1049"/>
    <w:link w:val="898"/>
    <w:pPr>
      <w:jc w:val="left"/>
      <w:spacing w:before="100" w:beforeAutospacing="1" w:after="100" w:afterAutospacing="1"/>
      <w:widowControl/>
    </w:pPr>
    <w:rPr>
      <w:rFonts w:ascii="宋体" w:hAnsi="宋体"/>
      <w:sz w:val="24"/>
    </w:rPr>
  </w:style>
  <w:style w:type="paragraph" w:styleId="1050">
    <w:name w:val="样式7"/>
    <w:basedOn w:val="898"/>
    <w:next w:val="1050"/>
    <w:link w:val="898"/>
    <w:pPr>
      <w:ind w:firstLine="601"/>
      <w:spacing w:line="440" w:lineRule="atLeast"/>
    </w:pPr>
    <w:rPr>
      <w:rFonts w:ascii="宋体"/>
      <w:sz w:val="24"/>
    </w:rPr>
  </w:style>
  <w:style w:type="paragraph" w:styleId="1051">
    <w:name w:val="表格栏头"/>
    <w:basedOn w:val="1026"/>
    <w:next w:val="1026"/>
    <w:link w:val="898"/>
    <w:rPr>
      <w:b/>
    </w:rPr>
  </w:style>
  <w:style w:type="paragraph" w:styleId="1052">
    <w:name w:val="表正文"/>
    <w:basedOn w:val="898"/>
    <w:next w:val="898"/>
    <w:link w:val="898"/>
    <w:rPr>
      <w:sz w:val="24"/>
    </w:rPr>
  </w:style>
  <w:style w:type="paragraph" w:styleId="1053">
    <w:name w:val="声明文字"/>
    <w:basedOn w:val="898"/>
    <w:next w:val="1053"/>
    <w:link w:val="898"/>
    <w:pPr>
      <w:ind w:hanging="108"/>
      <w:spacing w:before="60" w:after="240" w:line="400" w:lineRule="exact"/>
      <w:widowControl/>
    </w:pPr>
    <w:rPr>
      <w:rFonts w:eastAsia="楷体_GB2312"/>
      <w:sz w:val="24"/>
    </w:rPr>
  </w:style>
  <w:style w:type="paragraph" w:styleId="1054">
    <w:name w:val="Table Text"/>
    <w:basedOn w:val="898"/>
    <w:next w:val="898"/>
    <w:link w:val="898"/>
    <w:pPr>
      <w:jc w:val="left"/>
      <w:keepNext/>
      <w:spacing w:before="40" w:after="40"/>
      <w:widowControl/>
    </w:pPr>
    <w:rPr>
      <w:rFonts w:ascii="Arial" w:hAnsi="Arial" w:eastAsia="PMingLiU"/>
      <w:sz w:val="18"/>
    </w:rPr>
  </w:style>
  <w:style w:type="paragraph" w:styleId="1055">
    <w:name w:val="xl36"/>
    <w:basedOn w:val="898"/>
    <w:next w:val="1055"/>
    <w:link w:val="898"/>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56">
    <w:name w:val="xl35"/>
    <w:basedOn w:val="898"/>
    <w:next w:val="1056"/>
    <w:link w:val="898"/>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057">
    <w:name w:val=" Char Char Char Char"/>
    <w:basedOn w:val="898"/>
    <w:next w:val="1057"/>
    <w:link w:val="898"/>
    <w:pPr>
      <w:spacing w:line="360" w:lineRule="atLeast"/>
    </w:pPr>
  </w:style>
  <w:style w:type="paragraph" w:styleId="1058">
    <w:name w:val="标题3"/>
    <w:basedOn w:val="898"/>
    <w:next w:val="1058"/>
    <w:link w:val="898"/>
    <w:pPr>
      <w:spacing w:before="78" w:after="78" w:line="300" w:lineRule="auto"/>
    </w:pPr>
    <w:rPr>
      <w:rFonts w:ascii="宋体" w:hAnsi="宋体"/>
      <w:b/>
      <w:sz w:val="28"/>
    </w:rPr>
  </w:style>
  <w:style w:type="paragraph" w:styleId="1059">
    <w:name w:val="样式1"/>
    <w:basedOn w:val="898"/>
    <w:next w:val="899"/>
    <w:link w:val="898"/>
    <w:pPr>
      <w:jc w:val="center"/>
    </w:pPr>
    <w:rPr>
      <w:rFonts w:ascii="Arial" w:hAnsi="Arial"/>
      <w:sz w:val="24"/>
    </w:rPr>
  </w:style>
  <w:style w:type="paragraph" w:styleId="1060">
    <w:name w:val="font5"/>
    <w:basedOn w:val="898"/>
    <w:next w:val="1060"/>
    <w:link w:val="898"/>
    <w:pPr>
      <w:jc w:val="left"/>
      <w:spacing w:before="100" w:beforeAutospacing="1" w:after="100" w:afterAutospacing="1"/>
      <w:widowControl/>
    </w:pPr>
    <w:rPr>
      <w:rFonts w:hint="eastAsia" w:ascii="宋体" w:hAnsi="宋体"/>
      <w:sz w:val="18"/>
    </w:rPr>
  </w:style>
  <w:style w:type="paragraph" w:styleId="1061">
    <w:name w:val=" Char1"/>
    <w:basedOn w:val="898"/>
    <w:next w:val="1061"/>
    <w:link w:val="898"/>
    <w:pPr>
      <w:numPr>
        <w:ilvl w:val="0"/>
        <w:numId w:val="1"/>
      </w:numPr>
      <w:tabs>
        <w:tab w:val="left" w:pos="381" w:leader="none"/>
      </w:tabs>
    </w:pPr>
    <w:rPr>
      <w:sz w:val="24"/>
      <w:szCs w:val="24"/>
    </w:rPr>
  </w:style>
  <w:style w:type="paragraph" w:styleId="1062">
    <w:name w:val="xl25"/>
    <w:basedOn w:val="898"/>
    <w:next w:val="1062"/>
    <w:link w:val="89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063">
    <w:name w:val="列表内容"/>
    <w:basedOn w:val="898"/>
    <w:next w:val="898"/>
    <w:link w:val="898"/>
    <w:pPr>
      <w:numPr>
        <w:ilvl w:val="0"/>
        <w:numId w:val="6"/>
      </w:numPr>
      <w:ind w:left="0" w:firstLine="200"/>
      <w:jc w:val="left"/>
      <w:widowControl/>
      <w:tabs>
        <w:tab w:val="left" w:pos="840" w:leader="none"/>
      </w:tabs>
    </w:pPr>
    <w:rPr>
      <w:sz w:val="18"/>
    </w:rPr>
  </w:style>
  <w:style w:type="paragraph" w:styleId="1064">
    <w:name w:val="Plain Text"/>
    <w:basedOn w:val="898"/>
    <w:next w:val="1064"/>
    <w:link w:val="898"/>
    <w:rPr>
      <w:rFonts w:ascii="宋体" w:hAnsi="Courier New" w:eastAsia="楷体_GB2312"/>
      <w:sz w:val="26"/>
    </w:rPr>
  </w:style>
  <w:style w:type="paragraph" w:styleId="1065">
    <w:name w:val="List Bullet 1"/>
    <w:basedOn w:val="901"/>
    <w:next w:val="1065"/>
    <w:link w:val="898"/>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066">
    <w:name w:val="xl39"/>
    <w:basedOn w:val="898"/>
    <w:next w:val="1066"/>
    <w:link w:val="89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067">
    <w:name w:val="新正文"/>
    <w:basedOn w:val="898"/>
    <w:next w:val="1067"/>
    <w:link w:val="898"/>
    <w:pPr>
      <w:ind w:firstLine="510"/>
      <w:spacing w:line="360" w:lineRule="auto"/>
    </w:pPr>
    <w:rPr>
      <w:rFonts w:eastAsia="仿宋_GB2312"/>
      <w:sz w:val="24"/>
    </w:rPr>
  </w:style>
  <w:style w:type="paragraph" w:styleId="1068">
    <w:name w:val="SRS标题2"/>
    <w:basedOn w:val="898"/>
    <w:next w:val="1068"/>
    <w:link w:val="898"/>
    <w:pPr>
      <w:ind w:left="431" w:hanging="431"/>
      <w:jc w:val="left"/>
      <w:spacing w:before="312"/>
      <w:widowControl/>
      <w:tabs>
        <w:tab w:val="left" w:pos="720" w:leader="none"/>
      </w:tabs>
      <w:outlineLvl w:val="1"/>
    </w:pPr>
    <w:rPr>
      <w:b/>
      <w:sz w:val="28"/>
    </w:rPr>
  </w:style>
  <w:style w:type="paragraph" w:styleId="1069">
    <w:name w:val="xl31"/>
    <w:basedOn w:val="898"/>
    <w:next w:val="1069"/>
    <w:link w:val="89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70">
    <w:name w:val="样式 标题 3H3Titre33heading 3Heading 3 - oldH31H32H33H34H3..."/>
    <w:basedOn w:val="901"/>
    <w:next w:val="1070"/>
    <w:link w:val="898"/>
    <w:pPr>
      <w:spacing w:before="0" w:after="0" w:line="480" w:lineRule="auto"/>
    </w:pPr>
    <w:rPr>
      <w:rFonts w:eastAsia="楷体_GB2312"/>
      <w:bCs/>
      <w:color w:val="99cc00"/>
      <w:szCs w:val="32"/>
    </w:rPr>
  </w:style>
  <w:style w:type="paragraph" w:styleId="1071">
    <w:name w:val="规范正文"/>
    <w:basedOn w:val="898"/>
    <w:next w:val="1071"/>
    <w:link w:val="898"/>
    <w:pPr>
      <w:ind w:left="480"/>
      <w:spacing w:line="360" w:lineRule="auto"/>
    </w:pPr>
    <w:rPr>
      <w:sz w:val="24"/>
    </w:rPr>
  </w:style>
  <w:style w:type="paragraph" w:styleId="1072">
    <w:name w:val="项目符号2"/>
    <w:basedOn w:val="898"/>
    <w:next w:val="1072"/>
    <w:link w:val="898"/>
    <w:pPr>
      <w:spacing w:line="360" w:lineRule="auto"/>
    </w:pPr>
    <w:rPr>
      <w:sz w:val="24"/>
    </w:rPr>
  </w:style>
  <w:style w:type="paragraph" w:styleId="1073">
    <w:name w:val="xl41"/>
    <w:basedOn w:val="898"/>
    <w:next w:val="1073"/>
    <w:link w:val="898"/>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74">
    <w:name w:val="xl28"/>
    <w:basedOn w:val="898"/>
    <w:next w:val="107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75">
    <w:name w:val="xl27"/>
    <w:basedOn w:val="898"/>
    <w:next w:val="1075"/>
    <w:link w:val="89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76">
    <w:name w:val="接續本文"/>
    <w:basedOn w:val="933"/>
    <w:next w:val="1076"/>
    <w:link w:val="898"/>
    <w:pPr>
      <w:ind w:left="1080"/>
      <w:keepNext/>
      <w:spacing w:after="240" w:line="240" w:lineRule="atLeast"/>
      <w:widowControl/>
    </w:pPr>
    <w:rPr>
      <w:rFonts w:ascii="Arial" w:hAnsi="Arial" w:eastAsia="PMingLiU"/>
      <w:spacing w:val="-5"/>
      <w:sz w:val="20"/>
      <w:lang w:eastAsia="zh-TW" w:bidi="he-IL"/>
    </w:rPr>
  </w:style>
  <w:style w:type="paragraph" w:styleId="1077">
    <w:name w:val="样式 标题 2H2sect 1.2H21sect 1.21H22sect 1.22H211sect 1.211...2"/>
    <w:basedOn w:val="900"/>
    <w:next w:val="1077"/>
    <w:link w:val="898"/>
    <w:pPr>
      <w:numPr>
        <w:ilvl w:val="0"/>
        <w:numId w:val="0"/>
      </w:numPr>
      <w:keepLines/>
      <w:spacing w:before="260" w:after="260" w:line="413" w:lineRule="auto"/>
      <w:tabs>
        <w:tab w:val="left" w:pos="420" w:leader="none"/>
      </w:tabs>
    </w:pPr>
    <w:rPr>
      <w:bCs/>
      <w:color w:val="99cc00"/>
      <w:sz w:val="36"/>
      <w:szCs w:val="36"/>
    </w:rPr>
  </w:style>
  <w:style w:type="paragraph" w:styleId="1078">
    <w:name w:val="xl37"/>
    <w:basedOn w:val="898"/>
    <w:next w:val="1078"/>
    <w:link w:val="898"/>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79">
    <w:name w:val="Figure-1"/>
    <w:next w:val="1079"/>
    <w:link w:val="898"/>
    <w:pPr>
      <w:ind w:left="1304"/>
      <w:spacing w:after="156"/>
    </w:pPr>
    <w:rPr>
      <w:rFonts w:ascii="Arial" w:hAnsi="Arial"/>
      <w:color w:val="000000"/>
      <w:lang w:val="zh-CN" w:eastAsia="zh-CN" w:bidi="ar-SA"/>
    </w:rPr>
  </w:style>
  <w:style w:type="paragraph" w:styleId="1080">
    <w:name w:val="style29 style28"/>
    <w:basedOn w:val="898"/>
    <w:next w:val="1080"/>
    <w:link w:val="898"/>
    <w:pPr>
      <w:jc w:val="left"/>
      <w:spacing w:before="100" w:beforeAutospacing="1" w:after="100" w:afterAutospacing="1"/>
      <w:widowControl/>
    </w:pPr>
    <w:rPr>
      <w:rFonts w:ascii="宋体" w:hAnsi="宋体"/>
      <w:sz w:val="24"/>
      <w:szCs w:val="24"/>
    </w:rPr>
  </w:style>
  <w:style w:type="paragraph" w:styleId="1081">
    <w:name w:val=" Char Char1"/>
    <w:basedOn w:val="898"/>
    <w:next w:val="1081"/>
    <w:link w:val="898"/>
    <w:pPr>
      <w:jc w:val="left"/>
      <w:spacing w:after="160" w:line="240" w:lineRule="exact"/>
      <w:widowControl/>
    </w:pPr>
    <w:rPr>
      <w:sz w:val="24"/>
      <w:szCs w:val="24"/>
    </w:rPr>
  </w:style>
  <w:style w:type="paragraph" w:styleId="1082">
    <w:name w:val="xl34"/>
    <w:basedOn w:val="898"/>
    <w:next w:val="1082"/>
    <w:link w:val="89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083">
    <w:name w:val="小标题"/>
    <w:basedOn w:val="898"/>
    <w:next w:val="1083"/>
    <w:link w:val="898"/>
    <w:pPr>
      <w:spacing w:line="360" w:lineRule="auto"/>
    </w:pPr>
    <w:rPr>
      <w:rFonts w:ascii="宋体" w:hAnsi="Arial"/>
      <w:b/>
    </w:rPr>
  </w:style>
  <w:style w:type="paragraph" w:styleId="1084">
    <w:name w:val="Í¼ºÅ"/>
    <w:basedOn w:val="898"/>
    <w:next w:val="1084"/>
    <w:link w:val="898"/>
    <w:pPr>
      <w:jc w:val="center"/>
      <w:spacing w:after="210"/>
      <w:widowControl/>
    </w:pPr>
    <w:rPr>
      <w:rFonts w:ascii="宋体"/>
    </w:rPr>
  </w:style>
  <w:style w:type="paragraph" w:styleId="1085">
    <w:name w:val="样式 标题 2H2sect 1.2H21sect 1.21H22sect 1.22H211sect 1.211..."/>
    <w:basedOn w:val="900"/>
    <w:next w:val="1085"/>
    <w:link w:val="898"/>
    <w:pPr>
      <w:numPr>
        <w:ilvl w:val="0"/>
        <w:numId w:val="0"/>
      </w:numPr>
      <w:keepLines/>
      <w:spacing w:before="260" w:after="260" w:line="360" w:lineRule="auto"/>
      <w:tabs>
        <w:tab w:val="left" w:pos="420" w:leader="none"/>
      </w:tabs>
    </w:pPr>
    <w:rPr>
      <w:rFonts w:cs="宋体"/>
      <w:bCs/>
      <w:color w:val="99cc00"/>
      <w:sz w:val="36"/>
    </w:rPr>
  </w:style>
  <w:style w:type="paragraph" w:styleId="1086">
    <w:name w:val="xl33"/>
    <w:basedOn w:val="898"/>
    <w:next w:val="1086"/>
    <w:link w:val="898"/>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087">
    <w:name w:val="正文首行缩进2字"/>
    <w:basedOn w:val="898"/>
    <w:next w:val="1087"/>
    <w:link w:val="898"/>
    <w:pPr>
      <w:ind w:firstLine="567"/>
      <w:spacing w:before="100" w:beforeAutospacing="1" w:after="100" w:afterAutospacing="1"/>
    </w:pPr>
    <w:rPr>
      <w:rFonts w:eastAsia="楷体_GB2312"/>
      <w:sz w:val="28"/>
    </w:rPr>
  </w:style>
  <w:style w:type="paragraph" w:styleId="1088">
    <w:name w:val="Cap_表头文字1"/>
    <w:next w:val="1088"/>
    <w:link w:val="898"/>
    <w:pPr>
      <w:jc w:val="center"/>
      <w:keepLines/>
      <w:keepNext/>
    </w:pPr>
    <w:rPr>
      <w:rFonts w:ascii="Arial Bold" w:hAnsi="Arial Bold" w:cs="Arial"/>
      <w:b/>
      <w:spacing w:val="10"/>
      <w:sz w:val="18"/>
      <w:szCs w:val="24"/>
      <w:lang w:val="en-US" w:eastAsia="en-US" w:bidi="ar-SA"/>
    </w:rPr>
  </w:style>
  <w:style w:type="paragraph" w:styleId="1089">
    <w:name w:val="信息标题2"/>
    <w:basedOn w:val="924"/>
    <w:next w:val="924"/>
    <w:link w:val="898"/>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90">
    <w:name w:val=" Char"/>
    <w:basedOn w:val="898"/>
    <w:next w:val="1090"/>
    <w:link w:val="898"/>
    <w:pPr>
      <w:numPr>
        <w:ilvl w:val="0"/>
        <w:numId w:val="1"/>
      </w:numPr>
      <w:tabs>
        <w:tab w:val="left" w:pos="381" w:leader="none"/>
      </w:tabs>
    </w:pPr>
    <w:rPr>
      <w:sz w:val="24"/>
      <w:szCs w:val="24"/>
    </w:rPr>
  </w:style>
  <w:style w:type="paragraph" w:styleId="1091">
    <w:name w:val="Command"/>
    <w:next w:val="1091"/>
    <w:link w:val="898"/>
    <w:pPr>
      <w:spacing w:before="160" w:after="160"/>
    </w:pPr>
    <w:rPr>
      <w:rFonts w:ascii="Arial" w:hAnsi="Arial" w:eastAsia="黑体"/>
      <w:sz w:val="21"/>
      <w:lang w:val="en-US" w:eastAsia="zh-CN" w:bidi="ar-SA"/>
    </w:rPr>
  </w:style>
  <w:style w:type="paragraph" w:styleId="1092">
    <w:name w:val="xl40"/>
    <w:basedOn w:val="898"/>
    <w:next w:val="1092"/>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93">
    <w:name w:val="font6"/>
    <w:basedOn w:val="898"/>
    <w:next w:val="1093"/>
    <w:link w:val="898"/>
    <w:pPr>
      <w:jc w:val="left"/>
      <w:spacing w:before="100" w:beforeAutospacing="1" w:after="100" w:afterAutospacing="1"/>
      <w:widowControl/>
    </w:pPr>
    <w:rPr>
      <w:rFonts w:hint="eastAsia" w:ascii="宋体" w:hAnsi="宋体"/>
      <w:sz w:val="20"/>
    </w:rPr>
  </w:style>
  <w:style w:type="paragraph" w:styleId="1094">
    <w:name w:val="dit"/>
    <w:basedOn w:val="902"/>
    <w:next w:val="1094"/>
    <w:link w:val="898"/>
    <w:pPr>
      <w:ind w:left="0" w:firstLine="0"/>
      <w:jc w:val="both"/>
      <w:keepLines/>
      <w:keepNext/>
      <w:spacing w:before="0" w:after="0" w:line="300" w:lineRule="auto"/>
      <w:widowControl w:val="off"/>
    </w:pPr>
    <w:rPr>
      <w:b/>
      <w:color w:val="000000"/>
      <w:u w:val="none"/>
    </w:rPr>
  </w:style>
  <w:style w:type="paragraph" w:styleId="1095">
    <w:name w:val="标题1"/>
    <w:basedOn w:val="901"/>
    <w:next w:val="1095"/>
    <w:link w:val="898"/>
    <w:pPr>
      <w:jc w:val="center"/>
      <w:spacing w:before="78" w:after="78" w:line="300" w:lineRule="auto"/>
    </w:pPr>
    <w:rPr>
      <w:rFonts w:ascii="宋体" w:hAnsi="宋体"/>
      <w:sz w:val="44"/>
    </w:rPr>
  </w:style>
  <w:style w:type="paragraph" w:styleId="1096">
    <w:name w:val="声明标题"/>
    <w:basedOn w:val="898"/>
    <w:next w:val="1096"/>
    <w:link w:val="898"/>
    <w:pPr>
      <w:ind w:hanging="108"/>
      <w:jc w:val="left"/>
      <w:spacing w:before="1680" w:after="600" w:line="400" w:lineRule="exact"/>
      <w:widowControl/>
    </w:pPr>
    <w:rPr>
      <w:rFonts w:ascii="Arial" w:hAnsi="Arial" w:eastAsia="黑体"/>
      <w:b/>
      <w:sz w:val="36"/>
    </w:rPr>
  </w:style>
  <w:style w:type="paragraph" w:styleId="1097">
    <w:name w:val="样式SZA"/>
    <w:basedOn w:val="933"/>
    <w:next w:val="1097"/>
    <w:link w:val="898"/>
    <w:pPr>
      <w:numPr>
        <w:ilvl w:val="0"/>
        <w:numId w:val="7"/>
      </w:numPr>
      <w:jc w:val="left"/>
      <w:spacing w:after="220" w:line="220" w:lineRule="atLeast"/>
      <w:widowControl/>
      <w:tabs>
        <w:tab w:val="left" w:pos="660" w:leader="none"/>
      </w:tabs>
    </w:pPr>
  </w:style>
  <w:style w:type="paragraph" w:styleId="1098">
    <w:name w:val="xl43"/>
    <w:basedOn w:val="898"/>
    <w:next w:val="1098"/>
    <w:link w:val="898"/>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99">
    <w:name w:val="H2]"/>
    <w:basedOn w:val="899"/>
    <w:next w:val="1099"/>
    <w:link w:val="898"/>
    <w:pPr>
      <w:numPr>
        <w:ilvl w:val="0"/>
        <w:numId w:val="0"/>
      </w:numPr>
      <w:jc w:val="both"/>
      <w:keepLines/>
      <w:spacing w:before="340" w:after="330" w:line="576" w:lineRule="auto"/>
      <w:tabs>
        <w:tab w:val="left" w:pos="405" w:leader="none"/>
      </w:tabs>
    </w:pPr>
    <w:rPr>
      <w:b/>
      <w:sz w:val="36"/>
    </w:rPr>
  </w:style>
  <w:style w:type="paragraph" w:styleId="1100">
    <w:name w:val="def正文"/>
    <w:basedOn w:val="933"/>
    <w:next w:val="1100"/>
    <w:link w:val="898"/>
    <w:pPr>
      <w:ind w:firstLine="482"/>
      <w:spacing w:after="0" w:line="360" w:lineRule="auto"/>
      <w:widowControl/>
    </w:pPr>
    <w:rPr>
      <w:rFonts w:ascii="宋体" w:hAnsi="宋体"/>
      <w:b/>
      <w:sz w:val="24"/>
      <w:szCs w:val="24"/>
    </w:rPr>
  </w:style>
  <w:style w:type="paragraph" w:styleId="1101">
    <w:name w:val="Normal 12 after"/>
    <w:basedOn w:val="898"/>
    <w:next w:val="1101"/>
    <w:link w:val="898"/>
    <w:pPr>
      <w:ind w:left="720"/>
      <w:spacing w:after="120"/>
      <w:widowControl/>
    </w:pPr>
    <w:rPr>
      <w:rFonts w:ascii="Century Schoolbook" w:hAnsi="Century Schoolbook"/>
      <w:color w:val="000000"/>
      <w:sz w:val="20"/>
    </w:rPr>
  </w:style>
  <w:style w:type="paragraph" w:styleId="1102">
    <w:name w:val="BodyText1"/>
    <w:basedOn w:val="898"/>
    <w:next w:val="1102"/>
    <w:link w:val="898"/>
    <w:pPr>
      <w:spacing w:before="120" w:after="120" w:line="360" w:lineRule="auto"/>
      <w:widowControl/>
    </w:pPr>
    <w:rPr>
      <w:rFonts w:ascii="宋体"/>
      <w:sz w:val="28"/>
    </w:rPr>
  </w:style>
  <w:style w:type="paragraph" w:styleId="1103">
    <w:name w:val="table text"/>
    <w:basedOn w:val="898"/>
    <w:next w:val="1103"/>
    <w:link w:val="898"/>
    <w:pPr>
      <w:jc w:val="left"/>
      <w:spacing w:before="40" w:after="40" w:line="240" w:lineRule="atLeast"/>
      <w:widowControl/>
    </w:pPr>
    <w:rPr>
      <w:color w:val="000000"/>
      <w:sz w:val="20"/>
    </w:rPr>
  </w:style>
  <w:style w:type="paragraph" w:styleId="1104">
    <w:name w:val="xl42"/>
    <w:basedOn w:val="898"/>
    <w:next w:val="1104"/>
    <w:link w:val="898"/>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5">
    <w:name w:val=" Char1 Char Char Char Char Char Char"/>
    <w:basedOn w:val="898"/>
    <w:next w:val="1105"/>
    <w:link w:val="898"/>
    <w:rPr>
      <w:rFonts w:ascii="Tahoma" w:hAnsi="Tahoma"/>
      <w:sz w:val="24"/>
    </w:rPr>
  </w:style>
  <w:style w:type="paragraph" w:styleId="1106">
    <w:name w:val="表格标题"/>
    <w:basedOn w:val="1026"/>
    <w:next w:val="1106"/>
    <w:link w:val="898"/>
    <w:pPr>
      <w:ind w:firstLine="0"/>
      <w:spacing w:before="0" w:after="0" w:line="240" w:lineRule="atLeast"/>
      <w:widowControl w:val="off"/>
    </w:pPr>
    <w:rPr>
      <w:rFonts w:ascii="Times New Roman" w:hAnsi="Times New Roman" w:eastAsia="楷体_GB2312"/>
      <w:b/>
    </w:rPr>
  </w:style>
  <w:style w:type="paragraph" w:styleId="1107">
    <w:name w:val="_Style 28"/>
    <w:basedOn w:val="898"/>
    <w:next w:val="941"/>
    <w:link w:val="898"/>
    <w:rPr>
      <w:rFonts w:ascii="宋体" w:hAnsi="Courier New"/>
    </w:rPr>
  </w:style>
  <w:style w:type="paragraph" w:styleId="1108">
    <w:name w:val="xl29"/>
    <w:basedOn w:val="898"/>
    <w:next w:val="1108"/>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09">
    <w:name w:val="È±Ê¡ÎÄ±¾"/>
    <w:basedOn w:val="898"/>
    <w:next w:val="1109"/>
    <w:link w:val="898"/>
    <w:pPr>
      <w:widowControl/>
    </w:pPr>
    <w:rPr>
      <w:sz w:val="24"/>
    </w:rPr>
  </w:style>
  <w:style w:type="paragraph" w:styleId="1110">
    <w:name w:val="new"/>
    <w:basedOn w:val="898"/>
    <w:next w:val="1110"/>
    <w:link w:val="898"/>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11">
    <w:name w:val="SRS标题1"/>
    <w:basedOn w:val="898"/>
    <w:next w:val="1111"/>
    <w:link w:val="898"/>
    <w:pPr>
      <w:ind w:left="432" w:hanging="432"/>
      <w:jc w:val="left"/>
      <w:spacing w:before="468" w:after="156"/>
      <w:widowControl/>
      <w:tabs>
        <w:tab w:val="left" w:pos="432" w:leader="none"/>
      </w:tabs>
      <w:outlineLvl w:val="0"/>
    </w:pPr>
    <w:rPr>
      <w:b/>
      <w:sz w:val="32"/>
    </w:rPr>
  </w:style>
  <w:style w:type="paragraph" w:styleId="1112">
    <w:name w:val="xl24"/>
    <w:basedOn w:val="898"/>
    <w:next w:val="1112"/>
    <w:link w:val="89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13">
    <w:name w:val="Table Art"/>
    <w:basedOn w:val="898"/>
    <w:next w:val="898"/>
    <w:link w:val="898"/>
    <w:pPr>
      <w:jc w:val="left"/>
      <w:spacing w:before="40"/>
      <w:widowControl/>
    </w:pPr>
    <w:rPr>
      <w:rFonts w:eastAsia="PMingLiU"/>
      <w:sz w:val="20"/>
      <w:lang w:eastAsia="en-US"/>
    </w:rPr>
  </w:style>
  <w:style w:type="paragraph" w:styleId="1114">
    <w:name w:val="Heading 2"/>
    <w:basedOn w:val="898"/>
    <w:next w:val="1114"/>
    <w:link w:val="898"/>
    <w:pPr>
      <w:ind w:left="360" w:hanging="360"/>
      <w:jc w:val="left"/>
      <w:widowControl/>
      <w:tabs>
        <w:tab w:val="left" w:pos="360" w:leader="none"/>
      </w:tabs>
    </w:pPr>
    <w:rPr>
      <w:rFonts w:ascii="Arial" w:hAnsi="Arial" w:eastAsia="PMingLiU"/>
      <w:sz w:val="22"/>
      <w:lang w:eastAsia="zh-TW"/>
    </w:rPr>
  </w:style>
  <w:style w:type="paragraph" w:styleId="1115">
    <w:name w:val="标题2"/>
    <w:basedOn w:val="900"/>
    <w:next w:val="1115"/>
    <w:link w:val="898"/>
    <w:pPr>
      <w:numPr>
        <w:ilvl w:val="0"/>
        <w:numId w:val="0"/>
      </w:numPr>
      <w:keepLines/>
      <w:spacing w:before="78" w:after="78" w:line="440" w:lineRule="exact"/>
      <w:tabs>
        <w:tab w:val="left" w:pos="420" w:leader="none"/>
      </w:tabs>
    </w:pPr>
    <w:rPr>
      <w:rFonts w:ascii="Arial" w:hAnsi="Arial"/>
      <w:sz w:val="32"/>
    </w:rPr>
  </w:style>
  <w:style w:type="paragraph" w:styleId="1116">
    <w:name w:val="正文2"/>
    <w:basedOn w:val="898"/>
    <w:next w:val="1116"/>
    <w:link w:val="898"/>
    <w:pPr>
      <w:ind w:firstLine="200"/>
      <w:jc w:val="left"/>
      <w:spacing w:after="160" w:line="360" w:lineRule="auto"/>
      <w:widowControl/>
    </w:pPr>
    <w:rPr>
      <w:rFonts w:ascii="Tahoma" w:hAnsi="Tahoma"/>
      <w:sz w:val="24"/>
      <w:szCs w:val="24"/>
    </w:rPr>
  </w:style>
  <w:style w:type="paragraph" w:styleId="1117">
    <w:name w:val="样式 标题 4 + (西文) 宋体 小四"/>
    <w:basedOn w:val="898"/>
    <w:next w:val="1117"/>
    <w:link w:val="898"/>
    <w:pPr>
      <w:spacing w:line="360" w:lineRule="auto"/>
    </w:pPr>
    <w:rPr>
      <w:rFonts w:ascii="宋体" w:hAnsi="宋体" w:eastAsia="仿宋_GB2312"/>
      <w:bCs/>
      <w:sz w:val="24"/>
    </w:rPr>
  </w:style>
  <w:style w:type="paragraph" w:styleId="1118">
    <w:name w:val="方案正文"/>
    <w:basedOn w:val="898"/>
    <w:next w:val="1118"/>
    <w:link w:val="898"/>
    <w:qFormat/>
    <w:pPr>
      <w:ind w:firstLine="454"/>
      <w:jc w:val="left"/>
      <w:spacing w:line="360" w:lineRule="auto"/>
    </w:pPr>
    <w:rPr>
      <w:rFonts w:ascii="Arial" w:hAnsi="Arial"/>
      <w:bCs/>
      <w:szCs w:val="24"/>
    </w:rPr>
  </w:style>
  <w:style w:type="paragraph" w:styleId="1119">
    <w:name w:val="xl26"/>
    <w:basedOn w:val="898"/>
    <w:next w:val="1119"/>
    <w:link w:val="89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20">
    <w:name w:val="无缩进正文"/>
    <w:basedOn w:val="898"/>
    <w:next w:val="1120"/>
    <w:link w:val="898"/>
  </w:style>
  <w:style w:type="paragraph" w:styleId="1121">
    <w:name w:val="_Style 29"/>
    <w:basedOn w:val="898"/>
    <w:next w:val="941"/>
    <w:link w:val="898"/>
    <w:rPr>
      <w:rFonts w:ascii="宋体" w:hAnsi="Courier New"/>
    </w:rPr>
  </w:style>
  <w:style w:type="paragraph" w:styleId="1122">
    <w:name w:val="样式 标题 1 + 仿宋_GB2312 三号"/>
    <w:basedOn w:val="899"/>
    <w:next w:val="1122"/>
    <w:link w:val="898"/>
    <w:pPr>
      <w:numPr>
        <w:ilvl w:val="0"/>
        <w:numId w:val="0"/>
      </w:num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1123">
    <w:name w:val="重点条目"/>
    <w:basedOn w:val="933"/>
    <w:next w:val="933"/>
    <w:link w:val="898"/>
    <w:pPr>
      <w:spacing w:before="240" w:line="360" w:lineRule="auto"/>
      <w:widowControl/>
    </w:pPr>
    <w:rPr>
      <w:rFonts w:ascii="宋体" w:eastAsia="楷体_GB2312"/>
      <w:b/>
      <w:spacing w:val="20"/>
      <w:sz w:val="28"/>
    </w:rPr>
  </w:style>
  <w:style w:type="paragraph" w:styleId="1124">
    <w:name w:val="条目1"/>
    <w:basedOn w:val="898"/>
    <w:next w:val="1124"/>
    <w:link w:val="898"/>
    <w:pPr>
      <w:ind w:left="425" w:hanging="425"/>
      <w:tabs>
        <w:tab w:val="left" w:pos="425" w:leader="none"/>
      </w:tabs>
    </w:pPr>
    <w:rPr>
      <w:rFonts w:ascii="宋体" w:hAnsi="Courier New"/>
      <w:color w:val="000000"/>
      <w:sz w:val="24"/>
    </w:rPr>
  </w:style>
  <w:style w:type="paragraph" w:styleId="1125">
    <w:name w:val="正文缩进一"/>
    <w:basedOn w:val="898"/>
    <w:next w:val="898"/>
    <w:link w:val="898"/>
    <w:pPr>
      <w:numPr>
        <w:ilvl w:val="0"/>
        <w:numId w:val="8"/>
      </w:numPr>
      <w:spacing w:line="360" w:lineRule="auto"/>
      <w:widowControl/>
      <w:tabs>
        <w:tab w:val="left" w:pos="705" w:leader="none"/>
      </w:tabs>
    </w:pPr>
    <w:rPr>
      <w:rFonts w:ascii="宋体" w:hAnsi="宋体"/>
      <w:spacing w:val="8"/>
      <w:sz w:val="28"/>
    </w:rPr>
  </w:style>
  <w:style w:type="paragraph" w:styleId="1126">
    <w:name w:val="样式2"/>
    <w:basedOn w:val="898"/>
    <w:next w:val="1126"/>
    <w:link w:val="898"/>
    <w:pPr>
      <w:ind w:firstLine="811"/>
      <w:jc w:val="left"/>
      <w:spacing w:line="360" w:lineRule="auto"/>
      <w:widowControl/>
    </w:pPr>
    <w:rPr>
      <w:rFonts w:ascii="宋体"/>
      <w:sz w:val="28"/>
    </w:rPr>
  </w:style>
  <w:style w:type="paragraph" w:styleId="1127">
    <w:name w:val="xl72"/>
    <w:basedOn w:val="898"/>
    <w:next w:val="1127"/>
    <w:link w:val="898"/>
    <w:pPr>
      <w:jc w:val="center"/>
      <w:spacing w:before="100" w:beforeAutospacing="1" w:after="100" w:afterAutospacing="1"/>
      <w:widowControl/>
    </w:pPr>
    <w:rPr>
      <w:rFonts w:ascii="仿宋_GB2312" w:hAnsi="宋体" w:eastAsia="仿宋_GB2312" w:cs="宋体"/>
      <w:sz w:val="24"/>
      <w:szCs w:val="24"/>
    </w:rPr>
  </w:style>
  <w:style w:type="paragraph" w:styleId="1128">
    <w:name w:val="Blockquote"/>
    <w:basedOn w:val="898"/>
    <w:next w:val="1128"/>
    <w:link w:val="898"/>
    <w:pPr>
      <w:ind w:left="360" w:right="360"/>
      <w:jc w:val="left"/>
      <w:spacing w:before="100" w:after="100"/>
    </w:pPr>
    <w:rPr>
      <w:sz w:val="24"/>
      <w:szCs w:val="21"/>
    </w:rPr>
  </w:style>
  <w:style w:type="character" w:styleId="1129">
    <w:name w:val="日期 Char Char"/>
    <w:next w:val="1129"/>
    <w:link w:val="898"/>
    <w:rPr>
      <w:rFonts w:ascii="宋体" w:hAnsi="宋体" w:eastAsia="楷体_GB2312"/>
      <w:sz w:val="24"/>
    </w:rPr>
  </w:style>
  <w:style w:type="paragraph" w:styleId="1130">
    <w:name w:val=" Char Char4"/>
    <w:basedOn w:val="898"/>
    <w:next w:val="1130"/>
    <w:link w:val="898"/>
    <w:pPr>
      <w:jc w:val="left"/>
      <w:spacing w:after="160" w:line="240" w:lineRule="exact"/>
      <w:widowControl/>
    </w:pPr>
    <w:rPr>
      <w:rFonts w:ascii="Verdana" w:hAnsi="Verdana"/>
      <w:sz w:val="20"/>
      <w:lang w:eastAsia="en-US"/>
    </w:rPr>
  </w:style>
  <w:style w:type="paragraph" w:styleId="1131">
    <w:name w:val=" Char Char Char Char Char Char Char Char Char Char"/>
    <w:basedOn w:val="898"/>
    <w:next w:val="1131"/>
    <w:link w:val="898"/>
    <w:pPr>
      <w:numPr>
        <w:ilvl w:val="0"/>
        <w:numId w:val="3"/>
      </w:numPr>
      <w:tabs>
        <w:tab w:val="left" w:pos="360" w:leader="none"/>
        <w:tab w:val="left" w:pos="960" w:leader="none"/>
      </w:tabs>
    </w:pPr>
    <w:rPr>
      <w:sz w:val="24"/>
      <w:szCs w:val="24"/>
    </w:rPr>
  </w:style>
  <w:style w:type="paragraph" w:styleId="1132">
    <w:name w:val="Plain Text2"/>
    <w:basedOn w:val="898"/>
    <w:next w:val="1132"/>
    <w:link w:val="898"/>
    <w:rPr>
      <w:rFonts w:hint="eastAsia" w:ascii="宋体" w:hAnsi="Courier New" w:eastAsia="楷体_GB2312"/>
      <w:sz w:val="28"/>
    </w:rPr>
  </w:style>
  <w:style w:type="paragraph" w:styleId="1133">
    <w:name w:val="ECS正文1"/>
    <w:basedOn w:val="898"/>
    <w:next w:val="1133"/>
    <w:link w:val="898"/>
    <w:pPr>
      <w:ind w:firstLine="562"/>
      <w:jc w:val="left"/>
      <w:spacing w:before="156" w:after="156" w:line="360" w:lineRule="auto"/>
      <w:widowControl/>
    </w:pPr>
    <w:rPr>
      <w:rFonts w:ascii="仿宋_GB2312" w:hAnsi="宋体" w:eastAsia="仿宋_GB2312"/>
      <w:bCs/>
      <w:sz w:val="24"/>
      <w:szCs w:val="24"/>
    </w:rPr>
  </w:style>
  <w:style w:type="paragraph" w:styleId="1134">
    <w:name w:val="font8"/>
    <w:basedOn w:val="898"/>
    <w:next w:val="1134"/>
    <w:link w:val="898"/>
    <w:pPr>
      <w:jc w:val="left"/>
      <w:spacing w:before="100" w:beforeAutospacing="1" w:after="100" w:afterAutospacing="1"/>
      <w:widowControl/>
    </w:pPr>
    <w:rPr>
      <w:rFonts w:ascii="宋体" w:hAnsi="宋体" w:cs="宋体"/>
      <w:color w:val="000000"/>
      <w:sz w:val="18"/>
      <w:szCs w:val="18"/>
    </w:rPr>
  </w:style>
  <w:style w:type="paragraph" w:styleId="1135">
    <w:name w:val="font9"/>
    <w:basedOn w:val="898"/>
    <w:next w:val="1135"/>
    <w:link w:val="898"/>
    <w:pPr>
      <w:jc w:val="left"/>
      <w:spacing w:before="100" w:beforeAutospacing="1" w:after="100" w:afterAutospacing="1"/>
      <w:widowControl/>
    </w:pPr>
    <w:rPr>
      <w:rFonts w:ascii="Arial" w:hAnsi="Arial" w:cs="Arial"/>
      <w:sz w:val="20"/>
    </w:rPr>
  </w:style>
  <w:style w:type="paragraph" w:styleId="1136">
    <w:name w:val="font10"/>
    <w:basedOn w:val="898"/>
    <w:next w:val="1136"/>
    <w:link w:val="898"/>
    <w:pPr>
      <w:jc w:val="left"/>
      <w:spacing w:before="100" w:beforeAutospacing="1" w:after="100" w:afterAutospacing="1"/>
      <w:widowControl/>
    </w:pPr>
    <w:rPr>
      <w:rFonts w:ascii="宋体" w:hAnsi="宋体" w:cs="宋体"/>
      <w:sz w:val="18"/>
      <w:szCs w:val="18"/>
    </w:rPr>
  </w:style>
  <w:style w:type="paragraph" w:styleId="1137">
    <w:name w:val="font11"/>
    <w:basedOn w:val="898"/>
    <w:next w:val="1137"/>
    <w:link w:val="898"/>
    <w:pPr>
      <w:jc w:val="left"/>
      <w:spacing w:before="100" w:beforeAutospacing="1" w:after="100" w:afterAutospacing="1"/>
      <w:widowControl/>
    </w:pPr>
    <w:rPr>
      <w:rFonts w:ascii="宋体" w:hAnsi="宋体" w:cs="宋体"/>
      <w:sz w:val="18"/>
      <w:szCs w:val="18"/>
    </w:rPr>
  </w:style>
  <w:style w:type="paragraph" w:styleId="1138">
    <w:name w:val="font12"/>
    <w:basedOn w:val="898"/>
    <w:next w:val="1138"/>
    <w:link w:val="898"/>
    <w:pPr>
      <w:jc w:val="left"/>
      <w:spacing w:before="100" w:beforeAutospacing="1" w:after="100" w:afterAutospacing="1"/>
      <w:widowControl/>
    </w:pPr>
    <w:rPr>
      <w:rFonts w:ascii="宋体" w:hAnsi="宋体" w:cs="宋体"/>
      <w:sz w:val="18"/>
      <w:szCs w:val="18"/>
    </w:rPr>
  </w:style>
  <w:style w:type="paragraph" w:styleId="1139">
    <w:name w:val="font13"/>
    <w:basedOn w:val="898"/>
    <w:next w:val="1139"/>
    <w:link w:val="898"/>
    <w:pPr>
      <w:jc w:val="left"/>
      <w:spacing w:before="100" w:beforeAutospacing="1" w:after="100" w:afterAutospacing="1"/>
      <w:widowControl/>
    </w:pPr>
    <w:rPr>
      <w:rFonts w:ascii="宋体" w:hAnsi="宋体" w:cs="宋体"/>
      <w:sz w:val="20"/>
    </w:rPr>
  </w:style>
  <w:style w:type="paragraph" w:styleId="1140">
    <w:name w:val="font14"/>
    <w:basedOn w:val="898"/>
    <w:next w:val="1140"/>
    <w:link w:val="898"/>
    <w:pPr>
      <w:jc w:val="left"/>
      <w:spacing w:before="100" w:beforeAutospacing="1" w:after="100" w:afterAutospacing="1"/>
      <w:widowControl/>
    </w:pPr>
    <w:rPr>
      <w:rFonts w:ascii="宋体" w:hAnsi="宋体" w:cs="宋体"/>
      <w:sz w:val="20"/>
    </w:rPr>
  </w:style>
  <w:style w:type="paragraph" w:styleId="1141">
    <w:name w:val="font15"/>
    <w:basedOn w:val="898"/>
    <w:next w:val="1141"/>
    <w:link w:val="898"/>
    <w:pPr>
      <w:jc w:val="left"/>
      <w:spacing w:before="100" w:beforeAutospacing="1" w:after="100" w:afterAutospacing="1"/>
      <w:widowControl/>
    </w:pPr>
    <w:rPr>
      <w:rFonts w:ascii="宋体" w:hAnsi="宋体" w:cs="宋体"/>
      <w:sz w:val="18"/>
      <w:szCs w:val="18"/>
    </w:rPr>
  </w:style>
  <w:style w:type="paragraph" w:styleId="1142">
    <w:name w:val="font16"/>
    <w:basedOn w:val="898"/>
    <w:next w:val="1142"/>
    <w:link w:val="898"/>
    <w:pPr>
      <w:jc w:val="left"/>
      <w:spacing w:before="100" w:beforeAutospacing="1" w:after="100" w:afterAutospacing="1"/>
      <w:widowControl/>
    </w:pPr>
    <w:rPr>
      <w:rFonts w:ascii="宋体" w:hAnsi="宋体" w:cs="宋体"/>
      <w:sz w:val="20"/>
    </w:rPr>
  </w:style>
  <w:style w:type="paragraph" w:styleId="1143">
    <w:name w:val="font17"/>
    <w:basedOn w:val="898"/>
    <w:next w:val="1143"/>
    <w:link w:val="898"/>
    <w:pPr>
      <w:jc w:val="left"/>
      <w:spacing w:before="100" w:beforeAutospacing="1" w:after="100" w:afterAutospacing="1"/>
      <w:widowControl/>
    </w:pPr>
    <w:rPr>
      <w:rFonts w:ascii="宋体" w:hAnsi="宋体" w:cs="宋体"/>
      <w:sz w:val="20"/>
    </w:rPr>
  </w:style>
  <w:style w:type="paragraph" w:styleId="1144">
    <w:name w:val="font18"/>
    <w:basedOn w:val="898"/>
    <w:next w:val="1144"/>
    <w:link w:val="898"/>
    <w:pPr>
      <w:jc w:val="left"/>
      <w:spacing w:before="100" w:beforeAutospacing="1" w:after="100" w:afterAutospacing="1"/>
      <w:widowControl/>
    </w:pPr>
    <w:rPr>
      <w:rFonts w:ascii="宋体" w:hAnsi="宋体" w:cs="宋体"/>
      <w:sz w:val="20"/>
    </w:rPr>
  </w:style>
  <w:style w:type="paragraph" w:styleId="1145">
    <w:name w:val="font19"/>
    <w:basedOn w:val="898"/>
    <w:next w:val="1145"/>
    <w:link w:val="898"/>
    <w:pPr>
      <w:jc w:val="left"/>
      <w:spacing w:before="100" w:beforeAutospacing="1" w:after="100" w:afterAutospacing="1"/>
      <w:widowControl/>
    </w:pPr>
    <w:rPr>
      <w:rFonts w:ascii="宋体" w:hAnsi="宋体" w:cs="宋体"/>
      <w:sz w:val="20"/>
    </w:rPr>
  </w:style>
  <w:style w:type="paragraph" w:styleId="1146">
    <w:name w:val="font20"/>
    <w:basedOn w:val="898"/>
    <w:next w:val="1146"/>
    <w:link w:val="898"/>
    <w:pPr>
      <w:jc w:val="left"/>
      <w:spacing w:before="100" w:beforeAutospacing="1" w:after="100" w:afterAutospacing="1"/>
      <w:widowControl/>
    </w:pPr>
    <w:rPr>
      <w:rFonts w:ascii="宋体" w:hAnsi="宋体" w:cs="宋体"/>
      <w:sz w:val="20"/>
    </w:rPr>
  </w:style>
  <w:style w:type="paragraph" w:styleId="1147">
    <w:name w:val="xl104"/>
    <w:basedOn w:val="898"/>
    <w:next w:val="1147"/>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8">
    <w:name w:val="xl105"/>
    <w:basedOn w:val="898"/>
    <w:next w:val="1148"/>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9">
    <w:name w:val="xl106"/>
    <w:basedOn w:val="898"/>
    <w:next w:val="1149"/>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0">
    <w:name w:val="xl107"/>
    <w:basedOn w:val="898"/>
    <w:next w:val="1150"/>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1">
    <w:name w:val="xl108"/>
    <w:basedOn w:val="898"/>
    <w:next w:val="1151"/>
    <w:link w:val="898"/>
    <w:pPr>
      <w:jc w:val="left"/>
      <w:spacing w:before="100" w:beforeAutospacing="1" w:after="100" w:afterAutospacing="1"/>
      <w:shd w:val="clear" w:color="000000" w:fill="ffffff"/>
      <w:widowControl/>
    </w:pPr>
    <w:rPr>
      <w:rFonts w:ascii="Arial" w:hAnsi="Arial" w:cs="Arial"/>
      <w:sz w:val="20"/>
    </w:rPr>
  </w:style>
  <w:style w:type="paragraph" w:styleId="1152">
    <w:name w:val="xl109"/>
    <w:basedOn w:val="898"/>
    <w:next w:val="1152"/>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53">
    <w:name w:val="xl110"/>
    <w:basedOn w:val="898"/>
    <w:next w:val="1153"/>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54">
    <w:name w:val="xl111"/>
    <w:basedOn w:val="898"/>
    <w:next w:val="1154"/>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5">
    <w:name w:val="xl112"/>
    <w:basedOn w:val="898"/>
    <w:next w:val="1155"/>
    <w:link w:val="898"/>
    <w:pPr>
      <w:jc w:val="left"/>
      <w:spacing w:before="100" w:beforeAutospacing="1" w:after="100" w:afterAutospacing="1"/>
      <w:shd w:val="clear" w:color="000000" w:fill="ffffff"/>
      <w:widowControl/>
    </w:pPr>
    <w:rPr>
      <w:rFonts w:ascii="Arial" w:hAnsi="Arial" w:cs="Arial"/>
      <w:sz w:val="20"/>
    </w:rPr>
  </w:style>
  <w:style w:type="paragraph" w:styleId="1156">
    <w:name w:val="xl113"/>
    <w:basedOn w:val="898"/>
    <w:next w:val="1156"/>
    <w:link w:val="898"/>
    <w:pPr>
      <w:jc w:val="center"/>
      <w:spacing w:before="100" w:beforeAutospacing="1" w:after="100" w:afterAutospacing="1"/>
      <w:shd w:val="clear" w:color="000000" w:fill="ffffff"/>
      <w:widowControl/>
    </w:pPr>
    <w:rPr>
      <w:rFonts w:ascii="Arial" w:hAnsi="Arial" w:cs="Arial"/>
      <w:sz w:val="20"/>
    </w:rPr>
  </w:style>
  <w:style w:type="paragraph" w:styleId="1157">
    <w:name w:val="xl114"/>
    <w:basedOn w:val="898"/>
    <w:next w:val="1157"/>
    <w:link w:val="898"/>
    <w:pPr>
      <w:jc w:val="left"/>
      <w:spacing w:before="100" w:beforeAutospacing="1" w:after="100" w:afterAutospacing="1"/>
      <w:shd w:val="clear" w:color="000000" w:fill="ffffff"/>
      <w:widowControl/>
    </w:pPr>
    <w:rPr>
      <w:rFonts w:ascii="Arial" w:hAnsi="Arial" w:cs="Arial"/>
      <w:b/>
      <w:bCs/>
      <w:sz w:val="20"/>
    </w:rPr>
  </w:style>
  <w:style w:type="paragraph" w:styleId="1158">
    <w:name w:val="xl115"/>
    <w:basedOn w:val="898"/>
    <w:next w:val="1158"/>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9">
    <w:name w:val="xl116"/>
    <w:basedOn w:val="898"/>
    <w:next w:val="1159"/>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0">
    <w:name w:val="xl117"/>
    <w:basedOn w:val="898"/>
    <w:next w:val="1160"/>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1">
    <w:name w:val="xl118"/>
    <w:basedOn w:val="898"/>
    <w:next w:val="1161"/>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2">
    <w:name w:val="xl119"/>
    <w:basedOn w:val="898"/>
    <w:next w:val="1162"/>
    <w:link w:val="89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163">
    <w:name w:val="xl120"/>
    <w:basedOn w:val="898"/>
    <w:next w:val="1163"/>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4">
    <w:name w:val="xl121"/>
    <w:basedOn w:val="898"/>
    <w:next w:val="1164"/>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5">
    <w:name w:val="xl122"/>
    <w:basedOn w:val="898"/>
    <w:next w:val="1165"/>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6">
    <w:name w:val="xl123"/>
    <w:basedOn w:val="898"/>
    <w:next w:val="1166"/>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7">
    <w:name w:val="xl124"/>
    <w:basedOn w:val="898"/>
    <w:next w:val="1167"/>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8">
    <w:name w:val="xl125"/>
    <w:basedOn w:val="898"/>
    <w:next w:val="1168"/>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0"/>
    </w:rPr>
  </w:style>
  <w:style w:type="paragraph" w:styleId="1169">
    <w:name w:val="xl126"/>
    <w:basedOn w:val="898"/>
    <w:next w:val="1169"/>
    <w:link w:val="898"/>
    <w:pPr>
      <w:jc w:val="left"/>
      <w:spacing w:before="100" w:beforeAutospacing="1" w:after="100" w:afterAutospacing="1"/>
      <w:shd w:val="clear" w:color="000000" w:fill="ffffff"/>
      <w:widowControl/>
    </w:pPr>
    <w:rPr>
      <w:rFonts w:ascii="Arial" w:hAnsi="Arial" w:cs="Arial"/>
      <w:sz w:val="20"/>
    </w:rPr>
  </w:style>
  <w:style w:type="paragraph" w:styleId="1170">
    <w:name w:val="xl127"/>
    <w:basedOn w:val="898"/>
    <w:next w:val="1170"/>
    <w:link w:val="898"/>
    <w:pPr>
      <w:jc w:val="left"/>
      <w:spacing w:before="100" w:beforeAutospacing="1" w:after="100" w:afterAutospacing="1"/>
      <w:shd w:val="clear" w:color="000000" w:fill="ffffff"/>
      <w:widowControl/>
    </w:pPr>
    <w:rPr>
      <w:rFonts w:ascii="Arial" w:hAnsi="Arial" w:cs="Arial"/>
      <w:sz w:val="20"/>
    </w:rPr>
  </w:style>
  <w:style w:type="paragraph" w:styleId="1171">
    <w:name w:val="xl128"/>
    <w:basedOn w:val="898"/>
    <w:next w:val="1171"/>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2">
    <w:name w:val="xl129"/>
    <w:basedOn w:val="898"/>
    <w:next w:val="1172"/>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3">
    <w:name w:val="xl130"/>
    <w:basedOn w:val="898"/>
    <w:next w:val="1173"/>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4">
    <w:name w:val="xl131"/>
    <w:basedOn w:val="898"/>
    <w:next w:val="1174"/>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5">
    <w:name w:val="xl132"/>
    <w:basedOn w:val="898"/>
    <w:next w:val="1175"/>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6">
    <w:name w:val="xl133"/>
    <w:basedOn w:val="898"/>
    <w:next w:val="1176"/>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7">
    <w:name w:val="xl134"/>
    <w:basedOn w:val="898"/>
    <w:next w:val="1177"/>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8">
    <w:name w:val="xl135"/>
    <w:basedOn w:val="898"/>
    <w:next w:val="1178"/>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name w:val="xl136"/>
    <w:basedOn w:val="898"/>
    <w:next w:val="1179"/>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0">
    <w:name w:val="xl137"/>
    <w:basedOn w:val="898"/>
    <w:next w:val="1180"/>
    <w:link w:val="898"/>
    <w:pPr>
      <w:jc w:val="left"/>
      <w:spacing w:before="100" w:beforeAutospacing="1" w:after="100" w:afterAutospacing="1"/>
      <w:shd w:val="clear" w:color="000000" w:fill="ffffff"/>
      <w:widowControl/>
    </w:pPr>
    <w:rPr>
      <w:rFonts w:ascii="宋体" w:hAnsi="宋体" w:cs="宋体"/>
      <w:sz w:val="20"/>
    </w:rPr>
  </w:style>
  <w:style w:type="paragraph" w:styleId="1181">
    <w:name w:val="xl138"/>
    <w:basedOn w:val="898"/>
    <w:next w:val="1181"/>
    <w:link w:val="898"/>
    <w:pPr>
      <w:jc w:val="center"/>
      <w:spacing w:before="100" w:beforeAutospacing="1" w:after="100" w:afterAutospacing="1"/>
      <w:shd w:val="clear" w:color="000000" w:fill="ffffff"/>
      <w:widowControl/>
    </w:pPr>
    <w:rPr>
      <w:rFonts w:ascii="Arial" w:hAnsi="Arial" w:cs="Arial"/>
      <w:sz w:val="20"/>
    </w:rPr>
  </w:style>
  <w:style w:type="paragraph" w:styleId="1182">
    <w:name w:val="xl139"/>
    <w:basedOn w:val="898"/>
    <w:next w:val="1182"/>
    <w:link w:val="898"/>
    <w:pPr>
      <w:jc w:val="left"/>
      <w:spacing w:before="100" w:beforeAutospacing="1" w:after="100" w:afterAutospacing="1"/>
      <w:shd w:val="clear" w:color="000000" w:fill="ffffff"/>
      <w:widowControl/>
    </w:pPr>
    <w:rPr>
      <w:rFonts w:ascii="Arial" w:hAnsi="Arial" w:cs="Arial"/>
      <w:sz w:val="20"/>
    </w:rPr>
  </w:style>
  <w:style w:type="paragraph" w:styleId="1183">
    <w:name w:val="xl140"/>
    <w:basedOn w:val="898"/>
    <w:next w:val="1183"/>
    <w:link w:val="89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4">
    <w:name w:val="xl141"/>
    <w:basedOn w:val="898"/>
    <w:next w:val="1184"/>
    <w:link w:val="89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5">
    <w:name w:val="xl142"/>
    <w:basedOn w:val="898"/>
    <w:next w:val="1185"/>
    <w:link w:val="89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6">
    <w:name w:val="xl143"/>
    <w:basedOn w:val="898"/>
    <w:next w:val="1186"/>
    <w:link w:val="89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87">
    <w:name w:val="xl144"/>
    <w:basedOn w:val="898"/>
    <w:next w:val="1187"/>
    <w:link w:val="89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8">
    <w:name w:val="xl145"/>
    <w:basedOn w:val="898"/>
    <w:next w:val="1188"/>
    <w:link w:val="89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9">
    <w:name w:val="xl146"/>
    <w:basedOn w:val="898"/>
    <w:next w:val="1189"/>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0">
    <w:name w:val="xl147"/>
    <w:basedOn w:val="898"/>
    <w:next w:val="1190"/>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191">
    <w:name w:val="xl148"/>
    <w:basedOn w:val="898"/>
    <w:next w:val="1191"/>
    <w:link w:val="898"/>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192">
    <w:name w:val="xl149"/>
    <w:basedOn w:val="898"/>
    <w:next w:val="1192"/>
    <w:link w:val="898"/>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193">
    <w:name w:val="xl150"/>
    <w:basedOn w:val="898"/>
    <w:next w:val="1193"/>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4">
    <w:name w:val="xl151"/>
    <w:basedOn w:val="898"/>
    <w:next w:val="1194"/>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5">
    <w:name w:val="xl152"/>
    <w:basedOn w:val="898"/>
    <w:next w:val="1195"/>
    <w:link w:val="89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6">
    <w:name w:val="xl153"/>
    <w:basedOn w:val="898"/>
    <w:next w:val="1196"/>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7">
    <w:name w:val="xl154"/>
    <w:basedOn w:val="898"/>
    <w:next w:val="1197"/>
    <w:link w:val="89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8">
    <w:name w:val="Char Char1 Char Char Char Char Char Char Char"/>
    <w:basedOn w:val="898"/>
    <w:next w:val="1198"/>
    <w:link w:val="898"/>
  </w:style>
  <w:style w:type="character" w:styleId="1199">
    <w:name w:val="Char Char Char Char Char Char Char Char"/>
    <w:next w:val="1199"/>
    <w:link w:val="898"/>
    <w:rPr>
      <w:rFonts w:ascii="Tahoma" w:hAnsi="Tahoma" w:eastAsia="宋体"/>
      <w:sz w:val="24"/>
      <w:lang w:val="en-US" w:eastAsia="zh-CN" w:bidi="ar-SA"/>
    </w:rPr>
  </w:style>
  <w:style w:type="paragraph" w:styleId="1200">
    <w:name w:val="List Paragraph"/>
    <w:basedOn w:val="898"/>
    <w:next w:val="1200"/>
    <w:link w:val="898"/>
    <w:uiPriority w:val="34"/>
    <w:qFormat/>
    <w:pPr>
      <w:ind w:firstLine="420"/>
    </w:pPr>
    <w:rPr>
      <w:rFonts w:ascii="Calibri" w:hAnsi="Calibri"/>
      <w:szCs w:val="21"/>
    </w:rPr>
  </w:style>
  <w:style w:type="character" w:styleId="1201">
    <w:name w:val="列出段落 Char"/>
    <w:next w:val="1201"/>
    <w:link w:val="1202"/>
    <w:rPr>
      <w:sz w:val="28"/>
      <w:szCs w:val="24"/>
      <w:lang w:eastAsia="ar-SA"/>
    </w:rPr>
  </w:style>
  <w:style w:type="paragraph" w:styleId="1202">
    <w:name w:val="列出段落"/>
    <w:basedOn w:val="898"/>
    <w:next w:val="1202"/>
    <w:link w:val="1201"/>
    <w:qFormat/>
    <w:pPr>
      <w:ind w:firstLine="420"/>
    </w:pPr>
    <w:rPr>
      <w:sz w:val="28"/>
      <w:szCs w:val="24"/>
      <w:lang w:eastAsia="ar-SA"/>
    </w:rPr>
  </w:style>
  <w:style w:type="character" w:styleId="1203">
    <w:name w:val="type-string"/>
    <w:next w:val="1203"/>
    <w:link w:val="898"/>
  </w:style>
  <w:style w:type="character" w:styleId="1204">
    <w:name w:val="标题 11 Char"/>
    <w:next w:val="1204"/>
    <w:link w:val="1205"/>
    <w:rPr>
      <w:rFonts w:ascii="宋体" w:hAnsi="宋体" w:eastAsia="黑体"/>
      <w:sz w:val="21"/>
      <w:szCs w:val="24"/>
    </w:rPr>
  </w:style>
  <w:style w:type="paragraph" w:styleId="1205">
    <w:name w:val="标题 11"/>
    <w:basedOn w:val="898"/>
    <w:next w:val="898"/>
    <w:link w:val="1204"/>
    <w:qFormat/>
    <w:pPr>
      <w:spacing w:line="360" w:lineRule="auto"/>
    </w:pPr>
    <w:rPr>
      <w:rFonts w:ascii="宋体" w:hAnsi="宋体" w:eastAsia="黑体"/>
      <w:szCs w:val="24"/>
    </w:rPr>
  </w:style>
  <w:style w:type="character" w:styleId="1206">
    <w:name w:val="webkit-html-attribute-name"/>
    <w:next w:val="1206"/>
    <w:link w:val="898"/>
  </w:style>
  <w:style w:type="character" w:styleId="1207">
    <w:name w:val="webkit-html-attribute-value"/>
    <w:next w:val="1207"/>
    <w:link w:val="898"/>
  </w:style>
  <w:style w:type="character" w:styleId="1208">
    <w:name w:val="样式 首行缩进:  1.92 字符1 Char"/>
    <w:next w:val="1208"/>
    <w:link w:val="1209"/>
    <w:rPr>
      <w:rFonts w:cs="宋体"/>
      <w:sz w:val="24"/>
    </w:rPr>
  </w:style>
  <w:style w:type="paragraph" w:styleId="1209">
    <w:name w:val="样式 首行缩进:  1.92 字符1"/>
    <w:basedOn w:val="898"/>
    <w:next w:val="1209"/>
    <w:link w:val="1208"/>
    <w:pPr>
      <w:ind w:firstLine="192"/>
      <w:spacing w:line="360" w:lineRule="auto"/>
    </w:pPr>
    <w:rPr>
      <w:sz w:val="24"/>
    </w:rPr>
  </w:style>
  <w:style w:type="character" w:styleId="1210">
    <w:name w:val="WW8Num3z0"/>
    <w:next w:val="1210"/>
    <w:link w:val="898"/>
    <w:rPr>
      <w:rFonts w:ascii="Symbol" w:hAnsi="Symbol" w:cs="OpenSymbol"/>
    </w:rPr>
  </w:style>
  <w:style w:type="character" w:styleId="1211">
    <w:name w:val="WW8Num3z1"/>
    <w:next w:val="1211"/>
    <w:link w:val="898"/>
    <w:rPr>
      <w:rFonts w:ascii="OpenSymbol" w:hAnsi="OpenSymbol" w:cs="OpenSymbol"/>
    </w:rPr>
  </w:style>
  <w:style w:type="character" w:styleId="1212">
    <w:name w:val="Absatz-Standardschriftart"/>
    <w:next w:val="1212"/>
    <w:link w:val="898"/>
  </w:style>
  <w:style w:type="character" w:styleId="1213">
    <w:name w:val="WW-Absatz-Standardschriftart"/>
    <w:next w:val="1213"/>
    <w:link w:val="898"/>
  </w:style>
  <w:style w:type="character" w:styleId="1214">
    <w:name w:val="WW-Absatz-Standardschriftart1"/>
    <w:next w:val="1214"/>
    <w:link w:val="898"/>
  </w:style>
  <w:style w:type="character" w:styleId="1215">
    <w:name w:val="Numbering Symbols"/>
    <w:next w:val="1215"/>
    <w:link w:val="898"/>
  </w:style>
  <w:style w:type="character" w:styleId="1216">
    <w:name w:val="Bullets"/>
    <w:next w:val="1216"/>
    <w:link w:val="898"/>
    <w:rPr>
      <w:rFonts w:ascii="OpenSymbol" w:hAnsi="OpenSymbol" w:eastAsia="OpenSymbol" w:cs="OpenSymbol"/>
    </w:rPr>
  </w:style>
  <w:style w:type="character" w:styleId="1217">
    <w:name w:val="纯文本 Char"/>
    <w:next w:val="1217"/>
    <w:link w:val="898"/>
    <w:rPr>
      <w:rFonts w:ascii="宋体" w:hAnsi="Courier New" w:cs="Courier New"/>
      <w:sz w:val="21"/>
      <w:szCs w:val="21"/>
    </w:rPr>
  </w:style>
  <w:style w:type="character" w:styleId="1218">
    <w:name w:val="m1"/>
    <w:next w:val="1218"/>
    <w:link w:val="898"/>
    <w:rPr>
      <w:color w:val="0000ff"/>
    </w:rPr>
  </w:style>
  <w:style w:type="character" w:styleId="1219">
    <w:name w:val="pi1"/>
    <w:next w:val="1219"/>
    <w:link w:val="898"/>
    <w:rPr>
      <w:color w:val="0000ff"/>
    </w:rPr>
  </w:style>
  <w:style w:type="character" w:styleId="1220">
    <w:name w:val="t1"/>
    <w:next w:val="1220"/>
    <w:link w:val="898"/>
    <w:rPr>
      <w:color w:val="990000"/>
    </w:rPr>
  </w:style>
  <w:style w:type="character" w:styleId="1221">
    <w:name w:val="b1"/>
    <w:next w:val="1221"/>
    <w:link w:val="898"/>
    <w:rPr>
      <w:rFonts w:ascii="Courier New" w:hAnsi="Courier New" w:cs="Courier New"/>
      <w:b/>
      <w:bCs/>
      <w:color w:val="ff0000"/>
      <w:u w:val="none"/>
    </w:rPr>
  </w:style>
  <w:style w:type="character" w:styleId="1222">
    <w:name w:val="di1"/>
    <w:next w:val="1222"/>
    <w:link w:val="898"/>
    <w:rPr>
      <w:rFonts w:ascii="Courier" w:hAnsi="Courier"/>
      <w:sz w:val="24"/>
      <w:szCs w:val="24"/>
    </w:rPr>
  </w:style>
  <w:style w:type="character" w:styleId="1223">
    <w:name w:val="apple-style-span"/>
    <w:next w:val="1223"/>
    <w:link w:val="898"/>
  </w:style>
  <w:style w:type="character" w:styleId="1224">
    <w:name w:val="tx1"/>
    <w:next w:val="1224"/>
    <w:link w:val="898"/>
    <w:rPr>
      <w:b/>
      <w:bCs/>
    </w:rPr>
  </w:style>
  <w:style w:type="character" w:styleId="1225">
    <w:name w:val="apple-converted-space"/>
    <w:next w:val="1225"/>
    <w:link w:val="898"/>
  </w:style>
  <w:style w:type="character" w:styleId="1226">
    <w:name w:val="prop"/>
    <w:next w:val="1226"/>
    <w:link w:val="898"/>
  </w:style>
  <w:style w:type="character" w:styleId="1227">
    <w:name w:val="string"/>
    <w:next w:val="1227"/>
    <w:link w:val="898"/>
  </w:style>
  <w:style w:type="character" w:styleId="1228">
    <w:name w:val="num"/>
    <w:next w:val="1228"/>
    <w:link w:val="898"/>
  </w:style>
  <w:style w:type="character" w:styleId="1229">
    <w:name w:val="webkit-html-tag"/>
    <w:next w:val="1229"/>
    <w:link w:val="898"/>
  </w:style>
  <w:style w:type="character" w:styleId="1230">
    <w:name w:val="property"/>
    <w:next w:val="1230"/>
    <w:link w:val="898"/>
  </w:style>
  <w:style w:type="character" w:styleId="1231">
    <w:name w:val="type-number"/>
    <w:next w:val="1231"/>
    <w:link w:val="898"/>
  </w:style>
  <w:style w:type="character" w:styleId="1232">
    <w:name w:val="my正文 Char"/>
    <w:next w:val="1232"/>
    <w:link w:val="1233"/>
    <w:rPr>
      <w:sz w:val="24"/>
      <w:szCs w:val="24"/>
    </w:rPr>
  </w:style>
  <w:style w:type="paragraph" w:styleId="1233">
    <w:name w:val="my正文"/>
    <w:basedOn w:val="898"/>
    <w:next w:val="1233"/>
    <w:link w:val="1232"/>
    <w:pPr>
      <w:ind w:firstLine="480"/>
      <w:spacing w:line="360" w:lineRule="auto"/>
    </w:pPr>
    <w:rPr>
      <w:sz w:val="24"/>
      <w:szCs w:val="24"/>
    </w:rPr>
  </w:style>
  <w:style w:type="character" w:styleId="1234">
    <w:name w:val="书籍标题"/>
    <w:next w:val="1234"/>
    <w:link w:val="898"/>
    <w:uiPriority w:val="33"/>
    <w:qFormat/>
    <w:rPr>
      <w:b/>
      <w:bCs/>
      <w:smallCaps/>
      <w:spacing w:val="5"/>
    </w:rPr>
  </w:style>
  <w:style w:type="paragraph" w:styleId="1235">
    <w:name w:val="Table Contents"/>
    <w:basedOn w:val="898"/>
    <w:next w:val="1235"/>
    <w:link w:val="898"/>
    <w:pPr>
      <w:suppressLineNumbers/>
    </w:pPr>
    <w:rPr>
      <w:sz w:val="28"/>
      <w:szCs w:val="24"/>
      <w:lang w:eastAsia="ar-SA"/>
    </w:rPr>
  </w:style>
  <w:style w:type="paragraph" w:styleId="1236">
    <w:name w:val="表格内容"/>
    <w:basedOn w:val="898"/>
    <w:next w:val="1236"/>
    <w:link w:val="898"/>
    <w:pPr>
      <w:suppressLineNumbers/>
    </w:pPr>
    <w:rPr>
      <w:rFonts w:ascii="Calibri" w:hAnsi="Calibri" w:cs="Calibri"/>
      <w:szCs w:val="22"/>
      <w:lang w:eastAsia="ar-SA"/>
    </w:rPr>
  </w:style>
  <w:style w:type="paragraph" w:styleId="1237">
    <w:name w:val="Caption1"/>
    <w:basedOn w:val="898"/>
    <w:next w:val="1237"/>
    <w:link w:val="898"/>
    <w:pPr>
      <w:spacing w:before="120" w:after="120"/>
      <w:suppressLineNumbers/>
    </w:pPr>
    <w:rPr>
      <w:rFonts w:cs="Tahoma"/>
      <w:i/>
      <w:iCs/>
      <w:sz w:val="24"/>
      <w:szCs w:val="24"/>
      <w:lang w:eastAsia="ar-SA"/>
    </w:rPr>
  </w:style>
  <w:style w:type="paragraph" w:styleId="1238">
    <w:name w:val="Heading"/>
    <w:basedOn w:val="898"/>
    <w:next w:val="933"/>
    <w:link w:val="898"/>
    <w:pPr>
      <w:keepNext/>
      <w:spacing w:before="240" w:after="120"/>
    </w:pPr>
    <w:rPr>
      <w:rFonts w:ascii="Arial" w:hAnsi="Arial" w:cs="Tahoma"/>
      <w:sz w:val="28"/>
      <w:szCs w:val="28"/>
      <w:lang w:eastAsia="ar-SA"/>
    </w:rPr>
  </w:style>
  <w:style w:type="paragraph" w:styleId="1239">
    <w:name w:val="Index"/>
    <w:basedOn w:val="898"/>
    <w:next w:val="1239"/>
    <w:link w:val="898"/>
    <w:pPr>
      <w:suppressLineNumbers/>
    </w:pPr>
    <w:rPr>
      <w:rFonts w:cs="Tahoma"/>
      <w:sz w:val="28"/>
      <w:szCs w:val="24"/>
      <w:lang w:eastAsia="ar-SA"/>
    </w:rPr>
  </w:style>
  <w:style w:type="paragraph" w:styleId="1240">
    <w:name w:val="目录"/>
    <w:basedOn w:val="898"/>
    <w:next w:val="1240"/>
    <w:link w:val="898"/>
    <w:pPr>
      <w:suppressLineNumbers/>
    </w:pPr>
    <w:rPr>
      <w:rFonts w:ascii="Calibri" w:hAnsi="Calibri" w:cs="Tahoma"/>
      <w:szCs w:val="22"/>
      <w:lang w:eastAsia="ar-SA"/>
    </w:rPr>
  </w:style>
  <w:style w:type="character" w:styleId="1241">
    <w:name w:val="HTML 预设格式 Char1"/>
    <w:next w:val="1241"/>
    <w:link w:val="898"/>
    <w:rPr>
      <w:rFonts w:ascii="Courier New" w:hAnsi="Courier New" w:cs="Courier New"/>
    </w:rPr>
  </w:style>
  <w:style w:type="paragraph" w:styleId="1242">
    <w:name w:val="Table Heading"/>
    <w:basedOn w:val="1235"/>
    <w:next w:val="1242"/>
    <w:link w:val="898"/>
    <w:pPr>
      <w:jc w:val="center"/>
    </w:pPr>
    <w:rPr>
      <w:b/>
      <w:bCs/>
    </w:rPr>
  </w:style>
  <w:style w:type="paragraph" w:styleId="1243">
    <w:name w:val="段"/>
    <w:next w:val="1243"/>
    <w:link w:val="898"/>
    <w:pPr>
      <w:ind w:firstLine="200"/>
      <w:jc w:val="both"/>
    </w:pPr>
    <w:rPr>
      <w:rFonts w:ascii="宋体"/>
      <w:sz w:val="21"/>
      <w:lang w:val="en-US" w:eastAsia="zh-CN" w:bidi="ar-SA"/>
    </w:rPr>
  </w:style>
  <w:style w:type="paragraph" w:styleId="1244">
    <w:name w:val="TOC 标题"/>
    <w:basedOn w:val="899"/>
    <w:next w:val="898"/>
    <w:link w:val="898"/>
    <w:uiPriority w:val="39"/>
    <w:qFormat/>
    <w:pPr>
      <w:keepLines/>
      <w:spacing w:before="480" w:line="276" w:lineRule="auto"/>
      <w:widowControl/>
      <w:outlineLvl w:val="9"/>
    </w:pPr>
    <w:rPr>
      <w:rFonts w:ascii="Cambria" w:hAnsi="Cambria"/>
      <w:b/>
      <w:bCs/>
      <w:color w:val="365f91"/>
      <w:szCs w:val="28"/>
    </w:rPr>
  </w:style>
  <w:style w:type="paragraph" w:styleId="1245">
    <w:name w:val="CM2"/>
    <w:basedOn w:val="898"/>
    <w:next w:val="898"/>
    <w:link w:val="898"/>
    <w:pPr>
      <w:jc w:val="left"/>
      <w:spacing w:line="471" w:lineRule="atLeast"/>
    </w:pPr>
    <w:rPr>
      <w:rFonts w:ascii="黑体" w:eastAsia="黑体"/>
      <w:sz w:val="24"/>
      <w:szCs w:val="24"/>
    </w:rPr>
  </w:style>
  <w:style w:type="paragraph" w:styleId="1246">
    <w:name w:val="二級項目番號"/>
    <w:basedOn w:val="898"/>
    <w:next w:val="1246"/>
    <w:link w:val="898"/>
    <w:pPr>
      <w:numPr>
        <w:ilvl w:val="1"/>
        <w:numId w:val="1"/>
      </w:numPr>
      <w:tabs>
        <w:tab w:val="left" w:pos="720" w:leader="none"/>
        <w:tab w:val="left" w:pos="861" w:leader="none"/>
      </w:tabs>
    </w:pPr>
    <w:rPr>
      <w:szCs w:val="24"/>
    </w:rPr>
  </w:style>
  <w:style w:type="paragraph" w:styleId="1247">
    <w:name w:val="样式 标题 3 +"/>
    <w:basedOn w:val="902"/>
    <w:next w:val="903"/>
    <w:link w:val="898"/>
    <w:pPr>
      <w:ind w:left="0" w:firstLine="0"/>
      <w:jc w:val="both"/>
      <w:keepLines/>
      <w:keepNext/>
      <w:spacing w:before="280" w:after="290" w:line="376" w:lineRule="auto"/>
      <w:widowControl w:val="off"/>
    </w:pPr>
    <w:rPr>
      <w:rFonts w:ascii="Arial" w:hAnsi="Arial" w:eastAsia="黑体"/>
      <w:b/>
      <w:bCs/>
      <w:color w:val="000000"/>
      <w:sz w:val="28"/>
      <w:szCs w:val="28"/>
      <w:u w:val="none"/>
    </w:rPr>
  </w:style>
  <w:style w:type="paragraph" w:styleId="1248">
    <w:name w:val="三級項目番號"/>
    <w:basedOn w:val="898"/>
    <w:next w:val="1248"/>
    <w:link w:val="898"/>
    <w:pPr>
      <w:numPr>
        <w:ilvl w:val="2"/>
        <w:numId w:val="1"/>
      </w:numPr>
      <w:tabs>
        <w:tab w:val="left" w:pos="720" w:leader="none"/>
        <w:tab w:val="left" w:pos="1281" w:leader="none"/>
      </w:tabs>
    </w:pPr>
    <w:rPr>
      <w:szCs w:val="24"/>
    </w:rPr>
  </w:style>
  <w:style w:type="paragraph" w:styleId="1249">
    <w:name w:val="xl63"/>
    <w:basedOn w:val="898"/>
    <w:next w:val="1249"/>
    <w:link w:val="898"/>
    <w:pPr>
      <w:jc w:val="left"/>
      <w:spacing w:before="100" w:beforeAutospacing="1" w:after="100" w:afterAutospacing="1"/>
      <w:widowControl/>
    </w:pPr>
    <w:rPr>
      <w:rFonts w:ascii="宋体" w:hAnsi="宋体" w:cs="宋体"/>
      <w:b/>
      <w:bCs/>
      <w:color w:val="0000ff"/>
      <w:sz w:val="24"/>
      <w:szCs w:val="24"/>
    </w:rPr>
  </w:style>
  <w:style w:type="paragraph" w:styleId="1250">
    <w:name w:val="四級項目番號"/>
    <w:basedOn w:val="898"/>
    <w:next w:val="1250"/>
    <w:link w:val="898"/>
    <w:pPr>
      <w:numPr>
        <w:ilvl w:val="3"/>
        <w:numId w:val="1"/>
      </w:numPr>
      <w:tabs>
        <w:tab w:val="left" w:pos="360" w:leader="none"/>
        <w:tab w:val="left" w:pos="1701" w:leader="none"/>
      </w:tabs>
    </w:pPr>
    <w:rPr>
      <w:szCs w:val="24"/>
    </w:rPr>
  </w:style>
  <w:style w:type="paragraph" w:styleId="1251">
    <w:name w:val="修订"/>
    <w:next w:val="1251"/>
    <w:link w:val="898"/>
    <w:uiPriority w:val="99"/>
    <w:semiHidden/>
    <w:rPr>
      <w:sz w:val="28"/>
      <w:szCs w:val="24"/>
      <w:lang w:val="en-US" w:eastAsia="ar-SA" w:bidi="ar-SA"/>
    </w:rPr>
  </w:style>
  <w:style w:type="paragraph" w:styleId="1252">
    <w:name w:val="一級項目番號"/>
    <w:basedOn w:val="898"/>
    <w:next w:val="1252"/>
    <w:link w:val="898"/>
    <w:pPr>
      <w:numPr>
        <w:ilvl w:val="0"/>
        <w:numId w:val="1"/>
      </w:numPr>
      <w:tabs>
        <w:tab w:val="left" w:pos="360" w:leader="none"/>
      </w:tabs>
    </w:pPr>
    <w:rPr>
      <w:b/>
      <w:sz w:val="32"/>
      <w:szCs w:val="24"/>
    </w:rPr>
  </w:style>
  <w:style w:type="paragraph" w:styleId="1253">
    <w:name w:val="五級項目番號"/>
    <w:basedOn w:val="898"/>
    <w:next w:val="1253"/>
    <w:link w:val="898"/>
    <w:pPr>
      <w:numPr>
        <w:ilvl w:val="4"/>
        <w:numId w:val="1"/>
      </w:numPr>
      <w:tabs>
        <w:tab w:val="left" w:pos="360" w:leader="none"/>
        <w:tab w:val="left" w:pos="2121" w:leader="none"/>
      </w:tabs>
    </w:pPr>
    <w:rPr>
      <w:szCs w:val="24"/>
    </w:rPr>
  </w:style>
  <w:style w:type="paragraph" w:styleId="1254">
    <w:name w:val="xl69"/>
    <w:basedOn w:val="898"/>
    <w:next w:val="125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5">
    <w:name w:val="Default"/>
    <w:next w:val="1255"/>
    <w:link w:val="898"/>
    <w:pPr>
      <w:widowControl w:val="off"/>
    </w:pPr>
    <w:rPr>
      <w:rFonts w:ascii="宋体" w:hAnsi="Calibri" w:cs="宋体"/>
      <w:color w:val="000000"/>
      <w:sz w:val="24"/>
      <w:szCs w:val="24"/>
      <w:lang w:val="en-US" w:eastAsia="zh-CN" w:bidi="ar-SA"/>
    </w:rPr>
  </w:style>
  <w:style w:type="paragraph" w:styleId="1256">
    <w:name w:val="xl71"/>
    <w:basedOn w:val="898"/>
    <w:next w:val="1256"/>
    <w:link w:val="898"/>
    <w:pPr>
      <w:jc w:val="center"/>
      <w:spacing w:before="100" w:beforeAutospacing="1" w:after="100" w:afterAutospacing="1"/>
      <w:shd w:val="clear" w:color="000000" w:fill="bfbfbf"/>
      <w:widowControl/>
      <w:pBdr>
        <w:top w:val="single" w:color="000000" w:sz="8" w:space="0"/>
        <w:bottom w:val="single" w:color="000000" w:sz="6" w:space="0"/>
        <w:right w:val="single" w:color="000000" w:sz="8" w:space="0"/>
      </w:pBdr>
    </w:pPr>
    <w:rPr>
      <w:rFonts w:ascii="宋体" w:hAnsi="宋体" w:cs="宋体"/>
      <w:b/>
      <w:bCs/>
      <w:sz w:val="20"/>
    </w:rPr>
  </w:style>
  <w:style w:type="paragraph" w:styleId="1257">
    <w:name w:val="xl73"/>
    <w:basedOn w:val="898"/>
    <w:next w:val="1257"/>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58">
    <w:name w:val="xl66"/>
    <w:basedOn w:val="898"/>
    <w:next w:val="1258"/>
    <w:link w:val="898"/>
    <w:pPr>
      <w:jc w:val="left"/>
      <w:spacing w:before="100" w:beforeAutospacing="1" w:after="100" w:afterAutospacing="1"/>
      <w:widowControl/>
    </w:pPr>
    <w:rPr>
      <w:rFonts w:ascii="宋体" w:hAnsi="宋体" w:cs="宋体"/>
      <w:sz w:val="24"/>
      <w:szCs w:val="24"/>
    </w:rPr>
  </w:style>
  <w:style w:type="paragraph" w:styleId="1259">
    <w:name w:val="xl67"/>
    <w:basedOn w:val="898"/>
    <w:next w:val="1259"/>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0">
    <w:name w:val="xl68"/>
    <w:basedOn w:val="898"/>
    <w:next w:val="1260"/>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61">
    <w:name w:val="xl70"/>
    <w:basedOn w:val="898"/>
    <w:next w:val="1261"/>
    <w:link w:val="898"/>
    <w:pPr>
      <w:jc w:val="center"/>
      <w:spacing w:before="100" w:beforeAutospacing="1" w:after="100" w:afterAutospacing="1"/>
      <w:widowControl/>
    </w:pPr>
    <w:rPr>
      <w:rFonts w:ascii="宋体" w:hAnsi="宋体" w:cs="宋体"/>
      <w:sz w:val="24"/>
      <w:szCs w:val="24"/>
    </w:rPr>
  </w:style>
  <w:style w:type="paragraph" w:styleId="1262">
    <w:name w:val="A正文五号"/>
    <w:basedOn w:val="898"/>
    <w:next w:val="1262"/>
    <w:link w:val="1263"/>
    <w:qFormat/>
    <w:pPr>
      <w:ind w:firstLine="200"/>
      <w:spacing w:line="360" w:lineRule="auto"/>
    </w:pPr>
    <w:rPr>
      <w:szCs w:val="24"/>
    </w:rPr>
  </w:style>
  <w:style w:type="character" w:styleId="1263">
    <w:name w:val="A正文五号 Char"/>
    <w:next w:val="1263"/>
    <w:link w:val="1262"/>
    <w:rPr>
      <w:sz w:val="21"/>
      <w:szCs w:val="24"/>
    </w:rPr>
  </w:style>
  <w:style w:type="character" w:styleId="1264">
    <w:name w:val=" Char Char8"/>
    <w:next w:val="1264"/>
    <w:link w:val="898"/>
    <w:rPr>
      <w:rFonts w:ascii="宋体" w:hAnsi="Courier New" w:eastAsia="楷体_GB2312"/>
      <w:sz w:val="28"/>
    </w:rPr>
  </w:style>
  <w:style w:type="paragraph" w:styleId="1265">
    <w:name w:val="p0"/>
    <w:basedOn w:val="898"/>
    <w:next w:val="1265"/>
    <w:link w:val="898"/>
    <w:pPr>
      <w:widowControl/>
    </w:pPr>
    <w:rPr>
      <w:szCs w:val="21"/>
    </w:rPr>
  </w:style>
  <w:style w:type="paragraph" w:styleId="1266">
    <w:name w:val="默认段落字体 Para Char Char Char Char Char Char Char"/>
    <w:basedOn w:val="898"/>
    <w:next w:val="1266"/>
    <w:link w:val="898"/>
    <w:pPr>
      <w:spacing w:line="360" w:lineRule="auto"/>
    </w:pPr>
    <w:rPr>
      <w:rFonts w:ascii="Tahoma" w:hAnsi="Tahoma"/>
      <w:sz w:val="24"/>
    </w:rPr>
  </w:style>
  <w:style w:type="paragraph" w:styleId="1267">
    <w:name w:val="xl74"/>
    <w:basedOn w:val="898"/>
    <w:next w:val="1267"/>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8">
    <w:name w:val="xl75"/>
    <w:basedOn w:val="898"/>
    <w:next w:val="1268"/>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69">
    <w:name w:val="xl76"/>
    <w:basedOn w:val="898"/>
    <w:next w:val="1269"/>
    <w:link w:val="898"/>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270">
    <w:name w:val="xl77"/>
    <w:basedOn w:val="898"/>
    <w:next w:val="1270"/>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71">
    <w:name w:val="xl78"/>
    <w:basedOn w:val="898"/>
    <w:next w:val="1271"/>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72">
    <w:name w:val="xl79"/>
    <w:basedOn w:val="898"/>
    <w:next w:val="1272"/>
    <w:link w:val="898"/>
    <w:pPr>
      <w:jc w:val="left"/>
      <w:spacing w:before="100" w:beforeAutospacing="1" w:after="100" w:afterAutospacing="1"/>
      <w:widowControl/>
    </w:pPr>
    <w:rPr>
      <w:rFonts w:ascii="宋体" w:hAnsi="宋体" w:cs="宋体"/>
      <w:sz w:val="18"/>
      <w:szCs w:val="18"/>
    </w:rPr>
  </w:style>
  <w:style w:type="paragraph" w:styleId="1273">
    <w:name w:val="xl80"/>
    <w:basedOn w:val="898"/>
    <w:next w:val="1273"/>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4">
    <w:name w:val="xl81"/>
    <w:basedOn w:val="898"/>
    <w:next w:val="127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5">
    <w:name w:val="xl82"/>
    <w:basedOn w:val="898"/>
    <w:next w:val="1275"/>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6">
    <w:name w:val="xl83"/>
    <w:basedOn w:val="898"/>
    <w:next w:val="1276"/>
    <w:link w:val="89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77">
    <w:name w:val="xl84"/>
    <w:basedOn w:val="898"/>
    <w:next w:val="1277"/>
    <w:link w:val="898"/>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78">
    <w:name w:val="xl85"/>
    <w:basedOn w:val="898"/>
    <w:next w:val="1278"/>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79">
    <w:name w:val="xl86"/>
    <w:basedOn w:val="898"/>
    <w:next w:val="1279"/>
    <w:link w:val="898"/>
    <w:pPr>
      <w:jc w:val="left"/>
      <w:spacing w:before="100" w:beforeAutospacing="1" w:after="100" w:afterAutospacing="1"/>
      <w:widowControl/>
    </w:pPr>
    <w:rPr>
      <w:rFonts w:ascii="宋体" w:hAnsi="宋体" w:cs="宋体"/>
      <w:sz w:val="18"/>
      <w:szCs w:val="18"/>
    </w:rPr>
  </w:style>
  <w:style w:type="paragraph" w:styleId="1280">
    <w:name w:val="xl87"/>
    <w:basedOn w:val="898"/>
    <w:next w:val="1280"/>
    <w:link w:val="898"/>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1">
    <w:name w:val="xl88"/>
    <w:basedOn w:val="898"/>
    <w:next w:val="1281"/>
    <w:link w:val="898"/>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2">
    <w:name w:val="xl89"/>
    <w:basedOn w:val="898"/>
    <w:next w:val="1282"/>
    <w:link w:val="898"/>
    <w:pPr>
      <w:jc w:val="center"/>
      <w:spacing w:before="100" w:beforeAutospacing="1" w:after="100" w:afterAutospacing="1"/>
      <w:widowControl/>
    </w:pPr>
    <w:rPr>
      <w:rFonts w:ascii="宋体" w:hAnsi="宋体" w:cs="宋体"/>
      <w:sz w:val="18"/>
      <w:szCs w:val="18"/>
    </w:rPr>
  </w:style>
  <w:style w:type="paragraph" w:styleId="1283">
    <w:name w:val="xl90"/>
    <w:basedOn w:val="898"/>
    <w:next w:val="1283"/>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4">
    <w:name w:val="xl91"/>
    <w:basedOn w:val="898"/>
    <w:next w:val="1284"/>
    <w:link w:val="89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85">
    <w:name w:val="xl92"/>
    <w:basedOn w:val="898"/>
    <w:next w:val="1285"/>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86">
    <w:name w:val="xl93"/>
    <w:basedOn w:val="898"/>
    <w:next w:val="1286"/>
    <w:link w:val="89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287">
    <w:name w:val="xl94"/>
    <w:basedOn w:val="898"/>
    <w:next w:val="1287"/>
    <w:link w:val="898"/>
    <w:pPr>
      <w:jc w:val="center"/>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288">
    <w:name w:val="xl95"/>
    <w:basedOn w:val="898"/>
    <w:next w:val="1288"/>
    <w:link w:val="89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289">
    <w:name w:val="xl96"/>
    <w:basedOn w:val="898"/>
    <w:next w:val="1289"/>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290">
    <w:name w:val="xl97"/>
    <w:basedOn w:val="898"/>
    <w:next w:val="1290"/>
    <w:link w:val="898"/>
    <w:pPr>
      <w:jc w:val="left"/>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291">
    <w:name w:val="xl98"/>
    <w:basedOn w:val="898"/>
    <w:next w:val="1291"/>
    <w:link w:val="89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292">
    <w:name w:val="GP正文(首行缩进)"/>
    <w:basedOn w:val="898"/>
    <w:next w:val="1292"/>
    <w:link w:val="898"/>
    <w:qFormat/>
    <w:pPr>
      <w:ind w:firstLine="200"/>
      <w:jc w:val="left"/>
      <w:spacing w:line="360" w:lineRule="auto"/>
    </w:pPr>
    <w:rPr>
      <w:sz w:val="24"/>
      <w:szCs w:val="21"/>
    </w:rPr>
  </w:style>
  <w:style w:type="character" w:styleId="1293">
    <w:name w:val="ca-11"/>
    <w:next w:val="1293"/>
    <w:link w:val="898"/>
    <w:qFormat/>
    <w:rPr>
      <w:rFonts w:hint="eastAsia" w:ascii="宋体" w:hAnsi="宋体" w:eastAsia="宋体"/>
      <w:sz w:val="24"/>
      <w:szCs w:val="24"/>
    </w:rPr>
  </w:style>
  <w:style w:type="paragraph" w:styleId="1294">
    <w:name w:val="纯文本2"/>
    <w:basedOn w:val="898"/>
    <w:next w:val="1294"/>
    <w:link w:val="898"/>
    <w:qFormat/>
    <w:rPr>
      <w:rFonts w:hint="eastAsia" w:ascii="宋体" w:hAnsi="Courier New" w:eastAsia="楷体_GB2312"/>
      <w:sz w:val="28"/>
    </w:rPr>
  </w:style>
  <w:style w:type="paragraph" w:styleId="1295">
    <w:name w:val="纯文本4"/>
    <w:basedOn w:val="898"/>
    <w:next w:val="1295"/>
    <w:link w:val="898"/>
    <w:qFormat/>
    <w:rPr>
      <w:rFonts w:ascii="宋体" w:hAnsi="Courier New" w:eastAsia="楷体_GB2312"/>
      <w:sz w:val="28"/>
    </w:rPr>
  </w:style>
  <w:style w:type="paragraph" w:styleId="1296">
    <w:name w:val="w"/>
    <w:basedOn w:val="898"/>
    <w:next w:val="1296"/>
    <w:link w:val="898"/>
    <w:pPr>
      <w:jc w:val="left"/>
      <w:spacing w:before="100" w:beforeAutospacing="1" w:after="100" w:afterAutospacing="1" w:line="375" w:lineRule="atLeast"/>
      <w:widowControl/>
    </w:pPr>
    <w:rPr>
      <w:rFonts w:ascii="宋体" w:hAnsi="宋体"/>
      <w:color w:val="000000"/>
      <w:sz w:val="24"/>
    </w:rPr>
  </w:style>
  <w:style w:type="paragraph" w:styleId="1297">
    <w:name w:val="纯文本12"/>
    <w:basedOn w:val="898"/>
    <w:next w:val="1297"/>
    <w:link w:val="898"/>
    <w:rPr>
      <w:rFonts w:hint="eastAsia" w:ascii="宋体" w:hAnsi="Courier New" w:eastAsia="楷体_GB2312"/>
      <w:bCs/>
      <w:sz w:val="28"/>
    </w:rPr>
  </w:style>
  <w:style w:type="paragraph" w:styleId="1298">
    <w:name w:val="font1"/>
    <w:basedOn w:val="898"/>
    <w:next w:val="1298"/>
    <w:link w:val="898"/>
    <w:pPr>
      <w:jc w:val="left"/>
      <w:spacing w:before="100" w:beforeAutospacing="1" w:after="100" w:afterAutospacing="1"/>
      <w:widowControl/>
    </w:pPr>
    <w:rPr>
      <w:rFonts w:ascii="宋体" w:hAnsi="宋体" w:cs="宋体"/>
      <w:sz w:val="22"/>
      <w:szCs w:val="22"/>
    </w:rPr>
  </w:style>
  <w:style w:type="paragraph" w:styleId="1299">
    <w:name w:val="xl65"/>
    <w:basedOn w:val="898"/>
    <w:next w:val="1299"/>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character" w:styleId="1300">
    <w:name w:val="xc正文 Char"/>
    <w:next w:val="1300"/>
    <w:link w:val="1301"/>
    <w:qFormat/>
    <w:rPr>
      <w:sz w:val="24"/>
      <w:szCs w:val="24"/>
      <w:lang w:val="zh-CN"/>
    </w:rPr>
  </w:style>
  <w:style w:type="paragraph" w:styleId="1301">
    <w:name w:val="xc正文"/>
    <w:basedOn w:val="898"/>
    <w:next w:val="1301"/>
    <w:link w:val="1300"/>
    <w:qFormat/>
    <w:pPr>
      <w:ind w:firstLine="200"/>
      <w:spacing w:line="360" w:lineRule="auto"/>
    </w:pPr>
    <w:rPr>
      <w:sz w:val="24"/>
      <w:szCs w:val="24"/>
      <w:lang w:val="zh-CN"/>
    </w:rPr>
  </w:style>
  <w:style w:type="table" w:styleId="1302">
    <w:name w:val="招投标"/>
    <w:basedOn w:val="909"/>
    <w:next w:val="1302"/>
    <w:link w:val="898"/>
    <w:uiPriority w:val="99"/>
    <w:pPr>
      <w:jc w:val="center"/>
    </w:pPr>
    <w:rPr>
      <w:rFonts w:ascii="Calibri" w:hAnsi="Calibri" w:eastAsia="宋体" w:cs="Times New Roman"/>
      <w:sz w:val="21"/>
      <w:szCs w:val="22"/>
    </w:rPr>
    <w:tblPr/>
  </w:style>
  <w:style w:type="paragraph" w:styleId="1303">
    <w:name w:val="Table Paragraph"/>
    <w:basedOn w:val="898"/>
    <w:next w:val="1303"/>
    <w:link w:val="898"/>
    <w:uiPriority w:val="1"/>
    <w:qFormat/>
    <w:pPr>
      <w:jc w:val="left"/>
    </w:pPr>
    <w:rPr>
      <w:rFonts w:cs="Times New Roman"/>
      <w:sz w:val="22"/>
      <w:szCs w:val="22"/>
      <w:lang w:eastAsia="en-US"/>
    </w:rPr>
  </w:style>
  <w:style w:type="character" w:styleId="1304">
    <w:name w:val="NormalCharacter1"/>
    <w:next w:val="1304"/>
    <w:link w:val="898"/>
    <w:qFormat/>
  </w:style>
  <w:style w:type="paragraph" w:styleId="1305">
    <w:name w:val="纯文本11"/>
    <w:basedOn w:val="898"/>
    <w:next w:val="1305"/>
    <w:link w:val="898"/>
    <w:qFormat/>
    <w:pPr>
      <w:jc w:val="left"/>
      <w:widowControl/>
    </w:pPr>
    <w:rPr>
      <w:rFonts w:ascii="宋体" w:hAnsi="Courier New" w:eastAsia="楷体_GB2312"/>
      <w:sz w:val="26"/>
    </w:rPr>
  </w:style>
  <w:style w:type="character" w:styleId="1306">
    <w:name w:val="纯文本 Char2"/>
    <w:next w:val="1306"/>
    <w:link w:val="898"/>
    <w:rPr>
      <w:rFonts w:ascii="宋体" w:hAnsi="Courier New" w:eastAsia="楷体_GB2312"/>
      <w:sz w:val="28"/>
      <w:lang w:val="en-US" w:eastAsia="zh-CN" w:bidi="ar-SA"/>
    </w:rPr>
  </w:style>
  <w:style w:type="paragraph" w:styleId="1307">
    <w:name w:val="纯文本1"/>
    <w:basedOn w:val="898"/>
    <w:next w:val="1307"/>
    <w:link w:val="898"/>
    <w:qFormat/>
    <w:rPr>
      <w:rFonts w:ascii="宋体" w:hAnsi="Courier New" w:eastAsia="楷体_GB2312"/>
      <w:sz w:val="28"/>
    </w:rPr>
  </w:style>
  <w:style w:type="character" w:styleId="1308" w:default="1">
    <w:name w:val="Default Paragraph Font"/>
    <w:uiPriority w:val="1"/>
    <w:semiHidden/>
    <w:unhideWhenUsed/>
  </w:style>
  <w:style w:type="numbering" w:styleId="1309" w:default="1">
    <w:name w:val="No List"/>
    <w:uiPriority w:val="99"/>
    <w:semiHidden/>
    <w:unhideWhenUsed/>
  </w:style>
  <w:style w:type="table" w:styleId="13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糯糯</dc:creator>
  <cp:lastModifiedBy>王女容</cp:lastModifiedBy>
  <cp:revision>25</cp:revision>
  <dcterms:created xsi:type="dcterms:W3CDTF">2026-01-09T07:19:00Z</dcterms:created>
  <dcterms:modified xsi:type="dcterms:W3CDTF">2026-06-01T06:50:22Z</dcterms:modified>
  <cp:version>917504</cp:version>
</cp:coreProperties>
</file>