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8"/>
        <w:spacing w:before="120" w:beforeAutospacing="0" w:after="120" w:afterAutospacing="0" w:line="360" w:lineRule="auto"/>
        <w:ind w:firstLine="720"/>
        <w:rPr>
          <w:color w:val="auto"/>
          <w:highlight w:val="none"/>
        </w:rPr>
      </w:pPr>
      <w:r>
        <w:rPr>
          <w:color w:val="auto"/>
          <w:highlight w:val="none"/>
        </w:rPr>
        <w:t> </w:t>
      </w:r>
    </w:p>
    <w:p w14:paraId="4ACB3DA4">
      <w:pPr>
        <w:pStyle w:val="8"/>
        <w:spacing w:before="120" w:beforeAutospacing="0" w:after="120" w:afterAutospacing="0" w:line="360" w:lineRule="auto"/>
        <w:ind w:firstLine="1687" w:firstLineChars="200"/>
        <w:jc w:val="both"/>
        <w:rPr>
          <w:color w:val="auto"/>
          <w:highlight w:val="none"/>
        </w:rPr>
      </w:pPr>
      <w:r>
        <w:rPr>
          <w:rFonts w:ascii="Arial" w:hAnsi="Arial" w:cs="Arial"/>
          <w:b/>
          <w:color w:val="auto"/>
          <w:sz w:val="84"/>
          <w:szCs w:val="84"/>
          <w:highlight w:val="none"/>
        </w:rPr>
        <w:t>招 标 文 件</w:t>
      </w:r>
    </w:p>
    <w:p w14:paraId="44BED87B">
      <w:pPr>
        <w:pStyle w:val="8"/>
        <w:spacing w:before="120" w:beforeAutospacing="0" w:after="120" w:afterAutospacing="0" w:line="360" w:lineRule="auto"/>
        <w:ind w:firstLine="964"/>
        <w:rPr>
          <w:rFonts w:ascii="Arial" w:hAnsi="Arial" w:cs="Arial"/>
          <w:b/>
          <w:color w:val="auto"/>
          <w:sz w:val="32"/>
          <w:szCs w:val="32"/>
          <w:highlight w:val="none"/>
        </w:rPr>
      </w:pPr>
    </w:p>
    <w:p w14:paraId="5B29791A">
      <w:pPr>
        <w:pStyle w:val="8"/>
        <w:spacing w:before="120" w:beforeAutospacing="0" w:after="120" w:afterAutospacing="0" w:line="360" w:lineRule="auto"/>
        <w:ind w:firstLine="964"/>
        <w:rPr>
          <w:rFonts w:ascii="Arial" w:hAnsi="Arial" w:cs="Arial"/>
          <w:b/>
          <w:color w:val="auto"/>
          <w:sz w:val="32"/>
          <w:szCs w:val="32"/>
          <w:highlight w:val="none"/>
        </w:rPr>
      </w:pPr>
    </w:p>
    <w:p w14:paraId="0208044A">
      <w:pPr>
        <w:pStyle w:val="8"/>
        <w:spacing w:before="120" w:beforeAutospacing="0" w:after="120" w:afterAutospacing="0" w:line="360" w:lineRule="auto"/>
        <w:ind w:firstLine="964"/>
        <w:rPr>
          <w:rFonts w:ascii="Arial" w:hAnsi="Arial" w:cs="Arial"/>
          <w:b/>
          <w:color w:val="auto"/>
          <w:sz w:val="32"/>
          <w:szCs w:val="32"/>
          <w:highlight w:val="none"/>
        </w:rPr>
      </w:pPr>
    </w:p>
    <w:p w14:paraId="568EA975">
      <w:pPr>
        <w:pStyle w:val="8"/>
        <w:spacing w:before="120" w:beforeAutospacing="0" w:after="120" w:afterAutospacing="0" w:line="360" w:lineRule="auto"/>
        <w:ind w:firstLine="643" w:firstLineChars="200"/>
        <w:jc w:val="both"/>
        <w:rPr>
          <w:color w:val="auto"/>
          <w:highlight w:val="none"/>
        </w:rPr>
      </w:pPr>
      <w:r>
        <w:rPr>
          <w:rFonts w:ascii="Arial" w:hAnsi="Arial" w:cs="Arial"/>
          <w:b/>
          <w:color w:val="auto"/>
          <w:sz w:val="32"/>
          <w:szCs w:val="32"/>
          <w:highlight w:val="none"/>
        </w:rPr>
        <w:t>项目名称</w:t>
      </w:r>
      <w:bookmarkStart w:id="200" w:name="_GoBack"/>
      <w:bookmarkEnd w:id="200"/>
      <w:r>
        <w:rPr>
          <w:rFonts w:ascii="Arial" w:hAnsi="Arial" w:cs="Arial"/>
          <w:b/>
          <w:color w:val="auto"/>
          <w:sz w:val="32"/>
          <w:szCs w:val="32"/>
          <w:highlight w:val="none"/>
        </w:rPr>
        <w:t>：</w:t>
      </w:r>
      <w:r>
        <w:rPr>
          <w:rFonts w:hint="eastAsia" w:ascii="Arial" w:hAnsi="Arial" w:cs="Arial"/>
          <w:b/>
          <w:color w:val="auto"/>
          <w:sz w:val="32"/>
          <w:szCs w:val="32"/>
          <w:highlight w:val="none"/>
        </w:rPr>
        <w:t>2024-2025年亭湖区地膜科学使用回收项目</w:t>
      </w:r>
    </w:p>
    <w:p w14:paraId="72092737">
      <w:pPr>
        <w:pStyle w:val="8"/>
        <w:spacing w:before="120" w:beforeAutospacing="0" w:after="120" w:afterAutospacing="0" w:line="360" w:lineRule="auto"/>
        <w:ind w:firstLine="964"/>
        <w:jc w:val="both"/>
        <w:rPr>
          <w:rFonts w:ascii="Arial" w:hAnsi="Arial" w:cs="Arial"/>
          <w:b/>
          <w:color w:val="auto"/>
          <w:sz w:val="32"/>
          <w:szCs w:val="32"/>
          <w:highlight w:val="none"/>
        </w:rPr>
      </w:pPr>
    </w:p>
    <w:p w14:paraId="06552941">
      <w:pPr>
        <w:pStyle w:val="8"/>
        <w:spacing w:before="120" w:beforeAutospacing="0" w:after="120" w:afterAutospacing="0" w:line="360" w:lineRule="auto"/>
        <w:ind w:firstLine="964"/>
        <w:jc w:val="both"/>
        <w:rPr>
          <w:rFonts w:ascii="Arial" w:hAnsi="Arial" w:cs="Arial"/>
          <w:b/>
          <w:color w:val="auto"/>
          <w:sz w:val="32"/>
          <w:szCs w:val="32"/>
          <w:highlight w:val="none"/>
        </w:rPr>
      </w:pPr>
    </w:p>
    <w:p w14:paraId="2DE7B564">
      <w:pPr>
        <w:pStyle w:val="8"/>
        <w:spacing w:before="120" w:beforeAutospacing="0" w:after="120" w:afterAutospacing="0" w:line="360" w:lineRule="auto"/>
        <w:ind w:firstLine="964" w:firstLineChars="300"/>
        <w:jc w:val="both"/>
        <w:rPr>
          <w:color w:val="auto"/>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rPr>
        <w:t>JSZC-320902-SZDL-G2026-0005</w:t>
      </w:r>
    </w:p>
    <w:p w14:paraId="2926E52A">
      <w:pPr>
        <w:pStyle w:val="8"/>
        <w:spacing w:beforeAutospacing="0" w:afterAutospacing="0" w:line="360" w:lineRule="auto"/>
        <w:ind w:firstLine="720"/>
        <w:rPr>
          <w:color w:val="auto"/>
          <w:highlight w:val="none"/>
        </w:rPr>
      </w:pPr>
      <w:r>
        <w:rPr>
          <w:color w:val="auto"/>
          <w:highlight w:val="none"/>
        </w:rPr>
        <w:t> </w:t>
      </w:r>
    </w:p>
    <w:p w14:paraId="4C180711">
      <w:pPr>
        <w:pStyle w:val="8"/>
        <w:spacing w:beforeAutospacing="0" w:afterAutospacing="0" w:line="360" w:lineRule="auto"/>
        <w:ind w:firstLine="720"/>
        <w:rPr>
          <w:color w:val="auto"/>
          <w:highlight w:val="none"/>
        </w:rPr>
      </w:pPr>
      <w:r>
        <w:rPr>
          <w:color w:val="auto"/>
          <w:highlight w:val="none"/>
        </w:rPr>
        <w:t> </w:t>
      </w:r>
    </w:p>
    <w:p w14:paraId="3260F04D">
      <w:pPr>
        <w:pStyle w:val="8"/>
        <w:spacing w:beforeAutospacing="0" w:afterAutospacing="0" w:line="360" w:lineRule="auto"/>
        <w:ind w:firstLine="720"/>
        <w:rPr>
          <w:color w:val="auto"/>
          <w:highlight w:val="none"/>
        </w:rPr>
      </w:pPr>
      <w:r>
        <w:rPr>
          <w:color w:val="auto"/>
          <w:highlight w:val="none"/>
        </w:rPr>
        <w:t> </w:t>
      </w:r>
    </w:p>
    <w:p w14:paraId="7B85D1C1">
      <w:pPr>
        <w:pStyle w:val="8"/>
        <w:spacing w:beforeAutospacing="0" w:afterAutospacing="0" w:line="360" w:lineRule="auto"/>
        <w:ind w:firstLine="720"/>
        <w:rPr>
          <w:color w:val="auto"/>
          <w:highlight w:val="none"/>
        </w:rPr>
      </w:pPr>
      <w:r>
        <w:rPr>
          <w:color w:val="auto"/>
          <w:highlight w:val="none"/>
        </w:rPr>
        <w:t> </w:t>
      </w:r>
    </w:p>
    <w:p w14:paraId="3DF7E29F">
      <w:pPr>
        <w:pStyle w:val="8"/>
        <w:spacing w:beforeAutospacing="0" w:afterAutospacing="0" w:line="360" w:lineRule="auto"/>
        <w:ind w:firstLine="720"/>
        <w:rPr>
          <w:color w:val="auto"/>
          <w:highlight w:val="none"/>
        </w:rPr>
      </w:pPr>
      <w:r>
        <w:rPr>
          <w:color w:val="auto"/>
          <w:highlight w:val="none"/>
        </w:rPr>
        <w:t> </w:t>
      </w:r>
    </w:p>
    <w:p w14:paraId="10505119">
      <w:pPr>
        <w:pStyle w:val="8"/>
        <w:spacing w:before="120" w:beforeAutospacing="0" w:after="120" w:afterAutospacing="0" w:line="360" w:lineRule="auto"/>
        <w:ind w:firstLine="964"/>
        <w:jc w:val="center"/>
        <w:rPr>
          <w:rFonts w:ascii="Arial" w:hAnsi="Arial" w:cs="Arial"/>
          <w:b/>
          <w:color w:val="auto"/>
          <w:sz w:val="32"/>
          <w:szCs w:val="32"/>
          <w:highlight w:val="none"/>
        </w:rPr>
      </w:pPr>
      <w:r>
        <w:rPr>
          <w:rFonts w:hint="eastAsia" w:ascii="Arial" w:hAnsi="Arial" w:cs="Arial"/>
          <w:b/>
          <w:color w:val="auto"/>
          <w:sz w:val="32"/>
          <w:szCs w:val="32"/>
          <w:highlight w:val="none"/>
        </w:rPr>
        <w:t>采购单位：盐城市亭湖区农业农村局</w:t>
      </w:r>
    </w:p>
    <w:p w14:paraId="016AA259">
      <w:pPr>
        <w:pStyle w:val="8"/>
        <w:spacing w:before="120" w:beforeAutospacing="0" w:after="120" w:afterAutospacing="0" w:line="360" w:lineRule="auto"/>
        <w:ind w:firstLine="964"/>
        <w:jc w:val="center"/>
        <w:rPr>
          <w:rFonts w:ascii="Arial" w:hAnsi="Arial" w:cs="Arial"/>
          <w:b/>
          <w:color w:val="auto"/>
          <w:sz w:val="32"/>
          <w:szCs w:val="32"/>
          <w:highlight w:val="none"/>
        </w:rPr>
      </w:pPr>
    </w:p>
    <w:p w14:paraId="48DE62A8">
      <w:pPr>
        <w:pStyle w:val="8"/>
        <w:spacing w:before="120" w:beforeAutospacing="0" w:after="120" w:afterAutospacing="0" w:line="360" w:lineRule="auto"/>
        <w:ind w:firstLine="964"/>
        <w:jc w:val="center"/>
        <w:rPr>
          <w:color w:val="auto"/>
          <w:highlight w:val="none"/>
        </w:rPr>
      </w:pPr>
      <w:r>
        <w:rPr>
          <w:rFonts w:hint="eastAsia" w:ascii="Arial" w:hAnsi="Arial" w:cs="Arial"/>
          <w:b/>
          <w:color w:val="auto"/>
          <w:sz w:val="32"/>
          <w:szCs w:val="32"/>
          <w:highlight w:val="none"/>
        </w:rPr>
        <w:t>2026</w:t>
      </w:r>
      <w:r>
        <w:rPr>
          <w:rFonts w:ascii="Arial" w:hAnsi="Arial" w:cs="Arial"/>
          <w:b/>
          <w:color w:val="auto"/>
          <w:sz w:val="32"/>
          <w:szCs w:val="32"/>
          <w:highlight w:val="none"/>
        </w:rPr>
        <w:t>年</w:t>
      </w:r>
      <w:r>
        <w:rPr>
          <w:rFonts w:hint="eastAsia" w:ascii="Arial" w:hAnsi="Arial" w:cs="Arial"/>
          <w:b/>
          <w:color w:val="auto"/>
          <w:sz w:val="32"/>
          <w:szCs w:val="32"/>
          <w:highlight w:val="none"/>
        </w:rPr>
        <w:t>5</w:t>
      </w:r>
      <w:r>
        <w:rPr>
          <w:rFonts w:ascii="Arial" w:hAnsi="Arial" w:cs="Arial"/>
          <w:b/>
          <w:color w:val="auto"/>
          <w:sz w:val="32"/>
          <w:szCs w:val="32"/>
          <w:highlight w:val="none"/>
        </w:rPr>
        <w:t>月</w:t>
      </w:r>
    </w:p>
    <w:p w14:paraId="1A1FF07E">
      <w:pPr>
        <w:pStyle w:val="8"/>
        <w:spacing w:before="120" w:beforeAutospacing="0" w:after="120" w:afterAutospacing="0" w:line="360" w:lineRule="auto"/>
        <w:ind w:firstLine="720"/>
        <w:rPr>
          <w:color w:val="auto"/>
          <w:highlight w:val="none"/>
        </w:rPr>
      </w:pPr>
      <w:r>
        <w:rPr>
          <w:rFonts w:ascii="Arial" w:hAnsi="Arial" w:cs="Arial"/>
          <w:color w:val="auto"/>
          <w:highlight w:val="none"/>
        </w:rPr>
        <w:t xml:space="preserve">                        </w:t>
      </w:r>
    </w:p>
    <w:p w14:paraId="6D9B04D7">
      <w:pPr>
        <w:pStyle w:val="8"/>
        <w:spacing w:before="120" w:beforeAutospacing="0" w:after="120" w:afterAutospacing="0" w:line="360" w:lineRule="auto"/>
        <w:ind w:firstLine="720"/>
        <w:jc w:val="center"/>
        <w:rPr>
          <w:color w:val="auto"/>
          <w:highlight w:val="none"/>
        </w:rPr>
      </w:pPr>
      <w:r>
        <w:rPr>
          <w:color w:val="auto"/>
          <w:highlight w:val="none"/>
        </w:rPr>
        <w:t> </w:t>
      </w:r>
    </w:p>
    <w:p w14:paraId="1B0A0FCC">
      <w:pPr>
        <w:pStyle w:val="8"/>
        <w:spacing w:beforeAutospacing="0" w:afterAutospacing="0" w:line="480" w:lineRule="auto"/>
        <w:ind w:firstLine="630"/>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6938516"/>
      <w:bookmarkStart w:id="1" w:name="_Toc20823272"/>
      <w:bookmarkStart w:id="2" w:name="_Toc479757206"/>
      <w:bookmarkStart w:id="3" w:name="_Toc513029200"/>
      <w:bookmarkStart w:id="4" w:name="_Toc523127445"/>
      <w:bookmarkStart w:id="5" w:name="_Toc12061421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4BB874F">
      <w:pPr>
        <w:pStyle w:val="8"/>
        <w:spacing w:beforeAutospacing="0" w:afterAutospacing="0" w:line="480" w:lineRule="auto"/>
        <w:ind w:firstLine="720"/>
        <w:jc w:val="both"/>
        <w:rPr>
          <w:color w:val="auto"/>
          <w:highlight w:val="none"/>
        </w:rPr>
      </w:pPr>
      <w:r>
        <w:rPr>
          <w:color w:val="auto"/>
          <w:highlight w:val="none"/>
        </w:rPr>
        <w:t> </w:t>
      </w:r>
    </w:p>
    <w:p w14:paraId="0BE109DC">
      <w:pPr>
        <w:pStyle w:val="8"/>
        <w:tabs>
          <w:tab w:val="left" w:pos="1441"/>
        </w:tabs>
        <w:spacing w:beforeAutospacing="0" w:afterAutospacing="0" w:line="480" w:lineRule="auto"/>
        <w:ind w:firstLine="1077"/>
        <w:jc w:val="both"/>
        <w:rPr>
          <w:rFonts w:hint="eastAsia" w:eastAsia="黑体"/>
          <w:color w:val="auto"/>
          <w:highlight w:val="none"/>
          <w:lang w:val="en-US" w:eastAsia="zh-CN"/>
        </w:rPr>
      </w:pPr>
      <w:r>
        <w:rPr>
          <w:rFonts w:hint="eastAsia" w:ascii="黑体" w:hAnsi="宋体" w:eastAsia="黑体" w:cs="黑体"/>
          <w:color w:val="auto"/>
          <w:sz w:val="36"/>
          <w:szCs w:val="36"/>
          <w:highlight w:val="none"/>
        </w:rPr>
        <w:t>招标公告……………………………………</w:t>
      </w:r>
      <w:r>
        <w:rPr>
          <w:rFonts w:hint="eastAsia" w:ascii="黑体" w:hAnsi="宋体" w:eastAsia="黑体" w:cs="黑体"/>
          <w:color w:val="auto"/>
          <w:sz w:val="36"/>
          <w:szCs w:val="36"/>
          <w:highlight w:val="none"/>
          <w:lang w:val="en-US" w:eastAsia="zh-CN"/>
        </w:rPr>
        <w:t>3</w:t>
      </w:r>
    </w:p>
    <w:p w14:paraId="7C522B2E">
      <w:pPr>
        <w:pStyle w:val="8"/>
        <w:tabs>
          <w:tab w:val="left" w:pos="1441"/>
        </w:tabs>
        <w:spacing w:beforeAutospacing="0" w:afterAutospacing="0" w:line="480" w:lineRule="auto"/>
        <w:ind w:firstLine="1077"/>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 xml:space="preserve">7 </w:t>
      </w:r>
    </w:p>
    <w:p w14:paraId="4B510CDE">
      <w:pPr>
        <w:pStyle w:val="8"/>
        <w:tabs>
          <w:tab w:val="left" w:pos="1441"/>
        </w:tabs>
        <w:spacing w:beforeAutospacing="0" w:afterAutospacing="0" w:line="480" w:lineRule="auto"/>
        <w:ind w:firstLine="1077"/>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合同条款……………………………………</w:t>
      </w:r>
      <w:r>
        <w:rPr>
          <w:rFonts w:hint="eastAsia" w:ascii="黑体" w:hAnsi="宋体" w:eastAsia="黑体" w:cs="黑体"/>
          <w:color w:val="auto"/>
          <w:sz w:val="36"/>
          <w:szCs w:val="36"/>
          <w:highlight w:val="none"/>
          <w:lang w:val="en-US" w:eastAsia="zh-CN"/>
        </w:rPr>
        <w:t xml:space="preserve">22 </w:t>
      </w:r>
    </w:p>
    <w:p w14:paraId="35CAB5B5">
      <w:pPr>
        <w:pStyle w:val="8"/>
        <w:tabs>
          <w:tab w:val="left" w:pos="1441"/>
        </w:tabs>
        <w:spacing w:beforeAutospacing="0" w:afterAutospacing="0" w:line="480" w:lineRule="auto"/>
        <w:ind w:firstLine="1077"/>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44</w:t>
      </w:r>
    </w:p>
    <w:p w14:paraId="12FD980E">
      <w:pPr>
        <w:pStyle w:val="8"/>
        <w:tabs>
          <w:tab w:val="left" w:pos="1441"/>
        </w:tabs>
        <w:spacing w:beforeAutospacing="0" w:afterAutospacing="0" w:line="480" w:lineRule="auto"/>
        <w:ind w:firstLine="1077"/>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47</w:t>
      </w:r>
    </w:p>
    <w:p w14:paraId="15602893">
      <w:pPr>
        <w:pStyle w:val="8"/>
        <w:tabs>
          <w:tab w:val="left" w:pos="1441"/>
        </w:tabs>
        <w:spacing w:beforeAutospacing="0" w:afterAutospacing="0" w:line="480" w:lineRule="auto"/>
        <w:ind w:firstLine="1077"/>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50</w:t>
      </w:r>
    </w:p>
    <w:p w14:paraId="534DE13F">
      <w:pPr>
        <w:pStyle w:val="8"/>
        <w:spacing w:beforeAutospacing="0" w:afterAutospacing="0"/>
        <w:ind w:firstLine="720"/>
        <w:jc w:val="both"/>
        <w:rPr>
          <w:color w:val="auto"/>
          <w:highlight w:val="none"/>
        </w:rPr>
      </w:pPr>
      <w:r>
        <w:rPr>
          <w:color w:val="auto"/>
          <w:highlight w:val="none"/>
        </w:rPr>
        <w:t> </w:t>
      </w:r>
    </w:p>
    <w:p w14:paraId="5B3C47C5">
      <w:pPr>
        <w:pStyle w:val="8"/>
        <w:spacing w:beforeAutospacing="0" w:afterAutospacing="0"/>
        <w:ind w:firstLine="720"/>
        <w:jc w:val="both"/>
        <w:rPr>
          <w:color w:val="auto"/>
          <w:highlight w:val="none"/>
        </w:rPr>
      </w:pPr>
      <w:r>
        <w:rPr>
          <w:color w:val="auto"/>
          <w:highlight w:val="none"/>
        </w:rPr>
        <w:t> </w:t>
      </w:r>
    </w:p>
    <w:p w14:paraId="1026E6EC">
      <w:pPr>
        <w:pStyle w:val="8"/>
        <w:spacing w:beforeAutospacing="0" w:afterAutospacing="0"/>
        <w:ind w:firstLine="720"/>
        <w:jc w:val="both"/>
        <w:rPr>
          <w:color w:val="auto"/>
          <w:highlight w:val="none"/>
        </w:rPr>
      </w:pPr>
      <w:r>
        <w:rPr>
          <w:color w:val="auto"/>
          <w:highlight w:val="none"/>
        </w:rPr>
        <w:t> </w:t>
      </w:r>
    </w:p>
    <w:p w14:paraId="77EDD784">
      <w:pPr>
        <w:pStyle w:val="8"/>
        <w:spacing w:beforeAutospacing="0" w:afterAutospacing="0"/>
        <w:ind w:firstLine="720"/>
        <w:jc w:val="both"/>
        <w:rPr>
          <w:color w:val="auto"/>
          <w:highlight w:val="none"/>
        </w:rPr>
      </w:pPr>
      <w:r>
        <w:rPr>
          <w:color w:val="auto"/>
          <w:highlight w:val="none"/>
        </w:rPr>
        <w:t> </w:t>
      </w:r>
    </w:p>
    <w:p w14:paraId="0CEF2CA3">
      <w:pPr>
        <w:pStyle w:val="8"/>
        <w:spacing w:beforeAutospacing="0" w:afterAutospacing="0"/>
        <w:ind w:firstLine="720"/>
        <w:jc w:val="both"/>
        <w:rPr>
          <w:color w:val="auto"/>
          <w:highlight w:val="none"/>
        </w:rPr>
      </w:pPr>
      <w:r>
        <w:rPr>
          <w:color w:val="auto"/>
          <w:highlight w:val="none"/>
        </w:rPr>
        <w:t> </w:t>
      </w:r>
    </w:p>
    <w:p w14:paraId="199834B7">
      <w:pPr>
        <w:pStyle w:val="8"/>
        <w:spacing w:beforeAutospacing="0" w:afterAutospacing="0"/>
        <w:ind w:firstLine="720"/>
        <w:jc w:val="both"/>
        <w:rPr>
          <w:color w:val="auto"/>
          <w:highlight w:val="none"/>
        </w:rPr>
      </w:pPr>
      <w:r>
        <w:rPr>
          <w:color w:val="auto"/>
          <w:highlight w:val="none"/>
        </w:rPr>
        <w:t> </w:t>
      </w:r>
    </w:p>
    <w:p w14:paraId="5973B429">
      <w:pPr>
        <w:pStyle w:val="8"/>
        <w:spacing w:beforeAutospacing="0" w:afterAutospacing="0"/>
        <w:ind w:firstLine="720"/>
        <w:jc w:val="both"/>
        <w:rPr>
          <w:color w:val="auto"/>
          <w:highlight w:val="none"/>
        </w:rPr>
      </w:pPr>
      <w:r>
        <w:rPr>
          <w:color w:val="auto"/>
          <w:highlight w:val="none"/>
        </w:rPr>
        <w:t> </w:t>
      </w:r>
    </w:p>
    <w:p w14:paraId="002C7EB7">
      <w:pPr>
        <w:pStyle w:val="8"/>
        <w:spacing w:beforeAutospacing="0" w:afterAutospacing="0"/>
        <w:ind w:firstLine="720"/>
        <w:jc w:val="both"/>
        <w:rPr>
          <w:color w:val="auto"/>
          <w:highlight w:val="none"/>
        </w:rPr>
      </w:pPr>
      <w:r>
        <w:rPr>
          <w:color w:val="auto"/>
          <w:highlight w:val="none"/>
        </w:rPr>
        <w:t> </w:t>
      </w:r>
    </w:p>
    <w:p w14:paraId="4F9CAB0B">
      <w:pPr>
        <w:pStyle w:val="8"/>
        <w:spacing w:beforeAutospacing="0" w:afterAutospacing="0"/>
        <w:ind w:firstLine="720"/>
        <w:jc w:val="both"/>
        <w:rPr>
          <w:color w:val="auto"/>
          <w:highlight w:val="none"/>
        </w:rPr>
      </w:pPr>
      <w:r>
        <w:rPr>
          <w:color w:val="auto"/>
          <w:highlight w:val="none"/>
        </w:rPr>
        <w:t> </w:t>
      </w:r>
    </w:p>
    <w:p w14:paraId="2E059227">
      <w:pPr>
        <w:pStyle w:val="8"/>
        <w:spacing w:beforeAutospacing="0" w:afterAutospacing="0"/>
        <w:ind w:firstLine="720"/>
        <w:jc w:val="both"/>
        <w:rPr>
          <w:color w:val="auto"/>
          <w:highlight w:val="none"/>
        </w:rPr>
      </w:pPr>
      <w:r>
        <w:rPr>
          <w:color w:val="auto"/>
          <w:highlight w:val="none"/>
        </w:rPr>
        <w:t> </w:t>
      </w:r>
    </w:p>
    <w:p w14:paraId="377E3A45">
      <w:pPr>
        <w:pStyle w:val="8"/>
        <w:spacing w:beforeAutospacing="0" w:afterAutospacing="0"/>
        <w:ind w:firstLine="720"/>
        <w:jc w:val="both"/>
        <w:rPr>
          <w:color w:val="auto"/>
          <w:highlight w:val="none"/>
        </w:rPr>
      </w:pPr>
      <w:r>
        <w:rPr>
          <w:color w:val="auto"/>
          <w:highlight w:val="none"/>
        </w:rPr>
        <w:t> </w:t>
      </w:r>
    </w:p>
    <w:p w14:paraId="0902FF10">
      <w:pPr>
        <w:pStyle w:val="8"/>
        <w:spacing w:beforeAutospacing="0" w:afterAutospacing="0"/>
        <w:ind w:firstLine="720"/>
        <w:jc w:val="both"/>
        <w:rPr>
          <w:color w:val="auto"/>
          <w:highlight w:val="none"/>
        </w:rPr>
      </w:pPr>
      <w:r>
        <w:rPr>
          <w:color w:val="auto"/>
          <w:highlight w:val="none"/>
        </w:rPr>
        <w:t> </w:t>
      </w:r>
    </w:p>
    <w:p w14:paraId="6551063F">
      <w:pPr>
        <w:pStyle w:val="8"/>
        <w:spacing w:beforeAutospacing="0" w:afterAutospacing="0"/>
        <w:ind w:firstLine="720"/>
        <w:jc w:val="both"/>
        <w:rPr>
          <w:color w:val="auto"/>
          <w:highlight w:val="none"/>
        </w:rPr>
      </w:pPr>
      <w:r>
        <w:rPr>
          <w:color w:val="auto"/>
          <w:highlight w:val="none"/>
        </w:rPr>
        <w:t> </w:t>
      </w:r>
    </w:p>
    <w:p w14:paraId="191BFA28">
      <w:pPr>
        <w:pStyle w:val="8"/>
        <w:spacing w:beforeAutospacing="0" w:afterAutospacing="0"/>
        <w:ind w:firstLine="720"/>
        <w:jc w:val="both"/>
        <w:rPr>
          <w:color w:val="auto"/>
          <w:highlight w:val="none"/>
        </w:rPr>
      </w:pPr>
      <w:r>
        <w:rPr>
          <w:color w:val="auto"/>
          <w:highlight w:val="none"/>
        </w:rPr>
        <w:t> </w:t>
      </w:r>
    </w:p>
    <w:p w14:paraId="2C46ADC8">
      <w:pPr>
        <w:pStyle w:val="8"/>
        <w:spacing w:beforeAutospacing="0" w:afterAutospacing="0"/>
        <w:ind w:firstLine="720"/>
        <w:jc w:val="both"/>
        <w:rPr>
          <w:color w:val="auto"/>
          <w:highlight w:val="none"/>
        </w:rPr>
      </w:pPr>
      <w:r>
        <w:rPr>
          <w:color w:val="auto"/>
          <w:highlight w:val="none"/>
        </w:rPr>
        <w:t> </w:t>
      </w:r>
    </w:p>
    <w:p w14:paraId="2900AB90">
      <w:pPr>
        <w:pStyle w:val="8"/>
        <w:spacing w:beforeAutospacing="0" w:afterAutospacing="0"/>
        <w:ind w:firstLine="720"/>
        <w:jc w:val="both"/>
        <w:rPr>
          <w:color w:val="auto"/>
          <w:highlight w:val="none"/>
        </w:rPr>
      </w:pPr>
      <w:r>
        <w:rPr>
          <w:color w:val="auto"/>
          <w:highlight w:val="none"/>
        </w:rPr>
        <w:t> </w:t>
      </w:r>
    </w:p>
    <w:p w14:paraId="60DE5FF6">
      <w:pPr>
        <w:pStyle w:val="8"/>
        <w:spacing w:beforeAutospacing="0" w:afterAutospacing="0"/>
        <w:ind w:firstLine="720"/>
        <w:jc w:val="both"/>
        <w:rPr>
          <w:color w:val="auto"/>
          <w:highlight w:val="none"/>
        </w:rPr>
      </w:pPr>
      <w:r>
        <w:rPr>
          <w:color w:val="auto"/>
          <w:highlight w:val="none"/>
        </w:rPr>
        <w:t> </w:t>
      </w:r>
    </w:p>
    <w:p w14:paraId="4B476BA0">
      <w:pPr>
        <w:pStyle w:val="8"/>
        <w:spacing w:beforeAutospacing="0" w:afterAutospacing="0"/>
        <w:ind w:firstLine="720"/>
        <w:jc w:val="both"/>
        <w:rPr>
          <w:color w:val="auto"/>
          <w:highlight w:val="none"/>
        </w:rPr>
      </w:pPr>
      <w:r>
        <w:rPr>
          <w:color w:val="auto"/>
          <w:highlight w:val="none"/>
        </w:rPr>
        <w:t> </w:t>
      </w:r>
    </w:p>
    <w:p w14:paraId="66234C8E">
      <w:pPr>
        <w:pStyle w:val="8"/>
        <w:spacing w:beforeAutospacing="0" w:afterAutospacing="0"/>
        <w:ind w:firstLine="720"/>
        <w:jc w:val="both"/>
        <w:rPr>
          <w:color w:val="auto"/>
          <w:highlight w:val="none"/>
        </w:rPr>
      </w:pPr>
      <w:r>
        <w:rPr>
          <w:color w:val="auto"/>
          <w:highlight w:val="none"/>
        </w:rPr>
        <w:t> </w:t>
      </w:r>
    </w:p>
    <w:p w14:paraId="43F4AD00">
      <w:pPr>
        <w:pStyle w:val="8"/>
        <w:spacing w:beforeAutospacing="0" w:afterAutospacing="0"/>
        <w:ind w:firstLine="720"/>
        <w:jc w:val="both"/>
        <w:rPr>
          <w:color w:val="auto"/>
          <w:highlight w:val="none"/>
        </w:rPr>
      </w:pPr>
      <w:r>
        <w:rPr>
          <w:color w:val="auto"/>
          <w:highlight w:val="none"/>
        </w:rPr>
        <w:t> </w:t>
      </w:r>
    </w:p>
    <w:p w14:paraId="19406DE9">
      <w:pPr>
        <w:pStyle w:val="8"/>
        <w:spacing w:beforeAutospacing="0" w:afterAutospacing="0"/>
        <w:ind w:firstLine="720"/>
        <w:jc w:val="both"/>
        <w:rPr>
          <w:color w:val="auto"/>
          <w:highlight w:val="none"/>
        </w:rPr>
      </w:pPr>
      <w:r>
        <w:rPr>
          <w:color w:val="auto"/>
          <w:highlight w:val="none"/>
        </w:rPr>
        <w:t> </w:t>
      </w:r>
    </w:p>
    <w:p w14:paraId="5410DC49">
      <w:pPr>
        <w:pStyle w:val="8"/>
        <w:spacing w:beforeAutospacing="0" w:afterAutospacing="0"/>
        <w:ind w:firstLine="720"/>
        <w:jc w:val="both"/>
        <w:rPr>
          <w:color w:val="auto"/>
          <w:highlight w:val="none"/>
        </w:rPr>
      </w:pPr>
      <w:r>
        <w:rPr>
          <w:color w:val="auto"/>
          <w:highlight w:val="none"/>
        </w:rPr>
        <w:t> </w:t>
      </w:r>
    </w:p>
    <w:p w14:paraId="746F8DFD">
      <w:pPr>
        <w:pStyle w:val="8"/>
        <w:keepNext/>
        <w:spacing w:beforeAutospacing="0" w:afterAutospacing="0"/>
        <w:ind w:firstLine="2200" w:firstLineChars="500"/>
        <w:jc w:val="both"/>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t>第一章 招标公告</w:t>
      </w:r>
    </w:p>
    <w:p w14:paraId="5085361C">
      <w:pPr>
        <w:pStyle w:val="8"/>
        <w:keepNext/>
        <w:spacing w:beforeAutospacing="0" w:afterAutospacing="0"/>
        <w:ind w:firstLine="2200" w:firstLineChars="500"/>
        <w:jc w:val="both"/>
        <w:rPr>
          <w:rFonts w:hint="eastAsia" w:ascii="黑体" w:hAnsi="宋体" w:eastAsia="黑体" w:cs="黑体"/>
          <w:color w:val="auto"/>
          <w:sz w:val="44"/>
          <w:szCs w:val="44"/>
          <w:highlight w:val="none"/>
        </w:rPr>
      </w:pPr>
    </w:p>
    <w:p w14:paraId="179DC6FF">
      <w:pPr>
        <w:pStyle w:val="8"/>
        <w:pBdr>
          <w:top w:val="single" w:color="000000" w:sz="4" w:space="0"/>
          <w:left w:val="single" w:color="000000" w:sz="4" w:space="0"/>
          <w:bottom w:val="single" w:color="000000" w:sz="4" w:space="0"/>
          <w:right w:val="single" w:color="000000" w:sz="4" w:space="0"/>
        </w:pBdr>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6B0F6ADA">
      <w:pPr>
        <w:pStyle w:val="8"/>
        <w:pBdr>
          <w:top w:val="single" w:color="000000" w:sz="4" w:space="0"/>
          <w:left w:val="single" w:color="000000" w:sz="4" w:space="0"/>
          <w:bottom w:val="single" w:color="000000" w:sz="4" w:space="0"/>
          <w:right w:val="single" w:color="000000" w:sz="4" w:space="0"/>
        </w:pBdr>
        <w:spacing w:beforeAutospacing="0" w:afterAutospacing="0" w:line="400" w:lineRule="atLeas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u w:val="single"/>
        </w:rPr>
        <w:t xml:space="preserve"> 2024-2025年亭湖区地膜科学使用回收项目 </w:t>
      </w:r>
      <w:r>
        <w:rPr>
          <w:rFonts w:hint="eastAsia" w:ascii="宋体" w:hAnsi="宋体" w:eastAsia="宋体" w:cs="宋体"/>
          <w:color w:val="auto"/>
          <w:highlight w:val="none"/>
        </w:rPr>
        <w:t>招标项目的潜在投标人应在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2026</w:t>
      </w:r>
      <w:r>
        <w:rPr>
          <w:rFonts w:hint="eastAsia" w:ascii="宋体" w:hAnsi="宋体" w:eastAsia="宋体" w:cs="宋体"/>
          <w:color w:val="auto"/>
          <w:highlight w:val="none"/>
          <w:u w:val="single"/>
        </w:rPr>
        <w:t xml:space="preserve"> 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18</w:t>
      </w:r>
      <w:r>
        <w:rPr>
          <w:rFonts w:hint="eastAsia" w:ascii="宋体" w:hAnsi="宋体" w:eastAsia="宋体" w:cs="宋体"/>
          <w:color w:val="auto"/>
          <w:highlight w:val="none"/>
          <w:u w:val="single"/>
        </w:rPr>
        <w:t>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分（</w:t>
      </w:r>
      <w:r>
        <w:rPr>
          <w:rFonts w:hint="eastAsia" w:ascii="宋体" w:hAnsi="宋体" w:eastAsia="宋体" w:cs="宋体"/>
          <w:color w:val="auto"/>
          <w:highlight w:val="none"/>
        </w:rPr>
        <w:t>北京时间）前递交投标文件。</w:t>
      </w:r>
    </w:p>
    <w:p w14:paraId="05033C3B">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7" w:name="_Toc35393790"/>
      <w:bookmarkStart w:id="8" w:name="_Toc38985263"/>
      <w:bookmarkStart w:id="9" w:name="_Toc35393621"/>
      <w:bookmarkStart w:id="10" w:name="_Toc28359002"/>
      <w:bookmarkStart w:id="11" w:name="_Toc28359079"/>
      <w:bookmarkStart w:id="12" w:name="_Hlk24379207"/>
      <w:r>
        <w:rPr>
          <w:rFonts w:hint="eastAsia" w:ascii="宋体" w:hAnsi="宋体" w:eastAsia="宋体" w:cs="宋体"/>
          <w:b/>
          <w:color w:val="auto"/>
          <w:highlight w:val="none"/>
        </w:rPr>
        <w:t>一、项目基本情况</w:t>
      </w:r>
      <w:bookmarkEnd w:id="7"/>
      <w:bookmarkEnd w:id="8"/>
      <w:bookmarkEnd w:id="9"/>
      <w:bookmarkEnd w:id="10"/>
      <w:bookmarkEnd w:id="11"/>
      <w:bookmarkEnd w:id="12"/>
    </w:p>
    <w:p w14:paraId="39610826">
      <w:pPr>
        <w:pStyle w:val="8"/>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1.项目编号：JSZC-320902-SZDL-G2026-0005</w:t>
      </w:r>
    </w:p>
    <w:p w14:paraId="4B58244C">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2.项目名称：2024-2025年亭湖区地膜科学使用回收项目</w:t>
      </w:r>
    </w:p>
    <w:p w14:paraId="73A52534">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6E56EB35">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4.预算金额：188</w:t>
      </w:r>
      <w:r>
        <w:rPr>
          <w:rFonts w:hint="eastAsia" w:ascii="宋体" w:hAnsi="宋体" w:eastAsia="宋体" w:cs="宋体"/>
          <w:color w:val="auto"/>
          <w:highlight w:val="none"/>
          <w:lang w:val="en-US" w:eastAsia="zh-CN"/>
        </w:rPr>
        <w:t>万</w:t>
      </w:r>
      <w:r>
        <w:rPr>
          <w:rFonts w:hint="eastAsia" w:ascii="宋体" w:hAnsi="宋体" w:eastAsia="宋体" w:cs="宋体"/>
          <w:color w:val="auto"/>
          <w:highlight w:val="none"/>
        </w:rPr>
        <w:t>元</w:t>
      </w:r>
    </w:p>
    <w:p w14:paraId="7C279CB3">
      <w:pPr>
        <w:pStyle w:val="8"/>
        <w:spacing w:beforeAutospacing="0" w:afterAutospacing="0" w:line="360" w:lineRule="auto"/>
        <w:ind w:firstLine="720"/>
        <w:jc w:val="both"/>
        <w:rPr>
          <w:rFonts w:ascii="宋体" w:hAnsi="宋体" w:eastAsia="宋体" w:cs="宋体"/>
          <w:color w:val="auto"/>
          <w:highlight w:val="none"/>
          <w:shd w:val="clear" w:color="FFFFFF" w:fill="D9D9D9"/>
        </w:rPr>
      </w:pPr>
      <w:r>
        <w:rPr>
          <w:rFonts w:hint="eastAsia" w:ascii="宋体" w:hAnsi="宋体" w:eastAsia="宋体" w:cs="宋体"/>
          <w:color w:val="auto"/>
          <w:highlight w:val="none"/>
          <w:shd w:val="clear" w:color="auto" w:fill="FFFFFF"/>
        </w:rPr>
        <w:t>5.最高限价（如有）：188</w:t>
      </w:r>
      <w:r>
        <w:rPr>
          <w:rFonts w:hint="eastAsia" w:ascii="宋体" w:hAnsi="宋体" w:eastAsia="宋体" w:cs="宋体"/>
          <w:color w:val="auto"/>
          <w:highlight w:val="none"/>
          <w:shd w:val="clear" w:color="auto" w:fill="FFFFFF"/>
          <w:lang w:val="en-US" w:eastAsia="zh-CN"/>
        </w:rPr>
        <w:t>万</w:t>
      </w:r>
      <w:r>
        <w:rPr>
          <w:rFonts w:hint="eastAsia" w:ascii="宋体" w:hAnsi="宋体" w:eastAsia="宋体" w:cs="宋体"/>
          <w:color w:val="auto"/>
          <w:highlight w:val="none"/>
          <w:shd w:val="clear" w:color="auto" w:fill="FFFFFF"/>
        </w:rPr>
        <w:t>元，其中加厚高强度地膜160.7万元、全生物降解地膜27.3万元</w:t>
      </w:r>
    </w:p>
    <w:p w14:paraId="51A4B0A4">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6.采购需求（简介）：</w:t>
      </w:r>
    </w:p>
    <w:p w14:paraId="143F0C31">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（一）加厚高强度地膜采购数量不少于134 吨（足额采购），宽度：1–4m（按实施主体需求确定），厚度：≥0.015mm，符合GB13735-2017规定。</w:t>
      </w:r>
    </w:p>
    <w:p w14:paraId="2DB1EF13">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（二）全生物降解地膜采购数量不少于9.75 吨（足额采购），宽度：0.9–3m（按乡镇需求确定），厚度：≥0.01mm，符合GB/T35795-2017规定。</w:t>
      </w:r>
    </w:p>
    <w:p w14:paraId="5900C76D">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（详细内容见本招标文件第四章）</w:t>
      </w:r>
    </w:p>
    <w:p w14:paraId="26A20146">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7.合同履行期限：</w:t>
      </w:r>
      <w:bookmarkStart w:id="13" w:name="OLE_LINK6"/>
      <w:r>
        <w:rPr>
          <w:rFonts w:hint="eastAsia" w:ascii="宋体" w:hAnsi="宋体" w:eastAsia="宋体" w:cs="宋体"/>
          <w:color w:val="auto"/>
          <w:highlight w:val="none"/>
        </w:rPr>
        <w:t>合同签订后按照采购人要求分批次分乡镇供货，收到采购人供货通知后15个日历天内完成供货并发放完成</w:t>
      </w:r>
      <w:bookmarkEnd w:id="13"/>
      <w:r>
        <w:rPr>
          <w:rFonts w:hint="eastAsia" w:ascii="宋体" w:hAnsi="宋体" w:eastAsia="宋体" w:cs="宋体"/>
          <w:color w:val="auto"/>
          <w:highlight w:val="none"/>
        </w:rPr>
        <w:t xml:space="preserve">。 </w:t>
      </w:r>
    </w:p>
    <w:p w14:paraId="7025A5E0">
      <w:pPr>
        <w:pStyle w:val="8"/>
        <w:spacing w:beforeAutospacing="0" w:afterAutospacing="0" w:line="360" w:lineRule="auto"/>
        <w:ind w:firstLine="720"/>
        <w:jc w:val="both"/>
        <w:rPr>
          <w:rFonts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8.本项目（是/否）接受联合体：否</w:t>
      </w:r>
    </w:p>
    <w:p w14:paraId="12CB8E2C">
      <w:pPr>
        <w:pStyle w:val="8"/>
        <w:keepNext/>
        <w:keepLines/>
        <w:spacing w:before="145" w:beforeAutospacing="0" w:after="145" w:afterAutospacing="0" w:line="360" w:lineRule="auto"/>
        <w:ind w:firstLine="723"/>
        <w:jc w:val="both"/>
        <w:rPr>
          <w:rFonts w:ascii="宋体" w:hAnsi="宋体" w:eastAsia="宋体" w:cs="宋体"/>
          <w:color w:val="auto"/>
          <w:highlight w:val="none"/>
        </w:rPr>
      </w:pPr>
      <w:bookmarkStart w:id="14" w:name="_Toc38985264"/>
      <w:bookmarkStart w:id="15" w:name="_Toc28359080"/>
      <w:bookmarkStart w:id="16" w:name="_Toc35393791"/>
      <w:bookmarkStart w:id="17" w:name="_Toc28359003"/>
      <w:bookmarkStart w:id="18" w:name="_Toc35393622"/>
      <w:r>
        <w:rPr>
          <w:rFonts w:hint="eastAsia" w:ascii="宋体" w:hAnsi="宋体" w:eastAsia="宋体" w:cs="宋体"/>
          <w:b/>
          <w:color w:val="auto"/>
          <w:highlight w:val="none"/>
        </w:rPr>
        <w:t>二、申请人的资格要求：</w:t>
      </w:r>
      <w:bookmarkEnd w:id="14"/>
      <w:bookmarkEnd w:id="15"/>
      <w:bookmarkEnd w:id="16"/>
      <w:bookmarkEnd w:id="17"/>
      <w:bookmarkEnd w:id="18"/>
    </w:p>
    <w:p w14:paraId="59C84FF1">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43076593">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自然人的身份证明；</w:t>
      </w:r>
    </w:p>
    <w:p w14:paraId="44CA941E">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1.2上一年度的财务状况报告（成立不满一年无需提供）；</w:t>
      </w:r>
    </w:p>
    <w:p w14:paraId="27407C78">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17BD4C33">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43C342D9">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5BFD7531">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0DEDBFDE">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2.落实政府采购政策需满足的资格要求：本项目属于专门面向中小企业采购的项目,供应商应提供</w:t>
      </w:r>
      <w:r>
        <w:rPr>
          <w:rFonts w:hint="eastAsia" w:ascii="宋体" w:hAnsi="宋体" w:eastAsia="宋体" w:cs="宋体"/>
          <w:color w:val="auto"/>
          <w:highlight w:val="none"/>
        </w:rPr>
        <w:t>中小企业声明函</w:t>
      </w:r>
      <w:r>
        <w:rPr>
          <w:rFonts w:hint="eastAsia" w:ascii="宋体" w:hAnsi="宋体" w:eastAsia="宋体" w:cs="宋体"/>
          <w:color w:val="auto"/>
          <w:highlight w:val="none"/>
        </w:rPr>
        <w:t>、监狱企业、残疾人福利性单位。</w:t>
      </w:r>
    </w:p>
    <w:p w14:paraId="00897B57">
      <w:pPr>
        <w:pStyle w:val="8"/>
        <w:widowControl/>
        <w:shd w:val="clear" w:color="auto" w:fill="FFFFFF"/>
        <w:spacing w:line="360" w:lineRule="auto"/>
        <w:ind w:firstLine="720"/>
        <w:rPr>
          <w:rFonts w:ascii="宋体" w:hAnsi="宋体" w:eastAsia="宋体" w:cs="宋体"/>
          <w:color w:val="auto"/>
          <w:highlight w:val="none"/>
        </w:rPr>
      </w:pPr>
      <w:r>
        <w:rPr>
          <w:rFonts w:hint="eastAsia" w:ascii="宋体" w:hAnsi="宋体" w:eastAsia="宋体" w:cs="宋体"/>
          <w:color w:val="auto"/>
          <w:highlight w:val="none"/>
        </w:rPr>
        <w:t>3.本项目的特定资格要求：无</w:t>
      </w:r>
    </w:p>
    <w:p w14:paraId="32F0CB21">
      <w:pPr>
        <w:pStyle w:val="8"/>
        <w:keepNext/>
        <w:keepLines/>
        <w:spacing w:before="145" w:beforeAutospacing="0" w:after="145" w:afterAutospacing="0" w:line="360" w:lineRule="auto"/>
        <w:ind w:firstLine="723"/>
        <w:jc w:val="both"/>
        <w:rPr>
          <w:rFonts w:ascii="宋体" w:hAnsi="宋体" w:eastAsia="宋体" w:cs="宋体"/>
          <w:color w:val="auto"/>
          <w:highlight w:val="none"/>
        </w:rPr>
      </w:pPr>
      <w:r>
        <w:rPr>
          <w:rFonts w:hint="eastAsia" w:ascii="宋体" w:hAnsi="宋体" w:eastAsia="宋体" w:cs="宋体"/>
          <w:b/>
          <w:color w:val="auto"/>
          <w:highlight w:val="none"/>
        </w:rPr>
        <w:t>三、获取招标文件</w:t>
      </w:r>
    </w:p>
    <w:p w14:paraId="1CD06B19">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bookmarkStart w:id="19" w:name="_Toc28359082"/>
      <w:bookmarkStart w:id="20" w:name="_Toc28359005"/>
      <w:bookmarkStart w:id="21" w:name="_Toc35393793"/>
      <w:bookmarkStart w:id="22" w:name="_Toc38985266"/>
      <w:bookmarkStart w:id="23" w:name="_Toc35393624"/>
      <w:r>
        <w:rPr>
          <w:rFonts w:hint="eastAsia" w:ascii="宋体" w:hAnsi="宋体" w:eastAsia="宋体" w:cs="宋体"/>
          <w:color w:val="auto"/>
          <w:highlight w:val="none"/>
        </w:rPr>
        <w:t>1.时间：</w:t>
      </w:r>
      <w:bookmarkEnd w:id="19"/>
      <w:bookmarkEnd w:id="20"/>
      <w:bookmarkEnd w:id="21"/>
      <w:bookmarkEnd w:id="22"/>
      <w:bookmarkEnd w:id="23"/>
      <w:r>
        <w:rPr>
          <w:rFonts w:hint="eastAsia" w:ascii="宋体" w:hAnsi="宋体" w:eastAsia="宋体" w:cs="宋体"/>
          <w:color w:val="auto"/>
          <w:highlight w:val="none"/>
        </w:rPr>
        <w:t>自招标文件公告发布之日起5个工作日 。</w:t>
      </w:r>
    </w:p>
    <w:p w14:paraId="3FE7E4A2">
      <w:pPr>
        <w:widowControl/>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2.地点：“苏采云”系统内免费下载（投标人必须在苏采云系统中获取采购文件，方能参与政府采购项目）；</w:t>
      </w:r>
    </w:p>
    <w:p w14:paraId="1CD7F0EF">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p>
    <w:p w14:paraId="2707C1A2">
      <w:pPr>
        <w:widowControl/>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5C0B4A98">
      <w:pPr>
        <w:pStyle w:val="8"/>
        <w:keepNext/>
        <w:keepLines/>
        <w:spacing w:before="145" w:beforeAutospacing="0" w:after="145" w:afterAutospacing="0" w:line="360" w:lineRule="auto"/>
        <w:ind w:firstLine="723"/>
        <w:jc w:val="both"/>
        <w:rPr>
          <w:rFonts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572AE98D">
      <w:pPr>
        <w:pStyle w:val="8"/>
        <w:widowControl/>
        <w:shd w:val="clear" w:color="auto" w:fill="FFFFFF"/>
        <w:spacing w:beforeAutospacing="0" w:afterAutospacing="0" w:line="360" w:lineRule="auto"/>
        <w:ind w:firstLine="240" w:firstLineChars="100"/>
        <w:jc w:val="both"/>
        <w:rPr>
          <w:rFonts w:ascii="宋体" w:hAnsi="宋体" w:eastAsia="宋体" w:cs="宋体"/>
          <w:color w:val="auto"/>
          <w:highlight w:val="none"/>
        </w:rPr>
      </w:pPr>
      <w:r>
        <w:rPr>
          <w:rFonts w:hint="eastAsia" w:ascii="宋体" w:hAnsi="宋体" w:eastAsia="宋体" w:cs="宋体"/>
          <w:color w:val="auto"/>
          <w:highlight w:val="none"/>
        </w:rPr>
        <w:t xml:space="preserve">  1.时间：</w:t>
      </w:r>
      <w:r>
        <w:rPr>
          <w:rFonts w:hint="eastAsia" w:ascii="宋体" w:hAnsi="宋体" w:eastAsia="宋体" w:cs="宋体"/>
          <w:color w:val="auto"/>
          <w:highlight w:val="none"/>
          <w:u w:val="single"/>
        </w:rPr>
        <w:t> 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18</w:t>
      </w:r>
      <w:r>
        <w:rPr>
          <w:rFonts w:hint="eastAsia" w:ascii="宋体" w:hAnsi="宋体" w:eastAsia="宋体" w:cs="宋体"/>
          <w:color w:val="auto"/>
          <w:highlight w:val="none"/>
          <w:u w:val="single"/>
        </w:rPr>
        <w:t>日</w:t>
      </w:r>
      <w:r>
        <w:rPr>
          <w:rFonts w:hint="eastAsia" w:ascii="宋体" w:hAnsi="宋体" w:eastAsia="宋体" w:cs="宋体"/>
          <w:color w:val="auto"/>
          <w:highlight w:val="none"/>
        </w:rPr>
        <w:t>（北京时间）。</w:t>
      </w:r>
    </w:p>
    <w:p w14:paraId="077143D5">
      <w:pPr>
        <w:pStyle w:val="8"/>
        <w:spacing w:beforeAutospacing="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4B81A46E">
      <w:pPr>
        <w:pStyle w:val="8"/>
        <w:keepNext/>
        <w:keepLines/>
        <w:spacing w:before="145" w:beforeAutospacing="0" w:after="145" w:afterAutospacing="0" w:line="360" w:lineRule="auto"/>
        <w:ind w:firstLine="723"/>
        <w:jc w:val="both"/>
        <w:rPr>
          <w:rFonts w:ascii="宋体" w:hAnsi="宋体" w:eastAsia="宋体" w:cs="宋体"/>
          <w:color w:val="auto"/>
          <w:highlight w:val="none"/>
        </w:rPr>
      </w:pPr>
      <w:bookmarkStart w:id="24" w:name="_Toc35393794"/>
      <w:bookmarkStart w:id="25" w:name="_Toc28359084"/>
      <w:bookmarkStart w:id="26" w:name="_Toc35393625"/>
      <w:bookmarkStart w:id="27" w:name="_Toc28359007"/>
      <w:bookmarkStart w:id="28" w:name="_Toc38985267"/>
      <w:r>
        <w:rPr>
          <w:rFonts w:hint="eastAsia" w:ascii="宋体" w:hAnsi="宋体" w:eastAsia="宋体" w:cs="宋体"/>
          <w:b/>
          <w:color w:val="auto"/>
          <w:highlight w:val="none"/>
        </w:rPr>
        <w:t>五、公告期限</w:t>
      </w:r>
      <w:bookmarkEnd w:id="24"/>
      <w:bookmarkEnd w:id="25"/>
      <w:bookmarkEnd w:id="26"/>
      <w:bookmarkEnd w:id="27"/>
      <w:bookmarkEnd w:id="28"/>
    </w:p>
    <w:p w14:paraId="7C612B25">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bookmarkStart w:id="29" w:name="_Toc38985268"/>
      <w:bookmarkStart w:id="30" w:name="_Toc35393795"/>
      <w:bookmarkStart w:id="31" w:name="_Toc35393626"/>
      <w:r>
        <w:rPr>
          <w:rFonts w:hint="eastAsia" w:ascii="宋体" w:hAnsi="宋体" w:eastAsia="宋体" w:cs="宋体"/>
          <w:color w:val="auto"/>
          <w:highlight w:val="none"/>
          <w:shd w:val="clear" w:color="auto" w:fill="FFFFFF"/>
        </w:rPr>
        <w:t>自本公告发布之日起5个工作日。</w:t>
      </w:r>
      <w:bookmarkEnd w:id="29"/>
      <w:bookmarkEnd w:id="30"/>
      <w:bookmarkEnd w:id="31"/>
    </w:p>
    <w:p w14:paraId="7A54455B">
      <w:pPr>
        <w:pStyle w:val="8"/>
        <w:keepNext/>
        <w:keepLines/>
        <w:spacing w:before="145" w:beforeAutospacing="0" w:after="145" w:afterAutospacing="0" w:line="360" w:lineRule="auto"/>
        <w:ind w:firstLine="723"/>
        <w:jc w:val="both"/>
        <w:rPr>
          <w:rFonts w:ascii="宋体" w:hAnsi="宋体" w:eastAsia="宋体" w:cs="宋体"/>
          <w:color w:val="auto"/>
          <w:highlight w:val="none"/>
        </w:rPr>
      </w:pPr>
      <w:r>
        <w:rPr>
          <w:rFonts w:hint="eastAsia" w:ascii="宋体" w:hAnsi="宋体" w:eastAsia="宋体" w:cs="宋体"/>
          <w:b/>
          <w:color w:val="auto"/>
          <w:highlight w:val="none"/>
        </w:rPr>
        <w:t>六、其他补充事宜</w:t>
      </w:r>
    </w:p>
    <w:p w14:paraId="788D013D">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bookmarkStart w:id="32" w:name="_Toc28359018"/>
      <w:r>
        <w:rPr>
          <w:rFonts w:hint="eastAsia" w:ascii="宋体" w:hAnsi="宋体" w:eastAsia="宋体" w:cs="宋体"/>
          <w:color w:val="auto"/>
          <w:highlight w:val="none"/>
          <w:shd w:val="clear" w:color="auto" w:fill="FFFFFF"/>
        </w:rPr>
        <w:t>1.根据</w:t>
      </w:r>
      <w:r>
        <w:rPr>
          <w:rFonts w:hint="eastAsia" w:ascii="宋体" w:hAnsi="宋体" w:eastAsia="宋体" w:cs="宋体"/>
          <w:color w:val="auto"/>
          <w:highlight w:val="none"/>
          <w:shd w:val="clear" w:color="auto" w:fill="FFFFFF"/>
        </w:rPr>
        <w:t>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spacing w:line="360" w:lineRule="auto"/>
        <w:ind w:firstLine="72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领取CA和办理电子签章（请至</w:t>
      </w:r>
      <w:r>
        <w:rPr>
          <w:rFonts w:hint="eastAsia" w:ascii="宋体" w:hAnsi="宋体" w:eastAsia="宋体" w:cs="宋体"/>
          <w:color w:val="auto"/>
          <w:sz w:val="24"/>
          <w:highlight w:val="none"/>
        </w:rPr>
        <w:t>盐城市府西路1号盐城市公共资源交易中心四楼大厅10号，11号窗口</w:t>
      </w:r>
      <w:r>
        <w:rPr>
          <w:rFonts w:hint="eastAsia" w:ascii="宋体" w:hAnsi="宋体" w:eastAsia="宋体" w:cs="宋体"/>
          <w:color w:val="auto"/>
          <w:sz w:val="24"/>
          <w:highlight w:val="none"/>
          <w:shd w:val="clear" w:color="auto" w:fill="FFFFFF"/>
        </w:rPr>
        <w:t>办理，联系电话：15051556883，办理邮箱：yancheng@ideabank.net.cn，具体联系方式见《苏采云系统供应商操作手册》（以下简称《操作手册》））、进行</w:t>
      </w:r>
      <w:r>
        <w:rPr>
          <w:rFonts w:hint="eastAsia" w:ascii="宋体" w:hAnsi="宋体" w:eastAsia="宋体" w:cs="宋体"/>
          <w:color w:val="auto"/>
          <w:sz w:val="24"/>
          <w:highlight w:val="none"/>
          <w:shd w:val="clear" w:color="auto" w:fill="FFFFFF"/>
        </w:rPr>
        <w:t>注册并按《操作手册》要求制作、上传电子投标文件,《苏采云系统供应商操作手册》：在盐城市政府采购网点击【办事指南】-【供应商参与政府采购活动相关资料】。</w:t>
      </w:r>
    </w:p>
    <w:p w14:paraId="5C04DD9E">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p>
    <w:p w14:paraId="636817EC">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p>
    <w:p w14:paraId="0F939ADC">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p>
    <w:p w14:paraId="70759E2A">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p>
    <w:p w14:paraId="170CF67C">
      <w:pPr>
        <w:pStyle w:val="8"/>
        <w:widowControl/>
        <w:shd w:val="clear" w:color="auto" w:fill="FFFFFF"/>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p>
    <w:p w14:paraId="6EE3D9D4">
      <w:pPr>
        <w:widowControl/>
        <w:spacing w:line="360" w:lineRule="auto"/>
        <w:ind w:firstLine="480" w:firstLineChars="200"/>
        <w:jc w:val="left"/>
        <w:rPr>
          <w:rFonts w:ascii="宋体" w:hAnsi="宋体" w:eastAsia="宋体" w:cs="宋体"/>
          <w:color w:val="auto"/>
          <w:sz w:val="24"/>
          <w:highlight w:val="none"/>
          <w:shd w:val="clear" w:color="auto" w:fill="FFFFFF"/>
        </w:rPr>
      </w:pPr>
      <w:r>
        <w:rPr>
          <w:rFonts w:hint="eastAsia" w:ascii="宋体" w:hAnsi="宋体" w:eastAsia="宋体" w:cs="宋体"/>
          <w:color w:val="auto"/>
          <w:kern w:val="0"/>
          <w:sz w:val="24"/>
          <w:highlight w:val="none"/>
        </w:rPr>
        <w:t>如潜在投标人未按上述要求操作，将自行承担所产生的风险。</w:t>
      </w:r>
    </w:p>
    <w:p w14:paraId="2FA944ED">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3.有关本次招标的事项若存在变动或修改，敬请及时关注盐城市政府采购中心在“</w:t>
      </w:r>
      <w:r>
        <w:rPr>
          <w:rFonts w:hint="eastAsia" w:ascii="宋体" w:hAnsi="宋体" w:eastAsia="宋体" w:cs="宋体"/>
          <w:color w:val="auto"/>
          <w:highlight w:val="none"/>
        </w:rPr>
        <w:t>中国政府采购网”“</w:t>
      </w:r>
      <w:r>
        <w:rPr>
          <w:rFonts w:hint="eastAsia" w:ascii="宋体" w:hAnsi="宋体" w:eastAsia="宋体" w:cs="宋体"/>
          <w:color w:val="auto"/>
          <w:highlight w:val="none"/>
          <w:shd w:val="clear" w:color="auto" w:fill="FFFFFF"/>
        </w:rPr>
        <w:t>江苏政府采购网”“盐城市政府采购网”发布的更正公告。</w:t>
      </w:r>
    </w:p>
    <w:p w14:paraId="125CCBEF">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4.本次招标不收取投标保证金，不收取质量保证金。</w:t>
      </w:r>
    </w:p>
    <w:p w14:paraId="44A6E49B">
      <w:pPr>
        <w:pStyle w:val="2"/>
        <w:widowControl/>
        <w:shd w:val="clear" w:color="auto" w:fill="FFFFFF"/>
        <w:spacing w:beforeAutospacing="0" w:afterAutospacing="0" w:line="360" w:lineRule="auto"/>
        <w:ind w:firstLine="482" w:firstLineChars="200"/>
        <w:jc w:val="both"/>
        <w:rPr>
          <w:rFonts w:hint="default" w:cs="宋体"/>
          <w:b w:val="0"/>
          <w:bCs w:val="0"/>
          <w:color w:val="auto"/>
          <w:sz w:val="24"/>
          <w:szCs w:val="24"/>
          <w:highlight w:val="none"/>
        </w:rPr>
      </w:pPr>
      <w:r>
        <w:rPr>
          <w:rFonts w:cs="宋体"/>
          <w:color w:val="auto"/>
          <w:sz w:val="24"/>
          <w:szCs w:val="24"/>
          <w:highlight w:val="none"/>
          <w:shd w:val="clear" w:color="auto" w:fill="FFFFFF"/>
        </w:rPr>
        <w:t>七、对本次招标提出询问，请按以下方式联系。</w:t>
      </w:r>
      <w:bookmarkEnd w:id="32"/>
    </w:p>
    <w:p w14:paraId="3F38297B">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1.采购人信息</w:t>
      </w:r>
    </w:p>
    <w:p w14:paraId="0A8837C7">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称：盐城市亭湖区农业农村局  </w:t>
      </w:r>
    </w:p>
    <w:p w14:paraId="22830B91">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地址：盐城市亭湖区青年东路55号</w:t>
      </w:r>
    </w:p>
    <w:p w14:paraId="0E897FC9">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联系人：李女士              </w:t>
      </w:r>
    </w:p>
    <w:p w14:paraId="22A81F95">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联系方式：0515-66871512            </w:t>
      </w:r>
    </w:p>
    <w:p w14:paraId="4146E5AC">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2.采购代理机构信息</w:t>
      </w:r>
    </w:p>
    <w:p w14:paraId="3DF7BE2C">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名 称：盐城市招标代理有限公司</w:t>
      </w:r>
    </w:p>
    <w:p w14:paraId="79E4123E">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 址：盐城市青年中路59号钱江财富广场</w:t>
      </w:r>
    </w:p>
    <w:p w14:paraId="0EE6CC17">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联系人：周工                     </w:t>
      </w:r>
    </w:p>
    <w:p w14:paraId="05E06D6F">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联系方式：</w:t>
      </w:r>
      <w:bookmarkStart w:id="33" w:name="_Toc28359010"/>
      <w:bookmarkStart w:id="34" w:name="_Toc28359087"/>
      <w:r>
        <w:rPr>
          <w:rFonts w:hint="eastAsia" w:ascii="宋体" w:hAnsi="宋体" w:eastAsia="宋体" w:cs="宋体"/>
          <w:color w:val="auto"/>
          <w:highlight w:val="none"/>
          <w:shd w:val="clear" w:color="auto" w:fill="FFFFFF"/>
        </w:rPr>
        <w:t>13851341188       </w:t>
      </w:r>
      <w:bookmarkEnd w:id="33"/>
      <w:bookmarkEnd w:id="34"/>
      <w:r>
        <w:rPr>
          <w:rFonts w:hint="eastAsia" w:ascii="宋体" w:hAnsi="宋体" w:eastAsia="宋体" w:cs="宋体"/>
          <w:color w:val="auto"/>
          <w:highlight w:val="none"/>
          <w:shd w:val="clear" w:color="auto" w:fill="FFFFFF"/>
        </w:rPr>
        <w:t xml:space="preserve">            </w:t>
      </w:r>
    </w:p>
    <w:p w14:paraId="2ACE43EA">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bookmarkStart w:id="35" w:name="_Toc28359021"/>
      <w:r>
        <w:rPr>
          <w:rFonts w:hint="eastAsia" w:ascii="宋体" w:hAnsi="宋体" w:eastAsia="宋体" w:cs="宋体"/>
          <w:color w:val="auto"/>
          <w:highlight w:val="none"/>
          <w:shd w:val="clear" w:color="auto" w:fill="FFFFFF"/>
        </w:rPr>
        <w:t>3.</w:t>
      </w:r>
      <w:bookmarkEnd w:id="35"/>
      <w:r>
        <w:rPr>
          <w:rFonts w:hint="eastAsia" w:ascii="宋体" w:hAnsi="宋体" w:eastAsia="宋体" w:cs="宋体"/>
          <w:color w:val="auto"/>
          <w:highlight w:val="none"/>
          <w:shd w:val="clear" w:color="auto" w:fill="FFFFFF"/>
        </w:rPr>
        <w:t>项目联系方式</w:t>
      </w:r>
    </w:p>
    <w:p w14:paraId="3AA00499">
      <w:pPr>
        <w:pStyle w:val="8"/>
        <w:widowControl/>
        <w:shd w:val="clear" w:color="auto" w:fill="FFFFFF"/>
        <w:spacing w:beforeAutospacing="0" w:afterAutospacing="0" w:line="360" w:lineRule="auto"/>
        <w:ind w:firstLine="72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项目联系人：李女士</w:t>
      </w:r>
    </w:p>
    <w:p w14:paraId="11CEABD0">
      <w:pPr>
        <w:pStyle w:val="8"/>
        <w:widowControl/>
        <w:shd w:val="clear" w:color="auto" w:fill="FFFFFF"/>
        <w:spacing w:beforeAutospacing="0" w:afterAutospacing="0" w:line="360" w:lineRule="auto"/>
        <w:ind w:firstLine="720"/>
        <w:jc w:val="both"/>
        <w:rPr>
          <w:rFonts w:ascii="宋体" w:hAnsi="宋体" w:eastAsia="宋体" w:cs="宋体"/>
          <w:color w:val="auto"/>
          <w:sz w:val="28"/>
          <w:szCs w:val="28"/>
          <w:highlight w:val="none"/>
          <w:shd w:val="clear" w:color="auto" w:fill="FFFFFF"/>
        </w:rPr>
      </w:pPr>
      <w:r>
        <w:rPr>
          <w:rFonts w:hint="eastAsia" w:ascii="宋体" w:hAnsi="宋体" w:eastAsia="宋体" w:cs="宋体"/>
          <w:color w:val="auto"/>
          <w:highlight w:val="none"/>
          <w:shd w:val="clear" w:color="auto" w:fill="FFFFFF"/>
        </w:rPr>
        <w:t>电　　 话：0515-66871512</w:t>
      </w:r>
      <w:r>
        <w:rPr>
          <w:rFonts w:hint="eastAsia" w:ascii="宋体" w:hAnsi="宋体" w:eastAsia="宋体" w:cs="宋体"/>
          <w:color w:val="auto"/>
          <w:sz w:val="28"/>
          <w:szCs w:val="28"/>
          <w:highlight w:val="none"/>
          <w:shd w:val="clear" w:color="auto" w:fill="FFFFFF"/>
        </w:rPr>
        <w:t>　　　　　　　　　　　　</w:t>
      </w:r>
    </w:p>
    <w:p w14:paraId="3067DD59">
      <w:pPr>
        <w:ind w:firstLine="84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49AC74DB">
      <w:pPr>
        <w:ind w:firstLine="840"/>
        <w:rPr>
          <w:rFonts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r>
      <w:bookmarkStart w:id="36" w:name="_Toc120614211"/>
    </w:p>
    <w:p w14:paraId="61EAED5C">
      <w:pPr>
        <w:pStyle w:val="8"/>
        <w:keepNext/>
        <w:keepLines/>
        <w:spacing w:before="260" w:beforeAutospacing="0" w:after="260" w:afterAutospacing="0" w:line="415" w:lineRule="auto"/>
        <w:ind w:firstLine="1446" w:firstLineChars="300"/>
        <w:jc w:val="both"/>
        <w:rPr>
          <w:color w:val="auto"/>
          <w:sz w:val="48"/>
          <w:szCs w:val="48"/>
          <w:highlight w:val="none"/>
        </w:rPr>
      </w:pPr>
      <w:r>
        <w:rPr>
          <w:rFonts w:hint="eastAsia" w:ascii="黑体" w:hAnsi="宋体" w:eastAsia="黑体" w:cs="黑体"/>
          <w:b/>
          <w:color w:val="auto"/>
          <w:sz w:val="48"/>
          <w:szCs w:val="48"/>
          <w:highlight w:val="none"/>
        </w:rPr>
        <w:t xml:space="preserve">第二章  </w:t>
      </w:r>
      <w:bookmarkEnd w:id="36"/>
      <w:bookmarkStart w:id="37" w:name="_Toc16938518"/>
      <w:bookmarkStart w:id="38" w:name="_Toc513029202"/>
      <w:bookmarkStart w:id="39" w:name="_Toc120614213"/>
      <w:bookmarkStart w:id="40" w:name="_Toc20823274"/>
      <w:r>
        <w:rPr>
          <w:rFonts w:hint="eastAsia" w:ascii="黑体" w:hAnsi="宋体" w:eastAsia="黑体" w:cs="黑体"/>
          <w:b/>
          <w:color w:val="auto"/>
          <w:sz w:val="48"/>
          <w:szCs w:val="48"/>
          <w:highlight w:val="none"/>
        </w:rPr>
        <w:t>投标人须知</w:t>
      </w:r>
      <w:bookmarkEnd w:id="37"/>
      <w:bookmarkEnd w:id="38"/>
      <w:bookmarkEnd w:id="39"/>
      <w:bookmarkEnd w:id="40"/>
    </w:p>
    <w:p w14:paraId="62BC1E70">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41" w:name="_Toc120614214"/>
      <w:bookmarkStart w:id="42" w:name="_Toc513029203"/>
      <w:bookmarkStart w:id="43" w:name="_Toc16938519"/>
      <w:bookmarkStart w:id="44" w:name="_Toc20823275"/>
      <w:r>
        <w:rPr>
          <w:rFonts w:hint="eastAsia" w:ascii="宋体" w:hAnsi="宋体" w:eastAsia="宋体" w:cs="宋体"/>
          <w:b/>
          <w:color w:val="auto"/>
          <w:highlight w:val="none"/>
        </w:rPr>
        <w:t>一、总则</w:t>
      </w:r>
      <w:bookmarkEnd w:id="41"/>
      <w:bookmarkEnd w:id="42"/>
      <w:bookmarkEnd w:id="43"/>
      <w:bookmarkEnd w:id="44"/>
    </w:p>
    <w:p w14:paraId="44FB9187">
      <w:pPr>
        <w:pStyle w:val="8"/>
        <w:keepNext/>
        <w:keepLines/>
        <w:spacing w:beforeAutospacing="0" w:afterAutospacing="0" w:line="400" w:lineRule="atLeast"/>
        <w:ind w:firstLine="720"/>
        <w:jc w:val="both"/>
        <w:rPr>
          <w:rFonts w:ascii="宋体" w:hAnsi="宋体" w:eastAsia="宋体" w:cs="宋体"/>
          <w:color w:val="auto"/>
          <w:highlight w:val="none"/>
        </w:rPr>
      </w:pPr>
      <w:bookmarkStart w:id="45" w:name="_Toc20823276"/>
      <w:bookmarkStart w:id="46" w:name="_Toc513029204"/>
      <w:bookmarkStart w:id="47" w:name="_Toc16938520"/>
      <w:bookmarkStart w:id="48" w:name="_Toc458694821"/>
      <w:bookmarkStart w:id="49" w:name="_Hlt16619475"/>
      <w:r>
        <w:rPr>
          <w:rFonts w:hint="eastAsia" w:ascii="宋体" w:hAnsi="宋体" w:eastAsia="宋体" w:cs="宋体"/>
          <w:color w:val="auto"/>
          <w:highlight w:val="none"/>
        </w:rPr>
        <w:t>1</w:t>
      </w:r>
      <w:bookmarkEnd w:id="45"/>
      <w:r>
        <w:rPr>
          <w:rFonts w:hint="eastAsia" w:ascii="宋体" w:hAnsi="宋体" w:eastAsia="宋体" w:cs="宋体"/>
          <w:color w:val="auto"/>
          <w:highlight w:val="none"/>
        </w:rPr>
        <w:t>、招标方式</w:t>
      </w:r>
      <w:bookmarkEnd w:id="46"/>
      <w:bookmarkEnd w:id="47"/>
      <w:bookmarkEnd w:id="48"/>
    </w:p>
    <w:p w14:paraId="4D5B8CA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1.1 本次招标采取公开招标方式，本招标文件仅适用于招标公告中所述项目。</w:t>
      </w:r>
    </w:p>
    <w:p w14:paraId="42700208">
      <w:pPr>
        <w:pStyle w:val="8"/>
        <w:keepNext/>
        <w:keepLines/>
        <w:spacing w:beforeAutospacing="0" w:afterAutospacing="0" w:line="400" w:lineRule="atLeast"/>
        <w:ind w:firstLine="720"/>
        <w:jc w:val="both"/>
        <w:rPr>
          <w:rFonts w:ascii="宋体" w:hAnsi="宋体" w:eastAsia="宋体" w:cs="宋体"/>
          <w:color w:val="auto"/>
          <w:highlight w:val="none"/>
        </w:rPr>
      </w:pPr>
      <w:bookmarkStart w:id="50" w:name="_Toc16938521"/>
      <w:bookmarkStart w:id="51" w:name="_Toc20823277"/>
      <w:bookmarkStart w:id="52" w:name="_Toc513029205"/>
      <w:r>
        <w:rPr>
          <w:rFonts w:hint="eastAsia" w:ascii="宋体" w:hAnsi="宋体" w:eastAsia="宋体" w:cs="宋体"/>
          <w:color w:val="auto"/>
          <w:highlight w:val="none"/>
        </w:rPr>
        <w:t>2、合格的投标人</w:t>
      </w:r>
      <w:bookmarkEnd w:id="50"/>
      <w:bookmarkEnd w:id="51"/>
      <w:bookmarkEnd w:id="52"/>
    </w:p>
    <w:p w14:paraId="1555F18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20D83CF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2.2 满足本文件实质性要求和条件的规定。</w:t>
      </w:r>
    </w:p>
    <w:p w14:paraId="3707E763">
      <w:pPr>
        <w:spacing w:line="400" w:lineRule="atLeast"/>
        <w:ind w:firstLine="420" w:firstLineChars="175"/>
        <w:rPr>
          <w:rFonts w:ascii="方正魏碑_GBK" w:hAnsi="方正魏碑_GBK" w:eastAsia="方正魏碑_GBK" w:cs="方正魏碑_GBK"/>
          <w:color w:val="auto"/>
          <w:sz w:val="24"/>
          <w:highlight w:val="none"/>
        </w:rPr>
      </w:pPr>
      <w:bookmarkStart w:id="53" w:name="_Toc513029206"/>
      <w:bookmarkStart w:id="54" w:name="_Toc20823278"/>
      <w:bookmarkStart w:id="55" w:name="_Toc16938522"/>
      <w:r>
        <w:rPr>
          <w:rFonts w:hint="eastAsia" w:ascii="方正魏碑_GBK" w:hAnsi="方正魏碑_GBK" w:eastAsia="方正魏碑_GBK" w:cs="方正魏碑_GBK"/>
          <w:color w:val="auto"/>
          <w:sz w:val="24"/>
          <w:highlight w:val="none"/>
        </w:rPr>
        <w:t>3、适用法律</w:t>
      </w:r>
      <w:bookmarkEnd w:id="53"/>
      <w:bookmarkEnd w:id="54"/>
      <w:bookmarkEnd w:id="55"/>
      <w:r>
        <w:rPr>
          <w:rFonts w:hint="eastAsia" w:ascii="方正魏碑_GBK" w:hAnsi="方正魏碑_GBK" w:eastAsia="方正魏碑_GBK" w:cs="方正魏碑_GBK"/>
          <w:color w:val="auto"/>
          <w:sz w:val="24"/>
          <w:highlight w:val="none"/>
        </w:rPr>
        <w:t>和标准</w:t>
      </w:r>
    </w:p>
    <w:p w14:paraId="00F420D2">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0698688C">
      <w:pPr>
        <w:spacing w:line="400" w:lineRule="atLeast"/>
        <w:ind w:firstLine="420" w:firstLineChars="175"/>
        <w:rPr>
          <w:rFonts w:ascii="宋体" w:hAnsi="宋体" w:eastAsia="宋体" w:cs="宋体"/>
          <w:color w:val="auto"/>
          <w:sz w:val="24"/>
          <w:highlight w:val="none"/>
        </w:rPr>
      </w:pPr>
      <w:r>
        <w:rPr>
          <w:rFonts w:hint="eastAsia" w:ascii="方正魏碑_GBK" w:hAnsi="方正魏碑_GBK" w:eastAsia="方正魏碑_GBK" w:cs="方正魏碑_GBK"/>
          <w:color w:val="auto"/>
          <w:sz w:val="24"/>
          <w:highlight w:val="none"/>
        </w:rPr>
        <w:t>3.2 在本项目政府采购活动过程中，如果所执行的标准有更新的，按照最新标准执行。</w:t>
      </w:r>
    </w:p>
    <w:p w14:paraId="40AEBF59">
      <w:pPr>
        <w:pStyle w:val="8"/>
        <w:keepNext/>
        <w:keepLines/>
        <w:spacing w:beforeAutospacing="0" w:afterAutospacing="0" w:line="400" w:lineRule="atLeast"/>
        <w:ind w:firstLine="720"/>
        <w:jc w:val="both"/>
        <w:rPr>
          <w:rFonts w:ascii="宋体" w:hAnsi="宋体" w:eastAsia="宋体" w:cs="宋体"/>
          <w:color w:val="auto"/>
          <w:highlight w:val="none"/>
        </w:rPr>
      </w:pPr>
      <w:bookmarkStart w:id="56" w:name="_Toc462564067"/>
      <w:bookmarkStart w:id="57" w:name="_Toc16938523"/>
      <w:bookmarkStart w:id="58" w:name="_Toc20823279"/>
      <w:bookmarkStart w:id="59" w:name="_Toc513029207"/>
      <w:r>
        <w:rPr>
          <w:rFonts w:hint="eastAsia" w:ascii="宋体" w:hAnsi="宋体" w:eastAsia="宋体" w:cs="宋体"/>
          <w:color w:val="auto"/>
          <w:highlight w:val="none"/>
        </w:rPr>
        <w:t>4、投标费用</w:t>
      </w:r>
      <w:bookmarkEnd w:id="56"/>
      <w:bookmarkEnd w:id="57"/>
      <w:bookmarkEnd w:id="58"/>
      <w:bookmarkEnd w:id="59"/>
    </w:p>
    <w:p w14:paraId="27AEA6D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4.1 投标人应自行承担所有与参加投标有关的费用，无论投标过程中的做法和结果如何，采购人在任何情况下均无义务和责任承担这些费用。</w:t>
      </w:r>
    </w:p>
    <w:p w14:paraId="4787C9A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4.2本项目的招标代理服务费由中标人承担，招标代理费按苏政采协[2024]20号文取费标准计取，投标人在投标时应将此费用自行考虑在投标报价中，不单列，由中标供应商在领取中标通知书前支付。</w:t>
      </w:r>
    </w:p>
    <w:p w14:paraId="2E3FB307">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bCs/>
          <w:color w:val="auto"/>
          <w:highlight w:val="none"/>
        </w:rPr>
        <w:t>5、</w:t>
      </w:r>
      <w:r>
        <w:rPr>
          <w:rFonts w:hint="eastAsia" w:ascii="宋体" w:hAnsi="宋体" w:eastAsia="宋体" w:cs="宋体"/>
          <w:color w:val="auto"/>
          <w:highlight w:val="none"/>
        </w:rPr>
        <w:t>招标文件的约束力</w:t>
      </w:r>
    </w:p>
    <w:p w14:paraId="5F4AAD3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07B38712">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60" w:name="_Toc120614215"/>
      <w:bookmarkStart w:id="61" w:name="_Toc20823281"/>
      <w:bookmarkStart w:id="62" w:name="_Toc513029209"/>
      <w:bookmarkStart w:id="63" w:name="_Toc16938525"/>
      <w:r>
        <w:rPr>
          <w:rFonts w:hint="eastAsia" w:ascii="宋体" w:hAnsi="宋体" w:eastAsia="宋体" w:cs="宋体"/>
          <w:b/>
          <w:color w:val="auto"/>
          <w:highlight w:val="none"/>
        </w:rPr>
        <w:t>二、招标文件</w:t>
      </w:r>
      <w:bookmarkEnd w:id="60"/>
      <w:bookmarkEnd w:id="61"/>
      <w:bookmarkEnd w:id="62"/>
      <w:bookmarkEnd w:id="63"/>
    </w:p>
    <w:p w14:paraId="2F83F8F5">
      <w:pPr>
        <w:pStyle w:val="8"/>
        <w:keepNext/>
        <w:keepLines/>
        <w:spacing w:beforeAutospacing="0" w:afterAutospacing="0" w:line="400" w:lineRule="atLeast"/>
        <w:ind w:firstLine="720"/>
        <w:jc w:val="both"/>
        <w:rPr>
          <w:rFonts w:ascii="宋体" w:hAnsi="宋体" w:eastAsia="宋体" w:cs="宋体"/>
          <w:color w:val="auto"/>
          <w:highlight w:val="none"/>
        </w:rPr>
      </w:pPr>
      <w:bookmarkStart w:id="64" w:name="_Toc16938526"/>
      <w:bookmarkStart w:id="65" w:name="_Toc513029210"/>
      <w:bookmarkStart w:id="66" w:name="_Toc20823282"/>
      <w:r>
        <w:rPr>
          <w:rFonts w:hint="eastAsia" w:ascii="宋体" w:hAnsi="宋体" w:eastAsia="宋体" w:cs="宋体"/>
          <w:color w:val="auto"/>
          <w:highlight w:val="none"/>
        </w:rPr>
        <w:t>6、招标文件构成</w:t>
      </w:r>
      <w:bookmarkEnd w:id="64"/>
      <w:bookmarkEnd w:id="65"/>
      <w:bookmarkEnd w:id="66"/>
    </w:p>
    <w:p w14:paraId="09D59A2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64B74B0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（1）招标公告</w:t>
      </w:r>
    </w:p>
    <w:p w14:paraId="6989F30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（2）投标人须知</w:t>
      </w:r>
    </w:p>
    <w:p w14:paraId="6605AC4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（3）合同文本</w:t>
      </w:r>
    </w:p>
    <w:p w14:paraId="769C3F0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（4）采购需求</w:t>
      </w:r>
    </w:p>
    <w:p w14:paraId="4607D88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（5）评标方法与评标标准</w:t>
      </w:r>
    </w:p>
    <w:p w14:paraId="740ADAA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（6）投标文件格式</w:t>
      </w:r>
    </w:p>
    <w:p w14:paraId="6BE2BA9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请仔细检查招标文件是否齐全，如有缺漏请立即与采购人联系解决。</w:t>
      </w:r>
    </w:p>
    <w:p w14:paraId="48D5BE9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8"/>
        <w:keepNext/>
        <w:keepLines/>
        <w:spacing w:beforeAutospacing="0" w:afterAutospacing="0" w:line="400" w:lineRule="atLeast"/>
        <w:ind w:firstLine="720"/>
        <w:jc w:val="both"/>
        <w:rPr>
          <w:rFonts w:ascii="宋体" w:hAnsi="宋体" w:eastAsia="宋体" w:cs="宋体"/>
          <w:color w:val="auto"/>
          <w:highlight w:val="none"/>
        </w:rPr>
      </w:pPr>
      <w:bookmarkStart w:id="67" w:name="_Toc462564070"/>
      <w:bookmarkStart w:id="68" w:name="_Toc513029211"/>
      <w:bookmarkStart w:id="69" w:name="_Toc20823283"/>
      <w:bookmarkStart w:id="70" w:name="_Toc16938527"/>
      <w:r>
        <w:rPr>
          <w:rFonts w:hint="eastAsia" w:ascii="宋体" w:hAnsi="宋体" w:eastAsia="宋体" w:cs="宋体"/>
          <w:color w:val="auto"/>
          <w:highlight w:val="none"/>
        </w:rPr>
        <w:t>7、招标文件的澄清</w:t>
      </w:r>
      <w:bookmarkEnd w:id="67"/>
      <w:bookmarkEnd w:id="68"/>
      <w:bookmarkEnd w:id="69"/>
      <w:bookmarkEnd w:id="70"/>
    </w:p>
    <w:p w14:paraId="22F4087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7.1 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前按招标公告中的通讯地址，以书面形式通知采购人。</w:t>
      </w:r>
    </w:p>
    <w:p w14:paraId="20CF7084">
      <w:pPr>
        <w:pStyle w:val="8"/>
        <w:keepNext/>
        <w:keepLines/>
        <w:spacing w:beforeAutospacing="0" w:afterAutospacing="0" w:line="400" w:lineRule="atLeast"/>
        <w:ind w:firstLine="720"/>
        <w:jc w:val="both"/>
        <w:rPr>
          <w:rFonts w:ascii="宋体" w:hAnsi="宋体" w:eastAsia="宋体" w:cs="宋体"/>
          <w:color w:val="auto"/>
          <w:highlight w:val="none"/>
        </w:rPr>
      </w:pPr>
      <w:bookmarkStart w:id="71" w:name="_Toc20823284"/>
      <w:bookmarkStart w:id="72" w:name="_Toc462564071"/>
      <w:bookmarkStart w:id="73" w:name="_Toc16938528"/>
      <w:bookmarkStart w:id="74" w:name="_Toc513029212"/>
      <w:r>
        <w:rPr>
          <w:rFonts w:hint="eastAsia" w:ascii="宋体" w:hAnsi="宋体" w:eastAsia="宋体" w:cs="宋体"/>
          <w:color w:val="auto"/>
          <w:highlight w:val="none"/>
        </w:rPr>
        <w:t>8、招标文件的修改</w:t>
      </w:r>
      <w:bookmarkEnd w:id="71"/>
      <w:bookmarkEnd w:id="72"/>
      <w:bookmarkEnd w:id="73"/>
      <w:bookmarkEnd w:id="74"/>
    </w:p>
    <w:p w14:paraId="62C809B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8.1 在投标截止时间前，采购人可以对招标文件进行修改。</w:t>
      </w:r>
    </w:p>
    <w:p w14:paraId="2459CDD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8.2 采购人有权按照法定的要求推迟投标截止日期和开标日期。</w:t>
      </w:r>
    </w:p>
    <w:p w14:paraId="5385C31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8.3 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2CDB0962">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75" w:name="_Toc513029213"/>
      <w:bookmarkStart w:id="76" w:name="_Toc462564072"/>
      <w:bookmarkStart w:id="77" w:name="_Toc120614216"/>
      <w:bookmarkStart w:id="78" w:name="_Toc20823285"/>
      <w:bookmarkStart w:id="79" w:name="_Toc16938529"/>
      <w:r>
        <w:rPr>
          <w:rFonts w:hint="eastAsia" w:ascii="宋体" w:hAnsi="宋体" w:eastAsia="宋体" w:cs="宋体"/>
          <w:b/>
          <w:color w:val="auto"/>
          <w:highlight w:val="none"/>
        </w:rPr>
        <w:t>三、投标文件的编制</w:t>
      </w:r>
      <w:bookmarkEnd w:id="75"/>
      <w:bookmarkEnd w:id="76"/>
      <w:bookmarkEnd w:id="77"/>
      <w:bookmarkEnd w:id="78"/>
      <w:bookmarkEnd w:id="79"/>
    </w:p>
    <w:p w14:paraId="60E1EE2D">
      <w:pPr>
        <w:pStyle w:val="8"/>
        <w:keepNext/>
        <w:keepLines/>
        <w:spacing w:beforeAutospacing="0" w:afterAutospacing="0" w:line="400" w:lineRule="atLeast"/>
        <w:ind w:firstLine="720"/>
        <w:jc w:val="both"/>
        <w:rPr>
          <w:rFonts w:ascii="宋体" w:hAnsi="宋体" w:eastAsia="宋体" w:cs="宋体"/>
          <w:color w:val="auto"/>
          <w:highlight w:val="none"/>
        </w:rPr>
      </w:pPr>
      <w:bookmarkStart w:id="80" w:name="_Toc462564073"/>
      <w:bookmarkStart w:id="81" w:name="_Toc513029214"/>
      <w:bookmarkStart w:id="82" w:name="_Toc20823286"/>
      <w:bookmarkStart w:id="83" w:name="_Toc16938530"/>
      <w:r>
        <w:rPr>
          <w:rFonts w:hint="eastAsia" w:ascii="宋体" w:hAnsi="宋体" w:eastAsia="宋体" w:cs="宋体"/>
          <w:color w:val="auto"/>
          <w:highlight w:val="none"/>
        </w:rPr>
        <w:t>9、投标文件的语言及度量衡单位</w:t>
      </w:r>
      <w:bookmarkEnd w:id="80"/>
      <w:bookmarkEnd w:id="81"/>
      <w:bookmarkEnd w:id="82"/>
      <w:bookmarkEnd w:id="83"/>
    </w:p>
    <w:p w14:paraId="47E3879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9.1 投标人提交的投标文件以及投标人与采购人就有关投标的所有来往通知、函件和文件均应使用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7A824E7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9.2 除技术性能另有规定外，投标文件所使用的度量衡单位，均须采用国家法定计量单位。</w:t>
      </w:r>
    </w:p>
    <w:p w14:paraId="6A40A865">
      <w:pPr>
        <w:pStyle w:val="8"/>
        <w:keepNext/>
        <w:keepLines/>
        <w:spacing w:beforeAutospacing="0" w:afterAutospacing="0" w:line="400" w:lineRule="atLeast"/>
        <w:ind w:firstLine="720"/>
        <w:jc w:val="both"/>
        <w:rPr>
          <w:rFonts w:ascii="宋体" w:hAnsi="宋体" w:eastAsia="宋体" w:cs="宋体"/>
          <w:color w:val="auto"/>
          <w:highlight w:val="none"/>
        </w:rPr>
      </w:pPr>
      <w:bookmarkStart w:id="84" w:name="_Toc462564074"/>
      <w:bookmarkStart w:id="85" w:name="_Toc20823287"/>
      <w:bookmarkStart w:id="86" w:name="_Toc16938531"/>
      <w:bookmarkStart w:id="87" w:name="_Toc513029215"/>
      <w:r>
        <w:rPr>
          <w:rFonts w:hint="eastAsia" w:ascii="宋体" w:hAnsi="宋体" w:eastAsia="宋体" w:cs="宋体"/>
          <w:color w:val="auto"/>
          <w:highlight w:val="none"/>
        </w:rPr>
        <w:t>10、投标文件构成</w:t>
      </w:r>
      <w:bookmarkEnd w:id="84"/>
      <w:bookmarkEnd w:id="85"/>
      <w:bookmarkEnd w:id="86"/>
      <w:bookmarkEnd w:id="87"/>
    </w:p>
    <w:p w14:paraId="275DB53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10.1 投标人编写的投标文件应包括资格证明文件、符合性证明文件、投标分项报价表、技术要求响应及偏离表、商务要求响应及偏离表、其他证明文件、投标函、开标一览表等部分。</w:t>
      </w:r>
    </w:p>
    <w:p w14:paraId="7CF7A2E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发布的招标文件不一致，请以中国政府采购网”“江苏政府采购网”“盐城市政府采购网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发布的招标文件为准。</w:t>
      </w:r>
    </w:p>
    <w:p w14:paraId="5BBD351A">
      <w:pPr>
        <w:pStyle w:val="8"/>
        <w:keepNext/>
        <w:keepLines/>
        <w:spacing w:beforeAutospacing="0" w:afterAutospacing="0" w:line="400" w:lineRule="atLeast"/>
        <w:ind w:firstLine="480" w:firstLineChars="200"/>
        <w:jc w:val="both"/>
        <w:rPr>
          <w:rFonts w:ascii="宋体" w:hAnsi="宋体" w:eastAsia="宋体" w:cs="宋体"/>
          <w:color w:val="auto"/>
          <w:highlight w:val="none"/>
        </w:rPr>
      </w:pPr>
      <w:bookmarkStart w:id="88" w:name="_Toc14577354"/>
      <w:bookmarkStart w:id="89" w:name="_Toc513029216"/>
      <w:bookmarkStart w:id="90" w:name="_Toc14577355"/>
      <w:bookmarkStart w:id="91" w:name="_Toc49090509"/>
      <w:bookmarkStart w:id="92" w:name="_Toc49090508"/>
      <w:bookmarkStart w:id="93" w:name="_Toc49090507"/>
      <w:bookmarkStart w:id="94" w:name="_Toc513029219"/>
      <w:bookmarkStart w:id="95" w:name="_Toc14577357"/>
      <w:bookmarkStart w:id="96" w:name="_Hlt26670360"/>
      <w:bookmarkStart w:id="97" w:name="_Hlt26954838"/>
      <w:bookmarkStart w:id="98" w:name="_Hlt26668975"/>
      <w:r>
        <w:rPr>
          <w:rFonts w:hint="eastAsia" w:ascii="宋体" w:hAnsi="宋体" w:eastAsia="宋体" w:cs="宋体"/>
          <w:color w:val="auto"/>
          <w:highlight w:val="none"/>
        </w:rPr>
        <w:t>11、证明投标人及投标标的符合招标文件规定的文件</w:t>
      </w:r>
      <w:bookmarkEnd w:id="88"/>
      <w:bookmarkEnd w:id="89"/>
      <w:bookmarkEnd w:id="90"/>
      <w:bookmarkEnd w:id="91"/>
      <w:bookmarkEnd w:id="92"/>
      <w:bookmarkEnd w:id="93"/>
      <w:bookmarkEnd w:id="94"/>
      <w:bookmarkEnd w:id="95"/>
    </w:p>
    <w:p w14:paraId="0718222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  11.1 投标人应按照招标文件要求提交证明文件，证明其及投标标的符合招标文件规定。</w:t>
      </w:r>
    </w:p>
    <w:p w14:paraId="5A9CFDC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240AFD51">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12、投标分项报价表</w:t>
      </w:r>
    </w:p>
    <w:p w14:paraId="16C7F70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12.1 投标人应按照招标文件规定格式填报投标分项报价表。</w:t>
      </w:r>
    </w:p>
    <w:p w14:paraId="24BE96D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73ADED15">
      <w:pPr>
        <w:pStyle w:val="8"/>
        <w:keepNext/>
        <w:keepLines/>
        <w:spacing w:beforeAutospacing="0" w:afterAutospacing="0" w:line="400" w:lineRule="atLeast"/>
        <w:ind w:firstLine="720"/>
        <w:jc w:val="both"/>
        <w:rPr>
          <w:rFonts w:ascii="宋体" w:hAnsi="宋体" w:eastAsia="宋体" w:cs="宋体"/>
          <w:color w:val="auto"/>
          <w:highlight w:val="none"/>
        </w:rPr>
      </w:pPr>
      <w:bookmarkStart w:id="99" w:name="_Hlt26670486"/>
      <w:bookmarkStart w:id="100" w:name="_Hlt26954846"/>
      <w:bookmarkStart w:id="101" w:name="_Hlt26670482"/>
      <w:bookmarkStart w:id="102" w:name="_Hlt26954848"/>
      <w:bookmarkStart w:id="103" w:name="_Hlt26954731"/>
      <w:r>
        <w:rPr>
          <w:rFonts w:hint="eastAsia" w:ascii="宋体" w:hAnsi="宋体" w:eastAsia="宋体" w:cs="宋体"/>
          <w:color w:val="auto"/>
          <w:highlight w:val="none"/>
        </w:rPr>
        <w:t>13、技术要求响应及偏离表、商务要求响应及偏离表</w:t>
      </w:r>
    </w:p>
    <w:p w14:paraId="321FCB1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13.1 投标人需对招标文件中的技术要求与商务要求逐项作出响应或偏离，并说明原因。</w:t>
      </w:r>
    </w:p>
    <w:p w14:paraId="7FDE64E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13.2 投标人可在投标文件中提供认为需要的其他技术文件或说明。</w:t>
      </w:r>
    </w:p>
    <w:p w14:paraId="34DA4C08">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74ECEAD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14.1 投标人需根据招标文件要求提供有关售后服务的管理制度，售后服务机构的分布情况，售后服务人员的数量、素质、技术水平及售后服务的反应能力等。</w:t>
      </w:r>
    </w:p>
    <w:p w14:paraId="1128F8E2">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14.2 投标人需根据招标文件要求提供培训计划。</w:t>
      </w:r>
    </w:p>
    <w:p w14:paraId="6173709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14.3 投标人需根据招标文件要求提供所投标的的主要组成部分、功能设计、实现思路及关键技术等。</w:t>
      </w:r>
    </w:p>
    <w:p w14:paraId="5B2B6267">
      <w:pPr>
        <w:pStyle w:val="8"/>
        <w:keepNext/>
        <w:keepLines/>
        <w:spacing w:beforeAutospacing="0" w:afterAutospacing="0" w:line="400" w:lineRule="atLeast"/>
        <w:ind w:firstLine="720"/>
        <w:jc w:val="both"/>
        <w:rPr>
          <w:rFonts w:ascii="宋体" w:hAnsi="宋体" w:eastAsia="宋体" w:cs="宋体"/>
          <w:color w:val="auto"/>
          <w:highlight w:val="none"/>
        </w:rPr>
      </w:pPr>
      <w:bookmarkStart w:id="104" w:name="_Toc49090510"/>
      <w:bookmarkStart w:id="105" w:name="_Toc14577359"/>
      <w:r>
        <w:rPr>
          <w:rFonts w:hint="eastAsia" w:ascii="宋体" w:hAnsi="宋体" w:eastAsia="宋体" w:cs="宋体"/>
          <w:color w:val="auto"/>
          <w:highlight w:val="none"/>
        </w:rPr>
        <w:t>15、投标函和开标一览表</w:t>
      </w:r>
      <w:bookmarkEnd w:id="104"/>
      <w:bookmarkEnd w:id="105"/>
    </w:p>
    <w:p w14:paraId="3CB4F30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15.1 投标人应按照招标文件中提供的格式完整、正确填写投标函、开标一览表。</w:t>
      </w:r>
    </w:p>
    <w:p w14:paraId="3C52A66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15.2 对于采用货币报价的项目，开标一览表中的投标总报价应与投标分项报价表中的投标总报价一致，如不一致，不作为无效投标处理，但评标时按开标一览表中价格为准。</w:t>
      </w:r>
    </w:p>
    <w:p w14:paraId="036159CB">
      <w:pPr>
        <w:pStyle w:val="8"/>
        <w:keepNext/>
        <w:keepLines/>
        <w:spacing w:beforeAutospacing="0" w:afterAutospacing="0" w:line="400" w:lineRule="atLeast"/>
        <w:ind w:firstLine="720"/>
        <w:jc w:val="both"/>
        <w:rPr>
          <w:rFonts w:ascii="宋体" w:hAnsi="宋体" w:eastAsia="宋体" w:cs="宋体"/>
          <w:color w:val="auto"/>
          <w:highlight w:val="none"/>
        </w:rPr>
      </w:pPr>
      <w:bookmarkStart w:id="106" w:name="_Toc49090511"/>
      <w:bookmarkStart w:id="107" w:name="_Toc14577360"/>
      <w:r>
        <w:rPr>
          <w:rFonts w:hint="eastAsia" w:ascii="宋体" w:hAnsi="宋体" w:eastAsia="宋体" w:cs="宋体"/>
          <w:color w:val="auto"/>
          <w:highlight w:val="none"/>
        </w:rPr>
        <w:t>16、投标有效期</w:t>
      </w:r>
      <w:bookmarkEnd w:id="106"/>
      <w:bookmarkEnd w:id="107"/>
    </w:p>
    <w:p w14:paraId="32AAB68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16.1投标有效期为采购人规定的开标之日后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43AEABA6">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17、投标有效期的延长</w:t>
      </w:r>
    </w:p>
    <w:p w14:paraId="5858C67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B10AB49">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108" w:name="_Toc20823296"/>
      <w:bookmarkStart w:id="109" w:name="_Toc16938540"/>
      <w:bookmarkStart w:id="110" w:name="_Toc513029224"/>
      <w:bookmarkStart w:id="111" w:name="_Toc120614217"/>
      <w:bookmarkStart w:id="112" w:name="_Hlt26954739"/>
      <w:bookmarkStart w:id="113" w:name="_Hlt26954852"/>
      <w:r>
        <w:rPr>
          <w:rFonts w:hint="eastAsia" w:ascii="宋体" w:hAnsi="宋体" w:eastAsia="宋体" w:cs="宋体"/>
          <w:b/>
          <w:color w:val="auto"/>
          <w:highlight w:val="none"/>
        </w:rPr>
        <w:t>四、投标文件的递交</w:t>
      </w:r>
      <w:bookmarkEnd w:id="108"/>
      <w:bookmarkEnd w:id="109"/>
      <w:bookmarkEnd w:id="110"/>
      <w:bookmarkEnd w:id="111"/>
    </w:p>
    <w:p w14:paraId="462B5A82">
      <w:pPr>
        <w:pStyle w:val="8"/>
        <w:keepNext/>
        <w:keepLines/>
        <w:spacing w:beforeAutospacing="0" w:afterAutospacing="0" w:line="400" w:lineRule="atLeast"/>
        <w:ind w:firstLine="720"/>
        <w:jc w:val="both"/>
        <w:rPr>
          <w:rFonts w:ascii="宋体" w:hAnsi="宋体" w:eastAsia="宋体" w:cs="宋体"/>
          <w:color w:val="auto"/>
          <w:highlight w:val="none"/>
        </w:rPr>
      </w:pPr>
      <w:bookmarkStart w:id="114" w:name="_Toc16938541"/>
      <w:bookmarkStart w:id="115" w:name="_Toc513029225"/>
      <w:bookmarkStart w:id="116" w:name="_Toc20823297"/>
      <w:bookmarkStart w:id="117" w:name="_Toc462564084"/>
      <w:r>
        <w:rPr>
          <w:rFonts w:hint="eastAsia" w:ascii="宋体" w:hAnsi="宋体" w:eastAsia="宋体" w:cs="宋体"/>
          <w:color w:val="auto"/>
          <w:highlight w:val="none"/>
        </w:rPr>
        <w:t>18、电子投标文件</w:t>
      </w:r>
      <w:bookmarkEnd w:id="114"/>
      <w:bookmarkEnd w:id="115"/>
      <w:bookmarkEnd w:id="116"/>
      <w:bookmarkEnd w:id="117"/>
      <w:r>
        <w:rPr>
          <w:rFonts w:hint="eastAsia" w:ascii="宋体" w:hAnsi="宋体" w:eastAsia="宋体" w:cs="宋体"/>
          <w:color w:val="auto"/>
          <w:highlight w:val="none"/>
        </w:rPr>
        <w:t>的递交</w:t>
      </w:r>
    </w:p>
    <w:p w14:paraId="0DD88C77">
      <w:pPr>
        <w:pStyle w:val="8"/>
        <w:spacing w:beforeAutospacing="0" w:afterAutospacing="0" w:line="400" w:lineRule="atLeast"/>
        <w:ind w:left="525" w:firstLine="720"/>
        <w:jc w:val="both"/>
        <w:rPr>
          <w:rFonts w:ascii="宋体" w:hAnsi="宋体" w:eastAsia="宋体" w:cs="宋体"/>
          <w:color w:val="auto"/>
          <w:highlight w:val="none"/>
        </w:rPr>
      </w:pPr>
      <w:r>
        <w:rPr>
          <w:rFonts w:hint="eastAsia" w:ascii="宋体" w:hAnsi="宋体" w:eastAsia="宋体" w:cs="宋体"/>
          <w:color w:val="auto"/>
          <w:highlight w:val="none"/>
        </w:rPr>
        <w:t>18.1投标人应当按照《操作手册》规定，在投标截止时间前制作并上传电子投标文件。</w:t>
      </w:r>
      <w:bookmarkStart w:id="118" w:name="_Toc16938542"/>
      <w:bookmarkEnd w:id="118"/>
      <w:bookmarkStart w:id="119" w:name="_Toc20823298"/>
      <w:bookmarkEnd w:id="119"/>
      <w:bookmarkStart w:id="120" w:name="_Toc513029226"/>
    </w:p>
    <w:p w14:paraId="588F88B2">
      <w:pPr>
        <w:pStyle w:val="8"/>
        <w:keepNext/>
        <w:keepLines/>
        <w:spacing w:before="280" w:beforeAutospacing="0" w:after="29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19、投标截止日期</w:t>
      </w:r>
    </w:p>
    <w:p w14:paraId="6FB490A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i/>
          <w:color w:val="auto"/>
          <w:highlight w:val="none"/>
          <w:u w:val="single"/>
        </w:rPr>
        <w:t>19.1 投标人上传电子投标文件的时间不得迟于招标公告中规定的投标截止时间。</w:t>
      </w:r>
    </w:p>
    <w:p w14:paraId="6D4403A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19.2 采购人可以按照规定，通过修改招标文件酌情延长投标截止日期，在此情况下，投标人的所有权利和义务以及投标人受制的截止日期均应以延长后新的截止日期为准。</w:t>
      </w:r>
    </w:p>
    <w:p w14:paraId="7990164F">
      <w:pPr>
        <w:pStyle w:val="8"/>
        <w:keepNext/>
        <w:keepLines/>
        <w:spacing w:beforeAutospacing="0" w:afterAutospacing="0" w:line="400" w:lineRule="atLeast"/>
        <w:ind w:firstLine="720"/>
        <w:jc w:val="both"/>
        <w:rPr>
          <w:rFonts w:ascii="宋体" w:hAnsi="宋体" w:eastAsia="宋体" w:cs="宋体"/>
          <w:color w:val="auto"/>
          <w:highlight w:val="none"/>
        </w:rPr>
      </w:pPr>
      <w:bookmarkStart w:id="121" w:name="_Toc20823299"/>
      <w:bookmarkStart w:id="122" w:name="_Toc16938543"/>
      <w:bookmarkStart w:id="123" w:name="_Toc513029227"/>
      <w:r>
        <w:rPr>
          <w:rFonts w:hint="eastAsia" w:ascii="宋体" w:hAnsi="宋体" w:eastAsia="宋体" w:cs="宋体"/>
          <w:color w:val="auto"/>
          <w:highlight w:val="none"/>
        </w:rPr>
        <w:t>20、投标文件</w:t>
      </w:r>
      <w:bookmarkEnd w:id="121"/>
      <w:bookmarkEnd w:id="122"/>
      <w:bookmarkEnd w:id="123"/>
      <w:r>
        <w:rPr>
          <w:rFonts w:hint="eastAsia" w:ascii="宋体" w:hAnsi="宋体" w:eastAsia="宋体" w:cs="宋体"/>
          <w:color w:val="auto"/>
          <w:highlight w:val="none"/>
        </w:rPr>
        <w:t>的拒收</w:t>
      </w:r>
    </w:p>
    <w:p w14:paraId="6254CB7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20.1 采购人拒绝接收在其规定的投标截止时间后上传的任何投标文件。</w:t>
      </w:r>
    </w:p>
    <w:p w14:paraId="53D3CA18">
      <w:pPr>
        <w:pStyle w:val="8"/>
        <w:keepNext/>
        <w:keepLines/>
        <w:spacing w:beforeAutospacing="0" w:afterAutospacing="0" w:line="400" w:lineRule="atLeast"/>
        <w:ind w:firstLine="720"/>
        <w:jc w:val="both"/>
        <w:rPr>
          <w:rFonts w:ascii="宋体" w:hAnsi="宋体" w:eastAsia="宋体" w:cs="宋体"/>
          <w:color w:val="auto"/>
          <w:highlight w:val="none"/>
        </w:rPr>
      </w:pPr>
      <w:bookmarkStart w:id="124" w:name="_Toc16938544"/>
      <w:bookmarkStart w:id="125" w:name="_Toc20823300"/>
      <w:bookmarkStart w:id="126" w:name="_Toc513029228"/>
      <w:r>
        <w:rPr>
          <w:rFonts w:hint="eastAsia" w:ascii="宋体" w:hAnsi="宋体" w:eastAsia="宋体" w:cs="宋体"/>
          <w:color w:val="auto"/>
          <w:highlight w:val="none"/>
        </w:rPr>
        <w:t>21、投标文件的撤回和修改</w:t>
      </w:r>
      <w:bookmarkEnd w:id="124"/>
      <w:bookmarkEnd w:id="125"/>
      <w:bookmarkEnd w:id="126"/>
    </w:p>
    <w:p w14:paraId="71BB8C9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21.1 投标文件的撤回</w:t>
      </w:r>
    </w:p>
    <w:p w14:paraId="3D58AE5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21.1.1 电子投标文件的撤回</w:t>
      </w:r>
    </w:p>
    <w:p w14:paraId="6F98166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1679878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21.1.2 投标人撤回电子投标文件，则认为其不再参与本项目投标活动。</w:t>
      </w:r>
    </w:p>
    <w:p w14:paraId="2E4ED80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21.2 投标文件的修改</w:t>
      </w:r>
    </w:p>
    <w:p w14:paraId="3B657B6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21.2.1投标人可在投标截止时间前，对其电子投标文件进行修改，具体操作方法见《操作手册》。</w:t>
      </w:r>
    </w:p>
    <w:p w14:paraId="7B1A054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21.2.2 在投标截止时间之后，投标人不得对其电子投标文件作任何修改。</w:t>
      </w:r>
    </w:p>
    <w:p w14:paraId="1B11C30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21.3 在投标截止时间至招标文件中规定的投标有效期满之间的这段时间内，投标人不得撤回其投标。</w:t>
      </w:r>
    </w:p>
    <w:p w14:paraId="52B22ECF">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127" w:name="_Toc513029229"/>
      <w:bookmarkStart w:id="128" w:name="_Toc20823301"/>
      <w:bookmarkStart w:id="129" w:name="_Toc120614218"/>
      <w:bookmarkStart w:id="130" w:name="_Toc16938545"/>
      <w:r>
        <w:rPr>
          <w:rFonts w:hint="eastAsia" w:ascii="宋体" w:hAnsi="宋体" w:eastAsia="宋体" w:cs="宋体"/>
          <w:b/>
          <w:color w:val="auto"/>
          <w:highlight w:val="none"/>
        </w:rPr>
        <w:t>五、开标与评标</w:t>
      </w:r>
      <w:bookmarkEnd w:id="127"/>
      <w:bookmarkEnd w:id="128"/>
      <w:bookmarkEnd w:id="129"/>
      <w:bookmarkEnd w:id="130"/>
    </w:p>
    <w:p w14:paraId="522446D7">
      <w:pPr>
        <w:pStyle w:val="8"/>
        <w:keepNext/>
        <w:keepLines/>
        <w:spacing w:beforeAutospacing="0" w:afterAutospacing="0" w:line="400" w:lineRule="atLeast"/>
        <w:ind w:firstLine="720"/>
        <w:jc w:val="both"/>
        <w:rPr>
          <w:rFonts w:ascii="宋体" w:hAnsi="宋体" w:eastAsia="宋体" w:cs="宋体"/>
          <w:color w:val="auto"/>
          <w:highlight w:val="none"/>
        </w:rPr>
      </w:pPr>
      <w:bookmarkStart w:id="131" w:name="_Toc16938546"/>
      <w:bookmarkStart w:id="132" w:name="_Toc20823302"/>
      <w:bookmarkStart w:id="133" w:name="_Toc513029230"/>
      <w:r>
        <w:rPr>
          <w:rFonts w:hint="eastAsia" w:ascii="宋体" w:hAnsi="宋体" w:eastAsia="宋体" w:cs="宋体"/>
          <w:color w:val="auto"/>
          <w:highlight w:val="none"/>
        </w:rPr>
        <w:t>22、开标</w:t>
      </w:r>
      <w:bookmarkEnd w:id="131"/>
      <w:bookmarkEnd w:id="132"/>
      <w:bookmarkEnd w:id="133"/>
    </w:p>
    <w:p w14:paraId="09B53F5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22.1 采购人将在招标公告中规定的时间和地点组织公开开标。投标人应当按照《操作手册》规定，参加开标活动</w:t>
      </w:r>
      <w:r>
        <w:rPr>
          <w:rFonts w:hint="eastAsia" w:ascii="宋体" w:hAnsi="宋体" w:eastAsia="宋体" w:cs="宋体"/>
          <w:color w:val="auto"/>
          <w:highlight w:val="none"/>
        </w:rPr>
        <w:t>和在苏采云系统规定的时间内对投标文件进行解密。</w:t>
      </w:r>
    </w:p>
    <w:p w14:paraId="6F1FA8C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22.2开标仪式由采购人组织。苏采云系统将自动对项目进行开标，并宣布各投标人名称和投标价格。</w:t>
      </w:r>
    </w:p>
    <w:p w14:paraId="57469D8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22.3投标人在开标过程中涉及到的投标文件解密、开标结果确认等工作，应按照《操作手册》规定执行。</w:t>
      </w:r>
    </w:p>
    <w:p w14:paraId="37C541B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22.4投标人如果对开标过程和开标记录有疑义，应当根据《操作手册》规定提出，如 苏采云系统中《开标记录表》宣布后5分钟内未提出的</w:t>
      </w:r>
      <w:r>
        <w:rPr>
          <w:rFonts w:hint="eastAsia" w:ascii="宋体" w:hAnsi="宋体" w:eastAsia="宋体" w:cs="宋体"/>
          <w:color w:val="auto"/>
          <w:highlight w:val="none"/>
        </w:rPr>
        <w:t>，视同认可开标结果。</w:t>
      </w:r>
    </w:p>
    <w:p w14:paraId="58E1EAF2">
      <w:pPr>
        <w:pStyle w:val="8"/>
        <w:keepNext/>
        <w:keepLines/>
        <w:spacing w:beforeAutospacing="0" w:afterAutospacing="0" w:line="400" w:lineRule="atLeast"/>
        <w:ind w:firstLine="720"/>
        <w:jc w:val="both"/>
        <w:rPr>
          <w:rFonts w:ascii="宋体" w:hAnsi="宋体" w:eastAsia="宋体" w:cs="宋体"/>
          <w:color w:val="auto"/>
          <w:highlight w:val="none"/>
        </w:rPr>
      </w:pPr>
      <w:bookmarkStart w:id="134" w:name="_Toc16938547"/>
      <w:bookmarkStart w:id="135" w:name="_Toc20823303"/>
      <w:bookmarkStart w:id="136" w:name="_Toc513029231"/>
      <w:r>
        <w:rPr>
          <w:rFonts w:hint="eastAsia" w:ascii="宋体" w:hAnsi="宋体" w:eastAsia="宋体" w:cs="宋体"/>
          <w:color w:val="auto"/>
          <w:highlight w:val="none"/>
        </w:rPr>
        <w:t>23、评标委员会</w:t>
      </w:r>
      <w:bookmarkEnd w:id="134"/>
      <w:bookmarkEnd w:id="135"/>
      <w:bookmarkEnd w:id="136"/>
    </w:p>
    <w:p w14:paraId="3A81DF07">
      <w:pPr>
        <w:pStyle w:val="8"/>
        <w:spacing w:beforeAutospacing="0" w:afterAutospacing="0" w:line="400" w:lineRule="atLeast"/>
        <w:ind w:firstLine="723"/>
        <w:jc w:val="both"/>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23.1开标后，采购人将立即组织评标委员会进行评标。</w:t>
      </w:r>
    </w:p>
    <w:p w14:paraId="28485BD0">
      <w:pPr>
        <w:pStyle w:val="8"/>
        <w:spacing w:beforeAutospacing="0" w:afterAutospacing="0" w:line="400" w:lineRule="atLeast"/>
        <w:ind w:firstLine="723"/>
        <w:jc w:val="both"/>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23.2 评委会由采购人代表和有关技术、经济等方面的专家组成，且人员构成符合政府采购有关规定。</w:t>
      </w:r>
    </w:p>
    <w:p w14:paraId="51E2D4E3">
      <w:pPr>
        <w:pStyle w:val="8"/>
        <w:spacing w:beforeAutospacing="0" w:afterAutospacing="0" w:line="400" w:lineRule="atLeast"/>
        <w:ind w:firstLine="723"/>
        <w:jc w:val="both"/>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23.3评委会独立工作，负责评审所有投标文件并确定中标候选人。</w:t>
      </w:r>
    </w:p>
    <w:p w14:paraId="2A3F73EE">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24．评标过程的保密与公正</w:t>
      </w:r>
    </w:p>
    <w:p w14:paraId="69AB217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24.1凡是与审查、澄清、评价和比较投标的有关资料以及授标建议等，采购人、评委均不得向投标人或与评标无关的其他人员透露。</w:t>
      </w:r>
    </w:p>
    <w:p w14:paraId="4C3B448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24.2在评标过程中，投标人不得以任何行为影响评标过程，否则其投标文件将被作为无效投标文件。</w:t>
      </w:r>
    </w:p>
    <w:p w14:paraId="36CEA84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24.3 采购人和评标委员会不向未中标的投标人解释未中标原因，也不公布评标过程中的相关</w:t>
      </w:r>
      <w:r>
        <w:rPr>
          <w:rFonts w:hint="eastAsia" w:ascii="宋体" w:hAnsi="宋体" w:eastAsia="宋体" w:cs="宋体"/>
          <w:color w:val="auto"/>
          <w:highlight w:val="none"/>
        </w:rPr>
        <w:t>细节。</w:t>
      </w:r>
    </w:p>
    <w:p w14:paraId="6B88B0A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24.4 采用综合评分法的项目，未中标的投标人可于中标结果公告期限届满之日起通过苏采云系统查看自己的评审得分及</w:t>
      </w:r>
      <w:r>
        <w:rPr>
          <w:rFonts w:hint="eastAsia" w:ascii="宋体" w:hAnsi="宋体" w:eastAsia="宋体" w:cs="宋体"/>
          <w:color w:val="auto"/>
          <w:highlight w:val="none"/>
        </w:rPr>
        <w:t>排序情况。</w:t>
      </w:r>
    </w:p>
    <w:p w14:paraId="7A360E34">
      <w:pPr>
        <w:pStyle w:val="8"/>
        <w:keepNext/>
        <w:keepLines/>
        <w:spacing w:beforeAutospacing="0" w:afterAutospacing="0" w:line="400" w:lineRule="atLeast"/>
        <w:ind w:firstLine="720"/>
        <w:jc w:val="both"/>
        <w:rPr>
          <w:rFonts w:ascii="宋体" w:hAnsi="宋体" w:eastAsia="宋体" w:cs="宋体"/>
          <w:color w:val="auto"/>
          <w:highlight w:val="none"/>
        </w:rPr>
      </w:pPr>
      <w:bookmarkStart w:id="137" w:name="_Toc513029232"/>
      <w:bookmarkStart w:id="138" w:name="_Toc16938548"/>
      <w:bookmarkStart w:id="139" w:name="_Toc20823304"/>
      <w:r>
        <w:rPr>
          <w:rFonts w:hint="eastAsia" w:ascii="宋体" w:hAnsi="宋体" w:eastAsia="宋体" w:cs="宋体"/>
          <w:color w:val="auto"/>
          <w:highlight w:val="none"/>
        </w:rPr>
        <w:t>25．投标文件的澄清</w:t>
      </w:r>
      <w:bookmarkEnd w:id="137"/>
      <w:bookmarkEnd w:id="138"/>
      <w:bookmarkEnd w:id="139"/>
    </w:p>
    <w:p w14:paraId="518FE997">
      <w:pPr>
        <w:pStyle w:val="8"/>
        <w:spacing w:beforeAutospacing="0" w:afterAutospacing="0" w:line="400" w:lineRule="atLeast"/>
        <w:ind w:firstLine="720"/>
        <w:jc w:val="both"/>
        <w:rPr>
          <w:rFonts w:ascii="宋体" w:hAnsi="宋体" w:eastAsia="宋体" w:cs="宋体"/>
          <w:color w:val="auto"/>
          <w:highlight w:val="none"/>
        </w:rPr>
      </w:pPr>
      <w:bookmarkStart w:id="140" w:name="_Toc20823305"/>
      <w:bookmarkStart w:id="141" w:name="_Toc16938549"/>
      <w:bookmarkStart w:id="142" w:name="_Toc513029233"/>
      <w:r>
        <w:rPr>
          <w:rFonts w:hint="eastAsia" w:ascii="宋体" w:hAnsi="宋体" w:eastAsia="宋体" w:cs="宋体"/>
          <w:color w:val="auto"/>
          <w:highlight w:val="none"/>
        </w:rPr>
        <w:t>25.1评标期间，评委会对投标文件中含义不明确、同类问题表述不一致或者有明显文字和计算错误的内容 ，有权要求投标人作出必要的澄清、说明或者补正。</w:t>
      </w:r>
      <w:bookmarkEnd w:id="140"/>
      <w:bookmarkEnd w:id="141"/>
      <w:bookmarkEnd w:id="142"/>
    </w:p>
    <w:p w14:paraId="4251E80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6897B71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4C8A077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25.3 接到评委会澄清、说明和补正要求的投标人如未按规定作出澄清、</w:t>
      </w:r>
      <w:r>
        <w:rPr>
          <w:rFonts w:hint="eastAsia" w:ascii="宋体" w:hAnsi="宋体" w:eastAsia="宋体" w:cs="宋体"/>
          <w:color w:val="auto"/>
          <w:highlight w:val="none"/>
        </w:rPr>
        <w:t>说明和补正，其风险由投标人自行承担。</w:t>
      </w:r>
    </w:p>
    <w:p w14:paraId="1912575A">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26、对投标文件的初审</w:t>
      </w:r>
    </w:p>
    <w:p w14:paraId="50075BA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26.1投标文件初审分为资格审查和符合性审查。</w:t>
      </w:r>
    </w:p>
    <w:p w14:paraId="56905E9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26.1.1 资格审查：依据法律法规和招标文件的规定，由采购人对投标文件中的资格证明文件进行审查。资格审查的结论，采购人以书面形式向评委会进行反馈。</w:t>
      </w:r>
    </w:p>
    <w:p w14:paraId="45C4FFC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71BC36B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26.1.2 符合性审查：依据招标文件的规定，由评委会从投标文件的有效性、完整性和对招标文件的响应程度进行审查，以确定是否对招标文件的实质性要求作出响应。</w:t>
      </w:r>
    </w:p>
    <w:p w14:paraId="7AF371D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26.1.3 未通过资格审查或符合性审查的投标人，采购人将</w:t>
      </w:r>
      <w:r>
        <w:rPr>
          <w:rFonts w:hint="eastAsia" w:ascii="宋体" w:hAnsi="宋体" w:eastAsia="宋体" w:cs="宋体"/>
          <w:color w:val="auto"/>
          <w:highlight w:val="none"/>
        </w:rPr>
        <w:t>在苏采云系统中告知未通过资格审查或符合性审查的原因，评审结束后，采购人将不再告知未通过资格审查或符合性审查的原因。</w:t>
      </w:r>
    </w:p>
    <w:p w14:paraId="2CBF45E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26.3如果投标文件实质上没有响应招标文件的要求，评委会将予以拒绝，投标人不得通过修改或撤销不符合要求的偏离或保留而使其投标成为实质性响应的投标。</w:t>
      </w:r>
    </w:p>
    <w:p w14:paraId="251CC29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26.4评委会将对确定为实质性响应的投标进行进一步审核，看其是否有计算上或累加上的算术错误，修正错误的原则如下：</w:t>
      </w:r>
    </w:p>
    <w:p w14:paraId="6279A7D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3D05FD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FF8128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3C281CA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2B33B4A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376C0D6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8"/>
        <w:spacing w:beforeAutospacing="0" w:afterAutospacing="0" w:line="400" w:lineRule="atLeast"/>
        <w:ind w:firstLine="720"/>
        <w:jc w:val="both"/>
        <w:rPr>
          <w:rFonts w:ascii="宋体" w:hAnsi="宋体" w:eastAsia="宋体" w:cs="宋体"/>
          <w:color w:val="auto"/>
          <w:highlight w:val="none"/>
        </w:rPr>
      </w:pPr>
      <w:bookmarkStart w:id="143" w:name="_Toc20823306"/>
      <w:bookmarkStart w:id="144" w:name="_Toc513029234"/>
      <w:bookmarkStart w:id="145" w:name="_Toc16938550"/>
      <w:r>
        <w:rPr>
          <w:rFonts w:hint="eastAsia" w:ascii="宋体" w:hAnsi="宋体" w:eastAsia="宋体" w:cs="宋体"/>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bookmarkEnd w:id="144"/>
      <w:bookmarkEnd w:id="145"/>
    </w:p>
    <w:p w14:paraId="456BE54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695D4A02">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26.7投标人在开、评标全过程中应保持通信畅通，及时登录苏采云系统查阅、答复相关信息，并安排专人与采购人及评标委员会联系。</w:t>
      </w:r>
    </w:p>
    <w:p w14:paraId="6258925A">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27、无效投标条款和废标条款</w:t>
      </w:r>
    </w:p>
    <w:p w14:paraId="6F72D55E">
      <w:pPr>
        <w:pStyle w:val="8"/>
        <w:spacing w:beforeAutospacing="0" w:afterAutospacing="0" w:line="400" w:lineRule="atLeast"/>
        <w:ind w:left="479" w:firstLine="720"/>
        <w:jc w:val="both"/>
        <w:rPr>
          <w:rFonts w:ascii="宋体" w:hAnsi="宋体" w:eastAsia="宋体" w:cs="宋体"/>
          <w:color w:val="auto"/>
          <w:highlight w:val="none"/>
        </w:rPr>
      </w:pPr>
      <w:bookmarkStart w:id="146" w:name="_Toc513029235"/>
      <w:bookmarkStart w:id="147" w:name="_Toc16938551"/>
      <w:bookmarkStart w:id="148" w:name="_Toc20823307"/>
      <w:r>
        <w:rPr>
          <w:rFonts w:hint="eastAsia" w:ascii="宋体" w:hAnsi="宋体" w:eastAsia="宋体" w:cs="宋体"/>
          <w:color w:val="auto"/>
          <w:highlight w:val="none"/>
        </w:rPr>
        <w:t>27.1无效投标条款</w:t>
      </w:r>
      <w:bookmarkEnd w:id="146"/>
      <w:bookmarkEnd w:id="147"/>
      <w:bookmarkEnd w:id="148"/>
    </w:p>
    <w:p w14:paraId="199C480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27.1.1 投标人在苏采云系统规定的时间内未成功解密电子投标文件的。</w:t>
      </w:r>
    </w:p>
    <w:p w14:paraId="1EC94C0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27.1.2 投标人未按照招标文件要求上传电子投标文件的。</w:t>
      </w:r>
    </w:p>
    <w:p w14:paraId="51A8645C">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27.1.3同一投标人提交两个（含两个）以上不同的投标报价的。</w:t>
      </w:r>
    </w:p>
    <w:p w14:paraId="50627D9E">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27.1.4投标人不具备招标文件中规定资格要求的。</w:t>
      </w:r>
    </w:p>
    <w:p w14:paraId="6818F182">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27.1.5投标人的报价超过了采购预算或最高限价的。</w:t>
      </w:r>
    </w:p>
    <w:p w14:paraId="3098655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27.1.6未通过符合性审查的。</w:t>
      </w:r>
    </w:p>
    <w:p w14:paraId="4CB47D8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347ECC0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27.1.9投标文件含有采购人不能接受的附加条件的。</w:t>
      </w:r>
    </w:p>
    <w:p w14:paraId="30278C4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27.1.10</w:t>
      </w:r>
      <w:r>
        <w:rPr>
          <w:rFonts w:hint="eastAsia" w:ascii="宋体" w:hAnsi="宋体" w:eastAsia="宋体" w:cs="宋体"/>
          <w:color w:val="auto"/>
          <w:highlight w:val="none"/>
        </w:rPr>
        <w:t>投标人不能证明其报价合理性的，评标委员会应当将其作为无效投标处理。</w:t>
      </w:r>
    </w:p>
    <w:p w14:paraId="6F27A04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（一）评审过程中出现下列情形之一的，评标委员会应当启动异常低价投标审查程序：</w:t>
      </w:r>
    </w:p>
    <w:p w14:paraId="029D404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1.投标（响应）报价低于全部通过符合性审查供应商投标（响应）报价平均值50%的，即投标（响应）报价&lt;全部通过符合性审查供应商投标（响应）报价平均值×50%；</w:t>
      </w:r>
    </w:p>
    <w:p w14:paraId="191012D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2.投标（响应）报价低于通过符合性审查的次低报价供应商投标（响应）报价50%的，即投标（响应）报价&lt;通过符合性审查的次低报价供应商投标（响应）报价×50%；</w:t>
      </w:r>
    </w:p>
    <w:p w14:paraId="08E2626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3.投标（响应）报价低于采购项目最高限价45%的，即投标（响应）报价&lt;采购项目最高限价×45%；</w:t>
      </w:r>
    </w:p>
    <w:p w14:paraId="6B93ED4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4.评审委员会基于专业判断，认为供应商报价过低，有可能影响产品质量或者不能诚信履约的其他情形。</w:t>
      </w:r>
    </w:p>
    <w:p w14:paraId="6E14DBF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相关法律法规对供应商报价有规定的，从其规定。</w:t>
      </w:r>
    </w:p>
    <w:p w14:paraId="209516A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31C1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19E548C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27.1.12 投标文件未按照招标文件要求加盖CA电子公章的。</w:t>
      </w:r>
    </w:p>
    <w:p w14:paraId="69A8EFF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27.1.13其他法律、法规及本招标文件规定的属无效投标的情形。</w:t>
      </w:r>
    </w:p>
    <w:p w14:paraId="007CE7C7">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27.2废标条款</w:t>
      </w:r>
    </w:p>
    <w:p w14:paraId="69DC0D4A">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27.2.1符合专业条件的供应商或者对招标文件作实质响应的供应商不足三家的。</w:t>
      </w:r>
    </w:p>
    <w:p w14:paraId="624DEA76">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27.2.2出现影响采购公正的违法、违规行为的。</w:t>
      </w:r>
    </w:p>
    <w:p w14:paraId="2E50E73F">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27.2.3因重大变故，采购任务取消的。</w:t>
      </w:r>
    </w:p>
    <w:p w14:paraId="37387DC1">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27.2.4评标委员会认定招标文件存在歧义、重大缺陷导致评审工作无法进行。</w:t>
      </w:r>
    </w:p>
    <w:p w14:paraId="604228ED">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27.2.5 因苏采云系统故障原因造成开标不成功的。</w:t>
      </w:r>
    </w:p>
    <w:p w14:paraId="2AFF2B5B">
      <w:pPr>
        <w:pStyle w:val="8"/>
        <w:spacing w:beforeAutospacing="0" w:afterAutospacing="0" w:line="400" w:lineRule="atLeast"/>
        <w:ind w:left="479" w:firstLine="720"/>
        <w:jc w:val="both"/>
        <w:rPr>
          <w:rFonts w:ascii="宋体" w:hAnsi="宋体" w:eastAsia="宋体" w:cs="宋体"/>
          <w:color w:val="auto"/>
          <w:highlight w:val="none"/>
        </w:rPr>
      </w:pPr>
      <w:r>
        <w:rPr>
          <w:rFonts w:hint="eastAsia" w:ascii="宋体" w:hAnsi="宋体" w:eastAsia="宋体" w:cs="宋体"/>
          <w:color w:val="auto"/>
          <w:highlight w:val="none"/>
        </w:rPr>
        <w:t>27.3 投标截止时间结束后参加投标的供应商不足三家的处理：</w:t>
      </w:r>
    </w:p>
    <w:p w14:paraId="4AAF87C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27.3.1如出现投标截止时间结束后参加投标的供应商或者</w:t>
      </w:r>
      <w:r>
        <w:rPr>
          <w:rFonts w:hint="eastAsia" w:ascii="宋体" w:hAnsi="宋体" w:eastAsia="宋体" w:cs="宋体"/>
          <w:color w:val="auto"/>
          <w:highlight w:val="none"/>
        </w:rPr>
        <w:t>在评标期间对招标文件做出实质响应的供应商不足三家情况，按政府采购相关规定执行。</w:t>
      </w:r>
    </w:p>
    <w:p w14:paraId="13BE58D4">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149" w:name="_Toc120614219"/>
      <w:r>
        <w:rPr>
          <w:rFonts w:hint="eastAsia" w:ascii="宋体" w:hAnsi="宋体" w:eastAsia="宋体" w:cs="宋体"/>
          <w:b/>
          <w:color w:val="auto"/>
          <w:highlight w:val="none"/>
        </w:rPr>
        <w:t>六、定标</w:t>
      </w:r>
      <w:bookmarkEnd w:id="149"/>
    </w:p>
    <w:p w14:paraId="6CF15D84">
      <w:pPr>
        <w:pStyle w:val="8"/>
        <w:keepNext/>
        <w:keepLines/>
        <w:spacing w:beforeAutospacing="0" w:afterAutospacing="0" w:line="400" w:lineRule="atLeast"/>
        <w:ind w:firstLine="720"/>
        <w:jc w:val="both"/>
        <w:rPr>
          <w:rFonts w:ascii="宋体" w:hAnsi="宋体" w:eastAsia="宋体" w:cs="宋体"/>
          <w:color w:val="auto"/>
          <w:highlight w:val="none"/>
        </w:rPr>
      </w:pPr>
      <w:bookmarkStart w:id="150" w:name="_Toc20823310"/>
      <w:bookmarkStart w:id="151" w:name="_Toc16938554"/>
      <w:bookmarkStart w:id="152" w:name="_Toc513029238"/>
      <w:r>
        <w:rPr>
          <w:rFonts w:hint="eastAsia" w:ascii="宋体" w:hAnsi="宋体" w:eastAsia="宋体" w:cs="宋体"/>
          <w:color w:val="auto"/>
          <w:highlight w:val="none"/>
        </w:rPr>
        <w:t>28、</w:t>
      </w:r>
      <w:bookmarkEnd w:id="150"/>
      <w:r>
        <w:rPr>
          <w:rFonts w:hint="eastAsia" w:ascii="宋体" w:hAnsi="宋体" w:eastAsia="宋体" w:cs="宋体"/>
          <w:color w:val="auto"/>
          <w:highlight w:val="none"/>
        </w:rPr>
        <w:t>确定</w:t>
      </w:r>
      <w:bookmarkEnd w:id="151"/>
      <w:bookmarkEnd w:id="152"/>
      <w:r>
        <w:rPr>
          <w:rFonts w:hint="eastAsia" w:ascii="宋体" w:hAnsi="宋体" w:eastAsia="宋体" w:cs="宋体"/>
          <w:color w:val="auto"/>
          <w:highlight w:val="none"/>
        </w:rPr>
        <w:t>中标单位</w:t>
      </w:r>
    </w:p>
    <w:p w14:paraId="5EB7BA6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p>
    <w:p w14:paraId="2BE6DD4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28.2 采购人应根据评委会推荐的中标候选人确定中标人。</w:t>
      </w:r>
    </w:p>
    <w:p w14:paraId="3D004C7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28.3 采购人将在中国政府采购网”“江苏政府采购网”“盐城市政府采购网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发布中标公告，公告期限为1个工作日。</w:t>
      </w:r>
    </w:p>
    <w:p w14:paraId="386E0C9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  若有充分证据证明，中标人出现下列情况之一的，一经查实，将被取消中标资格：</w:t>
      </w:r>
    </w:p>
    <w:p w14:paraId="0BCD3E7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28.4.1提供虚假材料谋取中标的。</w:t>
      </w:r>
    </w:p>
    <w:p w14:paraId="13E8AC6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28.4.2向采购人行贿或者提供其他不正当利益的。</w:t>
      </w:r>
    </w:p>
    <w:p w14:paraId="734172C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28.4.3属于本文件规定的无效条件，但在评标过程中又未被评委会发现的。</w:t>
      </w:r>
    </w:p>
    <w:p w14:paraId="2D18E97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28.4.4与采购人或者其他供应商恶意串通的。</w:t>
      </w:r>
    </w:p>
    <w:p w14:paraId="6B4A574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28.4.5采取不正当手段诋毁、排挤其他供应商的。</w:t>
      </w:r>
    </w:p>
    <w:p w14:paraId="3FFAA27C">
      <w:pPr>
        <w:pStyle w:val="8"/>
        <w:spacing w:beforeAutospacing="0" w:afterAutospacing="0" w:line="400" w:lineRule="atLeast"/>
        <w:ind w:firstLine="720"/>
        <w:jc w:val="both"/>
        <w:rPr>
          <w:rFonts w:ascii="宋体" w:hAnsi="宋体" w:eastAsia="宋体" w:cs="宋体"/>
          <w:color w:val="auto"/>
          <w:highlight w:val="none"/>
        </w:rPr>
      </w:pPr>
      <w:bookmarkStart w:id="153" w:name="_Toc200451960"/>
      <w:r>
        <w:rPr>
          <w:rFonts w:hint="eastAsia" w:ascii="宋体" w:hAnsi="宋体" w:eastAsia="宋体" w:cs="宋体"/>
          <w:color w:val="auto"/>
          <w:highlight w:val="none"/>
        </w:rPr>
        <w:t>28.5. 有下列情形之一的，视为投标人串通投标，投标无效：</w:t>
      </w:r>
      <w:bookmarkEnd w:id="153"/>
    </w:p>
    <w:p w14:paraId="17D0A97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28.5.1不同投标人的投标文件由同一单位或者个人编制；</w:t>
      </w:r>
    </w:p>
    <w:p w14:paraId="25879A9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28.5.2不同投标人委托同一单位或者个人办理投标事宜；</w:t>
      </w:r>
    </w:p>
    <w:p w14:paraId="35059A6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28.5.3 不同投标人的投标文件载明的项目管理成员或者联系人员为同一人；</w:t>
      </w:r>
    </w:p>
    <w:p w14:paraId="16134A48">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28.5.4不同投标人的投标文件异常一致或者投标报价呈规律性差异；</w:t>
      </w:r>
    </w:p>
    <w:p w14:paraId="72D577B2">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29、质疑处理</w:t>
      </w:r>
    </w:p>
    <w:p w14:paraId="59C4C9E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5664335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14:paraId="2C6A5E0C">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29.2.1对可以质疑的采购文件提出质疑的，为收到采购文件之日或者采购文件公告期限届满之日；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29.2.2对采购过程提出质疑的，为各采购程序环节结束之日；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29.2.3对中标或者成交结果提出质疑的，为中标或者成交结果公告期限届满之日。</w:t>
      </w:r>
    </w:p>
    <w:p w14:paraId="1C1F729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5CF6537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29.4 供应</w:t>
      </w:r>
      <w:r>
        <w:rPr>
          <w:rFonts w:hint="eastAsia" w:ascii="宋体" w:hAnsi="宋体" w:eastAsia="宋体" w:cs="宋体"/>
          <w:color w:val="auto"/>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296C6A6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采购人只接收以纸质原件形式送达的质疑,采购人不接受未填写快递运单的快件。质疑接收部门为盐城市亭湖区农业农村局，联系地址：盐城市亭湖区青年东路55号</w:t>
      </w:r>
      <w:r>
        <w:rPr>
          <w:rFonts w:hint="eastAsia" w:ascii="宋体" w:hAnsi="宋体" w:eastAsia="宋体" w:cs="宋体"/>
          <w:color w:val="auto"/>
          <w:highlight w:val="none"/>
        </w:rPr>
        <w:t>，联系电话：051566871512。</w:t>
      </w:r>
    </w:p>
    <w:p w14:paraId="071C5D7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7F914B5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5117AD5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26178371">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276C3DD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29.5.4 未参加投标活动的供应商或在投标活动中自身权益未受到损害的供应商所提出的质疑。</w:t>
      </w:r>
    </w:p>
    <w:p w14:paraId="295142B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29.5.5供应商组成联合体参加投标，联合体中任何一方或多方未按要求签字、盖章、加盖公章的质疑。</w:t>
      </w:r>
    </w:p>
    <w:p w14:paraId="0E6878F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DF24AE6">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30、中标通知书</w:t>
      </w:r>
    </w:p>
    <w:p w14:paraId="4F0DFD4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30.l</w:t>
      </w:r>
      <w:r>
        <w:rPr>
          <w:rFonts w:hint="eastAsia" w:ascii="宋体" w:hAnsi="宋体" w:eastAsia="宋体" w:cs="宋体"/>
          <w:b/>
          <w:color w:val="auto"/>
          <w:highlight w:val="none"/>
        </w:rPr>
        <w:t> </w:t>
      </w:r>
      <w:r>
        <w:rPr>
          <w:rFonts w:hint="eastAsia" w:ascii="宋体" w:hAnsi="宋体" w:eastAsia="宋体" w:cs="宋体"/>
          <w:color w:val="auto"/>
          <w:highlight w:val="none"/>
        </w:rPr>
        <w:t>中标结果确定后，采购人将向中标人发出中标通知书。请中标人在中标结果公告届满之日起30日内,使用CA数字证书</w:t>
      </w:r>
      <w:r>
        <w:rPr>
          <w:rFonts w:hint="eastAsia" w:ascii="宋体" w:hAnsi="宋体" w:eastAsia="宋体" w:cs="宋体"/>
          <w:color w:val="auto"/>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auto"/>
          <w:highlight w:val="none"/>
        </w:rPr>
        <w:t>标人自行承担。</w:t>
      </w:r>
    </w:p>
    <w:p w14:paraId="4605D1C0">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8"/>
        <w:keepNext/>
        <w:keepLines/>
        <w:spacing w:before="145" w:beforeAutospacing="0" w:after="145" w:afterAutospacing="0" w:line="400" w:lineRule="atLeast"/>
        <w:ind w:firstLine="723"/>
        <w:jc w:val="both"/>
        <w:rPr>
          <w:rFonts w:ascii="宋体" w:hAnsi="宋体" w:eastAsia="宋体" w:cs="宋体"/>
          <w:color w:val="auto"/>
          <w:highlight w:val="none"/>
        </w:rPr>
      </w:pPr>
      <w:bookmarkStart w:id="154" w:name="_Toc16938552"/>
      <w:bookmarkStart w:id="155" w:name="_Toc513029236"/>
      <w:bookmarkStart w:id="156" w:name="_Toc20823308"/>
      <w:bookmarkStart w:id="157" w:name="_Toc120614220"/>
      <w:r>
        <w:rPr>
          <w:rFonts w:hint="eastAsia" w:ascii="宋体" w:hAnsi="宋体" w:eastAsia="宋体" w:cs="宋体"/>
          <w:b/>
          <w:color w:val="auto"/>
          <w:highlight w:val="none"/>
        </w:rPr>
        <w:t>七、授予合同</w:t>
      </w:r>
      <w:bookmarkEnd w:id="154"/>
      <w:bookmarkEnd w:id="155"/>
      <w:bookmarkEnd w:id="156"/>
      <w:bookmarkEnd w:id="157"/>
    </w:p>
    <w:p w14:paraId="3FD53760">
      <w:pPr>
        <w:pStyle w:val="8"/>
        <w:keepNext/>
        <w:keepLines/>
        <w:spacing w:beforeAutospacing="0" w:afterAutospacing="0" w:line="400" w:lineRule="atLeast"/>
        <w:ind w:firstLine="720"/>
        <w:jc w:val="both"/>
        <w:rPr>
          <w:rFonts w:ascii="宋体" w:hAnsi="宋体" w:eastAsia="宋体" w:cs="宋体"/>
          <w:color w:val="auto"/>
          <w:highlight w:val="none"/>
        </w:rPr>
      </w:pPr>
      <w:bookmarkStart w:id="158" w:name="_Toc513029237"/>
      <w:bookmarkStart w:id="159" w:name="_Toc16938553"/>
      <w:bookmarkStart w:id="160" w:name="_Toc20823309"/>
      <w:r>
        <w:rPr>
          <w:rFonts w:hint="eastAsia" w:ascii="宋体" w:hAnsi="宋体" w:eastAsia="宋体" w:cs="宋体"/>
          <w:color w:val="auto"/>
          <w:highlight w:val="none"/>
        </w:rPr>
        <w:t>31. 签订合同</w:t>
      </w:r>
      <w:bookmarkEnd w:id="158"/>
      <w:bookmarkEnd w:id="159"/>
      <w:bookmarkEnd w:id="160"/>
    </w:p>
    <w:p w14:paraId="3B519A32">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31.l中标人应当在中标通知书发出之日起三十日内，按照招标文件确定的事项与采购人签订政府采购合同。</w:t>
      </w:r>
    </w:p>
    <w:p w14:paraId="47C5C3E9">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31.2招标文件、中标人的投标文件及招标过程中有关澄清、承诺文件均应作为合同附件。</w:t>
      </w:r>
    </w:p>
    <w:p w14:paraId="60EA278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7A8BD332">
      <w:pPr>
        <w:pStyle w:val="8"/>
        <w:keepNext/>
        <w:keepLines/>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32、货物（包含与货物相关的服务）的追加</w:t>
      </w:r>
    </w:p>
    <w:p w14:paraId="779FCA9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8"/>
        <w:spacing w:beforeAutospacing="0" w:afterAutospacing="0" w:line="400" w:lineRule="atLeas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33.政府采购政策功能落实</w:t>
      </w:r>
    </w:p>
    <w:p w14:paraId="3EA2C724">
      <w:pPr>
        <w:pStyle w:val="8"/>
        <w:keepNext/>
        <w:keepLines/>
        <w:spacing w:beforeAutospacing="0" w:afterAutospacing="0" w:line="400" w:lineRule="atLeas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7831DEF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33.2进口产品</w:t>
      </w:r>
    </w:p>
    <w:p w14:paraId="5E25FDB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33.3中小企业、监狱企业及残疾人福利性单位</w:t>
      </w:r>
    </w:p>
    <w:p w14:paraId="63807B9C">
      <w:pPr>
        <w:spacing w:line="400" w:lineRule="atLeast"/>
        <w:ind w:firstLine="720"/>
        <w:rPr>
          <w:rFonts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4C9CBD8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6761BEF4">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31163D4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4DFC19B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3EA95C77">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18C13D1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34D8F3DF">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2C10A4F6">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273AB3B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25054FF3">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2B08B5C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20CB233D">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3B85C34B">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33.3.7本项目是否专门面向中小企业预留采购份额见第一章《招标公告》。</w:t>
      </w:r>
    </w:p>
    <w:p w14:paraId="66321B5E">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3CD37815">
      <w:pPr>
        <w:pStyle w:val="8"/>
        <w:spacing w:beforeAutospacing="0" w:afterAutospacing="0" w:line="40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24130294">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33.4政府采购节能产品、环境标志产品</w:t>
      </w:r>
    </w:p>
    <w:p w14:paraId="56196F77">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sz w:val="24"/>
          <w:highlight w:val="none"/>
        </w:rPr>
        <w:t>33.4.1</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3644E8D9">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sz w:val="24"/>
          <w:highlight w:val="none"/>
        </w:rPr>
        <w:t>33.4.2</w:t>
      </w:r>
      <w:r>
        <w:rPr>
          <w:rFonts w:hint="eastAsia" w:ascii="宋体" w:hAnsi="宋体" w:eastAsia="宋体" w:cs="宋体"/>
          <w:color w:val="auto"/>
          <w:kern w:val="0"/>
          <w:sz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33.5绿色包装</w:t>
      </w:r>
    </w:p>
    <w:p w14:paraId="3C828DB7">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33.6政府采购创新产品</w:t>
      </w:r>
    </w:p>
    <w:p w14:paraId="2D9B3368">
      <w:pPr>
        <w:pBdr>
          <w:top w:val="none" w:color="000000" w:sz="0" w:space="0"/>
          <w:left w:val="none" w:color="000000" w:sz="0" w:space="0"/>
          <w:bottom w:val="none" w:color="000000" w:sz="0" w:space="0"/>
          <w:right w:val="none" w:color="000000" w:sz="0" w:space="0"/>
        </w:pBdr>
        <w:spacing w:line="400" w:lineRule="atLeast"/>
        <w:ind w:firstLine="720"/>
        <w:rPr>
          <w:rFonts w:ascii="宋体" w:hAnsi="宋体" w:eastAsia="宋体" w:cs="宋体"/>
          <w:color w:val="auto"/>
          <w:sz w:val="24"/>
          <w:highlight w:val="none"/>
        </w:rPr>
      </w:pPr>
      <w:r>
        <w:rPr>
          <w:rFonts w:hint="eastAsia" w:ascii="宋体" w:hAnsi="宋体" w:eastAsia="宋体" w:cs="宋体"/>
          <w:color w:val="auto"/>
          <w:kern w:val="0"/>
          <w:sz w:val="24"/>
          <w:highlight w:val="none"/>
        </w:rPr>
        <w:t>采购人优先采购各级政府部门公开发布的有效期内的创新产品、创新服务、首台套、首购首用等《目录》的创新产品</w:t>
      </w:r>
      <w:r>
        <w:rPr>
          <w:rFonts w:hint="eastAsia" w:ascii="宋体" w:hAnsi="宋体" w:eastAsia="宋体" w:cs="宋体"/>
          <w:color w:val="auto"/>
          <w:sz w:val="24"/>
          <w:highlight w:val="none"/>
        </w:rPr>
        <w:t>。</w:t>
      </w:r>
    </w:p>
    <w:p w14:paraId="57947BB5">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33.7绿色数据中心政策 </w:t>
      </w:r>
    </w:p>
    <w:p w14:paraId="722A8D32">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33.8实施本国产品标准及相关政策</w:t>
      </w:r>
    </w:p>
    <w:p w14:paraId="7B4C191B">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1.本项目对采购本国产品给予政策支持，具体内容见招标文件“第五章 评标方法与评标标准”。</w:t>
      </w:r>
    </w:p>
    <w:p w14:paraId="04114C16">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97811F">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kern w:val="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33.9履约保证金政策</w:t>
      </w:r>
    </w:p>
    <w:p w14:paraId="40F02B3A">
      <w:pPr>
        <w:pStyle w:val="18"/>
        <w:spacing w:after="0" w:line="400" w:lineRule="atLeast"/>
        <w:ind w:left="0"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确需收取履约保证金的，履约保证金的缴纳形式：</w:t>
      </w:r>
    </w:p>
    <w:p w14:paraId="5EB031AC">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如以履约保函（保险）形式缴纳履约保证金，供应商可通过政府采购电子履约保函（保险）平台（www.jsdzbh.com）在线申请履约保函（保险）。</w:t>
      </w:r>
    </w:p>
    <w:p w14:paraId="57E6C93D">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tabs>
          <w:tab w:val="left" w:pos="1381"/>
        </w:tabs>
        <w:spacing w:line="400" w:lineRule="atLeast"/>
        <w:ind w:firstLine="7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34. 预付款制度</w:t>
      </w:r>
    </w:p>
    <w:p w14:paraId="23108FD2">
      <w:pPr>
        <w:spacing w:line="400" w:lineRule="atLeast"/>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本项目落实预付款制度，预付款比例为30%。在签订合同时，中标、成交供应商明确书面表示无需预付款或者主动要求降低预付款比例的，采购人可就预付款比例作相应调整。</w:t>
      </w:r>
    </w:p>
    <w:p w14:paraId="53289C7D">
      <w:pPr>
        <w:pStyle w:val="18"/>
        <w:spacing w:after="0" w:line="520" w:lineRule="exact"/>
        <w:ind w:left="0" w:firstLine="720"/>
        <w:rPr>
          <w:rFonts w:ascii="宋体" w:hAnsi="宋体" w:eastAsia="宋体" w:cs="宋体"/>
          <w:color w:val="auto"/>
          <w:kern w:val="0"/>
          <w:sz w:val="24"/>
          <w:highlight w:val="none"/>
        </w:rPr>
      </w:pPr>
    </w:p>
    <w:p w14:paraId="33E3FFD4">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w:t>
      </w:r>
    </w:p>
    <w:p w14:paraId="520F1951">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w:t>
      </w:r>
    </w:p>
    <w:p w14:paraId="6B97EB0F">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w:t>
      </w:r>
    </w:p>
    <w:p w14:paraId="47219D08">
      <w:pPr>
        <w:pStyle w:val="8"/>
        <w:spacing w:beforeAutospacing="0" w:afterAutospacing="0"/>
        <w:ind w:firstLine="720"/>
        <w:jc w:val="both"/>
        <w:rPr>
          <w:rFonts w:ascii="宋体" w:hAnsi="宋体" w:eastAsia="宋体" w:cs="宋体"/>
          <w:color w:val="auto"/>
          <w:highlight w:val="none"/>
        </w:rPr>
      </w:pPr>
    </w:p>
    <w:p w14:paraId="5DD3B16F">
      <w:pPr>
        <w:pStyle w:val="8"/>
        <w:spacing w:beforeAutospacing="0" w:afterAutospacing="0"/>
        <w:ind w:firstLine="720"/>
        <w:jc w:val="both"/>
        <w:rPr>
          <w:rFonts w:ascii="宋体" w:hAnsi="宋体" w:eastAsia="宋体" w:cs="宋体"/>
          <w:color w:val="auto"/>
          <w:highlight w:val="none"/>
        </w:rPr>
      </w:pPr>
    </w:p>
    <w:p w14:paraId="484F37B1">
      <w:pPr>
        <w:pStyle w:val="8"/>
        <w:spacing w:beforeAutospacing="0" w:afterAutospacing="0"/>
        <w:ind w:firstLine="720"/>
        <w:jc w:val="both"/>
        <w:rPr>
          <w:rFonts w:ascii="宋体" w:hAnsi="宋体" w:eastAsia="宋体" w:cs="宋体"/>
          <w:color w:val="auto"/>
          <w:highlight w:val="none"/>
        </w:rPr>
      </w:pPr>
    </w:p>
    <w:p w14:paraId="1EB1F8A6">
      <w:pPr>
        <w:pStyle w:val="8"/>
        <w:spacing w:beforeAutospacing="0" w:afterAutospacing="0"/>
        <w:ind w:firstLine="720"/>
        <w:jc w:val="both"/>
        <w:rPr>
          <w:color w:val="auto"/>
          <w:highlight w:val="none"/>
        </w:rPr>
      </w:pPr>
    </w:p>
    <w:p w14:paraId="1EBA165D">
      <w:pPr>
        <w:pStyle w:val="8"/>
        <w:spacing w:beforeAutospacing="0" w:afterAutospacing="0"/>
        <w:ind w:firstLine="720"/>
        <w:jc w:val="both"/>
        <w:rPr>
          <w:color w:val="auto"/>
          <w:highlight w:val="none"/>
        </w:rPr>
      </w:pPr>
    </w:p>
    <w:p w14:paraId="68B2849A">
      <w:pPr>
        <w:pStyle w:val="8"/>
        <w:spacing w:beforeAutospacing="0" w:afterAutospacing="0"/>
        <w:ind w:firstLine="720"/>
        <w:jc w:val="both"/>
        <w:rPr>
          <w:color w:val="auto"/>
          <w:highlight w:val="none"/>
        </w:rPr>
      </w:pPr>
    </w:p>
    <w:p w14:paraId="4933F7EA">
      <w:pPr>
        <w:pStyle w:val="8"/>
        <w:spacing w:beforeAutospacing="0" w:afterAutospacing="0" w:line="0" w:lineRule="atLeast"/>
        <w:ind w:firstLine="720"/>
        <w:jc w:val="both"/>
        <w:rPr>
          <w:color w:val="auto"/>
          <w:highlight w:val="none"/>
        </w:rPr>
      </w:pPr>
      <w:r>
        <w:rPr>
          <w:color w:val="auto"/>
          <w:highlight w:val="none"/>
        </w:rPr>
        <w:t> </w:t>
      </w:r>
    </w:p>
    <w:p w14:paraId="4B5F750D">
      <w:pPr>
        <w:pStyle w:val="8"/>
        <w:spacing w:beforeAutospacing="0" w:afterAutospacing="0" w:line="0" w:lineRule="atLeast"/>
        <w:ind w:firstLine="720"/>
        <w:jc w:val="both"/>
        <w:rPr>
          <w:color w:val="auto"/>
          <w:highlight w:val="none"/>
        </w:rPr>
      </w:pPr>
      <w:r>
        <w:rPr>
          <w:color w:val="auto"/>
          <w:highlight w:val="none"/>
        </w:rPr>
        <w:t> </w:t>
      </w:r>
    </w:p>
    <w:p w14:paraId="31AFAA53">
      <w:pPr>
        <w:pStyle w:val="8"/>
        <w:spacing w:beforeAutospacing="0" w:afterAutospacing="0" w:line="0" w:lineRule="atLeast"/>
        <w:ind w:firstLine="720"/>
        <w:jc w:val="both"/>
        <w:rPr>
          <w:color w:val="auto"/>
          <w:highlight w:val="none"/>
        </w:rPr>
      </w:pPr>
      <w:r>
        <w:rPr>
          <w:color w:val="auto"/>
          <w:highlight w:val="none"/>
        </w:rPr>
        <w:t> </w:t>
      </w:r>
    </w:p>
    <w:p w14:paraId="655A4F78">
      <w:pPr>
        <w:widowControl/>
        <w:spacing w:line="360" w:lineRule="auto"/>
        <w:ind w:firstLine="1080"/>
        <w:jc w:val="center"/>
        <w:rPr>
          <w:color w:val="auto"/>
          <w:sz w:val="36"/>
          <w:szCs w:val="44"/>
          <w:highlight w:val="none"/>
        </w:rPr>
      </w:pPr>
      <w:r>
        <w:rPr>
          <w:color w:val="auto"/>
          <w:sz w:val="36"/>
          <w:szCs w:val="44"/>
          <w:highlight w:val="none"/>
        </w:rPr>
        <w:t> </w:t>
      </w:r>
      <w:bookmarkStart w:id="161" w:name="_Toc479757211"/>
      <w:bookmarkStart w:id="162" w:name="_Toc20823346"/>
      <w:bookmarkStart w:id="163" w:name="_Hlt16619350"/>
      <w:bookmarkStart w:id="164" w:name="_Toc16938590"/>
      <w:bookmarkStart w:id="165" w:name="_Toc120614244"/>
      <w:bookmarkStart w:id="166" w:name="_Toc462564139"/>
      <w:bookmarkStart w:id="167" w:name="_Hlt16619369"/>
    </w:p>
    <w:p w14:paraId="0E07432C">
      <w:pPr>
        <w:ind w:firstLine="1080"/>
        <w:rPr>
          <w:color w:val="auto"/>
          <w:sz w:val="36"/>
          <w:szCs w:val="44"/>
          <w:highlight w:val="none"/>
        </w:rPr>
      </w:pPr>
      <w:r>
        <w:rPr>
          <w:color w:val="auto"/>
          <w:sz w:val="36"/>
          <w:szCs w:val="44"/>
          <w:highlight w:val="none"/>
        </w:rPr>
        <w:br w:type="page"/>
      </w:r>
    </w:p>
    <w:p w14:paraId="7D0C094D">
      <w:pPr>
        <w:widowControl/>
        <w:spacing w:line="360" w:lineRule="auto"/>
        <w:ind w:firstLine="1928" w:firstLineChars="400"/>
        <w:jc w:val="both"/>
        <w:rPr>
          <w:rFonts w:ascii="宋体" w:hAnsi="宋体" w:cs="宋体"/>
          <w:b/>
          <w:color w:val="auto"/>
          <w:sz w:val="48"/>
          <w:szCs w:val="44"/>
          <w:highlight w:val="none"/>
        </w:rPr>
      </w:pPr>
      <w:r>
        <w:rPr>
          <w:rFonts w:hint="eastAsia" w:ascii="宋体" w:hAnsi="宋体" w:cs="宋体"/>
          <w:b/>
          <w:color w:val="auto"/>
          <w:sz w:val="48"/>
          <w:szCs w:val="44"/>
          <w:highlight w:val="none"/>
        </w:rPr>
        <w:t>第三章  合同条款</w:t>
      </w:r>
    </w:p>
    <w:p w14:paraId="7C62F2F4">
      <w:pPr>
        <w:rPr>
          <w:rFonts w:ascii="宋体" w:hAnsi="宋体" w:cs="宋体"/>
          <w:color w:val="auto"/>
          <w:highlight w:val="none"/>
        </w:rPr>
      </w:pPr>
      <w:bookmarkStart w:id="168" w:name="EB6d2006462e294de090c16e672cecc3bd"/>
    </w:p>
    <w:bookmarkEnd w:id="168"/>
    <w:p w14:paraId="0F89D1C7">
      <w:pPr>
        <w:ind w:firstLine="1326"/>
        <w:jc w:val="center"/>
        <w:rPr>
          <w:rFonts w:ascii="宋体" w:hAnsi="宋体" w:cs="宋体"/>
          <w:b/>
          <w:bCs/>
          <w:color w:val="auto"/>
          <w:spacing w:val="-20"/>
          <w:sz w:val="48"/>
          <w:szCs w:val="48"/>
          <w:highlight w:val="none"/>
        </w:rPr>
      </w:pPr>
      <w:bookmarkStart w:id="169" w:name="_Toc3995"/>
    </w:p>
    <w:p w14:paraId="2728A11A">
      <w:pPr>
        <w:ind w:firstLine="1326"/>
        <w:jc w:val="center"/>
        <w:rPr>
          <w:rFonts w:ascii="宋体" w:hAnsi="宋体" w:cs="宋体"/>
          <w:b/>
          <w:bCs/>
          <w:color w:val="auto"/>
          <w:spacing w:val="-20"/>
          <w:sz w:val="48"/>
          <w:szCs w:val="48"/>
          <w:highlight w:val="none"/>
        </w:rPr>
      </w:pPr>
    </w:p>
    <w:p w14:paraId="61A63262">
      <w:pPr>
        <w:ind w:firstLine="1326"/>
        <w:jc w:val="center"/>
        <w:rPr>
          <w:rFonts w:ascii="宋体" w:hAnsi="宋体" w:cs="宋体"/>
          <w:b/>
          <w:bCs/>
          <w:color w:val="auto"/>
          <w:spacing w:val="-20"/>
          <w:sz w:val="48"/>
          <w:szCs w:val="48"/>
          <w:highlight w:val="none"/>
        </w:rPr>
      </w:pPr>
    </w:p>
    <w:p w14:paraId="5544CBCE">
      <w:pPr>
        <w:ind w:firstLine="1326"/>
        <w:jc w:val="center"/>
        <w:rPr>
          <w:rFonts w:ascii="宋体" w:hAnsi="宋体" w:cs="宋体"/>
          <w:b/>
          <w:bCs/>
          <w:color w:val="auto"/>
          <w:spacing w:val="-20"/>
          <w:sz w:val="48"/>
          <w:szCs w:val="48"/>
          <w:highlight w:val="none"/>
        </w:rPr>
      </w:pPr>
    </w:p>
    <w:p w14:paraId="6038FDA2">
      <w:pPr>
        <w:ind w:firstLine="900"/>
        <w:jc w:val="center"/>
        <w:rPr>
          <w:rFonts w:ascii="宋体" w:hAnsi="宋体" w:cs="宋体"/>
          <w:color w:val="auto"/>
          <w:sz w:val="30"/>
          <w:highlight w:val="none"/>
        </w:rPr>
      </w:pPr>
    </w:p>
    <w:p w14:paraId="7023E608">
      <w:pPr>
        <w:ind w:firstLine="900"/>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39A221D5">
      <w:pPr>
        <w:ind w:firstLine="900"/>
        <w:jc w:val="center"/>
        <w:rPr>
          <w:rFonts w:ascii="宋体" w:hAnsi="宋体" w:cs="宋体"/>
          <w:color w:val="auto"/>
          <w:sz w:val="30"/>
          <w:highlight w:val="none"/>
        </w:rPr>
      </w:pPr>
    </w:p>
    <w:p w14:paraId="7EE671B2">
      <w:pPr>
        <w:ind w:firstLine="900"/>
        <w:rPr>
          <w:rFonts w:ascii="宋体" w:hAnsi="宋体" w:cs="宋体"/>
          <w:color w:val="auto"/>
          <w:sz w:val="30"/>
          <w:highlight w:val="none"/>
        </w:rPr>
      </w:pPr>
    </w:p>
    <w:p w14:paraId="149DABE6">
      <w:pPr>
        <w:ind w:firstLine="900"/>
        <w:rPr>
          <w:rFonts w:ascii="宋体" w:hAnsi="宋体" w:cs="宋体"/>
          <w:color w:val="auto"/>
          <w:sz w:val="30"/>
          <w:highlight w:val="none"/>
        </w:rPr>
      </w:pPr>
    </w:p>
    <w:p w14:paraId="7E6C9959">
      <w:pPr>
        <w:ind w:firstLine="900"/>
        <w:rPr>
          <w:rFonts w:ascii="宋体" w:hAnsi="宋体" w:cs="宋体"/>
          <w:color w:val="auto"/>
          <w:sz w:val="30"/>
          <w:highlight w:val="none"/>
        </w:rPr>
      </w:pPr>
    </w:p>
    <w:p w14:paraId="3BB3AA36">
      <w:pPr>
        <w:spacing w:line="360" w:lineRule="auto"/>
        <w:ind w:left="420" w:firstLine="900"/>
        <w:rPr>
          <w:rFonts w:ascii="宋体" w:hAnsi="宋体" w:cs="宋体"/>
          <w:color w:val="auto"/>
          <w:sz w:val="30"/>
          <w:highlight w:val="none"/>
        </w:rPr>
      </w:pPr>
      <w:r>
        <w:rPr>
          <w:rFonts w:hint="eastAsia" w:ascii="宋体" w:hAnsi="宋体" w:cs="宋体"/>
          <w:color w:val="auto"/>
          <w:sz w:val="30"/>
          <w:highlight w:val="none"/>
        </w:rPr>
        <w:t>项目名称：</w:t>
      </w:r>
    </w:p>
    <w:p w14:paraId="7691FC79">
      <w:pPr>
        <w:spacing w:line="360" w:lineRule="auto"/>
        <w:ind w:left="420" w:firstLine="900"/>
        <w:rPr>
          <w:rFonts w:ascii="宋体" w:hAnsi="宋体" w:cs="宋体"/>
          <w:color w:val="auto"/>
          <w:sz w:val="30"/>
          <w:highlight w:val="none"/>
        </w:rPr>
      </w:pPr>
      <w:r>
        <w:rPr>
          <w:rFonts w:hint="eastAsia" w:ascii="宋体" w:hAnsi="宋体" w:cs="宋体"/>
          <w:color w:val="auto"/>
          <w:sz w:val="30"/>
          <w:highlight w:val="none"/>
        </w:rPr>
        <w:t>甲    方：</w:t>
      </w:r>
    </w:p>
    <w:p w14:paraId="2F6A467E">
      <w:pPr>
        <w:spacing w:line="360" w:lineRule="auto"/>
        <w:ind w:left="420" w:firstLine="900"/>
        <w:rPr>
          <w:rFonts w:ascii="宋体" w:hAnsi="宋体" w:cs="宋体"/>
          <w:color w:val="auto"/>
          <w:sz w:val="30"/>
          <w:highlight w:val="none"/>
        </w:rPr>
      </w:pPr>
      <w:r>
        <w:rPr>
          <w:rFonts w:hint="eastAsia" w:ascii="宋体" w:hAnsi="宋体" w:cs="宋体"/>
          <w:color w:val="auto"/>
          <w:sz w:val="30"/>
          <w:highlight w:val="none"/>
        </w:rPr>
        <w:t>乙    方：</w:t>
      </w:r>
    </w:p>
    <w:p w14:paraId="2B606E10">
      <w:pPr>
        <w:spacing w:line="360" w:lineRule="auto"/>
        <w:ind w:left="420" w:firstLine="900"/>
        <w:rPr>
          <w:rFonts w:ascii="宋体" w:hAnsi="宋体" w:cs="宋体"/>
          <w:color w:val="auto"/>
          <w:sz w:val="30"/>
          <w:highlight w:val="none"/>
        </w:rPr>
      </w:pPr>
      <w:r>
        <w:rPr>
          <w:rFonts w:hint="eastAsia" w:ascii="宋体" w:hAnsi="宋体" w:cs="宋体"/>
          <w:color w:val="auto"/>
          <w:sz w:val="30"/>
          <w:highlight w:val="none"/>
        </w:rPr>
        <w:t>签订时间：</w:t>
      </w:r>
    </w:p>
    <w:p w14:paraId="178BC0A1">
      <w:pPr>
        <w:rPr>
          <w:color w:val="auto"/>
          <w:highlight w:val="none"/>
        </w:rPr>
      </w:pPr>
    </w:p>
    <w:p w14:paraId="7B8C5833">
      <w:pPr>
        <w:ind w:firstLine="1320"/>
        <w:rPr>
          <w:rFonts w:eastAsia="黑体"/>
          <w:color w:val="auto"/>
          <w:sz w:val="44"/>
          <w:szCs w:val="44"/>
          <w:highlight w:val="none"/>
        </w:rPr>
      </w:pPr>
      <w:r>
        <w:rPr>
          <w:rFonts w:eastAsia="黑体"/>
          <w:color w:val="auto"/>
          <w:sz w:val="44"/>
          <w:szCs w:val="44"/>
          <w:highlight w:val="none"/>
        </w:rPr>
        <w:br w:type="page" w:clear="all"/>
      </w:r>
    </w:p>
    <w:p w14:paraId="10FC3B74">
      <w:pPr>
        <w:ind w:firstLine="3643" w:firstLineChars="828"/>
        <w:jc w:val="both"/>
        <w:rPr>
          <w:rFonts w:eastAsia="黑体"/>
          <w:color w:val="auto"/>
          <w:sz w:val="44"/>
          <w:szCs w:val="44"/>
          <w:highlight w:val="none"/>
        </w:rPr>
      </w:pPr>
      <w:r>
        <w:rPr>
          <w:rFonts w:hint="eastAsia" w:eastAsia="黑体"/>
          <w:color w:val="auto"/>
          <w:sz w:val="44"/>
          <w:szCs w:val="44"/>
          <w:highlight w:val="none"/>
        </w:rPr>
        <w:t>使用说明</w:t>
      </w:r>
    </w:p>
    <w:p w14:paraId="46640D5A">
      <w:pPr>
        <w:ind w:firstLine="960"/>
        <w:rPr>
          <w:rFonts w:ascii="仿宋_GB2312" w:hAnsi="仿宋_GB2312" w:eastAsia="仿宋_GB2312" w:cs="仿宋_GB2312"/>
          <w:color w:val="auto"/>
          <w:sz w:val="32"/>
          <w:szCs w:val="32"/>
          <w:highlight w:val="none"/>
        </w:rPr>
      </w:pPr>
    </w:p>
    <w:p w14:paraId="26D161FD">
      <w:pPr>
        <w:ind w:firstLine="96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5E74DF6D">
      <w:pPr>
        <w:ind w:firstLine="96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49578DCE">
      <w:pPr>
        <w:ind w:firstLine="96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680A106D">
      <w:pPr>
        <w:ind w:firstLine="1320"/>
        <w:rPr>
          <w:rFonts w:eastAsia="黑体"/>
          <w:color w:val="auto"/>
          <w:sz w:val="44"/>
          <w:szCs w:val="44"/>
          <w:highlight w:val="none"/>
        </w:rPr>
        <w:sectPr>
          <w:footerReference r:id="rId3" w:type="default"/>
          <w:pgSz w:w="11906" w:h="16838"/>
          <w:pgMar w:top="1440" w:right="1800" w:bottom="1440" w:left="1800" w:header="851" w:footer="992" w:gutter="0"/>
          <w:cols w:space="425" w:num="1"/>
          <w:docGrid w:linePitch="360" w:charSpace="0"/>
        </w:sectPr>
      </w:pPr>
    </w:p>
    <w:bookmarkEnd w:id="169"/>
    <w:p w14:paraId="0930546B">
      <w:pPr>
        <w:keepNext/>
        <w:keepLines/>
        <w:spacing w:line="400" w:lineRule="exact"/>
        <w:ind w:firstLine="843"/>
        <w:jc w:val="center"/>
        <w:outlineLvl w:val="1"/>
        <w:rPr>
          <w:rFonts w:ascii="黑体" w:hAnsi="黑体" w:eastAsia="黑体"/>
          <w:b/>
          <w:bCs/>
          <w:color w:val="auto"/>
          <w:sz w:val="28"/>
          <w:szCs w:val="28"/>
          <w:highlight w:val="none"/>
        </w:rPr>
      </w:pPr>
      <w:bookmarkStart w:id="170" w:name="_Toc22209"/>
    </w:p>
    <w:p w14:paraId="24AB6C21">
      <w:pPr>
        <w:keepNext/>
        <w:keepLines/>
        <w:spacing w:line="400" w:lineRule="exact"/>
        <w:ind w:firstLine="840"/>
        <w:jc w:val="center"/>
        <w:outlineLvl w:val="1"/>
        <w:rPr>
          <w:rFonts w:ascii="黑体" w:hAnsi="华文中宋" w:eastAsia="黑体"/>
          <w:color w:val="auto"/>
          <w:sz w:val="28"/>
          <w:szCs w:val="28"/>
          <w:highlight w:val="none"/>
        </w:rPr>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70"/>
    </w:p>
    <w:p w14:paraId="204F39D4">
      <w:pPr>
        <w:keepNext/>
        <w:keepLines/>
        <w:spacing w:line="360" w:lineRule="auto"/>
        <w:ind w:firstLine="840"/>
        <w:jc w:val="center"/>
        <w:outlineLvl w:val="1"/>
        <w:rPr>
          <w:rFonts w:ascii="黑体" w:hAnsi="华文中宋" w:eastAsia="黑体"/>
          <w:color w:val="auto"/>
          <w:sz w:val="28"/>
          <w:szCs w:val="28"/>
          <w:highlight w:val="none"/>
        </w:rPr>
      </w:pPr>
    </w:p>
    <w:p w14:paraId="343FEEC8">
      <w:pPr>
        <w:spacing w:line="360" w:lineRule="auto"/>
        <w:ind w:firstLine="720"/>
        <w:rPr>
          <w:rFonts w:ascii="宋体" w:hAnsi="宋体"/>
          <w:color w:val="auto"/>
          <w:sz w:val="24"/>
          <w:highlight w:val="none"/>
        </w:rPr>
      </w:pPr>
      <w:r>
        <w:rPr>
          <w:rFonts w:hint="eastAsia" w:ascii="宋体" w:hAnsi="宋体"/>
          <w:color w:val="auto"/>
          <w:sz w:val="24"/>
          <w:highlight w:val="none"/>
        </w:rPr>
        <w:t>甲方（全称）：盐城市亭湖区农业农村局</w:t>
      </w:r>
    </w:p>
    <w:p w14:paraId="23DA8236">
      <w:pPr>
        <w:spacing w:line="360" w:lineRule="auto"/>
        <w:ind w:firstLine="720"/>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7E89D3F7">
      <w:pPr>
        <w:spacing w:line="360" w:lineRule="auto"/>
        <w:ind w:firstLine="720"/>
        <w:rPr>
          <w:rFonts w:ascii="宋体" w:hAnsi="宋体"/>
          <w:color w:val="auto"/>
          <w:sz w:val="24"/>
          <w:highlight w:val="none"/>
        </w:rPr>
      </w:pPr>
      <w:r>
        <w:rPr>
          <w:rFonts w:hint="eastAsia" w:ascii="宋体" w:hAnsi="宋体"/>
          <w:color w:val="auto"/>
          <w:sz w:val="24"/>
          <w:highlight w:val="none"/>
        </w:rPr>
        <w:t xml:space="preserve">依据《中华人民共和国民法典》《中华人民共和国政府采购法》等有关的法律法规，以及本采购项目的招标采购文件、乙方的《投标（响应）文件》及《中标（成交）通知书》，甲乙双方同意签订本合同。具体情况及要求如下：     </w:t>
      </w:r>
    </w:p>
    <w:p w14:paraId="2AF584B0">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项目信息</w:t>
      </w:r>
    </w:p>
    <w:p w14:paraId="3A0A2DD0">
      <w:pPr>
        <w:numPr>
          <w:ilvl w:val="0"/>
          <w:numId w:val="2"/>
        </w:numPr>
        <w:spacing w:line="360" w:lineRule="auto"/>
        <w:ind w:firstLine="720"/>
        <w:rPr>
          <w:rFonts w:ascii="宋体" w:hAnsi="宋体"/>
          <w:color w:val="auto"/>
          <w:sz w:val="24"/>
          <w:highlight w:val="none"/>
        </w:rPr>
      </w:pPr>
      <w:r>
        <w:rPr>
          <w:rFonts w:hint="eastAsia" w:ascii="宋体" w:hAnsi="宋体"/>
          <w:color w:val="auto"/>
          <w:sz w:val="24"/>
          <w:highlight w:val="none"/>
        </w:rPr>
        <w:t>采购项目名称：2024-2025年亭湖区地膜科学使用回收项目</w:t>
      </w:r>
    </w:p>
    <w:p w14:paraId="674EB6FB">
      <w:pPr>
        <w:spacing w:line="360" w:lineRule="auto"/>
        <w:ind w:firstLine="720"/>
        <w:rPr>
          <w:rFonts w:ascii="宋体" w:hAnsi="宋体"/>
          <w:color w:val="auto"/>
          <w:sz w:val="24"/>
          <w:highlight w:val="none"/>
        </w:rPr>
      </w:pPr>
      <w:r>
        <w:rPr>
          <w:rFonts w:hint="eastAsia" w:ascii="宋体" w:hAnsi="宋体"/>
          <w:color w:val="auto"/>
          <w:sz w:val="24"/>
          <w:highlight w:val="none"/>
        </w:rPr>
        <w:t>（2）采购项目编号：</w:t>
      </w:r>
    </w:p>
    <w:p w14:paraId="5633757A">
      <w:pPr>
        <w:spacing w:line="360" w:lineRule="auto"/>
        <w:ind w:firstLine="720"/>
        <w:rPr>
          <w:rFonts w:ascii="宋体" w:hAnsi="宋体"/>
          <w:color w:val="auto"/>
          <w:sz w:val="24"/>
          <w:highlight w:val="none"/>
        </w:rPr>
      </w:pPr>
      <w:r>
        <w:rPr>
          <w:rFonts w:hint="eastAsia" w:ascii="宋体" w:hAnsi="宋体"/>
          <w:color w:val="auto"/>
          <w:sz w:val="24"/>
          <w:highlight w:val="none"/>
        </w:rPr>
        <w:t>（3）项目内容：</w:t>
      </w:r>
    </w:p>
    <w:p w14:paraId="0DF92509">
      <w:pPr>
        <w:spacing w:line="360" w:lineRule="auto"/>
        <w:ind w:firstLine="720"/>
        <w:rPr>
          <w:rFonts w:ascii="宋体" w:hAnsi="宋体"/>
          <w:color w:val="auto"/>
          <w:sz w:val="24"/>
          <w:highlight w:val="none"/>
        </w:rPr>
      </w:pPr>
      <w:r>
        <w:rPr>
          <w:rFonts w:hint="eastAsia" w:ascii="宋体" w:hAnsi="宋体"/>
          <w:color w:val="auto"/>
          <w:sz w:val="24"/>
          <w:highlight w:val="none"/>
        </w:rPr>
        <w:t>采购标的及数量：</w:t>
      </w:r>
    </w:p>
    <w:p w14:paraId="1B296676">
      <w:pPr>
        <w:numPr>
          <w:ilvl w:val="255"/>
          <w:numId w:val="0"/>
        </w:num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品牌：规格型号：</w:t>
      </w:r>
    </w:p>
    <w:p w14:paraId="3F1C3EE1">
      <w:pPr>
        <w:widowControl/>
        <w:numPr>
          <w:ilvl w:val="255"/>
          <w:numId w:val="0"/>
        </w:numP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分散采购</w:t>
      </w:r>
    </w:p>
    <w:p w14:paraId="6EF95825">
      <w:pPr>
        <w:widowControl/>
        <w:numPr>
          <w:ilvl w:val="255"/>
          <w:numId w:val="0"/>
        </w:numPr>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6BE7949E">
      <w:pPr>
        <w:widowControl/>
        <w:numPr>
          <w:ilvl w:val="255"/>
          <w:numId w:val="0"/>
        </w:numPr>
        <w:spacing w:line="360" w:lineRule="auto"/>
        <w:ind w:firstLine="420"/>
        <w:jc w:val="left"/>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4AF326BA">
      <w:pPr>
        <w:widowControl/>
        <w:numPr>
          <w:ilvl w:val="255"/>
          <w:numId w:val="0"/>
        </w:numPr>
        <w:spacing w:line="360" w:lineRule="auto"/>
        <w:ind w:firstLine="240"/>
        <w:jc w:val="left"/>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sym w:font="Wingdings" w:char="00FE"/>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408C49F7">
      <w:pPr>
        <w:numPr>
          <w:ilvl w:val="255"/>
          <w:numId w:val="0"/>
        </w:numPr>
        <w:spacing w:line="360" w:lineRule="auto"/>
        <w:rPr>
          <w:color w:val="auto"/>
          <w:sz w:val="24"/>
          <w:highlight w:val="none"/>
        </w:rPr>
      </w:pPr>
      <w:r>
        <w:rPr>
          <w:rFonts w:hint="eastAsia" w:ascii="宋体" w:hAnsi="宋体"/>
          <w:color w:val="auto"/>
          <w:sz w:val="24"/>
          <w:highlight w:val="none"/>
        </w:rPr>
        <w:t xml:space="preserve">         本合同是否为专门面向中小企业的采购项目：</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604C962A">
      <w:pPr>
        <w:spacing w:line="360" w:lineRule="auto"/>
        <w:ind w:firstLine="7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14D6E5CD">
      <w:pPr>
        <w:numPr>
          <w:ilvl w:val="255"/>
          <w:numId w:val="0"/>
        </w:num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cs="宋体"/>
          <w:iCs/>
          <w:color w:val="auto"/>
          <w:sz w:val="24"/>
          <w:highlight w:val="none"/>
        </w:rPr>
        <w:t>否</w:t>
      </w:r>
    </w:p>
    <w:p w14:paraId="3CEC5FFE">
      <w:pPr>
        <w:numPr>
          <w:ilvl w:val="255"/>
          <w:numId w:val="0"/>
        </w:numPr>
        <w:spacing w:line="360" w:lineRule="auto"/>
        <w:ind w:firstLine="480"/>
        <w:rPr>
          <w:rFonts w:ascii="宋体" w:hAnsi="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color w:val="auto"/>
          <w:sz w:val="24"/>
          <w:highlight w:val="none"/>
        </w:rPr>
        <w:t>否</w:t>
      </w:r>
    </w:p>
    <w:p w14:paraId="1D8F05A5">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合同金额</w:t>
      </w:r>
    </w:p>
    <w:p w14:paraId="1422133B">
      <w:pPr>
        <w:spacing w:line="360" w:lineRule="auto"/>
        <w:ind w:firstLine="720"/>
        <w:rPr>
          <w:rFonts w:ascii="宋体" w:hAnsi="宋体"/>
          <w:color w:val="auto"/>
          <w:sz w:val="24"/>
          <w:highlight w:val="none"/>
        </w:rPr>
      </w:pPr>
      <w:r>
        <w:rPr>
          <w:rFonts w:hint="eastAsia" w:ascii="宋体" w:hAnsi="宋体"/>
          <w:color w:val="auto"/>
          <w:sz w:val="24"/>
          <w:highlight w:val="none"/>
        </w:rPr>
        <w:t>（1）合同金额小写：人民币</w:t>
      </w:r>
      <w:r>
        <w:rPr>
          <w:rFonts w:hint="eastAsia" w:ascii="宋体" w:hAnsi="宋体"/>
          <w:color w:val="auto"/>
          <w:sz w:val="24"/>
          <w:highlight w:val="none"/>
          <w:u w:val="single"/>
        </w:rPr>
        <w:t>1880000</w:t>
      </w:r>
      <w:r>
        <w:rPr>
          <w:rFonts w:hint="eastAsia" w:ascii="宋体" w:hAnsi="宋体"/>
          <w:color w:val="auto"/>
          <w:sz w:val="24"/>
          <w:highlight w:val="none"/>
        </w:rPr>
        <w:t>元，大写：人民币</w:t>
      </w:r>
      <w:r>
        <w:rPr>
          <w:rFonts w:hint="eastAsia" w:ascii="宋体" w:hAnsi="宋体"/>
          <w:color w:val="auto"/>
          <w:sz w:val="24"/>
          <w:highlight w:val="none"/>
          <w:u w:val="single"/>
        </w:rPr>
        <w:t>壹佰捌拾捌</w:t>
      </w:r>
      <w:r>
        <w:rPr>
          <w:rFonts w:hint="eastAsia" w:ascii="宋体" w:hAnsi="宋体"/>
          <w:color w:val="auto"/>
          <w:sz w:val="24"/>
          <w:highlight w:val="none"/>
        </w:rPr>
        <w:t xml:space="preserve">万元；合同价应包括全部产品供货、运输(送达至甲方全部指定地点并卸货)、以及为完成项目内容所必须的人工费、材料费、运输(含送货到点的运输费)、装卸、分发、抽样检测费用、不可预见的费用、管理费、招标代理费、利润、税金和文件规定的其他各项应有的全部费用。对于乙方认为没有考虑到的费用项目甲方将不予支付，并认为此项费用已包含在投标报价中。 </w:t>
      </w:r>
    </w:p>
    <w:p w14:paraId="5C31C02A">
      <w:pPr>
        <w:spacing w:line="360" w:lineRule="auto"/>
        <w:ind w:firstLine="720"/>
        <w:rPr>
          <w:rFonts w:ascii="宋体" w:hAnsi="宋体"/>
          <w:color w:val="auto"/>
          <w:sz w:val="24"/>
          <w:highlight w:val="none"/>
        </w:rPr>
      </w:pPr>
      <w:r>
        <w:rPr>
          <w:rFonts w:hint="eastAsia" w:ascii="宋体" w:hAnsi="宋体"/>
          <w:color w:val="auto"/>
          <w:sz w:val="24"/>
          <w:highlight w:val="none"/>
        </w:rPr>
        <w:t>（2）付款方式：</w:t>
      </w:r>
    </w:p>
    <w:p w14:paraId="1835E847">
      <w:pPr>
        <w:adjustRightInd w:val="0"/>
        <w:snapToGrid w:val="0"/>
        <w:spacing w:line="400" w:lineRule="exact"/>
        <w:ind w:firstLine="630" w:firstLineChars="300"/>
        <w:rPr>
          <w:rFonts w:ascii="宋体" w:hAnsi="宋体"/>
          <w:color w:val="auto"/>
          <w:sz w:val="24"/>
          <w:highlight w:val="none"/>
          <w:u w:val="single"/>
        </w:rPr>
      </w:pPr>
      <w:r>
        <w:rPr>
          <w:rFonts w:ascii="宋体" w:hAnsi="宋体"/>
          <w:color w:val="auto"/>
          <w:szCs w:val="21"/>
          <w:highlight w:val="none"/>
        </w:rPr>
        <w:sym w:font="Wingdings" w:char="00A8"/>
      </w:r>
      <w:r>
        <w:rPr>
          <w:rFonts w:hint="eastAsia" w:ascii="宋体" w:hAnsi="宋体"/>
          <w:color w:val="auto"/>
          <w:sz w:val="24"/>
          <w:szCs w:val="21"/>
          <w:highlight w:val="none"/>
        </w:rPr>
        <w:t>全额付款：</w:t>
      </w:r>
      <w:r>
        <w:rPr>
          <w:rFonts w:hint="eastAsia" w:ascii="宋体" w:hAnsi="宋体"/>
          <w:color w:val="auto"/>
          <w:sz w:val="24"/>
          <w:highlight w:val="none"/>
          <w:u w:val="single"/>
          <w:lang w:val="en-US" w:eastAsia="zh-CN"/>
        </w:rPr>
        <w:t>/</w:t>
      </w:r>
    </w:p>
    <w:p w14:paraId="5D47016F">
      <w:pPr>
        <w:snapToGrid w:val="0"/>
        <w:spacing w:line="400" w:lineRule="exact"/>
        <w:ind w:firstLine="660" w:firstLineChars="300"/>
        <w:rPr>
          <w:rFonts w:hint="eastAsia" w:ascii="宋体" w:hAnsi="宋体"/>
          <w:color w:val="auto"/>
          <w:sz w:val="24"/>
          <w:highlight w:val="none"/>
          <w:u w:val="single"/>
        </w:rPr>
      </w:pPr>
      <w:r>
        <w:rPr>
          <w:rFonts w:ascii="宋体" w:hAnsi="宋体"/>
          <w:color w:val="auto"/>
          <w:sz w:val="22"/>
          <w:szCs w:val="21"/>
          <w:highlight w:val="none"/>
        </w:rPr>
        <w:sym w:font="Wingdings" w:char="00FE"/>
      </w:r>
      <w:r>
        <w:rPr>
          <w:rFonts w:hint="eastAsia" w:ascii="宋体" w:hAnsi="宋体"/>
          <w:color w:val="auto"/>
          <w:sz w:val="24"/>
          <w:highlight w:val="none"/>
        </w:rPr>
        <w:t>分期付款：</w:t>
      </w:r>
      <w:r>
        <w:rPr>
          <w:rFonts w:hint="eastAsia" w:ascii="宋体" w:hAnsi="宋体"/>
          <w:color w:val="auto"/>
          <w:sz w:val="22"/>
          <w:szCs w:val="21"/>
          <w:highlight w:val="none"/>
          <w:u w:val="single"/>
        </w:rPr>
        <w:t xml:space="preserve"> </w:t>
      </w:r>
      <w:r>
        <w:rPr>
          <w:rFonts w:hint="eastAsia" w:ascii="宋体" w:hAnsi="宋体"/>
          <w:color w:val="auto"/>
          <w:sz w:val="24"/>
          <w:highlight w:val="none"/>
          <w:u w:val="single"/>
        </w:rPr>
        <w:t xml:space="preserve"> 本项目合同签订后中标单位申请预付合同金额的30%，全部供货完成并经验收合格后，采购方向中标单位一次性支付项目合同报酬剩余金额，具体进度以财政部门拨付为准。付款前乙方应向甲方开具正规发票，供货交接单，质量检验证书，甲方自收到发票后将资金支付至合同约定的乙方账户。如中标单位明确书面表示无需预付款或者主动要求降低预付款比例的，采购方可就预付款比例作相应调整。 </w:t>
      </w:r>
    </w:p>
    <w:p w14:paraId="3281AB95">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服务保障和承诺要求</w:t>
      </w:r>
    </w:p>
    <w:p w14:paraId="33A04F11">
      <w:pPr>
        <w:spacing w:line="360" w:lineRule="auto"/>
        <w:ind w:firstLine="720"/>
        <w:rPr>
          <w:rFonts w:ascii="宋体" w:hAnsi="宋体"/>
          <w:color w:val="auto"/>
          <w:sz w:val="24"/>
          <w:highlight w:val="none"/>
        </w:rPr>
      </w:pPr>
      <w:r>
        <w:rPr>
          <w:rFonts w:hint="eastAsia" w:ascii="宋体" w:hAnsi="宋体"/>
          <w:color w:val="auto"/>
          <w:sz w:val="24"/>
          <w:highlight w:val="none"/>
        </w:rPr>
        <w:t>（1）乙方提供的产品性能及质量应符合国家标准并满足招标文件规定的相关质量技术要求，实现乙方的投标承诺书条款。</w:t>
      </w:r>
    </w:p>
    <w:p w14:paraId="28061425">
      <w:pPr>
        <w:spacing w:line="360" w:lineRule="auto"/>
        <w:ind w:firstLine="720"/>
        <w:rPr>
          <w:rFonts w:ascii="宋体" w:hAnsi="宋体"/>
          <w:color w:val="auto"/>
          <w:sz w:val="24"/>
          <w:highlight w:val="none"/>
        </w:rPr>
      </w:pPr>
      <w:r>
        <w:rPr>
          <w:rFonts w:hint="eastAsia" w:ascii="宋体" w:hAnsi="宋体"/>
          <w:color w:val="auto"/>
          <w:sz w:val="24"/>
          <w:highlight w:val="none"/>
        </w:rPr>
        <w:t>（2）乙方提交货物时须附带产品合格证、产品检测报告（供货产品批次），送货时间与具体地点根据各街镇农村工作部门要求。投标报价包含所有产品配送、卸货、产品分发（涉及全区各街镇）、售后服务等。</w:t>
      </w:r>
    </w:p>
    <w:p w14:paraId="59C27B7F">
      <w:pPr>
        <w:spacing w:line="360" w:lineRule="auto"/>
        <w:ind w:firstLine="720"/>
        <w:rPr>
          <w:rFonts w:ascii="宋体" w:hAnsi="宋体"/>
          <w:color w:val="auto"/>
          <w:sz w:val="24"/>
          <w:highlight w:val="none"/>
        </w:rPr>
      </w:pPr>
      <w:r>
        <w:rPr>
          <w:rFonts w:hint="eastAsia" w:ascii="宋体" w:hAnsi="宋体"/>
          <w:color w:val="auto"/>
          <w:sz w:val="24"/>
          <w:highlight w:val="none"/>
        </w:rPr>
        <w:t>（3）乙方签订合同前应签署《产品质量责任保证书》，乙方供货时对产品质量把关、技术应用及使用注意事项等宣传培训。</w:t>
      </w:r>
    </w:p>
    <w:p w14:paraId="7FEE6B08">
      <w:pPr>
        <w:numPr>
          <w:ilvl w:val="0"/>
          <w:numId w:val="1"/>
        </w:numPr>
        <w:spacing w:line="360" w:lineRule="auto"/>
        <w:ind w:firstLine="723"/>
        <w:rPr>
          <w:rFonts w:ascii="宋体" w:hAnsi="宋体"/>
          <w:b/>
          <w:color w:val="auto"/>
          <w:sz w:val="24"/>
          <w:highlight w:val="none"/>
          <w:u w:val="single"/>
        </w:rPr>
      </w:pPr>
      <w:r>
        <w:rPr>
          <w:rFonts w:hint="eastAsia" w:ascii="宋体" w:hAnsi="宋体"/>
          <w:b/>
          <w:color w:val="auto"/>
          <w:sz w:val="24"/>
          <w:highlight w:val="none"/>
        </w:rPr>
        <w:t>合同履行</w:t>
      </w:r>
    </w:p>
    <w:p w14:paraId="473B521B">
      <w:pPr>
        <w:spacing w:line="360" w:lineRule="auto"/>
        <w:ind w:firstLine="720"/>
        <w:rPr>
          <w:rFonts w:ascii="宋体" w:hAnsi="宋体" w:cs="宋体"/>
          <w:color w:val="auto"/>
          <w:sz w:val="24"/>
          <w:highlight w:val="none"/>
        </w:rPr>
      </w:pPr>
      <w:r>
        <w:rPr>
          <w:rFonts w:hint="eastAsia" w:ascii="宋体" w:hAnsi="宋体" w:cs="宋体"/>
          <w:color w:val="auto"/>
          <w:sz w:val="24"/>
          <w:highlight w:val="none"/>
        </w:rPr>
        <w:t>（1）起始日期：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D52F688">
      <w:pPr>
        <w:spacing w:line="360" w:lineRule="auto"/>
        <w:ind w:firstLine="720"/>
        <w:rPr>
          <w:rFonts w:ascii="宋体" w:hAnsi="宋体" w:cs="宋体"/>
          <w:color w:val="auto"/>
          <w:sz w:val="24"/>
          <w:highlight w:val="none"/>
        </w:rPr>
      </w:pPr>
      <w:r>
        <w:rPr>
          <w:rFonts w:hint="eastAsia" w:ascii="宋体" w:hAnsi="宋体" w:cs="宋体"/>
          <w:color w:val="auto"/>
          <w:sz w:val="24"/>
          <w:highlight w:val="none"/>
        </w:rPr>
        <w:t>（2）交付：</w:t>
      </w:r>
      <w:r>
        <w:rPr>
          <w:rFonts w:hint="eastAsia" w:ascii="宋体" w:hAnsi="宋体"/>
          <w:bCs/>
          <w:color w:val="auto"/>
          <w:sz w:val="24"/>
          <w:highlight w:val="none"/>
        </w:rPr>
        <w:t>乙方按照本合同或招标文件规定的时间和方式向甲方交付货物，交付地点由甲方指定。</w:t>
      </w:r>
    </w:p>
    <w:p w14:paraId="47E443FE">
      <w:pPr>
        <w:spacing w:line="360" w:lineRule="auto"/>
        <w:ind w:firstLine="1200" w:firstLineChars="500"/>
        <w:rPr>
          <w:rFonts w:ascii="宋体" w:hAnsi="宋体" w:cs="宋体"/>
          <w:color w:val="auto"/>
          <w:sz w:val="24"/>
          <w:highlight w:val="none"/>
          <w:u w:val="single"/>
        </w:rPr>
      </w:pPr>
      <w:r>
        <w:rPr>
          <w:rFonts w:hint="eastAsia" w:ascii="宋体" w:hAnsi="宋体" w:cs="宋体"/>
          <w:color w:val="auto"/>
          <w:sz w:val="24"/>
          <w:highlight w:val="none"/>
        </w:rPr>
        <w:t>交货期：</w:t>
      </w:r>
      <w:r>
        <w:rPr>
          <w:rFonts w:hint="eastAsia" w:ascii="宋体" w:hAnsi="宋体" w:cs="宋体"/>
          <w:color w:val="auto"/>
          <w:sz w:val="24"/>
          <w:highlight w:val="none"/>
          <w:u w:val="single"/>
        </w:rPr>
        <w:t>合同签订后收到甲方供货通知后15个日历天内完成供货并发放完成。</w:t>
      </w:r>
    </w:p>
    <w:p w14:paraId="1B1150C7">
      <w:pPr>
        <w:spacing w:line="360" w:lineRule="auto"/>
        <w:ind w:firstLine="1200" w:firstLineChars="500"/>
        <w:rPr>
          <w:rFonts w:ascii="宋体" w:hAnsi="宋体" w:cs="宋体"/>
          <w:color w:val="auto"/>
          <w:sz w:val="24"/>
          <w:highlight w:val="none"/>
        </w:rPr>
      </w:pPr>
      <w:r>
        <w:rPr>
          <w:rFonts w:hint="eastAsia" w:ascii="宋体" w:hAnsi="宋体" w:cs="宋体"/>
          <w:color w:val="auto"/>
          <w:sz w:val="24"/>
          <w:highlight w:val="none"/>
        </w:rPr>
        <w:t>交货方式：</w:t>
      </w:r>
      <w:r>
        <w:rPr>
          <w:rFonts w:hint="eastAsia" w:ascii="宋体" w:hAnsi="宋体" w:cs="宋体"/>
          <w:color w:val="auto"/>
          <w:sz w:val="24"/>
          <w:highlight w:val="none"/>
          <w:u w:val="single"/>
        </w:rPr>
        <w:t>按照甲方要求分批次分乡镇供货，车运到指定地点。</w:t>
      </w:r>
    </w:p>
    <w:p w14:paraId="4E025CF4">
      <w:pPr>
        <w:spacing w:line="360" w:lineRule="auto"/>
        <w:ind w:firstLine="1200" w:firstLineChars="500"/>
        <w:rPr>
          <w:rFonts w:ascii="宋体" w:hAnsi="宋体" w:cs="宋体"/>
          <w:color w:val="auto"/>
          <w:sz w:val="24"/>
          <w:highlight w:val="none"/>
        </w:rPr>
      </w:pPr>
      <w:r>
        <w:rPr>
          <w:rFonts w:hint="eastAsia" w:ascii="宋体" w:hAnsi="宋体" w:cs="宋体"/>
          <w:color w:val="auto"/>
          <w:sz w:val="24"/>
          <w:highlight w:val="none"/>
        </w:rPr>
        <w:t>交货地点：</w:t>
      </w:r>
      <w:r>
        <w:rPr>
          <w:rFonts w:hint="eastAsia" w:ascii="宋体" w:hAnsi="宋体" w:cs="宋体"/>
          <w:color w:val="auto"/>
          <w:sz w:val="24"/>
          <w:highlight w:val="none"/>
          <w:u w:val="single"/>
        </w:rPr>
        <w:t>甲方指定的亭湖区相关地点。</w:t>
      </w:r>
    </w:p>
    <w:p w14:paraId="540B2F6B">
      <w:pPr>
        <w:spacing w:line="360" w:lineRule="auto"/>
        <w:ind w:firstLine="720"/>
        <w:rPr>
          <w:rFonts w:ascii="宋体" w:hAnsi="宋体" w:cs="宋体"/>
          <w:color w:val="auto"/>
          <w:sz w:val="24"/>
          <w:highlight w:val="none"/>
        </w:rPr>
      </w:pPr>
      <w:r>
        <w:rPr>
          <w:rFonts w:hint="eastAsia" w:ascii="宋体" w:hAnsi="宋体" w:cs="宋体"/>
          <w:bCs/>
          <w:color w:val="auto"/>
          <w:sz w:val="24"/>
          <w:highlight w:val="none"/>
        </w:rPr>
        <w:t>（3）</w:t>
      </w:r>
      <w:r>
        <w:rPr>
          <w:rFonts w:hint="eastAsia" w:ascii="宋体" w:hAnsi="宋体" w:cs="宋体"/>
          <w:color w:val="auto"/>
          <w:sz w:val="24"/>
          <w:highlight w:val="none"/>
        </w:rPr>
        <w:t>履约担保：履约担保：是否收取履约保证金：</w:t>
      </w:r>
      <w:r>
        <w:rPr>
          <w:rFonts w:hint="eastAsia" w:ascii="宋体" w:hAnsi="宋体" w:cs="宋体"/>
          <w:color w:val="auto"/>
          <w:sz w:val="24"/>
          <w:highlight w:val="none"/>
        </w:rPr>
        <w:sym w:font="Wingdings" w:char="00FE"/>
      </w:r>
      <w:r>
        <w:rPr>
          <w:rFonts w:hint="eastAsia" w:ascii="宋体" w:hAnsi="宋体" w:cs="宋体"/>
          <w:color w:val="auto"/>
          <w:sz w:val="24"/>
          <w:highlight w:val="none"/>
        </w:rPr>
        <w:t xml:space="preserve">是    </w:t>
      </w:r>
      <w:r>
        <w:rPr>
          <w:rFonts w:ascii="宋体" w:hAnsi="宋体" w:cs="宋体"/>
          <w:color w:val="auto"/>
          <w:sz w:val="24"/>
          <w:highlight w:val="none"/>
        </w:rPr>
        <w:sym w:font="Wingdings" w:char="F0A8"/>
      </w:r>
      <w:r>
        <w:rPr>
          <w:rFonts w:hint="eastAsia" w:ascii="宋体" w:hAnsi="宋体" w:cs="宋体"/>
          <w:color w:val="auto"/>
          <w:sz w:val="24"/>
          <w:highlight w:val="none"/>
        </w:rPr>
        <w:t>否</w:t>
      </w:r>
    </w:p>
    <w:p w14:paraId="4571D9F6">
      <w:pPr>
        <w:spacing w:line="360" w:lineRule="auto"/>
        <w:ind w:firstLine="720"/>
        <w:rPr>
          <w:rFonts w:ascii="宋体" w:hAnsi="宋体" w:cs="宋体"/>
          <w:color w:val="auto"/>
          <w:sz w:val="24"/>
          <w:highlight w:val="none"/>
        </w:rPr>
      </w:pPr>
      <w:r>
        <w:rPr>
          <w:rFonts w:hint="eastAsia" w:ascii="宋体" w:hAnsi="宋体" w:cs="宋体"/>
          <w:color w:val="auto"/>
          <w:sz w:val="24"/>
          <w:highlight w:val="none"/>
        </w:rPr>
        <w:t xml:space="preserve">     收取履约保证金形式：</w:t>
      </w:r>
      <w:r>
        <w:rPr>
          <w:rFonts w:hint="eastAsia" w:ascii="宋体" w:hAnsi="宋体" w:cs="宋体"/>
          <w:bCs/>
          <w:color w:val="auto"/>
          <w:sz w:val="24"/>
          <w:highlight w:val="none"/>
          <w:u w:val="single"/>
        </w:rPr>
        <w:t xml:space="preserve">  支票、汇票、本票或者金融机构、担保机构出具的保函等非现金形式提交履约保证金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1FC1B75D">
      <w:pPr>
        <w:spacing w:line="360" w:lineRule="auto"/>
        <w:ind w:firstLine="720"/>
        <w:rPr>
          <w:rFonts w:ascii="宋体" w:hAnsi="宋体" w:cs="宋体"/>
          <w:color w:val="auto"/>
          <w:sz w:val="24"/>
          <w:highlight w:val="none"/>
        </w:rPr>
      </w:pPr>
      <w:r>
        <w:rPr>
          <w:rFonts w:hint="eastAsia" w:ascii="宋体" w:hAnsi="宋体" w:cs="宋体"/>
          <w:color w:val="auto"/>
          <w:sz w:val="24"/>
          <w:highlight w:val="none"/>
        </w:rPr>
        <w:t xml:space="preserve">     收</w:t>
      </w:r>
      <w:r>
        <w:rPr>
          <w:rFonts w:hint="eastAsia" w:ascii="宋体" w:hAnsi="宋体" w:cs="宋体"/>
          <w:color w:val="auto"/>
          <w:sz w:val="24"/>
          <w:highlight w:val="none"/>
        </w:rPr>
        <w:t>取履约保证金金</w:t>
      </w:r>
      <w:r>
        <w:rPr>
          <w:rFonts w:hint="eastAsia" w:ascii="宋体" w:hAnsi="宋体" w:cs="宋体"/>
          <w:color w:val="auto"/>
          <w:sz w:val="24"/>
          <w:highlight w:val="none"/>
        </w:rPr>
        <w:t>额：</w:t>
      </w:r>
      <w:r>
        <w:rPr>
          <w:rFonts w:hint="eastAsia" w:ascii="宋体" w:hAnsi="宋体" w:cs="宋体"/>
          <w:bCs/>
          <w:color w:val="auto"/>
          <w:sz w:val="24"/>
          <w:highlight w:val="none"/>
          <w:u w:val="single"/>
        </w:rPr>
        <w:t xml:space="preserve">   履约保证金金额</w:t>
      </w:r>
      <w:r>
        <w:rPr>
          <w:rFonts w:hint="eastAsia" w:ascii="宋体" w:hAnsi="宋体" w:cs="宋体"/>
          <w:bCs/>
          <w:color w:val="auto"/>
          <w:sz w:val="24"/>
          <w:highlight w:val="none"/>
          <w:u w:val="single"/>
          <w:lang w:val="en-US" w:eastAsia="zh-CN"/>
        </w:rPr>
        <w:t>为</w:t>
      </w:r>
      <w:r>
        <w:rPr>
          <w:rFonts w:hint="eastAsia" w:ascii="宋体" w:hAnsi="宋体" w:cs="宋体"/>
          <w:bCs/>
          <w:color w:val="auto"/>
          <w:sz w:val="24"/>
          <w:highlight w:val="none"/>
          <w:u w:val="single"/>
        </w:rPr>
        <w:t>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auto"/>
          <w:sz w:val="24"/>
          <w:highlight w:val="none"/>
          <w:u w:val="single"/>
          <w:lang w:val="en-US" w:eastAsia="zh-CN"/>
        </w:rPr>
        <w:t>的合同金额的5%</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2A624E17">
      <w:pPr>
        <w:spacing w:line="360" w:lineRule="auto"/>
        <w:ind w:firstLine="720"/>
        <w:rPr>
          <w:rFonts w:ascii="宋体" w:hAnsi="宋体" w:cs="宋体"/>
          <w:bCs/>
          <w:color w:val="auto"/>
          <w:sz w:val="24"/>
          <w:highlight w:val="none"/>
          <w:u w:val="single"/>
        </w:rPr>
      </w:pPr>
      <w:r>
        <w:rPr>
          <w:rFonts w:hint="eastAsia" w:ascii="宋体" w:hAnsi="宋体" w:cs="宋体"/>
          <w:color w:val="auto"/>
          <w:sz w:val="24"/>
          <w:highlight w:val="none"/>
        </w:rPr>
        <w:t xml:space="preserve">     履约担保期限： </w:t>
      </w:r>
      <w:r>
        <w:rPr>
          <w:rFonts w:hint="eastAsia" w:ascii="宋体" w:hAnsi="宋体" w:cs="宋体"/>
          <w:bCs/>
          <w:color w:val="auto"/>
          <w:sz w:val="24"/>
          <w:highlight w:val="none"/>
          <w:u w:val="single"/>
        </w:rPr>
        <w:t xml:space="preserve">   本项目全部货物与服务履约完成并通过验收      </w:t>
      </w:r>
    </w:p>
    <w:p w14:paraId="36E5700D">
      <w:pPr>
        <w:numPr>
          <w:ilvl w:val="0"/>
          <w:numId w:val="3"/>
        </w:numPr>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w:t>
      </w:r>
      <w:r>
        <w:rPr>
          <w:rFonts w:hint="eastAsia" w:ascii="宋体" w:hAnsi="宋体" w:cs="宋体"/>
          <w:bCs/>
          <w:color w:val="auto"/>
          <w:sz w:val="24"/>
          <w:highlight w:val="none"/>
        </w:rPr>
        <w:t>纳形式：</w:t>
      </w:r>
    </w:p>
    <w:p w14:paraId="0A37E05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226899">
      <w:pPr>
        <w:spacing w:line="360" w:lineRule="auto"/>
        <w:ind w:firstLine="720"/>
        <w:rPr>
          <w:rFonts w:ascii="宋体" w:hAnsi="宋体" w:cs="宋体"/>
          <w:color w:val="auto"/>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highlight w:val="none"/>
        </w:rPr>
        <w:t xml:space="preserve">                                </w:t>
      </w:r>
    </w:p>
    <w:p w14:paraId="219770AA">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合同验收</w:t>
      </w:r>
    </w:p>
    <w:p w14:paraId="72637BBD">
      <w:pPr>
        <w:spacing w:line="360" w:lineRule="auto"/>
        <w:ind w:firstLine="720"/>
        <w:rPr>
          <w:rFonts w:ascii="宋体" w:hAnsi="宋体"/>
          <w:bCs/>
          <w:color w:val="auto"/>
          <w:sz w:val="24"/>
          <w:highlight w:val="none"/>
        </w:rPr>
      </w:pPr>
      <w:r>
        <w:rPr>
          <w:rFonts w:hint="eastAsia" w:ascii="宋体" w:hAnsi="宋体"/>
          <w:bCs/>
          <w:color w:val="auto"/>
          <w:sz w:val="24"/>
          <w:highlight w:val="none"/>
        </w:rPr>
        <w:t>（1）</w:t>
      </w:r>
      <w:bookmarkStart w:id="171" w:name="OLE_LINK15"/>
      <w:bookmarkStart w:id="172" w:name="OLE_LINK14"/>
      <w:r>
        <w:rPr>
          <w:rFonts w:hint="eastAsia" w:ascii="宋体" w:hAnsi="宋体"/>
          <w:bCs/>
          <w:color w:val="auto"/>
          <w:sz w:val="24"/>
          <w:highlight w:val="none"/>
        </w:rPr>
        <w:t>货物的验收包括型号、规格、数量、外观质量及包装、货物的装箱清单、随货物资料及配件工具。</w:t>
      </w:r>
      <w:bookmarkEnd w:id="171"/>
      <w:bookmarkEnd w:id="172"/>
    </w:p>
    <w:p w14:paraId="6D8EEED4">
      <w:pPr>
        <w:spacing w:line="360" w:lineRule="auto"/>
        <w:ind w:firstLine="720"/>
        <w:rPr>
          <w:rFonts w:ascii="宋体" w:hAnsi="宋体"/>
          <w:bCs/>
          <w:color w:val="auto"/>
          <w:sz w:val="24"/>
          <w:highlight w:val="none"/>
        </w:rPr>
      </w:pPr>
      <w:r>
        <w:rPr>
          <w:rFonts w:hint="eastAsia" w:ascii="宋体" w:hAnsi="宋体"/>
          <w:bCs/>
          <w:color w:val="auto"/>
          <w:sz w:val="24"/>
          <w:highlight w:val="none"/>
        </w:rPr>
        <w:t>（2）在交货前，乙方应对所供货物的质量、规格、性能、数量等进行详细而全面的检验，并出具一份合格检验证明，合格检验证明作为甲方验收的依据，但不能作为有关货物质量、规格、数量或性能的最终检验结果。</w:t>
      </w:r>
    </w:p>
    <w:p w14:paraId="6B500A08">
      <w:pPr>
        <w:spacing w:line="360" w:lineRule="auto"/>
        <w:ind w:firstLine="720"/>
        <w:rPr>
          <w:rFonts w:ascii="宋体" w:hAnsi="宋体"/>
          <w:bCs/>
          <w:color w:val="auto"/>
          <w:sz w:val="24"/>
          <w:highlight w:val="none"/>
          <w:u w:val="single"/>
        </w:rPr>
      </w:pPr>
      <w:r>
        <w:rPr>
          <w:rFonts w:hint="eastAsia" w:ascii="宋体" w:hAnsi="宋体"/>
          <w:bCs/>
          <w:color w:val="auto"/>
          <w:sz w:val="24"/>
          <w:highlight w:val="none"/>
        </w:rPr>
        <w:t>（3）甲方对乙方提交的货物依据招标文件上的技术规格要求和国家有关标准、要求进行现场初步验收，外观、说明书符合招标文件技术要求的，给予签收，并留存该批次样品，初步验收不合格的不予签收。如项目区农户使用过程中提出异议或举报有质量问题应重新验收，包括产品质量抽检。</w:t>
      </w:r>
      <w:r>
        <w:rPr>
          <w:rFonts w:hint="eastAsia" w:ascii="宋体" w:hAnsi="宋体"/>
          <w:bCs/>
          <w:color w:val="auto"/>
          <w:sz w:val="24"/>
          <w:highlight w:val="none"/>
          <w:u w:val="single"/>
        </w:rPr>
        <w:t>甲方将委托国家认可的有资质检测机构出具质量检测报告，检测费用由乙方承担；若检测结果不合格，采购人有权立即中止合同，由此产生的一切法律责任与经济损失均由中标人自行承担。</w:t>
      </w:r>
    </w:p>
    <w:p w14:paraId="1A5E313B">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组成合同的文件</w:t>
      </w:r>
    </w:p>
    <w:p w14:paraId="0E29E6ED">
      <w:pPr>
        <w:spacing w:line="360" w:lineRule="auto"/>
        <w:ind w:firstLine="72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spacing w:line="360" w:lineRule="auto"/>
        <w:ind w:firstLine="720"/>
        <w:rPr>
          <w:rFonts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spacing w:line="360" w:lineRule="auto"/>
        <w:ind w:firstLine="720"/>
        <w:rPr>
          <w:rFonts w:ascii="宋体" w:hAnsi="宋体"/>
          <w:color w:val="auto"/>
          <w:sz w:val="24"/>
          <w:highlight w:val="none"/>
        </w:rPr>
      </w:pPr>
      <w:r>
        <w:rPr>
          <w:rFonts w:hint="eastAsia" w:ascii="宋体" w:hAnsi="宋体"/>
          <w:color w:val="auto"/>
          <w:sz w:val="24"/>
          <w:highlight w:val="none"/>
        </w:rPr>
        <w:t>（2）政府采购合同专用条款</w:t>
      </w:r>
    </w:p>
    <w:p w14:paraId="114D2529">
      <w:pPr>
        <w:spacing w:line="360" w:lineRule="auto"/>
        <w:ind w:firstLine="720"/>
        <w:rPr>
          <w:rFonts w:ascii="宋体" w:hAnsi="宋体"/>
          <w:color w:val="auto"/>
          <w:sz w:val="24"/>
          <w:highlight w:val="none"/>
        </w:rPr>
      </w:pPr>
      <w:r>
        <w:rPr>
          <w:rFonts w:hint="eastAsia" w:ascii="宋体" w:hAnsi="宋体"/>
          <w:color w:val="auto"/>
          <w:sz w:val="24"/>
          <w:highlight w:val="none"/>
        </w:rPr>
        <w:t>（3）政府采购合同通用条款</w:t>
      </w:r>
    </w:p>
    <w:p w14:paraId="2355E685">
      <w:pPr>
        <w:spacing w:line="360" w:lineRule="auto"/>
        <w:ind w:firstLine="720"/>
        <w:rPr>
          <w:rFonts w:ascii="宋体" w:hAnsi="宋体"/>
          <w:color w:val="auto"/>
          <w:sz w:val="24"/>
          <w:highlight w:val="none"/>
        </w:rPr>
      </w:pPr>
      <w:r>
        <w:rPr>
          <w:rFonts w:hint="eastAsia" w:ascii="宋体" w:hAnsi="宋体"/>
          <w:color w:val="auto"/>
          <w:sz w:val="24"/>
          <w:highlight w:val="none"/>
        </w:rPr>
        <w:t>（4）中标（成交）通知书</w:t>
      </w:r>
    </w:p>
    <w:p w14:paraId="7D75EA2E">
      <w:pPr>
        <w:spacing w:line="360" w:lineRule="auto"/>
        <w:ind w:firstLine="720"/>
        <w:rPr>
          <w:rFonts w:ascii="宋体" w:hAnsi="宋体"/>
          <w:color w:val="auto"/>
          <w:sz w:val="24"/>
          <w:highlight w:val="none"/>
        </w:rPr>
      </w:pPr>
      <w:r>
        <w:rPr>
          <w:rFonts w:hint="eastAsia" w:ascii="宋体" w:hAnsi="宋体"/>
          <w:color w:val="auto"/>
          <w:sz w:val="24"/>
          <w:highlight w:val="none"/>
        </w:rPr>
        <w:t>（5）投标（响应）文件</w:t>
      </w:r>
    </w:p>
    <w:p w14:paraId="0F53048D">
      <w:pPr>
        <w:spacing w:line="360" w:lineRule="auto"/>
        <w:ind w:firstLine="720"/>
        <w:rPr>
          <w:rFonts w:ascii="宋体" w:hAnsi="宋体"/>
          <w:color w:val="auto"/>
          <w:sz w:val="24"/>
          <w:highlight w:val="none"/>
        </w:rPr>
      </w:pPr>
      <w:r>
        <w:rPr>
          <w:rFonts w:hint="eastAsia" w:ascii="宋体" w:hAnsi="宋体"/>
          <w:color w:val="auto"/>
          <w:sz w:val="24"/>
          <w:highlight w:val="none"/>
        </w:rPr>
        <w:t>（6）采购文件</w:t>
      </w:r>
    </w:p>
    <w:p w14:paraId="39862F70">
      <w:pPr>
        <w:spacing w:line="360" w:lineRule="auto"/>
        <w:ind w:firstLine="720"/>
        <w:rPr>
          <w:rFonts w:ascii="宋体" w:hAnsi="宋体"/>
          <w:color w:val="auto"/>
          <w:sz w:val="24"/>
          <w:highlight w:val="none"/>
        </w:rPr>
      </w:pPr>
      <w:r>
        <w:rPr>
          <w:rFonts w:hint="eastAsia" w:ascii="宋体" w:hAnsi="宋体"/>
          <w:color w:val="auto"/>
          <w:sz w:val="24"/>
          <w:highlight w:val="none"/>
        </w:rPr>
        <w:t>（7）有关技术文件，图纸</w:t>
      </w:r>
    </w:p>
    <w:p w14:paraId="0CD1A21B">
      <w:pPr>
        <w:spacing w:line="360" w:lineRule="auto"/>
        <w:ind w:firstLine="720"/>
        <w:rPr>
          <w:rFonts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DF33D2B">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合同生效</w:t>
      </w:r>
    </w:p>
    <w:p w14:paraId="30AD3088">
      <w:pPr>
        <w:spacing w:line="360" w:lineRule="auto"/>
        <w:ind w:firstLine="72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D1D07BA">
      <w:pPr>
        <w:numPr>
          <w:ilvl w:val="0"/>
          <w:numId w:val="1"/>
        </w:numPr>
        <w:spacing w:line="360" w:lineRule="auto"/>
        <w:ind w:firstLine="723"/>
        <w:rPr>
          <w:rFonts w:ascii="宋体" w:hAnsi="宋体"/>
          <w:b/>
          <w:color w:val="auto"/>
          <w:sz w:val="24"/>
          <w:highlight w:val="none"/>
        </w:rPr>
      </w:pPr>
      <w:r>
        <w:rPr>
          <w:rFonts w:hint="eastAsia" w:ascii="宋体" w:hAnsi="宋体"/>
          <w:b/>
          <w:color w:val="auto"/>
          <w:sz w:val="24"/>
          <w:highlight w:val="none"/>
        </w:rPr>
        <w:t>合同份数</w:t>
      </w:r>
    </w:p>
    <w:p w14:paraId="0C0A08B3">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621D9D2">
      <w:pPr>
        <w:adjustRightInd w:val="0"/>
        <w:snapToGrid w:val="0"/>
        <w:spacing w:line="400" w:lineRule="exact"/>
        <w:ind w:firstLine="420" w:firstLineChars="200"/>
        <w:rPr>
          <w:rFonts w:ascii="宋体" w:hAnsi="宋体"/>
          <w:color w:val="auto"/>
          <w:sz w:val="24"/>
          <w:highlight w:val="none"/>
          <w:u w:val="singl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tbl>
      <w:tblPr>
        <w:tblStyle w:val="9"/>
        <w:tblpPr w:leftFromText="180" w:rightFromText="180" w:vertAnchor="text" w:horzAnchor="page" w:tblpX="2062" w:tblpY="358"/>
        <w:tblOverlap w:val="neve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ECAD1F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298" w:type="dxa"/>
            <w:gridSpan w:val="2"/>
            <w:tcBorders>
              <w:bottom w:val="single" w:color="000000" w:sz="2" w:space="0"/>
              <w:right w:val="single" w:color="000000" w:sz="2" w:space="0"/>
            </w:tcBorders>
            <w:vAlign w:val="center"/>
          </w:tcPr>
          <w:p w14:paraId="12DDEB59">
            <w:pPr>
              <w:spacing w:line="360" w:lineRule="auto"/>
              <w:ind w:firstLine="720"/>
              <w:jc w:val="center"/>
              <w:rPr>
                <w:color w:val="auto"/>
                <w:sz w:val="24"/>
                <w:highlight w:val="none"/>
              </w:rPr>
            </w:pPr>
            <w:r>
              <w:rPr>
                <w:color w:val="auto"/>
                <w:sz w:val="24"/>
                <w:highlight w:val="none"/>
              </w:rPr>
              <w:t>甲方</w:t>
            </w:r>
          </w:p>
        </w:tc>
        <w:tc>
          <w:tcPr>
            <w:tcW w:w="4100" w:type="dxa"/>
            <w:gridSpan w:val="2"/>
            <w:tcBorders>
              <w:left w:val="single" w:color="000000" w:sz="2" w:space="0"/>
              <w:bottom w:val="single" w:color="000000" w:sz="2" w:space="0"/>
            </w:tcBorders>
            <w:vAlign w:val="center"/>
          </w:tcPr>
          <w:p w14:paraId="040875DC">
            <w:pPr>
              <w:spacing w:line="360" w:lineRule="auto"/>
              <w:ind w:firstLine="720"/>
              <w:jc w:val="center"/>
              <w:rPr>
                <w:color w:val="auto"/>
                <w:sz w:val="24"/>
                <w:highlight w:val="none"/>
              </w:rPr>
            </w:pPr>
            <w:r>
              <w:rPr>
                <w:color w:val="auto"/>
                <w:sz w:val="24"/>
                <w:highlight w:val="none"/>
              </w:rPr>
              <w:t>乙方</w:t>
            </w:r>
          </w:p>
        </w:tc>
      </w:tr>
      <w:tr w14:paraId="06F103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276" w:hRule="atLeast"/>
        </w:trPr>
        <w:tc>
          <w:tcPr>
            <w:tcW w:w="1941" w:type="dxa"/>
            <w:tcBorders>
              <w:top w:val="single" w:color="000000" w:sz="2" w:space="0"/>
              <w:bottom w:val="single" w:color="000000" w:sz="2" w:space="0"/>
              <w:right w:val="single" w:color="000000" w:sz="2" w:space="0"/>
            </w:tcBorders>
            <w:vAlign w:val="center"/>
          </w:tcPr>
          <w:p w14:paraId="3815DB00">
            <w:pPr>
              <w:spacing w:line="360" w:lineRule="auto"/>
              <w:ind w:firstLine="720"/>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357" w:type="dxa"/>
            <w:tcBorders>
              <w:top w:val="single" w:color="000000" w:sz="2" w:space="0"/>
              <w:left w:val="single" w:color="000000" w:sz="2" w:space="0"/>
              <w:bottom w:val="single" w:color="000000" w:sz="2" w:space="0"/>
              <w:right w:val="single" w:color="000000" w:sz="2" w:space="0"/>
            </w:tcBorders>
            <w:vAlign w:val="center"/>
          </w:tcPr>
          <w:p w14:paraId="57DC95CB">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3C4B2CD7">
            <w:pPr>
              <w:spacing w:line="360" w:lineRule="auto"/>
              <w:ind w:firstLine="720"/>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074" w:type="dxa"/>
            <w:tcBorders>
              <w:top w:val="single" w:color="000000" w:sz="2" w:space="0"/>
              <w:left w:val="single" w:color="000000" w:sz="2" w:space="0"/>
              <w:bottom w:val="single" w:color="000000" w:sz="2" w:space="0"/>
            </w:tcBorders>
            <w:vAlign w:val="center"/>
          </w:tcPr>
          <w:p w14:paraId="49A08AAC">
            <w:pPr>
              <w:spacing w:line="360" w:lineRule="auto"/>
              <w:ind w:firstLine="840"/>
              <w:jc w:val="center"/>
              <w:rPr>
                <w:color w:val="auto"/>
                <w:spacing w:val="20"/>
                <w:sz w:val="24"/>
                <w:highlight w:val="none"/>
              </w:rPr>
            </w:pPr>
          </w:p>
        </w:tc>
      </w:tr>
      <w:tr w14:paraId="39ED2C3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59" w:hRule="atLeast"/>
        </w:trPr>
        <w:tc>
          <w:tcPr>
            <w:tcW w:w="1941" w:type="dxa"/>
            <w:tcBorders>
              <w:top w:val="single" w:color="000000" w:sz="2" w:space="0"/>
              <w:right w:val="single" w:color="000000" w:sz="2" w:space="0"/>
            </w:tcBorders>
            <w:vAlign w:val="center"/>
          </w:tcPr>
          <w:p w14:paraId="4FFC5A4A">
            <w:pPr>
              <w:spacing w:line="360" w:lineRule="auto"/>
              <w:ind w:firstLine="720"/>
              <w:jc w:val="center"/>
              <w:rPr>
                <w:color w:val="auto"/>
                <w:sz w:val="24"/>
                <w:highlight w:val="none"/>
              </w:rPr>
            </w:pPr>
            <w:r>
              <w:rPr>
                <w:color w:val="auto"/>
                <w:sz w:val="24"/>
                <w:highlight w:val="none"/>
              </w:rPr>
              <w:t>法定代表人</w:t>
            </w:r>
          </w:p>
          <w:p w14:paraId="01293A85">
            <w:pPr>
              <w:spacing w:line="360" w:lineRule="auto"/>
              <w:ind w:firstLine="720"/>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（签字或盖章）</w:t>
            </w:r>
          </w:p>
        </w:tc>
        <w:tc>
          <w:tcPr>
            <w:tcW w:w="2357" w:type="dxa"/>
            <w:tcBorders>
              <w:top w:val="single" w:color="000000" w:sz="2" w:space="0"/>
              <w:left w:val="single" w:color="000000" w:sz="2" w:space="0"/>
              <w:right w:val="single" w:color="000000" w:sz="2" w:space="0"/>
            </w:tcBorders>
            <w:vAlign w:val="center"/>
          </w:tcPr>
          <w:p w14:paraId="5FDD54E8">
            <w:pPr>
              <w:spacing w:line="360" w:lineRule="auto"/>
              <w:ind w:firstLine="720"/>
              <w:jc w:val="center"/>
              <w:rPr>
                <w:color w:val="auto"/>
                <w:sz w:val="24"/>
                <w:highlight w:val="none"/>
              </w:rPr>
            </w:pPr>
          </w:p>
        </w:tc>
        <w:tc>
          <w:tcPr>
            <w:tcW w:w="2026" w:type="dxa"/>
            <w:tcBorders>
              <w:top w:val="single" w:color="000000" w:sz="2" w:space="0"/>
              <w:left w:val="single" w:color="000000" w:sz="2" w:space="0"/>
              <w:right w:val="single" w:color="000000" w:sz="2" w:space="0"/>
            </w:tcBorders>
            <w:vAlign w:val="center"/>
          </w:tcPr>
          <w:p w14:paraId="2BB0C408">
            <w:pPr>
              <w:spacing w:line="360" w:lineRule="auto"/>
              <w:ind w:firstLine="720"/>
              <w:jc w:val="center"/>
              <w:rPr>
                <w:color w:val="auto"/>
                <w:sz w:val="24"/>
                <w:highlight w:val="none"/>
              </w:rPr>
            </w:pPr>
            <w:r>
              <w:rPr>
                <w:color w:val="auto"/>
                <w:sz w:val="24"/>
                <w:highlight w:val="none"/>
              </w:rPr>
              <w:t>法定代表人</w:t>
            </w:r>
          </w:p>
          <w:p w14:paraId="3CC2A720">
            <w:pPr>
              <w:spacing w:line="360" w:lineRule="auto"/>
              <w:ind w:firstLine="720"/>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（签字或盖章）</w:t>
            </w:r>
          </w:p>
        </w:tc>
        <w:tc>
          <w:tcPr>
            <w:tcW w:w="2074" w:type="dxa"/>
            <w:tcBorders>
              <w:top w:val="single" w:color="000000" w:sz="2" w:space="0"/>
              <w:left w:val="single" w:color="000000" w:sz="2" w:space="0"/>
              <w:bottom w:val="single" w:color="000000" w:sz="2" w:space="0"/>
            </w:tcBorders>
            <w:vAlign w:val="center"/>
          </w:tcPr>
          <w:p w14:paraId="16B70BA6">
            <w:pPr>
              <w:spacing w:line="360" w:lineRule="auto"/>
              <w:ind w:firstLine="720"/>
              <w:jc w:val="center"/>
              <w:rPr>
                <w:color w:val="auto"/>
                <w:sz w:val="24"/>
                <w:highlight w:val="none"/>
              </w:rPr>
            </w:pPr>
          </w:p>
        </w:tc>
      </w:tr>
      <w:tr w14:paraId="058ADE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93" w:hRule="atLeast"/>
        </w:trPr>
        <w:tc>
          <w:tcPr>
            <w:tcW w:w="1941" w:type="dxa"/>
            <w:tcBorders>
              <w:top w:val="single" w:color="000000" w:sz="2" w:space="0"/>
              <w:bottom w:val="single" w:color="000000" w:sz="2" w:space="0"/>
              <w:right w:val="single" w:color="000000" w:sz="2" w:space="0"/>
            </w:tcBorders>
            <w:vAlign w:val="center"/>
          </w:tcPr>
          <w:p w14:paraId="49AEF868">
            <w:pPr>
              <w:spacing w:line="360" w:lineRule="auto"/>
              <w:ind w:firstLine="720"/>
              <w:jc w:val="center"/>
              <w:rPr>
                <w:color w:val="auto"/>
                <w:sz w:val="24"/>
                <w:highlight w:val="none"/>
              </w:rPr>
            </w:pPr>
            <w:r>
              <w:rPr>
                <w:color w:val="auto"/>
                <w:sz w:val="24"/>
                <w:highlight w:val="none"/>
              </w:rPr>
              <w:t>联 系 人</w:t>
            </w:r>
          </w:p>
        </w:tc>
        <w:tc>
          <w:tcPr>
            <w:tcW w:w="2357" w:type="dxa"/>
            <w:tcBorders>
              <w:top w:val="single" w:color="000000" w:sz="2" w:space="0"/>
              <w:left w:val="single" w:color="000000" w:sz="2" w:space="0"/>
              <w:bottom w:val="single" w:color="000000" w:sz="2" w:space="0"/>
              <w:right w:val="single" w:color="000000" w:sz="2" w:space="0"/>
            </w:tcBorders>
            <w:vAlign w:val="center"/>
          </w:tcPr>
          <w:p w14:paraId="3A5BDDBD">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7E116BF9">
            <w:pPr>
              <w:spacing w:line="360" w:lineRule="auto"/>
              <w:ind w:firstLine="720"/>
              <w:jc w:val="center"/>
              <w:rPr>
                <w:color w:val="auto"/>
                <w:sz w:val="24"/>
                <w:highlight w:val="none"/>
              </w:rPr>
            </w:pPr>
            <w:r>
              <w:rPr>
                <w:color w:val="auto"/>
                <w:sz w:val="24"/>
                <w:highlight w:val="none"/>
              </w:rPr>
              <w:t>联 系 人</w:t>
            </w:r>
          </w:p>
        </w:tc>
        <w:tc>
          <w:tcPr>
            <w:tcW w:w="2074" w:type="dxa"/>
            <w:tcBorders>
              <w:top w:val="single" w:color="000000" w:sz="2" w:space="0"/>
              <w:left w:val="single" w:color="000000" w:sz="2" w:space="0"/>
              <w:bottom w:val="single" w:color="000000" w:sz="2" w:space="0"/>
            </w:tcBorders>
            <w:vAlign w:val="center"/>
          </w:tcPr>
          <w:p w14:paraId="773084CA">
            <w:pPr>
              <w:spacing w:line="360" w:lineRule="auto"/>
              <w:ind w:firstLine="840"/>
              <w:jc w:val="center"/>
              <w:rPr>
                <w:color w:val="auto"/>
                <w:spacing w:val="20"/>
                <w:sz w:val="24"/>
                <w:highlight w:val="none"/>
              </w:rPr>
            </w:pPr>
          </w:p>
        </w:tc>
      </w:tr>
      <w:tr w14:paraId="2391542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58" w:hRule="atLeast"/>
        </w:trPr>
        <w:tc>
          <w:tcPr>
            <w:tcW w:w="1941" w:type="dxa"/>
            <w:tcBorders>
              <w:top w:val="single" w:color="000000" w:sz="2" w:space="0"/>
              <w:bottom w:val="single" w:color="000000" w:sz="2" w:space="0"/>
              <w:right w:val="single" w:color="000000" w:sz="2" w:space="0"/>
            </w:tcBorders>
            <w:vAlign w:val="center"/>
          </w:tcPr>
          <w:p w14:paraId="3B8D0636">
            <w:pPr>
              <w:spacing w:line="360" w:lineRule="auto"/>
              <w:ind w:firstLine="720"/>
              <w:jc w:val="center"/>
              <w:rPr>
                <w:color w:val="auto"/>
                <w:sz w:val="24"/>
                <w:highlight w:val="none"/>
              </w:rPr>
            </w:pPr>
            <w:r>
              <w:rPr>
                <w:color w:val="auto"/>
                <w:sz w:val="24"/>
                <w:highlight w:val="none"/>
              </w:rPr>
              <w:t>联系电话</w:t>
            </w:r>
          </w:p>
        </w:tc>
        <w:tc>
          <w:tcPr>
            <w:tcW w:w="2357" w:type="dxa"/>
            <w:tcBorders>
              <w:top w:val="single" w:color="000000" w:sz="2" w:space="0"/>
              <w:left w:val="single" w:color="000000" w:sz="2" w:space="0"/>
              <w:bottom w:val="single" w:color="000000" w:sz="2" w:space="0"/>
              <w:right w:val="single" w:color="000000" w:sz="2" w:space="0"/>
            </w:tcBorders>
            <w:vAlign w:val="center"/>
          </w:tcPr>
          <w:p w14:paraId="36B8ADEA">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2C5168C1">
            <w:pPr>
              <w:spacing w:line="360" w:lineRule="auto"/>
              <w:ind w:firstLine="720"/>
              <w:jc w:val="center"/>
              <w:rPr>
                <w:color w:val="auto"/>
                <w:sz w:val="24"/>
                <w:highlight w:val="none"/>
              </w:rPr>
            </w:pPr>
            <w:r>
              <w:rPr>
                <w:color w:val="auto"/>
                <w:sz w:val="24"/>
                <w:highlight w:val="none"/>
              </w:rPr>
              <w:t>联系电话</w:t>
            </w:r>
          </w:p>
        </w:tc>
        <w:tc>
          <w:tcPr>
            <w:tcW w:w="2074" w:type="dxa"/>
            <w:tcBorders>
              <w:top w:val="single" w:color="000000" w:sz="2" w:space="0"/>
              <w:left w:val="single" w:color="000000" w:sz="2" w:space="0"/>
              <w:bottom w:val="single" w:color="000000" w:sz="2" w:space="0"/>
            </w:tcBorders>
            <w:vAlign w:val="center"/>
          </w:tcPr>
          <w:p w14:paraId="1D09EF0E">
            <w:pPr>
              <w:spacing w:line="360" w:lineRule="auto"/>
              <w:ind w:firstLine="840"/>
              <w:jc w:val="center"/>
              <w:rPr>
                <w:color w:val="auto"/>
                <w:spacing w:val="20"/>
                <w:sz w:val="24"/>
                <w:highlight w:val="none"/>
              </w:rPr>
            </w:pPr>
          </w:p>
        </w:tc>
      </w:tr>
      <w:tr w14:paraId="762BF2C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68" w:hRule="atLeast"/>
        </w:trPr>
        <w:tc>
          <w:tcPr>
            <w:tcW w:w="1941" w:type="dxa"/>
            <w:tcBorders>
              <w:top w:val="single" w:color="000000" w:sz="2" w:space="0"/>
              <w:bottom w:val="single" w:color="000000" w:sz="2" w:space="0"/>
              <w:right w:val="single" w:color="000000" w:sz="2" w:space="0"/>
            </w:tcBorders>
            <w:vAlign w:val="center"/>
          </w:tcPr>
          <w:p w14:paraId="794187E3">
            <w:pPr>
              <w:spacing w:line="360" w:lineRule="auto"/>
              <w:ind w:firstLine="720"/>
              <w:jc w:val="center"/>
              <w:rPr>
                <w:color w:val="auto"/>
                <w:sz w:val="24"/>
                <w:highlight w:val="none"/>
              </w:rPr>
            </w:pPr>
            <w:r>
              <w:rPr>
                <w:rFonts w:hint="eastAsia"/>
                <w:color w:val="auto"/>
                <w:sz w:val="24"/>
                <w:highlight w:val="none"/>
              </w:rPr>
              <w:t>通信地址</w:t>
            </w:r>
          </w:p>
        </w:tc>
        <w:tc>
          <w:tcPr>
            <w:tcW w:w="2357" w:type="dxa"/>
            <w:tcBorders>
              <w:top w:val="single" w:color="000000" w:sz="2" w:space="0"/>
              <w:left w:val="single" w:color="000000" w:sz="2" w:space="0"/>
              <w:bottom w:val="single" w:color="000000" w:sz="2" w:space="0"/>
              <w:right w:val="single" w:color="000000" w:sz="2" w:space="0"/>
            </w:tcBorders>
            <w:vAlign w:val="center"/>
          </w:tcPr>
          <w:p w14:paraId="3E391942">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7A7BA1CE">
            <w:pPr>
              <w:spacing w:line="360" w:lineRule="auto"/>
              <w:ind w:firstLine="720"/>
              <w:jc w:val="center"/>
              <w:rPr>
                <w:color w:val="auto"/>
                <w:sz w:val="24"/>
                <w:highlight w:val="none"/>
              </w:rPr>
            </w:pPr>
            <w:r>
              <w:rPr>
                <w:rFonts w:hint="eastAsia"/>
                <w:color w:val="auto"/>
                <w:sz w:val="24"/>
                <w:highlight w:val="none"/>
              </w:rPr>
              <w:t>通信地址</w:t>
            </w:r>
          </w:p>
        </w:tc>
        <w:tc>
          <w:tcPr>
            <w:tcW w:w="2074" w:type="dxa"/>
            <w:tcBorders>
              <w:top w:val="single" w:color="000000" w:sz="2" w:space="0"/>
              <w:left w:val="single" w:color="000000" w:sz="2" w:space="0"/>
              <w:bottom w:val="single" w:color="000000" w:sz="2" w:space="0"/>
            </w:tcBorders>
            <w:vAlign w:val="center"/>
          </w:tcPr>
          <w:p w14:paraId="1FC31250">
            <w:pPr>
              <w:spacing w:line="360" w:lineRule="auto"/>
              <w:ind w:firstLine="840"/>
              <w:jc w:val="center"/>
              <w:rPr>
                <w:color w:val="auto"/>
                <w:spacing w:val="20"/>
                <w:sz w:val="24"/>
                <w:highlight w:val="none"/>
              </w:rPr>
            </w:pPr>
          </w:p>
        </w:tc>
      </w:tr>
      <w:tr w14:paraId="7BC771D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58" w:hRule="atLeast"/>
        </w:trPr>
        <w:tc>
          <w:tcPr>
            <w:tcW w:w="1941" w:type="dxa"/>
            <w:tcBorders>
              <w:top w:val="single" w:color="000000" w:sz="2" w:space="0"/>
              <w:bottom w:val="single" w:color="000000" w:sz="2" w:space="0"/>
              <w:right w:val="single" w:color="000000" w:sz="2" w:space="0"/>
            </w:tcBorders>
            <w:vAlign w:val="center"/>
          </w:tcPr>
          <w:p w14:paraId="581B0E29">
            <w:pPr>
              <w:spacing w:line="360" w:lineRule="auto"/>
              <w:ind w:firstLine="720"/>
              <w:jc w:val="center"/>
              <w:rPr>
                <w:color w:val="auto"/>
                <w:sz w:val="24"/>
                <w:highlight w:val="none"/>
              </w:rPr>
            </w:pPr>
            <w:r>
              <w:rPr>
                <w:color w:val="auto"/>
                <w:sz w:val="24"/>
                <w:highlight w:val="none"/>
              </w:rPr>
              <w:t>邮政编码</w:t>
            </w:r>
          </w:p>
        </w:tc>
        <w:tc>
          <w:tcPr>
            <w:tcW w:w="2357" w:type="dxa"/>
            <w:tcBorders>
              <w:top w:val="single" w:color="000000" w:sz="2" w:space="0"/>
              <w:left w:val="single" w:color="000000" w:sz="2" w:space="0"/>
              <w:bottom w:val="single" w:color="000000" w:sz="2" w:space="0"/>
              <w:right w:val="single" w:color="000000" w:sz="2" w:space="0"/>
            </w:tcBorders>
            <w:vAlign w:val="center"/>
          </w:tcPr>
          <w:p w14:paraId="6F8D9227">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48E08E7F">
            <w:pPr>
              <w:spacing w:line="360" w:lineRule="auto"/>
              <w:ind w:firstLine="720"/>
              <w:jc w:val="center"/>
              <w:rPr>
                <w:color w:val="auto"/>
                <w:sz w:val="24"/>
                <w:highlight w:val="none"/>
              </w:rPr>
            </w:pPr>
            <w:r>
              <w:rPr>
                <w:color w:val="auto"/>
                <w:sz w:val="24"/>
                <w:highlight w:val="none"/>
              </w:rPr>
              <w:t>邮政编码</w:t>
            </w:r>
          </w:p>
        </w:tc>
        <w:tc>
          <w:tcPr>
            <w:tcW w:w="2074" w:type="dxa"/>
            <w:tcBorders>
              <w:top w:val="single" w:color="000000" w:sz="2" w:space="0"/>
              <w:left w:val="single" w:color="000000" w:sz="2" w:space="0"/>
              <w:bottom w:val="single" w:color="000000" w:sz="2" w:space="0"/>
            </w:tcBorders>
            <w:vAlign w:val="center"/>
          </w:tcPr>
          <w:p w14:paraId="7C5D548C">
            <w:pPr>
              <w:spacing w:line="360" w:lineRule="auto"/>
              <w:ind w:firstLine="840"/>
              <w:jc w:val="center"/>
              <w:rPr>
                <w:color w:val="auto"/>
                <w:spacing w:val="20"/>
                <w:sz w:val="24"/>
                <w:highlight w:val="none"/>
              </w:rPr>
            </w:pPr>
          </w:p>
        </w:tc>
      </w:tr>
      <w:tr w14:paraId="7B3596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8" w:hRule="atLeast"/>
        </w:trPr>
        <w:tc>
          <w:tcPr>
            <w:tcW w:w="1941" w:type="dxa"/>
            <w:tcBorders>
              <w:top w:val="single" w:color="000000" w:sz="2" w:space="0"/>
              <w:bottom w:val="single" w:color="000000" w:sz="2" w:space="0"/>
              <w:right w:val="single" w:color="000000" w:sz="2" w:space="0"/>
            </w:tcBorders>
            <w:vAlign w:val="center"/>
          </w:tcPr>
          <w:p w14:paraId="70CF3763">
            <w:pPr>
              <w:spacing w:line="360" w:lineRule="auto"/>
              <w:ind w:firstLine="720"/>
              <w:jc w:val="center"/>
              <w:rPr>
                <w:color w:val="auto"/>
                <w:sz w:val="24"/>
                <w:highlight w:val="none"/>
              </w:rPr>
            </w:pPr>
            <w:r>
              <w:rPr>
                <w:rFonts w:hint="eastAsia"/>
                <w:color w:val="auto"/>
                <w:sz w:val="24"/>
                <w:highlight w:val="none"/>
              </w:rPr>
              <w:t>电子邮箱</w:t>
            </w:r>
          </w:p>
        </w:tc>
        <w:tc>
          <w:tcPr>
            <w:tcW w:w="2357" w:type="dxa"/>
            <w:tcBorders>
              <w:top w:val="single" w:color="000000" w:sz="2" w:space="0"/>
              <w:left w:val="single" w:color="000000" w:sz="2" w:space="0"/>
              <w:bottom w:val="single" w:color="000000" w:sz="2" w:space="0"/>
              <w:right w:val="single" w:color="000000" w:sz="2" w:space="0"/>
            </w:tcBorders>
            <w:vAlign w:val="center"/>
          </w:tcPr>
          <w:p w14:paraId="72A6D171">
            <w:pPr>
              <w:spacing w:line="360" w:lineRule="auto"/>
              <w:ind w:firstLine="720"/>
              <w:jc w:val="center"/>
              <w:rPr>
                <w:color w:val="auto"/>
                <w:sz w:val="24"/>
                <w:highlight w:val="none"/>
              </w:rPr>
            </w:pPr>
          </w:p>
        </w:tc>
        <w:tc>
          <w:tcPr>
            <w:tcW w:w="2026" w:type="dxa"/>
            <w:tcBorders>
              <w:top w:val="single" w:color="000000" w:sz="2" w:space="0"/>
              <w:left w:val="single" w:color="000000" w:sz="2" w:space="0"/>
              <w:bottom w:val="single" w:color="000000" w:sz="2" w:space="0"/>
              <w:right w:val="single" w:color="000000" w:sz="2" w:space="0"/>
            </w:tcBorders>
            <w:vAlign w:val="center"/>
          </w:tcPr>
          <w:p w14:paraId="3076FF85">
            <w:pPr>
              <w:spacing w:line="360" w:lineRule="auto"/>
              <w:ind w:firstLine="720"/>
              <w:jc w:val="center"/>
              <w:rPr>
                <w:color w:val="auto"/>
                <w:sz w:val="24"/>
                <w:highlight w:val="none"/>
              </w:rPr>
            </w:pPr>
            <w:r>
              <w:rPr>
                <w:rFonts w:hint="eastAsia"/>
                <w:color w:val="auto"/>
                <w:sz w:val="24"/>
                <w:highlight w:val="none"/>
              </w:rPr>
              <w:t>电子邮箱</w:t>
            </w:r>
          </w:p>
        </w:tc>
        <w:tc>
          <w:tcPr>
            <w:tcW w:w="2074" w:type="dxa"/>
            <w:tcBorders>
              <w:top w:val="single" w:color="000000" w:sz="2" w:space="0"/>
              <w:left w:val="single" w:color="000000" w:sz="2" w:space="0"/>
              <w:bottom w:val="single" w:color="000000" w:sz="2" w:space="0"/>
            </w:tcBorders>
            <w:vAlign w:val="center"/>
          </w:tcPr>
          <w:p w14:paraId="75FCAF3A">
            <w:pPr>
              <w:spacing w:line="360" w:lineRule="auto"/>
              <w:ind w:firstLine="840"/>
              <w:jc w:val="center"/>
              <w:rPr>
                <w:color w:val="auto"/>
                <w:spacing w:val="20"/>
                <w:sz w:val="24"/>
                <w:highlight w:val="none"/>
              </w:rPr>
            </w:pPr>
          </w:p>
        </w:tc>
      </w:tr>
    </w:tbl>
    <w:p w14:paraId="65573005">
      <w:pPr>
        <w:pStyle w:val="2"/>
        <w:adjustRightInd w:val="0"/>
        <w:snapToGrid w:val="0"/>
        <w:spacing w:before="156" w:beforeLines="50"/>
        <w:ind w:firstLine="1084"/>
        <w:jc w:val="both"/>
        <w:rPr>
          <w:rFonts w:hint="default" w:ascii="黑体" w:hAnsi="黑体" w:eastAsia="黑体"/>
          <w:color w:val="auto"/>
          <w:sz w:val="28"/>
          <w:szCs w:val="28"/>
          <w:highlight w:val="none"/>
        </w:rPr>
      </w:pPr>
      <w:r>
        <w:rPr>
          <w:color w:val="auto"/>
          <w:highlight w:val="none"/>
          <w:u w:val="single"/>
        </w:rPr>
        <w:br w:type="page" w:clear="all"/>
      </w:r>
      <w:bookmarkStart w:id="173" w:name="_Toc27624"/>
      <w:bookmarkStart w:id="174" w:name="_Toc20313"/>
      <w:r>
        <w:rPr>
          <w:rFonts w:ascii="黑体" w:hAnsi="黑体" w:eastAsia="黑体"/>
          <w:b w:val="0"/>
          <w:bCs w:val="0"/>
          <w:color w:val="auto"/>
          <w:sz w:val="28"/>
          <w:szCs w:val="28"/>
          <w:highlight w:val="none"/>
        </w:rPr>
        <w:t>第二节 政府采购合同通用条款</w:t>
      </w:r>
      <w:bookmarkEnd w:id="173"/>
    </w:p>
    <w:p w14:paraId="1D36EB76">
      <w:pPr>
        <w:tabs>
          <w:tab w:val="left" w:pos="8820"/>
          <w:tab w:val="left" w:pos="9345"/>
          <w:tab w:val="left" w:pos="9765"/>
        </w:tabs>
        <w:adjustRightInd w:val="0"/>
        <w:snapToGrid w:val="0"/>
        <w:spacing w:line="400" w:lineRule="exact"/>
        <w:ind w:firstLine="723"/>
        <w:jc w:val="left"/>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6270F884">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1.1合同当事人</w:t>
      </w:r>
    </w:p>
    <w:p w14:paraId="1BAA3A2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5451F6B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366EC875">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53E6D28">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394DB0A2">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474E37B1">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0E173658">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w:t>
      </w:r>
      <w:r>
        <w:rPr>
          <w:rFonts w:hint="eastAsia" w:ascii="宋体" w:hAnsi="宋体"/>
          <w:color w:val="auto"/>
          <w:szCs w:val="21"/>
          <w:highlight w:val="none"/>
        </w:rPr>
        <w:t>包括软件）及相关的备品备件、工具、手册及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077817FD">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rPr>
        <w:t>相关</w:t>
      </w:r>
      <w:r>
        <w:rPr>
          <w:rFonts w:hint="eastAsia" w:ascii="宋体" w:hAnsi="宋体"/>
          <w:color w:val="auto"/>
          <w:szCs w:val="21"/>
          <w:highlight w:val="none"/>
        </w:rPr>
        <w:t>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07754CBB">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2CE1E422">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rPr>
        <w:t>“联合体”系指由两个以上的自然人、法人或者非法人组织组成，以一个供应商的身份共同参加政府采购的主体</w:t>
      </w:r>
      <w:r>
        <w:rPr>
          <w:rFonts w:hint="eastAsia" w:ascii="宋体" w:hAnsi="宋体"/>
          <w:color w:val="auto"/>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98468A8">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7F06B8C">
      <w:pPr>
        <w:numPr>
          <w:ilvl w:val="0"/>
          <w:numId w:val="4"/>
        </w:num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color w:val="auto"/>
          <w:sz w:val="24"/>
          <w:highlight w:val="none"/>
        </w:rPr>
        <w:t>合同标的及金额</w:t>
      </w:r>
    </w:p>
    <w:p w14:paraId="0506EFE3">
      <w:pPr>
        <w:autoSpaceDE w:val="0"/>
        <w:autoSpaceDN w:val="0"/>
        <w:adjustRightInd w:val="0"/>
        <w:snapToGrid w:val="0"/>
        <w:spacing w:line="400" w:lineRule="exact"/>
        <w:ind w:firstLine="420" w:firstLineChars="200"/>
        <w:jc w:val="left"/>
        <w:rPr>
          <w:rFonts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3A0F7BC7">
      <w:pPr>
        <w:adjustRightInd w:val="0"/>
        <w:snapToGrid w:val="0"/>
        <w:spacing w:line="400" w:lineRule="exact"/>
        <w:ind w:firstLine="723"/>
        <w:jc w:val="left"/>
        <w:rPr>
          <w:rFonts w:ascii="宋体" w:hAnsi="宋体"/>
          <w:b/>
          <w:color w:val="auto"/>
          <w:sz w:val="24"/>
          <w:highlight w:val="none"/>
        </w:rPr>
      </w:pPr>
      <w:r>
        <w:rPr>
          <w:rFonts w:hint="eastAsia" w:ascii="宋体" w:hAnsi="宋体"/>
          <w:b/>
          <w:color w:val="auto"/>
          <w:sz w:val="24"/>
          <w:highlight w:val="none"/>
        </w:rPr>
        <w:t>3. 履行合同的时间、地点和方式</w:t>
      </w:r>
    </w:p>
    <w:p w14:paraId="7ACC86F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665B929A">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4. 甲方的权利和义务</w:t>
      </w:r>
    </w:p>
    <w:p w14:paraId="5817641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1862DF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3468F00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68BD8DFC">
      <w:pPr>
        <w:snapToGrid w:val="0"/>
        <w:spacing w:line="400" w:lineRule="exact"/>
        <w:ind w:firstLine="420" w:firstLineChars="200"/>
        <w:rPr>
          <w:rFonts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748B425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3F5037B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3A9D7CCC">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5. 乙方的权利和义务</w:t>
      </w:r>
    </w:p>
    <w:p w14:paraId="7E2E01E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07FA7F8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pStyle w:val="4"/>
        <w:spacing w:after="0" w:line="400" w:lineRule="exact"/>
        <w:ind w:firstLine="369" w:firstLineChars="176"/>
        <w:rPr>
          <w:rFonts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5C35852B">
      <w:pPr>
        <w:pStyle w:val="4"/>
        <w:spacing w:after="0" w:line="400" w:lineRule="exact"/>
        <w:ind w:firstLine="369" w:firstLineChars="176"/>
        <w:rPr>
          <w:rFonts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w:t>
      </w:r>
      <w:r>
        <w:rPr>
          <w:rFonts w:hint="eastAsia" w:ascii="宋体" w:hAnsi="宋体" w:cs="宋体"/>
          <w:color w:val="auto"/>
          <w:szCs w:val="21"/>
          <w:highlight w:val="none"/>
        </w:rPr>
        <w:t>由乙方承担的其他义务和责任。</w:t>
      </w:r>
    </w:p>
    <w:p w14:paraId="70FD791A">
      <w:pPr>
        <w:numPr>
          <w:ilvl w:val="0"/>
          <w:numId w:val="5"/>
        </w:num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合同履行</w:t>
      </w:r>
    </w:p>
    <w:p w14:paraId="1FAF263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03864815">
      <w:pPr>
        <w:autoSpaceDE w:val="0"/>
        <w:autoSpaceDN w:val="0"/>
        <w:adjustRightInd w:val="0"/>
        <w:snapToGrid w:val="0"/>
        <w:spacing w:line="400" w:lineRule="exact"/>
        <w:ind w:firstLine="420" w:firstLineChars="200"/>
        <w:jc w:val="left"/>
        <w:rPr>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408A992F">
      <w:pPr>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03417B2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064787F5">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019A1CB4">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7793F4F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5A469094">
      <w:pPr>
        <w:pStyle w:val="15"/>
        <w:ind w:firstLine="420"/>
        <w:rPr>
          <w:color w:val="auto"/>
          <w:sz w:val="21"/>
          <w:highlight w:val="none"/>
        </w:rPr>
      </w:pPr>
      <w:r>
        <w:rPr>
          <w:rFonts w:hint="eastAsia" w:ascii="宋体" w:hAnsi="宋体" w:eastAsia="宋体" w:cs="Times New Roman"/>
          <w:color w:val="auto"/>
          <w:kern w:val="2"/>
          <w:sz w:val="21"/>
          <w:highlight w:val="none"/>
        </w:rPr>
        <w:t xml:space="preserve">7.6 </w:t>
      </w:r>
      <w:r>
        <w:rPr>
          <w:rFonts w:hint="eastAsia" w:ascii="宋体" w:hAnsi="宋体" w:eastAsia="宋体" w:cs="Times New Roman"/>
          <w:color w:val="auto"/>
          <w:kern w:val="2"/>
          <w:sz w:val="21"/>
          <w:highlight w:val="none"/>
        </w:rPr>
        <w:t>如因包装、运输问题导致货物</w:t>
      </w:r>
      <w:r>
        <w:rPr>
          <w:rFonts w:hint="eastAsia" w:ascii="宋体" w:hAnsi="宋体" w:eastAsia="宋体" w:cs="Times New Roman"/>
          <w:color w:val="auto"/>
          <w:kern w:val="2"/>
          <w:sz w:val="21"/>
          <w:highlight w:val="none"/>
        </w:rPr>
        <w:t>损毁、丢失</w:t>
      </w:r>
      <w:r>
        <w:rPr>
          <w:rFonts w:hint="eastAsia" w:ascii="宋体" w:hAnsi="宋体" w:eastAsia="宋体" w:cs="Times New Roman"/>
          <w:color w:val="auto"/>
          <w:kern w:val="2"/>
          <w:sz w:val="21"/>
          <w:highlight w:val="none"/>
        </w:rPr>
        <w:t>或者品质下降，甲方有权要求降价、换货、拒收部分或整批货物，由此产生的费用和损失，均由乙方承担。</w:t>
      </w:r>
    </w:p>
    <w:p w14:paraId="30658CFE">
      <w:pPr>
        <w:adjustRightInd w:val="0"/>
        <w:snapToGrid w:val="0"/>
        <w:spacing w:line="400" w:lineRule="exact"/>
        <w:ind w:firstLine="723"/>
        <w:jc w:val="left"/>
        <w:rPr>
          <w:rFonts w:ascii="宋体" w:hAnsi="宋体"/>
          <w:b/>
          <w:color w:val="auto"/>
          <w:sz w:val="24"/>
          <w:highlight w:val="none"/>
        </w:rPr>
      </w:pPr>
      <w:r>
        <w:rPr>
          <w:rFonts w:hint="eastAsia" w:ascii="宋体" w:hAnsi="宋体"/>
          <w:b/>
          <w:color w:val="auto"/>
          <w:sz w:val="24"/>
          <w:highlight w:val="none"/>
        </w:rPr>
        <w:t xml:space="preserve">8. </w:t>
      </w:r>
      <w:r>
        <w:rPr>
          <w:rFonts w:hint="eastAsia" w:ascii="宋体" w:hAnsi="宋体"/>
          <w:b/>
          <w:color w:val="auto"/>
          <w:sz w:val="24"/>
          <w:highlight w:val="none"/>
        </w:rPr>
        <w:t>质量标准和保证</w:t>
      </w:r>
    </w:p>
    <w:p w14:paraId="6A18DFCB">
      <w:pPr>
        <w:pStyle w:val="5"/>
        <w:adjustRightInd w:val="0"/>
        <w:snapToGrid w:val="0"/>
        <w:spacing w:line="400" w:lineRule="exact"/>
        <w:ind w:firstLine="420" w:firstLineChars="200"/>
        <w:jc w:val="left"/>
        <w:rPr>
          <w:rFonts w:hAnsi="宋体"/>
          <w:b/>
          <w:color w:val="auto"/>
          <w:highlight w:val="none"/>
        </w:rPr>
      </w:pPr>
      <w:r>
        <w:rPr>
          <w:rFonts w:hint="eastAsia" w:hAnsi="宋体"/>
          <w:color w:val="auto"/>
          <w:highlight w:val="none"/>
        </w:rPr>
        <w:t>8.1 质量标准</w:t>
      </w:r>
    </w:p>
    <w:p w14:paraId="6367E70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w:t>
      </w:r>
      <w:r>
        <w:rPr>
          <w:rFonts w:hint="eastAsia" w:ascii="宋体" w:hAnsi="宋体" w:cs="宋体"/>
          <w:color w:val="auto"/>
          <w:szCs w:val="21"/>
          <w:highlight w:val="none"/>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pStyle w:val="5"/>
        <w:adjustRightInd w:val="0"/>
        <w:snapToGrid w:val="0"/>
        <w:spacing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505C2801">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1066785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1ED6500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8.2 保证</w:t>
      </w:r>
    </w:p>
    <w:p w14:paraId="670C754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4FFD430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34CD0C12">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4209BB2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rPr>
        <w:t>5</w:t>
      </w:r>
      <w:r>
        <w:rPr>
          <w:rFonts w:hint="eastAsia" w:ascii="宋体" w:hAnsi="宋体"/>
          <w:color w:val="auto"/>
          <w:szCs w:val="21"/>
          <w:highlight w:val="none"/>
        </w:rPr>
        <w:t>.1条规定以书面形式</w:t>
      </w:r>
      <w:r>
        <w:rPr>
          <w:rFonts w:hint="eastAsia" w:ascii="宋体" w:hAnsi="宋体"/>
          <w:color w:val="auto"/>
          <w:szCs w:val="21"/>
          <w:highlight w:val="none"/>
        </w:rPr>
        <w:t>追究</w:t>
      </w:r>
      <w:r>
        <w:rPr>
          <w:rFonts w:hint="eastAsia" w:ascii="宋体" w:hAnsi="宋体"/>
          <w:color w:val="auto"/>
          <w:szCs w:val="21"/>
          <w:highlight w:val="none"/>
        </w:rPr>
        <w:t>乙方</w:t>
      </w:r>
      <w:r>
        <w:rPr>
          <w:rFonts w:hint="eastAsia" w:ascii="宋体" w:hAnsi="宋体"/>
          <w:color w:val="auto"/>
          <w:szCs w:val="21"/>
          <w:highlight w:val="none"/>
        </w:rPr>
        <w:t>的违约责任</w:t>
      </w:r>
      <w:r>
        <w:rPr>
          <w:rFonts w:hint="eastAsia" w:ascii="宋体" w:hAnsi="宋体"/>
          <w:color w:val="auto"/>
          <w:szCs w:val="21"/>
          <w:highlight w:val="none"/>
        </w:rPr>
        <w:t>。</w:t>
      </w:r>
    </w:p>
    <w:p w14:paraId="743A2F36">
      <w:pPr>
        <w:adjustRightInd w:val="0"/>
        <w:snapToGrid w:val="0"/>
        <w:spacing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5B26992E">
      <w:pPr>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9</w:t>
      </w:r>
      <w:r>
        <w:rPr>
          <w:rFonts w:hint="eastAsia" w:ascii="宋体" w:hAnsi="宋体"/>
          <w:b/>
          <w:bCs/>
          <w:color w:val="auto"/>
          <w:sz w:val="24"/>
          <w:highlight w:val="none"/>
        </w:rPr>
        <w:t>.</w:t>
      </w:r>
      <w:r>
        <w:rPr>
          <w:rFonts w:hint="eastAsia" w:ascii="宋体" w:hAnsi="宋体"/>
          <w:b/>
          <w:bCs/>
          <w:color w:val="auto"/>
          <w:sz w:val="24"/>
          <w:highlight w:val="none"/>
        </w:rPr>
        <w:t xml:space="preserve"> </w:t>
      </w:r>
      <w:r>
        <w:rPr>
          <w:rFonts w:hint="eastAsia" w:ascii="宋体" w:hAnsi="宋体"/>
          <w:b/>
          <w:bCs/>
          <w:color w:val="auto"/>
          <w:sz w:val="24"/>
          <w:highlight w:val="none"/>
        </w:rPr>
        <w:t>权利瑕疵担保</w:t>
      </w:r>
    </w:p>
    <w:p w14:paraId="3242AA6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9.1 乙方保证对其出售的货物享有合法的权利。</w:t>
      </w:r>
    </w:p>
    <w:p w14:paraId="5FAEF51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65DEEB8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21F04C66">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10. 知识产权保护</w:t>
      </w:r>
    </w:p>
    <w:p w14:paraId="3B6CA66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175"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75"/>
      <w:r>
        <w:rPr>
          <w:rFonts w:hint="eastAsia" w:ascii="宋体" w:hAnsi="宋体"/>
          <w:color w:val="auto"/>
          <w:szCs w:val="21"/>
          <w:highlight w:val="none"/>
        </w:rPr>
        <w:t>。</w:t>
      </w:r>
    </w:p>
    <w:p w14:paraId="19A08117">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11. 保密义务</w:t>
      </w:r>
    </w:p>
    <w:p w14:paraId="4B3F0FCC">
      <w:pPr>
        <w:autoSpaceDE w:val="0"/>
        <w:autoSpaceDN w:val="0"/>
        <w:adjustRightInd w:val="0"/>
        <w:snapToGrid w:val="0"/>
        <w:spacing w:line="400" w:lineRule="exact"/>
        <w:ind w:firstLine="420" w:firstLineChars="200"/>
        <w:jc w:val="left"/>
        <w:rPr>
          <w:rFonts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62EFEBF0">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12. 合同价款支付</w:t>
      </w:r>
    </w:p>
    <w:p w14:paraId="43D3530D">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F40B944">
      <w:pPr>
        <w:pStyle w:val="2"/>
        <w:spacing w:line="400" w:lineRule="exact"/>
        <w:ind w:firstLine="420" w:firstLineChars="200"/>
        <w:rPr>
          <w:rFonts w:hint="default"/>
          <w:color w:val="auto"/>
          <w:highlight w:val="none"/>
        </w:rPr>
      </w:pPr>
      <w:r>
        <w:rPr>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auto"/>
          <w:sz w:val="21"/>
          <w:szCs w:val="21"/>
          <w:highlight w:val="none"/>
        </w:rPr>
        <w:t>政府采购合同专用条款</w:t>
      </w:r>
      <w:r>
        <w:rPr>
          <w:b w:val="0"/>
          <w:bCs w:val="0"/>
          <w:color w:val="auto"/>
          <w:sz w:val="21"/>
          <w:szCs w:val="21"/>
          <w:highlight w:val="none"/>
        </w:rPr>
        <w:t>】中约定。</w:t>
      </w:r>
    </w:p>
    <w:p w14:paraId="25B586DF">
      <w:pPr>
        <w:pStyle w:val="4"/>
        <w:spacing w:after="0" w:line="400" w:lineRule="exact"/>
        <w:ind w:firstLine="723"/>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585F28DF">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53888A22">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6A9509F">
      <w:pPr>
        <w:spacing w:line="400" w:lineRule="exact"/>
        <w:ind w:firstLine="660"/>
        <w:rPr>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02C7D211">
      <w:pPr>
        <w:autoSpaceDE w:val="0"/>
        <w:autoSpaceDN w:val="0"/>
        <w:adjustRightInd w:val="0"/>
        <w:snapToGrid w:val="0"/>
        <w:spacing w:line="400" w:lineRule="exact"/>
        <w:ind w:firstLine="723"/>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250642C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6961848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33C526D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95FC4A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461379A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6F53DC10">
      <w:pPr>
        <w:pStyle w:val="15"/>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4341489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4E3D95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6520F4CD">
      <w:pPr>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15. 违约责任</w:t>
      </w:r>
    </w:p>
    <w:p w14:paraId="68C76851">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15.1质量瑕疵的违约责任</w:t>
      </w:r>
    </w:p>
    <w:p w14:paraId="02A93C95">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0603F2C2">
      <w:pPr>
        <w:autoSpaceDE w:val="0"/>
        <w:autoSpaceDN w:val="0"/>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15.2 迟延交货的违约责任</w:t>
      </w:r>
    </w:p>
    <w:p w14:paraId="470A3EA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3E7F0B2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15.3 迟延支付的违约责任</w:t>
      </w:r>
    </w:p>
    <w:p w14:paraId="4F0CB68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23C23C35">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46DA73C">
      <w:pPr>
        <w:numPr>
          <w:ilvl w:val="0"/>
          <w:numId w:val="6"/>
        </w:numPr>
        <w:autoSpaceDE w:val="0"/>
        <w:autoSpaceDN w:val="0"/>
        <w:adjustRightInd w:val="0"/>
        <w:snapToGrid w:val="0"/>
        <w:spacing w:line="400" w:lineRule="exact"/>
        <w:ind w:firstLine="723"/>
        <w:jc w:val="left"/>
        <w:rPr>
          <w:rFonts w:ascii="宋体" w:hAnsi="宋体"/>
          <w:b/>
          <w:color w:val="auto"/>
          <w:sz w:val="24"/>
          <w:highlight w:val="none"/>
        </w:rPr>
      </w:pPr>
      <w:r>
        <w:rPr>
          <w:rFonts w:hint="eastAsia" w:ascii="宋体" w:hAnsi="宋体"/>
          <w:b/>
          <w:color w:val="auto"/>
          <w:sz w:val="24"/>
          <w:highlight w:val="none"/>
        </w:rPr>
        <w:t>合同变更、中止与终止</w:t>
      </w:r>
    </w:p>
    <w:p w14:paraId="0CC719FB">
      <w:pPr>
        <w:adjustRightInd w:val="0"/>
        <w:snapToGrid w:val="0"/>
        <w:spacing w:line="400" w:lineRule="exact"/>
        <w:jc w:val="left"/>
        <w:rPr>
          <w:rFonts w:ascii="宋体" w:hAnsi="宋体"/>
          <w:color w:val="auto"/>
          <w:szCs w:val="21"/>
          <w:highlight w:val="none"/>
        </w:rPr>
      </w:pPr>
      <w:r>
        <w:rPr>
          <w:rFonts w:hint="eastAsia" w:ascii="宋体" w:hAnsi="宋体"/>
          <w:color w:val="auto"/>
          <w:szCs w:val="21"/>
          <w:highlight w:val="none"/>
        </w:rPr>
        <w:t xml:space="preserve">    16.1合同的变更</w:t>
      </w:r>
    </w:p>
    <w:p w14:paraId="19F4454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468DC39E">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16.2合同的中止</w:t>
      </w:r>
    </w:p>
    <w:p w14:paraId="6F70498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5D9C493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pStyle w:val="15"/>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298C7D9">
      <w:pPr>
        <w:snapToGrid w:val="0"/>
        <w:spacing w:line="400" w:lineRule="exact"/>
        <w:ind w:firstLine="420" w:firstLineChars="200"/>
        <w:jc w:val="left"/>
        <w:rPr>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5EB71F16">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16.3合同的终止</w:t>
      </w:r>
    </w:p>
    <w:p w14:paraId="093FDC10">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714EFEC7">
      <w:pPr>
        <w:snapToGrid w:val="0"/>
        <w:spacing w:line="400" w:lineRule="exact"/>
        <w:ind w:firstLine="420" w:firstLineChars="20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5062C39">
      <w:pPr>
        <w:pStyle w:val="15"/>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kern w:val="2"/>
          <w:sz w:val="21"/>
          <w:highlight w:val="none"/>
        </w:rPr>
        <w:t>涉及国家利益、社会公共利益的情形</w:t>
      </w:r>
    </w:p>
    <w:p w14:paraId="4F111362">
      <w:pPr>
        <w:pStyle w:val="15"/>
        <w:ind w:firstLine="42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496DB76D">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17. 合同分包</w:t>
      </w:r>
    </w:p>
    <w:p w14:paraId="0E793CE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728B5C30">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78F32F1A">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18. 不可抗力</w:t>
      </w:r>
    </w:p>
    <w:p w14:paraId="6AC59035">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096C9F4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7A31098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autoSpaceDE w:val="0"/>
        <w:autoSpaceDN w:val="0"/>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19. 解决争议的方法</w:t>
      </w:r>
    </w:p>
    <w:p w14:paraId="11BDE136">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281B185">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48825937">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0C92D042">
      <w:pPr>
        <w:autoSpaceDE w:val="0"/>
        <w:autoSpaceDN w:val="0"/>
        <w:adjustRightInd w:val="0"/>
        <w:snapToGrid w:val="0"/>
        <w:spacing w:line="400" w:lineRule="exact"/>
        <w:ind w:firstLine="723"/>
        <w:jc w:val="left"/>
        <w:rPr>
          <w:rFonts w:ascii="宋体" w:hAnsi="宋体"/>
          <w:color w:val="auto"/>
          <w:sz w:val="24"/>
          <w:highlight w:val="none"/>
        </w:rPr>
      </w:pPr>
      <w:r>
        <w:rPr>
          <w:rFonts w:hint="eastAsia" w:ascii="宋体" w:hAnsi="宋体"/>
          <w:b/>
          <w:color w:val="auto"/>
          <w:sz w:val="24"/>
          <w:highlight w:val="none"/>
        </w:rPr>
        <w:t>20. 政府采购政策</w:t>
      </w:r>
    </w:p>
    <w:p w14:paraId="497FDF1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076A72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79876CC1">
      <w:pPr>
        <w:pStyle w:val="4"/>
        <w:spacing w:after="0" w:line="400" w:lineRule="exact"/>
        <w:ind w:firstLine="420" w:firstLineChars="200"/>
        <w:rPr>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autoSpaceDE w:val="0"/>
        <w:autoSpaceDN w:val="0"/>
        <w:adjustRightInd w:val="0"/>
        <w:snapToGrid w:val="0"/>
        <w:spacing w:line="400" w:lineRule="exact"/>
        <w:ind w:firstLine="723"/>
        <w:jc w:val="left"/>
        <w:rPr>
          <w:rFonts w:ascii="宋体" w:hAnsi="宋体"/>
          <w:b/>
          <w:color w:val="auto"/>
          <w:sz w:val="24"/>
          <w:highlight w:val="none"/>
        </w:rPr>
      </w:pPr>
      <w:r>
        <w:rPr>
          <w:rFonts w:hint="eastAsia" w:ascii="宋体" w:hAnsi="宋体"/>
          <w:b/>
          <w:color w:val="auto"/>
          <w:sz w:val="24"/>
          <w:highlight w:val="none"/>
        </w:rPr>
        <w:t>21. 法律适用</w:t>
      </w:r>
    </w:p>
    <w:p w14:paraId="109ABB3D">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4A5D1BDC">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629278AB">
      <w:pPr>
        <w:autoSpaceDE w:val="0"/>
        <w:autoSpaceDN w:val="0"/>
        <w:adjustRightInd w:val="0"/>
        <w:snapToGrid w:val="0"/>
        <w:spacing w:line="400" w:lineRule="exact"/>
        <w:ind w:firstLine="723"/>
        <w:jc w:val="left"/>
        <w:rPr>
          <w:rFonts w:ascii="宋体" w:hAnsi="宋体"/>
          <w:b/>
          <w:color w:val="auto"/>
          <w:sz w:val="24"/>
          <w:highlight w:val="none"/>
        </w:rPr>
      </w:pPr>
      <w:r>
        <w:rPr>
          <w:rFonts w:hint="eastAsia" w:ascii="宋体" w:hAnsi="宋体"/>
          <w:b/>
          <w:color w:val="auto"/>
          <w:sz w:val="24"/>
          <w:highlight w:val="none"/>
        </w:rPr>
        <w:t>22. 通知</w:t>
      </w:r>
    </w:p>
    <w:p w14:paraId="6CFB426B">
      <w:pPr>
        <w:pStyle w:val="15"/>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32FB8307">
      <w:pPr>
        <w:pStyle w:val="15"/>
        <w:ind w:firstLine="0" w:firstLineChars="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06802CD3">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7E567F4F">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4A393EC6">
      <w:pPr>
        <w:numPr>
          <w:ilvl w:val="0"/>
          <w:numId w:val="7"/>
        </w:numPr>
        <w:adjustRightInd w:val="0"/>
        <w:snapToGrid w:val="0"/>
        <w:spacing w:line="400" w:lineRule="exact"/>
        <w:ind w:firstLine="723"/>
        <w:jc w:val="left"/>
        <w:rPr>
          <w:rFonts w:ascii="宋体" w:hAnsi="宋体"/>
          <w:b/>
          <w:bCs/>
          <w:color w:val="auto"/>
          <w:sz w:val="24"/>
          <w:highlight w:val="none"/>
        </w:rPr>
      </w:pPr>
      <w:r>
        <w:rPr>
          <w:rFonts w:hint="eastAsia" w:ascii="宋体" w:hAnsi="宋体"/>
          <w:b/>
          <w:bCs/>
          <w:color w:val="auto"/>
          <w:sz w:val="24"/>
          <w:highlight w:val="none"/>
        </w:rPr>
        <w:t>合同未尽事项</w:t>
      </w:r>
    </w:p>
    <w:p w14:paraId="046D3443">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6C09D36">
      <w:pPr>
        <w:adjustRightInd w:val="0"/>
        <w:snapToGrid w:val="0"/>
        <w:spacing w:line="400" w:lineRule="exact"/>
        <w:jc w:val="lef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3DFA02A6">
      <w:pPr>
        <w:keepNext/>
        <w:keepLines/>
        <w:spacing w:line="360" w:lineRule="auto"/>
        <w:ind w:firstLine="720"/>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4C0B0EC1">
      <w:pPr>
        <w:keepNext/>
        <w:keepLines/>
        <w:spacing w:line="360" w:lineRule="auto"/>
        <w:ind w:firstLine="720"/>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74"/>
    </w:p>
    <w:tbl>
      <w:tblPr>
        <w:tblStyle w:val="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2008"/>
        <w:gridCol w:w="1905"/>
        <w:gridCol w:w="4606"/>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59EADDFC">
            <w:pPr>
              <w:jc w:val="center"/>
              <w:rPr>
                <w:rFonts w:ascii="宋体" w:hAnsi="宋体"/>
                <w:color w:val="auto"/>
                <w:sz w:val="24"/>
                <w:highlight w:val="none"/>
              </w:rPr>
            </w:pPr>
            <w:r>
              <w:rPr>
                <w:rFonts w:hint="eastAsia" w:ascii="宋体" w:hAnsi="宋体"/>
                <w:color w:val="auto"/>
                <w:sz w:val="24"/>
                <w:highlight w:val="none"/>
              </w:rPr>
              <w:t>第二节</w:t>
            </w:r>
          </w:p>
          <w:p w14:paraId="0B4BCFE8">
            <w:pPr>
              <w:jc w:val="center"/>
              <w:rPr>
                <w:rFonts w:ascii="宋体" w:hAnsi="宋体"/>
                <w:color w:val="auto"/>
                <w:sz w:val="24"/>
                <w:highlight w:val="none"/>
              </w:rPr>
            </w:pPr>
            <w:r>
              <w:rPr>
                <w:rFonts w:hint="eastAsia" w:ascii="宋体" w:hAnsi="宋体"/>
                <w:color w:val="auto"/>
                <w:sz w:val="24"/>
                <w:highlight w:val="none"/>
              </w:rPr>
              <w:t>第1.2（6）项</w:t>
            </w:r>
          </w:p>
        </w:tc>
        <w:tc>
          <w:tcPr>
            <w:tcW w:w="1905" w:type="dxa"/>
            <w:vAlign w:val="center"/>
          </w:tcPr>
          <w:p w14:paraId="0E2BBED2">
            <w:pPr>
              <w:jc w:val="left"/>
              <w:rPr>
                <w:rFonts w:ascii="宋体" w:hAnsi="宋体"/>
                <w:color w:val="auto"/>
                <w:sz w:val="24"/>
                <w:highlight w:val="none"/>
              </w:rPr>
            </w:pPr>
            <w:r>
              <w:rPr>
                <w:rFonts w:hint="eastAsia" w:ascii="宋体" w:hAnsi="宋体"/>
                <w:color w:val="auto"/>
                <w:sz w:val="24"/>
                <w:highlight w:val="none"/>
              </w:rPr>
              <w:t>联合体具体要求</w:t>
            </w:r>
          </w:p>
        </w:tc>
        <w:tc>
          <w:tcPr>
            <w:tcW w:w="4606" w:type="dxa"/>
            <w:vAlign w:val="center"/>
          </w:tcPr>
          <w:p w14:paraId="6D9F2873">
            <w:pPr>
              <w:jc w:val="center"/>
              <w:rPr>
                <w:rFonts w:ascii="宋体" w:hAnsi="宋体"/>
                <w:color w:val="auto"/>
                <w:sz w:val="24"/>
                <w:highlight w:val="none"/>
              </w:rPr>
            </w:pPr>
            <w:r>
              <w:rPr>
                <w:rFonts w:hint="eastAsia" w:ascii="宋体" w:hAnsi="宋体"/>
                <w:color w:val="auto"/>
                <w:sz w:val="24"/>
                <w:highlight w:val="none"/>
              </w:rPr>
              <w:t>本项目不接受联合体</w:t>
            </w: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7D286AD7">
            <w:pPr>
              <w:jc w:val="center"/>
              <w:rPr>
                <w:rFonts w:ascii="宋体" w:hAnsi="宋体"/>
                <w:color w:val="auto"/>
                <w:sz w:val="24"/>
                <w:highlight w:val="none"/>
              </w:rPr>
            </w:pPr>
            <w:r>
              <w:rPr>
                <w:rFonts w:hint="eastAsia" w:ascii="宋体" w:hAnsi="宋体"/>
                <w:color w:val="auto"/>
                <w:sz w:val="24"/>
                <w:highlight w:val="none"/>
              </w:rPr>
              <w:t>第二节</w:t>
            </w:r>
          </w:p>
          <w:p w14:paraId="063D45B1">
            <w:pPr>
              <w:jc w:val="center"/>
              <w:rPr>
                <w:rFonts w:ascii="宋体" w:hAnsi="宋体"/>
                <w:color w:val="auto"/>
                <w:sz w:val="24"/>
                <w:highlight w:val="none"/>
              </w:rPr>
            </w:pPr>
            <w:r>
              <w:rPr>
                <w:rFonts w:hint="eastAsia" w:ascii="宋体" w:hAnsi="宋体"/>
                <w:color w:val="auto"/>
                <w:sz w:val="24"/>
                <w:highlight w:val="none"/>
              </w:rPr>
              <w:t>第1.2（7）项</w:t>
            </w:r>
          </w:p>
        </w:tc>
        <w:tc>
          <w:tcPr>
            <w:tcW w:w="1905" w:type="dxa"/>
            <w:vAlign w:val="center"/>
          </w:tcPr>
          <w:p w14:paraId="3FAAA06A">
            <w:pPr>
              <w:jc w:val="left"/>
              <w:rPr>
                <w:rFonts w:ascii="宋体" w:hAnsi="宋体"/>
                <w:color w:val="auto"/>
                <w:sz w:val="24"/>
                <w:highlight w:val="none"/>
              </w:rPr>
            </w:pPr>
            <w:r>
              <w:rPr>
                <w:rFonts w:hint="eastAsia" w:ascii="宋体" w:hAnsi="宋体"/>
                <w:color w:val="auto"/>
                <w:sz w:val="24"/>
                <w:highlight w:val="none"/>
              </w:rPr>
              <w:t>其他术语解释</w:t>
            </w:r>
          </w:p>
        </w:tc>
        <w:tc>
          <w:tcPr>
            <w:tcW w:w="4606" w:type="dxa"/>
            <w:vAlign w:val="center"/>
          </w:tcPr>
          <w:p w14:paraId="76E431F9">
            <w:pPr>
              <w:jc w:val="center"/>
              <w:rPr>
                <w:rFonts w:ascii="宋体" w:hAnsi="宋体"/>
                <w:color w:val="auto"/>
                <w:sz w:val="24"/>
                <w:highlight w:val="none"/>
              </w:rPr>
            </w:pPr>
            <w:r>
              <w:rPr>
                <w:rFonts w:hint="eastAsia" w:ascii="宋体" w:hAnsi="宋体"/>
                <w:color w:val="auto"/>
                <w:sz w:val="24"/>
                <w:highlight w:val="none"/>
              </w:rPr>
              <w:t>同合同通用条款</w:t>
            </w: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4EE2C001">
            <w:pPr>
              <w:jc w:val="center"/>
              <w:rPr>
                <w:rFonts w:ascii="宋体" w:hAnsi="宋体"/>
                <w:color w:val="auto"/>
                <w:sz w:val="24"/>
                <w:highlight w:val="none"/>
              </w:rPr>
            </w:pPr>
            <w:r>
              <w:rPr>
                <w:rFonts w:hint="eastAsia" w:ascii="宋体" w:hAnsi="宋体"/>
                <w:color w:val="auto"/>
                <w:sz w:val="24"/>
                <w:highlight w:val="none"/>
              </w:rPr>
              <w:t>第二节</w:t>
            </w:r>
          </w:p>
          <w:p w14:paraId="7ED3EC04">
            <w:pPr>
              <w:jc w:val="center"/>
              <w:rPr>
                <w:rFonts w:ascii="宋体" w:hAnsi="宋体"/>
                <w:color w:val="auto"/>
                <w:sz w:val="24"/>
                <w:highlight w:val="none"/>
              </w:rPr>
            </w:pPr>
            <w:r>
              <w:rPr>
                <w:rFonts w:hint="eastAsia" w:ascii="宋体" w:hAnsi="宋体"/>
                <w:color w:val="auto"/>
                <w:sz w:val="24"/>
                <w:highlight w:val="none"/>
              </w:rPr>
              <w:t>第4.4款</w:t>
            </w:r>
          </w:p>
        </w:tc>
        <w:tc>
          <w:tcPr>
            <w:tcW w:w="1905" w:type="dxa"/>
            <w:vAlign w:val="center"/>
          </w:tcPr>
          <w:p w14:paraId="25E6A1A8">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4606" w:type="dxa"/>
            <w:vAlign w:val="center"/>
          </w:tcPr>
          <w:p w14:paraId="6F6DBF4D">
            <w:pPr>
              <w:jc w:val="center"/>
              <w:rPr>
                <w:rFonts w:ascii="宋体" w:hAnsi="宋体"/>
                <w:color w:val="auto"/>
                <w:sz w:val="24"/>
                <w:highlight w:val="none"/>
              </w:rPr>
            </w:pPr>
            <w:r>
              <w:rPr>
                <w:rFonts w:hint="eastAsia" w:ascii="宋体" w:hAnsi="宋体"/>
                <w:color w:val="auto"/>
                <w:sz w:val="24"/>
                <w:highlight w:val="none"/>
              </w:rPr>
              <w:t>30个工作日内</w:t>
            </w: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55FB9D7B">
            <w:pPr>
              <w:jc w:val="center"/>
              <w:rPr>
                <w:rFonts w:ascii="宋体" w:hAnsi="宋体"/>
                <w:color w:val="auto"/>
                <w:sz w:val="24"/>
                <w:highlight w:val="none"/>
              </w:rPr>
            </w:pPr>
            <w:r>
              <w:rPr>
                <w:rFonts w:hint="eastAsia" w:ascii="宋体" w:hAnsi="宋体"/>
                <w:color w:val="auto"/>
                <w:sz w:val="24"/>
                <w:highlight w:val="none"/>
              </w:rPr>
              <w:t>第二节</w:t>
            </w:r>
          </w:p>
          <w:p w14:paraId="7BDD8D8D">
            <w:pPr>
              <w:jc w:val="center"/>
              <w:rPr>
                <w:rFonts w:ascii="宋体" w:hAnsi="宋体"/>
                <w:color w:val="auto"/>
                <w:sz w:val="24"/>
                <w:highlight w:val="none"/>
              </w:rPr>
            </w:pPr>
            <w:r>
              <w:rPr>
                <w:rFonts w:hint="eastAsia" w:ascii="宋体" w:hAnsi="宋体"/>
                <w:color w:val="auto"/>
                <w:sz w:val="24"/>
                <w:highlight w:val="none"/>
              </w:rPr>
              <w:t>第4.6款</w:t>
            </w:r>
          </w:p>
        </w:tc>
        <w:tc>
          <w:tcPr>
            <w:tcW w:w="1905" w:type="dxa"/>
            <w:vAlign w:val="center"/>
          </w:tcPr>
          <w:p w14:paraId="14C64E91">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4606" w:type="dxa"/>
            <w:vAlign w:val="center"/>
          </w:tcPr>
          <w:p w14:paraId="663821C3">
            <w:pPr>
              <w:jc w:val="center"/>
              <w:rPr>
                <w:rFonts w:ascii="宋体" w:hAnsi="宋体"/>
                <w:color w:val="auto"/>
                <w:sz w:val="24"/>
                <w:highlight w:val="none"/>
              </w:rPr>
            </w:pPr>
            <w:r>
              <w:rPr>
                <w:rFonts w:hint="eastAsia" w:ascii="宋体" w:hAnsi="宋体"/>
                <w:color w:val="auto"/>
                <w:sz w:val="24"/>
                <w:highlight w:val="none"/>
              </w:rPr>
              <w:t>同合同通用条款</w:t>
            </w: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01" w:hRule="atLeast"/>
        </w:trPr>
        <w:tc>
          <w:tcPr>
            <w:tcW w:w="2008" w:type="dxa"/>
            <w:vAlign w:val="center"/>
          </w:tcPr>
          <w:p w14:paraId="43DB730B">
            <w:pPr>
              <w:jc w:val="center"/>
              <w:rPr>
                <w:rFonts w:ascii="宋体" w:hAnsi="宋体"/>
                <w:color w:val="auto"/>
                <w:sz w:val="24"/>
                <w:highlight w:val="none"/>
              </w:rPr>
            </w:pPr>
            <w:r>
              <w:rPr>
                <w:rFonts w:hint="eastAsia" w:ascii="宋体" w:hAnsi="宋体"/>
                <w:color w:val="auto"/>
                <w:sz w:val="24"/>
                <w:highlight w:val="none"/>
              </w:rPr>
              <w:t>第二节</w:t>
            </w:r>
          </w:p>
          <w:p w14:paraId="092D9B6C">
            <w:pPr>
              <w:jc w:val="center"/>
              <w:rPr>
                <w:color w:val="auto"/>
                <w:sz w:val="24"/>
                <w:highlight w:val="none"/>
              </w:rPr>
            </w:pPr>
            <w:r>
              <w:rPr>
                <w:rFonts w:hint="eastAsia" w:ascii="宋体" w:hAnsi="宋体"/>
                <w:color w:val="auto"/>
                <w:sz w:val="24"/>
                <w:highlight w:val="none"/>
              </w:rPr>
              <w:t>第5.4款</w:t>
            </w:r>
          </w:p>
        </w:tc>
        <w:tc>
          <w:tcPr>
            <w:tcW w:w="1905" w:type="dxa"/>
            <w:vAlign w:val="center"/>
          </w:tcPr>
          <w:p w14:paraId="361FD590">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4606" w:type="dxa"/>
            <w:vAlign w:val="center"/>
          </w:tcPr>
          <w:p w14:paraId="3D29690E">
            <w:pPr>
              <w:jc w:val="center"/>
              <w:rPr>
                <w:rFonts w:ascii="宋体" w:hAnsi="宋体"/>
                <w:color w:val="auto"/>
                <w:sz w:val="24"/>
                <w:highlight w:val="none"/>
              </w:rPr>
            </w:pPr>
            <w:r>
              <w:rPr>
                <w:rFonts w:hint="eastAsia" w:ascii="宋体" w:hAnsi="宋体"/>
                <w:color w:val="auto"/>
                <w:sz w:val="24"/>
                <w:highlight w:val="none"/>
              </w:rPr>
              <w:t>同合同通用条款</w:t>
            </w: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871" w:hRule="atLeast"/>
        </w:trPr>
        <w:tc>
          <w:tcPr>
            <w:tcW w:w="2008" w:type="dxa"/>
            <w:vAlign w:val="center"/>
          </w:tcPr>
          <w:p w14:paraId="41DE64B8">
            <w:pPr>
              <w:jc w:val="center"/>
              <w:rPr>
                <w:rFonts w:ascii="宋体" w:hAnsi="宋体"/>
                <w:color w:val="auto"/>
                <w:sz w:val="24"/>
                <w:highlight w:val="none"/>
              </w:rPr>
            </w:pPr>
            <w:r>
              <w:rPr>
                <w:rFonts w:hint="eastAsia" w:ascii="宋体" w:hAnsi="宋体"/>
                <w:color w:val="auto"/>
                <w:sz w:val="24"/>
                <w:highlight w:val="none"/>
              </w:rPr>
              <w:t>第二节</w:t>
            </w:r>
          </w:p>
          <w:p w14:paraId="33C73054">
            <w:pPr>
              <w:jc w:val="center"/>
              <w:rPr>
                <w:rFonts w:ascii="宋体" w:hAnsi="宋体"/>
                <w:color w:val="auto"/>
                <w:sz w:val="24"/>
                <w:highlight w:val="none"/>
              </w:rPr>
            </w:pPr>
            <w:r>
              <w:rPr>
                <w:rFonts w:hint="eastAsia" w:ascii="宋体" w:hAnsi="宋体"/>
                <w:color w:val="auto"/>
                <w:sz w:val="24"/>
                <w:highlight w:val="none"/>
              </w:rPr>
              <w:t>第6.1款</w:t>
            </w:r>
          </w:p>
        </w:tc>
        <w:tc>
          <w:tcPr>
            <w:tcW w:w="1905" w:type="dxa"/>
            <w:vAlign w:val="center"/>
          </w:tcPr>
          <w:p w14:paraId="393E3A57">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4606" w:type="dxa"/>
            <w:vAlign w:val="center"/>
          </w:tcPr>
          <w:p w14:paraId="3E0359AF">
            <w:pPr>
              <w:jc w:val="center"/>
              <w:rPr>
                <w:rFonts w:ascii="宋体" w:hAnsi="宋体"/>
                <w:color w:val="auto"/>
                <w:sz w:val="24"/>
                <w:highlight w:val="none"/>
              </w:rPr>
            </w:pPr>
            <w:r>
              <w:rPr>
                <w:rFonts w:hint="eastAsia" w:ascii="宋体" w:hAnsi="宋体"/>
                <w:color w:val="auto"/>
                <w:sz w:val="24"/>
                <w:highlight w:val="none"/>
              </w:rPr>
              <w:t>同协议书</w:t>
            </w: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2008" w:type="dxa"/>
            <w:vMerge w:val="restart"/>
            <w:vAlign w:val="center"/>
          </w:tcPr>
          <w:p w14:paraId="547991D3">
            <w:pPr>
              <w:jc w:val="center"/>
              <w:rPr>
                <w:rFonts w:ascii="宋体" w:hAnsi="宋体"/>
                <w:color w:val="auto"/>
                <w:sz w:val="24"/>
                <w:highlight w:val="none"/>
              </w:rPr>
            </w:pPr>
            <w:r>
              <w:rPr>
                <w:rFonts w:hint="eastAsia" w:ascii="宋体" w:hAnsi="宋体"/>
                <w:color w:val="auto"/>
                <w:sz w:val="24"/>
                <w:highlight w:val="none"/>
              </w:rPr>
              <w:t>第二节</w:t>
            </w:r>
          </w:p>
          <w:p w14:paraId="76D3B9DD">
            <w:pPr>
              <w:jc w:val="center"/>
              <w:rPr>
                <w:rFonts w:ascii="宋体" w:hAnsi="宋体"/>
                <w:color w:val="auto"/>
                <w:sz w:val="24"/>
                <w:highlight w:val="none"/>
              </w:rPr>
            </w:pPr>
            <w:r>
              <w:rPr>
                <w:rFonts w:hint="eastAsia" w:ascii="宋体" w:hAnsi="宋体"/>
                <w:color w:val="auto"/>
                <w:sz w:val="24"/>
                <w:highlight w:val="none"/>
              </w:rPr>
              <w:t>第7.1款</w:t>
            </w:r>
          </w:p>
        </w:tc>
        <w:tc>
          <w:tcPr>
            <w:tcW w:w="1905" w:type="dxa"/>
            <w:vAlign w:val="center"/>
          </w:tcPr>
          <w:p w14:paraId="495BB5DC">
            <w:pPr>
              <w:jc w:val="left"/>
              <w:rPr>
                <w:rFonts w:ascii="宋体" w:hAnsi="宋体"/>
                <w:color w:val="auto"/>
                <w:sz w:val="24"/>
                <w:highlight w:val="none"/>
              </w:rPr>
            </w:pPr>
            <w:r>
              <w:rPr>
                <w:rFonts w:hint="eastAsia" w:ascii="宋体" w:hAnsi="宋体"/>
                <w:color w:val="auto"/>
                <w:sz w:val="24"/>
                <w:highlight w:val="none"/>
              </w:rPr>
              <w:t>包装特殊要求</w:t>
            </w:r>
          </w:p>
        </w:tc>
        <w:tc>
          <w:tcPr>
            <w:tcW w:w="4606" w:type="dxa"/>
            <w:vAlign w:val="center"/>
          </w:tcPr>
          <w:p w14:paraId="74101E3E">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rPr>
                <w:color w:val="auto"/>
                <w:sz w:val="24"/>
                <w:highlight w:val="none"/>
              </w:rPr>
            </w:pPr>
            <w:r>
              <w:rPr>
                <w:rFonts w:hint="eastAsia"/>
                <w:color w:val="auto"/>
                <w:sz w:val="24"/>
                <w:highlight w:val="none"/>
              </w:rPr>
              <w:t>1.商品包装层数不得超过3 层，空隙率不大于40%；</w:t>
            </w:r>
          </w:p>
          <w:p w14:paraId="387738A3">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6477CD4B">
            <w:pPr>
              <w:rPr>
                <w:color w:val="auto"/>
                <w:sz w:val="24"/>
                <w:highlight w:val="none"/>
              </w:rPr>
            </w:pPr>
            <w:r>
              <w:rPr>
                <w:rFonts w:hint="eastAsia"/>
                <w:color w:val="auto"/>
                <w:sz w:val="24"/>
                <w:highlight w:val="none"/>
              </w:rPr>
              <w:t>3.商品包装中铅、汞、镉、六价铬的总含量应不大于100mg/kg；</w:t>
            </w:r>
          </w:p>
          <w:p w14:paraId="3496C316">
            <w:pPr>
              <w:rPr>
                <w:color w:val="auto"/>
                <w:sz w:val="24"/>
                <w:highlight w:val="none"/>
              </w:rPr>
            </w:pPr>
            <w:r>
              <w:rPr>
                <w:rFonts w:hint="eastAsia"/>
                <w:color w:val="auto"/>
                <w:sz w:val="24"/>
                <w:highlight w:val="none"/>
              </w:rPr>
              <w:t>4.商品包装印刷使用的油墨中挥发性有机化合物(VOCs)含量应不大于 5%（以重量计）；</w:t>
            </w:r>
          </w:p>
          <w:p w14:paraId="0EC40190">
            <w:pPr>
              <w:rPr>
                <w:color w:val="auto"/>
                <w:sz w:val="24"/>
                <w:highlight w:val="none"/>
              </w:rPr>
            </w:pPr>
            <w:r>
              <w:rPr>
                <w:rFonts w:hint="eastAsia"/>
                <w:color w:val="auto"/>
                <w:sz w:val="24"/>
                <w:highlight w:val="none"/>
              </w:rPr>
              <w:t>5.塑料材质商品包装上呈现的印刷颜色不得超过6色；</w:t>
            </w:r>
          </w:p>
          <w:p w14:paraId="595D9F1C">
            <w:pPr>
              <w:rPr>
                <w:color w:val="auto"/>
                <w:sz w:val="24"/>
                <w:highlight w:val="none"/>
              </w:rPr>
            </w:pPr>
            <w:r>
              <w:rPr>
                <w:rFonts w:hint="eastAsia"/>
                <w:color w:val="auto"/>
                <w:sz w:val="24"/>
                <w:highlight w:val="none"/>
              </w:rPr>
              <w:t>6.纸质商品包装应使用75%以上的可再生纤维原料生产；</w:t>
            </w:r>
          </w:p>
          <w:p w14:paraId="3A0CE1BA">
            <w:pPr>
              <w:rPr>
                <w:color w:val="auto"/>
                <w:sz w:val="24"/>
                <w:highlight w:val="none"/>
              </w:rPr>
            </w:pPr>
            <w:r>
              <w:rPr>
                <w:rFonts w:hint="eastAsia"/>
                <w:color w:val="auto"/>
                <w:sz w:val="24"/>
                <w:highlight w:val="none"/>
              </w:rPr>
              <w:t>7.木质商品包装的原料应来源于可持续性森林。</w:t>
            </w:r>
          </w:p>
          <w:p w14:paraId="3B890B7D">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C23F84C">
            <w:pPr>
              <w:rPr>
                <w:color w:val="auto"/>
                <w:sz w:val="24"/>
                <w:highlight w:val="none"/>
              </w:rPr>
            </w:pPr>
            <w:r>
              <w:rPr>
                <w:rFonts w:hint="eastAsia"/>
                <w:color w:val="auto"/>
                <w:sz w:val="24"/>
                <w:highlight w:val="none"/>
              </w:rPr>
              <w:t>9每件包装箱内应附一份详细装箱单和质量合格凭证。</w:t>
            </w:r>
          </w:p>
          <w:p w14:paraId="473D33DF">
            <w:pPr>
              <w:rPr>
                <w:color w:val="auto"/>
                <w:sz w:val="24"/>
                <w:highlight w:val="none"/>
              </w:rPr>
            </w:pP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2008" w:type="dxa"/>
            <w:vMerge w:val="continue"/>
            <w:vAlign w:val="center"/>
          </w:tcPr>
          <w:p w14:paraId="11407397">
            <w:pPr>
              <w:jc w:val="center"/>
              <w:rPr>
                <w:rFonts w:ascii="宋体" w:hAnsi="宋体"/>
                <w:color w:val="auto"/>
                <w:sz w:val="24"/>
                <w:highlight w:val="none"/>
              </w:rPr>
            </w:pPr>
          </w:p>
        </w:tc>
        <w:tc>
          <w:tcPr>
            <w:tcW w:w="1905" w:type="dxa"/>
            <w:vAlign w:val="center"/>
          </w:tcPr>
          <w:p w14:paraId="75870E25">
            <w:pPr>
              <w:jc w:val="left"/>
              <w:rPr>
                <w:rFonts w:ascii="宋体" w:hAnsi="宋体"/>
                <w:color w:val="auto"/>
                <w:sz w:val="24"/>
                <w:highlight w:val="none"/>
              </w:rPr>
            </w:pPr>
            <w:r>
              <w:rPr>
                <w:rFonts w:hint="eastAsia" w:ascii="宋体" w:hAnsi="宋体"/>
                <w:color w:val="auto"/>
                <w:sz w:val="24"/>
                <w:highlight w:val="none"/>
              </w:rPr>
              <w:t>指定现场</w:t>
            </w:r>
          </w:p>
        </w:tc>
        <w:tc>
          <w:tcPr>
            <w:tcW w:w="4606" w:type="dxa"/>
            <w:vAlign w:val="center"/>
          </w:tcPr>
          <w:p w14:paraId="3C7A5F63">
            <w:pPr>
              <w:jc w:val="left"/>
              <w:rPr>
                <w:color w:val="auto"/>
                <w:sz w:val="24"/>
                <w:highlight w:val="none"/>
              </w:rPr>
            </w:pPr>
            <w:r>
              <w:rPr>
                <w:rFonts w:hint="eastAsia"/>
                <w:color w:val="auto"/>
                <w:sz w:val="24"/>
                <w:highlight w:val="none"/>
              </w:rPr>
              <w:t>采购人指定地点</w:t>
            </w: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2008" w:type="dxa"/>
            <w:vAlign w:val="center"/>
          </w:tcPr>
          <w:p w14:paraId="3CA13BD7">
            <w:pPr>
              <w:jc w:val="center"/>
              <w:rPr>
                <w:rFonts w:ascii="宋体" w:hAnsi="宋体"/>
                <w:color w:val="auto"/>
                <w:sz w:val="24"/>
                <w:highlight w:val="none"/>
              </w:rPr>
            </w:pPr>
            <w:r>
              <w:rPr>
                <w:rFonts w:hint="eastAsia" w:ascii="宋体" w:hAnsi="宋体"/>
                <w:color w:val="auto"/>
                <w:sz w:val="24"/>
                <w:highlight w:val="none"/>
              </w:rPr>
              <w:t>第二节</w:t>
            </w:r>
          </w:p>
          <w:p w14:paraId="3FBF24C9">
            <w:pPr>
              <w:jc w:val="center"/>
              <w:rPr>
                <w:rFonts w:ascii="宋体" w:hAnsi="宋体"/>
                <w:color w:val="auto"/>
                <w:sz w:val="24"/>
                <w:highlight w:val="none"/>
              </w:rPr>
            </w:pPr>
            <w:r>
              <w:rPr>
                <w:rFonts w:hint="eastAsia" w:ascii="宋体" w:hAnsi="宋体"/>
                <w:color w:val="auto"/>
                <w:sz w:val="24"/>
                <w:highlight w:val="none"/>
              </w:rPr>
              <w:t>第7.2款</w:t>
            </w:r>
          </w:p>
        </w:tc>
        <w:tc>
          <w:tcPr>
            <w:tcW w:w="1905" w:type="dxa"/>
            <w:vAlign w:val="center"/>
          </w:tcPr>
          <w:p w14:paraId="7936F644">
            <w:pPr>
              <w:jc w:val="left"/>
              <w:rPr>
                <w:rFonts w:ascii="宋体" w:hAnsi="宋体"/>
                <w:color w:val="auto"/>
                <w:sz w:val="24"/>
                <w:highlight w:val="none"/>
              </w:rPr>
            </w:pPr>
            <w:r>
              <w:rPr>
                <w:rFonts w:hint="eastAsia" w:ascii="宋体" w:hAnsi="宋体"/>
                <w:color w:val="auto"/>
                <w:sz w:val="24"/>
                <w:highlight w:val="none"/>
              </w:rPr>
              <w:t>运输特殊要求</w:t>
            </w:r>
          </w:p>
        </w:tc>
        <w:tc>
          <w:tcPr>
            <w:tcW w:w="4606" w:type="dxa"/>
            <w:vAlign w:val="center"/>
          </w:tcPr>
          <w:p w14:paraId="1FC4FAC1">
            <w:pPr>
              <w:rPr>
                <w:color w:val="auto"/>
                <w:sz w:val="24"/>
                <w:highlight w:val="none"/>
              </w:rPr>
            </w:pPr>
            <w:r>
              <w:rPr>
                <w:rFonts w:hint="eastAsia"/>
                <w:color w:val="auto"/>
                <w:sz w:val="24"/>
                <w:highlight w:val="none"/>
              </w:rPr>
              <w:t>1.货物验收合格、交付使用并提供所需单据的日期视为交货日期。</w:t>
            </w:r>
          </w:p>
          <w:p w14:paraId="78CA1EE4">
            <w:pPr>
              <w:pStyle w:val="15"/>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08A617A2">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319A00DC">
            <w:pPr>
              <w:pStyle w:val="15"/>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2008" w:type="dxa"/>
            <w:vAlign w:val="center"/>
          </w:tcPr>
          <w:p w14:paraId="1EF2B122">
            <w:pPr>
              <w:jc w:val="center"/>
              <w:rPr>
                <w:rFonts w:ascii="宋体" w:hAnsi="宋体"/>
                <w:color w:val="auto"/>
                <w:sz w:val="24"/>
                <w:highlight w:val="none"/>
              </w:rPr>
            </w:pPr>
            <w:r>
              <w:rPr>
                <w:rFonts w:hint="eastAsia" w:ascii="宋体" w:hAnsi="宋体"/>
                <w:color w:val="auto"/>
                <w:sz w:val="24"/>
                <w:highlight w:val="none"/>
              </w:rPr>
              <w:t>第二节</w:t>
            </w:r>
          </w:p>
          <w:p w14:paraId="46D0D0B9">
            <w:pPr>
              <w:jc w:val="center"/>
              <w:rPr>
                <w:rFonts w:ascii="宋体" w:hAnsi="宋体"/>
                <w:color w:val="auto"/>
                <w:sz w:val="24"/>
                <w:highlight w:val="none"/>
              </w:rPr>
            </w:pPr>
            <w:r>
              <w:rPr>
                <w:rFonts w:hint="eastAsia" w:ascii="宋体" w:hAnsi="宋体"/>
                <w:color w:val="auto"/>
                <w:sz w:val="24"/>
                <w:highlight w:val="none"/>
              </w:rPr>
              <w:t>第7.3款</w:t>
            </w:r>
          </w:p>
        </w:tc>
        <w:tc>
          <w:tcPr>
            <w:tcW w:w="1905" w:type="dxa"/>
            <w:vAlign w:val="center"/>
          </w:tcPr>
          <w:p w14:paraId="33FD0602">
            <w:pPr>
              <w:jc w:val="left"/>
              <w:rPr>
                <w:rFonts w:ascii="宋体" w:hAnsi="宋体"/>
                <w:color w:val="auto"/>
                <w:sz w:val="24"/>
                <w:highlight w:val="none"/>
              </w:rPr>
            </w:pPr>
            <w:r>
              <w:rPr>
                <w:rFonts w:hint="eastAsia" w:ascii="宋体" w:hAnsi="宋体"/>
                <w:color w:val="auto"/>
                <w:sz w:val="24"/>
                <w:highlight w:val="none"/>
              </w:rPr>
              <w:t>保险要求</w:t>
            </w:r>
          </w:p>
        </w:tc>
        <w:tc>
          <w:tcPr>
            <w:tcW w:w="4606" w:type="dxa"/>
            <w:vAlign w:val="center"/>
          </w:tcPr>
          <w:p w14:paraId="476F8F01">
            <w:pPr>
              <w:rPr>
                <w:color w:val="auto"/>
                <w:sz w:val="24"/>
                <w:highlight w:val="none"/>
              </w:rPr>
            </w:pPr>
            <w:r>
              <w:rPr>
                <w:color w:val="auto"/>
                <w:sz w:val="24"/>
                <w:highlight w:val="none"/>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204211BD">
            <w:pPr>
              <w:jc w:val="center"/>
              <w:rPr>
                <w:rFonts w:ascii="宋体" w:hAnsi="宋体"/>
                <w:color w:val="auto"/>
                <w:sz w:val="24"/>
                <w:highlight w:val="none"/>
              </w:rPr>
            </w:pPr>
            <w:r>
              <w:rPr>
                <w:rFonts w:hint="eastAsia" w:ascii="宋体" w:hAnsi="宋体"/>
                <w:color w:val="auto"/>
                <w:sz w:val="24"/>
                <w:highlight w:val="none"/>
              </w:rPr>
              <w:t>第二节</w:t>
            </w:r>
          </w:p>
          <w:p w14:paraId="383EE93B">
            <w:pPr>
              <w:jc w:val="center"/>
              <w:rPr>
                <w:rFonts w:ascii="宋体" w:hAnsi="宋体"/>
                <w:color w:val="auto"/>
                <w:sz w:val="24"/>
                <w:highlight w:val="none"/>
              </w:rPr>
            </w:pPr>
            <w:r>
              <w:rPr>
                <w:rFonts w:hint="eastAsia" w:ascii="宋体" w:hAnsi="宋体"/>
                <w:color w:val="auto"/>
                <w:sz w:val="24"/>
                <w:highlight w:val="none"/>
              </w:rPr>
              <w:t>第8.2（1）项</w:t>
            </w:r>
          </w:p>
        </w:tc>
        <w:tc>
          <w:tcPr>
            <w:tcW w:w="1905" w:type="dxa"/>
            <w:vAlign w:val="center"/>
          </w:tcPr>
          <w:p w14:paraId="4BE97693">
            <w:pPr>
              <w:jc w:val="left"/>
              <w:rPr>
                <w:rFonts w:ascii="宋体" w:hAnsi="宋体"/>
                <w:color w:val="auto"/>
                <w:sz w:val="24"/>
                <w:highlight w:val="none"/>
              </w:rPr>
            </w:pPr>
            <w:r>
              <w:rPr>
                <w:rFonts w:hint="eastAsia" w:ascii="宋体" w:hAnsi="宋体"/>
                <w:color w:val="auto"/>
                <w:sz w:val="24"/>
                <w:highlight w:val="none"/>
              </w:rPr>
              <w:t>质量保证期</w:t>
            </w:r>
          </w:p>
        </w:tc>
        <w:tc>
          <w:tcPr>
            <w:tcW w:w="4606" w:type="dxa"/>
            <w:vAlign w:val="center"/>
          </w:tcPr>
          <w:p w14:paraId="1FADC72D">
            <w:pPr>
              <w:pStyle w:val="8"/>
              <w:spacing w:before="120" w:beforeAutospacing="0" w:after="120" w:afterAutospacing="0"/>
              <w:ind w:left="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rPr>
              <w:t xml:space="preserve">  1 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自交货验收合格之日起计），因人为因素出现的故障不在免费保修范围内。超过保修期的机器设备，终身维修，维修时只收部件成本费。</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0885F93D">
            <w:pPr>
              <w:jc w:val="center"/>
              <w:rPr>
                <w:rFonts w:ascii="宋体" w:hAnsi="宋体"/>
                <w:color w:val="auto"/>
                <w:sz w:val="24"/>
                <w:highlight w:val="none"/>
              </w:rPr>
            </w:pPr>
            <w:r>
              <w:rPr>
                <w:rFonts w:hint="eastAsia" w:ascii="宋体" w:hAnsi="宋体"/>
                <w:color w:val="auto"/>
                <w:sz w:val="24"/>
                <w:highlight w:val="none"/>
              </w:rPr>
              <w:t>第二节</w:t>
            </w:r>
          </w:p>
          <w:p w14:paraId="04C0F63F">
            <w:pPr>
              <w:jc w:val="center"/>
              <w:rPr>
                <w:rFonts w:ascii="宋体" w:hAnsi="宋体"/>
                <w:color w:val="auto"/>
                <w:sz w:val="24"/>
                <w:highlight w:val="none"/>
              </w:rPr>
            </w:pPr>
            <w:r>
              <w:rPr>
                <w:rFonts w:hint="eastAsia" w:ascii="宋体" w:hAnsi="宋体"/>
                <w:color w:val="auto"/>
                <w:sz w:val="24"/>
                <w:highlight w:val="none"/>
              </w:rPr>
              <w:t>第8.2（3）项</w:t>
            </w:r>
          </w:p>
        </w:tc>
        <w:tc>
          <w:tcPr>
            <w:tcW w:w="1905" w:type="dxa"/>
            <w:vAlign w:val="center"/>
          </w:tcPr>
          <w:p w14:paraId="42CE12CC">
            <w:pPr>
              <w:jc w:val="left"/>
              <w:rPr>
                <w:rFonts w:ascii="宋体" w:hAnsi="宋体"/>
                <w:color w:val="auto"/>
                <w:sz w:val="24"/>
                <w:highlight w:val="none"/>
              </w:rPr>
            </w:pPr>
            <w:r>
              <w:rPr>
                <w:rFonts w:hint="eastAsia" w:ascii="宋体" w:hAnsi="宋体"/>
                <w:color w:val="auto"/>
                <w:sz w:val="24"/>
                <w:highlight w:val="none"/>
              </w:rPr>
              <w:t>货物质量缺陷</w:t>
            </w:r>
          </w:p>
          <w:p w14:paraId="7F5F11D3">
            <w:pPr>
              <w:jc w:val="left"/>
              <w:rPr>
                <w:rFonts w:ascii="宋体" w:hAnsi="宋体"/>
                <w:color w:val="auto"/>
                <w:sz w:val="24"/>
                <w:highlight w:val="none"/>
              </w:rPr>
            </w:pPr>
            <w:r>
              <w:rPr>
                <w:rFonts w:hint="eastAsia" w:ascii="宋体" w:hAnsi="宋体"/>
                <w:color w:val="auto"/>
                <w:sz w:val="24"/>
                <w:highlight w:val="none"/>
              </w:rPr>
              <w:t>响应时间</w:t>
            </w:r>
          </w:p>
        </w:tc>
        <w:tc>
          <w:tcPr>
            <w:tcW w:w="4606" w:type="dxa"/>
            <w:vAlign w:val="center"/>
          </w:tcPr>
          <w:p w14:paraId="3F9EED50">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如在使用过程中发生质量问题，乙方在接到甲方通知后在24小时内到达甲方现场。</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31F22A20">
            <w:pPr>
              <w:jc w:val="center"/>
              <w:rPr>
                <w:rFonts w:ascii="宋体" w:hAnsi="宋体"/>
                <w:color w:val="auto"/>
                <w:sz w:val="24"/>
                <w:highlight w:val="none"/>
              </w:rPr>
            </w:pPr>
            <w:r>
              <w:rPr>
                <w:rFonts w:hint="eastAsia" w:ascii="宋体" w:hAnsi="宋体"/>
                <w:color w:val="auto"/>
                <w:sz w:val="24"/>
                <w:highlight w:val="none"/>
              </w:rPr>
              <w:t>第二节</w:t>
            </w:r>
          </w:p>
          <w:p w14:paraId="2DBDB4F8">
            <w:pPr>
              <w:jc w:val="center"/>
              <w:rPr>
                <w:rFonts w:ascii="宋体" w:hAnsi="宋体"/>
                <w:color w:val="auto"/>
                <w:sz w:val="24"/>
                <w:highlight w:val="none"/>
              </w:rPr>
            </w:pPr>
            <w:r>
              <w:rPr>
                <w:rFonts w:hint="eastAsia" w:ascii="宋体" w:hAnsi="宋体"/>
                <w:color w:val="auto"/>
                <w:sz w:val="24"/>
                <w:highlight w:val="none"/>
              </w:rPr>
              <w:t>第8款补充</w:t>
            </w:r>
          </w:p>
        </w:tc>
        <w:tc>
          <w:tcPr>
            <w:tcW w:w="1905" w:type="dxa"/>
            <w:vAlign w:val="center"/>
          </w:tcPr>
          <w:p w14:paraId="46D5EF70">
            <w:pPr>
              <w:jc w:val="left"/>
              <w:rPr>
                <w:rFonts w:ascii="宋体" w:hAnsi="宋体"/>
                <w:color w:val="auto"/>
                <w:sz w:val="24"/>
                <w:highlight w:val="none"/>
              </w:rPr>
            </w:pPr>
            <w:r>
              <w:rPr>
                <w:rFonts w:hint="eastAsia" w:ascii="宋体" w:hAnsi="宋体"/>
                <w:color w:val="auto"/>
                <w:sz w:val="24"/>
                <w:highlight w:val="none"/>
              </w:rPr>
              <w:t>质量保证要求</w:t>
            </w:r>
          </w:p>
        </w:tc>
        <w:tc>
          <w:tcPr>
            <w:tcW w:w="4606" w:type="dxa"/>
            <w:vAlign w:val="center"/>
          </w:tcPr>
          <w:p w14:paraId="45CC46F8">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494108AC">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7C9B7C0B">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2FAB9C9F">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9FE9CA2">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pPr>
              <w:pStyle w:val="8"/>
              <w:spacing w:before="120" w:beforeAutospacing="0" w:after="120" w:afterAutospacing="0"/>
              <w:ind w:left="480"/>
              <w:rPr>
                <w:rFonts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7DC35717">
            <w:pPr>
              <w:jc w:val="center"/>
              <w:rPr>
                <w:rFonts w:ascii="宋体" w:hAnsi="宋体" w:cs="宋体"/>
                <w:color w:val="auto"/>
                <w:sz w:val="24"/>
                <w:highlight w:val="none"/>
              </w:rPr>
            </w:pPr>
            <w:r>
              <w:rPr>
                <w:rFonts w:hint="eastAsia" w:ascii="宋体" w:hAnsi="宋体" w:cs="宋体"/>
                <w:color w:val="auto"/>
                <w:sz w:val="24"/>
                <w:highlight w:val="none"/>
              </w:rPr>
              <w:t>第二节</w:t>
            </w:r>
          </w:p>
          <w:p w14:paraId="51757F06">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905" w:type="dxa"/>
            <w:vAlign w:val="center"/>
          </w:tcPr>
          <w:p w14:paraId="6D85F404">
            <w:pPr>
              <w:rPr>
                <w:rFonts w:ascii="宋体" w:hAnsi="宋体"/>
                <w:color w:val="auto"/>
                <w:sz w:val="24"/>
                <w:highlight w:val="none"/>
              </w:rPr>
            </w:pPr>
            <w:r>
              <w:rPr>
                <w:rFonts w:hint="eastAsia" w:ascii="宋体" w:hAnsi="宋体"/>
                <w:color w:val="auto"/>
                <w:sz w:val="24"/>
                <w:highlight w:val="none"/>
              </w:rPr>
              <w:t>其他应当保密的信息</w:t>
            </w:r>
          </w:p>
        </w:tc>
        <w:tc>
          <w:tcPr>
            <w:tcW w:w="4606" w:type="dxa"/>
            <w:vAlign w:val="center"/>
          </w:tcPr>
          <w:p w14:paraId="7C189016">
            <w:pPr>
              <w:jc w:val="left"/>
              <w:rPr>
                <w:rFonts w:ascii="宋体" w:hAnsi="宋体"/>
                <w:color w:val="auto"/>
                <w:sz w:val="24"/>
                <w:highlight w:val="none"/>
              </w:rPr>
            </w:pPr>
            <w:r>
              <w:rPr>
                <w:rFonts w:hint="eastAsia" w:ascii="宋体" w:hAnsi="宋体"/>
                <w:color w:val="auto"/>
                <w:sz w:val="24"/>
                <w:highlight w:val="none"/>
              </w:rPr>
              <w:t>/</w:t>
            </w: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2008" w:type="dxa"/>
            <w:vAlign w:val="center"/>
          </w:tcPr>
          <w:p w14:paraId="35D7CABF">
            <w:pPr>
              <w:jc w:val="center"/>
              <w:rPr>
                <w:rFonts w:ascii="宋体" w:hAnsi="宋体"/>
                <w:color w:val="auto"/>
                <w:sz w:val="24"/>
                <w:highlight w:val="none"/>
              </w:rPr>
            </w:pPr>
            <w:r>
              <w:rPr>
                <w:rFonts w:hint="eastAsia" w:ascii="宋体" w:hAnsi="宋体"/>
                <w:color w:val="auto"/>
                <w:sz w:val="24"/>
                <w:highlight w:val="none"/>
              </w:rPr>
              <w:t>第二节</w:t>
            </w:r>
          </w:p>
          <w:p w14:paraId="16A20679">
            <w:pPr>
              <w:jc w:val="center"/>
              <w:rPr>
                <w:rFonts w:ascii="宋体" w:hAnsi="宋体"/>
                <w:color w:val="auto"/>
                <w:sz w:val="24"/>
                <w:highlight w:val="none"/>
              </w:rPr>
            </w:pPr>
            <w:r>
              <w:rPr>
                <w:rFonts w:hint="eastAsia" w:ascii="宋体" w:hAnsi="宋体"/>
                <w:color w:val="auto"/>
                <w:sz w:val="24"/>
                <w:highlight w:val="none"/>
              </w:rPr>
              <w:t>第12.2款</w:t>
            </w:r>
          </w:p>
        </w:tc>
        <w:tc>
          <w:tcPr>
            <w:tcW w:w="1905" w:type="dxa"/>
            <w:vAlign w:val="center"/>
          </w:tcPr>
          <w:p w14:paraId="1139BEB9">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4606" w:type="dxa"/>
            <w:vAlign w:val="center"/>
          </w:tcPr>
          <w:p w14:paraId="4BFA46F1">
            <w:pPr>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504301F9">
            <w:pPr>
              <w:jc w:val="left"/>
              <w:rPr>
                <w:color w:val="auto"/>
                <w:highlight w:val="none"/>
              </w:rPr>
            </w:pPr>
            <w:r>
              <w:rPr>
                <w:rFonts w:hint="eastAsia" w:ascii="宋体" w:hAnsi="宋体"/>
                <w:color w:val="auto"/>
                <w:sz w:val="24"/>
                <w:highlight w:val="none"/>
              </w:rPr>
              <w:t>本项目合同签订后中标单位申请预付合同金额的30%，全部供货完成并经验收合格后，采购方向中标单位一次性支付项目合同报酬剩余金额，具体进度以财政部门拨付为准。付款前乙方应向甲方开具正规发票，供货交接单，质量检验证书，甲方自收到发票后将资金支付至合同约定的乙方账户。如中标单位明确书面表示无需预付款或者主动要求降低预付款比例的，采购方可就预付款比例作相应调整。</w:t>
            </w:r>
          </w:p>
          <w:p w14:paraId="4190A3A6">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99F9E8">
            <w:pPr>
              <w:jc w:val="left"/>
              <w:rPr>
                <w:rFonts w:ascii="宋体" w:hAnsi="宋体"/>
                <w:color w:val="auto"/>
                <w:sz w:val="24"/>
                <w:highlight w:val="none"/>
              </w:rPr>
            </w:pPr>
            <w:r>
              <w:rPr>
                <w:rFonts w:hint="eastAsia" w:ascii="宋体" w:hAnsi="宋体"/>
                <w:color w:val="auto"/>
                <w:sz w:val="24"/>
                <w:highlight w:val="none"/>
              </w:rPr>
              <w:t>(1) 发票；</w:t>
            </w:r>
          </w:p>
          <w:p w14:paraId="3B1EE85B">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00AA84D1">
            <w:pPr>
              <w:jc w:val="left"/>
              <w:rPr>
                <w:rFonts w:ascii="宋体" w:hAnsi="宋体"/>
                <w:color w:val="auto"/>
                <w:sz w:val="24"/>
                <w:highlight w:val="none"/>
              </w:rPr>
            </w:pPr>
            <w:r>
              <w:rPr>
                <w:rFonts w:hint="eastAsia" w:ascii="宋体" w:hAnsi="宋体"/>
                <w:color w:val="auto"/>
                <w:sz w:val="24"/>
                <w:highlight w:val="none"/>
              </w:rPr>
              <w:t>(3) 装箱单；</w:t>
            </w:r>
          </w:p>
          <w:p w14:paraId="3FDF0A7F">
            <w:pPr>
              <w:jc w:val="left"/>
              <w:rPr>
                <w:color w:val="auto"/>
                <w:sz w:val="24"/>
                <w:highlight w:val="none"/>
              </w:rPr>
            </w:pPr>
            <w:r>
              <w:rPr>
                <w:rFonts w:hint="eastAsia" w:ascii="宋体" w:hAnsi="宋体"/>
                <w:color w:val="auto"/>
                <w:sz w:val="24"/>
                <w:highlight w:val="none"/>
              </w:rPr>
              <w:t>(4) 甲方加盖公章证明交付使用合格的验收单。</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2008" w:type="dxa"/>
            <w:vAlign w:val="center"/>
          </w:tcPr>
          <w:p w14:paraId="08E5929B">
            <w:pPr>
              <w:jc w:val="center"/>
              <w:rPr>
                <w:rFonts w:ascii="宋体" w:hAnsi="宋体"/>
                <w:color w:val="auto"/>
                <w:sz w:val="24"/>
                <w:highlight w:val="none"/>
              </w:rPr>
            </w:pPr>
            <w:r>
              <w:rPr>
                <w:rFonts w:hint="eastAsia" w:ascii="宋体" w:hAnsi="宋体"/>
                <w:color w:val="auto"/>
                <w:sz w:val="24"/>
                <w:highlight w:val="none"/>
              </w:rPr>
              <w:t>第二节</w:t>
            </w:r>
          </w:p>
          <w:p w14:paraId="3FED0502">
            <w:pPr>
              <w:jc w:val="center"/>
              <w:rPr>
                <w:rFonts w:ascii="宋体" w:hAnsi="宋体"/>
                <w:color w:val="auto"/>
                <w:sz w:val="24"/>
                <w:highlight w:val="none"/>
              </w:rPr>
            </w:pPr>
            <w:r>
              <w:rPr>
                <w:rFonts w:hint="eastAsia" w:ascii="宋体" w:hAnsi="宋体"/>
                <w:color w:val="auto"/>
                <w:sz w:val="24"/>
                <w:highlight w:val="none"/>
              </w:rPr>
              <w:t>第13.2款</w:t>
            </w:r>
          </w:p>
        </w:tc>
        <w:tc>
          <w:tcPr>
            <w:tcW w:w="1905" w:type="dxa"/>
            <w:vAlign w:val="center"/>
          </w:tcPr>
          <w:p w14:paraId="72E778AF">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4606" w:type="dxa"/>
            <w:vAlign w:val="center"/>
          </w:tcPr>
          <w:p w14:paraId="238CE202">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19C6A525">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49BE2640">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604FB7B9">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43E4DC3A">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（4）中标人采取欺骗、弄虚作假方式投标的或与其他投标人串通投标的；</w:t>
            </w:r>
          </w:p>
          <w:p w14:paraId="4AF25C80">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6F3DF6F3">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4BD64B87">
            <w:pPr>
              <w:jc w:val="center"/>
              <w:rPr>
                <w:rFonts w:ascii="宋体" w:hAnsi="宋体"/>
                <w:color w:val="auto"/>
                <w:sz w:val="24"/>
                <w:highlight w:val="none"/>
              </w:rPr>
            </w:pPr>
            <w:r>
              <w:rPr>
                <w:rFonts w:hint="eastAsia" w:ascii="宋体" w:hAnsi="宋体"/>
                <w:color w:val="auto"/>
                <w:sz w:val="24"/>
                <w:highlight w:val="none"/>
              </w:rPr>
              <w:t>第二节</w:t>
            </w:r>
          </w:p>
          <w:p w14:paraId="011BE725">
            <w:pPr>
              <w:jc w:val="center"/>
              <w:rPr>
                <w:rFonts w:ascii="宋体" w:hAnsi="宋体"/>
                <w:color w:val="auto"/>
                <w:sz w:val="24"/>
                <w:highlight w:val="none"/>
              </w:rPr>
            </w:pPr>
            <w:r>
              <w:rPr>
                <w:rFonts w:hint="eastAsia" w:ascii="宋体" w:hAnsi="宋体"/>
                <w:color w:val="auto"/>
                <w:sz w:val="24"/>
                <w:highlight w:val="none"/>
              </w:rPr>
              <w:t>第13.3款</w:t>
            </w:r>
          </w:p>
        </w:tc>
        <w:tc>
          <w:tcPr>
            <w:tcW w:w="1905" w:type="dxa"/>
            <w:vAlign w:val="center"/>
          </w:tcPr>
          <w:p w14:paraId="6B44986A">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4606" w:type="dxa"/>
            <w:vAlign w:val="center"/>
          </w:tcPr>
          <w:p w14:paraId="2207DA2E">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54183D35">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68044E18">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27B602B1">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1B3C07D8">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2008" w:type="dxa"/>
            <w:vAlign w:val="center"/>
          </w:tcPr>
          <w:p w14:paraId="0AA02156">
            <w:pPr>
              <w:jc w:val="center"/>
              <w:rPr>
                <w:rFonts w:ascii="宋体" w:hAnsi="宋体"/>
                <w:color w:val="auto"/>
                <w:sz w:val="24"/>
                <w:highlight w:val="none"/>
              </w:rPr>
            </w:pPr>
            <w:r>
              <w:rPr>
                <w:rFonts w:hint="eastAsia" w:ascii="宋体" w:hAnsi="宋体"/>
                <w:color w:val="auto"/>
                <w:sz w:val="24"/>
                <w:highlight w:val="none"/>
              </w:rPr>
              <w:t>第二节</w:t>
            </w:r>
          </w:p>
          <w:p w14:paraId="431CD95F">
            <w:pPr>
              <w:jc w:val="center"/>
              <w:rPr>
                <w:rFonts w:ascii="宋体" w:hAnsi="宋体"/>
                <w:color w:val="auto"/>
                <w:sz w:val="24"/>
                <w:highlight w:val="none"/>
              </w:rPr>
            </w:pPr>
            <w:r>
              <w:rPr>
                <w:rFonts w:hint="eastAsia" w:ascii="宋体" w:hAnsi="宋体"/>
                <w:color w:val="auto"/>
                <w:sz w:val="24"/>
                <w:highlight w:val="none"/>
              </w:rPr>
              <w:t>第14.1（3）项</w:t>
            </w:r>
          </w:p>
        </w:tc>
        <w:tc>
          <w:tcPr>
            <w:tcW w:w="1905" w:type="dxa"/>
            <w:vAlign w:val="center"/>
          </w:tcPr>
          <w:p w14:paraId="01956E66">
            <w:pPr>
              <w:jc w:val="left"/>
              <w:rPr>
                <w:rFonts w:ascii="宋体" w:hAnsi="宋体"/>
                <w:color w:val="auto"/>
                <w:sz w:val="24"/>
                <w:highlight w:val="none"/>
              </w:rPr>
            </w:pPr>
            <w:r>
              <w:rPr>
                <w:rFonts w:hint="eastAsia" w:ascii="宋体" w:hAnsi="宋体"/>
                <w:color w:val="auto"/>
                <w:sz w:val="24"/>
                <w:highlight w:val="none"/>
              </w:rPr>
              <w:t>运行监督、维修期限</w:t>
            </w:r>
          </w:p>
        </w:tc>
        <w:tc>
          <w:tcPr>
            <w:tcW w:w="4606" w:type="dxa"/>
            <w:vAlign w:val="center"/>
          </w:tcPr>
          <w:p w14:paraId="60A01980">
            <w:pPr>
              <w:jc w:val="left"/>
              <w:rPr>
                <w:rFonts w:ascii="宋体" w:hAnsi="宋体"/>
                <w:color w:val="auto"/>
                <w:sz w:val="24"/>
                <w:highlight w:val="none"/>
              </w:rPr>
            </w:pP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2008" w:type="dxa"/>
            <w:vAlign w:val="center"/>
          </w:tcPr>
          <w:p w14:paraId="74710697">
            <w:pPr>
              <w:jc w:val="center"/>
              <w:rPr>
                <w:rFonts w:ascii="宋体" w:hAnsi="宋体"/>
                <w:color w:val="auto"/>
                <w:sz w:val="24"/>
                <w:highlight w:val="none"/>
              </w:rPr>
            </w:pPr>
            <w:r>
              <w:rPr>
                <w:rFonts w:hint="eastAsia" w:ascii="宋体" w:hAnsi="宋体"/>
                <w:color w:val="auto"/>
                <w:sz w:val="24"/>
                <w:highlight w:val="none"/>
              </w:rPr>
              <w:t>第二节</w:t>
            </w:r>
          </w:p>
          <w:p w14:paraId="491D79E6">
            <w:pPr>
              <w:jc w:val="center"/>
              <w:rPr>
                <w:rFonts w:ascii="宋体" w:hAnsi="宋体"/>
                <w:color w:val="auto"/>
                <w:sz w:val="24"/>
                <w:highlight w:val="none"/>
              </w:rPr>
            </w:pPr>
            <w:r>
              <w:rPr>
                <w:rFonts w:hint="eastAsia" w:ascii="宋体" w:hAnsi="宋体"/>
                <w:color w:val="auto"/>
                <w:sz w:val="24"/>
                <w:highlight w:val="none"/>
              </w:rPr>
              <w:t>第14.1（5）项</w:t>
            </w:r>
          </w:p>
        </w:tc>
        <w:tc>
          <w:tcPr>
            <w:tcW w:w="1905" w:type="dxa"/>
            <w:vAlign w:val="center"/>
          </w:tcPr>
          <w:p w14:paraId="23D25CD5">
            <w:pPr>
              <w:jc w:val="left"/>
              <w:rPr>
                <w:rFonts w:ascii="宋体" w:hAnsi="宋体"/>
                <w:color w:val="auto"/>
                <w:sz w:val="24"/>
                <w:highlight w:val="none"/>
              </w:rPr>
            </w:pPr>
            <w:r>
              <w:rPr>
                <w:rFonts w:hint="eastAsia" w:ascii="宋体" w:hAnsi="宋体"/>
                <w:color w:val="auto"/>
                <w:sz w:val="24"/>
                <w:highlight w:val="none"/>
              </w:rPr>
              <w:t>货物回收的约定</w:t>
            </w:r>
          </w:p>
        </w:tc>
        <w:tc>
          <w:tcPr>
            <w:tcW w:w="4606" w:type="dxa"/>
            <w:vAlign w:val="center"/>
          </w:tcPr>
          <w:p w14:paraId="23560B20">
            <w:pPr>
              <w:jc w:val="left"/>
              <w:rPr>
                <w:rFonts w:ascii="宋体" w:hAnsi="宋体"/>
                <w:color w:val="auto"/>
                <w:sz w:val="24"/>
                <w:highlight w:val="none"/>
              </w:rPr>
            </w:pP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6623D8A8">
            <w:pPr>
              <w:jc w:val="center"/>
              <w:rPr>
                <w:rFonts w:ascii="宋体" w:hAnsi="宋体"/>
                <w:color w:val="auto"/>
                <w:sz w:val="24"/>
                <w:highlight w:val="none"/>
              </w:rPr>
            </w:pPr>
            <w:r>
              <w:rPr>
                <w:rFonts w:hint="eastAsia" w:ascii="宋体" w:hAnsi="宋体"/>
                <w:color w:val="auto"/>
                <w:sz w:val="24"/>
                <w:highlight w:val="none"/>
              </w:rPr>
              <w:t>第二节</w:t>
            </w:r>
          </w:p>
          <w:p w14:paraId="72E9EA25">
            <w:pPr>
              <w:jc w:val="center"/>
              <w:rPr>
                <w:rFonts w:ascii="宋体" w:hAnsi="宋体"/>
                <w:color w:val="auto"/>
                <w:sz w:val="24"/>
                <w:highlight w:val="none"/>
              </w:rPr>
            </w:pPr>
            <w:r>
              <w:rPr>
                <w:rFonts w:hint="eastAsia" w:ascii="宋体" w:hAnsi="宋体"/>
                <w:color w:val="auto"/>
                <w:sz w:val="24"/>
                <w:highlight w:val="none"/>
              </w:rPr>
              <w:t>第14.1（6）项</w:t>
            </w:r>
          </w:p>
        </w:tc>
        <w:tc>
          <w:tcPr>
            <w:tcW w:w="1905" w:type="dxa"/>
            <w:vAlign w:val="center"/>
          </w:tcPr>
          <w:p w14:paraId="552C1E58">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4606" w:type="dxa"/>
            <w:vAlign w:val="center"/>
          </w:tcPr>
          <w:p w14:paraId="26BBD892">
            <w:pPr>
              <w:jc w:val="left"/>
              <w:rPr>
                <w:rFonts w:ascii="宋体" w:hAnsi="宋体"/>
                <w:color w:val="auto"/>
                <w:sz w:val="24"/>
                <w:highlight w:val="none"/>
              </w:rPr>
            </w:pP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7B07F1CE">
            <w:pPr>
              <w:jc w:val="center"/>
              <w:rPr>
                <w:rFonts w:ascii="宋体" w:hAnsi="宋体"/>
                <w:color w:val="auto"/>
                <w:sz w:val="24"/>
                <w:highlight w:val="none"/>
              </w:rPr>
            </w:pPr>
            <w:r>
              <w:rPr>
                <w:rFonts w:hint="eastAsia" w:ascii="宋体" w:hAnsi="宋体"/>
                <w:color w:val="auto"/>
                <w:sz w:val="24"/>
                <w:highlight w:val="none"/>
              </w:rPr>
              <w:t>第二节</w:t>
            </w:r>
          </w:p>
          <w:p w14:paraId="7E97F5B4">
            <w:pPr>
              <w:jc w:val="center"/>
              <w:rPr>
                <w:rFonts w:ascii="宋体" w:hAnsi="宋体"/>
                <w:color w:val="auto"/>
                <w:sz w:val="24"/>
                <w:highlight w:val="none"/>
              </w:rPr>
            </w:pPr>
            <w:r>
              <w:rPr>
                <w:rFonts w:hint="eastAsia" w:ascii="宋体" w:hAnsi="宋体"/>
                <w:color w:val="auto"/>
                <w:sz w:val="24"/>
                <w:highlight w:val="none"/>
              </w:rPr>
              <w:t>第15.1款</w:t>
            </w:r>
          </w:p>
        </w:tc>
        <w:tc>
          <w:tcPr>
            <w:tcW w:w="1905" w:type="dxa"/>
            <w:vAlign w:val="center"/>
          </w:tcPr>
          <w:p w14:paraId="25AF2A2A">
            <w:pPr>
              <w:jc w:val="left"/>
              <w:rPr>
                <w:rFonts w:ascii="宋体" w:hAnsi="宋体"/>
                <w:color w:val="auto"/>
                <w:sz w:val="24"/>
                <w:highlight w:val="none"/>
              </w:rPr>
            </w:pPr>
            <w:r>
              <w:rPr>
                <w:rFonts w:hint="eastAsia" w:ascii="宋体" w:hAnsi="宋体"/>
                <w:color w:val="auto"/>
                <w:sz w:val="24"/>
                <w:highlight w:val="none"/>
              </w:rPr>
              <w:t>修理、重做、更换相关具体规定</w:t>
            </w:r>
          </w:p>
        </w:tc>
        <w:tc>
          <w:tcPr>
            <w:tcW w:w="4606" w:type="dxa"/>
            <w:vAlign w:val="center"/>
          </w:tcPr>
          <w:p w14:paraId="76F02F76">
            <w:pPr>
              <w:numPr>
                <w:ilvl w:val="0"/>
                <w:numId w:val="8"/>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4BE6FA6C">
            <w:pPr>
              <w:numPr>
                <w:ilvl w:val="0"/>
                <w:numId w:val="8"/>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5D91DEBE">
            <w:pPr>
              <w:jc w:val="center"/>
              <w:rPr>
                <w:rFonts w:ascii="宋体" w:hAnsi="宋体"/>
                <w:color w:val="auto"/>
                <w:sz w:val="24"/>
                <w:highlight w:val="none"/>
              </w:rPr>
            </w:pPr>
            <w:r>
              <w:rPr>
                <w:rFonts w:hint="eastAsia" w:ascii="宋体" w:hAnsi="宋体"/>
                <w:color w:val="auto"/>
                <w:sz w:val="24"/>
                <w:highlight w:val="none"/>
              </w:rPr>
              <w:t>第二节</w:t>
            </w:r>
          </w:p>
          <w:p w14:paraId="33B0F0F5">
            <w:pPr>
              <w:jc w:val="center"/>
              <w:rPr>
                <w:rFonts w:ascii="宋体" w:hAnsi="宋体"/>
                <w:color w:val="auto"/>
                <w:sz w:val="24"/>
                <w:highlight w:val="none"/>
              </w:rPr>
            </w:pPr>
            <w:r>
              <w:rPr>
                <w:rFonts w:hint="eastAsia" w:ascii="宋体" w:hAnsi="宋体"/>
                <w:color w:val="auto"/>
                <w:sz w:val="24"/>
                <w:highlight w:val="none"/>
              </w:rPr>
              <w:t>第15.2（2）项</w:t>
            </w:r>
          </w:p>
        </w:tc>
        <w:tc>
          <w:tcPr>
            <w:tcW w:w="1905" w:type="dxa"/>
            <w:vAlign w:val="center"/>
          </w:tcPr>
          <w:p w14:paraId="74530CAE">
            <w:pPr>
              <w:jc w:val="left"/>
              <w:rPr>
                <w:rFonts w:ascii="宋体" w:hAnsi="宋体"/>
                <w:color w:val="auto"/>
                <w:sz w:val="24"/>
                <w:highlight w:val="none"/>
              </w:rPr>
            </w:pPr>
            <w:r>
              <w:rPr>
                <w:rFonts w:hint="eastAsia" w:ascii="宋体" w:hAnsi="宋体"/>
                <w:color w:val="auto"/>
                <w:sz w:val="24"/>
                <w:highlight w:val="none"/>
              </w:rPr>
              <w:t>迟延交货赔偿费</w:t>
            </w:r>
          </w:p>
        </w:tc>
        <w:tc>
          <w:tcPr>
            <w:tcW w:w="4606" w:type="dxa"/>
            <w:vAlign w:val="center"/>
          </w:tcPr>
          <w:p w14:paraId="0D63E011">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140761D5">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27AB95ED">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0.5%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10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5% </w:t>
            </w:r>
            <w:r>
              <w:rPr>
                <w:rFonts w:hint="eastAsia" w:ascii="宋体" w:hAnsi="宋体"/>
                <w:color w:val="auto"/>
                <w:sz w:val="24"/>
                <w:highlight w:val="none"/>
              </w:rPr>
              <w:t xml:space="preserve">的违约金，如造成甲方损失超过违约金的，超出部分由乙方继续承担赔偿责任。 </w:t>
            </w:r>
          </w:p>
          <w:p w14:paraId="3846EB5E">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5%   </w:t>
            </w:r>
            <w:r>
              <w:rPr>
                <w:rFonts w:hint="eastAsia" w:ascii="宋体" w:hAnsi="宋体"/>
                <w:color w:val="auto"/>
                <w:sz w:val="24"/>
                <w:highlight w:val="none"/>
              </w:rPr>
              <w:t>的滞纳金。</w:t>
            </w:r>
          </w:p>
          <w:p w14:paraId="52DB8F5F">
            <w:pPr>
              <w:jc w:val="left"/>
              <w:rPr>
                <w:rFonts w:ascii="宋体" w:hAnsi="宋体"/>
                <w:color w:val="auto"/>
                <w:sz w:val="24"/>
                <w:highlight w:val="none"/>
                <w:u w:val="single"/>
              </w:rPr>
            </w:pP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2008" w:type="dxa"/>
            <w:vAlign w:val="center"/>
          </w:tcPr>
          <w:p w14:paraId="0421C9BE">
            <w:pPr>
              <w:jc w:val="center"/>
              <w:rPr>
                <w:rFonts w:ascii="宋体" w:hAnsi="宋体"/>
                <w:color w:val="auto"/>
                <w:sz w:val="24"/>
                <w:highlight w:val="none"/>
              </w:rPr>
            </w:pPr>
            <w:r>
              <w:rPr>
                <w:rFonts w:hint="eastAsia" w:ascii="宋体" w:hAnsi="宋体"/>
                <w:color w:val="auto"/>
                <w:sz w:val="24"/>
                <w:highlight w:val="none"/>
              </w:rPr>
              <w:t>第二节</w:t>
            </w:r>
          </w:p>
          <w:p w14:paraId="1AA3710A">
            <w:pPr>
              <w:jc w:val="center"/>
              <w:rPr>
                <w:rFonts w:ascii="宋体" w:hAnsi="宋体"/>
                <w:color w:val="auto"/>
                <w:sz w:val="24"/>
                <w:highlight w:val="none"/>
              </w:rPr>
            </w:pPr>
            <w:r>
              <w:rPr>
                <w:rFonts w:hint="eastAsia" w:ascii="宋体" w:hAnsi="宋体"/>
                <w:color w:val="auto"/>
                <w:sz w:val="24"/>
                <w:highlight w:val="none"/>
              </w:rPr>
              <w:t>第15.3款</w:t>
            </w:r>
          </w:p>
        </w:tc>
        <w:tc>
          <w:tcPr>
            <w:tcW w:w="1905" w:type="dxa"/>
            <w:vAlign w:val="center"/>
          </w:tcPr>
          <w:p w14:paraId="4D0841C6">
            <w:pPr>
              <w:jc w:val="left"/>
              <w:rPr>
                <w:rFonts w:ascii="宋体" w:hAnsi="宋体"/>
                <w:color w:val="auto"/>
                <w:sz w:val="24"/>
                <w:highlight w:val="none"/>
              </w:rPr>
            </w:pPr>
            <w:r>
              <w:rPr>
                <w:rFonts w:hint="eastAsia" w:ascii="宋体" w:hAnsi="宋体"/>
                <w:color w:val="auto"/>
                <w:sz w:val="24"/>
                <w:highlight w:val="none"/>
              </w:rPr>
              <w:t>逾期付款利息</w:t>
            </w:r>
          </w:p>
        </w:tc>
        <w:tc>
          <w:tcPr>
            <w:tcW w:w="4606" w:type="dxa"/>
            <w:vAlign w:val="center"/>
          </w:tcPr>
          <w:p w14:paraId="3C1AE65B">
            <w:pPr>
              <w:pStyle w:val="8"/>
              <w:spacing w:before="120" w:beforeAutospacing="0" w:after="120" w:afterAutospacing="0"/>
              <w:ind w:left="410"/>
              <w:jc w:val="both"/>
              <w:rPr>
                <w:rFonts w:ascii="宋体" w:hAnsi="宋体"/>
                <w:color w:val="auto"/>
                <w:highlight w:val="none"/>
                <w:u w:val="singl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xml:space="preserve"> 5% </w:t>
            </w:r>
            <w:r>
              <w:rPr>
                <w:rFonts w:hint="eastAsia" w:ascii="宋体" w:hAnsi="宋体" w:cs="宋体"/>
                <w:color w:val="auto"/>
                <w:highlight w:val="none"/>
              </w:rPr>
              <w:t>的违约金。</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2008" w:type="dxa"/>
            <w:tcBorders>
              <w:bottom w:val="single" w:color="000000" w:sz="2" w:space="0"/>
              <w:right w:val="single" w:color="000000" w:sz="2" w:space="0"/>
            </w:tcBorders>
            <w:vAlign w:val="center"/>
          </w:tcPr>
          <w:p w14:paraId="75A2DBF0">
            <w:pPr>
              <w:jc w:val="center"/>
              <w:rPr>
                <w:rFonts w:ascii="宋体" w:hAnsi="宋体"/>
                <w:color w:val="auto"/>
                <w:sz w:val="24"/>
                <w:highlight w:val="none"/>
              </w:rPr>
            </w:pPr>
            <w:r>
              <w:rPr>
                <w:rFonts w:hint="eastAsia" w:ascii="宋体" w:hAnsi="宋体"/>
                <w:color w:val="auto"/>
                <w:sz w:val="24"/>
                <w:highlight w:val="none"/>
              </w:rPr>
              <w:t>第二节</w:t>
            </w:r>
          </w:p>
          <w:p w14:paraId="0E88DB2E">
            <w:pPr>
              <w:jc w:val="center"/>
              <w:rPr>
                <w:rFonts w:ascii="宋体" w:hAnsi="宋体"/>
                <w:color w:val="auto"/>
                <w:sz w:val="24"/>
                <w:highlight w:val="none"/>
              </w:rPr>
            </w:pPr>
            <w:r>
              <w:rPr>
                <w:rFonts w:hint="eastAsia" w:ascii="宋体" w:hAnsi="宋体"/>
                <w:color w:val="auto"/>
                <w:sz w:val="24"/>
                <w:highlight w:val="none"/>
              </w:rPr>
              <w:t>第15.4款</w:t>
            </w:r>
          </w:p>
        </w:tc>
        <w:tc>
          <w:tcPr>
            <w:tcW w:w="1905" w:type="dxa"/>
            <w:tcBorders>
              <w:left w:val="single" w:color="000000" w:sz="2" w:space="0"/>
              <w:bottom w:val="single" w:color="000000" w:sz="2" w:space="0"/>
              <w:right w:val="single" w:color="000000" w:sz="2" w:space="0"/>
            </w:tcBorders>
            <w:vAlign w:val="center"/>
          </w:tcPr>
          <w:p w14:paraId="73264194">
            <w:pPr>
              <w:jc w:val="left"/>
              <w:rPr>
                <w:rFonts w:ascii="宋体" w:hAnsi="宋体"/>
                <w:color w:val="auto"/>
                <w:sz w:val="24"/>
                <w:highlight w:val="none"/>
              </w:rPr>
            </w:pPr>
            <w:r>
              <w:rPr>
                <w:rFonts w:hint="eastAsia" w:ascii="宋体" w:hAnsi="宋体"/>
                <w:color w:val="auto"/>
                <w:sz w:val="24"/>
                <w:highlight w:val="none"/>
              </w:rPr>
              <w:t>其他违约责任</w:t>
            </w:r>
          </w:p>
        </w:tc>
        <w:tc>
          <w:tcPr>
            <w:tcW w:w="4606" w:type="dxa"/>
            <w:tcBorders>
              <w:left w:val="single" w:color="000000" w:sz="2" w:space="0"/>
              <w:bottom w:val="single" w:color="000000" w:sz="2" w:space="0"/>
            </w:tcBorders>
            <w:vAlign w:val="center"/>
          </w:tcPr>
          <w:p w14:paraId="6B853BCB">
            <w:pPr>
              <w:jc w:val="center"/>
              <w:rPr>
                <w:rFonts w:ascii="宋体" w:hAnsi="宋体"/>
                <w:color w:val="auto"/>
                <w:sz w:val="24"/>
                <w:highlight w:val="none"/>
                <w:u w:val="single"/>
              </w:rPr>
            </w:pPr>
            <w:r>
              <w:rPr>
                <w:rFonts w:hint="eastAsia" w:ascii="宋体" w:hAnsi="宋体"/>
                <w:color w:val="auto"/>
                <w:sz w:val="24"/>
                <w:highlight w:val="none"/>
              </w:rPr>
              <w:t>/</w:t>
            </w: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2008" w:type="dxa"/>
            <w:tcBorders>
              <w:top w:val="single" w:color="000000" w:sz="2" w:space="0"/>
              <w:right w:val="single" w:color="000000" w:sz="2" w:space="0"/>
            </w:tcBorders>
            <w:vAlign w:val="center"/>
          </w:tcPr>
          <w:p w14:paraId="0AAB979C">
            <w:pPr>
              <w:jc w:val="center"/>
              <w:rPr>
                <w:rFonts w:ascii="宋体" w:hAnsi="宋体"/>
                <w:color w:val="auto"/>
                <w:sz w:val="24"/>
                <w:highlight w:val="none"/>
              </w:rPr>
            </w:pPr>
            <w:r>
              <w:rPr>
                <w:rFonts w:hint="eastAsia" w:ascii="宋体" w:hAnsi="宋体"/>
                <w:color w:val="auto"/>
                <w:sz w:val="24"/>
                <w:highlight w:val="none"/>
              </w:rPr>
              <w:t>第二节</w:t>
            </w:r>
          </w:p>
          <w:p w14:paraId="409E4A41">
            <w:pPr>
              <w:jc w:val="center"/>
              <w:rPr>
                <w:rFonts w:ascii="宋体" w:hAnsi="宋体"/>
                <w:color w:val="auto"/>
                <w:sz w:val="24"/>
                <w:highlight w:val="none"/>
              </w:rPr>
            </w:pPr>
            <w:r>
              <w:rPr>
                <w:rFonts w:hint="eastAsia" w:ascii="宋体" w:hAnsi="宋体"/>
                <w:color w:val="auto"/>
                <w:sz w:val="24"/>
                <w:highlight w:val="none"/>
              </w:rPr>
              <w:t>第19.2款</w:t>
            </w:r>
          </w:p>
        </w:tc>
        <w:tc>
          <w:tcPr>
            <w:tcW w:w="1905" w:type="dxa"/>
            <w:tcBorders>
              <w:top w:val="single" w:color="000000" w:sz="2" w:space="0"/>
              <w:left w:val="single" w:color="000000" w:sz="2" w:space="0"/>
              <w:right w:val="single" w:color="000000" w:sz="2" w:space="0"/>
            </w:tcBorders>
            <w:vAlign w:val="center"/>
          </w:tcPr>
          <w:p w14:paraId="5BC42E8C">
            <w:pPr>
              <w:jc w:val="left"/>
              <w:rPr>
                <w:rFonts w:ascii="宋体" w:hAnsi="宋体"/>
                <w:color w:val="auto"/>
                <w:sz w:val="24"/>
                <w:highlight w:val="none"/>
              </w:rPr>
            </w:pPr>
            <w:r>
              <w:rPr>
                <w:rFonts w:hint="eastAsia" w:ascii="宋体" w:hAnsi="宋体"/>
                <w:color w:val="auto"/>
                <w:sz w:val="24"/>
                <w:highlight w:val="none"/>
              </w:rPr>
              <w:t>解决争议的方法</w:t>
            </w:r>
          </w:p>
        </w:tc>
        <w:tc>
          <w:tcPr>
            <w:tcW w:w="4606" w:type="dxa"/>
            <w:tcBorders>
              <w:top w:val="single" w:color="000000" w:sz="2" w:space="0"/>
              <w:left w:val="single" w:color="000000" w:sz="2" w:space="0"/>
            </w:tcBorders>
            <w:vAlign w:val="center"/>
          </w:tcPr>
          <w:p w14:paraId="68BA8173">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2</w:t>
            </w:r>
            <w:r>
              <w:rPr>
                <w:rFonts w:hint="eastAsia" w:ascii="宋体" w:hAnsi="宋体"/>
                <w:color w:val="auto"/>
                <w:sz w:val="24"/>
                <w:highlight w:val="none"/>
              </w:rPr>
              <w:t>种方式解决：</w:t>
            </w:r>
          </w:p>
          <w:p w14:paraId="3D60B198">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88DA82B">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57288576">
            <w:pPr>
              <w:jc w:val="left"/>
              <w:rPr>
                <w:rFonts w:ascii="宋体" w:hAnsi="宋体"/>
                <w:color w:val="auto"/>
                <w:sz w:val="24"/>
                <w:highlight w:val="none"/>
              </w:rPr>
            </w:pPr>
            <w:r>
              <w:rPr>
                <w:rFonts w:hint="eastAsia" w:ascii="宋体" w:hAnsi="宋体"/>
                <w:color w:val="auto"/>
                <w:sz w:val="24"/>
                <w:highlight w:val="none"/>
              </w:rPr>
              <w:t>2. 纠纷解决办法</w:t>
            </w:r>
          </w:p>
          <w:p w14:paraId="76FF0871">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6B37DDF6">
            <w:pPr>
              <w:jc w:val="center"/>
              <w:rPr>
                <w:rFonts w:ascii="宋体" w:hAnsi="宋体"/>
                <w:color w:val="auto"/>
                <w:sz w:val="24"/>
                <w:highlight w:val="none"/>
              </w:rPr>
            </w:pPr>
            <w:r>
              <w:rPr>
                <w:rFonts w:hint="eastAsia" w:ascii="宋体" w:hAnsi="宋体"/>
                <w:color w:val="auto"/>
                <w:sz w:val="24"/>
                <w:highlight w:val="none"/>
              </w:rPr>
              <w:t>第二节</w:t>
            </w:r>
          </w:p>
          <w:p w14:paraId="38CAE249">
            <w:pPr>
              <w:jc w:val="center"/>
              <w:rPr>
                <w:rFonts w:ascii="宋体" w:hAnsi="宋体"/>
                <w:color w:val="auto"/>
                <w:sz w:val="24"/>
                <w:highlight w:val="none"/>
              </w:rPr>
            </w:pPr>
            <w:r>
              <w:rPr>
                <w:rFonts w:hint="eastAsia" w:ascii="宋体" w:hAnsi="宋体"/>
                <w:color w:val="auto"/>
                <w:sz w:val="24"/>
                <w:highlight w:val="none"/>
              </w:rPr>
              <w:t>第23.1款</w:t>
            </w:r>
          </w:p>
        </w:tc>
        <w:tc>
          <w:tcPr>
            <w:tcW w:w="1905" w:type="dxa"/>
            <w:vAlign w:val="center"/>
          </w:tcPr>
          <w:p w14:paraId="3B95C4A7">
            <w:pPr>
              <w:jc w:val="left"/>
              <w:rPr>
                <w:rFonts w:ascii="宋体" w:hAnsi="宋体"/>
                <w:color w:val="auto"/>
                <w:sz w:val="24"/>
                <w:highlight w:val="none"/>
              </w:rPr>
            </w:pPr>
            <w:r>
              <w:rPr>
                <w:rFonts w:hint="eastAsia" w:ascii="宋体" w:hAnsi="宋体"/>
                <w:bCs/>
                <w:color w:val="auto"/>
                <w:sz w:val="24"/>
                <w:highlight w:val="none"/>
              </w:rPr>
              <w:t>其他专用条款</w:t>
            </w:r>
          </w:p>
        </w:tc>
        <w:tc>
          <w:tcPr>
            <w:tcW w:w="4606" w:type="dxa"/>
            <w:vAlign w:val="center"/>
          </w:tcPr>
          <w:p w14:paraId="52A9E912">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7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5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jc w:val="left"/>
              <w:rPr>
                <w:rFonts w:ascii="宋体" w:hAnsi="宋体"/>
                <w:color w:val="auto"/>
                <w:sz w:val="24"/>
                <w:highlight w:val="none"/>
              </w:rPr>
            </w:pPr>
            <w:r>
              <w:rPr>
                <w:rFonts w:hint="eastAsia" w:ascii="宋体" w:hAnsi="宋体"/>
                <w:color w:val="auto"/>
                <w:sz w:val="24"/>
                <w:highlight w:val="none"/>
              </w:rPr>
              <w:t>4.货物验收要求</w:t>
            </w:r>
          </w:p>
          <w:p w14:paraId="01D93C15">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4B6300CD">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4449CD3A">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74F08199">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56E81FFD">
            <w:pPr>
              <w:jc w:val="left"/>
              <w:rPr>
                <w:rFonts w:ascii="宋体" w:hAnsi="宋体"/>
                <w:color w:val="auto"/>
                <w:sz w:val="24"/>
                <w:highlight w:val="none"/>
                <w:u w:val="single"/>
              </w:rPr>
            </w:pPr>
            <w:r>
              <w:rPr>
                <w:rFonts w:hint="eastAsia" w:ascii="宋体" w:hAnsi="宋体"/>
                <w:color w:val="auto"/>
                <w:sz w:val="24"/>
                <w:highlight w:val="none"/>
              </w:rPr>
              <w:t>交货时间：</w:t>
            </w:r>
            <w:r>
              <w:rPr>
                <w:rFonts w:hint="eastAsia" w:ascii="宋体" w:hAnsi="宋体"/>
                <w:color w:val="auto"/>
                <w:sz w:val="24"/>
                <w:highlight w:val="none"/>
                <w:u w:val="single"/>
              </w:rPr>
              <w:t>合同签订后按照采购人要求分批次分乡镇供货，收到采购人供货通知后15个日历天内完成供货并发放完成。</w:t>
            </w:r>
          </w:p>
          <w:p w14:paraId="5376D1A2">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盐城市亭湖区，采购人指定地点   </w:t>
            </w:r>
            <w:r>
              <w:rPr>
                <w:rFonts w:hint="eastAsia" w:ascii="宋体" w:hAnsi="宋体"/>
                <w:color w:val="auto"/>
                <w:sz w:val="24"/>
                <w:highlight w:val="none"/>
              </w:rPr>
              <w:t>。</w:t>
            </w:r>
          </w:p>
          <w:p w14:paraId="35FF992B">
            <w:pPr>
              <w:jc w:val="left"/>
              <w:rPr>
                <w:rFonts w:ascii="宋体" w:hAnsi="宋体"/>
                <w:color w:val="auto"/>
                <w:sz w:val="24"/>
                <w:highlight w:val="none"/>
              </w:rPr>
            </w:pPr>
            <w:r>
              <w:rPr>
                <w:rFonts w:hint="eastAsia" w:ascii="宋体" w:hAnsi="宋体"/>
                <w:color w:val="auto"/>
                <w:sz w:val="24"/>
                <w:highlight w:val="none"/>
              </w:rPr>
              <w:t>（5）甲方应在全部货物到货安</w:t>
            </w:r>
            <w:r>
              <w:rPr>
                <w:rFonts w:hint="eastAsia" w:ascii="宋体" w:hAnsi="宋体"/>
                <w:color w:val="auto"/>
                <w:sz w:val="24"/>
                <w:highlight w:val="none"/>
              </w:rPr>
              <w:t>装完毕后的</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日内进行验收，验收包括：型号、规格、数量、外观是否完好，安装调试是否合格等。验收合格后甲方应在验收报告上签字盖章，甲方组织对货物的质量及使用状况等进行最终验收。</w:t>
            </w:r>
          </w:p>
          <w:p w14:paraId="526D786B">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646C39F4">
            <w:pPr>
              <w:jc w:val="left"/>
              <w:rPr>
                <w:rFonts w:ascii="宋体" w:hAnsi="宋体"/>
                <w:color w:val="auto"/>
                <w:sz w:val="24"/>
                <w:highlight w:val="none"/>
              </w:rPr>
            </w:pP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4C04BEEB">
            <w:pPr>
              <w:jc w:val="center"/>
              <w:rPr>
                <w:rFonts w:ascii="宋体" w:hAnsi="宋体"/>
                <w:color w:val="auto"/>
                <w:sz w:val="24"/>
                <w:highlight w:val="none"/>
              </w:rPr>
            </w:pPr>
          </w:p>
        </w:tc>
        <w:tc>
          <w:tcPr>
            <w:tcW w:w="1905" w:type="dxa"/>
            <w:vAlign w:val="center"/>
          </w:tcPr>
          <w:p w14:paraId="5DC2248F">
            <w:pPr>
              <w:jc w:val="left"/>
              <w:rPr>
                <w:rFonts w:ascii="宋体" w:hAnsi="宋体"/>
                <w:bCs/>
                <w:color w:val="auto"/>
                <w:sz w:val="24"/>
                <w:highlight w:val="none"/>
              </w:rPr>
            </w:pPr>
            <w:r>
              <w:rPr>
                <w:rFonts w:hint="eastAsia" w:ascii="宋体" w:hAnsi="宋体"/>
                <w:bCs/>
                <w:color w:val="auto"/>
                <w:sz w:val="24"/>
                <w:highlight w:val="none"/>
              </w:rPr>
              <w:t>税费</w:t>
            </w:r>
          </w:p>
        </w:tc>
        <w:tc>
          <w:tcPr>
            <w:tcW w:w="4606" w:type="dxa"/>
            <w:vAlign w:val="center"/>
          </w:tcPr>
          <w:p w14:paraId="401BE5BB">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729CED24">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4791B038">
            <w:pPr>
              <w:jc w:val="center"/>
              <w:rPr>
                <w:rFonts w:ascii="宋体" w:hAnsi="宋体"/>
                <w:color w:val="auto"/>
                <w:sz w:val="24"/>
                <w:highlight w:val="none"/>
              </w:rPr>
            </w:pPr>
          </w:p>
        </w:tc>
        <w:tc>
          <w:tcPr>
            <w:tcW w:w="1905" w:type="dxa"/>
            <w:vAlign w:val="center"/>
          </w:tcPr>
          <w:p w14:paraId="371E5146">
            <w:pPr>
              <w:jc w:val="left"/>
              <w:rPr>
                <w:rFonts w:ascii="宋体" w:hAnsi="宋体"/>
                <w:bCs/>
                <w:color w:val="auto"/>
                <w:sz w:val="24"/>
                <w:highlight w:val="none"/>
              </w:rPr>
            </w:pPr>
            <w:r>
              <w:rPr>
                <w:rFonts w:hint="eastAsia" w:ascii="宋体" w:hAnsi="宋体"/>
                <w:bCs/>
                <w:color w:val="auto"/>
                <w:sz w:val="24"/>
                <w:highlight w:val="none"/>
              </w:rPr>
              <w:t>伴随服务</w:t>
            </w:r>
          </w:p>
        </w:tc>
        <w:tc>
          <w:tcPr>
            <w:tcW w:w="4606" w:type="dxa"/>
            <w:vAlign w:val="center"/>
          </w:tcPr>
          <w:p w14:paraId="5BFA2010">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630654D5">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44EA7166">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6ECBEB67">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6D8F3BC0">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7176FEC7">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4C401DA2">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48D67484">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53854CA5">
            <w:pPr>
              <w:jc w:val="center"/>
              <w:rPr>
                <w:rFonts w:ascii="宋体" w:hAnsi="宋体"/>
                <w:color w:val="auto"/>
                <w:sz w:val="24"/>
                <w:highlight w:val="none"/>
              </w:rPr>
            </w:pPr>
          </w:p>
        </w:tc>
        <w:tc>
          <w:tcPr>
            <w:tcW w:w="1905" w:type="dxa"/>
            <w:vAlign w:val="center"/>
          </w:tcPr>
          <w:p w14:paraId="2A4C4CF0">
            <w:pPr>
              <w:jc w:val="left"/>
              <w:rPr>
                <w:rFonts w:ascii="宋体" w:hAnsi="宋体"/>
                <w:color w:val="auto"/>
                <w:sz w:val="24"/>
                <w:highlight w:val="none"/>
              </w:rPr>
            </w:pPr>
            <w:r>
              <w:rPr>
                <w:rFonts w:hint="eastAsia" w:ascii="宋体" w:hAnsi="宋体"/>
                <w:color w:val="auto"/>
                <w:sz w:val="24"/>
                <w:highlight w:val="none"/>
              </w:rPr>
              <w:t>索赔</w:t>
            </w:r>
          </w:p>
          <w:p w14:paraId="0C1845B3">
            <w:pPr>
              <w:jc w:val="left"/>
              <w:rPr>
                <w:rFonts w:ascii="宋体" w:hAnsi="宋体"/>
                <w:color w:val="auto"/>
                <w:sz w:val="24"/>
                <w:highlight w:val="none"/>
              </w:rPr>
            </w:pPr>
          </w:p>
        </w:tc>
        <w:tc>
          <w:tcPr>
            <w:tcW w:w="4606" w:type="dxa"/>
            <w:vAlign w:val="center"/>
          </w:tcPr>
          <w:p w14:paraId="0A409CD8">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39BDD17D">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23F67DC8">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7A4DBDCD">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2008" w:type="dxa"/>
            <w:vAlign w:val="center"/>
          </w:tcPr>
          <w:p w14:paraId="578134C4">
            <w:pPr>
              <w:jc w:val="center"/>
              <w:rPr>
                <w:rFonts w:ascii="宋体" w:hAnsi="宋体"/>
                <w:color w:val="auto"/>
                <w:sz w:val="24"/>
                <w:highlight w:val="none"/>
              </w:rPr>
            </w:pPr>
          </w:p>
        </w:tc>
        <w:tc>
          <w:tcPr>
            <w:tcW w:w="1905" w:type="dxa"/>
            <w:vAlign w:val="center"/>
          </w:tcPr>
          <w:p w14:paraId="18500DCF">
            <w:pPr>
              <w:jc w:val="left"/>
              <w:rPr>
                <w:rFonts w:ascii="宋体" w:hAnsi="宋体"/>
                <w:color w:val="auto"/>
                <w:sz w:val="24"/>
                <w:highlight w:val="none"/>
              </w:rPr>
            </w:pPr>
            <w:r>
              <w:rPr>
                <w:rFonts w:hint="eastAsia" w:ascii="宋体" w:hAnsi="宋体"/>
                <w:color w:val="auto"/>
                <w:sz w:val="24"/>
                <w:highlight w:val="none"/>
              </w:rPr>
              <w:t>合同生效及其他</w:t>
            </w:r>
          </w:p>
          <w:p w14:paraId="6BB07FF1">
            <w:pPr>
              <w:jc w:val="left"/>
              <w:rPr>
                <w:rFonts w:ascii="宋体" w:hAnsi="宋体"/>
                <w:bCs/>
                <w:color w:val="auto"/>
                <w:sz w:val="24"/>
                <w:highlight w:val="none"/>
              </w:rPr>
            </w:pPr>
          </w:p>
        </w:tc>
        <w:tc>
          <w:tcPr>
            <w:tcW w:w="4606" w:type="dxa"/>
            <w:vAlign w:val="center"/>
          </w:tcPr>
          <w:p w14:paraId="49130A9E">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6C7F6D25">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2EB5C299">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w:t>
            </w:r>
            <w:r>
              <w:rPr>
                <w:rFonts w:hint="eastAsia" w:ascii="宋体" w:hAnsi="宋体" w:eastAsia="宋体" w:cs="宋体"/>
                <w:color w:val="auto"/>
                <w:highlight w:val="none"/>
              </w:rPr>
              <w:t>《中华人民共和国</w:t>
            </w:r>
            <w:r>
              <w:rPr>
                <w:rFonts w:hint="eastAsia" w:ascii="宋体" w:hAnsi="宋体"/>
                <w:color w:val="auto"/>
                <w:sz w:val="24"/>
                <w:highlight w:val="none"/>
              </w:rPr>
              <w:t>民法典》、</w:t>
            </w:r>
            <w:r>
              <w:rPr>
                <w:rFonts w:hint="eastAsia" w:ascii="宋体" w:hAnsi="宋体" w:eastAsia="宋体" w:cs="宋体"/>
                <w:color w:val="auto"/>
                <w:highlight w:val="none"/>
              </w:rPr>
              <w:t>《中华人民共和国</w:t>
            </w:r>
            <w:r>
              <w:rPr>
                <w:rFonts w:hint="eastAsia" w:ascii="宋体" w:hAnsi="宋体"/>
                <w:color w:val="auto"/>
                <w:sz w:val="24"/>
                <w:highlight w:val="none"/>
              </w:rPr>
              <w:t>政府采购法》等有关条文执行。</w:t>
            </w:r>
          </w:p>
        </w:tc>
      </w:tr>
    </w:tbl>
    <w:p w14:paraId="212EB0E3">
      <w:pPr>
        <w:pStyle w:val="8"/>
        <w:spacing w:before="120" w:beforeAutospacing="0" w:after="120" w:afterAutospacing="0" w:line="0" w:lineRule="atLeast"/>
        <w:ind w:firstLine="1320"/>
        <w:jc w:val="center"/>
        <w:rPr>
          <w:rFonts w:ascii="黑体" w:hAnsi="宋体" w:eastAsia="黑体" w:cs="黑体"/>
          <w:color w:val="auto"/>
          <w:sz w:val="44"/>
          <w:szCs w:val="44"/>
          <w:highlight w:val="none"/>
        </w:rPr>
      </w:pPr>
    </w:p>
    <w:p w14:paraId="64B92E35">
      <w:pPr>
        <w:pStyle w:val="8"/>
        <w:spacing w:before="120" w:beforeAutospacing="0" w:after="120" w:afterAutospacing="0" w:line="0" w:lineRule="atLeast"/>
        <w:ind w:firstLine="1320"/>
        <w:jc w:val="center"/>
        <w:rPr>
          <w:rFonts w:ascii="黑体" w:hAnsi="宋体" w:eastAsia="黑体" w:cs="黑体"/>
          <w:color w:val="auto"/>
          <w:sz w:val="44"/>
          <w:szCs w:val="44"/>
          <w:highlight w:val="none"/>
        </w:rPr>
      </w:pPr>
    </w:p>
    <w:p w14:paraId="476887B5">
      <w:pPr>
        <w:pStyle w:val="8"/>
        <w:spacing w:before="120" w:beforeAutospacing="0" w:after="120" w:afterAutospacing="0" w:line="0" w:lineRule="atLeast"/>
        <w:ind w:firstLine="2640" w:firstLineChars="600"/>
        <w:jc w:val="both"/>
        <w:rPr>
          <w:color w:val="auto"/>
          <w:highlight w:val="none"/>
        </w:rPr>
      </w:pPr>
      <w:r>
        <w:rPr>
          <w:rFonts w:hint="eastAsia" w:ascii="黑体" w:hAnsi="宋体" w:eastAsia="黑体" w:cs="黑体"/>
          <w:color w:val="auto"/>
          <w:sz w:val="44"/>
          <w:szCs w:val="44"/>
          <w:highlight w:val="none"/>
        </w:rPr>
        <w:t>第</w:t>
      </w:r>
      <w:bookmarkEnd w:id="161"/>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rPr>
        <w:t>采购需求</w:t>
      </w:r>
      <w:bookmarkEnd w:id="162"/>
      <w:bookmarkEnd w:id="163"/>
      <w:bookmarkEnd w:id="164"/>
      <w:bookmarkEnd w:id="165"/>
      <w:bookmarkEnd w:id="166"/>
    </w:p>
    <w:p w14:paraId="017F1C84">
      <w:pPr>
        <w:pStyle w:val="8"/>
        <w:spacing w:beforeAutospacing="0" w:afterAutospacing="0" w:line="480" w:lineRule="auto"/>
        <w:ind w:firstLine="723"/>
        <w:jc w:val="both"/>
        <w:rPr>
          <w:rFonts w:ascii="宋体" w:hAnsi="宋体" w:eastAsia="宋体" w:cs="宋体"/>
          <w:color w:val="auto"/>
          <w:highlight w:val="none"/>
        </w:rPr>
      </w:pPr>
      <w:r>
        <w:rPr>
          <w:rFonts w:hint="eastAsia" w:ascii="宋体" w:hAnsi="宋体" w:eastAsia="宋体" w:cs="宋体"/>
          <w:b/>
          <w:bCs/>
          <w:color w:val="auto"/>
          <w:highlight w:val="none"/>
        </w:rPr>
        <w:t>项目属性：货物类项目</w:t>
      </w:r>
      <w:r>
        <w:rPr>
          <w:rFonts w:hint="eastAsia" w:ascii="宋体" w:hAnsi="宋体" w:eastAsia="宋体" w:cs="宋体"/>
          <w:color w:val="auto"/>
          <w:highlight w:val="none"/>
        </w:rPr>
        <w:t> </w:t>
      </w:r>
    </w:p>
    <w:p w14:paraId="397D5505">
      <w:pPr>
        <w:pStyle w:val="8"/>
        <w:spacing w:beforeAutospacing="0" w:afterAutospacing="0" w:line="480" w:lineRule="auto"/>
        <w:ind w:firstLine="723"/>
        <w:jc w:val="both"/>
        <w:rPr>
          <w:rFonts w:ascii="宋体" w:hAnsi="宋体" w:eastAsia="宋体" w:cs="宋体"/>
          <w:color w:val="auto"/>
          <w:highlight w:val="none"/>
        </w:rPr>
      </w:pPr>
      <w:r>
        <w:rPr>
          <w:rFonts w:hint="eastAsia" w:ascii="宋体" w:hAnsi="宋体" w:eastAsia="宋体" w:cs="宋体"/>
          <w:b/>
          <w:bCs/>
          <w:color w:val="auto"/>
          <w:highlight w:val="none"/>
        </w:rPr>
        <w:t>一、采购内容</w:t>
      </w:r>
    </w:p>
    <w:p w14:paraId="1DD734D2">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（1）加厚高强度地膜预算金额：160.7 万元，采购数量不少于134 吨（足额采购）；厚度：≥0.015mm、宽度：1–4m（按实施主体需求确定）、颜色：黑色 / 白色、有效使用期：≥180 天；使用后力学性能：最大拉伸负荷、断裂标称应变≥初始值 50%；原料：无再生料、无国家禁用助剂；执行标准：《聚乙烯吹塑农用地面覆盖薄膜》（GB 13735-2017）Ⅰ 类耐老化地膜。</w:t>
      </w:r>
    </w:p>
    <w:p w14:paraId="75789B72">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（2）全生物降解地膜预算金额：27.3 万元，采购数量：不少于9.75 吨（足额采购）；厚度：≥0.01mm、宽度：0.9–3m（按乡镇需求确定）、颜色：黑色 / 白色、成品总灰分：≤3%、水蒸气透过率：≤400g/m²/24h、有效使用寿命：90–120 天、材质：完全生物降解，禁止光氧降解 / PE 等非全降解材料，执行标准：《全生物降解农用地面覆盖薄膜》（GB/T 35795-2017）。</w:t>
      </w:r>
    </w:p>
    <w:p w14:paraId="74DF91D0">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投标人须按采购人要求分乡镇、分批次交付货物，全程安排专人负责直至项目验收结束；供货、运输、卸货及验收所需工具、仪器与辅助材料均由投标人自行承担。本项目为足额采购，投标人投标总价须与本项目采购预算金额一致，投标数量不得低于各采购内容的最低数量，按预算足额供货，不得减量、缺项。</w:t>
      </w:r>
    </w:p>
    <w:p w14:paraId="6551287E">
      <w:pPr>
        <w:pStyle w:val="8"/>
        <w:spacing w:beforeAutospacing="0" w:afterAutospacing="0" w:line="480" w:lineRule="auto"/>
        <w:ind w:firstLine="723"/>
        <w:jc w:val="both"/>
        <w:rPr>
          <w:rFonts w:ascii="宋体" w:hAnsi="宋体" w:eastAsia="宋体" w:cs="宋体"/>
          <w:color w:val="auto"/>
          <w:highlight w:val="none"/>
        </w:rPr>
      </w:pPr>
      <w:r>
        <w:rPr>
          <w:rFonts w:hint="eastAsia" w:ascii="宋体" w:hAnsi="宋体" w:eastAsia="宋体" w:cs="宋体"/>
          <w:b/>
          <w:bCs/>
          <w:color w:val="auto"/>
          <w:highlight w:val="none"/>
        </w:rPr>
        <w:t>二、供货要求</w:t>
      </w:r>
    </w:p>
    <w:p w14:paraId="5C1E0637">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1、所供货物不会侵犯任何第三方知识产权。</w:t>
      </w:r>
    </w:p>
    <w:p w14:paraId="189246CD">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2、送货地址：盐城市（区、县采购人指定地点）且装卸并登记分发完成。</w:t>
      </w:r>
    </w:p>
    <w:p w14:paraId="4F3B98E0">
      <w:pPr>
        <w:pStyle w:val="8"/>
        <w:spacing w:beforeAutospacing="0" w:afterAutospacing="0" w:line="480" w:lineRule="auto"/>
        <w:ind w:firstLine="723"/>
        <w:jc w:val="both"/>
        <w:rPr>
          <w:rFonts w:ascii="宋体" w:hAnsi="宋体" w:eastAsia="宋体" w:cs="宋体"/>
          <w:color w:val="auto"/>
          <w:highlight w:val="none"/>
        </w:rPr>
      </w:pPr>
      <w:r>
        <w:rPr>
          <w:rFonts w:hint="eastAsia" w:ascii="宋体" w:hAnsi="宋体" w:eastAsia="宋体" w:cs="宋体"/>
          <w:b/>
          <w:bCs/>
          <w:color w:val="auto"/>
          <w:highlight w:val="none"/>
        </w:rPr>
        <w:t>三、质量保障及售后服务要求</w:t>
      </w:r>
    </w:p>
    <w:p w14:paraId="350D7220">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1、质保期：产品验收合格使用之日起壹年，在质保期内，投标人应对货物出现的质量及安全问题负责处理解决并承担一切费用。</w:t>
      </w:r>
    </w:p>
    <w:p w14:paraId="05301A19">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2、本项目成交供应商须在合同签订前，向采购人提交所投产品在有效期内的第三方质检报告，并按要求签署《产品质量责任保证书》。</w:t>
      </w:r>
    </w:p>
    <w:p w14:paraId="2231AD08">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3、在质保期内供方必须不得以任何理由影响用户的正常使用。</w:t>
      </w:r>
    </w:p>
    <w:p w14:paraId="5ABE79E3">
      <w:pPr>
        <w:pStyle w:val="8"/>
        <w:spacing w:beforeAutospacing="0" w:afterAutospacing="0" w:line="480" w:lineRule="auto"/>
        <w:ind w:firstLine="723"/>
        <w:jc w:val="both"/>
        <w:rPr>
          <w:rFonts w:ascii="宋体" w:hAnsi="宋体" w:eastAsia="宋体" w:cs="宋体"/>
          <w:b/>
          <w:bCs/>
          <w:color w:val="auto"/>
          <w:highlight w:val="none"/>
        </w:rPr>
      </w:pPr>
      <w:r>
        <w:rPr>
          <w:rFonts w:hint="eastAsia" w:ascii="宋体" w:hAnsi="宋体" w:eastAsia="宋体" w:cs="宋体"/>
          <w:b/>
          <w:bCs/>
          <w:color w:val="auto"/>
          <w:highlight w:val="none"/>
        </w:rPr>
        <w:t>四、工期要求：</w:t>
      </w:r>
    </w:p>
    <w:p w14:paraId="46EECD07">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合同签订后按照采购人要求按需、分批次供货，收到采购人书面供货通知</w:t>
      </w:r>
      <w:r>
        <w:rPr>
          <w:rFonts w:hint="eastAsia" w:ascii="宋体" w:hAnsi="宋体" w:eastAsia="宋体" w:cs="宋体"/>
          <w:color w:val="auto"/>
          <w:highlight w:val="none"/>
        </w:rPr>
        <w:t>后15个日历天内完成供货、验收合格。</w:t>
      </w:r>
    </w:p>
    <w:p w14:paraId="0FBFD22D">
      <w:pPr>
        <w:pStyle w:val="8"/>
        <w:numPr>
          <w:ilvl w:val="0"/>
          <w:numId w:val="9"/>
        </w:numPr>
        <w:spacing w:beforeAutospacing="0" w:afterAutospacing="0" w:line="480" w:lineRule="auto"/>
        <w:ind w:firstLine="723"/>
        <w:jc w:val="both"/>
        <w:rPr>
          <w:rFonts w:ascii="宋体" w:hAnsi="宋体" w:eastAsia="宋体" w:cs="宋体"/>
          <w:color w:val="auto"/>
          <w:highlight w:val="none"/>
        </w:rPr>
      </w:pPr>
      <w:r>
        <w:rPr>
          <w:rFonts w:hint="eastAsia" w:ascii="宋体" w:hAnsi="宋体" w:eastAsia="宋体" w:cs="宋体"/>
          <w:b/>
          <w:bCs/>
          <w:color w:val="auto"/>
          <w:highlight w:val="none"/>
        </w:rPr>
        <w:t>验收要求与验收标准：</w:t>
      </w:r>
    </w:p>
    <w:p w14:paraId="6AB9C23F">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1、</w:t>
      </w:r>
      <w:r>
        <w:rPr>
          <w:rFonts w:ascii="宋体" w:hAnsi="宋体" w:eastAsia="宋体" w:cs="宋体"/>
          <w:color w:val="auto"/>
          <w:highlight w:val="none"/>
        </w:rPr>
        <w:t>验收依据：本项目验收严格按照招标文件、采购合同、国家相关标准（GB 13735-2017、GB/T 35795-2017）、批复实施方案及采购人要求执行。</w:t>
      </w:r>
    </w:p>
    <w:p w14:paraId="326AD58B">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2、</w:t>
      </w:r>
      <w:r>
        <w:rPr>
          <w:rFonts w:ascii="宋体" w:hAnsi="宋体" w:eastAsia="宋体" w:cs="宋体"/>
          <w:color w:val="auto"/>
          <w:highlight w:val="none"/>
        </w:rPr>
        <w:t>批次验收：成交供应商按采购人要求分乡镇、分批次供货，每批次货物到货后，采购人组织相关单位按规定程序进行验收</w:t>
      </w:r>
      <w:r>
        <w:rPr>
          <w:rFonts w:hint="eastAsia" w:ascii="宋体" w:hAnsi="宋体" w:eastAsia="宋体" w:cs="宋体"/>
          <w:color w:val="auto"/>
          <w:highlight w:val="none"/>
        </w:rPr>
        <w:t>，同时采购人委托具有检测资质的检测机构对中标人所供应的产品进行抽检，检测费用由中标单位支付，如发现不符合，中止合同。</w:t>
      </w:r>
    </w:p>
    <w:p w14:paraId="3CFFE9C2">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资料要求：成交供应商须配合采购人完成验收工作，提供完整的供货清单、签收记录、第三方检测报告、影像资料等台账材料，资料不全或不符合要求的，采购人有权不予验收。</w:t>
      </w:r>
    </w:p>
    <w:p w14:paraId="3DEECF60">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质量标准：</w:t>
      </w:r>
    </w:p>
    <w:p w14:paraId="20F1B2F0">
      <w:pPr>
        <w:pStyle w:val="8"/>
        <w:spacing w:beforeAutospacing="0" w:afterAutospacing="0" w:line="480" w:lineRule="auto"/>
        <w:ind w:firstLine="720"/>
        <w:jc w:val="both"/>
        <w:rPr>
          <w:rFonts w:ascii="宋体" w:hAnsi="宋体" w:eastAsia="宋体" w:cs="宋体"/>
          <w:color w:val="auto"/>
          <w:highlight w:val="none"/>
        </w:rPr>
      </w:pPr>
      <w:r>
        <w:rPr>
          <w:rFonts w:ascii="宋体" w:hAnsi="宋体" w:eastAsia="宋体" w:cs="宋体"/>
          <w:color w:val="auto"/>
          <w:highlight w:val="none"/>
        </w:rPr>
        <w:t>加厚高强度地膜厚度≥0.015mm，有效使用期≥180 天，使用后力学性能符合国标要求；全生物降解膜厚度≥0.01mm，材质为完全生物降解材料，有效使用寿命符合国标及项目要求；</w:t>
      </w:r>
    </w:p>
    <w:p w14:paraId="0F2B57D3">
      <w:pPr>
        <w:pStyle w:val="8"/>
        <w:spacing w:beforeAutospacing="0" w:afterAutospacing="0" w:line="48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验收结论：所有货物验收合格、资料齐全、符合绩效目标要求后，方可视为项目验收通过；未通过验收的，成交供应商须按要求整改，直至验收合格，由此产生的一切费用及损失由成交供应商自行承担。</w:t>
      </w:r>
    </w:p>
    <w:p w14:paraId="6866B952">
      <w:pPr>
        <w:pStyle w:val="8"/>
        <w:spacing w:beforeAutospacing="0" w:afterAutospacing="0" w:line="0" w:lineRule="atLeast"/>
        <w:ind w:firstLine="720"/>
        <w:jc w:val="both"/>
        <w:rPr>
          <w:rFonts w:ascii="宋体" w:hAnsi="宋体" w:eastAsia="宋体" w:cs="宋体"/>
          <w:color w:val="auto"/>
          <w:highlight w:val="none"/>
        </w:rPr>
      </w:pPr>
    </w:p>
    <w:p w14:paraId="732C898C">
      <w:pPr>
        <w:pStyle w:val="8"/>
        <w:spacing w:beforeAutospacing="0" w:afterAutospacing="0" w:line="0" w:lineRule="atLeast"/>
        <w:ind w:firstLine="720"/>
        <w:jc w:val="both"/>
        <w:rPr>
          <w:rFonts w:ascii="宋体" w:hAnsi="宋体" w:eastAsia="宋体" w:cs="宋体"/>
          <w:color w:val="auto"/>
          <w:highlight w:val="none"/>
        </w:rPr>
      </w:pPr>
    </w:p>
    <w:tbl>
      <w:tblPr>
        <w:tblStyle w:val="9"/>
        <w:tblW w:w="7995" w:type="dxa"/>
        <w:jc w:val="center"/>
        <w:tblCellSpacing w:w="0" w:type="dxa"/>
        <w:tblLayout w:type="fixed"/>
        <w:tblCellMar>
          <w:top w:w="0" w:type="dxa"/>
          <w:left w:w="108" w:type="dxa"/>
          <w:bottom w:w="0" w:type="dxa"/>
          <w:right w:w="108" w:type="dxa"/>
        </w:tblCellMar>
      </w:tblPr>
      <w:tblGrid>
        <w:gridCol w:w="1296"/>
        <w:gridCol w:w="3797"/>
        <w:gridCol w:w="2902"/>
      </w:tblGrid>
      <w:tr w14:paraId="5C81A8F1">
        <w:tblPrEx>
          <w:tblCellMar>
            <w:top w:w="0" w:type="dxa"/>
            <w:left w:w="108" w:type="dxa"/>
            <w:bottom w:w="0" w:type="dxa"/>
            <w:right w:w="108" w:type="dxa"/>
          </w:tblCellMar>
        </w:tblPrEx>
        <w:trPr>
          <w:tblCellSpacing w:w="0" w:type="dxa"/>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2AB">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3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582">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采购标的</w:t>
            </w:r>
          </w:p>
        </w:tc>
        <w:tc>
          <w:tcPr>
            <w:tcW w:w="2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D801">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4A6ABC60">
        <w:tblPrEx>
          <w:tblCellMar>
            <w:top w:w="0" w:type="dxa"/>
            <w:left w:w="108" w:type="dxa"/>
            <w:bottom w:w="0" w:type="dxa"/>
            <w:right w:w="108" w:type="dxa"/>
          </w:tblCellMar>
        </w:tblPrEx>
        <w:trPr>
          <w:trHeight w:val="581" w:hRule="atLeast"/>
          <w:tblCellSpacing w:w="0" w:type="dxa"/>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8038">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3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54B3">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 加厚高强度地膜</w:t>
            </w:r>
          </w:p>
        </w:tc>
        <w:tc>
          <w:tcPr>
            <w:tcW w:w="2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423">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工业 </w:t>
            </w:r>
          </w:p>
        </w:tc>
      </w:tr>
      <w:tr w14:paraId="589D6A9F">
        <w:tblPrEx>
          <w:tblCellMar>
            <w:top w:w="0" w:type="dxa"/>
            <w:left w:w="108" w:type="dxa"/>
            <w:bottom w:w="0" w:type="dxa"/>
            <w:right w:w="108" w:type="dxa"/>
          </w:tblCellMar>
        </w:tblPrEx>
        <w:trPr>
          <w:trHeight w:val="701" w:hRule="atLeast"/>
          <w:tblCellSpacing w:w="0" w:type="dxa"/>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0BF7">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3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7B3D">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 xml:space="preserve">    全生物降解地膜 </w:t>
            </w:r>
          </w:p>
        </w:tc>
        <w:tc>
          <w:tcPr>
            <w:tcW w:w="2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7AB6D">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工业 </w:t>
            </w:r>
          </w:p>
        </w:tc>
      </w:tr>
      <w:tr w14:paraId="6720D511">
        <w:tblPrEx>
          <w:tblCellMar>
            <w:top w:w="0" w:type="dxa"/>
            <w:left w:w="108" w:type="dxa"/>
            <w:bottom w:w="0" w:type="dxa"/>
            <w:right w:w="108" w:type="dxa"/>
          </w:tblCellMar>
        </w:tblPrEx>
        <w:trPr>
          <w:trHeight w:val="746" w:hRule="atLeast"/>
          <w:tblCellSpacing w:w="0" w:type="dxa"/>
          <w:jc w:val="center"/>
        </w:trPr>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7EE0">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3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5A30">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791D">
            <w:pPr>
              <w:pStyle w:val="8"/>
              <w:spacing w:beforeAutospacing="0" w:afterAutospacing="0" w:line="0" w:lineRule="atLeast"/>
              <w:ind w:firstLine="72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55845A37">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w:t>
      </w:r>
    </w:p>
    <w:p w14:paraId="2E050D1A">
      <w:pPr>
        <w:pStyle w:val="8"/>
        <w:spacing w:beforeAutospacing="0" w:afterAutospacing="0" w:line="0" w:lineRule="atLeast"/>
        <w:ind w:firstLine="720"/>
        <w:jc w:val="both"/>
        <w:rPr>
          <w:rFonts w:ascii="宋体" w:hAnsi="宋体" w:eastAsia="宋体" w:cs="宋体"/>
          <w:color w:val="auto"/>
          <w:highlight w:val="none"/>
        </w:rPr>
      </w:pPr>
      <w:r>
        <w:rPr>
          <w:rFonts w:hint="eastAsia" w:ascii="宋体" w:hAnsi="宋体" w:eastAsia="宋体" w:cs="宋体"/>
          <w:color w:val="auto"/>
          <w:highlight w:val="none"/>
        </w:rPr>
        <w:t> </w:t>
      </w:r>
    </w:p>
    <w:p w14:paraId="46ADDA6C">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w:t>
      </w:r>
      <w:bookmarkStart w:id="176" w:name="_Toc120614281"/>
    </w:p>
    <w:p w14:paraId="5860DF19">
      <w:pPr>
        <w:pStyle w:val="8"/>
        <w:spacing w:beforeAutospacing="0" w:afterAutospacing="0"/>
        <w:ind w:firstLine="720"/>
        <w:jc w:val="both"/>
        <w:rPr>
          <w:rFonts w:ascii="宋体" w:hAnsi="宋体" w:eastAsia="宋体" w:cs="宋体"/>
          <w:color w:val="auto"/>
          <w:highlight w:val="none"/>
        </w:rPr>
      </w:pPr>
    </w:p>
    <w:p w14:paraId="293BEC76">
      <w:pPr>
        <w:pStyle w:val="8"/>
        <w:spacing w:beforeAutospacing="0" w:afterAutospacing="0"/>
        <w:ind w:firstLine="720"/>
        <w:jc w:val="both"/>
        <w:rPr>
          <w:rFonts w:ascii="宋体" w:hAnsi="宋体" w:eastAsia="宋体" w:cs="宋体"/>
          <w:color w:val="auto"/>
          <w:highlight w:val="none"/>
        </w:rPr>
      </w:pPr>
    </w:p>
    <w:p w14:paraId="3DF395B7">
      <w:pPr>
        <w:pStyle w:val="8"/>
        <w:spacing w:beforeAutospacing="0" w:afterAutospacing="0"/>
        <w:ind w:firstLine="720"/>
        <w:jc w:val="both"/>
        <w:rPr>
          <w:rFonts w:ascii="宋体" w:hAnsi="宋体" w:eastAsia="宋体" w:cs="宋体"/>
          <w:color w:val="auto"/>
          <w:highlight w:val="none"/>
        </w:rPr>
      </w:pPr>
    </w:p>
    <w:p w14:paraId="15C566A3">
      <w:pPr>
        <w:pStyle w:val="8"/>
        <w:spacing w:beforeAutospacing="0" w:afterAutospacing="0"/>
        <w:ind w:firstLine="720"/>
        <w:jc w:val="both"/>
        <w:rPr>
          <w:rFonts w:ascii="宋体" w:hAnsi="宋体" w:eastAsia="宋体" w:cs="宋体"/>
          <w:color w:val="auto"/>
          <w:highlight w:val="none"/>
        </w:rPr>
      </w:pPr>
    </w:p>
    <w:p w14:paraId="4FB422E0">
      <w:pPr>
        <w:pStyle w:val="8"/>
        <w:spacing w:beforeAutospacing="0" w:afterAutospacing="0"/>
        <w:ind w:firstLine="720"/>
        <w:jc w:val="both"/>
        <w:rPr>
          <w:rFonts w:ascii="宋体" w:hAnsi="宋体" w:eastAsia="宋体" w:cs="宋体"/>
          <w:color w:val="auto"/>
          <w:highlight w:val="none"/>
        </w:rPr>
      </w:pPr>
    </w:p>
    <w:p w14:paraId="00E7298C">
      <w:pPr>
        <w:pStyle w:val="8"/>
        <w:spacing w:beforeAutospacing="0" w:afterAutospacing="0"/>
        <w:ind w:firstLine="720"/>
        <w:jc w:val="both"/>
        <w:rPr>
          <w:rFonts w:ascii="宋体" w:hAnsi="宋体" w:eastAsia="宋体" w:cs="宋体"/>
          <w:color w:val="auto"/>
          <w:highlight w:val="none"/>
        </w:rPr>
      </w:pPr>
    </w:p>
    <w:p w14:paraId="7D138519">
      <w:pPr>
        <w:pStyle w:val="8"/>
        <w:spacing w:beforeAutospacing="0" w:afterAutospacing="0"/>
        <w:ind w:firstLine="720"/>
        <w:jc w:val="both"/>
        <w:rPr>
          <w:rFonts w:ascii="宋体" w:hAnsi="宋体" w:eastAsia="宋体" w:cs="宋体"/>
          <w:color w:val="auto"/>
          <w:highlight w:val="none"/>
        </w:rPr>
      </w:pPr>
    </w:p>
    <w:p w14:paraId="49196306">
      <w:pPr>
        <w:pStyle w:val="8"/>
        <w:spacing w:beforeAutospacing="0" w:afterAutospacing="0"/>
        <w:ind w:firstLine="720"/>
        <w:jc w:val="both"/>
        <w:rPr>
          <w:rFonts w:ascii="宋体" w:hAnsi="宋体" w:eastAsia="宋体" w:cs="宋体"/>
          <w:color w:val="auto"/>
          <w:highlight w:val="none"/>
        </w:rPr>
      </w:pPr>
    </w:p>
    <w:p w14:paraId="5C76D6C5">
      <w:pPr>
        <w:pStyle w:val="8"/>
        <w:spacing w:beforeAutospacing="0" w:afterAutospacing="0"/>
        <w:ind w:firstLine="720"/>
        <w:jc w:val="both"/>
        <w:rPr>
          <w:rFonts w:ascii="宋体" w:hAnsi="宋体" w:eastAsia="宋体" w:cs="宋体"/>
          <w:color w:val="auto"/>
          <w:highlight w:val="none"/>
        </w:rPr>
      </w:pPr>
    </w:p>
    <w:p w14:paraId="1F3B8A85">
      <w:pPr>
        <w:pStyle w:val="8"/>
        <w:spacing w:beforeAutospacing="0" w:afterAutospacing="0"/>
        <w:ind w:firstLine="720"/>
        <w:jc w:val="both"/>
        <w:rPr>
          <w:rFonts w:ascii="宋体" w:hAnsi="宋体" w:eastAsia="宋体" w:cs="宋体"/>
          <w:color w:val="auto"/>
          <w:highlight w:val="none"/>
        </w:rPr>
      </w:pPr>
    </w:p>
    <w:p w14:paraId="0A331F12">
      <w:pPr>
        <w:pStyle w:val="8"/>
        <w:spacing w:beforeAutospacing="0" w:afterAutospacing="0"/>
        <w:ind w:firstLine="720"/>
        <w:jc w:val="both"/>
        <w:rPr>
          <w:rFonts w:ascii="宋体" w:hAnsi="宋体" w:eastAsia="宋体" w:cs="宋体"/>
          <w:color w:val="auto"/>
          <w:highlight w:val="none"/>
        </w:rPr>
      </w:pPr>
    </w:p>
    <w:p w14:paraId="43729396">
      <w:pPr>
        <w:pStyle w:val="8"/>
        <w:spacing w:beforeAutospacing="0" w:afterAutospacing="0"/>
        <w:ind w:firstLine="720"/>
        <w:jc w:val="both"/>
        <w:rPr>
          <w:rFonts w:ascii="宋体" w:hAnsi="宋体" w:eastAsia="宋体" w:cs="宋体"/>
          <w:color w:val="auto"/>
          <w:highlight w:val="none"/>
        </w:rPr>
      </w:pPr>
    </w:p>
    <w:p w14:paraId="1722F8BD">
      <w:pPr>
        <w:pStyle w:val="8"/>
        <w:spacing w:beforeAutospacing="0" w:afterAutospacing="0"/>
        <w:ind w:firstLine="720"/>
        <w:jc w:val="both"/>
        <w:rPr>
          <w:rFonts w:ascii="宋体" w:hAnsi="宋体" w:eastAsia="宋体" w:cs="宋体"/>
          <w:color w:val="auto"/>
          <w:highlight w:val="none"/>
        </w:rPr>
      </w:pPr>
    </w:p>
    <w:p w14:paraId="3F571F08">
      <w:pPr>
        <w:pStyle w:val="8"/>
        <w:spacing w:beforeAutospacing="0" w:afterAutospacing="0"/>
        <w:ind w:firstLine="720"/>
        <w:jc w:val="both"/>
        <w:rPr>
          <w:rFonts w:ascii="宋体" w:hAnsi="宋体" w:eastAsia="宋体" w:cs="宋体"/>
          <w:color w:val="auto"/>
          <w:highlight w:val="none"/>
        </w:rPr>
      </w:pPr>
    </w:p>
    <w:p w14:paraId="27D544A6">
      <w:pPr>
        <w:pStyle w:val="8"/>
        <w:spacing w:beforeAutospacing="0" w:afterAutospacing="0"/>
        <w:ind w:firstLine="720"/>
        <w:jc w:val="both"/>
        <w:rPr>
          <w:rFonts w:ascii="宋体" w:hAnsi="宋体" w:eastAsia="宋体" w:cs="宋体"/>
          <w:color w:val="auto"/>
          <w:highlight w:val="none"/>
        </w:rPr>
      </w:pPr>
    </w:p>
    <w:p w14:paraId="121F0AE0">
      <w:pPr>
        <w:pStyle w:val="8"/>
        <w:spacing w:beforeAutospacing="0" w:afterAutospacing="0"/>
        <w:ind w:firstLine="720"/>
        <w:jc w:val="both"/>
        <w:rPr>
          <w:rFonts w:ascii="宋体" w:hAnsi="宋体" w:eastAsia="宋体" w:cs="宋体"/>
          <w:color w:val="auto"/>
          <w:highlight w:val="none"/>
        </w:rPr>
      </w:pPr>
    </w:p>
    <w:p w14:paraId="11C6A72A">
      <w:pPr>
        <w:pStyle w:val="8"/>
        <w:spacing w:beforeAutospacing="0" w:afterAutospacing="0"/>
        <w:ind w:firstLine="720"/>
        <w:jc w:val="both"/>
        <w:rPr>
          <w:rFonts w:ascii="宋体" w:hAnsi="宋体" w:eastAsia="宋体" w:cs="宋体"/>
          <w:color w:val="auto"/>
          <w:highlight w:val="none"/>
        </w:rPr>
      </w:pPr>
    </w:p>
    <w:p w14:paraId="3FDD01E1">
      <w:pPr>
        <w:pStyle w:val="8"/>
        <w:spacing w:beforeAutospacing="0" w:afterAutospacing="0"/>
        <w:ind w:firstLine="720"/>
        <w:jc w:val="both"/>
        <w:rPr>
          <w:rFonts w:ascii="宋体" w:hAnsi="宋体" w:eastAsia="宋体" w:cs="宋体"/>
          <w:color w:val="auto"/>
          <w:highlight w:val="none"/>
        </w:rPr>
      </w:pPr>
    </w:p>
    <w:p w14:paraId="02E2B1A4">
      <w:pPr>
        <w:pStyle w:val="8"/>
        <w:spacing w:beforeAutospacing="0" w:afterAutospacing="0"/>
        <w:ind w:firstLine="720"/>
        <w:jc w:val="both"/>
        <w:rPr>
          <w:rFonts w:ascii="宋体" w:hAnsi="宋体" w:eastAsia="宋体" w:cs="宋体"/>
          <w:color w:val="auto"/>
          <w:highlight w:val="none"/>
        </w:rPr>
      </w:pPr>
    </w:p>
    <w:p w14:paraId="2BF12535">
      <w:pPr>
        <w:pStyle w:val="8"/>
        <w:spacing w:beforeAutospacing="0" w:afterAutospacing="0"/>
        <w:ind w:firstLine="720"/>
        <w:jc w:val="both"/>
        <w:rPr>
          <w:color w:val="auto"/>
          <w:highlight w:val="none"/>
        </w:rPr>
      </w:pPr>
    </w:p>
    <w:p w14:paraId="08C62326">
      <w:pPr>
        <w:pStyle w:val="8"/>
        <w:spacing w:beforeAutospacing="0" w:afterAutospacing="0"/>
        <w:ind w:firstLine="720"/>
        <w:jc w:val="both"/>
        <w:rPr>
          <w:color w:val="auto"/>
          <w:highlight w:val="none"/>
        </w:rPr>
      </w:pPr>
    </w:p>
    <w:p w14:paraId="19322371">
      <w:pPr>
        <w:pStyle w:val="8"/>
        <w:spacing w:beforeAutospacing="0" w:afterAutospacing="0"/>
        <w:ind w:firstLine="720"/>
        <w:jc w:val="both"/>
        <w:rPr>
          <w:color w:val="auto"/>
          <w:highlight w:val="none"/>
        </w:rPr>
      </w:pPr>
    </w:p>
    <w:p w14:paraId="0F28C1D4">
      <w:pPr>
        <w:pStyle w:val="8"/>
        <w:spacing w:beforeAutospacing="0" w:afterAutospacing="0"/>
        <w:ind w:firstLine="720"/>
        <w:jc w:val="both"/>
        <w:rPr>
          <w:color w:val="auto"/>
          <w:highlight w:val="none"/>
        </w:rPr>
      </w:pPr>
    </w:p>
    <w:p w14:paraId="0A1E877E">
      <w:pPr>
        <w:pStyle w:val="8"/>
        <w:spacing w:beforeAutospacing="0" w:afterAutospacing="0"/>
        <w:ind w:firstLine="720"/>
        <w:jc w:val="both"/>
        <w:rPr>
          <w:color w:val="auto"/>
          <w:highlight w:val="none"/>
        </w:rPr>
      </w:pPr>
    </w:p>
    <w:p w14:paraId="41C85415">
      <w:pPr>
        <w:pStyle w:val="8"/>
        <w:keepNext/>
        <w:spacing w:beforeAutospacing="0" w:afterAutospacing="0"/>
        <w:ind w:firstLine="1320"/>
        <w:jc w:val="both"/>
        <w:rPr>
          <w:rFonts w:ascii="黑体" w:hAnsi="宋体" w:eastAsia="黑体" w:cs="黑体"/>
          <w:color w:val="auto"/>
          <w:sz w:val="44"/>
          <w:szCs w:val="44"/>
          <w:highlight w:val="none"/>
        </w:rPr>
      </w:pPr>
    </w:p>
    <w:p w14:paraId="4B0B2624">
      <w:pPr>
        <w:pStyle w:val="8"/>
        <w:keepNext/>
        <w:spacing w:beforeAutospacing="0" w:afterAutospacing="0"/>
        <w:ind w:firstLine="1320"/>
        <w:jc w:val="both"/>
        <w:rPr>
          <w:rFonts w:ascii="黑体" w:hAnsi="宋体" w:eastAsia="黑体" w:cs="黑体"/>
          <w:color w:val="auto"/>
          <w:sz w:val="44"/>
          <w:szCs w:val="44"/>
          <w:highlight w:val="none"/>
        </w:rPr>
      </w:pPr>
    </w:p>
    <w:p w14:paraId="4F52B17C">
      <w:pPr>
        <w:ind w:firstLine="1320"/>
        <w:rPr>
          <w:color w:val="auto"/>
          <w:highlight w:val="none"/>
        </w:rPr>
      </w:pPr>
      <w:r>
        <w:rPr>
          <w:rFonts w:hint="eastAsia" w:ascii="黑体" w:hAnsi="宋体" w:eastAsia="黑体" w:cs="黑体"/>
          <w:color w:val="auto"/>
          <w:sz w:val="44"/>
          <w:szCs w:val="44"/>
          <w:highlight w:val="none"/>
        </w:rPr>
        <w:t>第五章 </w:t>
      </w:r>
      <w:r>
        <w:rPr>
          <w:rFonts w:hint="eastAsia" w:ascii="黑体" w:hAnsi="宋体" w:eastAsia="黑体" w:cs="黑体"/>
          <w:b/>
          <w:color w:val="auto"/>
          <w:sz w:val="44"/>
          <w:szCs w:val="44"/>
          <w:highlight w:val="none"/>
        </w:rPr>
        <w:t>评标方法与评标标准</w:t>
      </w:r>
    </w:p>
    <w:p w14:paraId="119DF58E">
      <w:pPr>
        <w:pStyle w:val="8"/>
        <w:spacing w:beforeAutospacing="0" w:afterAutospacing="0"/>
        <w:ind w:firstLine="720"/>
        <w:jc w:val="both"/>
        <w:rPr>
          <w:color w:val="auto"/>
          <w:highlight w:val="none"/>
        </w:rPr>
      </w:pPr>
      <w:r>
        <w:rPr>
          <w:color w:val="auto"/>
          <w:highlight w:val="none"/>
        </w:rPr>
        <w:t> </w:t>
      </w:r>
    </w:p>
    <w:p w14:paraId="668FEA9F">
      <w:pPr>
        <w:snapToGrid w:val="0"/>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2C328EAE">
      <w:pPr>
        <w:snapToGri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bCs/>
          <w:color w:val="auto"/>
          <w:sz w:val="24"/>
          <w:highlight w:val="none"/>
        </w:rPr>
        <w:t>1、本项目采用最低评标价法评审，评标委员会将对投标文件进行评审和比较，在符合采购需求、质量和服务相等的前提下，有效投标数量最多的（有效投标报价不得高于预算价）确定为中标候选人</w:t>
      </w:r>
      <w:r>
        <w:rPr>
          <w:rFonts w:hint="eastAsia" w:ascii="宋体" w:hAnsi="宋体" w:eastAsia="宋体" w:cs="宋体"/>
          <w:color w:val="auto"/>
          <w:kern w:val="0"/>
          <w:sz w:val="24"/>
          <w:highlight w:val="none"/>
        </w:rPr>
        <w:t>，本项目选取1名中标候选人。</w:t>
      </w:r>
    </w:p>
    <w:p w14:paraId="2BC4BF77">
      <w:pPr>
        <w:snapToGri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2、投标人所投两项采购内容的拟供货数量，均不得低于招标文件规定的最低采购数量，且对应分项报价均不得高于分项采购预算；</w:t>
      </w:r>
    </w:p>
    <w:p w14:paraId="738C6BAE">
      <w:pPr>
        <w:snapToGri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3、在满足上述条件的投标人中，总供货数量最多的投标人为中标候选人；</w:t>
      </w:r>
    </w:p>
    <w:p w14:paraId="5CAD3746">
      <w:pPr>
        <w:snapToGri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4、若投标人总供货数量相同，则按加厚高强度地膜拟供货数量多者为中标候选人；</w:t>
      </w:r>
    </w:p>
    <w:p w14:paraId="4246C369">
      <w:pPr>
        <w:snapToGrid w:val="0"/>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5、若加厚高强度地膜拟供货数量仍相同，由采购人或者采购人委托评标委员会按照招标文件规定的方式确定，招标文件未规定的采取随机抽取方式确定。</w:t>
      </w:r>
    </w:p>
    <w:p w14:paraId="2A7125E0">
      <w:pPr>
        <w:pStyle w:val="8"/>
        <w:spacing w:before="120" w:beforeAutospacing="0" w:after="120" w:afterAutospacing="0" w:line="360" w:lineRule="auto"/>
        <w:ind w:firstLine="723"/>
        <w:rPr>
          <w:rFonts w:ascii="宋体" w:hAnsi="宋体" w:eastAsia="宋体" w:cs="宋体"/>
          <w:color w:val="auto"/>
          <w:highlight w:val="none"/>
        </w:rPr>
      </w:pPr>
      <w:r>
        <w:rPr>
          <w:rFonts w:hint="eastAsia" w:ascii="宋体" w:hAnsi="宋体" w:eastAsia="宋体" w:cs="宋体"/>
          <w:b/>
          <w:color w:val="auto"/>
          <w:highlight w:val="none"/>
        </w:rPr>
        <w:t>政府采购政策功能落实</w:t>
      </w:r>
    </w:p>
    <w:p w14:paraId="7BAAA33E">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1、小微型企业价格扣除</w:t>
      </w:r>
    </w:p>
    <w:p w14:paraId="187A4FA4">
      <w:pPr>
        <w:pStyle w:val="17"/>
        <w:ind w:firstLine="360" w:firstLineChars="150"/>
        <w:rPr>
          <w:rFonts w:ascii="宋体" w:hAnsi="宋体" w:eastAsia="宋体" w:cs="宋体"/>
          <w:color w:val="auto"/>
          <w:highlight w:val="none"/>
        </w:rPr>
      </w:pPr>
      <w:r>
        <w:rPr>
          <w:rFonts w:hint="eastAsia" w:ascii="宋体" w:hAnsi="宋体" w:eastAsia="宋体" w:cs="宋体"/>
          <w:color w:val="auto"/>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393B146D">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（2）供应商需按照采购文件的要求提供相应的《</w:t>
      </w:r>
      <w:r>
        <w:rPr>
          <w:rFonts w:hint="eastAsia" w:ascii="宋体" w:hAnsi="宋体" w:eastAsia="宋体" w:cs="宋体"/>
          <w:color w:val="auto"/>
          <w:highlight w:val="none"/>
        </w:rPr>
        <w:t>中小企业声明函</w:t>
      </w:r>
      <w:r>
        <w:rPr>
          <w:rFonts w:hint="eastAsia" w:ascii="宋体" w:hAnsi="宋体" w:eastAsia="宋体" w:cs="宋体"/>
          <w:color w:val="auto"/>
          <w:highlight w:val="none"/>
        </w:rPr>
        <w:t>》。</w:t>
      </w:r>
    </w:p>
    <w:p w14:paraId="07751C33">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2DCA9D8F">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2、残疾人福利单位价格扣除</w:t>
      </w:r>
    </w:p>
    <w:p w14:paraId="0E8D4170">
      <w:pPr>
        <w:pStyle w:val="8"/>
        <w:spacing w:before="120" w:beforeAutospacing="0" w:after="120" w:afterAutospacing="0" w:line="360" w:lineRule="auto"/>
        <w:ind w:left="120" w:firstLine="720"/>
        <w:rPr>
          <w:rFonts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p>
    <w:p w14:paraId="441B7F16">
      <w:pPr>
        <w:pStyle w:val="8"/>
        <w:spacing w:before="120" w:beforeAutospacing="0" w:after="120" w:afterAutospacing="0" w:line="360" w:lineRule="auto"/>
        <w:ind w:left="120" w:firstLine="720"/>
        <w:rPr>
          <w:rFonts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574A996A">
      <w:pPr>
        <w:pStyle w:val="8"/>
        <w:spacing w:before="120" w:beforeAutospacing="0" w:after="120" w:afterAutospacing="0" w:line="360" w:lineRule="auto"/>
        <w:ind w:left="120" w:firstLine="720"/>
        <w:rPr>
          <w:rFonts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500E9357">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3、监狱和戒毒企业价格扣除</w:t>
      </w:r>
    </w:p>
    <w:p w14:paraId="78CD3014">
      <w:pPr>
        <w:pStyle w:val="8"/>
        <w:spacing w:before="120" w:beforeAutospacing="0" w:after="120" w:afterAutospacing="0" w:line="360" w:lineRule="auto"/>
        <w:ind w:firstLine="720"/>
        <w:rPr>
          <w:rFonts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p>
    <w:p w14:paraId="759EF746">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5AB6C78C">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5C8243AF">
      <w:pPr>
        <w:pStyle w:val="8"/>
        <w:spacing w:before="120" w:beforeAutospacing="0" w:after="120" w:afterAutospacing="0" w:line="360" w:lineRule="auto"/>
        <w:ind w:firstLine="720"/>
        <w:rPr>
          <w:rFonts w:ascii="宋体" w:hAnsi="宋体" w:eastAsia="宋体" w:cs="宋体"/>
          <w:color w:val="auto"/>
          <w:highlight w:val="none"/>
        </w:rPr>
      </w:pPr>
      <w:r>
        <w:rPr>
          <w:rFonts w:hint="eastAsia" w:ascii="宋体" w:hAnsi="宋体" w:eastAsia="宋体" w:cs="宋体"/>
          <w:color w:val="auto"/>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4608FE61">
      <w:pPr>
        <w:pStyle w:val="8"/>
        <w:spacing w:before="120" w:beforeAutospacing="0" w:after="120" w:afterAutospacing="0" w:line="360" w:lineRule="auto"/>
        <w:ind w:left="120" w:firstLine="720"/>
        <w:rPr>
          <w:rFonts w:ascii="宋体" w:hAnsi="宋体" w:eastAsia="宋体" w:cs="宋体"/>
          <w:color w:val="auto"/>
          <w:highlight w:val="none"/>
        </w:rPr>
      </w:pPr>
      <w:r>
        <w:rPr>
          <w:rFonts w:hint="eastAsia" w:ascii="宋体" w:hAnsi="宋体" w:eastAsia="宋体" w:cs="宋体"/>
          <w:color w:val="auto"/>
          <w:highlight w:val="none"/>
        </w:rPr>
        <w:t>6、联合体各方均为小型、微型企业（残疾人福利单位、监狱企业）的，联合体享受20%的价格扣除。</w:t>
      </w:r>
    </w:p>
    <w:p w14:paraId="28F003F6">
      <w:pPr>
        <w:adjustRightInd w:val="0"/>
        <w:spacing w:line="360" w:lineRule="auto"/>
        <w:ind w:firstLine="480" w:firstLineChars="200"/>
        <w:jc w:val="left"/>
        <w:textAlignment w:val="baseline"/>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7、采购本国产品的支持政策</w:t>
      </w:r>
    </w:p>
    <w:p w14:paraId="7ED836E6">
      <w:pPr>
        <w:adjustRightInd w:val="0"/>
        <w:spacing w:line="360" w:lineRule="auto"/>
        <w:ind w:firstLine="480" w:firstLineChars="200"/>
        <w:jc w:val="left"/>
        <w:textAlignment w:val="baseline"/>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color w:val="auto"/>
          <w:sz w:val="24"/>
          <w:highlight w:val="none"/>
          <w:u w:val="single"/>
        </w:rPr>
        <w:t>20%</w:t>
      </w:r>
      <w:r>
        <w:rPr>
          <w:rFonts w:hint="eastAsia" w:asciiTheme="minorEastAsia" w:hAnsiTheme="minorEastAsia" w:cstheme="minorEastAsia"/>
          <w:color w:val="auto"/>
          <w:sz w:val="24"/>
          <w:highlight w:val="none"/>
        </w:rPr>
        <w:t>的价格扣除，用扣除后的价格参与评审。</w:t>
      </w:r>
    </w:p>
    <w:p w14:paraId="3F4F60AA">
      <w:pPr>
        <w:adjustRightInd w:val="0"/>
        <w:spacing w:line="360" w:lineRule="auto"/>
        <w:ind w:firstLine="480" w:firstLineChars="200"/>
        <w:jc w:val="left"/>
        <w:textAlignment w:val="baseline"/>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color w:val="auto"/>
          <w:sz w:val="24"/>
          <w:highlight w:val="none"/>
          <w:u w:val="single"/>
        </w:rPr>
        <w:t>80%</w:t>
      </w:r>
      <w:r>
        <w:rPr>
          <w:rFonts w:hint="eastAsia" w:asciiTheme="minorEastAsia" w:hAnsiTheme="minorEastAsia" w:cstheme="minorEastAsia"/>
          <w:color w:val="auto"/>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color w:val="auto"/>
          <w:sz w:val="24"/>
          <w:highlight w:val="none"/>
          <w:u w:val="single"/>
        </w:rPr>
        <w:t>20%</w:t>
      </w:r>
      <w:r>
        <w:rPr>
          <w:rFonts w:hint="eastAsia" w:asciiTheme="minorEastAsia" w:hAnsiTheme="minorEastAsia" w:cstheme="minorEastAsia"/>
          <w:color w:val="auto"/>
          <w:sz w:val="24"/>
          <w:highlight w:val="none"/>
        </w:rPr>
        <w:t>的价格扣除，用扣除后的价格参与评审。供应商未填写比例数值，或比例数值未达到80%的，将不享受本国产品价格评审优惠。</w:t>
      </w:r>
    </w:p>
    <w:p w14:paraId="7A74A732">
      <w:pPr>
        <w:adjustRightInd w:val="0"/>
        <w:spacing w:line="360" w:lineRule="auto"/>
        <w:ind w:firstLine="480" w:firstLineChars="200"/>
        <w:jc w:val="left"/>
        <w:textAlignment w:val="baseline"/>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7.3 供应商需按照招标文件的要求提供《关于符合本国产品标准的声明函》（以下简称《声明函》），如不提供将不享受本国产品价格评审优惠。</w:t>
      </w:r>
    </w:p>
    <w:p w14:paraId="3CCAA339">
      <w:pPr>
        <w:adjustRightInd w:val="0"/>
        <w:spacing w:line="360" w:lineRule="auto"/>
        <w:ind w:firstLine="480" w:firstLineChars="200"/>
        <w:jc w:val="left"/>
        <w:textAlignment w:val="baseline"/>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pPr>
        <w:adjustRightInd w:val="0"/>
        <w:spacing w:line="360" w:lineRule="auto"/>
        <w:ind w:firstLine="480" w:firstLineChars="200"/>
        <w:jc w:val="left"/>
        <w:textAlignment w:val="baseline"/>
        <w:rPr>
          <w:rFonts w:ascii="宋体" w:hAnsi="宋体" w:eastAsia="宋体" w:cs="宋体"/>
          <w:color w:val="auto"/>
          <w:sz w:val="24"/>
          <w:highlight w:val="none"/>
        </w:rPr>
      </w:pPr>
      <w:r>
        <w:rPr>
          <w:rFonts w:hint="eastAsia" w:asciiTheme="minorEastAsia" w:hAnsiTheme="minorEastAsia" w:cstheme="minorEastAsia"/>
          <w:color w:val="auto"/>
          <w:sz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rPr>
        <w:t>在苏采云系统要求</w:t>
      </w:r>
      <w:r>
        <w:rPr>
          <w:rFonts w:hint="eastAsia" w:asciiTheme="minorEastAsia" w:hAnsiTheme="minorEastAsia" w:cstheme="minorEastAsia"/>
          <w:color w:val="auto"/>
          <w:sz w:val="24"/>
          <w:highlight w:val="none"/>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B42547A">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0F8A15B4">
      <w:pPr>
        <w:pStyle w:val="8"/>
        <w:keepNext/>
        <w:spacing w:beforeAutospacing="0" w:afterAutospacing="0"/>
        <w:ind w:firstLine="1320"/>
        <w:jc w:val="center"/>
        <w:rPr>
          <w:rFonts w:ascii="黑体" w:hAnsi="宋体" w:eastAsia="黑体" w:cs="黑体"/>
          <w:color w:val="auto"/>
          <w:sz w:val="44"/>
          <w:szCs w:val="44"/>
          <w:highlight w:val="none"/>
        </w:rPr>
      </w:pPr>
    </w:p>
    <w:p w14:paraId="5D4B81EA">
      <w:pPr>
        <w:pStyle w:val="8"/>
        <w:keepNext/>
        <w:spacing w:beforeAutospacing="0" w:afterAutospacing="0"/>
        <w:ind w:firstLine="1320"/>
        <w:jc w:val="center"/>
        <w:rPr>
          <w:rFonts w:ascii="黑体" w:hAnsi="宋体" w:eastAsia="黑体" w:cs="黑体"/>
          <w:color w:val="auto"/>
          <w:sz w:val="44"/>
          <w:szCs w:val="44"/>
          <w:highlight w:val="none"/>
        </w:rPr>
      </w:pPr>
    </w:p>
    <w:p w14:paraId="7D581E7D">
      <w:pPr>
        <w:pStyle w:val="8"/>
        <w:keepNext/>
        <w:spacing w:beforeAutospacing="0" w:afterAutospacing="0"/>
        <w:jc w:val="both"/>
        <w:rPr>
          <w:rFonts w:ascii="黑体" w:hAnsi="宋体" w:eastAsia="黑体" w:cs="黑体"/>
          <w:color w:val="auto"/>
          <w:sz w:val="44"/>
          <w:szCs w:val="44"/>
          <w:highlight w:val="none"/>
        </w:rPr>
      </w:pPr>
    </w:p>
    <w:p w14:paraId="6DAFAFEE">
      <w:pPr>
        <w:pStyle w:val="8"/>
        <w:keepNext/>
        <w:spacing w:beforeAutospacing="0" w:afterAutospacing="0"/>
        <w:ind w:firstLine="1320"/>
        <w:jc w:val="center"/>
        <w:rPr>
          <w:rFonts w:ascii="黑体" w:hAnsi="宋体" w:eastAsia="黑体" w:cs="黑体"/>
          <w:color w:val="auto"/>
          <w:sz w:val="44"/>
          <w:szCs w:val="44"/>
          <w:highlight w:val="none"/>
        </w:rPr>
      </w:pPr>
    </w:p>
    <w:p w14:paraId="0367625D">
      <w:pPr>
        <w:pStyle w:val="8"/>
        <w:keepNext/>
        <w:spacing w:beforeAutospacing="0" w:afterAutospacing="0"/>
        <w:ind w:firstLine="132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791CE77D">
      <w:pPr>
        <w:pStyle w:val="8"/>
        <w:spacing w:beforeAutospacing="0" w:afterAutospacing="0"/>
        <w:ind w:firstLine="1446" w:firstLineChars="200"/>
        <w:jc w:val="both"/>
        <w:rPr>
          <w:rFonts w:hint="eastAsia" w:ascii="宋体" w:hAnsi="宋体" w:eastAsia="宋体" w:cs="宋体"/>
          <w:b/>
          <w:color w:val="auto"/>
          <w:sz w:val="72"/>
          <w:szCs w:val="72"/>
          <w:highlight w:val="none"/>
        </w:rPr>
      </w:pPr>
      <w:bookmarkStart w:id="177" w:name="_Toc120614282"/>
      <w:bookmarkEnd w:id="177"/>
      <w:bookmarkStart w:id="178" w:name="_Toc49090576"/>
      <w:bookmarkEnd w:id="178"/>
      <w:bookmarkStart w:id="179" w:name="_Hlt26955039"/>
      <w:bookmarkStart w:id="180" w:name="_Toc26554094"/>
      <w:bookmarkStart w:id="181" w:name="_Hlt26671244"/>
    </w:p>
    <w:p w14:paraId="0B1A27A8">
      <w:pPr>
        <w:pStyle w:val="8"/>
        <w:spacing w:beforeAutospacing="0" w:afterAutospacing="0"/>
        <w:ind w:firstLine="1446" w:firstLineChars="200"/>
        <w:jc w:val="both"/>
        <w:rPr>
          <w:color w:val="auto"/>
          <w:highlight w:val="none"/>
        </w:rPr>
      </w:pPr>
      <w:r>
        <w:rPr>
          <w:rFonts w:hint="eastAsia" w:ascii="宋体" w:hAnsi="宋体" w:eastAsia="宋体" w:cs="宋体"/>
          <w:b/>
          <w:color w:val="auto"/>
          <w:sz w:val="72"/>
          <w:szCs w:val="72"/>
          <w:highlight w:val="none"/>
        </w:rPr>
        <w:t>投  标  文  件</w:t>
      </w:r>
    </w:p>
    <w:p w14:paraId="6F7385F4">
      <w:pPr>
        <w:pStyle w:val="8"/>
        <w:spacing w:beforeAutospacing="0" w:afterAutospacing="0"/>
        <w:ind w:firstLine="720"/>
        <w:jc w:val="center"/>
        <w:rPr>
          <w:color w:val="auto"/>
          <w:highlight w:val="none"/>
        </w:rPr>
      </w:pPr>
      <w:r>
        <w:rPr>
          <w:color w:val="auto"/>
          <w:highlight w:val="none"/>
        </w:rPr>
        <w:t> </w:t>
      </w:r>
    </w:p>
    <w:p w14:paraId="116EE8BE">
      <w:pPr>
        <w:pStyle w:val="8"/>
        <w:spacing w:beforeAutospacing="0" w:afterAutospacing="0"/>
        <w:ind w:firstLine="720"/>
        <w:jc w:val="center"/>
        <w:rPr>
          <w:color w:val="auto"/>
          <w:highlight w:val="none"/>
        </w:rPr>
      </w:pPr>
      <w:r>
        <w:rPr>
          <w:color w:val="auto"/>
          <w:highlight w:val="none"/>
        </w:rPr>
        <w:t> </w:t>
      </w:r>
    </w:p>
    <w:p w14:paraId="1689E381">
      <w:pPr>
        <w:pStyle w:val="8"/>
        <w:spacing w:beforeAutospacing="0" w:afterAutospacing="0"/>
        <w:ind w:firstLine="720"/>
        <w:jc w:val="center"/>
        <w:rPr>
          <w:color w:val="auto"/>
          <w:highlight w:val="none"/>
        </w:rPr>
      </w:pPr>
      <w:r>
        <w:rPr>
          <w:color w:val="auto"/>
          <w:highlight w:val="none"/>
        </w:rPr>
        <w:t> </w:t>
      </w:r>
    </w:p>
    <w:p w14:paraId="1172103B">
      <w:pPr>
        <w:pStyle w:val="8"/>
        <w:spacing w:beforeAutospacing="0" w:afterAutospacing="0"/>
        <w:ind w:firstLine="720"/>
        <w:jc w:val="center"/>
        <w:rPr>
          <w:color w:val="auto"/>
          <w:highlight w:val="none"/>
        </w:rPr>
      </w:pPr>
      <w:r>
        <w:rPr>
          <w:color w:val="auto"/>
          <w:highlight w:val="none"/>
        </w:rPr>
        <w:t> </w:t>
      </w:r>
    </w:p>
    <w:p w14:paraId="773BE420">
      <w:pPr>
        <w:pStyle w:val="8"/>
        <w:spacing w:beforeAutospacing="0" w:afterAutospacing="0"/>
        <w:ind w:firstLine="720"/>
        <w:jc w:val="center"/>
        <w:rPr>
          <w:color w:val="auto"/>
          <w:highlight w:val="none"/>
        </w:rPr>
      </w:pPr>
      <w:r>
        <w:rPr>
          <w:color w:val="auto"/>
          <w:highlight w:val="none"/>
        </w:rPr>
        <w:t> </w:t>
      </w:r>
    </w:p>
    <w:p w14:paraId="0D9C9B44">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4C9C4B28">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2B329B95">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1E760D54">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307A6EE9">
      <w:pPr>
        <w:pStyle w:val="8"/>
        <w:spacing w:beforeAutospacing="0" w:afterAutospacing="0" w:line="0" w:lineRule="atLeast"/>
        <w:ind w:firstLine="720"/>
        <w:jc w:val="center"/>
        <w:rPr>
          <w:color w:val="auto"/>
          <w:highlight w:val="none"/>
        </w:rPr>
      </w:pPr>
    </w:p>
    <w:p w14:paraId="522BF4B7">
      <w:pPr>
        <w:pStyle w:val="8"/>
        <w:spacing w:beforeAutospacing="0" w:afterAutospacing="0" w:line="0" w:lineRule="atLeast"/>
        <w:ind w:firstLine="720"/>
        <w:jc w:val="center"/>
        <w:rPr>
          <w:color w:val="auto"/>
          <w:highlight w:val="none"/>
        </w:rPr>
      </w:pPr>
    </w:p>
    <w:p w14:paraId="1D6C4EA9">
      <w:pPr>
        <w:pStyle w:val="8"/>
        <w:spacing w:beforeAutospacing="0" w:afterAutospacing="0" w:line="0" w:lineRule="atLeast"/>
        <w:ind w:firstLine="720"/>
        <w:jc w:val="center"/>
        <w:rPr>
          <w:color w:val="auto"/>
          <w:highlight w:val="none"/>
        </w:rPr>
      </w:pPr>
    </w:p>
    <w:p w14:paraId="3FCD9059">
      <w:pPr>
        <w:pStyle w:val="8"/>
        <w:spacing w:beforeAutospacing="0" w:afterAutospacing="0" w:line="0" w:lineRule="atLeast"/>
        <w:ind w:firstLine="720"/>
        <w:jc w:val="center"/>
        <w:rPr>
          <w:color w:val="auto"/>
          <w:highlight w:val="none"/>
        </w:rPr>
      </w:pPr>
    </w:p>
    <w:p w14:paraId="65EE8389">
      <w:pPr>
        <w:pStyle w:val="8"/>
        <w:spacing w:beforeAutospacing="0" w:afterAutospacing="0" w:line="0" w:lineRule="atLeast"/>
        <w:ind w:firstLine="720"/>
        <w:jc w:val="center"/>
        <w:rPr>
          <w:color w:val="auto"/>
          <w:highlight w:val="none"/>
        </w:rPr>
      </w:pPr>
    </w:p>
    <w:p w14:paraId="1F00DE46">
      <w:pPr>
        <w:pStyle w:val="8"/>
        <w:spacing w:beforeAutospacing="0" w:afterAutospacing="0" w:line="0" w:lineRule="atLeast"/>
        <w:ind w:firstLine="720"/>
        <w:jc w:val="center"/>
        <w:rPr>
          <w:color w:val="auto"/>
          <w:highlight w:val="none"/>
        </w:rPr>
      </w:pPr>
    </w:p>
    <w:p w14:paraId="1FFCB483">
      <w:pPr>
        <w:pStyle w:val="8"/>
        <w:spacing w:beforeAutospacing="0" w:afterAutospacing="0" w:line="0" w:lineRule="atLeast"/>
        <w:ind w:firstLine="720"/>
        <w:jc w:val="center"/>
        <w:rPr>
          <w:color w:val="auto"/>
          <w:highlight w:val="none"/>
        </w:rPr>
      </w:pPr>
    </w:p>
    <w:p w14:paraId="4AC9675D">
      <w:pPr>
        <w:pStyle w:val="8"/>
        <w:spacing w:beforeAutospacing="0" w:afterAutospacing="0" w:line="0" w:lineRule="atLeast"/>
        <w:ind w:firstLine="720"/>
        <w:jc w:val="center"/>
        <w:rPr>
          <w:color w:val="auto"/>
          <w:highlight w:val="none"/>
        </w:rPr>
      </w:pPr>
    </w:p>
    <w:p w14:paraId="69C2000F">
      <w:pPr>
        <w:pStyle w:val="8"/>
        <w:spacing w:beforeAutospacing="0" w:afterAutospacing="0" w:line="0" w:lineRule="atLeast"/>
        <w:ind w:firstLine="720"/>
        <w:jc w:val="center"/>
        <w:rPr>
          <w:color w:val="auto"/>
          <w:highlight w:val="none"/>
        </w:rPr>
      </w:pPr>
    </w:p>
    <w:p w14:paraId="7E4BDA90">
      <w:pPr>
        <w:pStyle w:val="8"/>
        <w:spacing w:beforeAutospacing="0" w:afterAutospacing="0" w:line="0" w:lineRule="atLeast"/>
        <w:ind w:firstLine="720"/>
        <w:jc w:val="center"/>
        <w:rPr>
          <w:color w:val="auto"/>
          <w:highlight w:val="none"/>
        </w:rPr>
      </w:pPr>
    </w:p>
    <w:p w14:paraId="0DC7683E">
      <w:pPr>
        <w:pStyle w:val="8"/>
        <w:spacing w:beforeAutospacing="0" w:afterAutospacing="0" w:line="0" w:lineRule="atLeast"/>
        <w:ind w:firstLine="720"/>
        <w:jc w:val="center"/>
        <w:rPr>
          <w:color w:val="auto"/>
          <w:highlight w:val="none"/>
        </w:rPr>
      </w:pPr>
    </w:p>
    <w:p w14:paraId="2D890F00">
      <w:pPr>
        <w:pStyle w:val="8"/>
        <w:spacing w:beforeAutospacing="0" w:afterAutospacing="0" w:line="0" w:lineRule="atLeast"/>
        <w:ind w:firstLine="720"/>
        <w:jc w:val="center"/>
        <w:rPr>
          <w:color w:val="auto"/>
          <w:highlight w:val="none"/>
        </w:rPr>
      </w:pPr>
    </w:p>
    <w:p w14:paraId="29E1B56C">
      <w:pPr>
        <w:pStyle w:val="8"/>
        <w:spacing w:beforeAutospacing="0" w:afterAutospacing="0" w:line="0" w:lineRule="atLeast"/>
        <w:ind w:firstLine="720"/>
        <w:jc w:val="center"/>
        <w:rPr>
          <w:color w:val="auto"/>
          <w:highlight w:val="none"/>
        </w:rPr>
      </w:pPr>
    </w:p>
    <w:p w14:paraId="6471E7F3">
      <w:pPr>
        <w:pStyle w:val="8"/>
        <w:spacing w:beforeAutospacing="0" w:afterAutospacing="0" w:line="0" w:lineRule="atLeast"/>
        <w:ind w:firstLine="720"/>
        <w:jc w:val="center"/>
        <w:rPr>
          <w:color w:val="auto"/>
          <w:highlight w:val="none"/>
        </w:rPr>
      </w:pPr>
    </w:p>
    <w:p w14:paraId="5D1F59E6">
      <w:pPr>
        <w:pStyle w:val="8"/>
        <w:spacing w:beforeAutospacing="0" w:afterAutospacing="0" w:line="0" w:lineRule="atLeast"/>
        <w:ind w:firstLine="720"/>
        <w:jc w:val="center"/>
        <w:rPr>
          <w:color w:val="auto"/>
          <w:highlight w:val="none"/>
        </w:rPr>
      </w:pPr>
    </w:p>
    <w:p w14:paraId="0CAEBA60">
      <w:pPr>
        <w:pStyle w:val="8"/>
        <w:spacing w:beforeAutospacing="0" w:afterAutospacing="0" w:line="0" w:lineRule="atLeast"/>
        <w:ind w:firstLine="720"/>
        <w:jc w:val="center"/>
        <w:rPr>
          <w:color w:val="auto"/>
          <w:highlight w:val="none"/>
        </w:rPr>
      </w:pPr>
    </w:p>
    <w:p w14:paraId="07EF36E9">
      <w:pPr>
        <w:pStyle w:val="8"/>
        <w:spacing w:beforeAutospacing="0" w:afterAutospacing="0" w:line="0" w:lineRule="atLeast"/>
        <w:ind w:firstLine="720"/>
        <w:jc w:val="center"/>
        <w:rPr>
          <w:color w:val="auto"/>
          <w:highlight w:val="none"/>
        </w:rPr>
      </w:pPr>
    </w:p>
    <w:p w14:paraId="49340767">
      <w:pPr>
        <w:pStyle w:val="8"/>
        <w:spacing w:beforeAutospacing="0" w:afterAutospacing="0" w:line="0" w:lineRule="atLeast"/>
        <w:ind w:firstLine="720"/>
        <w:jc w:val="center"/>
        <w:rPr>
          <w:color w:val="auto"/>
          <w:highlight w:val="none"/>
        </w:rPr>
      </w:pPr>
    </w:p>
    <w:p w14:paraId="1AB9D314">
      <w:pPr>
        <w:pStyle w:val="8"/>
        <w:spacing w:beforeAutospacing="0" w:afterAutospacing="0" w:line="0" w:lineRule="atLeast"/>
        <w:ind w:firstLine="720"/>
        <w:jc w:val="center"/>
        <w:rPr>
          <w:color w:val="auto"/>
          <w:highlight w:val="none"/>
        </w:rPr>
      </w:pPr>
    </w:p>
    <w:p w14:paraId="659BF965">
      <w:pPr>
        <w:pStyle w:val="8"/>
        <w:spacing w:beforeAutospacing="0" w:afterAutospacing="0" w:line="0" w:lineRule="atLeast"/>
        <w:ind w:firstLine="964"/>
        <w:jc w:val="center"/>
        <w:rPr>
          <w:color w:val="auto"/>
          <w:highlight w:val="none"/>
        </w:rPr>
      </w:pPr>
      <w:r>
        <w:rPr>
          <w:rFonts w:hint="eastAsia" w:ascii="宋体" w:hAnsi="宋体" w:eastAsia="宋体" w:cs="宋体"/>
          <w:b/>
          <w:color w:val="auto"/>
          <w:sz w:val="32"/>
          <w:szCs w:val="32"/>
          <w:highlight w:val="none"/>
        </w:rPr>
        <w:t>投标文件目录</w:t>
      </w:r>
    </w:p>
    <w:p w14:paraId="0D494503">
      <w:pPr>
        <w:pStyle w:val="8"/>
        <w:spacing w:beforeAutospacing="0" w:afterAutospacing="0" w:line="0" w:lineRule="atLeast"/>
        <w:ind w:firstLine="720"/>
        <w:jc w:val="center"/>
        <w:rPr>
          <w:color w:val="auto"/>
          <w:highlight w:val="none"/>
        </w:rPr>
      </w:pPr>
      <w:r>
        <w:rPr>
          <w:color w:val="auto"/>
          <w:highlight w:val="none"/>
        </w:rPr>
        <w:t> </w:t>
      </w:r>
    </w:p>
    <w:p w14:paraId="2DD541B5">
      <w:pPr>
        <w:pStyle w:val="8"/>
        <w:spacing w:beforeAutospacing="0" w:afterAutospacing="0"/>
        <w:ind w:firstLine="480" w:firstLineChars="200"/>
        <w:jc w:val="both"/>
        <w:rPr>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47C0EAF7">
      <w:pPr>
        <w:tabs>
          <w:tab w:val="left" w:pos="1331"/>
        </w:tabs>
        <w:ind w:firstLine="480" w:firstLineChars="200"/>
        <w:jc w:val="left"/>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二、上一年度的财务状况报告（至少提供资产负债表、利润表、现金流量表，</w:t>
      </w:r>
    </w:p>
    <w:p w14:paraId="3C361A66">
      <w:pPr>
        <w:pStyle w:val="8"/>
        <w:spacing w:beforeAutospacing="0" w:afterAutospacing="0"/>
        <w:ind w:left="480" w:firstLine="720"/>
        <w:jc w:val="both"/>
        <w:rPr>
          <w:iCs/>
          <w:color w:val="auto"/>
          <w:highlight w:val="none"/>
        </w:rPr>
      </w:pPr>
      <w:r>
        <w:rPr>
          <w:rFonts w:hint="eastAsia" w:ascii="宋体" w:hAnsi="宋体" w:eastAsia="宋体" w:cs="宋体"/>
          <w:iCs/>
          <w:color w:val="auto"/>
          <w:highlight w:val="none"/>
        </w:rPr>
        <w:t>投标人成立不满一年无需提供）</w:t>
      </w:r>
    </w:p>
    <w:p w14:paraId="3629C146">
      <w:pPr>
        <w:pStyle w:val="8"/>
        <w:spacing w:beforeAutospacing="0" w:afterAutospacing="0"/>
        <w:ind w:firstLine="480" w:firstLineChars="200"/>
        <w:jc w:val="both"/>
        <w:rPr>
          <w:rFonts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45838A78">
      <w:pPr>
        <w:pStyle w:val="8"/>
        <w:spacing w:beforeAutospacing="0" w:afterAutospacing="0"/>
        <w:ind w:firstLine="480" w:firstLineChars="200"/>
        <w:jc w:val="both"/>
        <w:rPr>
          <w:rFonts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01D8E114">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六、特定资格要求的证明文件（如果本项目设置特定资格要求，则需要提供）</w:t>
      </w:r>
    </w:p>
    <w:p w14:paraId="57BC2220">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七、法人授权书</w:t>
      </w:r>
    </w:p>
    <w:p w14:paraId="0FD35EF1">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八、投标函</w:t>
      </w:r>
    </w:p>
    <w:p w14:paraId="62AB6C8F">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九、</w:t>
      </w:r>
      <w:r>
        <w:rPr>
          <w:rFonts w:hint="eastAsia" w:ascii="宋体" w:hAnsi="宋体" w:eastAsia="宋体" w:cs="宋体"/>
          <w:iCs/>
          <w:color w:val="auto"/>
          <w:highlight w:val="none"/>
        </w:rPr>
        <w:t>中小企业声明函</w:t>
      </w:r>
    </w:p>
    <w:p w14:paraId="60ADE039">
      <w:pPr>
        <w:pStyle w:val="8"/>
        <w:spacing w:beforeAutospacing="0" w:afterAutospacing="0" w:line="0" w:lineRule="atLeast"/>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十、残疾人福利性单位声明函</w:t>
      </w:r>
    </w:p>
    <w:p w14:paraId="17BA7854">
      <w:pPr>
        <w:pStyle w:val="8"/>
        <w:spacing w:beforeAutospacing="0" w:afterAutospacing="0" w:line="0" w:lineRule="atLeast"/>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十一、 关于符合本国产品标准的声明函</w:t>
      </w:r>
    </w:p>
    <w:p w14:paraId="29DB9556">
      <w:pPr>
        <w:pStyle w:val="8"/>
        <w:spacing w:beforeAutospacing="0" w:afterAutospacing="0" w:line="0" w:lineRule="atLeast"/>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十二、联合体协议</w:t>
      </w:r>
    </w:p>
    <w:p w14:paraId="5987F8F5">
      <w:pPr>
        <w:pStyle w:val="8"/>
        <w:spacing w:beforeAutospacing="0" w:afterAutospacing="0" w:line="0" w:lineRule="atLeast"/>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十三、投标分项报价表</w:t>
      </w:r>
    </w:p>
    <w:p w14:paraId="76B6F922">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十四、技术要求响应及偏离表</w:t>
      </w:r>
    </w:p>
    <w:p w14:paraId="7FA5AC6A">
      <w:pPr>
        <w:pStyle w:val="8"/>
        <w:spacing w:beforeAutospacing="0" w:afterAutospacing="0" w:line="0" w:lineRule="atLeast"/>
        <w:ind w:firstLine="720"/>
        <w:jc w:val="both"/>
        <w:rPr>
          <w:iCs/>
          <w:color w:val="auto"/>
          <w:highlight w:val="none"/>
        </w:rPr>
      </w:pPr>
      <w:r>
        <w:rPr>
          <w:rFonts w:hint="eastAsia" w:ascii="宋体" w:hAnsi="宋体" w:eastAsia="宋体" w:cs="宋体"/>
          <w:iCs/>
          <w:color w:val="auto"/>
          <w:highlight w:val="none"/>
        </w:rPr>
        <w:t>十五、商务要求响应及偏离表</w:t>
      </w:r>
    </w:p>
    <w:p w14:paraId="099B3743">
      <w:pPr>
        <w:pStyle w:val="8"/>
        <w:spacing w:beforeAutospacing="0" w:afterAutospacing="0" w:line="0" w:lineRule="atLeast"/>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十六、开标一览表</w:t>
      </w:r>
    </w:p>
    <w:p w14:paraId="1988DFAF">
      <w:pPr>
        <w:widowControl/>
        <w:spacing w:before="50" w:after="50"/>
        <w:ind w:firstLine="480" w:firstLineChars="200"/>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十七、技术方案、服务承诺、培训承诺等</w:t>
      </w:r>
    </w:p>
    <w:p w14:paraId="3F7B4795">
      <w:pPr>
        <w:pStyle w:val="8"/>
        <w:spacing w:beforeAutospacing="0" w:afterAutospacing="0" w:line="360" w:lineRule="auto"/>
        <w:ind w:firstLine="720"/>
        <w:jc w:val="both"/>
        <w:rPr>
          <w:rFonts w:ascii="宋体" w:hAnsi="宋体" w:eastAsia="宋体" w:cs="宋体"/>
          <w:iCs/>
          <w:color w:val="auto"/>
          <w:highlight w:val="none"/>
        </w:rPr>
      </w:pPr>
      <w:r>
        <w:rPr>
          <w:rFonts w:hint="eastAsia" w:ascii="宋体" w:hAnsi="宋体" w:eastAsia="宋体" w:cs="宋体"/>
          <w:iCs/>
          <w:color w:val="auto"/>
          <w:highlight w:val="none"/>
        </w:rPr>
        <w:t>十八、盐城市政府采购事前信用承诺书</w:t>
      </w:r>
    </w:p>
    <w:p w14:paraId="626E3581">
      <w:pPr>
        <w:pStyle w:val="8"/>
        <w:spacing w:beforeAutospacing="0" w:afterAutospacing="0" w:line="0" w:lineRule="atLeast"/>
        <w:ind w:firstLine="720"/>
        <w:jc w:val="both"/>
        <w:rPr>
          <w:color w:val="auto"/>
          <w:highlight w:val="none"/>
        </w:rPr>
      </w:pPr>
      <w:r>
        <w:rPr>
          <w:color w:val="auto"/>
          <w:highlight w:val="none"/>
        </w:rPr>
        <w:t> </w:t>
      </w:r>
    </w:p>
    <w:p w14:paraId="664E19FE">
      <w:pPr>
        <w:pStyle w:val="8"/>
        <w:spacing w:beforeAutospacing="0" w:afterAutospacing="0" w:line="0" w:lineRule="atLeast"/>
        <w:ind w:firstLine="720"/>
        <w:jc w:val="both"/>
        <w:rPr>
          <w:color w:val="auto"/>
          <w:highlight w:val="none"/>
        </w:rPr>
      </w:pPr>
      <w:r>
        <w:rPr>
          <w:color w:val="auto"/>
          <w:highlight w:val="none"/>
        </w:rPr>
        <w:t> </w:t>
      </w:r>
    </w:p>
    <w:p w14:paraId="347B9BE8">
      <w:pPr>
        <w:pStyle w:val="8"/>
        <w:spacing w:beforeAutospacing="0" w:afterAutospacing="0" w:line="0" w:lineRule="atLeast"/>
        <w:ind w:firstLine="720"/>
        <w:jc w:val="both"/>
        <w:rPr>
          <w:color w:val="auto"/>
          <w:highlight w:val="none"/>
        </w:rPr>
      </w:pPr>
      <w:r>
        <w:rPr>
          <w:color w:val="auto"/>
          <w:highlight w:val="none"/>
        </w:rPr>
        <w:t> </w:t>
      </w:r>
    </w:p>
    <w:p w14:paraId="0DAE4FA9">
      <w:pPr>
        <w:pStyle w:val="8"/>
        <w:spacing w:beforeAutospacing="0" w:afterAutospacing="0" w:line="0" w:lineRule="atLeast"/>
        <w:ind w:firstLine="720"/>
        <w:jc w:val="both"/>
        <w:rPr>
          <w:color w:val="auto"/>
          <w:highlight w:val="none"/>
        </w:rPr>
      </w:pPr>
      <w:r>
        <w:rPr>
          <w:color w:val="auto"/>
          <w:highlight w:val="none"/>
        </w:rPr>
        <w:t> </w:t>
      </w:r>
    </w:p>
    <w:p w14:paraId="6683C043">
      <w:pPr>
        <w:pStyle w:val="8"/>
        <w:spacing w:beforeAutospacing="0" w:afterAutospacing="0" w:line="0" w:lineRule="atLeast"/>
        <w:ind w:firstLine="720"/>
        <w:jc w:val="both"/>
        <w:rPr>
          <w:color w:val="auto"/>
          <w:highlight w:val="none"/>
        </w:rPr>
      </w:pPr>
      <w:r>
        <w:rPr>
          <w:color w:val="auto"/>
          <w:highlight w:val="none"/>
        </w:rPr>
        <w:t> </w:t>
      </w:r>
    </w:p>
    <w:p w14:paraId="3D740BC1">
      <w:pPr>
        <w:pStyle w:val="8"/>
        <w:spacing w:beforeAutospacing="0" w:afterAutospacing="0" w:line="0" w:lineRule="atLeast"/>
        <w:ind w:firstLine="720"/>
        <w:jc w:val="both"/>
        <w:rPr>
          <w:color w:val="auto"/>
          <w:highlight w:val="none"/>
        </w:rPr>
      </w:pPr>
      <w:r>
        <w:rPr>
          <w:color w:val="auto"/>
          <w:highlight w:val="none"/>
        </w:rPr>
        <w:t> </w:t>
      </w:r>
    </w:p>
    <w:p w14:paraId="783B6C87">
      <w:pPr>
        <w:pStyle w:val="8"/>
        <w:spacing w:beforeAutospacing="0" w:afterAutospacing="0" w:line="0" w:lineRule="atLeast"/>
        <w:ind w:firstLine="720"/>
        <w:jc w:val="both"/>
        <w:rPr>
          <w:color w:val="auto"/>
          <w:highlight w:val="none"/>
        </w:rPr>
      </w:pPr>
      <w:r>
        <w:rPr>
          <w:color w:val="auto"/>
          <w:highlight w:val="none"/>
        </w:rPr>
        <w:t> </w:t>
      </w:r>
    </w:p>
    <w:p w14:paraId="2D5F1C1C">
      <w:pPr>
        <w:pStyle w:val="8"/>
        <w:spacing w:beforeAutospacing="0" w:afterAutospacing="0" w:line="0" w:lineRule="atLeast"/>
        <w:ind w:firstLine="720"/>
        <w:jc w:val="both"/>
        <w:rPr>
          <w:color w:val="auto"/>
          <w:highlight w:val="none"/>
        </w:rPr>
      </w:pPr>
      <w:r>
        <w:rPr>
          <w:color w:val="auto"/>
          <w:highlight w:val="none"/>
        </w:rPr>
        <w:t> </w:t>
      </w:r>
    </w:p>
    <w:p w14:paraId="2301786D">
      <w:pPr>
        <w:pStyle w:val="8"/>
        <w:spacing w:beforeAutospacing="0" w:afterAutospacing="0" w:line="0" w:lineRule="atLeast"/>
        <w:ind w:firstLine="720"/>
        <w:jc w:val="both"/>
        <w:rPr>
          <w:color w:val="auto"/>
          <w:highlight w:val="none"/>
        </w:rPr>
      </w:pPr>
    </w:p>
    <w:p w14:paraId="6C2389A3">
      <w:pPr>
        <w:pStyle w:val="8"/>
        <w:spacing w:beforeAutospacing="0" w:afterAutospacing="0" w:line="0" w:lineRule="atLeast"/>
        <w:ind w:firstLine="720"/>
        <w:jc w:val="both"/>
        <w:rPr>
          <w:color w:val="auto"/>
          <w:highlight w:val="none"/>
        </w:rPr>
      </w:pPr>
    </w:p>
    <w:p w14:paraId="51F7F7AF">
      <w:pPr>
        <w:pStyle w:val="8"/>
        <w:spacing w:beforeAutospacing="0" w:afterAutospacing="0" w:line="0" w:lineRule="atLeast"/>
        <w:ind w:firstLine="720"/>
        <w:jc w:val="both"/>
        <w:rPr>
          <w:color w:val="auto"/>
          <w:highlight w:val="none"/>
        </w:rPr>
      </w:pPr>
    </w:p>
    <w:p w14:paraId="03935D06">
      <w:pPr>
        <w:pStyle w:val="8"/>
        <w:spacing w:beforeAutospacing="0" w:afterAutospacing="0" w:line="0" w:lineRule="atLeast"/>
        <w:ind w:firstLine="720"/>
        <w:jc w:val="both"/>
        <w:rPr>
          <w:color w:val="auto"/>
          <w:highlight w:val="none"/>
        </w:rPr>
      </w:pPr>
    </w:p>
    <w:p w14:paraId="6F5377E5">
      <w:pPr>
        <w:pStyle w:val="8"/>
        <w:spacing w:beforeAutospacing="0" w:afterAutospacing="0" w:line="0" w:lineRule="atLeast"/>
        <w:ind w:firstLine="720"/>
        <w:jc w:val="both"/>
        <w:rPr>
          <w:color w:val="auto"/>
          <w:highlight w:val="none"/>
        </w:rPr>
      </w:pPr>
    </w:p>
    <w:p w14:paraId="012B16A8">
      <w:pPr>
        <w:pStyle w:val="8"/>
        <w:spacing w:beforeAutospacing="0" w:afterAutospacing="0" w:line="0" w:lineRule="atLeast"/>
        <w:ind w:firstLine="720"/>
        <w:jc w:val="both"/>
        <w:rPr>
          <w:color w:val="auto"/>
          <w:highlight w:val="none"/>
        </w:rPr>
      </w:pPr>
    </w:p>
    <w:p w14:paraId="7EE57A3A">
      <w:pPr>
        <w:pStyle w:val="8"/>
        <w:spacing w:beforeAutospacing="0" w:afterAutospacing="0" w:line="0" w:lineRule="atLeast"/>
        <w:ind w:firstLine="720"/>
        <w:jc w:val="both"/>
        <w:rPr>
          <w:color w:val="auto"/>
          <w:highlight w:val="none"/>
        </w:rPr>
      </w:pPr>
    </w:p>
    <w:p w14:paraId="650D4A98">
      <w:pPr>
        <w:pStyle w:val="8"/>
        <w:spacing w:beforeAutospacing="0" w:afterAutospacing="0" w:line="0" w:lineRule="atLeast"/>
        <w:ind w:firstLine="720"/>
        <w:jc w:val="both"/>
        <w:rPr>
          <w:color w:val="auto"/>
          <w:highlight w:val="none"/>
        </w:rPr>
      </w:pPr>
    </w:p>
    <w:p w14:paraId="236066DE">
      <w:pPr>
        <w:pStyle w:val="8"/>
        <w:spacing w:beforeAutospacing="0" w:afterAutospacing="0" w:line="0" w:lineRule="atLeast"/>
        <w:ind w:firstLine="720"/>
        <w:jc w:val="both"/>
        <w:rPr>
          <w:color w:val="auto"/>
          <w:highlight w:val="none"/>
        </w:rPr>
      </w:pPr>
    </w:p>
    <w:p w14:paraId="0656202B">
      <w:pPr>
        <w:pStyle w:val="8"/>
        <w:spacing w:beforeAutospacing="0" w:afterAutospacing="0" w:line="0" w:lineRule="atLeast"/>
        <w:ind w:firstLine="720"/>
        <w:jc w:val="both"/>
        <w:rPr>
          <w:color w:val="auto"/>
          <w:highlight w:val="none"/>
        </w:rPr>
      </w:pPr>
    </w:p>
    <w:p w14:paraId="4F21745B">
      <w:pPr>
        <w:pStyle w:val="8"/>
        <w:spacing w:beforeAutospacing="0" w:afterAutospacing="0" w:line="0" w:lineRule="atLeast"/>
        <w:jc w:val="both"/>
        <w:rPr>
          <w:color w:val="auto"/>
          <w:highlight w:val="none"/>
        </w:rPr>
      </w:pPr>
    </w:p>
    <w:p w14:paraId="044306C3">
      <w:pPr>
        <w:pStyle w:val="8"/>
        <w:spacing w:beforeAutospacing="0" w:afterAutospacing="0" w:line="0" w:lineRule="atLeast"/>
        <w:ind w:firstLine="720"/>
        <w:jc w:val="both"/>
        <w:rPr>
          <w:color w:val="auto"/>
          <w:highlight w:val="none"/>
        </w:rPr>
      </w:pPr>
      <w:r>
        <w:rPr>
          <w:color w:val="auto"/>
          <w:highlight w:val="none"/>
        </w:rPr>
        <w:t> </w:t>
      </w:r>
    </w:p>
    <w:p w14:paraId="374F5D55">
      <w:pPr>
        <w:pStyle w:val="8"/>
        <w:spacing w:beforeAutospacing="0" w:afterAutospacing="0"/>
        <w:ind w:firstLine="96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71FFF976">
      <w:pPr>
        <w:pStyle w:val="8"/>
        <w:spacing w:beforeAutospacing="0" w:afterAutospacing="0" w:line="0" w:lineRule="atLeast"/>
        <w:ind w:firstLine="720"/>
        <w:jc w:val="both"/>
        <w:rPr>
          <w:color w:val="auto"/>
          <w:highlight w:val="none"/>
        </w:rPr>
      </w:pPr>
      <w:r>
        <w:rPr>
          <w:color w:val="auto"/>
          <w:highlight w:val="none"/>
        </w:rPr>
        <w:t> </w:t>
      </w:r>
    </w:p>
    <w:p w14:paraId="61468E47">
      <w:pPr>
        <w:pStyle w:val="8"/>
        <w:spacing w:beforeAutospacing="0" w:afterAutospacing="0"/>
        <w:ind w:firstLine="96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2AB5FC7F">
      <w:pPr>
        <w:tabs>
          <w:tab w:val="left" w:pos="1331"/>
        </w:tabs>
        <w:ind w:firstLine="480" w:firstLineChars="200"/>
        <w:jc w:val="left"/>
        <w:rPr>
          <w:iCs/>
          <w:color w:val="auto"/>
          <w:highlight w:val="none"/>
        </w:rPr>
      </w:pPr>
      <w:r>
        <w:rPr>
          <w:rFonts w:hint="eastAsia" w:ascii="宋体" w:hAnsi="宋体" w:eastAsia="宋体" w:cs="宋体"/>
          <w:iCs/>
          <w:color w:val="auto"/>
          <w:kern w:val="0"/>
          <w:sz w:val="24"/>
          <w:highlight w:val="none"/>
        </w:rPr>
        <w:t>（至少提供资产负债表、利润表、现金流量表，</w:t>
      </w:r>
      <w:r>
        <w:rPr>
          <w:rFonts w:hint="eastAsia" w:ascii="宋体" w:hAnsi="宋体" w:eastAsia="宋体" w:cs="宋体"/>
          <w:iCs/>
          <w:color w:val="auto"/>
          <w:highlight w:val="none"/>
        </w:rPr>
        <w:t>投标人成立不满一年无需提供）</w:t>
      </w:r>
    </w:p>
    <w:p w14:paraId="13CE4AFE">
      <w:pPr>
        <w:pStyle w:val="8"/>
        <w:spacing w:beforeAutospacing="0" w:afterAutospacing="0"/>
        <w:ind w:firstLine="720"/>
        <w:jc w:val="both"/>
        <w:rPr>
          <w:color w:val="auto"/>
          <w:highlight w:val="none"/>
        </w:rPr>
      </w:pPr>
      <w:r>
        <w:rPr>
          <w:color w:val="auto"/>
          <w:highlight w:val="none"/>
        </w:rPr>
        <w:t> </w:t>
      </w:r>
    </w:p>
    <w:p w14:paraId="3B215A68">
      <w:pPr>
        <w:pStyle w:val="8"/>
        <w:spacing w:beforeAutospacing="0" w:afterAutospacing="0"/>
        <w:ind w:firstLine="96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4A3F2575">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158CE18">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C40D482">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0225B15">
      <w:pPr>
        <w:pStyle w:val="8"/>
        <w:spacing w:beforeAutospacing="0" w:afterAutospacing="0"/>
        <w:ind w:firstLine="96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6636CD36">
      <w:pPr>
        <w:pStyle w:val="8"/>
        <w:spacing w:beforeAutospacing="0" w:afterAutospacing="0"/>
        <w:ind w:firstLine="72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CC8D874">
      <w:pPr>
        <w:pStyle w:val="8"/>
        <w:spacing w:beforeAutospacing="0" w:afterAutospacing="0"/>
        <w:ind w:firstLine="720"/>
        <w:jc w:val="both"/>
        <w:rPr>
          <w:color w:val="auto"/>
          <w:highlight w:val="none"/>
        </w:rPr>
      </w:pPr>
      <w:r>
        <w:rPr>
          <w:color w:val="auto"/>
          <w:highlight w:val="none"/>
        </w:rPr>
        <w:t> </w:t>
      </w:r>
    </w:p>
    <w:p w14:paraId="7F3368D2">
      <w:pPr>
        <w:pStyle w:val="8"/>
        <w:spacing w:beforeAutospacing="0" w:afterAutospacing="0"/>
        <w:ind w:firstLine="96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448B83F">
      <w:pPr>
        <w:pStyle w:val="8"/>
        <w:spacing w:beforeAutospacing="0" w:afterAutospacing="0" w:line="0" w:lineRule="atLeast"/>
        <w:ind w:firstLine="1325"/>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67A6C76F">
      <w:pPr>
        <w:pStyle w:val="8"/>
        <w:spacing w:beforeAutospacing="0" w:afterAutospacing="0" w:line="0" w:lineRule="atLeast"/>
        <w:ind w:firstLine="3092" w:firstLineChars="700"/>
        <w:jc w:val="both"/>
        <w:rPr>
          <w:color w:val="auto"/>
          <w:highlight w:val="none"/>
        </w:rPr>
      </w:pPr>
      <w:r>
        <w:rPr>
          <w:rFonts w:hint="eastAsia" w:ascii="宋体" w:hAnsi="宋体" w:eastAsia="宋体" w:cs="宋体"/>
          <w:b/>
          <w:color w:val="auto"/>
          <w:sz w:val="44"/>
          <w:szCs w:val="44"/>
          <w:highlight w:val="none"/>
        </w:rPr>
        <w:t xml:space="preserve"> 声  明</w:t>
      </w:r>
    </w:p>
    <w:p w14:paraId="45A26DB1">
      <w:pPr>
        <w:pStyle w:val="8"/>
        <w:spacing w:beforeAutospacing="0" w:afterAutospacing="0" w:line="0" w:lineRule="atLeast"/>
        <w:ind w:firstLine="723"/>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8"/>
        <w:spacing w:beforeAutospacing="0" w:afterAutospacing="0"/>
        <w:ind w:firstLine="720"/>
        <w:jc w:val="both"/>
        <w:rPr>
          <w:color w:val="auto"/>
          <w:highlight w:val="none"/>
        </w:rPr>
      </w:pPr>
      <w:r>
        <w:rPr>
          <w:color w:val="auto"/>
          <w:highlight w:val="none"/>
        </w:rPr>
        <w:t> </w:t>
      </w:r>
    </w:p>
    <w:p w14:paraId="02A985DB">
      <w:pPr>
        <w:pStyle w:val="8"/>
        <w:spacing w:beforeAutospacing="0" w:afterAutospacing="0"/>
        <w:ind w:firstLine="96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64A7199A">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151D0F8F">
      <w:pPr>
        <w:pStyle w:val="8"/>
        <w:spacing w:beforeAutospacing="0" w:afterAutospacing="0"/>
        <w:ind w:firstLine="960"/>
        <w:jc w:val="center"/>
        <w:rPr>
          <w:rFonts w:ascii="黑体" w:hAnsi="宋体" w:eastAsia="黑体" w:cs="黑体"/>
          <w:i/>
          <w:color w:val="auto"/>
          <w:sz w:val="32"/>
          <w:szCs w:val="32"/>
          <w:highlight w:val="none"/>
          <w:u w:val="single"/>
        </w:rPr>
      </w:pPr>
      <w:bookmarkStart w:id="182" w:name="_Toc120614284"/>
    </w:p>
    <w:p w14:paraId="485E3873">
      <w:pPr>
        <w:pStyle w:val="8"/>
        <w:spacing w:beforeAutospacing="0" w:afterAutospacing="0"/>
        <w:ind w:firstLine="960"/>
        <w:jc w:val="center"/>
        <w:rPr>
          <w:rFonts w:ascii="黑体" w:hAnsi="宋体" w:eastAsia="黑体" w:cs="黑体"/>
          <w:i/>
          <w:color w:val="auto"/>
          <w:sz w:val="32"/>
          <w:szCs w:val="32"/>
          <w:highlight w:val="none"/>
          <w:u w:val="single"/>
        </w:rPr>
      </w:pPr>
    </w:p>
    <w:p w14:paraId="2955E12A">
      <w:pPr>
        <w:pStyle w:val="8"/>
        <w:spacing w:beforeAutospacing="0" w:afterAutospacing="0"/>
        <w:ind w:firstLine="960"/>
        <w:jc w:val="center"/>
        <w:rPr>
          <w:rFonts w:ascii="黑体" w:hAnsi="宋体" w:eastAsia="黑体" w:cs="黑体"/>
          <w:i/>
          <w:color w:val="auto"/>
          <w:sz w:val="32"/>
          <w:szCs w:val="32"/>
          <w:highlight w:val="none"/>
          <w:u w:val="single"/>
        </w:rPr>
      </w:pPr>
    </w:p>
    <w:p w14:paraId="64EBB4D3">
      <w:pPr>
        <w:pStyle w:val="8"/>
        <w:spacing w:beforeAutospacing="0" w:afterAutospacing="0"/>
        <w:ind w:firstLine="960"/>
        <w:jc w:val="center"/>
        <w:rPr>
          <w:rFonts w:ascii="黑体" w:hAnsi="宋体" w:eastAsia="黑体" w:cs="黑体"/>
          <w:i/>
          <w:color w:val="auto"/>
          <w:sz w:val="32"/>
          <w:szCs w:val="32"/>
          <w:highlight w:val="none"/>
          <w:u w:val="single"/>
        </w:rPr>
      </w:pPr>
    </w:p>
    <w:p w14:paraId="1CEC30E9">
      <w:pPr>
        <w:pStyle w:val="8"/>
        <w:spacing w:beforeAutospacing="0" w:afterAutospacing="0"/>
        <w:ind w:firstLine="960"/>
        <w:jc w:val="center"/>
        <w:rPr>
          <w:color w:val="auto"/>
          <w:highlight w:val="none"/>
        </w:rPr>
      </w:pPr>
      <w:r>
        <w:rPr>
          <w:rFonts w:hint="eastAsia" w:ascii="黑体" w:hAnsi="宋体" w:eastAsia="黑体" w:cs="黑体"/>
          <w:i/>
          <w:color w:val="auto"/>
          <w:sz w:val="32"/>
          <w:szCs w:val="32"/>
          <w:highlight w:val="none"/>
          <w:u w:val="single"/>
        </w:rPr>
        <w:t>七、法人授权书</w:t>
      </w:r>
    </w:p>
    <w:p w14:paraId="54D35F1F">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09221004">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本授权书于______年____月____日起生效，特此声明。</w:t>
      </w:r>
    </w:p>
    <w:p w14:paraId="684AF516">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5C3BC56">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5EAA9380">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208F15E9">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1ABE4D75">
      <w:pPr>
        <w:pStyle w:val="8"/>
        <w:tabs>
          <w:tab w:val="left" w:pos="360"/>
        </w:tabs>
        <w:spacing w:beforeAutospacing="0" w:afterAutospacing="0"/>
        <w:ind w:firstLine="720"/>
        <w:jc w:val="both"/>
        <w:rPr>
          <w:color w:val="auto"/>
          <w:highlight w:val="none"/>
        </w:rPr>
      </w:pPr>
      <w:r>
        <w:rPr>
          <w:rFonts w:ascii="Times New Roman" w:hAnsi="Times New Roman"/>
          <w:color w:val="auto"/>
          <w:highlight w:val="none"/>
        </w:rPr>
        <w:t>      日期：</w:t>
      </w:r>
      <w:bookmarkStart w:id="183" w:name="_Hlt26671380"/>
      <w:bookmarkStart w:id="184" w:name="_Hlt26955070"/>
      <w:bookmarkStart w:id="185" w:name="_格式3__银行出具的资信证明"/>
      <w:r>
        <w:rPr>
          <w:rFonts w:ascii="Times New Roman" w:hAnsi="Times New Roman"/>
          <w:color w:val="auto"/>
          <w:highlight w:val="none"/>
          <w:u w:val="single"/>
        </w:rPr>
        <w:t xml:space="preserve">                                         </w:t>
      </w:r>
    </w:p>
    <w:p w14:paraId="22BC2E0E">
      <w:pPr>
        <w:pStyle w:val="8"/>
        <w:spacing w:beforeAutospacing="0" w:afterAutospacing="0"/>
        <w:ind w:firstLine="720"/>
        <w:jc w:val="both"/>
        <w:rPr>
          <w:color w:val="auto"/>
          <w:highlight w:val="none"/>
        </w:rPr>
      </w:pPr>
      <w:r>
        <w:rPr>
          <w:color w:val="auto"/>
          <w:highlight w:val="none"/>
        </w:rPr>
        <w:t> </w:t>
      </w:r>
    </w:p>
    <w:p w14:paraId="12042EB6">
      <w:pPr>
        <w:pStyle w:val="8"/>
        <w:spacing w:beforeAutospacing="0" w:afterAutospacing="0"/>
        <w:ind w:firstLine="720"/>
        <w:jc w:val="both"/>
        <w:rPr>
          <w:color w:val="auto"/>
          <w:highlight w:val="none"/>
        </w:rPr>
      </w:pPr>
      <w:r>
        <w:rPr>
          <w:color w:val="auto"/>
          <w:highlight w:val="none"/>
        </w:rPr>
        <w:t> </w:t>
      </w:r>
    </w:p>
    <w:p w14:paraId="65AE7B26">
      <w:pPr>
        <w:pStyle w:val="8"/>
        <w:spacing w:beforeAutospacing="0" w:afterAutospacing="0" w:line="0" w:lineRule="atLeast"/>
        <w:ind w:firstLine="720"/>
        <w:jc w:val="both"/>
        <w:rPr>
          <w:color w:val="auto"/>
          <w:highlight w:val="none"/>
        </w:rPr>
      </w:pPr>
      <w:r>
        <w:rPr>
          <w:color w:val="auto"/>
          <w:highlight w:val="none"/>
        </w:rPr>
        <w:t> </w:t>
      </w:r>
    </w:p>
    <w:p w14:paraId="42465921">
      <w:pPr>
        <w:pStyle w:val="8"/>
        <w:keepNext/>
        <w:keepLines/>
        <w:spacing w:before="260" w:beforeAutospacing="0" w:after="260" w:afterAutospacing="0" w:line="415" w:lineRule="auto"/>
        <w:ind w:firstLine="723"/>
        <w:jc w:val="center"/>
        <w:rPr>
          <w:color w:val="auto"/>
          <w:highlight w:val="none"/>
        </w:rPr>
      </w:pPr>
      <w:r>
        <w:rPr>
          <w:rFonts w:hint="eastAsia" w:ascii="宋体" w:hAnsi="宋体" w:eastAsia="宋体" w:cs="宋体"/>
          <w:b/>
          <w:color w:val="auto"/>
          <w:highlight w:val="none"/>
        </w:rPr>
        <w:br w:type="page"/>
      </w:r>
      <w:r>
        <w:rPr>
          <w:rFonts w:hint="eastAsia" w:ascii="黑体" w:hAnsi="宋体" w:eastAsia="黑体" w:cs="黑体"/>
          <w:b/>
          <w:i/>
          <w:color w:val="auto"/>
          <w:sz w:val="32"/>
          <w:szCs w:val="32"/>
          <w:highlight w:val="none"/>
          <w:u w:val="single"/>
        </w:rPr>
        <w:t>八、投标函</w:t>
      </w:r>
    </w:p>
    <w:p w14:paraId="11974A0B">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致：</w:t>
      </w:r>
    </w:p>
    <w:p w14:paraId="4AE4A4D9">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w:t>
      </w:r>
      <w:r>
        <w:rPr>
          <w:rFonts w:hint="eastAsia" w:ascii="宋体" w:hAnsi="宋体" w:eastAsia="宋体" w:cs="宋体"/>
          <w:color w:val="auto"/>
          <w:highlight w:val="none"/>
          <w:u w:val="single"/>
          <w:lang w:val="en-US" w:eastAsia="zh-CN"/>
        </w:rPr>
        <w:t>（姓名打印或手签均可）</w:t>
      </w:r>
      <w:r>
        <w:rPr>
          <w:rFonts w:hint="eastAsia" w:ascii="宋体" w:hAnsi="宋体" w:eastAsia="宋体" w:cs="宋体"/>
          <w:color w:val="auto"/>
          <w:highlight w:val="none"/>
        </w:rPr>
        <w:t>(姓名)代表我方______________（投标人的名称），全权处理本次项目投标的有关事宜。</w:t>
      </w:r>
    </w:p>
    <w:p w14:paraId="63143E90">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据此函，</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（姓名打印或手签均可）</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签字人兹宣布同意如下：</w:t>
      </w:r>
    </w:p>
    <w:p w14:paraId="208D0767">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6AE3C05B">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2.我们完全理解贵方不一定将合同授予最低报价的投标人。</w:t>
      </w:r>
    </w:p>
    <w:p w14:paraId="674E47C7">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83A4DCD">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6D012F91">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E55D021">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70E91395">
      <w:pPr>
        <w:pStyle w:val="8"/>
        <w:spacing w:beforeAutospacing="0" w:afterAutospacing="0" w:line="0" w:lineRule="atLeast"/>
        <w:ind w:left="425" w:firstLine="720"/>
        <w:rPr>
          <w:color w:val="auto"/>
          <w:highlight w:val="none"/>
        </w:rPr>
      </w:pPr>
      <w:r>
        <w:rPr>
          <w:rFonts w:hint="eastAsia" w:ascii="宋体" w:hAnsi="宋体" w:eastAsia="宋体" w:cs="宋体"/>
          <w:color w:val="auto"/>
          <w:highlight w:val="none"/>
        </w:rPr>
        <w:t>7.与本投标有关的正式通讯地址为：</w:t>
      </w:r>
    </w:p>
    <w:p w14:paraId="3EF35FFD">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地          址：</w:t>
      </w:r>
    </w:p>
    <w:p w14:paraId="0ABCF285">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邮          编：</w:t>
      </w:r>
    </w:p>
    <w:p w14:paraId="321F11A4">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电          话：</w:t>
      </w:r>
    </w:p>
    <w:p w14:paraId="11BBD12B">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传          真：</w:t>
      </w:r>
    </w:p>
    <w:p w14:paraId="7530FB6D">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投标人开户行：</w:t>
      </w:r>
    </w:p>
    <w:p w14:paraId="45C5F35C">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 xml:space="preserve">账          号： </w:t>
      </w:r>
    </w:p>
    <w:p w14:paraId="359939A7">
      <w:pPr>
        <w:pStyle w:val="8"/>
        <w:spacing w:beforeAutospacing="0" w:afterAutospacing="0" w:line="0" w:lineRule="atLeast"/>
        <w:ind w:left="420" w:firstLine="720"/>
        <w:rPr>
          <w:color w:val="auto"/>
          <w:highlight w:val="none"/>
        </w:rPr>
      </w:pPr>
      <w:r>
        <w:rPr>
          <w:rFonts w:hint="eastAsia" w:ascii="宋体" w:hAnsi="宋体" w:eastAsia="宋体" w:cs="宋体"/>
          <w:color w:val="auto"/>
          <w:highlight w:val="none"/>
        </w:rPr>
        <w:t>日           期：________年____月____日</w:t>
      </w:r>
    </w:p>
    <w:p w14:paraId="242118EF">
      <w:pPr>
        <w:pStyle w:val="8"/>
        <w:spacing w:beforeAutospacing="0" w:afterAutospacing="0" w:line="0" w:lineRule="atLeast"/>
        <w:ind w:firstLine="720"/>
        <w:jc w:val="center"/>
        <w:rPr>
          <w:color w:val="auto"/>
          <w:highlight w:val="none"/>
        </w:rPr>
      </w:pPr>
      <w:r>
        <w:rPr>
          <w:color w:val="auto"/>
          <w:highlight w:val="none"/>
        </w:rPr>
        <w:t> </w:t>
      </w:r>
    </w:p>
    <w:p w14:paraId="5FF63AF8">
      <w:pPr>
        <w:pStyle w:val="8"/>
        <w:spacing w:beforeAutospacing="0" w:afterAutospacing="0" w:line="0" w:lineRule="atLeast"/>
        <w:ind w:firstLine="720"/>
        <w:jc w:val="center"/>
        <w:rPr>
          <w:color w:val="auto"/>
          <w:highlight w:val="none"/>
        </w:rPr>
      </w:pPr>
      <w:r>
        <w:rPr>
          <w:color w:val="auto"/>
          <w:highlight w:val="none"/>
        </w:rPr>
        <w:t> </w:t>
      </w:r>
    </w:p>
    <w:p w14:paraId="09AF5CA3">
      <w:pPr>
        <w:pStyle w:val="8"/>
        <w:spacing w:beforeAutospacing="0" w:afterAutospacing="0" w:line="0" w:lineRule="atLeast"/>
        <w:ind w:firstLine="720"/>
        <w:jc w:val="center"/>
        <w:rPr>
          <w:color w:val="auto"/>
          <w:highlight w:val="none"/>
        </w:rPr>
      </w:pPr>
      <w:r>
        <w:rPr>
          <w:color w:val="auto"/>
          <w:highlight w:val="none"/>
        </w:rPr>
        <w:t> </w:t>
      </w:r>
    </w:p>
    <w:p w14:paraId="212BE2DE">
      <w:pPr>
        <w:pStyle w:val="8"/>
        <w:spacing w:beforeAutospacing="0" w:afterAutospacing="0" w:line="0" w:lineRule="atLeast"/>
        <w:ind w:firstLine="720"/>
        <w:jc w:val="center"/>
        <w:rPr>
          <w:color w:val="auto"/>
          <w:highlight w:val="none"/>
        </w:rPr>
      </w:pPr>
      <w:r>
        <w:rPr>
          <w:color w:val="auto"/>
          <w:highlight w:val="none"/>
        </w:rPr>
        <w:t> </w:t>
      </w:r>
    </w:p>
    <w:p w14:paraId="5F43314E">
      <w:pPr>
        <w:pStyle w:val="8"/>
        <w:spacing w:beforeAutospacing="0" w:afterAutospacing="0" w:line="0" w:lineRule="atLeast"/>
        <w:ind w:firstLine="720"/>
        <w:jc w:val="center"/>
        <w:rPr>
          <w:color w:val="auto"/>
          <w:highlight w:val="none"/>
        </w:rPr>
      </w:pPr>
    </w:p>
    <w:p w14:paraId="62026C5B">
      <w:pPr>
        <w:pStyle w:val="8"/>
        <w:spacing w:beforeAutospacing="0" w:afterAutospacing="0" w:line="0" w:lineRule="atLeast"/>
        <w:ind w:firstLine="720"/>
        <w:jc w:val="center"/>
        <w:rPr>
          <w:color w:val="auto"/>
          <w:highlight w:val="none"/>
        </w:rPr>
      </w:pPr>
    </w:p>
    <w:p w14:paraId="3AAF460A">
      <w:pPr>
        <w:pStyle w:val="8"/>
        <w:spacing w:beforeAutospacing="0" w:afterAutospacing="0" w:line="0" w:lineRule="atLeast"/>
        <w:ind w:firstLine="720"/>
        <w:jc w:val="center"/>
        <w:rPr>
          <w:color w:val="auto"/>
          <w:highlight w:val="none"/>
        </w:rPr>
      </w:pPr>
    </w:p>
    <w:p w14:paraId="3CB4837C">
      <w:pPr>
        <w:pStyle w:val="8"/>
        <w:spacing w:beforeAutospacing="0" w:afterAutospacing="0" w:line="0" w:lineRule="atLeast"/>
        <w:ind w:firstLine="720"/>
        <w:jc w:val="center"/>
        <w:rPr>
          <w:color w:val="auto"/>
          <w:highlight w:val="none"/>
        </w:rPr>
      </w:pPr>
    </w:p>
    <w:p w14:paraId="015F5116">
      <w:pPr>
        <w:pStyle w:val="8"/>
        <w:spacing w:beforeAutospacing="0" w:afterAutospacing="0" w:line="0" w:lineRule="atLeast"/>
        <w:ind w:firstLine="720"/>
        <w:jc w:val="center"/>
        <w:rPr>
          <w:color w:val="auto"/>
          <w:highlight w:val="none"/>
        </w:rPr>
      </w:pPr>
    </w:p>
    <w:p w14:paraId="62F8D512">
      <w:pPr>
        <w:pStyle w:val="8"/>
        <w:spacing w:beforeAutospacing="0" w:afterAutospacing="0" w:line="0" w:lineRule="atLeast"/>
        <w:ind w:firstLine="720"/>
        <w:jc w:val="center"/>
        <w:rPr>
          <w:color w:val="auto"/>
          <w:highlight w:val="none"/>
        </w:rPr>
      </w:pPr>
    </w:p>
    <w:p w14:paraId="17003511">
      <w:pPr>
        <w:pStyle w:val="8"/>
        <w:spacing w:beforeAutospacing="0" w:afterAutospacing="0" w:line="0" w:lineRule="atLeast"/>
        <w:ind w:firstLine="720"/>
        <w:jc w:val="center"/>
        <w:rPr>
          <w:color w:val="auto"/>
          <w:highlight w:val="none"/>
        </w:rPr>
      </w:pPr>
    </w:p>
    <w:p w14:paraId="5412F31A">
      <w:pPr>
        <w:pStyle w:val="8"/>
        <w:spacing w:beforeAutospacing="0" w:afterAutospacing="0" w:line="0" w:lineRule="atLeast"/>
        <w:ind w:firstLine="720"/>
        <w:jc w:val="center"/>
        <w:rPr>
          <w:color w:val="auto"/>
          <w:highlight w:val="none"/>
        </w:rPr>
      </w:pPr>
    </w:p>
    <w:p w14:paraId="1F7E3D04">
      <w:pPr>
        <w:pStyle w:val="8"/>
        <w:spacing w:beforeAutospacing="0" w:afterAutospacing="0" w:line="0" w:lineRule="atLeast"/>
        <w:ind w:firstLine="720"/>
        <w:jc w:val="center"/>
        <w:rPr>
          <w:color w:val="auto"/>
          <w:highlight w:val="none"/>
        </w:rPr>
      </w:pPr>
    </w:p>
    <w:p w14:paraId="340FED64">
      <w:pPr>
        <w:pStyle w:val="8"/>
        <w:spacing w:beforeAutospacing="0" w:afterAutospacing="0" w:line="0" w:lineRule="atLeast"/>
        <w:ind w:firstLine="720"/>
        <w:jc w:val="center"/>
        <w:rPr>
          <w:color w:val="auto"/>
          <w:highlight w:val="none"/>
        </w:rPr>
      </w:pPr>
    </w:p>
    <w:p w14:paraId="4EB3A777">
      <w:pPr>
        <w:pStyle w:val="8"/>
        <w:spacing w:beforeAutospacing="0" w:afterAutospacing="0" w:line="0" w:lineRule="atLeast"/>
        <w:ind w:firstLine="720"/>
        <w:jc w:val="center"/>
        <w:rPr>
          <w:color w:val="auto"/>
          <w:highlight w:val="none"/>
        </w:rPr>
      </w:pPr>
    </w:p>
    <w:p w14:paraId="509B8982">
      <w:pPr>
        <w:pStyle w:val="8"/>
        <w:spacing w:beforeAutospacing="0" w:afterAutospacing="0" w:line="0" w:lineRule="atLeast"/>
        <w:ind w:firstLine="720"/>
        <w:jc w:val="center"/>
        <w:rPr>
          <w:color w:val="auto"/>
          <w:highlight w:val="none"/>
        </w:rPr>
      </w:pPr>
    </w:p>
    <w:p w14:paraId="69D6B82F">
      <w:pPr>
        <w:pStyle w:val="8"/>
        <w:spacing w:beforeAutospacing="0" w:afterAutospacing="0" w:line="0" w:lineRule="atLeast"/>
        <w:ind w:firstLine="720"/>
        <w:jc w:val="center"/>
        <w:rPr>
          <w:color w:val="auto"/>
          <w:highlight w:val="none"/>
        </w:rPr>
      </w:pPr>
      <w:r>
        <w:rPr>
          <w:color w:val="auto"/>
          <w:highlight w:val="none"/>
        </w:rPr>
        <w:t> </w:t>
      </w:r>
    </w:p>
    <w:p w14:paraId="76E9D5C9">
      <w:pPr>
        <w:pStyle w:val="8"/>
        <w:spacing w:beforeAutospacing="0" w:afterAutospacing="0" w:line="0" w:lineRule="atLeast"/>
        <w:ind w:firstLine="964"/>
        <w:jc w:val="center"/>
        <w:rPr>
          <w:color w:val="auto"/>
          <w:highlight w:val="none"/>
        </w:rPr>
      </w:pPr>
      <w:r>
        <w:rPr>
          <w:rFonts w:hint="eastAsia" w:ascii="黑体" w:hAnsi="宋体" w:eastAsia="黑体" w:cs="黑体"/>
          <w:b/>
          <w:color w:val="auto"/>
          <w:sz w:val="32"/>
          <w:szCs w:val="32"/>
          <w:highlight w:val="none"/>
        </w:rPr>
        <w:t>九、中小企业声明函（货物）</w:t>
      </w:r>
    </w:p>
    <w:p w14:paraId="3751E010">
      <w:pPr>
        <w:spacing w:line="500" w:lineRule="exact"/>
        <w:ind w:firstLine="720"/>
        <w:rPr>
          <w:color w:val="auto"/>
          <w:sz w:val="24"/>
          <w:highlight w:val="none"/>
        </w:rPr>
      </w:pPr>
    </w:p>
    <w:p w14:paraId="1DCF832C">
      <w:pPr>
        <w:spacing w:line="500" w:lineRule="exact"/>
        <w:ind w:firstLine="720"/>
        <w:rPr>
          <w:color w:val="auto"/>
          <w:sz w:val="24"/>
          <w:highlight w:val="none"/>
        </w:rPr>
      </w:pPr>
      <w:r>
        <w:rPr>
          <w:rFonts w:hint="eastAsia"/>
          <w:color w:val="auto"/>
          <w:sz w:val="24"/>
          <w:highlight w:val="none"/>
        </w:rPr>
        <w:t>本公司（联合体）郑重声明，根据《政府采购促进中小企业发展管理办法》(财库〔2020〕46号)的规定，本公司（联合体）参加盐城市政府采购中心组织的</w:t>
      </w:r>
      <w:r>
        <w:rPr>
          <w:rFonts w:hint="eastAsia"/>
          <w:color w:val="auto"/>
          <w:sz w:val="24"/>
          <w:highlight w:val="none"/>
          <w:u w:val="single"/>
        </w:rPr>
        <w:t>（单位名称)</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rPr>
        <w:t>的</w:t>
      </w:r>
      <w:r>
        <w:rPr>
          <w:rFonts w:hint="eastAsia"/>
          <w:color w:val="auto"/>
          <w:sz w:val="24"/>
          <w:highlight w:val="none"/>
          <w:u w:val="single"/>
        </w:rPr>
        <w:t xml:space="preserve">（项目名称）       </w:t>
      </w:r>
      <w:r>
        <w:rPr>
          <w:rFonts w:hint="eastAsia"/>
          <w:color w:val="auto"/>
          <w:sz w:val="24"/>
          <w:highlight w:val="none"/>
        </w:rPr>
        <w:t>的采购活动，提供的货物全部由符合政策要求的中小企业制造。相关企业（含联合体中的中小企业、签订分包意向协议的中小企业）的具体情况如下：</w:t>
      </w:r>
    </w:p>
    <w:p w14:paraId="4486B871">
      <w:pPr>
        <w:pStyle w:val="8"/>
        <w:spacing w:beforeAutospacing="0" w:afterAutospacing="0" w:line="360" w:lineRule="auto"/>
        <w:ind w:firstLine="72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8"/>
        <w:spacing w:beforeAutospacing="0" w:afterAutospacing="0" w:line="360" w:lineRule="auto"/>
        <w:ind w:firstLine="72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8"/>
        <w:spacing w:beforeAutospacing="0" w:afterAutospacing="0" w:line="360" w:lineRule="auto"/>
        <w:ind w:firstLine="720"/>
        <w:jc w:val="both"/>
        <w:rPr>
          <w:color w:val="auto"/>
          <w:highlight w:val="none"/>
        </w:rPr>
      </w:pPr>
      <w:r>
        <w:rPr>
          <w:rFonts w:hint="eastAsia"/>
          <w:color w:val="auto"/>
          <w:highlight w:val="none"/>
        </w:rPr>
        <w:t>……</w:t>
      </w:r>
    </w:p>
    <w:p w14:paraId="62779450">
      <w:pPr>
        <w:pStyle w:val="8"/>
        <w:spacing w:beforeAutospacing="0" w:afterAutospacing="0" w:line="360" w:lineRule="auto"/>
        <w:ind w:firstLine="72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8"/>
        <w:spacing w:beforeAutospacing="0" w:afterAutospacing="0" w:line="360" w:lineRule="auto"/>
        <w:ind w:firstLine="720"/>
        <w:jc w:val="both"/>
        <w:rPr>
          <w:color w:val="auto"/>
          <w:highlight w:val="none"/>
        </w:rPr>
      </w:pPr>
      <w:r>
        <w:rPr>
          <w:rFonts w:hint="eastAsia"/>
          <w:color w:val="auto"/>
          <w:highlight w:val="none"/>
        </w:rPr>
        <w:t>本企业对上述声明内容的真实性负责。如有虚假，将依法承担相应责任</w:t>
      </w:r>
    </w:p>
    <w:p w14:paraId="26E99FD6">
      <w:pPr>
        <w:pStyle w:val="8"/>
        <w:spacing w:beforeAutospacing="0" w:afterAutospacing="0" w:line="360" w:lineRule="auto"/>
        <w:ind w:right="720" w:firstLine="720"/>
        <w:jc w:val="both"/>
        <w:rPr>
          <w:color w:val="auto"/>
          <w:highlight w:val="none"/>
        </w:rPr>
      </w:pPr>
      <w:r>
        <w:rPr>
          <w:color w:val="auto"/>
          <w:highlight w:val="none"/>
        </w:rPr>
        <w:t> </w:t>
      </w:r>
    </w:p>
    <w:p w14:paraId="4026C033">
      <w:pPr>
        <w:pStyle w:val="8"/>
        <w:spacing w:beforeAutospacing="0" w:afterAutospacing="0" w:line="360" w:lineRule="auto"/>
        <w:ind w:right="180" w:firstLine="720"/>
        <w:jc w:val="right"/>
        <w:rPr>
          <w:color w:val="auto"/>
          <w:highlight w:val="none"/>
        </w:rPr>
      </w:pPr>
      <w:r>
        <w:rPr>
          <w:rFonts w:hint="eastAsia"/>
          <w:color w:val="auto"/>
          <w:highlight w:val="none"/>
        </w:rPr>
        <w:t>企业名称（加盖CA电子公章）：</w:t>
      </w:r>
    </w:p>
    <w:p w14:paraId="218AE162">
      <w:pPr>
        <w:pStyle w:val="8"/>
        <w:spacing w:beforeAutospacing="0" w:afterAutospacing="0" w:line="360" w:lineRule="auto"/>
        <w:ind w:right="480" w:firstLine="720"/>
        <w:jc w:val="both"/>
        <w:rPr>
          <w:color w:val="auto"/>
          <w:highlight w:val="none"/>
        </w:rPr>
      </w:pPr>
      <w:r>
        <w:rPr>
          <w:rFonts w:hint="eastAsia"/>
          <w:color w:val="auto"/>
          <w:highlight w:val="none"/>
        </w:rPr>
        <w:t>日  期：</w:t>
      </w:r>
    </w:p>
    <w:p w14:paraId="79A1D2DC">
      <w:pPr>
        <w:pStyle w:val="8"/>
        <w:spacing w:beforeAutospacing="0" w:afterAutospacing="0" w:line="360" w:lineRule="auto"/>
        <w:ind w:firstLine="720"/>
        <w:jc w:val="both"/>
        <w:rPr>
          <w:color w:val="auto"/>
          <w:highlight w:val="none"/>
        </w:rPr>
      </w:pPr>
      <w:r>
        <w:rPr>
          <w:color w:val="auto"/>
          <w:highlight w:val="none"/>
        </w:rPr>
        <w:t> </w:t>
      </w:r>
    </w:p>
    <w:p w14:paraId="144BB463">
      <w:pPr>
        <w:pStyle w:val="8"/>
        <w:spacing w:beforeAutospacing="0" w:afterAutospacing="0" w:line="360" w:lineRule="auto"/>
        <w:ind w:firstLine="720"/>
        <w:jc w:val="both"/>
        <w:rPr>
          <w:color w:val="auto"/>
          <w:highlight w:val="none"/>
        </w:rPr>
      </w:pPr>
      <w:r>
        <w:rPr>
          <w:rFonts w:hint="eastAsia"/>
          <w:color w:val="auto"/>
          <w:highlight w:val="none"/>
        </w:rPr>
        <w:t>备注1：从业人员、营业收入、资产总额填报上一年度数据，无上一年度数据的新成立企业可不填报。</w:t>
      </w:r>
    </w:p>
    <w:p w14:paraId="36B57587">
      <w:pPr>
        <w:pStyle w:val="8"/>
        <w:spacing w:beforeAutospacing="0" w:afterAutospacing="0" w:line="360" w:lineRule="auto"/>
        <w:ind w:firstLine="72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059B8A0F">
      <w:pPr>
        <w:pStyle w:val="8"/>
        <w:spacing w:beforeAutospacing="0" w:afterAutospacing="0" w:line="0" w:lineRule="atLeast"/>
        <w:ind w:firstLine="964"/>
        <w:jc w:val="center"/>
        <w:rPr>
          <w:rFonts w:ascii="黑体" w:hAnsi="宋体" w:eastAsia="黑体" w:cs="黑体"/>
          <w:b/>
          <w:color w:val="auto"/>
          <w:sz w:val="32"/>
          <w:szCs w:val="32"/>
          <w:highlight w:val="none"/>
        </w:rPr>
      </w:pPr>
    </w:p>
    <w:p w14:paraId="731E1104">
      <w:pPr>
        <w:pStyle w:val="8"/>
        <w:spacing w:beforeAutospacing="0" w:afterAutospacing="0" w:line="0" w:lineRule="atLeast"/>
        <w:ind w:firstLine="964"/>
        <w:jc w:val="center"/>
        <w:rPr>
          <w:rFonts w:ascii="黑体" w:hAnsi="宋体" w:eastAsia="黑体" w:cs="黑体"/>
          <w:b/>
          <w:color w:val="auto"/>
          <w:sz w:val="32"/>
          <w:szCs w:val="32"/>
          <w:highlight w:val="none"/>
        </w:rPr>
      </w:pPr>
    </w:p>
    <w:p w14:paraId="0A341F0B">
      <w:pPr>
        <w:pStyle w:val="8"/>
        <w:spacing w:beforeAutospacing="0" w:afterAutospacing="0" w:line="0" w:lineRule="atLeast"/>
        <w:ind w:firstLine="964"/>
        <w:jc w:val="center"/>
        <w:rPr>
          <w:rFonts w:ascii="黑体" w:hAnsi="宋体" w:eastAsia="黑体" w:cs="黑体"/>
          <w:b/>
          <w:color w:val="auto"/>
          <w:sz w:val="32"/>
          <w:szCs w:val="32"/>
          <w:highlight w:val="none"/>
        </w:rPr>
      </w:pPr>
    </w:p>
    <w:p w14:paraId="15D8A054">
      <w:pPr>
        <w:pStyle w:val="8"/>
        <w:spacing w:beforeAutospacing="0" w:afterAutospacing="0" w:line="0" w:lineRule="atLeast"/>
        <w:ind w:firstLine="964"/>
        <w:jc w:val="center"/>
        <w:rPr>
          <w:rFonts w:ascii="黑体" w:hAnsi="宋体" w:eastAsia="黑体" w:cs="黑体"/>
          <w:b/>
          <w:color w:val="auto"/>
          <w:sz w:val="32"/>
          <w:szCs w:val="32"/>
          <w:highlight w:val="none"/>
        </w:rPr>
      </w:pPr>
    </w:p>
    <w:p w14:paraId="10A65B89">
      <w:pPr>
        <w:pStyle w:val="8"/>
        <w:spacing w:beforeAutospacing="0" w:afterAutospacing="0" w:line="0" w:lineRule="atLeast"/>
        <w:ind w:firstLine="964"/>
        <w:jc w:val="center"/>
        <w:rPr>
          <w:rFonts w:ascii="黑体" w:hAnsi="宋体" w:eastAsia="黑体" w:cs="黑体"/>
          <w:b/>
          <w:color w:val="auto"/>
          <w:sz w:val="32"/>
          <w:szCs w:val="32"/>
          <w:highlight w:val="none"/>
        </w:rPr>
      </w:pPr>
    </w:p>
    <w:p w14:paraId="5E0DB0FF">
      <w:pPr>
        <w:pStyle w:val="8"/>
        <w:spacing w:beforeAutospacing="0" w:afterAutospacing="0" w:line="0" w:lineRule="atLeast"/>
        <w:ind w:firstLine="964"/>
        <w:jc w:val="center"/>
        <w:rPr>
          <w:rFonts w:ascii="黑体" w:hAnsi="宋体" w:eastAsia="黑体" w:cs="黑体"/>
          <w:b/>
          <w:color w:val="auto"/>
          <w:sz w:val="32"/>
          <w:szCs w:val="32"/>
          <w:highlight w:val="none"/>
        </w:rPr>
      </w:pPr>
    </w:p>
    <w:p w14:paraId="141E949A">
      <w:pPr>
        <w:pStyle w:val="8"/>
        <w:spacing w:beforeAutospacing="0" w:afterAutospacing="0" w:line="0" w:lineRule="atLeast"/>
        <w:ind w:firstLine="964"/>
        <w:jc w:val="center"/>
        <w:rPr>
          <w:rFonts w:ascii="黑体" w:hAnsi="宋体" w:eastAsia="黑体" w:cs="黑体"/>
          <w:b/>
          <w:color w:val="auto"/>
          <w:sz w:val="32"/>
          <w:szCs w:val="32"/>
          <w:highlight w:val="none"/>
        </w:rPr>
      </w:pPr>
    </w:p>
    <w:p w14:paraId="46289143">
      <w:pPr>
        <w:pStyle w:val="8"/>
        <w:spacing w:beforeAutospacing="0" w:afterAutospacing="0" w:line="0" w:lineRule="atLeast"/>
        <w:ind w:firstLine="964"/>
        <w:jc w:val="center"/>
        <w:rPr>
          <w:color w:val="auto"/>
          <w:highlight w:val="none"/>
        </w:rPr>
      </w:pPr>
      <w:r>
        <w:rPr>
          <w:rFonts w:hint="eastAsia" w:ascii="黑体" w:hAnsi="宋体" w:eastAsia="黑体" w:cs="黑体"/>
          <w:b/>
          <w:color w:val="auto"/>
          <w:sz w:val="32"/>
          <w:szCs w:val="32"/>
          <w:highlight w:val="none"/>
        </w:rPr>
        <w:t>十、残疾人福利性单位声明函</w:t>
      </w:r>
    </w:p>
    <w:p w14:paraId="7B41EFB3">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513C51D7">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3C91D281">
      <w:pPr>
        <w:pStyle w:val="8"/>
        <w:spacing w:beforeAutospacing="0" w:afterAutospacing="0" w:line="0" w:lineRule="atLeast"/>
        <w:ind w:firstLine="720"/>
        <w:jc w:val="both"/>
        <w:rPr>
          <w:color w:val="auto"/>
          <w:highlight w:val="none"/>
        </w:rPr>
      </w:pPr>
      <w:r>
        <w:rPr>
          <w:color w:val="auto"/>
          <w:highlight w:val="none"/>
        </w:rPr>
        <w:t> </w:t>
      </w:r>
    </w:p>
    <w:p w14:paraId="3C2317A8">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6AEABBF0">
      <w:pPr>
        <w:pStyle w:val="8"/>
        <w:spacing w:beforeAutospacing="0" w:afterAutospacing="0" w:line="0" w:lineRule="atLeast"/>
        <w:ind w:firstLine="720"/>
        <w:jc w:val="both"/>
        <w:rPr>
          <w:color w:val="auto"/>
          <w:highlight w:val="none"/>
        </w:rPr>
      </w:pPr>
      <w:r>
        <w:rPr>
          <w:color w:val="auto"/>
          <w:highlight w:val="none"/>
        </w:rPr>
        <w:t> </w:t>
      </w:r>
    </w:p>
    <w:p w14:paraId="626039F8">
      <w:pPr>
        <w:pStyle w:val="8"/>
        <w:tabs>
          <w:tab w:val="left" w:pos="4864"/>
        </w:tabs>
        <w:spacing w:beforeAutospacing="0" w:afterAutospacing="0" w:line="0" w:lineRule="atLeast"/>
        <w:ind w:right="1560" w:firstLine="900"/>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4F09B48A">
      <w:pPr>
        <w:pStyle w:val="8"/>
        <w:tabs>
          <w:tab w:val="left" w:pos="4864"/>
        </w:tabs>
        <w:spacing w:beforeAutospacing="0" w:afterAutospacing="0" w:line="0" w:lineRule="atLeast"/>
        <w:ind w:right="1560" w:firstLine="720"/>
        <w:jc w:val="center"/>
        <w:rPr>
          <w:color w:val="auto"/>
          <w:highlight w:val="none"/>
        </w:rPr>
      </w:pPr>
      <w:r>
        <w:rPr>
          <w:rFonts w:hint="eastAsia" w:ascii="宋体" w:hAnsi="宋体" w:eastAsia="宋体" w:cs="宋体"/>
          <w:color w:val="auto"/>
          <w:highlight w:val="none"/>
        </w:rPr>
        <w:t>        日  期：</w:t>
      </w:r>
    </w:p>
    <w:p w14:paraId="6095EC64">
      <w:pPr>
        <w:pStyle w:val="8"/>
        <w:spacing w:beforeAutospacing="0" w:afterAutospacing="0" w:line="0" w:lineRule="atLeast"/>
        <w:ind w:firstLine="720"/>
        <w:jc w:val="center"/>
        <w:rPr>
          <w:color w:val="auto"/>
          <w:highlight w:val="none"/>
        </w:rPr>
      </w:pPr>
      <w:r>
        <w:rPr>
          <w:color w:val="auto"/>
          <w:highlight w:val="none"/>
        </w:rPr>
        <w:t> </w:t>
      </w:r>
    </w:p>
    <w:p w14:paraId="67480088">
      <w:pPr>
        <w:pStyle w:val="8"/>
        <w:spacing w:beforeAutospacing="0" w:afterAutospacing="0" w:line="0" w:lineRule="atLeast"/>
        <w:ind w:firstLine="720"/>
        <w:jc w:val="center"/>
        <w:rPr>
          <w:color w:val="auto"/>
          <w:highlight w:val="none"/>
        </w:rPr>
      </w:pPr>
      <w:r>
        <w:rPr>
          <w:color w:val="auto"/>
          <w:highlight w:val="none"/>
        </w:rPr>
        <w:t> </w:t>
      </w:r>
    </w:p>
    <w:p w14:paraId="16D7708B">
      <w:pPr>
        <w:pStyle w:val="8"/>
        <w:spacing w:beforeAutospacing="0" w:afterAutospacing="0" w:line="0" w:lineRule="atLeast"/>
        <w:ind w:firstLine="720"/>
        <w:jc w:val="center"/>
        <w:rPr>
          <w:color w:val="auto"/>
          <w:highlight w:val="none"/>
        </w:rPr>
      </w:pPr>
      <w:r>
        <w:rPr>
          <w:color w:val="auto"/>
          <w:highlight w:val="none"/>
        </w:rPr>
        <w:t> </w:t>
      </w:r>
    </w:p>
    <w:p w14:paraId="37A39D5D">
      <w:pPr>
        <w:pStyle w:val="8"/>
        <w:spacing w:beforeAutospacing="0" w:afterAutospacing="0" w:line="0" w:lineRule="atLeast"/>
        <w:ind w:firstLine="720"/>
        <w:jc w:val="center"/>
        <w:rPr>
          <w:color w:val="auto"/>
          <w:highlight w:val="none"/>
        </w:rPr>
      </w:pPr>
      <w:r>
        <w:rPr>
          <w:color w:val="auto"/>
          <w:highlight w:val="none"/>
        </w:rPr>
        <w:t> </w:t>
      </w:r>
    </w:p>
    <w:p w14:paraId="4BC37A6F">
      <w:pPr>
        <w:pStyle w:val="8"/>
        <w:spacing w:beforeAutospacing="0" w:afterAutospacing="0" w:line="0" w:lineRule="atLeast"/>
        <w:ind w:firstLine="720"/>
        <w:jc w:val="center"/>
        <w:rPr>
          <w:color w:val="auto"/>
          <w:highlight w:val="none"/>
        </w:rPr>
      </w:pPr>
      <w:r>
        <w:rPr>
          <w:color w:val="auto"/>
          <w:highlight w:val="none"/>
        </w:rPr>
        <w:t> </w:t>
      </w:r>
    </w:p>
    <w:p w14:paraId="5CC4CBFF">
      <w:pPr>
        <w:pStyle w:val="8"/>
        <w:spacing w:beforeAutospacing="0" w:afterAutospacing="0" w:line="0" w:lineRule="atLeast"/>
        <w:ind w:firstLine="720"/>
        <w:jc w:val="center"/>
        <w:rPr>
          <w:color w:val="auto"/>
          <w:highlight w:val="none"/>
        </w:rPr>
      </w:pPr>
      <w:r>
        <w:rPr>
          <w:color w:val="auto"/>
          <w:highlight w:val="none"/>
        </w:rPr>
        <w:t> </w:t>
      </w:r>
    </w:p>
    <w:p w14:paraId="7599688C">
      <w:pPr>
        <w:pStyle w:val="8"/>
        <w:spacing w:beforeAutospacing="0" w:afterAutospacing="0" w:line="0" w:lineRule="atLeast"/>
        <w:ind w:firstLine="720"/>
        <w:jc w:val="center"/>
        <w:rPr>
          <w:color w:val="auto"/>
          <w:highlight w:val="none"/>
        </w:rPr>
      </w:pPr>
      <w:r>
        <w:rPr>
          <w:color w:val="auto"/>
          <w:highlight w:val="none"/>
        </w:rPr>
        <w:t> </w:t>
      </w:r>
    </w:p>
    <w:p w14:paraId="4C81E594">
      <w:pPr>
        <w:pStyle w:val="8"/>
        <w:spacing w:beforeAutospacing="0" w:afterAutospacing="0" w:line="0" w:lineRule="atLeast"/>
        <w:ind w:firstLine="720"/>
        <w:jc w:val="center"/>
        <w:rPr>
          <w:color w:val="auto"/>
          <w:highlight w:val="none"/>
        </w:rPr>
      </w:pPr>
      <w:r>
        <w:rPr>
          <w:color w:val="auto"/>
          <w:highlight w:val="none"/>
        </w:rPr>
        <w:t> </w:t>
      </w:r>
    </w:p>
    <w:p w14:paraId="75457978">
      <w:pPr>
        <w:ind w:firstLine="1332"/>
        <w:rPr>
          <w:color w:val="auto"/>
          <w:spacing w:val="27"/>
          <w:sz w:val="39"/>
          <w:szCs w:val="39"/>
          <w:highlight w:val="none"/>
        </w:rPr>
      </w:pPr>
      <w:r>
        <w:rPr>
          <w:color w:val="auto"/>
          <w:spacing w:val="27"/>
          <w:sz w:val="39"/>
          <w:szCs w:val="39"/>
          <w:highlight w:val="none"/>
        </w:rPr>
        <w:br w:type="page"/>
      </w:r>
    </w:p>
    <w:p w14:paraId="2F13A0B0">
      <w:pPr>
        <w:pStyle w:val="4"/>
        <w:spacing w:before="168" w:line="207" w:lineRule="auto"/>
        <w:ind w:left="1537" w:firstLine="1332"/>
        <w:rPr>
          <w:color w:val="auto"/>
          <w:spacing w:val="27"/>
          <w:sz w:val="39"/>
          <w:szCs w:val="39"/>
          <w:highlight w:val="none"/>
        </w:rPr>
      </w:pPr>
    </w:p>
    <w:p w14:paraId="776905E6">
      <w:pPr>
        <w:pStyle w:val="8"/>
        <w:spacing w:beforeAutospacing="0" w:afterAutospacing="0"/>
        <w:ind w:firstLine="960"/>
        <w:jc w:val="center"/>
        <w:rPr>
          <w:color w:val="auto"/>
          <w:highlight w:val="none"/>
        </w:rPr>
      </w:pPr>
      <w:r>
        <w:rPr>
          <w:rFonts w:ascii="黑体" w:hAnsi="宋体" w:eastAsia="黑体" w:cs="黑体"/>
          <w:color w:val="auto"/>
          <w:sz w:val="32"/>
          <w:szCs w:val="32"/>
          <w:highlight w:val="none"/>
        </w:rPr>
        <w:t>十一、 关于符合本国产品标准的声明函</w:t>
      </w:r>
    </w:p>
    <w:p w14:paraId="3D48EB6C">
      <w:pPr>
        <w:pStyle w:val="8"/>
        <w:spacing w:beforeAutospacing="0" w:afterAutospacing="0"/>
        <w:ind w:firstLine="720"/>
        <w:jc w:val="both"/>
        <w:rPr>
          <w:color w:val="auto"/>
          <w:highlight w:val="none"/>
        </w:rPr>
      </w:pPr>
      <w:r>
        <w:rPr>
          <w:rFonts w:ascii="Arial" w:hAnsi="Arial" w:cs="Arial"/>
          <w:color w:val="auto"/>
          <w:highlight w:val="none"/>
        </w:rPr>
        <w:t> </w:t>
      </w:r>
    </w:p>
    <w:p w14:paraId="311B4E85">
      <w:pPr>
        <w:pStyle w:val="8"/>
        <w:spacing w:beforeAutospacing="0" w:afterAutospacing="0"/>
        <w:ind w:firstLine="720"/>
        <w:jc w:val="both"/>
        <w:rPr>
          <w:color w:val="auto"/>
          <w:highlight w:val="none"/>
        </w:rPr>
      </w:pPr>
      <w:r>
        <w:rPr>
          <w:rFonts w:ascii="宋体" w:hAnsi="宋体" w:eastAsia="宋体" w:cs="宋体"/>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1.</w:t>
      </w:r>
      <w:r>
        <w:rPr>
          <w:rFonts w:ascii="宋体" w:hAnsi="宋体" w:eastAsia="宋体" w:cs="宋体"/>
          <w:color w:val="auto"/>
          <w:highlight w:val="none"/>
          <w:u w:val="single"/>
          <w:shd w:val="clear" w:color="auto" w:fill="FFFFFF"/>
        </w:rPr>
        <w:t>（产品名称1）</w:t>
      </w:r>
      <w:r>
        <w:rPr>
          <w:rFonts w:ascii="宋体" w:hAnsi="宋体" w:eastAsia="宋体" w:cs="宋体"/>
          <w:color w:val="auto"/>
          <w:highlight w:val="none"/>
          <w:shd w:val="clear" w:color="auto" w:fill="FFFFFF"/>
          <w:vertAlign w:val="superscript"/>
        </w:rPr>
        <w:t>1</w:t>
      </w:r>
      <w:r>
        <w:rPr>
          <w:rFonts w:ascii="宋体" w:hAnsi="宋体" w:eastAsia="宋体" w:cs="宋体"/>
          <w:color w:val="auto"/>
          <w:highlight w:val="none"/>
          <w:shd w:val="clear" w:color="auto" w:fill="FFFFFF"/>
        </w:rPr>
        <w:t>，生产厂为</w:t>
      </w:r>
      <w:r>
        <w:rPr>
          <w:rFonts w:ascii="宋体" w:hAnsi="宋体" w:eastAsia="宋体" w:cs="宋体"/>
          <w:color w:val="auto"/>
          <w:highlight w:val="none"/>
          <w:u w:val="single"/>
          <w:shd w:val="clear" w:color="auto" w:fill="FFFFFF"/>
        </w:rPr>
        <w:t>（厂名）</w:t>
      </w:r>
      <w:r>
        <w:rPr>
          <w:rFonts w:ascii="宋体" w:hAnsi="宋体" w:eastAsia="宋体" w:cs="宋体"/>
          <w:color w:val="auto"/>
          <w:highlight w:val="none"/>
          <w:shd w:val="clear" w:color="auto" w:fill="FFFFFF"/>
          <w:vertAlign w:val="superscript"/>
        </w:rPr>
        <w:t>2</w:t>
      </w:r>
      <w:r>
        <w:rPr>
          <w:rFonts w:ascii="宋体" w:hAnsi="宋体" w:eastAsia="宋体" w:cs="宋体"/>
          <w:color w:val="auto"/>
          <w:highlight w:val="none"/>
          <w:shd w:val="clear" w:color="auto" w:fill="FFFFFF"/>
        </w:rPr>
        <w:t>，厂址为</w:t>
      </w:r>
      <w:r>
        <w:rPr>
          <w:rFonts w:ascii="宋体" w:hAnsi="宋体" w:eastAsia="宋体" w:cs="宋体"/>
          <w:color w:val="auto"/>
          <w:highlight w:val="none"/>
          <w:u w:val="single"/>
          <w:shd w:val="clear" w:color="auto" w:fill="FFFFFF"/>
        </w:rPr>
        <w:t>（生产厂址）</w:t>
      </w:r>
      <w:r>
        <w:rPr>
          <w:rFonts w:ascii="宋体" w:hAnsi="宋体" w:eastAsia="宋体" w:cs="宋体"/>
          <w:color w:val="auto"/>
          <w:highlight w:val="none"/>
          <w:shd w:val="clear" w:color="auto" w:fill="FFFFFF"/>
        </w:rPr>
        <w:t>。</w:t>
      </w:r>
      <w:r>
        <w:rPr>
          <w:rFonts w:ascii="宋体" w:hAnsi="宋体" w:eastAsia="宋体" w:cs="宋体"/>
          <w:strike/>
          <w:color w:val="auto"/>
          <w:highlight w:val="none"/>
          <w:u w:val="single"/>
          <w:shd w:val="clear" w:color="auto" w:fill="FFFFFF"/>
        </w:rPr>
        <w:t> （产品名称1）</w:t>
      </w:r>
      <w:r>
        <w:rPr>
          <w:rFonts w:ascii="宋体" w:hAnsi="宋体" w:eastAsia="宋体" w:cs="宋体"/>
          <w:color w:val="auto"/>
          <w:highlight w:val="none"/>
          <w:u w:val="single"/>
          <w:shd w:val="clear" w:color="auto" w:fill="FFFFFF"/>
        </w:rPr>
        <w:t> </w:t>
      </w:r>
      <w:r>
        <w:rPr>
          <w:rFonts w:ascii="宋体" w:hAnsi="宋体" w:eastAsia="宋体" w:cs="宋体"/>
          <w:color w:val="auto"/>
          <w:highlight w:val="none"/>
          <w:shd w:val="clear" w:color="auto" w:fill="FFFFFF"/>
        </w:rPr>
        <w:t>的中国境内生产的组件成本占比≥</w:t>
      </w:r>
      <w:r>
        <w:rPr>
          <w:rFonts w:ascii="宋体" w:hAnsi="宋体" w:eastAsia="宋体" w:cs="宋体"/>
          <w:strike/>
          <w:color w:val="auto"/>
          <w:highlight w:val="none"/>
          <w:u w:val="single"/>
          <w:shd w:val="clear" w:color="auto" w:fill="FFFFFF"/>
        </w:rPr>
        <w:t>（规定比例）</w:t>
      </w:r>
      <w:r>
        <w:rPr>
          <w:rFonts w:ascii="宋体" w:hAnsi="宋体" w:eastAsia="宋体" w:cs="宋体"/>
          <w:strike/>
          <w:color w:val="auto"/>
          <w:highlight w:val="none"/>
          <w:shd w:val="clear" w:color="auto" w:fill="FFFFFF"/>
          <w:vertAlign w:val="superscript"/>
        </w:rPr>
        <w:t>3</w:t>
      </w:r>
      <w:r>
        <w:rPr>
          <w:rFonts w:ascii="宋体" w:hAnsi="宋体" w:eastAsia="宋体" w:cs="宋体"/>
          <w:color w:val="auto"/>
          <w:highlight w:val="none"/>
          <w:shd w:val="clear" w:color="auto" w:fill="FFFFFF"/>
        </w:rPr>
        <w:t>。</w:t>
      </w:r>
      <w:r>
        <w:rPr>
          <w:rFonts w:ascii="宋体" w:hAnsi="宋体" w:eastAsia="宋体" w:cs="宋体"/>
          <w:strike/>
          <w:color w:val="auto"/>
          <w:highlight w:val="none"/>
          <w:u w:val="single"/>
          <w:shd w:val="clear" w:color="auto" w:fill="FFFFFF"/>
        </w:rPr>
        <w:t>（产品名称1）</w:t>
      </w:r>
      <w:r>
        <w:rPr>
          <w:rFonts w:ascii="宋体" w:hAnsi="宋体" w:eastAsia="宋体" w:cs="宋体"/>
          <w:color w:val="auto"/>
          <w:highlight w:val="none"/>
          <w:shd w:val="clear" w:color="auto" w:fill="FFFFFF"/>
        </w:rPr>
        <w:t>的</w:t>
      </w:r>
      <w:r>
        <w:rPr>
          <w:rFonts w:ascii="宋体" w:hAnsi="宋体" w:eastAsia="宋体" w:cs="宋体"/>
          <w:strike/>
          <w:color w:val="auto"/>
          <w:highlight w:val="none"/>
          <w:u w:val="single"/>
          <w:shd w:val="clear" w:color="auto" w:fill="FFFFFF"/>
        </w:rPr>
        <w:t>（关键组件）</w:t>
      </w:r>
      <w:r>
        <w:rPr>
          <w:rFonts w:ascii="宋体" w:hAnsi="宋体" w:eastAsia="宋体" w:cs="宋体"/>
          <w:strike/>
          <w:color w:val="auto"/>
          <w:highlight w:val="none"/>
          <w:shd w:val="clear" w:color="auto" w:fill="FFFFFF"/>
          <w:vertAlign w:val="superscript"/>
        </w:rPr>
        <w:t>4</w:t>
      </w:r>
      <w:r>
        <w:rPr>
          <w:rFonts w:ascii="宋体" w:hAnsi="宋体" w:eastAsia="宋体" w:cs="宋体"/>
          <w:color w:val="auto"/>
          <w:highlight w:val="none"/>
          <w:shd w:val="clear" w:color="auto" w:fill="FFFFFF"/>
        </w:rPr>
        <w:t>在中国境内生产。</w:t>
      </w:r>
      <w:r>
        <w:rPr>
          <w:rFonts w:ascii="宋体" w:hAnsi="宋体" w:eastAsia="宋体" w:cs="宋体"/>
          <w:strike/>
          <w:color w:val="auto"/>
          <w:highlight w:val="none"/>
          <w:u w:val="single"/>
          <w:shd w:val="clear" w:color="auto" w:fill="FFFFFF"/>
        </w:rPr>
        <w:t>（产品名称1）</w:t>
      </w:r>
      <w:r>
        <w:rPr>
          <w:rFonts w:ascii="宋体" w:hAnsi="宋体" w:eastAsia="宋体" w:cs="宋体"/>
          <w:color w:val="auto"/>
          <w:highlight w:val="none"/>
          <w:shd w:val="clear" w:color="auto" w:fill="FFFFFF"/>
        </w:rPr>
        <w:t>的</w:t>
      </w:r>
      <w:r>
        <w:rPr>
          <w:rFonts w:ascii="宋体" w:hAnsi="宋体" w:eastAsia="宋体" w:cs="宋体"/>
          <w:strike/>
          <w:color w:val="auto"/>
          <w:highlight w:val="none"/>
          <w:u w:val="single"/>
          <w:shd w:val="clear" w:color="auto" w:fill="FFFFFF"/>
        </w:rPr>
        <w:t>（关键工序）</w:t>
      </w:r>
      <w:r>
        <w:rPr>
          <w:rFonts w:ascii="宋体" w:hAnsi="宋体" w:eastAsia="宋体" w:cs="宋体"/>
          <w:strike/>
          <w:color w:val="auto"/>
          <w:highlight w:val="none"/>
          <w:shd w:val="clear" w:color="auto" w:fill="FFFFFF"/>
          <w:vertAlign w:val="superscript"/>
        </w:rPr>
        <w:t>5</w:t>
      </w:r>
      <w:r>
        <w:rPr>
          <w:rFonts w:ascii="宋体" w:hAnsi="宋体" w:eastAsia="宋体" w:cs="宋体"/>
          <w:color w:val="auto"/>
          <w:highlight w:val="none"/>
          <w:shd w:val="clear" w:color="auto" w:fill="FFFFFF"/>
        </w:rPr>
        <w:t>在中国境内完成。</w:t>
      </w:r>
    </w:p>
    <w:p w14:paraId="20758D95">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2.</w:t>
      </w:r>
      <w:r>
        <w:rPr>
          <w:rFonts w:ascii="宋体" w:hAnsi="宋体" w:eastAsia="宋体" w:cs="宋体"/>
          <w:color w:val="auto"/>
          <w:highlight w:val="none"/>
          <w:u w:val="single"/>
          <w:shd w:val="clear" w:color="auto" w:fill="FFFFFF"/>
        </w:rPr>
        <w:t>（产品名称2）</w:t>
      </w:r>
      <w:r>
        <w:rPr>
          <w:rFonts w:ascii="宋体" w:hAnsi="宋体" w:eastAsia="宋体" w:cs="宋体"/>
          <w:color w:val="auto"/>
          <w:highlight w:val="none"/>
          <w:shd w:val="clear" w:color="auto" w:fill="FFFFFF"/>
        </w:rPr>
        <w:t>，生产厂为</w:t>
      </w:r>
      <w:r>
        <w:rPr>
          <w:rFonts w:ascii="宋体" w:hAnsi="宋体" w:eastAsia="宋体" w:cs="宋体"/>
          <w:color w:val="auto"/>
          <w:highlight w:val="none"/>
          <w:u w:val="single"/>
          <w:shd w:val="clear" w:color="auto" w:fill="FFFFFF"/>
        </w:rPr>
        <w:t>（厂名）</w:t>
      </w:r>
      <w:r>
        <w:rPr>
          <w:rFonts w:ascii="宋体" w:hAnsi="宋体" w:eastAsia="宋体" w:cs="宋体"/>
          <w:color w:val="auto"/>
          <w:highlight w:val="none"/>
          <w:shd w:val="clear" w:color="auto" w:fill="FFFFFF"/>
        </w:rPr>
        <w:t>，厂址为</w:t>
      </w:r>
      <w:r>
        <w:rPr>
          <w:rFonts w:ascii="宋体" w:hAnsi="宋体" w:eastAsia="宋体" w:cs="宋体"/>
          <w:color w:val="auto"/>
          <w:highlight w:val="none"/>
          <w:u w:val="single"/>
          <w:shd w:val="clear" w:color="auto" w:fill="FFFFFF"/>
        </w:rPr>
        <w:t>（生产厂址）</w:t>
      </w:r>
      <w:r>
        <w:rPr>
          <w:rFonts w:ascii="宋体" w:hAnsi="宋体" w:eastAsia="宋体" w:cs="宋体"/>
          <w:color w:val="auto"/>
          <w:highlight w:val="none"/>
          <w:shd w:val="clear" w:color="auto" w:fill="FFFFFF"/>
        </w:rPr>
        <w:t>。</w:t>
      </w:r>
      <w:r>
        <w:rPr>
          <w:rFonts w:ascii="宋体" w:hAnsi="宋体" w:eastAsia="宋体" w:cs="宋体"/>
          <w:strike/>
          <w:color w:val="auto"/>
          <w:highlight w:val="none"/>
          <w:u w:val="single"/>
          <w:shd w:val="clear" w:color="auto" w:fill="FFFFFF"/>
        </w:rPr>
        <w:t>（产品名称2）</w:t>
      </w:r>
      <w:r>
        <w:rPr>
          <w:rFonts w:ascii="宋体" w:hAnsi="宋体" w:eastAsia="宋体" w:cs="宋体"/>
          <w:color w:val="auto"/>
          <w:highlight w:val="none"/>
          <w:shd w:val="clear" w:color="auto" w:fill="FFFFFF"/>
        </w:rPr>
        <w:t>的中国境内生产的组件成本占比≥</w:t>
      </w:r>
      <w:r>
        <w:rPr>
          <w:rFonts w:ascii="宋体" w:hAnsi="宋体" w:eastAsia="宋体" w:cs="宋体"/>
          <w:strike/>
          <w:color w:val="auto"/>
          <w:highlight w:val="none"/>
          <w:u w:val="single"/>
          <w:shd w:val="clear" w:color="auto" w:fill="FFFFFF"/>
        </w:rPr>
        <w:t>（规定比例）</w:t>
      </w:r>
      <w:r>
        <w:rPr>
          <w:rFonts w:ascii="宋体" w:hAnsi="宋体" w:eastAsia="宋体" w:cs="宋体"/>
          <w:color w:val="auto"/>
          <w:highlight w:val="none"/>
          <w:shd w:val="clear" w:color="auto" w:fill="FFFFFF"/>
        </w:rPr>
        <w:t>。</w:t>
      </w:r>
      <w:r>
        <w:rPr>
          <w:rFonts w:ascii="宋体" w:hAnsi="宋体" w:eastAsia="宋体" w:cs="宋体"/>
          <w:strike/>
          <w:color w:val="auto"/>
          <w:highlight w:val="none"/>
          <w:u w:val="single"/>
          <w:shd w:val="clear" w:color="auto" w:fill="FFFFFF"/>
        </w:rPr>
        <w:t>（产品名称2）</w:t>
      </w:r>
      <w:r>
        <w:rPr>
          <w:rFonts w:ascii="宋体" w:hAnsi="宋体" w:eastAsia="宋体" w:cs="宋体"/>
          <w:color w:val="auto"/>
          <w:highlight w:val="none"/>
          <w:shd w:val="clear" w:color="auto" w:fill="FFFFFF"/>
        </w:rPr>
        <w:t>的</w:t>
      </w:r>
      <w:r>
        <w:rPr>
          <w:rFonts w:ascii="宋体" w:hAnsi="宋体" w:eastAsia="宋体" w:cs="宋体"/>
          <w:strike/>
          <w:color w:val="auto"/>
          <w:highlight w:val="none"/>
          <w:u w:val="single"/>
          <w:shd w:val="clear" w:color="auto" w:fill="FFFFFF"/>
        </w:rPr>
        <w:t>（关键组件）</w:t>
      </w:r>
      <w:r>
        <w:rPr>
          <w:rFonts w:ascii="宋体" w:hAnsi="宋体" w:eastAsia="宋体" w:cs="宋体"/>
          <w:color w:val="auto"/>
          <w:highlight w:val="none"/>
          <w:shd w:val="clear" w:color="auto" w:fill="FFFFFF"/>
        </w:rPr>
        <w:t>在中国境内生产。</w:t>
      </w:r>
      <w:r>
        <w:rPr>
          <w:rFonts w:ascii="宋体" w:hAnsi="宋体" w:eastAsia="宋体" w:cs="宋体"/>
          <w:strike/>
          <w:color w:val="auto"/>
          <w:highlight w:val="none"/>
          <w:u w:val="single"/>
          <w:shd w:val="clear" w:color="auto" w:fill="FFFFFF"/>
        </w:rPr>
        <w:t>（产品名称1）</w:t>
      </w:r>
      <w:r>
        <w:rPr>
          <w:rFonts w:ascii="宋体" w:hAnsi="宋体" w:eastAsia="宋体" w:cs="宋体"/>
          <w:color w:val="auto"/>
          <w:highlight w:val="none"/>
          <w:shd w:val="clear" w:color="auto" w:fill="FFFFFF"/>
        </w:rPr>
        <w:t>的</w:t>
      </w:r>
      <w:r>
        <w:rPr>
          <w:rFonts w:ascii="宋体" w:hAnsi="宋体" w:eastAsia="宋体" w:cs="宋体"/>
          <w:strike/>
          <w:color w:val="auto"/>
          <w:highlight w:val="none"/>
          <w:u w:val="single"/>
          <w:shd w:val="clear" w:color="auto" w:fill="FFFFFF"/>
        </w:rPr>
        <w:t>（关键工序）</w:t>
      </w:r>
      <w:r>
        <w:rPr>
          <w:rFonts w:ascii="宋体" w:hAnsi="宋体" w:eastAsia="宋体" w:cs="宋体"/>
          <w:color w:val="auto"/>
          <w:highlight w:val="none"/>
          <w:shd w:val="clear" w:color="auto" w:fill="FFFFFF"/>
        </w:rPr>
        <w:t>在中国境内完成。</w:t>
      </w:r>
    </w:p>
    <w:p w14:paraId="519DADE7">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w:t>
      </w:r>
    </w:p>
    <w:p w14:paraId="2898E24F">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本公司（单位）对上述声明内容的真实性负责。如有虚假，愿承担相应法律责任。</w:t>
      </w:r>
    </w:p>
    <w:p w14:paraId="1CAC866F">
      <w:pPr>
        <w:pStyle w:val="8"/>
        <w:spacing w:before="30" w:beforeAutospacing="0" w:after="30" w:afterAutospacing="0"/>
        <w:ind w:firstLine="720"/>
        <w:jc w:val="both"/>
        <w:rPr>
          <w:color w:val="auto"/>
          <w:highlight w:val="none"/>
        </w:rPr>
      </w:pPr>
      <w:r>
        <w:rPr>
          <w:rFonts w:ascii="宋体" w:hAnsi="宋体" w:eastAsia="宋体" w:cs="宋体"/>
          <w:color w:val="auto"/>
          <w:highlight w:val="none"/>
        </w:rPr>
        <w:t> </w:t>
      </w:r>
    </w:p>
    <w:p w14:paraId="4B7D6087">
      <w:pPr>
        <w:pStyle w:val="8"/>
        <w:spacing w:before="30" w:beforeAutospacing="0" w:after="30" w:afterAutospacing="0"/>
        <w:ind w:right="480" w:firstLine="720"/>
        <w:jc w:val="both"/>
        <w:rPr>
          <w:color w:val="auto"/>
          <w:highlight w:val="none"/>
        </w:rPr>
      </w:pPr>
      <w:r>
        <w:rPr>
          <w:rFonts w:ascii="宋体" w:hAnsi="宋体" w:eastAsia="宋体" w:cs="宋体"/>
          <w:color w:val="auto"/>
          <w:highlight w:val="none"/>
          <w:shd w:val="clear" w:color="auto" w:fill="FFFFFF"/>
        </w:rPr>
        <w:t>公司（单位）名称（盖章）：　</w:t>
      </w:r>
    </w:p>
    <w:p w14:paraId="4B86CD8E">
      <w:pPr>
        <w:pStyle w:val="8"/>
        <w:spacing w:before="30" w:beforeAutospacing="0" w:after="30" w:afterAutospacing="0"/>
        <w:ind w:firstLine="720"/>
        <w:jc w:val="center"/>
        <w:rPr>
          <w:color w:val="auto"/>
          <w:highlight w:val="none"/>
        </w:rPr>
      </w:pPr>
      <w:r>
        <w:rPr>
          <w:rFonts w:ascii="宋体" w:hAnsi="宋体" w:eastAsia="宋体" w:cs="宋体"/>
          <w:color w:val="auto"/>
          <w:highlight w:val="none"/>
          <w:shd w:val="clear" w:color="auto" w:fill="FFFFFF"/>
        </w:rPr>
        <w:t>                    日期：　   年　  月　  日         </w:t>
      </w:r>
    </w:p>
    <w:p w14:paraId="563751CB">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__________________</w:t>
      </w:r>
    </w:p>
    <w:p w14:paraId="0D130BF1">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1.产品如有型号，请在“产品名称”栏一并填写。</w:t>
      </w:r>
    </w:p>
    <w:p w14:paraId="3BE63DDD">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2.生产厂名与厂址应与生产厂营业执照载明的相关信息保持一致。</w:t>
      </w:r>
    </w:p>
    <w:p w14:paraId="187E10C6">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3.该产品的中国境内生产的组件成本占比相关要求实施前，“规定比例”栏可不填，下同。</w:t>
      </w:r>
    </w:p>
    <w:p w14:paraId="3267BE6A">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4.该产品的关键组件要求实施前，“关键组件”栏可不填，下同。</w:t>
      </w:r>
    </w:p>
    <w:p w14:paraId="4E6C0834">
      <w:pPr>
        <w:pStyle w:val="8"/>
        <w:spacing w:before="30" w:beforeAutospacing="0" w:after="30" w:afterAutospacing="0"/>
        <w:ind w:firstLine="720"/>
        <w:jc w:val="both"/>
        <w:rPr>
          <w:color w:val="auto"/>
          <w:highlight w:val="none"/>
        </w:rPr>
      </w:pPr>
      <w:r>
        <w:rPr>
          <w:rFonts w:ascii="宋体" w:hAnsi="宋体" w:eastAsia="宋体" w:cs="宋体"/>
          <w:color w:val="auto"/>
          <w:highlight w:val="none"/>
          <w:shd w:val="clear" w:color="auto" w:fill="FFFFFF"/>
        </w:rPr>
        <w:t>5.该产品的关键工序要求实施前，“关键工序”栏可不填，下同。</w:t>
      </w:r>
    </w:p>
    <w:p w14:paraId="2039D937">
      <w:pPr>
        <w:pStyle w:val="8"/>
        <w:spacing w:before="30" w:beforeAutospacing="0" w:after="30" w:afterAutospacing="0"/>
        <w:ind w:firstLine="720"/>
        <w:jc w:val="both"/>
        <w:rPr>
          <w:rFonts w:ascii="宋体" w:hAnsi="宋体" w:eastAsia="宋体" w:cs="宋体"/>
          <w:color w:val="auto"/>
          <w:highlight w:val="none"/>
          <w:shd w:val="clear" w:color="auto" w:fill="FFFFFF"/>
        </w:rPr>
      </w:pPr>
      <w:r>
        <w:rPr>
          <w:rFonts w:ascii="宋体" w:hAnsi="宋体" w:eastAsia="宋体" w:cs="宋体"/>
          <w:color w:val="auto"/>
          <w:highlight w:val="none"/>
          <w:shd w:val="clear" w:color="auto" w:fill="FFFFFF"/>
        </w:rPr>
        <w:t>6.用</w:t>
      </w:r>
      <w:r>
        <w:rPr>
          <w:rFonts w:hint="eastAsia" w:ascii="宋体" w:hAnsi="宋体" w:eastAsia="宋体" w:cs="宋体"/>
          <w:color w:val="auto"/>
          <w:highlight w:val="none"/>
          <w:shd w:val="clear" w:color="auto" w:fill="FFFFFF"/>
        </w:rPr>
        <w:t>横</w:t>
      </w:r>
      <w:r>
        <w:rPr>
          <w:rFonts w:ascii="宋体" w:hAnsi="宋体" w:eastAsia="宋体" w:cs="宋体"/>
          <w:color w:val="auto"/>
          <w:highlight w:val="none"/>
          <w:shd w:val="clear" w:color="auto" w:fill="FFFFFF"/>
        </w:rPr>
        <w:t>线划除的地方无需填写。</w:t>
      </w:r>
    </w:p>
    <w:p w14:paraId="1E3CB0CC">
      <w:pPr>
        <w:ind w:firstLine="720"/>
        <w:rPr>
          <w:rFonts w:ascii="宋体" w:hAnsi="宋体" w:eastAsia="宋体" w:cs="宋体"/>
          <w:color w:val="auto"/>
          <w:kern w:val="0"/>
          <w:sz w:val="24"/>
          <w:highlight w:val="none"/>
          <w:u w:val="single"/>
        </w:rPr>
      </w:pPr>
      <w:r>
        <w:rPr>
          <w:rFonts w:hint="eastAsia" w:ascii="宋体" w:hAnsi="宋体" w:eastAsia="宋体" w:cs="宋体"/>
          <w:color w:val="auto"/>
          <w:sz w:val="24"/>
          <w:highlight w:val="none"/>
          <w:shd w:val="clear" w:color="auto" w:fill="FFFFFF"/>
        </w:rPr>
        <w:t>备注：</w:t>
      </w:r>
      <w:r>
        <w:rPr>
          <w:rFonts w:hint="eastAsia" w:ascii="宋体" w:hAnsi="宋体" w:eastAsia="宋体" w:cs="宋体"/>
          <w:color w:val="auto"/>
          <w:kern w:val="0"/>
          <w:sz w:val="24"/>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kern w:val="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4980F48D">
      <w:pPr>
        <w:pStyle w:val="8"/>
        <w:spacing w:before="30" w:beforeAutospacing="0" w:after="30" w:afterAutospacing="0"/>
        <w:ind w:firstLine="720"/>
        <w:jc w:val="both"/>
        <w:rPr>
          <w:rFonts w:ascii="宋体" w:hAnsi="宋体" w:eastAsia="宋体" w:cs="宋体"/>
          <w:color w:val="auto"/>
          <w:highlight w:val="none"/>
          <w:shd w:val="clear" w:color="auto" w:fill="FFFFFF"/>
        </w:rPr>
      </w:pPr>
    </w:p>
    <w:p w14:paraId="2CCFA17F">
      <w:pPr>
        <w:ind w:firstLine="723"/>
        <w:jc w:val="center"/>
        <w:rPr>
          <w:rFonts w:asciiTheme="minorEastAsia" w:hAnsiTheme="minorEastAsia" w:cstheme="minorEastAsia"/>
          <w:b/>
          <w:bCs/>
          <w:color w:val="auto"/>
          <w:sz w:val="24"/>
          <w:highlight w:val="none"/>
        </w:rPr>
      </w:pPr>
    </w:p>
    <w:p w14:paraId="2EC3EB16">
      <w:pPr>
        <w:spacing w:line="241" w:lineRule="auto"/>
        <w:rPr>
          <w:rFonts w:ascii="Arial"/>
          <w:color w:val="auto"/>
          <w:highlight w:val="none"/>
        </w:rPr>
      </w:pPr>
    </w:p>
    <w:p w14:paraId="1CD4472C">
      <w:pPr>
        <w:spacing w:line="241" w:lineRule="auto"/>
        <w:rPr>
          <w:rFonts w:ascii="Arial"/>
          <w:color w:val="auto"/>
          <w:highlight w:val="none"/>
        </w:rPr>
      </w:pPr>
    </w:p>
    <w:p w14:paraId="0EA77FD4">
      <w:pPr>
        <w:pStyle w:val="8"/>
        <w:spacing w:beforeAutospacing="0" w:afterAutospacing="0" w:line="0" w:lineRule="atLeast"/>
        <w:ind w:firstLine="720"/>
        <w:jc w:val="center"/>
        <w:rPr>
          <w:color w:val="auto"/>
          <w:highlight w:val="none"/>
        </w:rPr>
      </w:pPr>
      <w:r>
        <w:rPr>
          <w:color w:val="auto"/>
          <w:highlight w:val="none"/>
        </w:rPr>
        <w:t> </w:t>
      </w:r>
    </w:p>
    <w:p w14:paraId="7189612C">
      <w:pPr>
        <w:pStyle w:val="8"/>
        <w:spacing w:beforeAutospacing="0" w:afterAutospacing="0" w:line="0" w:lineRule="atLeast"/>
        <w:ind w:firstLine="720"/>
        <w:jc w:val="center"/>
        <w:rPr>
          <w:color w:val="auto"/>
          <w:highlight w:val="none"/>
        </w:rPr>
      </w:pPr>
    </w:p>
    <w:p w14:paraId="76D8AB59">
      <w:pPr>
        <w:pStyle w:val="8"/>
        <w:spacing w:beforeAutospacing="0" w:afterAutospacing="0" w:line="0" w:lineRule="atLeast"/>
        <w:ind w:firstLine="720"/>
        <w:jc w:val="center"/>
        <w:rPr>
          <w:color w:val="auto"/>
          <w:highlight w:val="none"/>
        </w:rPr>
      </w:pPr>
    </w:p>
    <w:p w14:paraId="434CB774">
      <w:pPr>
        <w:pStyle w:val="8"/>
        <w:spacing w:beforeAutospacing="0" w:afterAutospacing="0" w:line="0" w:lineRule="atLeast"/>
        <w:ind w:firstLine="964"/>
        <w:jc w:val="center"/>
        <w:rPr>
          <w:color w:val="auto"/>
          <w:highlight w:val="none"/>
        </w:rPr>
      </w:pPr>
      <w:r>
        <w:rPr>
          <w:rFonts w:hint="eastAsia" w:ascii="黑体" w:hAnsi="宋体" w:eastAsia="黑体" w:cs="黑体"/>
          <w:b/>
          <w:color w:val="auto"/>
          <w:sz w:val="32"/>
          <w:szCs w:val="32"/>
          <w:highlight w:val="none"/>
        </w:rPr>
        <w:t>十二、联合体协议（参考格式）</w:t>
      </w:r>
    </w:p>
    <w:p w14:paraId="7C3ACB48">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（联合体中各供应商全称）在此达成以下协议：</w:t>
      </w:r>
    </w:p>
    <w:p w14:paraId="7B3635D9">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4CB7F364">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E96EAD5">
      <w:pPr>
        <w:pStyle w:val="8"/>
        <w:spacing w:beforeAutospacing="0" w:afterAutospacing="0" w:line="0" w:lineRule="atLeast"/>
        <w:ind w:firstLine="720"/>
        <w:jc w:val="both"/>
        <w:rPr>
          <w:color w:val="auto"/>
          <w:highlight w:val="none"/>
        </w:rPr>
      </w:pPr>
      <w:r>
        <w:rPr>
          <w:color w:val="auto"/>
          <w:highlight w:val="none"/>
        </w:rPr>
        <w:t> </w:t>
      </w:r>
    </w:p>
    <w:p w14:paraId="68430BED">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4B08B0BD">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 xml:space="preserve">                                          </w:t>
      </w:r>
    </w:p>
    <w:p w14:paraId="7673F4B1">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 xml:space="preserve">联合体中各供应商全称（公章）：     </w:t>
      </w:r>
    </w:p>
    <w:p w14:paraId="3073AECD">
      <w:pPr>
        <w:pStyle w:val="8"/>
        <w:spacing w:beforeAutospacing="0" w:afterAutospacing="0" w:line="0" w:lineRule="atLeast"/>
        <w:ind w:firstLine="720"/>
        <w:jc w:val="both"/>
        <w:rPr>
          <w:color w:val="auto"/>
          <w:highlight w:val="none"/>
        </w:rPr>
      </w:pPr>
      <w:r>
        <w:rPr>
          <w:rFonts w:hint="eastAsia" w:ascii="宋体" w:hAnsi="宋体" w:eastAsia="宋体" w:cs="宋体"/>
          <w:color w:val="auto"/>
          <w:highlight w:val="none"/>
        </w:rPr>
        <w:t>                                        日期：</w:t>
      </w:r>
    </w:p>
    <w:p w14:paraId="52A54D15">
      <w:pPr>
        <w:pStyle w:val="8"/>
        <w:spacing w:beforeAutospacing="0" w:afterAutospacing="0" w:line="0" w:lineRule="atLeast"/>
        <w:ind w:firstLine="720"/>
        <w:jc w:val="both"/>
        <w:rPr>
          <w:color w:val="auto"/>
          <w:highlight w:val="none"/>
        </w:rPr>
      </w:pPr>
      <w:r>
        <w:rPr>
          <w:color w:val="auto"/>
          <w:highlight w:val="none"/>
        </w:rPr>
        <w:t> </w:t>
      </w:r>
    </w:p>
    <w:p w14:paraId="15A2C463">
      <w:pPr>
        <w:pStyle w:val="8"/>
        <w:spacing w:beforeAutospacing="0" w:afterAutospacing="0" w:line="0" w:lineRule="atLeast"/>
        <w:ind w:firstLine="720"/>
        <w:jc w:val="both"/>
        <w:rPr>
          <w:color w:val="auto"/>
          <w:highlight w:val="none"/>
        </w:rPr>
      </w:pPr>
      <w:r>
        <w:rPr>
          <w:color w:val="auto"/>
          <w:highlight w:val="none"/>
        </w:rPr>
        <w:t> </w:t>
      </w:r>
    </w:p>
    <w:p w14:paraId="5DD77C7A">
      <w:pPr>
        <w:pStyle w:val="8"/>
        <w:spacing w:beforeAutospacing="0" w:afterAutospacing="0" w:line="0" w:lineRule="atLeast"/>
        <w:ind w:firstLine="720"/>
        <w:jc w:val="both"/>
        <w:rPr>
          <w:color w:val="auto"/>
          <w:highlight w:val="none"/>
        </w:rPr>
      </w:pPr>
      <w:r>
        <w:rPr>
          <w:color w:val="auto"/>
          <w:highlight w:val="none"/>
        </w:rPr>
        <w:t> </w:t>
      </w:r>
    </w:p>
    <w:p w14:paraId="7FD231BA">
      <w:pPr>
        <w:pStyle w:val="8"/>
        <w:spacing w:beforeAutospacing="0" w:afterAutospacing="0" w:line="0" w:lineRule="atLeast"/>
        <w:ind w:firstLine="720"/>
        <w:jc w:val="both"/>
        <w:rPr>
          <w:color w:val="auto"/>
          <w:highlight w:val="none"/>
        </w:rPr>
      </w:pPr>
      <w:r>
        <w:rPr>
          <w:color w:val="auto"/>
          <w:highlight w:val="none"/>
        </w:rPr>
        <w:t> </w:t>
      </w:r>
    </w:p>
    <w:p w14:paraId="2AC8CC32">
      <w:pPr>
        <w:pStyle w:val="8"/>
        <w:spacing w:beforeAutospacing="0" w:afterAutospacing="0" w:line="0" w:lineRule="atLeast"/>
        <w:ind w:firstLine="720"/>
        <w:jc w:val="both"/>
        <w:rPr>
          <w:color w:val="auto"/>
          <w:highlight w:val="none"/>
        </w:rPr>
      </w:pPr>
      <w:r>
        <w:rPr>
          <w:color w:val="auto"/>
          <w:highlight w:val="none"/>
        </w:rPr>
        <w:t> </w:t>
      </w:r>
    </w:p>
    <w:p w14:paraId="5EC7EFFF">
      <w:pPr>
        <w:pStyle w:val="8"/>
        <w:spacing w:beforeAutospacing="0" w:afterAutospacing="0" w:line="0" w:lineRule="atLeast"/>
        <w:ind w:firstLine="720"/>
        <w:jc w:val="both"/>
        <w:rPr>
          <w:color w:val="auto"/>
          <w:highlight w:val="none"/>
        </w:rPr>
      </w:pPr>
    </w:p>
    <w:p w14:paraId="16477A67">
      <w:pPr>
        <w:pStyle w:val="8"/>
        <w:spacing w:beforeAutospacing="0" w:afterAutospacing="0" w:line="0" w:lineRule="atLeast"/>
        <w:ind w:firstLine="720"/>
        <w:jc w:val="both"/>
        <w:rPr>
          <w:color w:val="auto"/>
          <w:highlight w:val="none"/>
        </w:rPr>
      </w:pPr>
    </w:p>
    <w:p w14:paraId="502BB7DA">
      <w:pPr>
        <w:pStyle w:val="8"/>
        <w:spacing w:beforeAutospacing="0" w:afterAutospacing="0" w:line="0" w:lineRule="atLeast"/>
        <w:ind w:firstLine="720"/>
        <w:jc w:val="both"/>
        <w:rPr>
          <w:color w:val="auto"/>
          <w:highlight w:val="none"/>
        </w:rPr>
      </w:pPr>
    </w:p>
    <w:p w14:paraId="1746FEF0">
      <w:pPr>
        <w:pStyle w:val="8"/>
        <w:spacing w:beforeAutospacing="0" w:afterAutospacing="0" w:line="0" w:lineRule="atLeast"/>
        <w:ind w:firstLine="720"/>
        <w:jc w:val="both"/>
        <w:rPr>
          <w:color w:val="auto"/>
          <w:highlight w:val="none"/>
        </w:rPr>
      </w:pPr>
    </w:p>
    <w:p w14:paraId="28209242">
      <w:pPr>
        <w:pStyle w:val="8"/>
        <w:spacing w:beforeAutospacing="0" w:afterAutospacing="0" w:line="0" w:lineRule="atLeast"/>
        <w:ind w:firstLine="720"/>
        <w:jc w:val="both"/>
        <w:rPr>
          <w:color w:val="auto"/>
          <w:highlight w:val="none"/>
        </w:rPr>
      </w:pPr>
    </w:p>
    <w:p w14:paraId="608B4AC0">
      <w:pPr>
        <w:pStyle w:val="8"/>
        <w:spacing w:beforeAutospacing="0" w:afterAutospacing="0" w:line="0" w:lineRule="atLeast"/>
        <w:ind w:firstLine="720"/>
        <w:jc w:val="both"/>
        <w:rPr>
          <w:color w:val="auto"/>
          <w:highlight w:val="none"/>
        </w:rPr>
      </w:pPr>
    </w:p>
    <w:p w14:paraId="64A490B9">
      <w:pPr>
        <w:pStyle w:val="8"/>
        <w:spacing w:beforeAutospacing="0" w:afterAutospacing="0" w:line="0" w:lineRule="atLeast"/>
        <w:ind w:firstLine="720"/>
        <w:jc w:val="both"/>
        <w:rPr>
          <w:color w:val="auto"/>
          <w:highlight w:val="none"/>
        </w:rPr>
      </w:pPr>
    </w:p>
    <w:p w14:paraId="6D957086">
      <w:pPr>
        <w:pStyle w:val="8"/>
        <w:spacing w:beforeAutospacing="0" w:afterAutospacing="0" w:line="0" w:lineRule="atLeast"/>
        <w:ind w:firstLine="720"/>
        <w:jc w:val="both"/>
        <w:rPr>
          <w:color w:val="auto"/>
          <w:highlight w:val="none"/>
        </w:rPr>
      </w:pPr>
    </w:p>
    <w:p w14:paraId="1ACB39F4">
      <w:pPr>
        <w:pStyle w:val="8"/>
        <w:spacing w:beforeAutospacing="0" w:afterAutospacing="0" w:line="0" w:lineRule="atLeast"/>
        <w:ind w:firstLine="720"/>
        <w:jc w:val="both"/>
        <w:rPr>
          <w:color w:val="auto"/>
          <w:highlight w:val="none"/>
        </w:rPr>
      </w:pPr>
    </w:p>
    <w:p w14:paraId="64959A15">
      <w:pPr>
        <w:pStyle w:val="8"/>
        <w:spacing w:beforeAutospacing="0" w:afterAutospacing="0" w:line="0" w:lineRule="atLeast"/>
        <w:ind w:firstLine="720"/>
        <w:jc w:val="both"/>
        <w:rPr>
          <w:color w:val="auto"/>
          <w:highlight w:val="none"/>
        </w:rPr>
      </w:pPr>
    </w:p>
    <w:p w14:paraId="19D3AC44">
      <w:pPr>
        <w:pStyle w:val="8"/>
        <w:spacing w:beforeAutospacing="0" w:afterAutospacing="0" w:line="0" w:lineRule="atLeast"/>
        <w:ind w:firstLine="720"/>
        <w:jc w:val="both"/>
        <w:rPr>
          <w:color w:val="auto"/>
          <w:highlight w:val="none"/>
        </w:rPr>
      </w:pPr>
    </w:p>
    <w:p w14:paraId="3770339F">
      <w:pPr>
        <w:pStyle w:val="8"/>
        <w:spacing w:beforeAutospacing="0" w:afterAutospacing="0" w:line="0" w:lineRule="atLeast"/>
        <w:ind w:firstLine="720"/>
        <w:jc w:val="both"/>
        <w:rPr>
          <w:color w:val="auto"/>
          <w:highlight w:val="none"/>
        </w:rPr>
      </w:pPr>
    </w:p>
    <w:p w14:paraId="5820ED04">
      <w:pPr>
        <w:pStyle w:val="8"/>
        <w:spacing w:beforeAutospacing="0" w:afterAutospacing="0" w:line="0" w:lineRule="atLeast"/>
        <w:ind w:firstLine="720"/>
        <w:jc w:val="both"/>
        <w:rPr>
          <w:color w:val="auto"/>
          <w:highlight w:val="none"/>
        </w:rPr>
      </w:pPr>
    </w:p>
    <w:p w14:paraId="3FE01EA9">
      <w:pPr>
        <w:pStyle w:val="8"/>
        <w:spacing w:beforeAutospacing="0" w:afterAutospacing="0" w:line="0" w:lineRule="atLeast"/>
        <w:ind w:firstLine="720"/>
        <w:jc w:val="both"/>
        <w:rPr>
          <w:color w:val="auto"/>
          <w:highlight w:val="none"/>
        </w:rPr>
      </w:pPr>
    </w:p>
    <w:p w14:paraId="6A96C689">
      <w:pPr>
        <w:pStyle w:val="8"/>
        <w:spacing w:beforeAutospacing="0" w:afterAutospacing="0" w:line="0" w:lineRule="atLeast"/>
        <w:ind w:firstLine="720"/>
        <w:jc w:val="both"/>
        <w:rPr>
          <w:color w:val="auto"/>
          <w:highlight w:val="none"/>
        </w:rPr>
      </w:pPr>
    </w:p>
    <w:p w14:paraId="6F85EAAF">
      <w:pPr>
        <w:pStyle w:val="8"/>
        <w:spacing w:beforeAutospacing="0" w:afterAutospacing="0" w:line="0" w:lineRule="atLeast"/>
        <w:ind w:firstLine="720"/>
        <w:jc w:val="both"/>
        <w:rPr>
          <w:color w:val="auto"/>
          <w:highlight w:val="none"/>
        </w:rPr>
      </w:pPr>
    </w:p>
    <w:p w14:paraId="46566586">
      <w:pPr>
        <w:pStyle w:val="8"/>
        <w:spacing w:beforeAutospacing="0" w:afterAutospacing="0" w:line="0" w:lineRule="atLeast"/>
        <w:ind w:firstLine="720"/>
        <w:jc w:val="both"/>
        <w:rPr>
          <w:color w:val="auto"/>
          <w:highlight w:val="none"/>
        </w:rPr>
      </w:pPr>
      <w:r>
        <w:rPr>
          <w:color w:val="auto"/>
          <w:highlight w:val="none"/>
        </w:rPr>
        <w:t> </w:t>
      </w:r>
    </w:p>
    <w:p w14:paraId="3C5F4ED1">
      <w:pPr>
        <w:pStyle w:val="8"/>
        <w:spacing w:beforeAutospacing="0" w:afterAutospacing="0" w:line="0" w:lineRule="atLeast"/>
        <w:ind w:firstLine="720"/>
        <w:jc w:val="both"/>
        <w:rPr>
          <w:color w:val="auto"/>
          <w:highlight w:val="none"/>
        </w:rPr>
      </w:pPr>
      <w:r>
        <w:rPr>
          <w:color w:val="auto"/>
          <w:highlight w:val="none"/>
        </w:rPr>
        <w:t> </w:t>
      </w:r>
    </w:p>
    <w:p w14:paraId="03BD6FEE">
      <w:pPr>
        <w:pStyle w:val="8"/>
        <w:spacing w:beforeAutospacing="0" w:afterAutospacing="0"/>
        <w:ind w:firstLine="720"/>
        <w:jc w:val="both"/>
        <w:rPr>
          <w:color w:val="auto"/>
          <w:highlight w:val="none"/>
        </w:rPr>
      </w:pPr>
      <w:r>
        <w:rPr>
          <w:color w:val="auto"/>
          <w:highlight w:val="none"/>
        </w:rPr>
        <w:t> </w:t>
      </w:r>
    </w:p>
    <w:p w14:paraId="11BC64E8">
      <w:pPr>
        <w:pStyle w:val="8"/>
        <w:spacing w:beforeAutospacing="0" w:afterAutospacing="0"/>
        <w:ind w:firstLine="964"/>
        <w:jc w:val="center"/>
        <w:rPr>
          <w:color w:val="auto"/>
          <w:highlight w:val="none"/>
        </w:rPr>
      </w:pPr>
      <w:r>
        <w:rPr>
          <w:rFonts w:hint="eastAsia" w:ascii="黑体" w:hAnsi="宋体" w:eastAsia="黑体" w:cs="黑体"/>
          <w:b/>
          <w:color w:val="auto"/>
          <w:sz w:val="32"/>
          <w:szCs w:val="32"/>
          <w:highlight w:val="none"/>
        </w:rPr>
        <w:t>十三、投标分项报价表</w:t>
      </w:r>
    </w:p>
    <w:tbl>
      <w:tblPr>
        <w:tblStyle w:val="9"/>
        <w:tblW w:w="4997" w:type="pct"/>
        <w:tblCellSpacing w:w="0" w:type="dxa"/>
        <w:tblInd w:w="-118" w:type="dxa"/>
        <w:tblLayout w:type="autofit"/>
        <w:tblCellMar>
          <w:top w:w="0" w:type="dxa"/>
          <w:left w:w="108" w:type="dxa"/>
          <w:bottom w:w="0" w:type="dxa"/>
          <w:right w:w="108" w:type="dxa"/>
        </w:tblCellMar>
      </w:tblPr>
      <w:tblGrid>
        <w:gridCol w:w="1196"/>
        <w:gridCol w:w="1196"/>
        <w:gridCol w:w="1196"/>
        <w:gridCol w:w="1196"/>
        <w:gridCol w:w="1196"/>
        <w:gridCol w:w="1361"/>
        <w:gridCol w:w="1196"/>
      </w:tblGrid>
      <w:tr w14:paraId="4CF850DF">
        <w:tblPrEx>
          <w:tblCellMar>
            <w:top w:w="0" w:type="dxa"/>
            <w:left w:w="108" w:type="dxa"/>
            <w:bottom w:w="0" w:type="dxa"/>
            <w:right w:w="108" w:type="dxa"/>
          </w:tblCellMar>
        </w:tblPrEx>
        <w:trPr>
          <w:trHeight w:val="544" w:hRule="atLeast"/>
          <w:tblCellSpacing w:w="0" w:type="dxa"/>
        </w:trPr>
        <w:tc>
          <w:tcPr>
            <w:tcW w:w="398" w:type="dxa"/>
            <w:tcBorders>
              <w:top w:val="single" w:color="000000" w:sz="4" w:space="0"/>
              <w:left w:val="single" w:color="000000" w:sz="4" w:space="0"/>
              <w:bottom w:val="single" w:color="000000" w:sz="4" w:space="0"/>
              <w:right w:val="single" w:color="000000" w:sz="4" w:space="0"/>
            </w:tcBorders>
            <w:vAlign w:val="center"/>
          </w:tcPr>
          <w:p w14:paraId="7743DD52">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序号</w:t>
            </w:r>
          </w:p>
        </w:tc>
        <w:tc>
          <w:tcPr>
            <w:tcW w:w="951" w:type="dxa"/>
            <w:tcBorders>
              <w:top w:val="single" w:color="000000" w:sz="4" w:space="0"/>
              <w:left w:val="single" w:color="000000" w:sz="4" w:space="0"/>
              <w:bottom w:val="single" w:color="000000" w:sz="4" w:space="0"/>
              <w:right w:val="single" w:color="000000" w:sz="4" w:space="0"/>
            </w:tcBorders>
            <w:vAlign w:val="center"/>
          </w:tcPr>
          <w:p w14:paraId="7CF77508">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1</w:t>
            </w:r>
          </w:p>
        </w:tc>
        <w:tc>
          <w:tcPr>
            <w:tcW w:w="693" w:type="dxa"/>
            <w:tcBorders>
              <w:top w:val="single" w:color="000000" w:sz="4" w:space="0"/>
              <w:left w:val="single" w:color="000000" w:sz="4" w:space="0"/>
              <w:bottom w:val="single" w:color="000000" w:sz="4" w:space="0"/>
              <w:right w:val="single" w:color="000000" w:sz="4" w:space="0"/>
            </w:tcBorders>
            <w:vAlign w:val="center"/>
          </w:tcPr>
          <w:p w14:paraId="0D90DA28">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2</w:t>
            </w:r>
          </w:p>
        </w:tc>
        <w:tc>
          <w:tcPr>
            <w:tcW w:w="688" w:type="dxa"/>
            <w:tcBorders>
              <w:top w:val="single" w:color="000000" w:sz="4" w:space="0"/>
              <w:left w:val="single" w:color="000000" w:sz="4" w:space="0"/>
              <w:bottom w:val="single" w:color="000000" w:sz="4" w:space="0"/>
              <w:right w:val="single" w:color="000000" w:sz="4" w:space="0"/>
            </w:tcBorders>
            <w:vAlign w:val="center"/>
          </w:tcPr>
          <w:p w14:paraId="3AA8FE0D">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3</w:t>
            </w:r>
          </w:p>
        </w:tc>
        <w:tc>
          <w:tcPr>
            <w:tcW w:w="507" w:type="dxa"/>
            <w:tcBorders>
              <w:top w:val="single" w:color="000000" w:sz="4" w:space="0"/>
              <w:left w:val="single" w:color="000000" w:sz="4" w:space="0"/>
              <w:bottom w:val="single" w:color="000000" w:sz="4" w:space="0"/>
              <w:right w:val="single" w:color="000000" w:sz="4" w:space="0"/>
            </w:tcBorders>
            <w:vAlign w:val="center"/>
          </w:tcPr>
          <w:p w14:paraId="655E1AA9">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6</w:t>
            </w:r>
          </w:p>
        </w:tc>
        <w:tc>
          <w:tcPr>
            <w:tcW w:w="920" w:type="dxa"/>
            <w:tcBorders>
              <w:top w:val="single" w:color="000000" w:sz="4" w:space="0"/>
              <w:left w:val="single" w:color="000000" w:sz="4" w:space="0"/>
              <w:bottom w:val="single" w:color="000000" w:sz="4" w:space="0"/>
              <w:right w:val="single" w:color="000000" w:sz="4" w:space="0"/>
            </w:tcBorders>
            <w:vAlign w:val="center"/>
          </w:tcPr>
          <w:p w14:paraId="4CDD8971">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7</w:t>
            </w:r>
          </w:p>
        </w:tc>
        <w:tc>
          <w:tcPr>
            <w:tcW w:w="840" w:type="dxa"/>
            <w:tcBorders>
              <w:top w:val="single" w:color="000000" w:sz="4" w:space="0"/>
              <w:left w:val="single" w:color="000000" w:sz="4" w:space="0"/>
              <w:bottom w:val="single" w:color="000000" w:sz="4" w:space="0"/>
              <w:right w:val="single" w:color="000000" w:sz="4" w:space="0"/>
            </w:tcBorders>
            <w:vAlign w:val="center"/>
          </w:tcPr>
          <w:p w14:paraId="4F67681B">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8</w:t>
            </w:r>
          </w:p>
        </w:tc>
      </w:tr>
      <w:tr w14:paraId="42790045">
        <w:tblPrEx>
          <w:tblCellMar>
            <w:top w:w="0" w:type="dxa"/>
            <w:left w:w="108" w:type="dxa"/>
            <w:bottom w:w="0" w:type="dxa"/>
            <w:right w:w="108" w:type="dxa"/>
          </w:tblCellMar>
        </w:tblPrEx>
        <w:trPr>
          <w:trHeight w:val="294" w:hRule="atLeast"/>
          <w:tblCellSpacing w:w="0" w:type="dxa"/>
        </w:trPr>
        <w:tc>
          <w:tcPr>
            <w:tcW w:w="398" w:type="dxa"/>
            <w:tcBorders>
              <w:top w:val="single" w:color="000000" w:sz="4" w:space="0"/>
              <w:left w:val="single" w:color="000000" w:sz="4" w:space="0"/>
              <w:bottom w:val="single" w:color="000000" w:sz="4" w:space="0"/>
              <w:right w:val="single" w:color="000000" w:sz="4" w:space="0"/>
            </w:tcBorders>
            <w:vAlign w:val="center"/>
          </w:tcPr>
          <w:p w14:paraId="033DB101">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6494B4B4">
            <w:pPr>
              <w:pStyle w:val="20"/>
              <w:widowControl w:val="0"/>
              <w:spacing w:before="0" w:beforeAutospacing="0" w:after="0" w:afterAutospacing="0" w:line="0" w:lineRule="atLeast"/>
              <w:jc w:val="both"/>
              <w:rPr>
                <w:color w:val="auto"/>
                <w:highlight w:val="none"/>
              </w:rPr>
            </w:pPr>
            <w:r>
              <w:rPr>
                <w:rFonts w:hint="eastAsia"/>
                <w:color w:val="auto"/>
                <w:highlight w:val="none"/>
              </w:rPr>
              <w:t>产品</w:t>
            </w:r>
          </w:p>
          <w:p w14:paraId="0B5ECF12">
            <w:pPr>
              <w:pStyle w:val="20"/>
              <w:widowControl w:val="0"/>
              <w:spacing w:before="0" w:beforeAutospacing="0" w:after="0" w:afterAutospacing="0" w:line="0" w:lineRule="atLeast"/>
              <w:jc w:val="both"/>
              <w:rPr>
                <w:color w:val="auto"/>
                <w:highlight w:val="none"/>
              </w:rPr>
            </w:pPr>
            <w:r>
              <w:rPr>
                <w:rFonts w:hint="eastAsia"/>
                <w:color w:val="auto"/>
                <w:highlight w:val="none"/>
              </w:rPr>
              <w:t>名称</w:t>
            </w:r>
          </w:p>
        </w:tc>
        <w:tc>
          <w:tcPr>
            <w:tcW w:w="693" w:type="dxa"/>
            <w:tcBorders>
              <w:top w:val="single" w:color="000000" w:sz="4" w:space="0"/>
              <w:left w:val="single" w:color="000000" w:sz="4" w:space="0"/>
              <w:bottom w:val="single" w:color="000000" w:sz="4" w:space="0"/>
              <w:right w:val="single" w:color="000000" w:sz="4" w:space="0"/>
            </w:tcBorders>
            <w:vAlign w:val="center"/>
          </w:tcPr>
          <w:p w14:paraId="1DE8136B">
            <w:pPr>
              <w:pStyle w:val="20"/>
              <w:widowControl w:val="0"/>
              <w:spacing w:before="0" w:beforeAutospacing="0" w:after="0" w:afterAutospacing="0" w:line="0" w:lineRule="atLeast"/>
              <w:jc w:val="both"/>
              <w:rPr>
                <w:color w:val="auto"/>
                <w:highlight w:val="none"/>
              </w:rPr>
            </w:pPr>
            <w:r>
              <w:rPr>
                <w:rFonts w:hint="eastAsia"/>
                <w:color w:val="auto"/>
                <w:highlight w:val="none"/>
              </w:rPr>
              <w:t>品牌</w:t>
            </w:r>
          </w:p>
        </w:tc>
        <w:tc>
          <w:tcPr>
            <w:tcW w:w="688" w:type="dxa"/>
            <w:tcBorders>
              <w:top w:val="single" w:color="000000" w:sz="4" w:space="0"/>
              <w:left w:val="single" w:color="000000" w:sz="4" w:space="0"/>
              <w:bottom w:val="single" w:color="000000" w:sz="4" w:space="0"/>
              <w:right w:val="single" w:color="000000" w:sz="4" w:space="0"/>
            </w:tcBorders>
            <w:vAlign w:val="center"/>
          </w:tcPr>
          <w:p w14:paraId="76809499">
            <w:pPr>
              <w:pStyle w:val="20"/>
              <w:widowControl w:val="0"/>
              <w:spacing w:before="0" w:beforeAutospacing="0" w:after="0" w:afterAutospacing="0" w:line="0" w:lineRule="atLeast"/>
              <w:jc w:val="both"/>
              <w:rPr>
                <w:color w:val="auto"/>
                <w:highlight w:val="none"/>
              </w:rPr>
            </w:pPr>
            <w:r>
              <w:rPr>
                <w:rFonts w:hint="eastAsia"/>
                <w:color w:val="auto"/>
                <w:highlight w:val="none"/>
              </w:rPr>
              <w:t>规格</w:t>
            </w:r>
          </w:p>
          <w:p w14:paraId="6D2610B7">
            <w:pPr>
              <w:pStyle w:val="20"/>
              <w:widowControl w:val="0"/>
              <w:spacing w:before="0" w:beforeAutospacing="0" w:after="0" w:afterAutospacing="0" w:line="0" w:lineRule="atLeast"/>
              <w:jc w:val="both"/>
              <w:rPr>
                <w:color w:val="auto"/>
                <w:highlight w:val="none"/>
              </w:rPr>
            </w:pPr>
            <w:r>
              <w:rPr>
                <w:rFonts w:hint="eastAsia"/>
                <w:color w:val="auto"/>
                <w:highlight w:val="none"/>
              </w:rPr>
              <w:t>型号</w:t>
            </w:r>
          </w:p>
        </w:tc>
        <w:tc>
          <w:tcPr>
            <w:tcW w:w="507" w:type="dxa"/>
            <w:tcBorders>
              <w:top w:val="single" w:color="000000" w:sz="4" w:space="0"/>
              <w:left w:val="single" w:color="000000" w:sz="4" w:space="0"/>
              <w:bottom w:val="single" w:color="000000" w:sz="4" w:space="0"/>
              <w:right w:val="single" w:color="000000" w:sz="4" w:space="0"/>
            </w:tcBorders>
            <w:vAlign w:val="center"/>
          </w:tcPr>
          <w:p w14:paraId="321FB265">
            <w:pPr>
              <w:pStyle w:val="20"/>
              <w:widowControl w:val="0"/>
              <w:spacing w:before="0" w:beforeAutospacing="0" w:after="0" w:afterAutospacing="0" w:line="0" w:lineRule="atLeast"/>
              <w:jc w:val="both"/>
              <w:rPr>
                <w:rFonts w:eastAsia="宋体"/>
                <w:color w:val="auto"/>
                <w:highlight w:val="none"/>
              </w:rPr>
            </w:pPr>
            <w:r>
              <w:rPr>
                <w:rFonts w:hint="eastAsia"/>
                <w:color w:val="auto"/>
                <w:highlight w:val="none"/>
              </w:rPr>
              <w:t>数量（吨）</w:t>
            </w:r>
          </w:p>
        </w:tc>
        <w:tc>
          <w:tcPr>
            <w:tcW w:w="920" w:type="dxa"/>
            <w:tcBorders>
              <w:top w:val="single" w:color="000000" w:sz="4" w:space="0"/>
              <w:left w:val="single" w:color="000000" w:sz="4" w:space="0"/>
              <w:bottom w:val="single" w:color="000000" w:sz="4" w:space="0"/>
              <w:right w:val="single" w:color="000000" w:sz="4" w:space="0"/>
            </w:tcBorders>
            <w:vAlign w:val="center"/>
          </w:tcPr>
          <w:p w14:paraId="2002A93B">
            <w:pPr>
              <w:pStyle w:val="20"/>
              <w:widowControl w:val="0"/>
              <w:spacing w:before="0" w:beforeAutospacing="0" w:after="0" w:afterAutospacing="0" w:line="0" w:lineRule="atLeast"/>
              <w:jc w:val="both"/>
              <w:rPr>
                <w:rFonts w:eastAsia="宋体"/>
                <w:color w:val="auto"/>
                <w:highlight w:val="none"/>
              </w:rPr>
            </w:pPr>
            <w:r>
              <w:rPr>
                <w:rFonts w:hint="eastAsia"/>
                <w:color w:val="auto"/>
                <w:highlight w:val="none"/>
              </w:rPr>
              <w:t>分项单价（万元）</w:t>
            </w:r>
          </w:p>
        </w:tc>
        <w:tc>
          <w:tcPr>
            <w:tcW w:w="840" w:type="dxa"/>
            <w:tcBorders>
              <w:top w:val="single" w:color="000000" w:sz="4" w:space="0"/>
              <w:left w:val="single" w:color="000000" w:sz="4" w:space="0"/>
              <w:bottom w:val="single" w:color="000000" w:sz="4" w:space="0"/>
              <w:right w:val="single" w:color="000000" w:sz="4" w:space="0"/>
            </w:tcBorders>
            <w:vAlign w:val="center"/>
          </w:tcPr>
          <w:p w14:paraId="0969E479">
            <w:pPr>
              <w:pStyle w:val="20"/>
              <w:widowControl w:val="0"/>
              <w:spacing w:before="0" w:beforeAutospacing="0" w:after="0" w:afterAutospacing="0" w:line="0" w:lineRule="atLeast"/>
              <w:jc w:val="both"/>
              <w:rPr>
                <w:color w:val="auto"/>
                <w:highlight w:val="none"/>
              </w:rPr>
            </w:pPr>
            <w:r>
              <w:rPr>
                <w:rFonts w:hint="eastAsia"/>
                <w:color w:val="auto"/>
                <w:highlight w:val="none"/>
              </w:rPr>
              <w:t>分项总价</w:t>
            </w:r>
          </w:p>
        </w:tc>
      </w:tr>
      <w:tr w14:paraId="1C8D0EA7">
        <w:tblPrEx>
          <w:tblCellMar>
            <w:top w:w="0" w:type="dxa"/>
            <w:left w:w="108" w:type="dxa"/>
            <w:bottom w:w="0" w:type="dxa"/>
            <w:right w:w="108" w:type="dxa"/>
          </w:tblCellMar>
        </w:tblPrEx>
        <w:trPr>
          <w:trHeight w:val="696" w:hRule="atLeast"/>
          <w:tblCellSpacing w:w="0" w:type="dxa"/>
        </w:trPr>
        <w:tc>
          <w:tcPr>
            <w:tcW w:w="398" w:type="dxa"/>
            <w:tcBorders>
              <w:top w:val="single" w:color="000000" w:sz="4" w:space="0"/>
              <w:left w:val="single" w:color="000000" w:sz="4" w:space="0"/>
              <w:bottom w:val="single" w:color="000000" w:sz="4" w:space="0"/>
              <w:right w:val="single" w:color="000000" w:sz="4" w:space="0"/>
            </w:tcBorders>
            <w:vAlign w:val="center"/>
          </w:tcPr>
          <w:p w14:paraId="5B5A2156">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2</w:t>
            </w:r>
          </w:p>
        </w:tc>
        <w:tc>
          <w:tcPr>
            <w:tcW w:w="951" w:type="dxa"/>
            <w:tcBorders>
              <w:top w:val="single" w:color="000000" w:sz="4" w:space="0"/>
              <w:left w:val="single" w:color="000000" w:sz="4" w:space="0"/>
              <w:bottom w:val="single" w:color="000000" w:sz="4" w:space="0"/>
              <w:right w:val="single" w:color="000000" w:sz="4" w:space="0"/>
            </w:tcBorders>
            <w:vAlign w:val="center"/>
          </w:tcPr>
          <w:p w14:paraId="077D2EA2">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93" w:type="dxa"/>
            <w:tcBorders>
              <w:top w:val="single" w:color="000000" w:sz="4" w:space="0"/>
              <w:left w:val="single" w:color="000000" w:sz="4" w:space="0"/>
              <w:bottom w:val="single" w:color="000000" w:sz="4" w:space="0"/>
              <w:right w:val="single" w:color="000000" w:sz="4" w:space="0"/>
            </w:tcBorders>
            <w:vAlign w:val="center"/>
          </w:tcPr>
          <w:p w14:paraId="26053EC4">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88" w:type="dxa"/>
            <w:tcBorders>
              <w:top w:val="single" w:color="000000" w:sz="4" w:space="0"/>
              <w:left w:val="single" w:color="000000" w:sz="4" w:space="0"/>
              <w:bottom w:val="single" w:color="000000" w:sz="4" w:space="0"/>
              <w:right w:val="single" w:color="000000" w:sz="4" w:space="0"/>
            </w:tcBorders>
            <w:vAlign w:val="center"/>
          </w:tcPr>
          <w:p w14:paraId="165074A8">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507" w:type="dxa"/>
            <w:tcBorders>
              <w:top w:val="single" w:color="000000" w:sz="4" w:space="0"/>
              <w:left w:val="single" w:color="000000" w:sz="4" w:space="0"/>
              <w:bottom w:val="single" w:color="000000" w:sz="4" w:space="0"/>
              <w:right w:val="single" w:color="000000" w:sz="4" w:space="0"/>
            </w:tcBorders>
            <w:vAlign w:val="center"/>
          </w:tcPr>
          <w:p w14:paraId="5AA1F998">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920" w:type="dxa"/>
            <w:tcBorders>
              <w:top w:val="single" w:color="000000" w:sz="4" w:space="0"/>
              <w:left w:val="single" w:color="000000" w:sz="4" w:space="0"/>
              <w:bottom w:val="single" w:color="000000" w:sz="4" w:space="0"/>
              <w:right w:val="single" w:color="000000" w:sz="4" w:space="0"/>
            </w:tcBorders>
            <w:vAlign w:val="center"/>
          </w:tcPr>
          <w:p w14:paraId="3009023A">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840" w:type="dxa"/>
            <w:tcBorders>
              <w:top w:val="single" w:color="000000" w:sz="4" w:space="0"/>
              <w:left w:val="single" w:color="000000" w:sz="4" w:space="0"/>
              <w:bottom w:val="single" w:color="000000" w:sz="4" w:space="0"/>
              <w:right w:val="single" w:color="000000" w:sz="4" w:space="0"/>
            </w:tcBorders>
            <w:vAlign w:val="center"/>
          </w:tcPr>
          <w:p w14:paraId="57774F06">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r>
      <w:tr w14:paraId="64E22E25">
        <w:tblPrEx>
          <w:tblCellMar>
            <w:top w:w="0" w:type="dxa"/>
            <w:left w:w="108" w:type="dxa"/>
            <w:bottom w:w="0" w:type="dxa"/>
            <w:right w:w="108" w:type="dxa"/>
          </w:tblCellMar>
        </w:tblPrEx>
        <w:trPr>
          <w:trHeight w:val="724" w:hRule="atLeast"/>
          <w:tblCellSpacing w:w="0" w:type="dxa"/>
        </w:trPr>
        <w:tc>
          <w:tcPr>
            <w:tcW w:w="398" w:type="dxa"/>
            <w:tcBorders>
              <w:top w:val="single" w:color="000000" w:sz="4" w:space="0"/>
              <w:left w:val="single" w:color="000000" w:sz="4" w:space="0"/>
              <w:bottom w:val="single" w:color="000000" w:sz="4" w:space="0"/>
              <w:right w:val="single" w:color="000000" w:sz="4" w:space="0"/>
            </w:tcBorders>
            <w:vAlign w:val="center"/>
          </w:tcPr>
          <w:p w14:paraId="638519D6">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3</w:t>
            </w:r>
          </w:p>
        </w:tc>
        <w:tc>
          <w:tcPr>
            <w:tcW w:w="951" w:type="dxa"/>
            <w:tcBorders>
              <w:top w:val="single" w:color="000000" w:sz="4" w:space="0"/>
              <w:left w:val="single" w:color="000000" w:sz="4" w:space="0"/>
              <w:bottom w:val="single" w:color="000000" w:sz="4" w:space="0"/>
              <w:right w:val="single" w:color="000000" w:sz="4" w:space="0"/>
            </w:tcBorders>
            <w:vAlign w:val="center"/>
          </w:tcPr>
          <w:p w14:paraId="4DE73FE1">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93" w:type="dxa"/>
            <w:tcBorders>
              <w:top w:val="single" w:color="000000" w:sz="4" w:space="0"/>
              <w:left w:val="single" w:color="000000" w:sz="4" w:space="0"/>
              <w:bottom w:val="single" w:color="000000" w:sz="4" w:space="0"/>
              <w:right w:val="single" w:color="000000" w:sz="4" w:space="0"/>
            </w:tcBorders>
            <w:vAlign w:val="center"/>
          </w:tcPr>
          <w:p w14:paraId="347CE34D">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88" w:type="dxa"/>
            <w:tcBorders>
              <w:top w:val="single" w:color="000000" w:sz="4" w:space="0"/>
              <w:left w:val="single" w:color="000000" w:sz="4" w:space="0"/>
              <w:bottom w:val="single" w:color="000000" w:sz="4" w:space="0"/>
              <w:right w:val="single" w:color="000000" w:sz="4" w:space="0"/>
            </w:tcBorders>
            <w:vAlign w:val="center"/>
          </w:tcPr>
          <w:p w14:paraId="20BFF79E">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507" w:type="dxa"/>
            <w:tcBorders>
              <w:top w:val="single" w:color="000000" w:sz="4" w:space="0"/>
              <w:left w:val="single" w:color="000000" w:sz="4" w:space="0"/>
              <w:bottom w:val="single" w:color="000000" w:sz="4" w:space="0"/>
              <w:right w:val="single" w:color="000000" w:sz="4" w:space="0"/>
            </w:tcBorders>
            <w:vAlign w:val="center"/>
          </w:tcPr>
          <w:p w14:paraId="0DA6D8E6">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920" w:type="dxa"/>
            <w:tcBorders>
              <w:top w:val="single" w:color="000000" w:sz="4" w:space="0"/>
              <w:left w:val="single" w:color="000000" w:sz="4" w:space="0"/>
              <w:bottom w:val="single" w:color="000000" w:sz="4" w:space="0"/>
              <w:right w:val="single" w:color="000000" w:sz="4" w:space="0"/>
            </w:tcBorders>
            <w:vAlign w:val="center"/>
          </w:tcPr>
          <w:p w14:paraId="4A04B9E3">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840" w:type="dxa"/>
            <w:tcBorders>
              <w:top w:val="single" w:color="000000" w:sz="4" w:space="0"/>
              <w:left w:val="single" w:color="000000" w:sz="4" w:space="0"/>
              <w:bottom w:val="single" w:color="000000" w:sz="4" w:space="0"/>
              <w:right w:val="single" w:color="000000" w:sz="4" w:space="0"/>
            </w:tcBorders>
            <w:vAlign w:val="center"/>
          </w:tcPr>
          <w:p w14:paraId="0FA747E4">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r>
      <w:tr w14:paraId="4F1B2689">
        <w:tblPrEx>
          <w:tblCellMar>
            <w:top w:w="0" w:type="dxa"/>
            <w:left w:w="108" w:type="dxa"/>
            <w:bottom w:w="0" w:type="dxa"/>
            <w:right w:w="108" w:type="dxa"/>
          </w:tblCellMar>
        </w:tblPrEx>
        <w:trPr>
          <w:trHeight w:val="640" w:hRule="atLeast"/>
          <w:tblCellSpacing w:w="0" w:type="dxa"/>
        </w:trPr>
        <w:tc>
          <w:tcPr>
            <w:tcW w:w="398" w:type="dxa"/>
            <w:tcBorders>
              <w:top w:val="single" w:color="000000" w:sz="4" w:space="0"/>
              <w:left w:val="single" w:color="000000" w:sz="4" w:space="0"/>
              <w:bottom w:val="single" w:color="000000" w:sz="4" w:space="0"/>
              <w:right w:val="single" w:color="000000" w:sz="4" w:space="0"/>
            </w:tcBorders>
            <w:vAlign w:val="center"/>
          </w:tcPr>
          <w:p w14:paraId="406CACB3">
            <w:pPr>
              <w:pStyle w:val="20"/>
              <w:widowControl w:val="0"/>
              <w:spacing w:before="0" w:beforeAutospacing="0" w:after="0" w:afterAutospacing="0" w:line="0" w:lineRule="atLeast"/>
              <w:ind w:firstLine="720"/>
              <w:jc w:val="center"/>
              <w:rPr>
                <w:color w:val="auto"/>
                <w:highlight w:val="none"/>
              </w:rPr>
            </w:pPr>
            <w:r>
              <w:rPr>
                <w:rFonts w:hint="eastAsia"/>
                <w:color w:val="auto"/>
                <w:highlight w:val="none"/>
              </w:rPr>
              <w:t>4</w:t>
            </w:r>
          </w:p>
        </w:tc>
        <w:tc>
          <w:tcPr>
            <w:tcW w:w="951" w:type="dxa"/>
            <w:tcBorders>
              <w:top w:val="single" w:color="000000" w:sz="4" w:space="0"/>
              <w:left w:val="single" w:color="000000" w:sz="4" w:space="0"/>
              <w:bottom w:val="single" w:color="000000" w:sz="4" w:space="0"/>
              <w:right w:val="single" w:color="000000" w:sz="4" w:space="0"/>
            </w:tcBorders>
            <w:vAlign w:val="center"/>
          </w:tcPr>
          <w:p w14:paraId="525E1B1A">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93" w:type="dxa"/>
            <w:tcBorders>
              <w:top w:val="single" w:color="000000" w:sz="4" w:space="0"/>
              <w:left w:val="single" w:color="000000" w:sz="4" w:space="0"/>
              <w:bottom w:val="single" w:color="000000" w:sz="4" w:space="0"/>
              <w:right w:val="single" w:color="000000" w:sz="4" w:space="0"/>
            </w:tcBorders>
            <w:vAlign w:val="center"/>
          </w:tcPr>
          <w:p w14:paraId="3AE9464D">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688" w:type="dxa"/>
            <w:tcBorders>
              <w:top w:val="single" w:color="000000" w:sz="4" w:space="0"/>
              <w:left w:val="single" w:color="000000" w:sz="4" w:space="0"/>
              <w:bottom w:val="single" w:color="000000" w:sz="4" w:space="0"/>
              <w:right w:val="single" w:color="000000" w:sz="4" w:space="0"/>
            </w:tcBorders>
            <w:vAlign w:val="center"/>
          </w:tcPr>
          <w:p w14:paraId="382A61AC">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507" w:type="dxa"/>
            <w:tcBorders>
              <w:top w:val="single" w:color="000000" w:sz="4" w:space="0"/>
              <w:left w:val="single" w:color="000000" w:sz="4" w:space="0"/>
              <w:bottom w:val="single" w:color="000000" w:sz="4" w:space="0"/>
              <w:right w:val="single" w:color="000000" w:sz="4" w:space="0"/>
            </w:tcBorders>
            <w:vAlign w:val="center"/>
          </w:tcPr>
          <w:p w14:paraId="5EA52232">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920" w:type="dxa"/>
            <w:tcBorders>
              <w:top w:val="single" w:color="000000" w:sz="4" w:space="0"/>
              <w:left w:val="single" w:color="000000" w:sz="4" w:space="0"/>
              <w:bottom w:val="single" w:color="000000" w:sz="4" w:space="0"/>
              <w:right w:val="single" w:color="000000" w:sz="4" w:space="0"/>
            </w:tcBorders>
            <w:vAlign w:val="center"/>
          </w:tcPr>
          <w:p w14:paraId="7C30ED57">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c>
          <w:tcPr>
            <w:tcW w:w="840" w:type="dxa"/>
            <w:tcBorders>
              <w:top w:val="single" w:color="000000" w:sz="4" w:space="0"/>
              <w:left w:val="single" w:color="000000" w:sz="4" w:space="0"/>
              <w:bottom w:val="single" w:color="000000" w:sz="4" w:space="0"/>
              <w:right w:val="single" w:color="000000" w:sz="4" w:space="0"/>
            </w:tcBorders>
            <w:vAlign w:val="center"/>
          </w:tcPr>
          <w:p w14:paraId="4BE33339">
            <w:pPr>
              <w:pStyle w:val="20"/>
              <w:widowControl w:val="0"/>
              <w:spacing w:before="0" w:beforeAutospacing="0" w:after="0" w:afterAutospacing="0" w:line="0" w:lineRule="atLeast"/>
              <w:ind w:firstLine="720"/>
              <w:jc w:val="both"/>
              <w:rPr>
                <w:color w:val="auto"/>
                <w:highlight w:val="none"/>
              </w:rPr>
            </w:pPr>
            <w:r>
              <w:rPr>
                <w:color w:val="auto"/>
                <w:highlight w:val="none"/>
              </w:rPr>
              <w:t> </w:t>
            </w:r>
          </w:p>
        </w:tc>
      </w:tr>
      <w:tr w14:paraId="4153A577">
        <w:tblPrEx>
          <w:tblCellMar>
            <w:top w:w="0" w:type="dxa"/>
            <w:left w:w="108" w:type="dxa"/>
            <w:bottom w:w="0" w:type="dxa"/>
            <w:right w:w="108" w:type="dxa"/>
          </w:tblCellMar>
        </w:tblPrEx>
        <w:trPr>
          <w:trHeight w:val="806" w:hRule="atLeast"/>
          <w:tblCellSpacing w:w="0" w:type="dxa"/>
        </w:trPr>
        <w:tc>
          <w:tcPr>
            <w:tcW w:w="7465" w:type="dxa"/>
            <w:gridSpan w:val="6"/>
            <w:tcBorders>
              <w:top w:val="single" w:color="000000" w:sz="4" w:space="0"/>
              <w:left w:val="single" w:color="000000" w:sz="4" w:space="0"/>
              <w:bottom w:val="single" w:color="000000" w:sz="4" w:space="0"/>
              <w:right w:val="single" w:color="000000" w:sz="4" w:space="0"/>
            </w:tcBorders>
            <w:vAlign w:val="center"/>
          </w:tcPr>
          <w:p w14:paraId="060329B1">
            <w:pPr>
              <w:pStyle w:val="20"/>
              <w:widowControl w:val="0"/>
              <w:spacing w:before="0" w:beforeAutospacing="0" w:after="0" w:afterAutospacing="0" w:line="0" w:lineRule="atLeast"/>
              <w:ind w:firstLine="720"/>
              <w:jc w:val="both"/>
              <w:rPr>
                <w:color w:val="auto"/>
                <w:highlight w:val="none"/>
              </w:rPr>
            </w:pPr>
            <w:r>
              <w:rPr>
                <w:color w:val="auto"/>
                <w:highlight w:val="none"/>
              </w:rPr>
              <w:t> </w:t>
            </w:r>
          </w:p>
          <w:p w14:paraId="55848F0B">
            <w:pPr>
              <w:pStyle w:val="20"/>
              <w:widowControl w:val="0"/>
              <w:spacing w:before="0" w:beforeAutospacing="0" w:after="0" w:afterAutospacing="0" w:line="0" w:lineRule="atLeast"/>
              <w:ind w:firstLine="720"/>
              <w:jc w:val="both"/>
              <w:rPr>
                <w:color w:val="auto"/>
                <w:highlight w:val="none"/>
              </w:rPr>
            </w:pPr>
            <w:r>
              <w:rPr>
                <w:color w:val="auto"/>
                <w:highlight w:val="none"/>
              </w:rPr>
              <w:t> </w:t>
            </w:r>
            <w:r>
              <w:rPr>
                <w:rFonts w:eastAsia="宋体"/>
                <w:color w:val="auto"/>
                <w:highlight w:val="none"/>
              </w:rPr>
              <w:t>总报价（人民币：万元）</w:t>
            </w:r>
            <w:r>
              <w:rPr>
                <w:color w:val="auto"/>
                <w:highlight w:val="none"/>
              </w:rPr>
              <w:t>  </w:t>
            </w:r>
          </w:p>
        </w:tc>
        <w:tc>
          <w:tcPr>
            <w:tcW w:w="840" w:type="dxa"/>
            <w:tcBorders>
              <w:top w:val="single" w:color="000000" w:sz="4" w:space="0"/>
              <w:left w:val="single" w:color="000000" w:sz="4" w:space="0"/>
              <w:bottom w:val="single" w:color="000000" w:sz="4" w:space="0"/>
              <w:right w:val="single" w:color="000000" w:sz="4" w:space="0"/>
            </w:tcBorders>
            <w:vAlign w:val="center"/>
          </w:tcPr>
          <w:p w14:paraId="7765294D">
            <w:pPr>
              <w:pStyle w:val="20"/>
              <w:widowControl w:val="0"/>
              <w:spacing w:before="0" w:beforeAutospacing="0" w:after="0" w:afterAutospacing="0" w:line="0" w:lineRule="atLeast"/>
              <w:jc w:val="both"/>
              <w:rPr>
                <w:rFonts w:eastAsia="宋体"/>
                <w:color w:val="auto"/>
                <w:highlight w:val="none"/>
              </w:rPr>
            </w:pPr>
            <w:r>
              <w:rPr>
                <w:color w:val="auto"/>
                <w:highlight w:val="none"/>
              </w:rPr>
              <w:t> </w:t>
            </w:r>
            <w:r>
              <w:rPr>
                <w:rFonts w:hint="eastAsia"/>
                <w:color w:val="auto"/>
                <w:highlight w:val="none"/>
              </w:rPr>
              <w:t>188.00</w:t>
            </w:r>
          </w:p>
        </w:tc>
      </w:tr>
    </w:tbl>
    <w:p w14:paraId="392CD467">
      <w:pPr>
        <w:pStyle w:val="20"/>
        <w:widowControl w:val="0"/>
        <w:spacing w:before="0" w:beforeAutospacing="0" w:after="0" w:afterAutospacing="0"/>
        <w:ind w:firstLine="720"/>
        <w:jc w:val="both"/>
        <w:rPr>
          <w:color w:val="auto"/>
          <w:highlight w:val="none"/>
        </w:rPr>
      </w:pPr>
      <w:r>
        <w:rPr>
          <w:color w:val="auto"/>
          <w:highlight w:val="none"/>
        </w:rPr>
        <w:t> </w:t>
      </w:r>
    </w:p>
    <w:p w14:paraId="13D1C942">
      <w:pPr>
        <w:pStyle w:val="8"/>
        <w:spacing w:beforeAutospacing="0" w:afterAutospacing="0"/>
        <w:ind w:firstLine="720"/>
        <w:jc w:val="both"/>
        <w:rPr>
          <w:color w:val="auto"/>
          <w:highlight w:val="none"/>
        </w:rPr>
      </w:pPr>
      <w:r>
        <w:rPr>
          <w:rFonts w:hint="eastAsia"/>
          <w:color w:val="auto"/>
          <w:highlight w:val="none"/>
        </w:rPr>
        <w:t>备注： 报价采用总承包方式，供应商的“总报价”应包括采购人需求的服务（包含与服务相关的产品）价格、质量保证费用、培训费用及售后服务费用，项目在指定地点、环境交付登记、安装、调试、验收所需费用和所有相关税金费用及为完成整个项目所产生的其他所有费用。</w:t>
      </w:r>
    </w:p>
    <w:p w14:paraId="557CDBCA">
      <w:pPr>
        <w:pStyle w:val="8"/>
        <w:spacing w:beforeAutospacing="0" w:afterAutospacing="0"/>
        <w:ind w:firstLine="720"/>
        <w:jc w:val="both"/>
        <w:rPr>
          <w:color w:val="auto"/>
          <w:highlight w:val="none"/>
        </w:rPr>
      </w:pPr>
      <w:r>
        <w:rPr>
          <w:color w:val="auto"/>
          <w:highlight w:val="none"/>
        </w:rPr>
        <w:t> </w:t>
      </w:r>
    </w:p>
    <w:p w14:paraId="5C3CDF56">
      <w:pPr>
        <w:pStyle w:val="8"/>
        <w:spacing w:beforeAutospacing="0" w:afterAutospacing="0"/>
        <w:ind w:firstLine="720"/>
        <w:jc w:val="both"/>
        <w:rPr>
          <w:color w:val="auto"/>
          <w:highlight w:val="none"/>
        </w:rPr>
      </w:pPr>
      <w:r>
        <w:rPr>
          <w:color w:val="auto"/>
          <w:highlight w:val="none"/>
        </w:rPr>
        <w:t> </w:t>
      </w:r>
    </w:p>
    <w:p w14:paraId="391D295D">
      <w:pPr>
        <w:pStyle w:val="8"/>
        <w:spacing w:beforeAutospacing="0" w:afterAutospacing="0"/>
        <w:ind w:firstLine="720"/>
        <w:jc w:val="both"/>
        <w:rPr>
          <w:color w:val="auto"/>
          <w:highlight w:val="none"/>
        </w:rPr>
      </w:pPr>
      <w:r>
        <w:rPr>
          <w:color w:val="auto"/>
          <w:highlight w:val="none"/>
        </w:rPr>
        <w:t> </w:t>
      </w:r>
    </w:p>
    <w:p w14:paraId="2968EB93">
      <w:pPr>
        <w:pStyle w:val="8"/>
        <w:spacing w:beforeAutospacing="0" w:afterAutospacing="0"/>
        <w:ind w:firstLine="720"/>
        <w:jc w:val="both"/>
        <w:rPr>
          <w:color w:val="auto"/>
          <w:highlight w:val="none"/>
        </w:rPr>
      </w:pPr>
      <w:r>
        <w:rPr>
          <w:color w:val="auto"/>
          <w:highlight w:val="none"/>
        </w:rPr>
        <w:t> </w:t>
      </w:r>
    </w:p>
    <w:p w14:paraId="67AA6D10">
      <w:pPr>
        <w:pStyle w:val="8"/>
        <w:spacing w:beforeAutospacing="0" w:afterAutospacing="0"/>
        <w:ind w:firstLine="720"/>
        <w:jc w:val="both"/>
        <w:rPr>
          <w:color w:val="auto"/>
          <w:highlight w:val="none"/>
        </w:rPr>
      </w:pPr>
      <w:r>
        <w:rPr>
          <w:color w:val="auto"/>
          <w:highlight w:val="none"/>
        </w:rPr>
        <w:t> </w:t>
      </w:r>
    </w:p>
    <w:p w14:paraId="7966862D">
      <w:pPr>
        <w:pStyle w:val="8"/>
        <w:spacing w:beforeAutospacing="0" w:afterAutospacing="0"/>
        <w:ind w:firstLine="720"/>
        <w:jc w:val="both"/>
        <w:rPr>
          <w:color w:val="auto"/>
          <w:highlight w:val="none"/>
        </w:rPr>
      </w:pPr>
      <w:r>
        <w:rPr>
          <w:color w:val="auto"/>
          <w:highlight w:val="none"/>
        </w:rPr>
        <w:t> </w:t>
      </w:r>
    </w:p>
    <w:p w14:paraId="4C8C8A01">
      <w:pPr>
        <w:pStyle w:val="8"/>
        <w:spacing w:beforeAutospacing="0" w:afterAutospacing="0"/>
        <w:ind w:firstLine="720"/>
        <w:jc w:val="both"/>
        <w:rPr>
          <w:color w:val="auto"/>
          <w:highlight w:val="none"/>
        </w:rPr>
      </w:pPr>
    </w:p>
    <w:p w14:paraId="6C08FF8A">
      <w:pPr>
        <w:pStyle w:val="8"/>
        <w:spacing w:beforeAutospacing="0" w:afterAutospacing="0"/>
        <w:ind w:firstLine="720"/>
        <w:jc w:val="both"/>
        <w:rPr>
          <w:color w:val="auto"/>
          <w:highlight w:val="none"/>
        </w:rPr>
      </w:pPr>
    </w:p>
    <w:p w14:paraId="3F320B44">
      <w:pPr>
        <w:pStyle w:val="8"/>
        <w:spacing w:beforeAutospacing="0" w:afterAutospacing="0"/>
        <w:ind w:firstLine="720"/>
        <w:jc w:val="both"/>
        <w:rPr>
          <w:color w:val="auto"/>
          <w:highlight w:val="none"/>
        </w:rPr>
      </w:pPr>
    </w:p>
    <w:p w14:paraId="62310614">
      <w:pPr>
        <w:pStyle w:val="8"/>
        <w:spacing w:beforeAutospacing="0" w:afterAutospacing="0"/>
        <w:ind w:firstLine="720"/>
        <w:jc w:val="both"/>
        <w:rPr>
          <w:color w:val="auto"/>
          <w:highlight w:val="none"/>
        </w:rPr>
      </w:pPr>
    </w:p>
    <w:p w14:paraId="0BB845B7">
      <w:pPr>
        <w:pStyle w:val="8"/>
        <w:spacing w:beforeAutospacing="0" w:afterAutospacing="0"/>
        <w:ind w:firstLine="720"/>
        <w:jc w:val="both"/>
        <w:rPr>
          <w:color w:val="auto"/>
          <w:highlight w:val="none"/>
        </w:rPr>
      </w:pPr>
    </w:p>
    <w:p w14:paraId="0C595BEB">
      <w:pPr>
        <w:pStyle w:val="8"/>
        <w:spacing w:beforeAutospacing="0" w:afterAutospacing="0"/>
        <w:ind w:firstLine="720"/>
        <w:jc w:val="both"/>
        <w:rPr>
          <w:color w:val="auto"/>
          <w:highlight w:val="none"/>
        </w:rPr>
      </w:pPr>
    </w:p>
    <w:p w14:paraId="59A2D3E5">
      <w:pPr>
        <w:pStyle w:val="8"/>
        <w:spacing w:beforeAutospacing="0" w:afterAutospacing="0"/>
        <w:ind w:firstLine="720"/>
        <w:jc w:val="both"/>
        <w:rPr>
          <w:color w:val="auto"/>
          <w:highlight w:val="none"/>
        </w:rPr>
      </w:pPr>
    </w:p>
    <w:p w14:paraId="4B38D95F">
      <w:pPr>
        <w:pStyle w:val="8"/>
        <w:spacing w:beforeAutospacing="0" w:afterAutospacing="0"/>
        <w:ind w:firstLine="720"/>
        <w:jc w:val="both"/>
        <w:rPr>
          <w:color w:val="auto"/>
          <w:highlight w:val="none"/>
        </w:rPr>
      </w:pPr>
    </w:p>
    <w:p w14:paraId="494A57D9">
      <w:pPr>
        <w:pStyle w:val="8"/>
        <w:spacing w:beforeAutospacing="0" w:afterAutospacing="0"/>
        <w:ind w:firstLine="720"/>
        <w:jc w:val="both"/>
        <w:rPr>
          <w:color w:val="auto"/>
          <w:highlight w:val="none"/>
        </w:rPr>
      </w:pPr>
    </w:p>
    <w:p w14:paraId="65320CC6">
      <w:pPr>
        <w:pStyle w:val="8"/>
        <w:spacing w:beforeAutospacing="0" w:afterAutospacing="0"/>
        <w:ind w:firstLine="720"/>
        <w:jc w:val="both"/>
        <w:rPr>
          <w:color w:val="auto"/>
          <w:highlight w:val="none"/>
        </w:rPr>
      </w:pPr>
    </w:p>
    <w:p w14:paraId="062F942D">
      <w:pPr>
        <w:pStyle w:val="8"/>
        <w:spacing w:beforeAutospacing="0" w:afterAutospacing="0"/>
        <w:ind w:firstLine="720"/>
        <w:jc w:val="both"/>
        <w:rPr>
          <w:color w:val="auto"/>
          <w:highlight w:val="none"/>
        </w:rPr>
      </w:pPr>
    </w:p>
    <w:p w14:paraId="1D8AABCB">
      <w:pPr>
        <w:pStyle w:val="8"/>
        <w:spacing w:beforeAutospacing="0" w:afterAutospacing="0"/>
        <w:ind w:firstLine="720"/>
        <w:jc w:val="both"/>
        <w:rPr>
          <w:color w:val="auto"/>
          <w:highlight w:val="none"/>
        </w:rPr>
      </w:pPr>
    </w:p>
    <w:p w14:paraId="5F77E121">
      <w:pPr>
        <w:pStyle w:val="8"/>
        <w:spacing w:beforeAutospacing="0" w:afterAutospacing="0"/>
        <w:ind w:firstLine="720"/>
        <w:jc w:val="both"/>
        <w:rPr>
          <w:color w:val="auto"/>
          <w:highlight w:val="none"/>
        </w:rPr>
      </w:pPr>
    </w:p>
    <w:p w14:paraId="5125F8FD">
      <w:pPr>
        <w:pStyle w:val="8"/>
        <w:spacing w:beforeAutospacing="0" w:afterAutospacing="0"/>
        <w:ind w:firstLine="720"/>
        <w:jc w:val="both"/>
        <w:rPr>
          <w:color w:val="auto"/>
          <w:highlight w:val="none"/>
        </w:rPr>
      </w:pPr>
    </w:p>
    <w:p w14:paraId="3158510A">
      <w:pPr>
        <w:pStyle w:val="8"/>
        <w:spacing w:beforeAutospacing="0" w:afterAutospacing="0"/>
        <w:ind w:firstLine="720"/>
        <w:jc w:val="both"/>
        <w:rPr>
          <w:color w:val="auto"/>
          <w:highlight w:val="none"/>
        </w:rPr>
      </w:pPr>
    </w:p>
    <w:p w14:paraId="03BCA0D6">
      <w:pPr>
        <w:pStyle w:val="8"/>
        <w:spacing w:beforeAutospacing="0" w:afterAutospacing="0"/>
        <w:ind w:firstLine="720"/>
        <w:jc w:val="both"/>
        <w:rPr>
          <w:color w:val="auto"/>
          <w:highlight w:val="none"/>
        </w:rPr>
      </w:pPr>
    </w:p>
    <w:p w14:paraId="275D590C">
      <w:pPr>
        <w:pStyle w:val="8"/>
        <w:spacing w:beforeAutospacing="0" w:afterAutospacing="0"/>
        <w:ind w:firstLine="720"/>
        <w:jc w:val="both"/>
        <w:rPr>
          <w:color w:val="auto"/>
          <w:highlight w:val="none"/>
        </w:rPr>
      </w:pPr>
    </w:p>
    <w:p w14:paraId="263EC39B">
      <w:pPr>
        <w:pStyle w:val="8"/>
        <w:spacing w:beforeAutospacing="0" w:afterAutospacing="0"/>
        <w:ind w:firstLine="720"/>
        <w:jc w:val="center"/>
        <w:rPr>
          <w:color w:val="auto"/>
          <w:highlight w:val="none"/>
        </w:rPr>
      </w:pPr>
      <w:r>
        <w:rPr>
          <w:color w:val="auto"/>
          <w:highlight w:val="none"/>
        </w:rPr>
        <w:t> </w:t>
      </w:r>
      <w:r>
        <w:rPr>
          <w:rFonts w:hint="eastAsia" w:ascii="黑体" w:hAnsi="宋体" w:eastAsia="黑体" w:cs="黑体"/>
          <w:b/>
          <w:color w:val="auto"/>
          <w:sz w:val="32"/>
          <w:szCs w:val="32"/>
          <w:highlight w:val="none"/>
        </w:rPr>
        <w:t>十四、技术要求响应及偏离表（分包号：**）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961"/>
        <w:gridCol w:w="2603"/>
        <w:gridCol w:w="2608"/>
        <w:gridCol w:w="1247"/>
        <w:gridCol w:w="1101"/>
      </w:tblGrid>
      <w:tr w14:paraId="1947ED7E">
        <w:tblPrEx>
          <w:tblCellMar>
            <w:top w:w="0" w:type="dxa"/>
            <w:left w:w="108" w:type="dxa"/>
            <w:bottom w:w="0" w:type="dxa"/>
            <w:right w:w="108" w:type="dxa"/>
          </w:tblCellMar>
        </w:tblPrEx>
        <w:trPr>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8"/>
              <w:spacing w:beforeAutospacing="0" w:afterAutospacing="0"/>
              <w:jc w:val="both"/>
              <w:rPr>
                <w:rFonts w:hint="eastAsia" w:eastAsiaTheme="minorEastAsia"/>
                <w:color w:val="auto"/>
                <w:highlight w:val="none"/>
                <w:lang w:eastAsia="zh-CN"/>
              </w:rPr>
            </w:pPr>
            <w:r>
              <w:rPr>
                <w:rFonts w:hint="eastAsia" w:ascii="宋体" w:hAnsi="宋体" w:eastAsia="宋体" w:cs="宋体"/>
                <w:color w:val="auto"/>
                <w:highlight w:val="none"/>
                <w:lang w:val="en-US" w:eastAsia="zh-CN"/>
              </w:rPr>
              <w:t>序号</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8"/>
              <w:spacing w:beforeAutospacing="0" w:afterAutospacing="0"/>
              <w:ind w:firstLine="72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8"/>
              <w:spacing w:beforeAutospacing="0" w:afterAutospacing="0"/>
              <w:ind w:firstLine="72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8"/>
              <w:spacing w:beforeAutospacing="0" w:afterAutospacing="0"/>
              <w:jc w:val="both"/>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8"/>
              <w:spacing w:beforeAutospacing="0" w:afterAutospacing="0"/>
              <w:jc w:val="both"/>
              <w:rPr>
                <w:color w:val="auto"/>
                <w:highlight w:val="none"/>
              </w:rPr>
            </w:pPr>
            <w:r>
              <w:rPr>
                <w:rFonts w:hint="eastAsia" w:ascii="宋体" w:hAnsi="宋体" w:eastAsia="宋体" w:cs="宋体"/>
                <w:color w:val="auto"/>
                <w:highlight w:val="none"/>
              </w:rPr>
              <w:t>证明</w:t>
            </w:r>
          </w:p>
          <w:p w14:paraId="67058F1B">
            <w:pPr>
              <w:pStyle w:val="8"/>
              <w:spacing w:beforeAutospacing="0" w:afterAutospacing="0"/>
              <w:jc w:val="both"/>
              <w:rPr>
                <w:color w:val="auto"/>
                <w:highlight w:val="none"/>
              </w:rPr>
            </w:pPr>
            <w:r>
              <w:rPr>
                <w:rFonts w:hint="eastAsia" w:ascii="宋体" w:hAnsi="宋体" w:eastAsia="宋体" w:cs="宋体"/>
                <w:color w:val="auto"/>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8"/>
              <w:spacing w:beforeAutospacing="0" w:afterAutospacing="0"/>
              <w:jc w:val="both"/>
              <w:rPr>
                <w:rFonts w:hint="eastAsia" w:eastAsiaTheme="minorEastAsia"/>
                <w:color w:val="auto"/>
                <w:highlight w:val="none"/>
                <w:lang w:val="en-US" w:eastAsia="zh-CN"/>
              </w:rPr>
            </w:pPr>
            <w:r>
              <w:rPr>
                <w:rFonts w:hint="eastAsia"/>
                <w:color w:val="auto"/>
                <w:highlight w:val="none"/>
                <w:lang w:val="en-US" w:eastAsia="zh-CN"/>
              </w:rPr>
              <w:t>1</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8"/>
              <w:spacing w:beforeAutospacing="0" w:afterAutospacing="0"/>
              <w:jc w:val="both"/>
              <w:rPr>
                <w:color w:val="auto"/>
                <w:highlight w:val="none"/>
              </w:rPr>
            </w:pPr>
            <w:r>
              <w:rPr>
                <w:color w:val="auto"/>
                <w:highlight w:val="none"/>
              </w:rPr>
              <w:t> </w:t>
            </w:r>
            <w:r>
              <w:rPr>
                <w:rFonts w:hint="eastAsia"/>
                <w:color w:val="auto"/>
                <w:highlight w:val="none"/>
              </w:rPr>
              <w:t>加厚高强度地膜：厚度≥0.015mm、宽度 1–4m，有效使用期≥180 天，无再生料、无禁用助剂，完全符合GB13735-2017标准</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8"/>
              <w:spacing w:beforeAutospacing="0" w:afterAutospacing="0"/>
              <w:ind w:firstLine="720"/>
              <w:jc w:val="center"/>
              <w:rPr>
                <w:color w:val="auto"/>
                <w:highlight w:val="none"/>
              </w:rPr>
            </w:pPr>
            <w:r>
              <w:rPr>
                <w:color w:val="auto"/>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8"/>
              <w:spacing w:beforeAutospacing="0" w:afterAutospacing="0"/>
              <w:jc w:val="both"/>
              <w:rPr>
                <w:color w:val="auto"/>
                <w:highlight w:val="none"/>
              </w:rPr>
            </w:pPr>
            <w:r>
              <w:rPr>
                <w:rFonts w:hint="eastAsia"/>
                <w:color w:val="auto"/>
                <w:highlight w:val="none"/>
                <w:lang w:val="en-US" w:eastAsia="zh-CN"/>
              </w:rPr>
              <w:t>2</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8"/>
              <w:spacing w:beforeAutospacing="0" w:afterAutospacing="0"/>
              <w:ind w:firstLine="720"/>
              <w:jc w:val="center"/>
              <w:rPr>
                <w:color w:val="auto"/>
                <w:highlight w:val="none"/>
              </w:rPr>
            </w:pPr>
            <w:r>
              <w:rPr>
                <w:rFonts w:hint="eastAsia"/>
                <w:color w:val="auto"/>
                <w:highlight w:val="none"/>
              </w:rPr>
              <w:t>全生物降解地膜：厚度≥0.01mm、宽度 0.9–3m，完全生物降解材质，灰分、透湿率等指标符合GB/T35795-2017要求</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8"/>
              <w:spacing w:beforeAutospacing="0" w:afterAutospacing="0"/>
              <w:ind w:firstLine="720"/>
              <w:jc w:val="center"/>
              <w:rPr>
                <w:color w:val="auto"/>
                <w:highlight w:val="none"/>
              </w:rPr>
            </w:pPr>
            <w:r>
              <w:rPr>
                <w:color w:val="auto"/>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8"/>
              <w:spacing w:beforeAutospacing="0" w:afterAutospacing="0"/>
              <w:jc w:val="both"/>
              <w:rPr>
                <w:color w:val="auto"/>
                <w:highlight w:val="none"/>
              </w:rPr>
            </w:pPr>
            <w:r>
              <w:rPr>
                <w:rFonts w:hint="eastAsia"/>
                <w:color w:val="auto"/>
                <w:highlight w:val="none"/>
                <w:lang w:val="en-US" w:eastAsia="zh-CN"/>
              </w:rPr>
              <w:t>3</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8"/>
              <w:spacing w:beforeAutospacing="0" w:afterAutospacing="0"/>
              <w:ind w:firstLine="720"/>
              <w:jc w:val="center"/>
              <w:rPr>
                <w:color w:val="auto"/>
                <w:highlight w:val="none"/>
              </w:rPr>
            </w:pPr>
            <w:r>
              <w:rPr>
                <w:rFonts w:hint="eastAsia"/>
                <w:color w:val="auto"/>
                <w:highlight w:val="none"/>
              </w:rPr>
              <w:t>质量与售后：产品质保期 1 年，供货前提供有效第三方质检报告并签署质量保证书，质量问题 24 小时内到场响应</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8"/>
              <w:spacing w:beforeAutospacing="0" w:afterAutospacing="0"/>
              <w:ind w:firstLine="720"/>
              <w:jc w:val="center"/>
              <w:rPr>
                <w:color w:val="auto"/>
                <w:highlight w:val="none"/>
              </w:rPr>
            </w:pPr>
            <w:r>
              <w:rPr>
                <w:color w:val="auto"/>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8"/>
              <w:spacing w:beforeAutospacing="0" w:afterAutospacing="0"/>
              <w:jc w:val="both"/>
              <w:rPr>
                <w:color w:val="auto"/>
                <w:highlight w:val="none"/>
              </w:rPr>
            </w:pPr>
            <w:r>
              <w:rPr>
                <w:rFonts w:hint="eastAsia"/>
                <w:color w:val="auto"/>
                <w:highlight w:val="none"/>
                <w:lang w:val="en-US" w:eastAsia="zh-CN"/>
              </w:rPr>
              <w:t>4</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8"/>
              <w:spacing w:beforeAutospacing="0" w:afterAutospacing="0"/>
              <w:jc w:val="both"/>
              <w:rPr>
                <w:color w:val="auto"/>
                <w:highlight w:val="none"/>
              </w:rPr>
            </w:pPr>
            <w:r>
              <w:rPr>
                <w:rFonts w:hint="eastAsia"/>
                <w:color w:val="auto"/>
                <w:highlight w:val="none"/>
              </w:rPr>
              <w:t>供货与验收：按要求分乡镇、分批次供货，配合批次验收与第三方抽检，检测费用由</w:t>
            </w:r>
            <w:r>
              <w:rPr>
                <w:rFonts w:hint="eastAsia"/>
                <w:color w:val="auto"/>
                <w:highlight w:val="none"/>
                <w:lang w:val="en-US" w:eastAsia="zh-CN"/>
              </w:rPr>
              <w:t>供应商</w:t>
            </w:r>
            <w:r>
              <w:rPr>
                <w:rFonts w:hint="eastAsia"/>
                <w:color w:val="auto"/>
                <w:highlight w:val="none"/>
              </w:rPr>
              <w:t>承担</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8"/>
              <w:spacing w:beforeAutospacing="0" w:afterAutospacing="0"/>
              <w:ind w:firstLine="720"/>
              <w:jc w:val="center"/>
              <w:rPr>
                <w:color w:val="auto"/>
                <w:highlight w:val="none"/>
              </w:rPr>
            </w:pPr>
            <w:r>
              <w:rPr>
                <w:color w:val="auto"/>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8"/>
              <w:spacing w:beforeAutospacing="0" w:afterAutospacing="0"/>
              <w:jc w:val="both"/>
              <w:rPr>
                <w:color w:val="auto"/>
                <w:highlight w:val="none"/>
              </w:rPr>
            </w:pP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8"/>
              <w:spacing w:beforeAutospacing="0" w:afterAutospacing="0"/>
              <w:ind w:firstLine="72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8"/>
              <w:spacing w:beforeAutospacing="0" w:afterAutospacing="0"/>
              <w:ind w:firstLine="720"/>
              <w:jc w:val="center"/>
              <w:rPr>
                <w:color w:val="auto"/>
                <w:highlight w:val="none"/>
              </w:rPr>
            </w:pPr>
            <w:r>
              <w:rPr>
                <w:color w:val="auto"/>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8"/>
              <w:spacing w:beforeAutospacing="0" w:afterAutospacing="0"/>
              <w:ind w:firstLine="720"/>
              <w:jc w:val="center"/>
              <w:rPr>
                <w:color w:val="auto"/>
                <w:highlight w:val="none"/>
              </w:rPr>
            </w:pPr>
            <w:r>
              <w:rPr>
                <w:color w:val="auto"/>
                <w:highlight w:val="none"/>
              </w:rPr>
              <w:t> </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8"/>
              <w:spacing w:beforeAutospacing="0" w:afterAutospacing="0"/>
              <w:ind w:firstLine="72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8"/>
              <w:spacing w:beforeAutospacing="0" w:afterAutospacing="0"/>
              <w:ind w:firstLine="720"/>
              <w:jc w:val="center"/>
              <w:rPr>
                <w:color w:val="auto"/>
                <w:highlight w:val="none"/>
              </w:rPr>
            </w:pPr>
            <w:r>
              <w:rPr>
                <w:color w:val="auto"/>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8"/>
              <w:spacing w:beforeAutospacing="0" w:afterAutospacing="0"/>
              <w:ind w:firstLine="720"/>
              <w:jc w:val="center"/>
              <w:rPr>
                <w:color w:val="auto"/>
                <w:highlight w:val="none"/>
              </w:rPr>
            </w:pPr>
            <w:r>
              <w:rPr>
                <w:color w:val="auto"/>
                <w:highlight w:val="none"/>
              </w:rPr>
              <w:t> </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8"/>
              <w:spacing w:beforeAutospacing="0" w:afterAutospacing="0"/>
              <w:ind w:firstLine="72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8"/>
              <w:spacing w:beforeAutospacing="0" w:afterAutospacing="0"/>
              <w:ind w:firstLine="720"/>
              <w:jc w:val="center"/>
              <w:rPr>
                <w:color w:val="auto"/>
                <w:highlight w:val="none"/>
              </w:rPr>
            </w:pPr>
            <w:r>
              <w:rPr>
                <w:color w:val="auto"/>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8"/>
              <w:spacing w:beforeAutospacing="0" w:afterAutospacing="0"/>
              <w:ind w:firstLine="720"/>
              <w:jc w:val="center"/>
              <w:rPr>
                <w:color w:val="auto"/>
                <w:highlight w:val="none"/>
              </w:rPr>
            </w:pPr>
            <w:r>
              <w:rPr>
                <w:color w:val="auto"/>
                <w:highlight w:val="none"/>
              </w:rPr>
              <w:t> </w:t>
            </w:r>
          </w:p>
        </w:tc>
        <w:tc>
          <w:tcPr>
            <w:tcW w:w="2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8"/>
              <w:spacing w:beforeAutospacing="0" w:afterAutospacing="0"/>
              <w:ind w:firstLine="72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8"/>
              <w:spacing w:beforeAutospacing="0" w:afterAutospacing="0"/>
              <w:ind w:firstLine="720"/>
              <w:jc w:val="center"/>
              <w:rPr>
                <w:color w:val="auto"/>
                <w:highlight w:val="none"/>
              </w:rPr>
            </w:pPr>
            <w:r>
              <w:rPr>
                <w:color w:val="auto"/>
                <w:highlight w:val="none"/>
              </w:rPr>
              <w:t> </w:t>
            </w:r>
          </w:p>
        </w:tc>
      </w:tr>
    </w:tbl>
    <w:p w14:paraId="36AF6280">
      <w:pPr>
        <w:pStyle w:val="8"/>
        <w:spacing w:beforeAutospacing="0" w:afterAutospacing="0"/>
        <w:ind w:firstLine="720"/>
        <w:jc w:val="both"/>
        <w:rPr>
          <w:color w:val="auto"/>
          <w:highlight w:val="none"/>
        </w:rPr>
      </w:pPr>
      <w:r>
        <w:rPr>
          <w:rFonts w:hint="eastAsia" w:ascii="宋体" w:hAnsi="宋体" w:eastAsia="宋体" w:cs="宋体"/>
          <w:color w:val="auto"/>
          <w:highlight w:val="none"/>
        </w:rPr>
        <w:t>注： 行数不够，可自行添加。</w:t>
      </w:r>
    </w:p>
    <w:p w14:paraId="4F1C81C5">
      <w:pPr>
        <w:pStyle w:val="8"/>
        <w:spacing w:beforeAutospacing="0" w:afterAutospacing="0"/>
        <w:ind w:firstLine="720"/>
        <w:jc w:val="center"/>
        <w:rPr>
          <w:color w:val="auto"/>
          <w:highlight w:val="none"/>
        </w:rPr>
      </w:pPr>
      <w:r>
        <w:rPr>
          <w:color w:val="auto"/>
          <w:highlight w:val="none"/>
        </w:rPr>
        <w:t> </w:t>
      </w:r>
    </w:p>
    <w:p w14:paraId="5D3ECF4B">
      <w:pPr>
        <w:pStyle w:val="8"/>
        <w:spacing w:beforeAutospacing="0" w:afterAutospacing="0"/>
        <w:ind w:firstLine="720"/>
        <w:jc w:val="center"/>
        <w:rPr>
          <w:color w:val="auto"/>
          <w:highlight w:val="none"/>
        </w:rPr>
      </w:pPr>
      <w:r>
        <w:rPr>
          <w:color w:val="auto"/>
          <w:highlight w:val="none"/>
        </w:rPr>
        <w:t> </w:t>
      </w:r>
    </w:p>
    <w:p w14:paraId="6C205399">
      <w:pPr>
        <w:pStyle w:val="8"/>
        <w:spacing w:beforeAutospacing="0" w:afterAutospacing="0"/>
        <w:ind w:firstLine="720"/>
        <w:jc w:val="center"/>
        <w:rPr>
          <w:color w:val="auto"/>
          <w:highlight w:val="none"/>
        </w:rPr>
      </w:pPr>
      <w:r>
        <w:rPr>
          <w:color w:val="auto"/>
          <w:highlight w:val="none"/>
        </w:rPr>
        <w:t> </w:t>
      </w:r>
    </w:p>
    <w:p w14:paraId="4AA038E0">
      <w:pPr>
        <w:pStyle w:val="8"/>
        <w:spacing w:beforeAutospacing="0" w:afterAutospacing="0"/>
        <w:ind w:firstLine="720"/>
        <w:jc w:val="center"/>
        <w:rPr>
          <w:color w:val="auto"/>
          <w:highlight w:val="none"/>
        </w:rPr>
      </w:pPr>
      <w:r>
        <w:rPr>
          <w:color w:val="auto"/>
          <w:highlight w:val="none"/>
        </w:rPr>
        <w:t> </w:t>
      </w:r>
    </w:p>
    <w:p w14:paraId="2959F3C4">
      <w:pPr>
        <w:pStyle w:val="8"/>
        <w:spacing w:beforeAutospacing="0" w:afterAutospacing="0"/>
        <w:ind w:firstLine="720"/>
        <w:jc w:val="both"/>
        <w:rPr>
          <w:color w:val="auto"/>
          <w:highlight w:val="none"/>
        </w:rPr>
      </w:pPr>
      <w:r>
        <w:rPr>
          <w:color w:val="auto"/>
          <w:highlight w:val="none"/>
        </w:rPr>
        <w:t> </w:t>
      </w:r>
    </w:p>
    <w:p w14:paraId="1B060B71">
      <w:pPr>
        <w:pStyle w:val="8"/>
        <w:spacing w:beforeAutospacing="0" w:afterAutospacing="0"/>
        <w:ind w:firstLine="720"/>
        <w:jc w:val="both"/>
        <w:rPr>
          <w:color w:val="auto"/>
          <w:highlight w:val="none"/>
        </w:rPr>
      </w:pPr>
      <w:r>
        <w:rPr>
          <w:color w:val="auto"/>
          <w:highlight w:val="none"/>
        </w:rPr>
        <w:t> </w:t>
      </w:r>
    </w:p>
    <w:p w14:paraId="3F046A88">
      <w:pPr>
        <w:pStyle w:val="8"/>
        <w:spacing w:beforeAutospacing="0" w:afterAutospacing="0"/>
        <w:ind w:firstLine="720"/>
        <w:jc w:val="both"/>
        <w:rPr>
          <w:color w:val="auto"/>
          <w:highlight w:val="none"/>
        </w:rPr>
      </w:pPr>
      <w:r>
        <w:rPr>
          <w:color w:val="auto"/>
          <w:highlight w:val="none"/>
        </w:rPr>
        <w:t> </w:t>
      </w:r>
    </w:p>
    <w:p w14:paraId="7E0C087F">
      <w:pPr>
        <w:pStyle w:val="8"/>
        <w:spacing w:beforeAutospacing="0" w:afterAutospacing="0"/>
        <w:ind w:firstLine="720"/>
        <w:jc w:val="both"/>
        <w:rPr>
          <w:color w:val="auto"/>
          <w:highlight w:val="none"/>
        </w:rPr>
      </w:pPr>
      <w:r>
        <w:rPr>
          <w:color w:val="auto"/>
          <w:highlight w:val="none"/>
        </w:rPr>
        <w:t> </w:t>
      </w:r>
    </w:p>
    <w:p w14:paraId="3A8794A2">
      <w:pPr>
        <w:pStyle w:val="8"/>
        <w:spacing w:beforeAutospacing="0" w:afterAutospacing="0"/>
        <w:ind w:firstLine="720"/>
        <w:jc w:val="both"/>
        <w:rPr>
          <w:color w:val="auto"/>
          <w:highlight w:val="none"/>
        </w:rPr>
      </w:pPr>
    </w:p>
    <w:p w14:paraId="5C48238E">
      <w:pPr>
        <w:pStyle w:val="8"/>
        <w:spacing w:beforeAutospacing="0" w:afterAutospacing="0"/>
        <w:ind w:firstLine="720"/>
        <w:jc w:val="both"/>
        <w:rPr>
          <w:color w:val="auto"/>
          <w:highlight w:val="none"/>
        </w:rPr>
      </w:pPr>
      <w:r>
        <w:rPr>
          <w:color w:val="auto"/>
          <w:highlight w:val="none"/>
        </w:rPr>
        <w:t> </w:t>
      </w:r>
    </w:p>
    <w:p w14:paraId="2B05566F">
      <w:pPr>
        <w:pStyle w:val="8"/>
        <w:spacing w:beforeAutospacing="0" w:afterAutospacing="0"/>
        <w:ind w:firstLine="720"/>
        <w:jc w:val="both"/>
        <w:rPr>
          <w:color w:val="auto"/>
          <w:highlight w:val="none"/>
        </w:rPr>
      </w:pPr>
      <w:r>
        <w:rPr>
          <w:color w:val="auto"/>
          <w:highlight w:val="none"/>
        </w:rPr>
        <w:t> </w:t>
      </w:r>
      <w:bookmarkStart w:id="186" w:name="_Hlt26955054"/>
      <w:r>
        <w:rPr>
          <w:rFonts w:hint="eastAsia" w:ascii="黑体" w:hAnsi="宋体" w:eastAsia="黑体" w:cs="黑体"/>
          <w:b/>
          <w:color w:val="auto"/>
          <w:sz w:val="32"/>
          <w:szCs w:val="32"/>
          <w:highlight w:val="none"/>
        </w:rPr>
        <w:t>十五、商务要求响应及偏离表（分包号：**）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931"/>
        <w:gridCol w:w="2633"/>
        <w:gridCol w:w="2608"/>
        <w:gridCol w:w="1247"/>
        <w:gridCol w:w="1101"/>
      </w:tblGrid>
      <w:tr w14:paraId="0C8C067D">
        <w:tblPrEx>
          <w:tblCellMar>
            <w:top w:w="0" w:type="dxa"/>
            <w:left w:w="108" w:type="dxa"/>
            <w:bottom w:w="0" w:type="dxa"/>
            <w:right w:w="108" w:type="dxa"/>
          </w:tblCellMar>
        </w:tblPrEx>
        <w:trPr>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8"/>
              <w:spacing w:beforeAutospacing="0" w:afterAutospacing="0"/>
              <w:jc w:val="both"/>
              <w:rPr>
                <w:color w:val="auto"/>
                <w:highlight w:val="none"/>
              </w:rPr>
            </w:pPr>
            <w:bookmarkStart w:id="187" w:name="_Hlt26955056"/>
            <w:bookmarkStart w:id="188" w:name="_Hlt26609391"/>
            <w:bookmarkStart w:id="189" w:name="_Hlt24879081"/>
            <w:bookmarkStart w:id="190" w:name="_Hlt26955064"/>
            <w:bookmarkStart w:id="191" w:name="_Hlt26671343"/>
            <w:bookmarkStart w:id="192" w:name="_Hlt26671372"/>
            <w:bookmarkStart w:id="193" w:name="_Hlt26580838"/>
            <w:bookmarkStart w:id="194" w:name="_Hlt26782999"/>
            <w:r>
              <w:rPr>
                <w:rFonts w:hint="eastAsia" w:ascii="宋体" w:hAnsi="宋体" w:eastAsia="宋体" w:cs="宋体"/>
                <w:color w:val="auto"/>
                <w:highlight w:val="none"/>
              </w:rPr>
              <w:t>序号</w:t>
            </w:r>
          </w:p>
          <w:bookmarkEnd w:id="187"/>
          <w:bookmarkEnd w:id="188"/>
          <w:bookmarkEnd w:id="189"/>
          <w:bookmarkEnd w:id="190"/>
          <w:bookmarkEnd w:id="191"/>
          <w:bookmarkEnd w:id="192"/>
          <w:bookmarkEnd w:id="193"/>
          <w:bookmarkEnd w:id="194"/>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8"/>
              <w:spacing w:beforeAutospacing="0" w:afterAutospacing="0"/>
              <w:ind w:firstLine="72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8"/>
              <w:spacing w:beforeAutospacing="0" w:afterAutospacing="0"/>
              <w:ind w:firstLine="72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8"/>
              <w:spacing w:beforeAutospacing="0" w:afterAutospacing="0"/>
              <w:jc w:val="both"/>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8"/>
              <w:spacing w:beforeAutospacing="0" w:afterAutospacing="0"/>
              <w:jc w:val="both"/>
              <w:rPr>
                <w:color w:val="auto"/>
                <w:highlight w:val="none"/>
              </w:rPr>
            </w:pPr>
            <w:r>
              <w:rPr>
                <w:rFonts w:hint="eastAsia" w:ascii="宋体" w:hAnsi="宋体" w:eastAsia="宋体" w:cs="宋体"/>
                <w:color w:val="auto"/>
                <w:highlight w:val="none"/>
              </w:rPr>
              <w:t>证明</w:t>
            </w:r>
          </w:p>
          <w:p w14:paraId="2F6E5C46">
            <w:pPr>
              <w:pStyle w:val="8"/>
              <w:spacing w:beforeAutospacing="0" w:afterAutospacing="0"/>
              <w:jc w:val="both"/>
              <w:rPr>
                <w:color w:val="auto"/>
                <w:highlight w:val="none"/>
              </w:rPr>
            </w:pPr>
            <w:r>
              <w:rPr>
                <w:rFonts w:hint="eastAsia" w:ascii="宋体" w:hAnsi="宋体" w:eastAsia="宋体" w:cs="宋体"/>
                <w:color w:val="auto"/>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8"/>
              <w:spacing w:beforeAutospacing="0" w:afterAutospacing="0"/>
              <w:jc w:val="both"/>
              <w:rPr>
                <w:color w:val="auto"/>
                <w:highlight w:val="none"/>
              </w:rPr>
            </w:pPr>
            <w:r>
              <w:rPr>
                <w:rFonts w:hint="eastAsia"/>
                <w:color w:val="auto"/>
                <w:highlight w:val="none"/>
                <w:lang w:val="en-US" w:eastAsia="zh-CN"/>
              </w:rPr>
              <w:t>1</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8"/>
              <w:spacing w:beforeAutospacing="0" w:afterAutospacing="0"/>
              <w:jc w:val="both"/>
              <w:rPr>
                <w:color w:val="auto"/>
                <w:highlight w:val="none"/>
              </w:rPr>
            </w:pPr>
            <w:r>
              <w:rPr>
                <w:rFonts w:hint="eastAsia"/>
                <w:color w:val="auto"/>
                <w:highlight w:val="none"/>
              </w:rPr>
              <w:t>合同履行期限：收到供货通知后 15 个日历天内完成供货发放</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8"/>
              <w:spacing w:beforeAutospacing="0" w:afterAutospacing="0"/>
              <w:ind w:firstLine="720"/>
              <w:jc w:val="center"/>
              <w:rPr>
                <w:color w:val="auto"/>
                <w:highlight w:val="none"/>
              </w:rPr>
            </w:pPr>
            <w:r>
              <w:rPr>
                <w:color w:val="auto"/>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8"/>
              <w:spacing w:beforeAutospacing="0" w:afterAutospacing="0"/>
              <w:jc w:val="both"/>
              <w:rPr>
                <w:color w:val="auto"/>
                <w:highlight w:val="none"/>
              </w:rPr>
            </w:pPr>
            <w:r>
              <w:rPr>
                <w:rFonts w:hint="eastAsia"/>
                <w:color w:val="auto"/>
                <w:highlight w:val="none"/>
                <w:lang w:val="en-US" w:eastAsia="zh-CN"/>
              </w:rPr>
              <w:t>2</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8"/>
              <w:spacing w:beforeAutospacing="0" w:afterAutospacing="0"/>
              <w:jc w:val="both"/>
              <w:rPr>
                <w:color w:val="auto"/>
                <w:highlight w:val="none"/>
              </w:rPr>
            </w:pPr>
            <w:r>
              <w:rPr>
                <w:rFonts w:hint="eastAsia"/>
                <w:color w:val="auto"/>
                <w:highlight w:val="none"/>
              </w:rPr>
              <w:t>交货地点：盐城市亭湖区采购人指定地点，含装卸、分发</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8"/>
              <w:spacing w:beforeAutospacing="0" w:afterAutospacing="0"/>
              <w:ind w:firstLine="720"/>
              <w:jc w:val="center"/>
              <w:rPr>
                <w:color w:val="auto"/>
                <w:highlight w:val="none"/>
              </w:rPr>
            </w:pPr>
            <w:r>
              <w:rPr>
                <w:color w:val="auto"/>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8"/>
              <w:spacing w:beforeAutospacing="0" w:afterAutospacing="0"/>
              <w:jc w:val="both"/>
              <w:rPr>
                <w:color w:val="auto"/>
                <w:highlight w:val="none"/>
              </w:rPr>
            </w:pPr>
            <w:r>
              <w:rPr>
                <w:rFonts w:hint="eastAsia"/>
                <w:color w:val="auto"/>
                <w:highlight w:val="none"/>
                <w:lang w:val="en-US" w:eastAsia="zh-CN"/>
              </w:rPr>
              <w:t>3</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8"/>
              <w:spacing w:beforeAutospacing="0" w:afterAutospacing="0"/>
              <w:jc w:val="both"/>
              <w:rPr>
                <w:color w:val="auto"/>
                <w:highlight w:val="none"/>
              </w:rPr>
            </w:pPr>
            <w:r>
              <w:rPr>
                <w:rFonts w:hint="eastAsia"/>
                <w:color w:val="auto"/>
                <w:highlight w:val="none"/>
              </w:rPr>
              <w:t>投标报价：总报价 188 万元，分项不超预算，数量不低于最低量</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8"/>
              <w:spacing w:beforeAutospacing="0" w:afterAutospacing="0"/>
              <w:ind w:firstLine="720"/>
              <w:jc w:val="center"/>
              <w:rPr>
                <w:color w:val="auto"/>
                <w:highlight w:val="none"/>
              </w:rPr>
            </w:pPr>
            <w:r>
              <w:rPr>
                <w:color w:val="auto"/>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8"/>
              <w:spacing w:beforeAutospacing="0" w:afterAutospacing="0"/>
              <w:jc w:val="both"/>
              <w:rPr>
                <w:color w:val="auto"/>
                <w:highlight w:val="none"/>
              </w:rPr>
            </w:pPr>
            <w:r>
              <w:rPr>
                <w:rFonts w:hint="eastAsia"/>
                <w:color w:val="auto"/>
                <w:highlight w:val="none"/>
                <w:lang w:val="en-US" w:eastAsia="zh-CN"/>
              </w:rPr>
              <w:t>4</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8"/>
              <w:spacing w:beforeAutospacing="0" w:afterAutospacing="0"/>
              <w:jc w:val="both"/>
              <w:rPr>
                <w:color w:val="auto"/>
                <w:highlight w:val="none"/>
              </w:rPr>
            </w:pPr>
            <w:r>
              <w:rPr>
                <w:rFonts w:hint="eastAsia"/>
                <w:color w:val="auto"/>
                <w:highlight w:val="none"/>
              </w:rPr>
              <w:t>售后服务：质量问题 24 小时内到场响应</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8"/>
              <w:spacing w:beforeAutospacing="0" w:afterAutospacing="0"/>
              <w:ind w:firstLine="720"/>
              <w:jc w:val="center"/>
              <w:rPr>
                <w:color w:val="auto"/>
                <w:highlight w:val="none"/>
              </w:rPr>
            </w:pPr>
            <w:r>
              <w:rPr>
                <w:color w:val="auto"/>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8"/>
              <w:spacing w:beforeAutospacing="0" w:afterAutospacing="0"/>
              <w:jc w:val="both"/>
              <w:rPr>
                <w:color w:val="auto"/>
                <w:highlight w:val="none"/>
              </w:rPr>
            </w:pPr>
            <w:r>
              <w:rPr>
                <w:rFonts w:hint="eastAsia"/>
                <w:color w:val="auto"/>
                <w:highlight w:val="none"/>
                <w:lang w:val="en-US" w:eastAsia="zh-CN"/>
              </w:rPr>
              <w:t>5</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8"/>
              <w:spacing w:beforeAutospacing="0" w:afterAutospacing="0"/>
              <w:jc w:val="both"/>
              <w:rPr>
                <w:color w:val="auto"/>
                <w:highlight w:val="none"/>
              </w:rPr>
            </w:pPr>
            <w:r>
              <w:rPr>
                <w:rFonts w:hint="eastAsia"/>
                <w:color w:val="auto"/>
                <w:highlight w:val="none"/>
              </w:rPr>
              <w:t>验收：批次验收、第三方抽检，检测费由中标方承担</w:t>
            </w: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8"/>
              <w:spacing w:beforeAutospacing="0" w:afterAutospacing="0"/>
              <w:ind w:firstLine="720"/>
              <w:jc w:val="center"/>
              <w:rPr>
                <w:color w:val="auto"/>
                <w:highlight w:val="none"/>
              </w:rPr>
            </w:pPr>
            <w:r>
              <w:rPr>
                <w:color w:val="auto"/>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8"/>
              <w:spacing w:beforeAutospacing="0" w:afterAutospacing="0"/>
              <w:ind w:firstLine="720"/>
              <w:jc w:val="center"/>
              <w:rPr>
                <w:color w:val="auto"/>
                <w:highlight w:val="none"/>
              </w:rPr>
            </w:pPr>
            <w:r>
              <w:rPr>
                <w:color w:val="auto"/>
                <w:highlight w:val="none"/>
              </w:rPr>
              <w:t> </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8"/>
              <w:spacing w:beforeAutospacing="0" w:afterAutospacing="0"/>
              <w:ind w:firstLine="72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8"/>
              <w:spacing w:beforeAutospacing="0" w:afterAutospacing="0"/>
              <w:ind w:firstLine="720"/>
              <w:jc w:val="center"/>
              <w:rPr>
                <w:color w:val="auto"/>
                <w:highlight w:val="none"/>
              </w:rPr>
            </w:pPr>
            <w:r>
              <w:rPr>
                <w:color w:val="auto"/>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8"/>
              <w:spacing w:beforeAutospacing="0" w:afterAutospacing="0"/>
              <w:ind w:firstLine="720"/>
              <w:jc w:val="center"/>
              <w:rPr>
                <w:color w:val="auto"/>
                <w:highlight w:val="none"/>
              </w:rPr>
            </w:pPr>
            <w:r>
              <w:rPr>
                <w:color w:val="auto"/>
                <w:highlight w:val="none"/>
              </w:rPr>
              <w:t> </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8"/>
              <w:spacing w:beforeAutospacing="0" w:afterAutospacing="0"/>
              <w:ind w:firstLine="72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8"/>
              <w:spacing w:beforeAutospacing="0" w:afterAutospacing="0"/>
              <w:ind w:firstLine="720"/>
              <w:jc w:val="center"/>
              <w:rPr>
                <w:color w:val="auto"/>
                <w:highlight w:val="none"/>
              </w:rPr>
            </w:pPr>
            <w:r>
              <w:rPr>
                <w:color w:val="auto"/>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8"/>
              <w:spacing w:beforeAutospacing="0" w:afterAutospacing="0"/>
              <w:ind w:firstLine="720"/>
              <w:jc w:val="center"/>
              <w:rPr>
                <w:color w:val="auto"/>
                <w:highlight w:val="none"/>
              </w:rPr>
            </w:pPr>
            <w:r>
              <w:rPr>
                <w:color w:val="auto"/>
                <w:highlight w:val="none"/>
              </w:rPr>
              <w:t> </w:t>
            </w:r>
          </w:p>
        </w:tc>
        <w:tc>
          <w:tcPr>
            <w:tcW w:w="2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8"/>
              <w:spacing w:beforeAutospacing="0" w:afterAutospacing="0"/>
              <w:ind w:firstLine="72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8"/>
              <w:spacing w:beforeAutospacing="0" w:afterAutospacing="0"/>
              <w:ind w:firstLine="72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8"/>
              <w:spacing w:beforeAutospacing="0" w:afterAutospacing="0"/>
              <w:ind w:firstLine="72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8"/>
              <w:spacing w:beforeAutospacing="0" w:afterAutospacing="0"/>
              <w:ind w:firstLine="720"/>
              <w:jc w:val="center"/>
              <w:rPr>
                <w:color w:val="auto"/>
                <w:highlight w:val="none"/>
              </w:rPr>
            </w:pPr>
            <w:r>
              <w:rPr>
                <w:color w:val="auto"/>
                <w:highlight w:val="none"/>
              </w:rPr>
              <w:t> </w:t>
            </w:r>
          </w:p>
        </w:tc>
      </w:tr>
    </w:tbl>
    <w:p w14:paraId="72F5297B">
      <w:pPr>
        <w:pStyle w:val="8"/>
        <w:spacing w:beforeAutospacing="0" w:afterAutospacing="0"/>
        <w:ind w:firstLine="720"/>
        <w:jc w:val="both"/>
        <w:rPr>
          <w:color w:val="auto"/>
          <w:highlight w:val="none"/>
        </w:rPr>
      </w:pPr>
      <w:r>
        <w:rPr>
          <w:rFonts w:hint="eastAsia" w:ascii="宋体" w:hAnsi="宋体" w:eastAsia="宋体" w:cs="宋体"/>
          <w:color w:val="auto"/>
          <w:highlight w:val="none"/>
        </w:rPr>
        <w:t>注： 行数不够，可自行添加。</w:t>
      </w:r>
    </w:p>
    <w:p w14:paraId="7D76B506">
      <w:pPr>
        <w:pStyle w:val="8"/>
        <w:spacing w:beforeAutospacing="0" w:afterAutospacing="0" w:line="480" w:lineRule="auto"/>
        <w:ind w:firstLine="720"/>
        <w:jc w:val="both"/>
        <w:rPr>
          <w:color w:val="auto"/>
          <w:highlight w:val="none"/>
        </w:rPr>
      </w:pPr>
      <w:r>
        <w:rPr>
          <w:color w:val="auto"/>
          <w:highlight w:val="none"/>
        </w:rPr>
        <w:t> </w:t>
      </w:r>
    </w:p>
    <w:p w14:paraId="55CA87F7">
      <w:pPr>
        <w:pStyle w:val="8"/>
        <w:spacing w:beforeAutospacing="0" w:afterAutospacing="0" w:line="480" w:lineRule="auto"/>
        <w:ind w:firstLine="720"/>
        <w:jc w:val="both"/>
        <w:rPr>
          <w:color w:val="auto"/>
          <w:highlight w:val="none"/>
        </w:rPr>
      </w:pPr>
      <w:r>
        <w:rPr>
          <w:color w:val="auto"/>
          <w:highlight w:val="none"/>
        </w:rPr>
        <w:t> </w:t>
      </w:r>
    </w:p>
    <w:p w14:paraId="09BB21B8">
      <w:pPr>
        <w:pStyle w:val="8"/>
        <w:spacing w:beforeAutospacing="0" w:afterAutospacing="0"/>
        <w:ind w:firstLine="720"/>
        <w:jc w:val="center"/>
        <w:rPr>
          <w:color w:val="auto"/>
          <w:highlight w:val="none"/>
        </w:rPr>
      </w:pPr>
      <w:bookmarkStart w:id="195" w:name="_Hlt26671374"/>
      <w:bookmarkStart w:id="196" w:name="_Hlt26609389"/>
      <w:bookmarkStart w:id="197" w:name="_Hlt26955066"/>
      <w:bookmarkStart w:id="198" w:name="_Toc462564146"/>
      <w:bookmarkStart w:id="199" w:name="_格式2__法定代表人授权书"/>
      <w:r>
        <w:rPr>
          <w:color w:val="auto"/>
          <w:highlight w:val="none"/>
        </w:rPr>
        <w:t> </w:t>
      </w:r>
    </w:p>
    <w:p w14:paraId="44E1DEF6">
      <w:pPr>
        <w:pStyle w:val="8"/>
        <w:spacing w:beforeAutospacing="0" w:afterAutospacing="0"/>
        <w:ind w:firstLine="720"/>
        <w:jc w:val="center"/>
        <w:rPr>
          <w:color w:val="auto"/>
          <w:highlight w:val="none"/>
        </w:rPr>
      </w:pPr>
      <w:r>
        <w:rPr>
          <w:color w:val="auto"/>
          <w:highlight w:val="none"/>
        </w:rPr>
        <w:t> </w:t>
      </w:r>
    </w:p>
    <w:p w14:paraId="1169076F">
      <w:pPr>
        <w:pStyle w:val="8"/>
        <w:spacing w:beforeAutospacing="0" w:afterAutospacing="0"/>
        <w:ind w:firstLine="720"/>
        <w:jc w:val="center"/>
        <w:rPr>
          <w:color w:val="auto"/>
          <w:highlight w:val="none"/>
        </w:rPr>
      </w:pPr>
      <w:r>
        <w:rPr>
          <w:color w:val="auto"/>
          <w:highlight w:val="none"/>
        </w:rPr>
        <w:t> </w:t>
      </w:r>
    </w:p>
    <w:p w14:paraId="05F6A496">
      <w:pPr>
        <w:pStyle w:val="8"/>
        <w:spacing w:beforeAutospacing="0" w:afterAutospacing="0"/>
        <w:ind w:firstLine="720"/>
        <w:jc w:val="center"/>
        <w:rPr>
          <w:color w:val="auto"/>
          <w:highlight w:val="none"/>
        </w:rPr>
      </w:pPr>
      <w:r>
        <w:rPr>
          <w:color w:val="auto"/>
          <w:highlight w:val="none"/>
        </w:rPr>
        <w:t> </w:t>
      </w:r>
    </w:p>
    <w:p w14:paraId="0CA17605">
      <w:pPr>
        <w:pStyle w:val="8"/>
        <w:spacing w:beforeAutospacing="0" w:afterAutospacing="0"/>
        <w:ind w:firstLine="720"/>
        <w:jc w:val="center"/>
        <w:rPr>
          <w:color w:val="auto"/>
          <w:highlight w:val="none"/>
        </w:rPr>
      </w:pPr>
      <w:r>
        <w:rPr>
          <w:color w:val="auto"/>
          <w:highlight w:val="none"/>
        </w:rPr>
        <w:t> </w:t>
      </w:r>
    </w:p>
    <w:p w14:paraId="0F9F9845">
      <w:pPr>
        <w:pStyle w:val="8"/>
        <w:spacing w:beforeAutospacing="0" w:afterAutospacing="0"/>
        <w:ind w:firstLine="720"/>
        <w:jc w:val="center"/>
        <w:rPr>
          <w:color w:val="auto"/>
          <w:highlight w:val="none"/>
        </w:rPr>
      </w:pPr>
      <w:r>
        <w:rPr>
          <w:color w:val="auto"/>
          <w:highlight w:val="none"/>
        </w:rPr>
        <w:t> </w:t>
      </w:r>
    </w:p>
    <w:p w14:paraId="6AB78516">
      <w:pPr>
        <w:pStyle w:val="8"/>
        <w:spacing w:beforeAutospacing="0" w:afterAutospacing="0"/>
        <w:ind w:firstLine="720"/>
        <w:jc w:val="center"/>
        <w:rPr>
          <w:color w:val="auto"/>
          <w:highlight w:val="none"/>
        </w:rPr>
      </w:pPr>
    </w:p>
    <w:p w14:paraId="1B596214">
      <w:pPr>
        <w:pStyle w:val="8"/>
        <w:spacing w:beforeAutospacing="0" w:afterAutospacing="0"/>
        <w:ind w:firstLine="720"/>
        <w:jc w:val="center"/>
        <w:rPr>
          <w:color w:val="auto"/>
          <w:highlight w:val="none"/>
        </w:rPr>
      </w:pPr>
    </w:p>
    <w:p w14:paraId="27ED14E9">
      <w:pPr>
        <w:pStyle w:val="8"/>
        <w:spacing w:beforeAutospacing="0" w:afterAutospacing="0"/>
        <w:ind w:firstLine="720"/>
        <w:jc w:val="center"/>
        <w:rPr>
          <w:color w:val="auto"/>
          <w:highlight w:val="none"/>
        </w:rPr>
      </w:pPr>
    </w:p>
    <w:p w14:paraId="71ECEF7A">
      <w:pPr>
        <w:pStyle w:val="8"/>
        <w:spacing w:beforeAutospacing="0" w:afterAutospacing="0"/>
        <w:ind w:firstLine="720"/>
        <w:jc w:val="center"/>
        <w:rPr>
          <w:color w:val="auto"/>
          <w:highlight w:val="none"/>
        </w:rPr>
      </w:pPr>
    </w:p>
    <w:p w14:paraId="29458EB7">
      <w:pPr>
        <w:pStyle w:val="8"/>
        <w:spacing w:beforeAutospacing="0" w:afterAutospacing="0"/>
        <w:ind w:firstLine="720"/>
        <w:jc w:val="center"/>
        <w:rPr>
          <w:color w:val="auto"/>
          <w:highlight w:val="none"/>
        </w:rPr>
      </w:pPr>
    </w:p>
    <w:p w14:paraId="30AAA3A2">
      <w:pPr>
        <w:pStyle w:val="8"/>
        <w:spacing w:beforeAutospacing="0" w:afterAutospacing="0"/>
        <w:ind w:firstLine="720"/>
        <w:jc w:val="center"/>
        <w:rPr>
          <w:color w:val="auto"/>
          <w:highlight w:val="none"/>
        </w:rPr>
      </w:pPr>
    </w:p>
    <w:p w14:paraId="679B67E8">
      <w:pPr>
        <w:pStyle w:val="8"/>
        <w:spacing w:beforeAutospacing="0" w:afterAutospacing="0"/>
        <w:ind w:firstLine="720"/>
        <w:jc w:val="center"/>
        <w:rPr>
          <w:color w:val="auto"/>
          <w:highlight w:val="none"/>
        </w:rPr>
      </w:pPr>
    </w:p>
    <w:p w14:paraId="2635429C">
      <w:pPr>
        <w:pStyle w:val="8"/>
        <w:spacing w:beforeAutospacing="0" w:afterAutospacing="0"/>
        <w:ind w:firstLine="720"/>
        <w:jc w:val="center"/>
        <w:rPr>
          <w:color w:val="auto"/>
          <w:highlight w:val="none"/>
        </w:rPr>
      </w:pPr>
    </w:p>
    <w:p w14:paraId="5E2E9E0A">
      <w:pPr>
        <w:pStyle w:val="8"/>
        <w:spacing w:beforeAutospacing="0" w:afterAutospacing="0"/>
        <w:ind w:firstLine="720"/>
        <w:jc w:val="center"/>
        <w:rPr>
          <w:color w:val="auto"/>
          <w:highlight w:val="none"/>
        </w:rPr>
      </w:pPr>
    </w:p>
    <w:p w14:paraId="4926D1B4">
      <w:pPr>
        <w:pStyle w:val="8"/>
        <w:spacing w:beforeAutospacing="0" w:afterAutospacing="0"/>
        <w:ind w:firstLine="720"/>
        <w:jc w:val="center"/>
        <w:rPr>
          <w:color w:val="auto"/>
          <w:highlight w:val="none"/>
        </w:rPr>
      </w:pPr>
      <w:r>
        <w:rPr>
          <w:color w:val="auto"/>
          <w:highlight w:val="none"/>
        </w:rPr>
        <w:t> </w:t>
      </w:r>
    </w:p>
    <w:p w14:paraId="1FF1E58F">
      <w:pPr>
        <w:pStyle w:val="8"/>
        <w:spacing w:beforeAutospacing="0" w:afterAutospacing="0"/>
        <w:ind w:firstLine="964"/>
        <w:jc w:val="both"/>
        <w:rPr>
          <w:color w:val="auto"/>
          <w:highlight w:val="none"/>
        </w:rPr>
      </w:pPr>
      <w:r>
        <w:rPr>
          <w:rFonts w:hint="eastAsia" w:ascii="黑体" w:hAnsi="宋体" w:eastAsia="黑体" w:cs="黑体"/>
          <w:b/>
          <w:i/>
          <w:color w:val="auto"/>
          <w:sz w:val="32"/>
          <w:szCs w:val="32"/>
          <w:highlight w:val="none"/>
          <w:u w:val="single"/>
        </w:rPr>
        <w:t>十六、开标一览表</w:t>
      </w:r>
    </w:p>
    <w:p w14:paraId="507CF38A">
      <w:pPr>
        <w:pStyle w:val="8"/>
        <w:spacing w:beforeAutospacing="0" w:afterAutospacing="0"/>
        <w:ind w:firstLine="720"/>
        <w:jc w:val="both"/>
        <w:rPr>
          <w:color w:val="auto"/>
          <w:highlight w:val="none"/>
        </w:rPr>
      </w:pPr>
      <w:r>
        <w:rPr>
          <w:rFonts w:hint="eastAsia" w:ascii="宋体" w:hAnsi="宋体" w:eastAsia="宋体" w:cs="宋体"/>
          <w:color w:val="auto"/>
          <w:highlight w:val="none"/>
        </w:rPr>
        <w:t>投标人全称（加盖CA电子签章）：</w:t>
      </w:r>
    </w:p>
    <w:p w14:paraId="444B2C54">
      <w:pPr>
        <w:pStyle w:val="8"/>
        <w:spacing w:beforeAutospacing="0" w:afterAutospacing="0"/>
        <w:ind w:firstLine="720"/>
        <w:jc w:val="both"/>
        <w:rPr>
          <w:color w:val="auto"/>
          <w:highlight w:val="none"/>
        </w:rPr>
      </w:pPr>
      <w:r>
        <w:rPr>
          <w:rFonts w:hint="eastAsia" w:ascii="宋体" w:hAnsi="宋体" w:eastAsia="宋体" w:cs="宋体"/>
          <w:color w:val="auto"/>
          <w:highlight w:val="none"/>
        </w:rPr>
        <w:t>项目名称：</w:t>
      </w:r>
    </w:p>
    <w:p w14:paraId="3113AB31">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项目编号：  </w:t>
      </w:r>
    </w:p>
    <w:p w14:paraId="53116073">
      <w:pPr>
        <w:pStyle w:val="8"/>
        <w:spacing w:beforeAutospacing="0" w:afterAutospacing="0"/>
        <w:ind w:firstLine="720"/>
        <w:jc w:val="both"/>
        <w:rPr>
          <w:color w:val="auto"/>
          <w:highlight w:val="none"/>
        </w:rPr>
      </w:pPr>
      <w:r>
        <w:rPr>
          <w:rFonts w:hint="eastAsia" w:ascii="宋体" w:hAnsi="宋体" w:eastAsia="宋体" w:cs="宋体"/>
          <w:color w:val="auto"/>
          <w:highlight w:val="none"/>
        </w:rPr>
        <w:t>分包号：</w:t>
      </w:r>
    </w:p>
    <w:tbl>
      <w:tblPr>
        <w:tblStyle w:val="9"/>
        <w:tblW w:w="8414" w:type="dxa"/>
        <w:tblCellSpacing w:w="0" w:type="dxa"/>
        <w:tblInd w:w="118" w:type="dxa"/>
        <w:tblLayout w:type="fixed"/>
        <w:tblCellMar>
          <w:top w:w="0" w:type="dxa"/>
          <w:left w:w="108" w:type="dxa"/>
          <w:bottom w:w="0" w:type="dxa"/>
          <w:right w:w="108" w:type="dxa"/>
        </w:tblCellMar>
      </w:tblPr>
      <w:tblGrid>
        <w:gridCol w:w="8414"/>
      </w:tblGrid>
      <w:tr w14:paraId="7C49282D">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3BD5">
            <w:pPr>
              <w:pStyle w:val="8"/>
              <w:spacing w:beforeAutospacing="0" w:afterAutospacing="0"/>
              <w:ind w:firstLine="720"/>
              <w:jc w:val="center"/>
              <w:rPr>
                <w:color w:val="auto"/>
                <w:highlight w:val="none"/>
              </w:rPr>
            </w:pPr>
            <w:r>
              <w:rPr>
                <w:rFonts w:hint="eastAsia" w:ascii="宋体" w:hAnsi="宋体" w:eastAsia="宋体" w:cs="宋体"/>
                <w:color w:val="auto"/>
                <w:highlight w:val="none"/>
              </w:rPr>
              <w:t>投标总报价</w:t>
            </w:r>
          </w:p>
        </w:tc>
      </w:tr>
      <w:tr w14:paraId="10824DA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07EB">
            <w:pPr>
              <w:pStyle w:val="8"/>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大写：</w:t>
            </w:r>
          </w:p>
        </w:tc>
      </w:tr>
      <w:tr w14:paraId="6CC7DB7E">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8075">
            <w:pPr>
              <w:pStyle w:val="8"/>
              <w:spacing w:beforeAutospacing="0" w:afterAutospacing="0" w:line="0" w:lineRule="atLeast"/>
              <w:ind w:firstLine="720"/>
              <w:rPr>
                <w:color w:val="auto"/>
                <w:highlight w:val="none"/>
              </w:rPr>
            </w:pPr>
            <w:r>
              <w:rPr>
                <w:rFonts w:hint="eastAsia" w:ascii="宋体" w:hAnsi="宋体" w:eastAsia="宋体" w:cs="宋体"/>
                <w:color w:val="auto"/>
                <w:highlight w:val="none"/>
              </w:rPr>
              <w:t>小写：                      （人民币：元）</w:t>
            </w:r>
          </w:p>
        </w:tc>
      </w:tr>
    </w:tbl>
    <w:p w14:paraId="36F9636D">
      <w:pPr>
        <w:pStyle w:val="8"/>
        <w:spacing w:beforeAutospacing="0" w:afterAutospacing="0"/>
        <w:ind w:firstLine="720"/>
        <w:jc w:val="both"/>
        <w:rPr>
          <w:color w:val="auto"/>
          <w:highlight w:val="none"/>
        </w:rPr>
      </w:pPr>
      <w:r>
        <w:rPr>
          <w:color w:val="auto"/>
          <w:highlight w:val="none"/>
        </w:rPr>
        <w:t> </w:t>
      </w:r>
    </w:p>
    <w:p w14:paraId="03B45158">
      <w:pPr>
        <w:pStyle w:val="8"/>
        <w:spacing w:beforeAutospacing="0" w:afterAutospacing="0"/>
        <w:ind w:firstLine="72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B4437D5">
      <w:pPr>
        <w:pStyle w:val="8"/>
        <w:spacing w:beforeAutospacing="0" w:afterAutospacing="0"/>
        <w:ind w:firstLine="720"/>
        <w:jc w:val="both"/>
        <w:rPr>
          <w:color w:val="auto"/>
          <w:highlight w:val="none"/>
        </w:rPr>
      </w:pPr>
      <w:r>
        <w:rPr>
          <w:color w:val="auto"/>
          <w:highlight w:val="none"/>
        </w:rPr>
        <w:t> </w:t>
      </w:r>
    </w:p>
    <w:p w14:paraId="1AF856D5">
      <w:pPr>
        <w:pStyle w:val="8"/>
        <w:spacing w:beforeAutospacing="0" w:afterAutospacing="0"/>
        <w:ind w:firstLine="720"/>
        <w:jc w:val="both"/>
        <w:rPr>
          <w:color w:val="auto"/>
          <w:highlight w:val="none"/>
        </w:rPr>
      </w:pPr>
      <w:r>
        <w:rPr>
          <w:color w:val="auto"/>
          <w:highlight w:val="none"/>
        </w:rPr>
        <w:t> </w:t>
      </w:r>
    </w:p>
    <w:p w14:paraId="3755126D">
      <w:pPr>
        <w:pStyle w:val="8"/>
        <w:spacing w:beforeAutospacing="0" w:afterAutospacing="0"/>
        <w:ind w:firstLine="720"/>
        <w:jc w:val="both"/>
        <w:rPr>
          <w:color w:val="auto"/>
          <w:highlight w:val="none"/>
        </w:rPr>
      </w:pPr>
    </w:p>
    <w:p w14:paraId="7083F798">
      <w:pPr>
        <w:pStyle w:val="8"/>
        <w:spacing w:beforeAutospacing="0" w:afterAutospacing="0"/>
        <w:ind w:firstLine="720"/>
        <w:jc w:val="both"/>
        <w:rPr>
          <w:color w:val="auto"/>
          <w:highlight w:val="none"/>
        </w:rPr>
      </w:pPr>
    </w:p>
    <w:p w14:paraId="7A1F5786">
      <w:pPr>
        <w:pStyle w:val="8"/>
        <w:spacing w:beforeAutospacing="0" w:afterAutospacing="0"/>
        <w:ind w:firstLine="720"/>
        <w:jc w:val="both"/>
        <w:rPr>
          <w:color w:val="auto"/>
          <w:highlight w:val="none"/>
        </w:rPr>
      </w:pPr>
    </w:p>
    <w:p w14:paraId="6CADA859">
      <w:pPr>
        <w:pStyle w:val="8"/>
        <w:spacing w:beforeAutospacing="0" w:afterAutospacing="0"/>
        <w:ind w:firstLine="720"/>
        <w:jc w:val="both"/>
        <w:rPr>
          <w:color w:val="auto"/>
          <w:highlight w:val="none"/>
        </w:rPr>
      </w:pPr>
    </w:p>
    <w:p w14:paraId="4089F756">
      <w:pPr>
        <w:pStyle w:val="8"/>
        <w:spacing w:beforeAutospacing="0" w:afterAutospacing="0"/>
        <w:ind w:firstLine="720"/>
        <w:jc w:val="both"/>
        <w:rPr>
          <w:color w:val="auto"/>
          <w:highlight w:val="none"/>
        </w:rPr>
      </w:pPr>
    </w:p>
    <w:p w14:paraId="7BF0B384">
      <w:pPr>
        <w:pStyle w:val="8"/>
        <w:spacing w:beforeAutospacing="0" w:afterAutospacing="0"/>
        <w:ind w:firstLine="720"/>
        <w:jc w:val="both"/>
        <w:rPr>
          <w:color w:val="auto"/>
          <w:highlight w:val="none"/>
        </w:rPr>
      </w:pPr>
    </w:p>
    <w:p w14:paraId="6C4ED106">
      <w:pPr>
        <w:pStyle w:val="8"/>
        <w:spacing w:beforeAutospacing="0" w:afterAutospacing="0"/>
        <w:ind w:firstLine="720"/>
        <w:jc w:val="both"/>
        <w:rPr>
          <w:color w:val="auto"/>
          <w:highlight w:val="none"/>
        </w:rPr>
      </w:pPr>
    </w:p>
    <w:p w14:paraId="3E7C7A36">
      <w:pPr>
        <w:pStyle w:val="8"/>
        <w:spacing w:beforeAutospacing="0" w:afterAutospacing="0"/>
        <w:ind w:firstLine="720"/>
        <w:jc w:val="both"/>
        <w:rPr>
          <w:color w:val="auto"/>
          <w:highlight w:val="none"/>
        </w:rPr>
      </w:pPr>
    </w:p>
    <w:p w14:paraId="5D8DD836">
      <w:pPr>
        <w:pStyle w:val="8"/>
        <w:spacing w:beforeAutospacing="0" w:afterAutospacing="0"/>
        <w:ind w:firstLine="720"/>
        <w:jc w:val="both"/>
        <w:rPr>
          <w:color w:val="auto"/>
          <w:highlight w:val="none"/>
        </w:rPr>
      </w:pPr>
    </w:p>
    <w:p w14:paraId="2843664C">
      <w:pPr>
        <w:pStyle w:val="8"/>
        <w:spacing w:beforeAutospacing="0" w:afterAutospacing="0"/>
        <w:ind w:firstLine="720"/>
        <w:jc w:val="both"/>
        <w:rPr>
          <w:color w:val="auto"/>
          <w:highlight w:val="none"/>
        </w:rPr>
      </w:pPr>
    </w:p>
    <w:p w14:paraId="06FA6F32">
      <w:pPr>
        <w:pStyle w:val="8"/>
        <w:spacing w:beforeAutospacing="0" w:afterAutospacing="0"/>
        <w:ind w:firstLine="720"/>
        <w:jc w:val="both"/>
        <w:rPr>
          <w:color w:val="auto"/>
          <w:highlight w:val="none"/>
        </w:rPr>
      </w:pPr>
    </w:p>
    <w:p w14:paraId="71F64E89">
      <w:pPr>
        <w:pStyle w:val="8"/>
        <w:spacing w:beforeAutospacing="0" w:afterAutospacing="0"/>
        <w:ind w:firstLine="720"/>
        <w:jc w:val="both"/>
        <w:rPr>
          <w:color w:val="auto"/>
          <w:highlight w:val="none"/>
        </w:rPr>
      </w:pPr>
    </w:p>
    <w:p w14:paraId="2A288C71">
      <w:pPr>
        <w:pStyle w:val="8"/>
        <w:spacing w:beforeAutospacing="0" w:afterAutospacing="0"/>
        <w:ind w:firstLine="720"/>
        <w:jc w:val="both"/>
        <w:rPr>
          <w:color w:val="auto"/>
          <w:highlight w:val="none"/>
        </w:rPr>
      </w:pPr>
    </w:p>
    <w:p w14:paraId="0D1D63E0">
      <w:pPr>
        <w:pStyle w:val="8"/>
        <w:spacing w:beforeAutospacing="0" w:afterAutospacing="0"/>
        <w:ind w:firstLine="720"/>
        <w:jc w:val="both"/>
        <w:rPr>
          <w:color w:val="auto"/>
          <w:highlight w:val="none"/>
        </w:rPr>
      </w:pPr>
    </w:p>
    <w:p w14:paraId="0984CF89">
      <w:pPr>
        <w:pStyle w:val="8"/>
        <w:spacing w:beforeAutospacing="0" w:afterAutospacing="0"/>
        <w:ind w:firstLine="720"/>
        <w:jc w:val="both"/>
        <w:rPr>
          <w:color w:val="auto"/>
          <w:highlight w:val="none"/>
        </w:rPr>
      </w:pPr>
    </w:p>
    <w:p w14:paraId="75000D80">
      <w:pPr>
        <w:pStyle w:val="8"/>
        <w:spacing w:beforeAutospacing="0" w:afterAutospacing="0"/>
        <w:ind w:firstLine="720"/>
        <w:jc w:val="both"/>
        <w:rPr>
          <w:color w:val="auto"/>
          <w:highlight w:val="none"/>
        </w:rPr>
      </w:pPr>
    </w:p>
    <w:p w14:paraId="3E24248A">
      <w:pPr>
        <w:pStyle w:val="8"/>
        <w:spacing w:beforeAutospacing="0" w:afterAutospacing="0"/>
        <w:ind w:firstLine="720"/>
        <w:jc w:val="both"/>
        <w:rPr>
          <w:color w:val="auto"/>
          <w:highlight w:val="none"/>
        </w:rPr>
      </w:pPr>
    </w:p>
    <w:p w14:paraId="62536BAB">
      <w:pPr>
        <w:pStyle w:val="8"/>
        <w:spacing w:beforeAutospacing="0" w:afterAutospacing="0"/>
        <w:ind w:firstLine="720"/>
        <w:jc w:val="both"/>
        <w:rPr>
          <w:color w:val="auto"/>
          <w:highlight w:val="none"/>
        </w:rPr>
      </w:pPr>
      <w:r>
        <w:rPr>
          <w:color w:val="auto"/>
          <w:highlight w:val="none"/>
        </w:rPr>
        <w:t> </w:t>
      </w:r>
    </w:p>
    <w:p w14:paraId="64063F9E">
      <w:pPr>
        <w:pStyle w:val="8"/>
        <w:spacing w:beforeAutospacing="0" w:afterAutospacing="0"/>
        <w:ind w:firstLine="964"/>
        <w:jc w:val="center"/>
        <w:rPr>
          <w:rFonts w:ascii="宋体" w:hAnsi="宋体" w:eastAsia="宋体" w:cs="宋体"/>
          <w:b/>
          <w:color w:val="auto"/>
          <w:sz w:val="32"/>
          <w:szCs w:val="32"/>
          <w:highlight w:val="none"/>
        </w:rPr>
      </w:pPr>
    </w:p>
    <w:p w14:paraId="6FE4C630">
      <w:pPr>
        <w:pStyle w:val="8"/>
        <w:spacing w:beforeAutospacing="0" w:afterAutospacing="0"/>
        <w:ind w:firstLine="964"/>
        <w:rPr>
          <w:rFonts w:ascii="宋体" w:hAnsi="宋体" w:eastAsia="宋体" w:cs="宋体"/>
          <w:b/>
          <w:color w:val="auto"/>
          <w:sz w:val="32"/>
          <w:szCs w:val="32"/>
          <w:highlight w:val="none"/>
        </w:rPr>
      </w:pPr>
    </w:p>
    <w:p w14:paraId="684186C6">
      <w:pPr>
        <w:pStyle w:val="8"/>
        <w:spacing w:beforeAutospacing="0" w:afterAutospacing="0"/>
        <w:ind w:firstLine="964"/>
        <w:rPr>
          <w:rFonts w:ascii="宋体" w:hAnsi="宋体" w:eastAsia="宋体" w:cs="宋体"/>
          <w:b/>
          <w:color w:val="auto"/>
          <w:sz w:val="32"/>
          <w:szCs w:val="32"/>
          <w:highlight w:val="none"/>
        </w:rPr>
      </w:pPr>
    </w:p>
    <w:p w14:paraId="356E49F5">
      <w:pPr>
        <w:pStyle w:val="8"/>
        <w:spacing w:beforeAutospacing="0" w:afterAutospacing="0"/>
        <w:ind w:firstLine="964"/>
        <w:rPr>
          <w:rFonts w:ascii="宋体" w:hAnsi="宋体" w:eastAsia="宋体" w:cs="宋体"/>
          <w:b/>
          <w:color w:val="auto"/>
          <w:sz w:val="32"/>
          <w:szCs w:val="32"/>
          <w:highlight w:val="none"/>
        </w:rPr>
      </w:pPr>
    </w:p>
    <w:p w14:paraId="2695CAC7">
      <w:pPr>
        <w:widowControl/>
        <w:spacing w:before="50" w:after="50"/>
        <w:jc w:val="center"/>
        <w:rPr>
          <w:rFonts w:ascii="宋体" w:hAnsi="宋体" w:eastAsia="宋体" w:cs="宋体"/>
          <w:color w:val="auto"/>
          <w:sz w:val="24"/>
          <w:highlight w:val="none"/>
        </w:rPr>
      </w:pPr>
      <w:r>
        <w:rPr>
          <w:color w:val="auto"/>
          <w:highlight w:val="none"/>
        </w:rPr>
        <w:tab/>
      </w:r>
      <w:r>
        <w:rPr>
          <w:rFonts w:hint="eastAsia" w:ascii="宋体" w:hAnsi="宋体" w:eastAsia="宋体" w:cs="宋体"/>
          <w:color w:val="auto"/>
          <w:sz w:val="32"/>
          <w:szCs w:val="32"/>
          <w:highlight w:val="none"/>
        </w:rPr>
        <w:t>十七、技术方案、服务承诺、培训承诺等</w:t>
      </w:r>
    </w:p>
    <w:p w14:paraId="4895B667">
      <w:pPr>
        <w:pStyle w:val="8"/>
        <w:spacing w:beforeAutospacing="0" w:afterAutospacing="0"/>
        <w:ind w:firstLine="964"/>
        <w:jc w:val="center"/>
        <w:rPr>
          <w:rFonts w:ascii="宋体" w:hAnsi="宋体" w:eastAsia="宋体" w:cs="宋体"/>
          <w:b/>
          <w:color w:val="auto"/>
          <w:sz w:val="32"/>
          <w:szCs w:val="32"/>
          <w:highlight w:val="none"/>
        </w:rPr>
      </w:pPr>
    </w:p>
    <w:p w14:paraId="618C9717">
      <w:pPr>
        <w:pStyle w:val="8"/>
        <w:spacing w:beforeAutospacing="0" w:afterAutospacing="0"/>
        <w:ind w:firstLine="964"/>
        <w:jc w:val="center"/>
        <w:rPr>
          <w:rFonts w:ascii="宋体" w:hAnsi="宋体" w:eastAsia="宋体" w:cs="宋体"/>
          <w:b/>
          <w:color w:val="auto"/>
          <w:sz w:val="32"/>
          <w:szCs w:val="32"/>
          <w:highlight w:val="none"/>
        </w:rPr>
      </w:pPr>
    </w:p>
    <w:p w14:paraId="119768F2">
      <w:pPr>
        <w:pStyle w:val="8"/>
        <w:spacing w:beforeAutospacing="0" w:afterAutospacing="0"/>
        <w:ind w:firstLine="964"/>
        <w:jc w:val="center"/>
        <w:rPr>
          <w:rFonts w:ascii="宋体" w:hAnsi="宋体" w:eastAsia="宋体" w:cs="宋体"/>
          <w:b/>
          <w:color w:val="auto"/>
          <w:sz w:val="32"/>
          <w:szCs w:val="32"/>
          <w:highlight w:val="none"/>
        </w:rPr>
      </w:pPr>
    </w:p>
    <w:p w14:paraId="7F5550FA">
      <w:pPr>
        <w:pStyle w:val="8"/>
        <w:spacing w:beforeAutospacing="0" w:afterAutospacing="0"/>
        <w:ind w:firstLine="964"/>
        <w:jc w:val="center"/>
        <w:rPr>
          <w:rFonts w:ascii="宋体" w:hAnsi="宋体" w:eastAsia="宋体" w:cs="宋体"/>
          <w:b/>
          <w:color w:val="auto"/>
          <w:sz w:val="32"/>
          <w:szCs w:val="32"/>
          <w:highlight w:val="none"/>
        </w:rPr>
      </w:pPr>
    </w:p>
    <w:p w14:paraId="10B330FB">
      <w:pPr>
        <w:pStyle w:val="8"/>
        <w:spacing w:beforeAutospacing="0" w:afterAutospacing="0"/>
        <w:ind w:firstLine="964"/>
        <w:jc w:val="center"/>
        <w:rPr>
          <w:rFonts w:ascii="宋体" w:hAnsi="宋体" w:eastAsia="宋体" w:cs="宋体"/>
          <w:b/>
          <w:color w:val="auto"/>
          <w:sz w:val="32"/>
          <w:szCs w:val="32"/>
          <w:highlight w:val="none"/>
        </w:rPr>
      </w:pPr>
    </w:p>
    <w:p w14:paraId="47957878">
      <w:pPr>
        <w:pStyle w:val="8"/>
        <w:spacing w:beforeAutospacing="0" w:afterAutospacing="0"/>
        <w:ind w:firstLine="964"/>
        <w:jc w:val="center"/>
        <w:rPr>
          <w:rFonts w:ascii="宋体" w:hAnsi="宋体" w:eastAsia="宋体" w:cs="宋体"/>
          <w:b/>
          <w:color w:val="auto"/>
          <w:sz w:val="32"/>
          <w:szCs w:val="32"/>
          <w:highlight w:val="none"/>
        </w:rPr>
      </w:pPr>
    </w:p>
    <w:p w14:paraId="322F0757">
      <w:pPr>
        <w:pStyle w:val="8"/>
        <w:spacing w:beforeAutospacing="0" w:afterAutospacing="0"/>
        <w:ind w:firstLine="964"/>
        <w:jc w:val="center"/>
        <w:rPr>
          <w:rFonts w:ascii="宋体" w:hAnsi="宋体" w:eastAsia="宋体" w:cs="宋体"/>
          <w:b/>
          <w:color w:val="auto"/>
          <w:sz w:val="32"/>
          <w:szCs w:val="32"/>
          <w:highlight w:val="none"/>
        </w:rPr>
      </w:pPr>
    </w:p>
    <w:p w14:paraId="70A9B6F5">
      <w:pPr>
        <w:pStyle w:val="8"/>
        <w:spacing w:beforeAutospacing="0" w:afterAutospacing="0"/>
        <w:ind w:firstLine="964"/>
        <w:jc w:val="center"/>
        <w:rPr>
          <w:rFonts w:ascii="宋体" w:hAnsi="宋体" w:eastAsia="宋体" w:cs="宋体"/>
          <w:b/>
          <w:color w:val="auto"/>
          <w:sz w:val="32"/>
          <w:szCs w:val="32"/>
          <w:highlight w:val="none"/>
        </w:rPr>
      </w:pPr>
    </w:p>
    <w:p w14:paraId="7EA25186">
      <w:pPr>
        <w:pStyle w:val="8"/>
        <w:spacing w:beforeAutospacing="0" w:afterAutospacing="0"/>
        <w:ind w:firstLine="964"/>
        <w:jc w:val="center"/>
        <w:rPr>
          <w:rFonts w:ascii="宋体" w:hAnsi="宋体" w:eastAsia="宋体" w:cs="宋体"/>
          <w:b/>
          <w:color w:val="auto"/>
          <w:sz w:val="32"/>
          <w:szCs w:val="32"/>
          <w:highlight w:val="none"/>
        </w:rPr>
      </w:pPr>
    </w:p>
    <w:p w14:paraId="13854400">
      <w:pPr>
        <w:pStyle w:val="8"/>
        <w:spacing w:beforeAutospacing="0" w:afterAutospacing="0"/>
        <w:ind w:firstLine="964"/>
        <w:jc w:val="center"/>
        <w:rPr>
          <w:rFonts w:ascii="宋体" w:hAnsi="宋体" w:eastAsia="宋体" w:cs="宋体"/>
          <w:b/>
          <w:color w:val="auto"/>
          <w:sz w:val="32"/>
          <w:szCs w:val="32"/>
          <w:highlight w:val="none"/>
        </w:rPr>
      </w:pPr>
    </w:p>
    <w:p w14:paraId="729FFC93">
      <w:pPr>
        <w:pStyle w:val="8"/>
        <w:spacing w:beforeAutospacing="0" w:afterAutospacing="0"/>
        <w:ind w:firstLine="964"/>
        <w:jc w:val="center"/>
        <w:rPr>
          <w:rFonts w:ascii="宋体" w:hAnsi="宋体" w:eastAsia="宋体" w:cs="宋体"/>
          <w:b/>
          <w:color w:val="auto"/>
          <w:sz w:val="32"/>
          <w:szCs w:val="32"/>
          <w:highlight w:val="none"/>
        </w:rPr>
      </w:pPr>
    </w:p>
    <w:p w14:paraId="5CC54300">
      <w:pPr>
        <w:pStyle w:val="8"/>
        <w:spacing w:beforeAutospacing="0" w:afterAutospacing="0"/>
        <w:ind w:firstLine="964"/>
        <w:jc w:val="center"/>
        <w:rPr>
          <w:rFonts w:ascii="宋体" w:hAnsi="宋体" w:eastAsia="宋体" w:cs="宋体"/>
          <w:b/>
          <w:color w:val="auto"/>
          <w:sz w:val="32"/>
          <w:szCs w:val="32"/>
          <w:highlight w:val="none"/>
        </w:rPr>
      </w:pPr>
    </w:p>
    <w:p w14:paraId="68A88541">
      <w:pPr>
        <w:pStyle w:val="8"/>
        <w:spacing w:beforeAutospacing="0" w:afterAutospacing="0"/>
        <w:ind w:firstLine="964"/>
        <w:jc w:val="center"/>
        <w:rPr>
          <w:rFonts w:ascii="宋体" w:hAnsi="宋体" w:eastAsia="宋体" w:cs="宋体"/>
          <w:b/>
          <w:color w:val="auto"/>
          <w:sz w:val="32"/>
          <w:szCs w:val="32"/>
          <w:highlight w:val="none"/>
        </w:rPr>
      </w:pPr>
    </w:p>
    <w:p w14:paraId="717D867E">
      <w:pPr>
        <w:pStyle w:val="8"/>
        <w:spacing w:beforeAutospacing="0" w:afterAutospacing="0"/>
        <w:ind w:firstLine="964"/>
        <w:jc w:val="center"/>
        <w:rPr>
          <w:rFonts w:ascii="宋体" w:hAnsi="宋体" w:eastAsia="宋体" w:cs="宋体"/>
          <w:b/>
          <w:color w:val="auto"/>
          <w:sz w:val="32"/>
          <w:szCs w:val="32"/>
          <w:highlight w:val="none"/>
        </w:rPr>
      </w:pPr>
    </w:p>
    <w:p w14:paraId="4CE3A8BF">
      <w:pPr>
        <w:pStyle w:val="8"/>
        <w:spacing w:beforeAutospacing="0" w:afterAutospacing="0"/>
        <w:ind w:firstLine="964"/>
        <w:jc w:val="center"/>
        <w:rPr>
          <w:rFonts w:ascii="宋体" w:hAnsi="宋体" w:eastAsia="宋体" w:cs="宋体"/>
          <w:b/>
          <w:color w:val="auto"/>
          <w:sz w:val="32"/>
          <w:szCs w:val="32"/>
          <w:highlight w:val="none"/>
        </w:rPr>
      </w:pPr>
    </w:p>
    <w:p w14:paraId="1849052A">
      <w:pPr>
        <w:pStyle w:val="8"/>
        <w:spacing w:beforeAutospacing="0" w:afterAutospacing="0"/>
        <w:ind w:firstLine="964"/>
        <w:jc w:val="center"/>
        <w:rPr>
          <w:rFonts w:ascii="宋体" w:hAnsi="宋体" w:eastAsia="宋体" w:cs="宋体"/>
          <w:b/>
          <w:color w:val="auto"/>
          <w:sz w:val="32"/>
          <w:szCs w:val="32"/>
          <w:highlight w:val="none"/>
        </w:rPr>
      </w:pPr>
    </w:p>
    <w:p w14:paraId="29D9EBB8">
      <w:pPr>
        <w:pStyle w:val="8"/>
        <w:spacing w:beforeAutospacing="0" w:afterAutospacing="0"/>
        <w:ind w:firstLine="964"/>
        <w:jc w:val="center"/>
        <w:rPr>
          <w:rFonts w:ascii="宋体" w:hAnsi="宋体" w:eastAsia="宋体" w:cs="宋体"/>
          <w:b/>
          <w:color w:val="auto"/>
          <w:sz w:val="32"/>
          <w:szCs w:val="32"/>
          <w:highlight w:val="none"/>
        </w:rPr>
      </w:pPr>
    </w:p>
    <w:p w14:paraId="1EC02022">
      <w:pPr>
        <w:pStyle w:val="8"/>
        <w:spacing w:beforeAutospacing="0" w:afterAutospacing="0"/>
        <w:ind w:firstLine="964"/>
        <w:jc w:val="center"/>
        <w:rPr>
          <w:rFonts w:ascii="宋体" w:hAnsi="宋体" w:eastAsia="宋体" w:cs="宋体"/>
          <w:b/>
          <w:color w:val="auto"/>
          <w:sz w:val="32"/>
          <w:szCs w:val="32"/>
          <w:highlight w:val="none"/>
        </w:rPr>
      </w:pPr>
    </w:p>
    <w:p w14:paraId="212218BF">
      <w:pPr>
        <w:pStyle w:val="8"/>
        <w:spacing w:beforeAutospacing="0" w:afterAutospacing="0"/>
        <w:jc w:val="both"/>
        <w:rPr>
          <w:rFonts w:ascii="宋体" w:hAnsi="宋体" w:eastAsia="宋体" w:cs="宋体"/>
          <w:b/>
          <w:color w:val="auto"/>
          <w:sz w:val="32"/>
          <w:szCs w:val="32"/>
          <w:highlight w:val="none"/>
        </w:rPr>
      </w:pPr>
    </w:p>
    <w:p w14:paraId="3D900FAD">
      <w:pPr>
        <w:widowControl/>
        <w:spacing w:line="499" w:lineRule="atLeast"/>
        <w:ind w:firstLine="960"/>
        <w:rPr>
          <w:rFonts w:ascii="宋体" w:hAnsi="宋体" w:eastAsia="宋体" w:cs="宋体"/>
          <w:color w:val="auto"/>
          <w:sz w:val="24"/>
          <w:highlight w:val="none"/>
        </w:rPr>
      </w:pPr>
      <w:r>
        <w:rPr>
          <w:rFonts w:hint="eastAsia" w:ascii="宋体" w:hAnsi="宋体" w:eastAsia="宋体" w:cs="宋体"/>
          <w:color w:val="auto"/>
          <w:sz w:val="32"/>
          <w:szCs w:val="32"/>
          <w:highlight w:val="none"/>
        </w:rPr>
        <w:t>十八、盐城市政府采购事前信用承诺书</w:t>
      </w:r>
    </w:p>
    <w:p w14:paraId="2856B726">
      <w:pPr>
        <w:widowControl/>
        <w:spacing w:line="499" w:lineRule="atLeast"/>
        <w:ind w:firstLine="96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7919085D">
      <w:pPr>
        <w:widowControl/>
        <w:spacing w:line="499" w:lineRule="atLeast"/>
        <w:ind w:firstLine="72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CD0212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（四）严格遵守即时信息公示规定，及时维护和更新盐城市政府采购网中与本单位相关的信息；</w:t>
      </w:r>
    </w:p>
    <w:p w14:paraId="23FBCF6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3A11BDB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71B61F88">
      <w:pPr>
        <w:widowControl/>
        <w:spacing w:line="499" w:lineRule="atLeast"/>
        <w:ind w:firstLine="720"/>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098A1A66">
      <w:pPr>
        <w:widowControl/>
        <w:spacing w:line="499" w:lineRule="atLeast"/>
        <w:ind w:firstLine="720"/>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394C7B5">
      <w:pPr>
        <w:widowControl/>
        <w:spacing w:line="499" w:lineRule="atLeast"/>
        <w:ind w:firstLine="720"/>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36D0A244">
      <w:pPr>
        <w:pStyle w:val="8"/>
        <w:spacing w:beforeAutospacing="0" w:afterAutospacing="0"/>
        <w:ind w:firstLine="720"/>
        <w:jc w:val="center"/>
        <w:rPr>
          <w:color w:val="auto"/>
          <w:highlight w:val="none"/>
        </w:rPr>
      </w:pPr>
    </w:p>
    <w:bookmarkEnd w:id="6"/>
    <w:bookmarkEnd w:id="49"/>
    <w:bookmarkEnd w:id="96"/>
    <w:bookmarkEnd w:id="97"/>
    <w:bookmarkEnd w:id="98"/>
    <w:bookmarkEnd w:id="99"/>
    <w:bookmarkEnd w:id="100"/>
    <w:bookmarkEnd w:id="101"/>
    <w:bookmarkEnd w:id="102"/>
    <w:bookmarkEnd w:id="103"/>
    <w:bookmarkEnd w:id="112"/>
    <w:bookmarkEnd w:id="113"/>
    <w:bookmarkEnd w:id="120"/>
    <w:bookmarkEnd w:id="167"/>
    <w:bookmarkEnd w:id="176"/>
    <w:bookmarkEnd w:id="179"/>
    <w:bookmarkEnd w:id="180"/>
    <w:bookmarkEnd w:id="181"/>
    <w:bookmarkEnd w:id="182"/>
    <w:bookmarkEnd w:id="183"/>
    <w:bookmarkEnd w:id="184"/>
    <w:bookmarkEnd w:id="185"/>
    <w:bookmarkEnd w:id="186"/>
    <w:bookmarkEnd w:id="195"/>
    <w:bookmarkEnd w:id="196"/>
    <w:bookmarkEnd w:id="197"/>
    <w:bookmarkEnd w:id="198"/>
    <w:bookmarkEnd w:id="199"/>
    <w:p w14:paraId="1BD58B05">
      <w:pPr>
        <w:pStyle w:val="8"/>
        <w:spacing w:beforeAutospacing="0" w:afterAutospacing="0"/>
        <w:ind w:firstLine="964"/>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408F78F">
      <w:pPr>
        <w:pStyle w:val="8"/>
        <w:spacing w:before="290"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6C307A75">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CDA18D">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204001A">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B49ACA">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B03877">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99727A8">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B88EEAA">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6720E08">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C51F6AF">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578280A">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5CA0EF62">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DF92306">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08912AC">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16D5F4">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0F609DC">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1145962">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0CD04C7">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D3C5A9C">
      <w:pPr>
        <w:pStyle w:val="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F07B8F1">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0140CBED">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7B714BF">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w:t>
      </w:r>
    </w:p>
    <w:p w14:paraId="1A43196A">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66EEFF8">
      <w:pPr>
        <w:pStyle w:val="8"/>
        <w:spacing w:beforeAutospacing="0" w:afterAutospacing="0" w:line="360" w:lineRule="auto"/>
        <w:ind w:firstLine="720"/>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191183A">
      <w:pPr>
        <w:pStyle w:val="8"/>
        <w:spacing w:beforeAutospacing="0" w:afterAutospacing="0"/>
        <w:ind w:firstLine="72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86AA1DE">
      <w:pPr>
        <w:pStyle w:val="8"/>
        <w:spacing w:beforeAutospacing="0" w:afterAutospacing="0" w:line="0" w:lineRule="atLeast"/>
        <w:ind w:firstLine="723"/>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6ED08AD">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2091F4D">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F2A8B16">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35F536F">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F6A2591">
      <w:pPr>
        <w:pStyle w:val="8"/>
        <w:widowControl/>
        <w:spacing w:beforeAutospacing="0" w:afterAutospacing="0" w:line="0" w:lineRule="atLeast"/>
        <w:ind w:firstLine="72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A90D10F">
      <w:pPr>
        <w:pStyle w:val="8"/>
        <w:spacing w:beforeAutospacing="0" w:afterAutospacing="0"/>
        <w:ind w:firstLine="720"/>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F4BA8E-0003-4275-A0A7-330AFFCF564D}"/>
  </w:font>
  <w:font w:name="Arial">
    <w:panose1 w:val="020B0604020202020204"/>
    <w:charset w:val="01"/>
    <w:family w:val="swiss"/>
    <w:pitch w:val="default"/>
    <w:sig w:usb0="E0002EFF" w:usb1="C000785B" w:usb2="00000009" w:usb3="00000000" w:csb0="400001FF" w:csb1="FFFF0000"/>
    <w:embedRegular r:id="rId2" w:fontKey="{6C225240-E660-44C2-B03A-7B741151D275}"/>
  </w:font>
  <w:font w:name="黑体">
    <w:panose1 w:val="02010609060101010101"/>
    <w:charset w:val="86"/>
    <w:family w:val="auto"/>
    <w:pitch w:val="default"/>
    <w:sig w:usb0="800002BF" w:usb1="38CF7CFA" w:usb2="00000016" w:usb3="00000000" w:csb0="00040001" w:csb1="00000000"/>
    <w:embedRegular r:id="rId3" w:fontKey="{33FD74CB-3F02-46B1-8B80-E662F2DDC2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embedRegular r:id="rId4" w:fontKey="{154AB62D-5726-46C4-8144-913026BC7CDB}"/>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0" w:usb3="00000000" w:csb0="00040000" w:csb1="00000000"/>
    <w:embedRegular r:id="rId5" w:fontKey="{11EE8CD5-DBB5-4DC7-9A4A-BF91E038DEE4}"/>
  </w:font>
  <w:font w:name="仿宋_GB2312">
    <w:panose1 w:val="02010609030101010101"/>
    <w:charset w:val="86"/>
    <w:family w:val="modern"/>
    <w:pitch w:val="default"/>
    <w:sig w:usb0="00000001" w:usb1="080E0000" w:usb2="00000000" w:usb3="00000000" w:csb0="00040000" w:csb1="00000000"/>
    <w:embedRegular r:id="rId6" w:fontKey="{ACB51FB8-F91B-4C40-91F3-A34D3B2BE757}"/>
  </w:font>
  <w:font w:name="华文中宋">
    <w:panose1 w:val="02010600040101010101"/>
    <w:charset w:val="86"/>
    <w:family w:val="auto"/>
    <w:pitch w:val="default"/>
    <w:sig w:usb0="00000287" w:usb1="080F0000" w:usb2="00000000" w:usb3="00000000" w:csb0="0004009F" w:csb1="DFD70000"/>
    <w:embedRegular r:id="rId7" w:fontKey="{C6CA7E7F-03C9-4ECD-A514-8641A37D2DB0}"/>
  </w:font>
  <w:font w:name="WPSEMBED24">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1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66</w:t>
    </w:r>
    <w:r>
      <w:rPr>
        <w:b/>
        <w:sz w:val="24"/>
        <w:szCs w:val="24"/>
      </w:rPr>
      <w:fldChar w:fldCharType="end"/>
    </w:r>
  </w:p>
  <w:p w14:paraId="0D885D2C">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1843" w:firstLine="0"/>
      </w:p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5B14649"/>
    <w:multiLevelType w:val="singleLevel"/>
    <w:tmpl w:val="D5B14649"/>
    <w:lvl w:ilvl="0" w:tentative="0">
      <w:start w:val="4"/>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pPr>
        <w:ind w:left="0" w:firstLine="0"/>
      </w:pPr>
    </w:lvl>
  </w:abstractNum>
  <w:abstractNum w:abstractNumId="4">
    <w:nsid w:val="DE759F4B"/>
    <w:multiLevelType w:val="singleLevel"/>
    <w:tmpl w:val="DE759F4B"/>
    <w:lvl w:ilvl="0" w:tentative="0">
      <w:start w:val="2"/>
      <w:numFmt w:val="decimal"/>
      <w:suff w:val="space"/>
      <w:lvlText w:val="%1."/>
      <w:lvlJc w:val="left"/>
      <w:pPr>
        <w:ind w:left="0" w:firstLine="0"/>
      </w:pPr>
    </w:lvl>
  </w:abstractNum>
  <w:abstractNum w:abstractNumId="5">
    <w:nsid w:val="DEABE1DB"/>
    <w:multiLevelType w:val="singleLevel"/>
    <w:tmpl w:val="DEABE1DB"/>
    <w:lvl w:ilvl="0" w:tentative="0">
      <w:start w:val="23"/>
      <w:numFmt w:val="decimal"/>
      <w:suff w:val="space"/>
      <w:lvlText w:val="%1."/>
      <w:lvlJc w:val="left"/>
      <w:pPr>
        <w:ind w:left="0" w:firstLine="0"/>
      </w:pPr>
    </w:lvl>
  </w:abstractNum>
  <w:abstractNum w:abstractNumId="6">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1AFC469"/>
    <w:multiLevelType w:val="singleLevel"/>
    <w:tmpl w:val="11AFC469"/>
    <w:lvl w:ilvl="0" w:tentative="0">
      <w:start w:val="5"/>
      <w:numFmt w:val="chineseCounting"/>
      <w:suff w:val="nothing"/>
      <w:lvlText w:val="%1、"/>
      <w:lvlJc w:val="left"/>
      <w:rPr>
        <w:rFonts w:hint="eastAsia"/>
        <w:b/>
        <w:bCs/>
      </w:rPr>
    </w:lvl>
  </w:abstractNum>
  <w:abstractNum w:abstractNumId="8">
    <w:nsid w:val="3357AFD2"/>
    <w:multiLevelType w:val="singleLevel"/>
    <w:tmpl w:val="3357AFD2"/>
    <w:lvl w:ilvl="0" w:tentative="0">
      <w:start w:val="1"/>
      <w:numFmt w:val="decimal"/>
      <w:suff w:val="nothing"/>
      <w:lvlText w:val="%1、"/>
      <w:lvlJc w:val="left"/>
    </w:lvl>
  </w:abstractNum>
  <w:num w:numId="1">
    <w:abstractNumId w:val="6"/>
  </w:num>
  <w:num w:numId="2">
    <w:abstractNumId w:val="1"/>
  </w:num>
  <w:num w:numId="3">
    <w:abstractNumId w:val="2"/>
  </w:num>
  <w:num w:numId="4">
    <w:abstractNumId w:val="4"/>
    <w:lvlOverride w:ilvl="0">
      <w:startOverride w:val="2"/>
    </w:lvlOverride>
  </w:num>
  <w:num w:numId="5">
    <w:abstractNumId w:val="3"/>
    <w:lvlOverride w:ilvl="0">
      <w:startOverride w:val="6"/>
    </w:lvlOverride>
  </w:num>
  <w:num w:numId="6">
    <w:abstractNumId w:val="0"/>
    <w:lvlOverride w:ilvl="0">
      <w:startOverride w:val="16"/>
    </w:lvlOverride>
  </w:num>
  <w:num w:numId="7">
    <w:abstractNumId w:val="5"/>
    <w:lvlOverride w:ilvl="0">
      <w:startOverride w:val="23"/>
    </w:lvlOverride>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90F95"/>
    <w:rsid w:val="000B6FA8"/>
    <w:rsid w:val="000D254F"/>
    <w:rsid w:val="000D6064"/>
    <w:rsid w:val="00106EC4"/>
    <w:rsid w:val="00111440"/>
    <w:rsid w:val="00112B63"/>
    <w:rsid w:val="00152010"/>
    <w:rsid w:val="00172A27"/>
    <w:rsid w:val="001F2BA1"/>
    <w:rsid w:val="002B0C85"/>
    <w:rsid w:val="003C54BE"/>
    <w:rsid w:val="0040133C"/>
    <w:rsid w:val="004125B1"/>
    <w:rsid w:val="00427F98"/>
    <w:rsid w:val="004529E6"/>
    <w:rsid w:val="004E0F29"/>
    <w:rsid w:val="005257A0"/>
    <w:rsid w:val="00527338"/>
    <w:rsid w:val="005859F2"/>
    <w:rsid w:val="00681B27"/>
    <w:rsid w:val="00755D43"/>
    <w:rsid w:val="0078657A"/>
    <w:rsid w:val="007B5480"/>
    <w:rsid w:val="007E3A7B"/>
    <w:rsid w:val="00822248"/>
    <w:rsid w:val="00841B2A"/>
    <w:rsid w:val="0088782E"/>
    <w:rsid w:val="00927A3A"/>
    <w:rsid w:val="00930CCB"/>
    <w:rsid w:val="009620FE"/>
    <w:rsid w:val="00973C6A"/>
    <w:rsid w:val="009A47F1"/>
    <w:rsid w:val="009D4169"/>
    <w:rsid w:val="009E04AF"/>
    <w:rsid w:val="00A61BE7"/>
    <w:rsid w:val="00A75D0F"/>
    <w:rsid w:val="00B83A01"/>
    <w:rsid w:val="00BD1A9C"/>
    <w:rsid w:val="00BF706B"/>
    <w:rsid w:val="00C90FDD"/>
    <w:rsid w:val="00CE1146"/>
    <w:rsid w:val="00CF47B8"/>
    <w:rsid w:val="00D00F3E"/>
    <w:rsid w:val="00D20B29"/>
    <w:rsid w:val="00D3382A"/>
    <w:rsid w:val="00D550E3"/>
    <w:rsid w:val="00D724D7"/>
    <w:rsid w:val="00E14F7C"/>
    <w:rsid w:val="00E63BFD"/>
    <w:rsid w:val="00EA0D6E"/>
    <w:rsid w:val="00ED0DA8"/>
    <w:rsid w:val="00F04D35"/>
    <w:rsid w:val="00F05E1E"/>
    <w:rsid w:val="00F27808"/>
    <w:rsid w:val="00F65A6E"/>
    <w:rsid w:val="00FA4B2E"/>
    <w:rsid w:val="00FA4F16"/>
    <w:rsid w:val="00FB316D"/>
    <w:rsid w:val="00FE0994"/>
    <w:rsid w:val="00FF1D20"/>
    <w:rsid w:val="014036E0"/>
    <w:rsid w:val="015C3D17"/>
    <w:rsid w:val="01A40BA4"/>
    <w:rsid w:val="01AE0C97"/>
    <w:rsid w:val="021B6523"/>
    <w:rsid w:val="026E67DA"/>
    <w:rsid w:val="02851591"/>
    <w:rsid w:val="02867E41"/>
    <w:rsid w:val="028B748A"/>
    <w:rsid w:val="02BD5381"/>
    <w:rsid w:val="02D505AD"/>
    <w:rsid w:val="02F0175E"/>
    <w:rsid w:val="034115E7"/>
    <w:rsid w:val="034E4AD1"/>
    <w:rsid w:val="03577A2F"/>
    <w:rsid w:val="037E0789"/>
    <w:rsid w:val="03912F41"/>
    <w:rsid w:val="04CF1FA6"/>
    <w:rsid w:val="04E04478"/>
    <w:rsid w:val="056E5657"/>
    <w:rsid w:val="058663AA"/>
    <w:rsid w:val="05C3315A"/>
    <w:rsid w:val="062C42CE"/>
    <w:rsid w:val="065B3392"/>
    <w:rsid w:val="068A6E34"/>
    <w:rsid w:val="06AE5BB8"/>
    <w:rsid w:val="07994E3B"/>
    <w:rsid w:val="07A02A3F"/>
    <w:rsid w:val="07A40F48"/>
    <w:rsid w:val="07EF2501"/>
    <w:rsid w:val="083420ED"/>
    <w:rsid w:val="0854758E"/>
    <w:rsid w:val="08992D34"/>
    <w:rsid w:val="09132265"/>
    <w:rsid w:val="095D46A1"/>
    <w:rsid w:val="0A7315F2"/>
    <w:rsid w:val="0A7B04A7"/>
    <w:rsid w:val="0ABC363A"/>
    <w:rsid w:val="0AD8294B"/>
    <w:rsid w:val="0B4B3B00"/>
    <w:rsid w:val="0B550CF8"/>
    <w:rsid w:val="0B8A23C1"/>
    <w:rsid w:val="0BAE3813"/>
    <w:rsid w:val="0BCA2083"/>
    <w:rsid w:val="0C6F7B97"/>
    <w:rsid w:val="0D4D2FC1"/>
    <w:rsid w:val="0DDF1EF8"/>
    <w:rsid w:val="0DF06AB6"/>
    <w:rsid w:val="0E0362D5"/>
    <w:rsid w:val="0E0D7668"/>
    <w:rsid w:val="0E966A8C"/>
    <w:rsid w:val="0E9C09EC"/>
    <w:rsid w:val="0EE61CD2"/>
    <w:rsid w:val="0F6D24BC"/>
    <w:rsid w:val="0F7D537E"/>
    <w:rsid w:val="10007707"/>
    <w:rsid w:val="106D2640"/>
    <w:rsid w:val="1077526D"/>
    <w:rsid w:val="10831E63"/>
    <w:rsid w:val="109A0F5B"/>
    <w:rsid w:val="112D6D48"/>
    <w:rsid w:val="11AB711C"/>
    <w:rsid w:val="11E249A1"/>
    <w:rsid w:val="12431559"/>
    <w:rsid w:val="12EF1B96"/>
    <w:rsid w:val="12F015A0"/>
    <w:rsid w:val="12F24F24"/>
    <w:rsid w:val="132A2A6A"/>
    <w:rsid w:val="137D2B9A"/>
    <w:rsid w:val="14477BA7"/>
    <w:rsid w:val="14EB154F"/>
    <w:rsid w:val="15BF3E2F"/>
    <w:rsid w:val="16781D3E"/>
    <w:rsid w:val="169263C8"/>
    <w:rsid w:val="16A61788"/>
    <w:rsid w:val="16BA3E2C"/>
    <w:rsid w:val="16EB42BE"/>
    <w:rsid w:val="16F413C5"/>
    <w:rsid w:val="17666D47"/>
    <w:rsid w:val="1792502D"/>
    <w:rsid w:val="18BC4109"/>
    <w:rsid w:val="192F5D4A"/>
    <w:rsid w:val="193260E4"/>
    <w:rsid w:val="19835197"/>
    <w:rsid w:val="1A390BD7"/>
    <w:rsid w:val="1A4F2C83"/>
    <w:rsid w:val="1A676B28"/>
    <w:rsid w:val="1A9133CF"/>
    <w:rsid w:val="1AC564D8"/>
    <w:rsid w:val="1AD2708F"/>
    <w:rsid w:val="1B0818E3"/>
    <w:rsid w:val="1B5F5046"/>
    <w:rsid w:val="1B8B7B95"/>
    <w:rsid w:val="1B9509DF"/>
    <w:rsid w:val="1BA002D8"/>
    <w:rsid w:val="1BCA3215"/>
    <w:rsid w:val="1BCC6609"/>
    <w:rsid w:val="1C0025BA"/>
    <w:rsid w:val="1C0A11A4"/>
    <w:rsid w:val="1CA218C3"/>
    <w:rsid w:val="1CAC4347"/>
    <w:rsid w:val="1D1C1092"/>
    <w:rsid w:val="1D605A5A"/>
    <w:rsid w:val="1D854966"/>
    <w:rsid w:val="1DFD1285"/>
    <w:rsid w:val="1E8C4B03"/>
    <w:rsid w:val="1EA043BC"/>
    <w:rsid w:val="1EC70509"/>
    <w:rsid w:val="1F2F3DAA"/>
    <w:rsid w:val="1F4A0271"/>
    <w:rsid w:val="1FC7762D"/>
    <w:rsid w:val="205730E8"/>
    <w:rsid w:val="20600680"/>
    <w:rsid w:val="20733730"/>
    <w:rsid w:val="20A83FAF"/>
    <w:rsid w:val="212D5EEC"/>
    <w:rsid w:val="215025DE"/>
    <w:rsid w:val="21B7196D"/>
    <w:rsid w:val="21CC717D"/>
    <w:rsid w:val="21F4671D"/>
    <w:rsid w:val="2228286B"/>
    <w:rsid w:val="223E416B"/>
    <w:rsid w:val="22424AA4"/>
    <w:rsid w:val="22F62B8A"/>
    <w:rsid w:val="23092164"/>
    <w:rsid w:val="23254D08"/>
    <w:rsid w:val="23534E2B"/>
    <w:rsid w:val="23ED3D6C"/>
    <w:rsid w:val="242C02D7"/>
    <w:rsid w:val="24533DC2"/>
    <w:rsid w:val="2532334D"/>
    <w:rsid w:val="26750FF7"/>
    <w:rsid w:val="26D6553E"/>
    <w:rsid w:val="26E9418F"/>
    <w:rsid w:val="27194423"/>
    <w:rsid w:val="27290FC5"/>
    <w:rsid w:val="281F026C"/>
    <w:rsid w:val="28A77F49"/>
    <w:rsid w:val="28FC627B"/>
    <w:rsid w:val="28FE41FC"/>
    <w:rsid w:val="29345C52"/>
    <w:rsid w:val="2996274E"/>
    <w:rsid w:val="2A4648B7"/>
    <w:rsid w:val="2A5D74D3"/>
    <w:rsid w:val="2AFB5241"/>
    <w:rsid w:val="2B005440"/>
    <w:rsid w:val="2C03574A"/>
    <w:rsid w:val="2C117DB2"/>
    <w:rsid w:val="2C7B3B05"/>
    <w:rsid w:val="2CC277F5"/>
    <w:rsid w:val="2CE02C8D"/>
    <w:rsid w:val="2D67525C"/>
    <w:rsid w:val="2D784F24"/>
    <w:rsid w:val="2DAC25A2"/>
    <w:rsid w:val="2DE81100"/>
    <w:rsid w:val="2E5E7AF7"/>
    <w:rsid w:val="2E717C8A"/>
    <w:rsid w:val="2E8702E5"/>
    <w:rsid w:val="2EB711FE"/>
    <w:rsid w:val="2ED51684"/>
    <w:rsid w:val="2EE73822"/>
    <w:rsid w:val="2F1877C3"/>
    <w:rsid w:val="2FAD4FD9"/>
    <w:rsid w:val="2FB346FB"/>
    <w:rsid w:val="2FD26ECC"/>
    <w:rsid w:val="2FFA5778"/>
    <w:rsid w:val="30495C84"/>
    <w:rsid w:val="30626EBE"/>
    <w:rsid w:val="30650005"/>
    <w:rsid w:val="310333AD"/>
    <w:rsid w:val="31522189"/>
    <w:rsid w:val="318A49A8"/>
    <w:rsid w:val="318C4BC4"/>
    <w:rsid w:val="32990C1B"/>
    <w:rsid w:val="329E6CD8"/>
    <w:rsid w:val="33440753"/>
    <w:rsid w:val="33773E42"/>
    <w:rsid w:val="338F39E0"/>
    <w:rsid w:val="33A31D51"/>
    <w:rsid w:val="34A9783B"/>
    <w:rsid w:val="34E14EA2"/>
    <w:rsid w:val="34E346A0"/>
    <w:rsid w:val="34E73CF8"/>
    <w:rsid w:val="359B1151"/>
    <w:rsid w:val="35AD49A2"/>
    <w:rsid w:val="361231BE"/>
    <w:rsid w:val="36172BC3"/>
    <w:rsid w:val="365A184B"/>
    <w:rsid w:val="36C62E7E"/>
    <w:rsid w:val="36CC7C95"/>
    <w:rsid w:val="36CF07E3"/>
    <w:rsid w:val="36DD37CC"/>
    <w:rsid w:val="36EB650A"/>
    <w:rsid w:val="378133A9"/>
    <w:rsid w:val="37F710E9"/>
    <w:rsid w:val="383A233E"/>
    <w:rsid w:val="38DD07F0"/>
    <w:rsid w:val="38FB5923"/>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3FDA7B0E"/>
    <w:rsid w:val="401D2E8B"/>
    <w:rsid w:val="40350295"/>
    <w:rsid w:val="406E1D8D"/>
    <w:rsid w:val="418D4040"/>
    <w:rsid w:val="41B17D2F"/>
    <w:rsid w:val="42053C57"/>
    <w:rsid w:val="42214BD9"/>
    <w:rsid w:val="422C5588"/>
    <w:rsid w:val="42324DFA"/>
    <w:rsid w:val="425F30ED"/>
    <w:rsid w:val="42FA74B4"/>
    <w:rsid w:val="431353F3"/>
    <w:rsid w:val="43455446"/>
    <w:rsid w:val="43692E36"/>
    <w:rsid w:val="43A37B4B"/>
    <w:rsid w:val="44DA072F"/>
    <w:rsid w:val="454D0F8E"/>
    <w:rsid w:val="45A932D5"/>
    <w:rsid w:val="45FC0A54"/>
    <w:rsid w:val="461D469A"/>
    <w:rsid w:val="466976E6"/>
    <w:rsid w:val="46845435"/>
    <w:rsid w:val="46EA0CE7"/>
    <w:rsid w:val="470D4256"/>
    <w:rsid w:val="472208AE"/>
    <w:rsid w:val="47704C41"/>
    <w:rsid w:val="47B925F3"/>
    <w:rsid w:val="47CA03F9"/>
    <w:rsid w:val="48910AEC"/>
    <w:rsid w:val="48B3170D"/>
    <w:rsid w:val="48B41562"/>
    <w:rsid w:val="493C7DE9"/>
    <w:rsid w:val="496D09DF"/>
    <w:rsid w:val="4A1E13B4"/>
    <w:rsid w:val="4A2C49B0"/>
    <w:rsid w:val="4A7D1B0F"/>
    <w:rsid w:val="4A802994"/>
    <w:rsid w:val="4AAC50D1"/>
    <w:rsid w:val="4AE82438"/>
    <w:rsid w:val="4B133808"/>
    <w:rsid w:val="4B816722"/>
    <w:rsid w:val="4C5A2B74"/>
    <w:rsid w:val="4C7B3413"/>
    <w:rsid w:val="4D0227B8"/>
    <w:rsid w:val="4D2D20D9"/>
    <w:rsid w:val="4D4B1038"/>
    <w:rsid w:val="4DA074F7"/>
    <w:rsid w:val="4DA33F07"/>
    <w:rsid w:val="4DBB5461"/>
    <w:rsid w:val="4DDE52C0"/>
    <w:rsid w:val="4DFB00F6"/>
    <w:rsid w:val="4E8932F2"/>
    <w:rsid w:val="4F9122DD"/>
    <w:rsid w:val="508605D9"/>
    <w:rsid w:val="50A1397F"/>
    <w:rsid w:val="51645FCA"/>
    <w:rsid w:val="51C75DFE"/>
    <w:rsid w:val="52176014"/>
    <w:rsid w:val="52496610"/>
    <w:rsid w:val="52741FCB"/>
    <w:rsid w:val="528B025B"/>
    <w:rsid w:val="52A770BC"/>
    <w:rsid w:val="52D06B10"/>
    <w:rsid w:val="52DB5BFB"/>
    <w:rsid w:val="53401A68"/>
    <w:rsid w:val="53536515"/>
    <w:rsid w:val="536B21BA"/>
    <w:rsid w:val="53A862CC"/>
    <w:rsid w:val="542A0FDA"/>
    <w:rsid w:val="544D7D8B"/>
    <w:rsid w:val="54604111"/>
    <w:rsid w:val="54D06C60"/>
    <w:rsid w:val="54E877FB"/>
    <w:rsid w:val="54ED53D0"/>
    <w:rsid w:val="55091CCC"/>
    <w:rsid w:val="55256612"/>
    <w:rsid w:val="557E3B8F"/>
    <w:rsid w:val="56307253"/>
    <w:rsid w:val="56453199"/>
    <w:rsid w:val="564B4B24"/>
    <w:rsid w:val="56EF7016"/>
    <w:rsid w:val="5755514A"/>
    <w:rsid w:val="57956A71"/>
    <w:rsid w:val="5797379E"/>
    <w:rsid w:val="582F6DAB"/>
    <w:rsid w:val="58AD45AF"/>
    <w:rsid w:val="58D4718C"/>
    <w:rsid w:val="58EB4361"/>
    <w:rsid w:val="590C78EE"/>
    <w:rsid w:val="59346858"/>
    <w:rsid w:val="5955323E"/>
    <w:rsid w:val="59581771"/>
    <w:rsid w:val="59A82CA5"/>
    <w:rsid w:val="59F763DF"/>
    <w:rsid w:val="5A1804F3"/>
    <w:rsid w:val="5AD536B4"/>
    <w:rsid w:val="5AEA4CCC"/>
    <w:rsid w:val="5B031B11"/>
    <w:rsid w:val="5B96574B"/>
    <w:rsid w:val="5BE6490B"/>
    <w:rsid w:val="5C1E200D"/>
    <w:rsid w:val="5C5A652B"/>
    <w:rsid w:val="5D064006"/>
    <w:rsid w:val="5D320FC0"/>
    <w:rsid w:val="5D797461"/>
    <w:rsid w:val="5DE138D8"/>
    <w:rsid w:val="5E1921ED"/>
    <w:rsid w:val="5EDB106D"/>
    <w:rsid w:val="5EE035AA"/>
    <w:rsid w:val="5EE1132C"/>
    <w:rsid w:val="5F476F94"/>
    <w:rsid w:val="5F7D5E8E"/>
    <w:rsid w:val="5F7F522A"/>
    <w:rsid w:val="601337BB"/>
    <w:rsid w:val="606A165C"/>
    <w:rsid w:val="60A07495"/>
    <w:rsid w:val="60D560BA"/>
    <w:rsid w:val="61730705"/>
    <w:rsid w:val="619B393F"/>
    <w:rsid w:val="62005C61"/>
    <w:rsid w:val="62281F6A"/>
    <w:rsid w:val="622C715E"/>
    <w:rsid w:val="62A87E16"/>
    <w:rsid w:val="62CA561A"/>
    <w:rsid w:val="6313315F"/>
    <w:rsid w:val="632F68AE"/>
    <w:rsid w:val="63531AF3"/>
    <w:rsid w:val="63CD6C1F"/>
    <w:rsid w:val="643A2D32"/>
    <w:rsid w:val="64A56430"/>
    <w:rsid w:val="64F50865"/>
    <w:rsid w:val="65055217"/>
    <w:rsid w:val="657C4D9C"/>
    <w:rsid w:val="65BB2793"/>
    <w:rsid w:val="65FF1B98"/>
    <w:rsid w:val="662B5A52"/>
    <w:rsid w:val="664F5C5B"/>
    <w:rsid w:val="667027CF"/>
    <w:rsid w:val="6688694C"/>
    <w:rsid w:val="67112E9A"/>
    <w:rsid w:val="674548F2"/>
    <w:rsid w:val="67A410D5"/>
    <w:rsid w:val="67C9169A"/>
    <w:rsid w:val="67D068B1"/>
    <w:rsid w:val="67E6643C"/>
    <w:rsid w:val="68245589"/>
    <w:rsid w:val="685A72CC"/>
    <w:rsid w:val="68777DD2"/>
    <w:rsid w:val="69201173"/>
    <w:rsid w:val="69456428"/>
    <w:rsid w:val="69983CE0"/>
    <w:rsid w:val="6A1C1694"/>
    <w:rsid w:val="6A751DB0"/>
    <w:rsid w:val="6AB95533"/>
    <w:rsid w:val="6AD95A7D"/>
    <w:rsid w:val="6B037E0E"/>
    <w:rsid w:val="6BDE41BB"/>
    <w:rsid w:val="6C5462A8"/>
    <w:rsid w:val="6C917FD7"/>
    <w:rsid w:val="6D3769B4"/>
    <w:rsid w:val="6D865F2E"/>
    <w:rsid w:val="6D8B36BB"/>
    <w:rsid w:val="6E1F5E9D"/>
    <w:rsid w:val="6E3A2CD6"/>
    <w:rsid w:val="70741DD0"/>
    <w:rsid w:val="70FE1717"/>
    <w:rsid w:val="71BB7860"/>
    <w:rsid w:val="72440385"/>
    <w:rsid w:val="72482E45"/>
    <w:rsid w:val="73412411"/>
    <w:rsid w:val="73761484"/>
    <w:rsid w:val="73977CD2"/>
    <w:rsid w:val="73B97E32"/>
    <w:rsid w:val="743F3C99"/>
    <w:rsid w:val="74835482"/>
    <w:rsid w:val="74877DC7"/>
    <w:rsid w:val="75071569"/>
    <w:rsid w:val="755802CB"/>
    <w:rsid w:val="75890D8F"/>
    <w:rsid w:val="75B043EA"/>
    <w:rsid w:val="766F4755"/>
    <w:rsid w:val="76D90F68"/>
    <w:rsid w:val="7706409E"/>
    <w:rsid w:val="77C1540B"/>
    <w:rsid w:val="783E7320"/>
    <w:rsid w:val="78646D02"/>
    <w:rsid w:val="789143F5"/>
    <w:rsid w:val="78CB19C0"/>
    <w:rsid w:val="78F35EFE"/>
    <w:rsid w:val="78FF5669"/>
    <w:rsid w:val="7918780F"/>
    <w:rsid w:val="793275BA"/>
    <w:rsid w:val="79366D92"/>
    <w:rsid w:val="79A724F1"/>
    <w:rsid w:val="79B56B48"/>
    <w:rsid w:val="7A4B7878"/>
    <w:rsid w:val="7A6D100D"/>
    <w:rsid w:val="7BC736D0"/>
    <w:rsid w:val="7C5F16F8"/>
    <w:rsid w:val="7C9D3E10"/>
    <w:rsid w:val="7CAF2E48"/>
    <w:rsid w:val="7CB122FF"/>
    <w:rsid w:val="7CFC55FB"/>
    <w:rsid w:val="7D4B4D3C"/>
    <w:rsid w:val="7D796C4C"/>
    <w:rsid w:val="7D8B2F11"/>
    <w:rsid w:val="7DBA67DE"/>
    <w:rsid w:val="7DCA6A7D"/>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autoRedefine/>
    <w:unhideWhenUsed/>
    <w:qFormat/>
    <w:uiPriority w:val="0"/>
    <w:pPr>
      <w:spacing w:after="120"/>
    </w:pPr>
    <w:rPr>
      <w:rFonts w:ascii="Calibri" w:hAnsi="Calibri"/>
      <w:szCs w:val="22"/>
    </w:rPr>
  </w:style>
  <w:style w:type="paragraph" w:styleId="5">
    <w:name w:val="Plain Text"/>
    <w:basedOn w:val="1"/>
    <w:autoRedefine/>
    <w:unhideWhenUsed/>
    <w:qFormat/>
    <w:uiPriority w:val="0"/>
    <w:rPr>
      <w:rFonts w:ascii="宋体" w:hAnsi="Courier New" w:cs="Courier New"/>
      <w:szCs w:val="21"/>
    </w:r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character" w:styleId="11">
    <w:name w:val="Emphasis"/>
    <w:qFormat/>
    <w:uiPriority w:val="0"/>
    <w:rPr>
      <w:i/>
    </w:rPr>
  </w:style>
  <w:style w:type="paragraph" w:customStyle="1" w:styleId="12">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3">
    <w:name w:val="页眉 Char"/>
    <w:basedOn w:val="10"/>
    <w:link w:val="7"/>
    <w:autoRedefine/>
    <w:qFormat/>
    <w:uiPriority w:val="0"/>
    <w:rPr>
      <w:rFonts w:asciiTheme="minorHAnsi" w:hAnsiTheme="minorHAnsi" w:eastAsiaTheme="minorEastAsia" w:cstheme="minorBidi"/>
      <w:kern w:val="2"/>
      <w:sz w:val="18"/>
      <w:szCs w:val="18"/>
    </w:rPr>
  </w:style>
  <w:style w:type="character" w:customStyle="1" w:styleId="14">
    <w:name w:val="页脚 Char"/>
    <w:basedOn w:val="10"/>
    <w:link w:val="6"/>
    <w:autoRedefine/>
    <w:qFormat/>
    <w:uiPriority w:val="0"/>
    <w:rPr>
      <w:rFonts w:asciiTheme="minorHAnsi" w:hAnsiTheme="minorHAnsi" w:eastAsiaTheme="minorEastAsia" w:cstheme="minorBidi"/>
      <w:kern w:val="2"/>
      <w:sz w:val="18"/>
      <w:szCs w:val="18"/>
    </w:rPr>
  </w:style>
  <w:style w:type="paragraph" w:customStyle="1" w:styleId="1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6">
    <w:name w:val="页脚1"/>
    <w:basedOn w:val="1"/>
    <w:autoRedefine/>
    <w:unhideWhenUsed/>
    <w:qFormat/>
    <w:uiPriority w:val="99"/>
    <w:pPr>
      <w:tabs>
        <w:tab w:val="center" w:pos="4153"/>
        <w:tab w:val="right" w:pos="8306"/>
      </w:tabs>
      <w:jc w:val="left"/>
    </w:pPr>
    <w:rPr>
      <w:sz w:val="18"/>
      <w:szCs w:val="18"/>
    </w:rPr>
  </w:style>
  <w:style w:type="paragraph" w:customStyle="1" w:styleId="17">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18">
    <w:name w:val="正文首行缩进 21"/>
    <w:basedOn w:val="19"/>
    <w:qFormat/>
    <w:uiPriority w:val="0"/>
    <w:pPr>
      <w:ind w:firstLine="420"/>
    </w:pPr>
  </w:style>
  <w:style w:type="paragraph" w:customStyle="1" w:styleId="19">
    <w:name w:val="正文文本缩进1"/>
    <w:basedOn w:val="1"/>
    <w:qFormat/>
    <w:uiPriority w:val="0"/>
    <w:pPr>
      <w:spacing w:after="120"/>
      <w:ind w:left="420"/>
    </w:pPr>
  </w:style>
  <w:style w:type="paragraph" w:customStyle="1" w:styleId="20">
    <w:name w:val="普通(网站)1"/>
    <w:basedOn w:val="1"/>
    <w:qFormat/>
    <w:uiPriority w:val="0"/>
    <w:pPr>
      <w:widowControl/>
      <w:spacing w:before="100" w:beforeAutospacing="1" w:after="100" w:afterAutospacing="1"/>
      <w:jc w:val="left"/>
    </w:pPr>
    <w:rPr>
      <w:rFonts w:ascii="宋体" w:hAnsi="宋体" w:cs="宋体"/>
      <w:sz w:val="24"/>
    </w:rPr>
  </w:style>
  <w:style w:type="paragraph" w:styleId="2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66</Pages>
  <Words>34728</Words>
  <Characters>36586</Characters>
  <Lines>291</Lines>
  <Paragraphs>82</Paragraphs>
  <TotalTime>16</TotalTime>
  <ScaleCrop>false</ScaleCrop>
  <LinksUpToDate>false</LinksUpToDate>
  <CharactersWithSpaces>38088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2026-05-11T02:47:00Z</dcterms:created>
  <dc:creator>正式环境陈艳测试账号</dc:creator>
  <cp:lastModifiedBy>红星的光芒</cp:lastModifiedBy>
  <cp:lastPrinted>2026-05-21T01:47:00Z</cp:lastPrinted>
  <dcterms:modified xsi:type="dcterms:W3CDTF">2026-05-25T07:44:50Z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2CE725C660F74BC6B9F9F213959B39C7_13</vt:lpwstr>
  </property>
  <property fmtid="{D5CDD505-2E9C-101B-9397-08002B2CF9AE}" pid="4" name="KSOTemplateDocerSaveRecord">
    <vt:lpwstr>eyJoZGlkIjoiZTUwZjUxMTMyNDc5YWQ4ZWJlMThhMGZlNTA3YWEyYTciLCJ1c2VySWQiOiI0MjQ2NTM5OTcifQ==</vt:lpwstr>
  </property>
</Properties>
</file>