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38F4A">
      <w:pPr>
        <w:jc w:val="center"/>
        <w:rPr>
          <w:rFonts w:hint="eastAsia" w:ascii="宋体" w:hAnsi="宋体" w:eastAsia="宋体" w:cs="宋体"/>
          <w:color w:val="auto"/>
          <w:spacing w:val="20"/>
          <w:sz w:val="72"/>
          <w:szCs w:val="72"/>
          <w:highlight w:val="none"/>
        </w:rPr>
      </w:pPr>
    </w:p>
    <w:p w14:paraId="5D064BDA">
      <w:pPr>
        <w:jc w:val="center"/>
        <w:rPr>
          <w:rFonts w:hint="eastAsia" w:ascii="宋体" w:hAnsi="宋体" w:eastAsia="宋体" w:cs="宋体"/>
          <w:color w:val="auto"/>
          <w:spacing w:val="20"/>
          <w:sz w:val="72"/>
          <w:szCs w:val="72"/>
          <w:highlight w:val="none"/>
        </w:rPr>
      </w:pPr>
      <w:r>
        <w:rPr>
          <w:rFonts w:hint="eastAsia" w:ascii="宋体" w:hAnsi="宋体" w:eastAsia="宋体" w:cs="宋体"/>
          <w:bCs/>
          <w:color w:val="auto"/>
          <w:spacing w:val="20"/>
          <w:sz w:val="72"/>
          <w:szCs w:val="72"/>
          <w:highlight w:val="none"/>
        </w:rPr>
        <w:t>无 锡 市 政 府 采 购</w:t>
      </w:r>
    </w:p>
    <w:p w14:paraId="061410C6">
      <w:pPr>
        <w:rPr>
          <w:rFonts w:hint="eastAsia" w:ascii="宋体" w:hAnsi="宋体" w:eastAsia="宋体" w:cs="宋体"/>
          <w:color w:val="auto"/>
          <w:sz w:val="30"/>
          <w:szCs w:val="30"/>
          <w:highlight w:val="none"/>
        </w:rPr>
      </w:pPr>
    </w:p>
    <w:p w14:paraId="5B463E81">
      <w:pPr>
        <w:rPr>
          <w:rFonts w:hint="eastAsia" w:ascii="宋体" w:hAnsi="宋体" w:eastAsia="宋体" w:cs="宋体"/>
          <w:color w:val="auto"/>
          <w:sz w:val="30"/>
          <w:szCs w:val="30"/>
          <w:highlight w:val="none"/>
        </w:rPr>
      </w:pPr>
    </w:p>
    <w:p w14:paraId="62AD427A">
      <w:pPr>
        <w:pStyle w:val="6"/>
        <w:numPr>
          <w:ilvl w:val="4"/>
          <w:numId w:val="0"/>
        </w:numPr>
        <w:rPr>
          <w:rFonts w:hint="eastAsia" w:ascii="宋体" w:hAnsi="宋体" w:eastAsia="宋体" w:cs="宋体"/>
          <w:color w:val="auto"/>
          <w:highlight w:val="none"/>
        </w:rPr>
      </w:pPr>
    </w:p>
    <w:p w14:paraId="384E9733">
      <w:pPr>
        <w:rPr>
          <w:rFonts w:hint="eastAsia" w:ascii="宋体" w:hAnsi="宋体" w:eastAsia="宋体" w:cs="宋体"/>
          <w:color w:val="auto"/>
          <w:sz w:val="30"/>
          <w:szCs w:val="30"/>
          <w:highlight w:val="none"/>
        </w:rPr>
      </w:pPr>
    </w:p>
    <w:p w14:paraId="348F6BE1">
      <w:pPr>
        <w:jc w:val="center"/>
        <w:rPr>
          <w:rFonts w:hint="eastAsia" w:ascii="宋体" w:hAnsi="宋体" w:eastAsia="宋体" w:cs="宋体"/>
          <w:bCs/>
          <w:color w:val="auto"/>
          <w:spacing w:val="20"/>
          <w:sz w:val="72"/>
          <w:szCs w:val="72"/>
          <w:highlight w:val="none"/>
        </w:rPr>
      </w:pPr>
      <w:r>
        <w:rPr>
          <w:rFonts w:hint="eastAsia" w:ascii="宋体" w:hAnsi="宋体" w:eastAsia="宋体" w:cs="宋体"/>
          <w:bCs/>
          <w:color w:val="auto"/>
          <w:spacing w:val="20"/>
          <w:sz w:val="72"/>
          <w:szCs w:val="72"/>
          <w:highlight w:val="none"/>
        </w:rPr>
        <w:t>竞争性磋商文件</w:t>
      </w:r>
    </w:p>
    <w:p w14:paraId="1DC9DFBE">
      <w:pPr>
        <w:pStyle w:val="6"/>
        <w:numPr>
          <w:ilvl w:val="4"/>
          <w:numId w:val="0"/>
        </w:numPr>
        <w:rPr>
          <w:rFonts w:hint="eastAsia" w:ascii="宋体" w:hAnsi="宋体" w:eastAsia="宋体" w:cs="宋体"/>
          <w:color w:val="auto"/>
          <w:highlight w:val="none"/>
        </w:rPr>
      </w:pPr>
    </w:p>
    <w:p w14:paraId="67A061DB">
      <w:pPr>
        <w:spacing w:line="360" w:lineRule="auto"/>
        <w:jc w:val="center"/>
        <w:rPr>
          <w:rFonts w:hint="eastAsia" w:ascii="宋体" w:hAnsi="宋体" w:eastAsia="宋体" w:cs="宋体"/>
          <w:b/>
          <w:color w:val="auto"/>
          <w:sz w:val="30"/>
          <w:highlight w:val="none"/>
        </w:rPr>
      </w:pPr>
      <w:r>
        <w:rPr>
          <w:rFonts w:hint="eastAsia" w:ascii="宋体" w:hAnsi="宋体" w:eastAsia="宋体" w:cs="宋体"/>
          <w:b/>
          <w:color w:val="auto"/>
          <w:sz w:val="30"/>
          <w:highlight w:val="none"/>
        </w:rPr>
        <w:t>（全流程电子化）</w:t>
      </w:r>
    </w:p>
    <w:p w14:paraId="74090BE1">
      <w:pPr>
        <w:spacing w:line="360" w:lineRule="auto"/>
        <w:jc w:val="center"/>
        <w:rPr>
          <w:rFonts w:hint="eastAsia" w:ascii="宋体" w:hAnsi="宋体" w:eastAsia="宋体" w:cs="宋体"/>
          <w:b/>
          <w:color w:val="auto"/>
          <w:sz w:val="30"/>
          <w:highlight w:val="none"/>
          <w:lang w:eastAsia="zh-CN"/>
        </w:rPr>
      </w:pPr>
      <w:r>
        <w:rPr>
          <w:rFonts w:hint="eastAsia" w:ascii="宋体" w:hAnsi="宋体" w:cs="宋体"/>
          <w:b/>
          <w:color w:val="auto"/>
          <w:sz w:val="30"/>
          <w:highlight w:val="none"/>
          <w:lang w:eastAsia="zh-CN"/>
        </w:rPr>
        <w:t>（</w:t>
      </w:r>
      <w:r>
        <w:rPr>
          <w:rFonts w:hint="eastAsia" w:ascii="宋体" w:hAnsi="宋体" w:cs="宋体"/>
          <w:b/>
          <w:color w:val="auto"/>
          <w:sz w:val="30"/>
          <w:highlight w:val="none"/>
          <w:lang w:val="en-US" w:eastAsia="zh-CN"/>
        </w:rPr>
        <w:t>暗标</w:t>
      </w:r>
      <w:r>
        <w:rPr>
          <w:rFonts w:hint="eastAsia" w:ascii="宋体" w:hAnsi="宋体" w:cs="宋体"/>
          <w:b/>
          <w:color w:val="auto"/>
          <w:sz w:val="30"/>
          <w:highlight w:val="none"/>
          <w:lang w:eastAsia="zh-CN"/>
        </w:rPr>
        <w:t>）</w:t>
      </w:r>
    </w:p>
    <w:p w14:paraId="5F9F1E56">
      <w:pPr>
        <w:spacing w:line="360" w:lineRule="auto"/>
        <w:ind w:firstLine="960"/>
        <w:rPr>
          <w:rFonts w:hint="eastAsia" w:ascii="宋体" w:hAnsi="宋体" w:eastAsia="宋体" w:cs="宋体"/>
          <w:color w:val="auto"/>
          <w:sz w:val="48"/>
          <w:szCs w:val="48"/>
          <w:highlight w:val="none"/>
        </w:rPr>
      </w:pPr>
    </w:p>
    <w:p w14:paraId="7E47DF88">
      <w:pPr>
        <w:spacing w:line="360" w:lineRule="auto"/>
        <w:ind w:firstLine="600"/>
        <w:rPr>
          <w:rFonts w:hint="eastAsia" w:ascii="宋体" w:hAnsi="宋体" w:eastAsia="宋体" w:cs="宋体"/>
          <w:color w:val="auto"/>
          <w:sz w:val="30"/>
          <w:szCs w:val="30"/>
          <w:highlight w:val="none"/>
        </w:rPr>
      </w:pPr>
    </w:p>
    <w:p w14:paraId="44782444">
      <w:pPr>
        <w:pStyle w:val="2"/>
        <w:numPr>
          <w:ilvl w:val="0"/>
          <w:numId w:val="0"/>
        </w:numPr>
        <w:ind w:leftChars="0"/>
        <w:jc w:val="both"/>
        <w:rPr>
          <w:rFonts w:hint="eastAsia"/>
        </w:rPr>
      </w:pPr>
    </w:p>
    <w:p w14:paraId="205E01DE">
      <w:pPr>
        <w:spacing w:line="360" w:lineRule="auto"/>
        <w:ind w:firstLine="600"/>
        <w:rPr>
          <w:rFonts w:hint="eastAsia" w:ascii="宋体" w:hAnsi="宋体" w:eastAsia="宋体" w:cs="宋体"/>
          <w:color w:val="auto"/>
          <w:sz w:val="30"/>
          <w:szCs w:val="30"/>
          <w:highlight w:val="none"/>
        </w:rPr>
      </w:pPr>
    </w:p>
    <w:p w14:paraId="2EB0FB2A">
      <w:pPr>
        <w:spacing w:line="360" w:lineRule="auto"/>
        <w:ind w:firstLine="60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政府采购编号：JSZC-320200-XXGC-C2026-0008</w:t>
      </w:r>
    </w:p>
    <w:p w14:paraId="6D2C2442">
      <w:pPr>
        <w:spacing w:line="360" w:lineRule="auto"/>
        <w:ind w:firstLine="600" w:firstLineChars="200"/>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rPr>
        <w:t>采购项目名称：</w:t>
      </w:r>
      <w:r>
        <w:rPr>
          <w:rFonts w:hint="eastAsia" w:ascii="宋体" w:hAnsi="宋体" w:cs="宋体"/>
          <w:color w:val="auto"/>
          <w:sz w:val="30"/>
          <w:szCs w:val="30"/>
          <w:highlight w:val="none"/>
          <w:lang w:eastAsia="zh-CN"/>
        </w:rPr>
        <w:t>江苏省梅村高级中学2026年艺体楼、图书</w:t>
      </w:r>
      <w:r>
        <w:rPr>
          <w:rFonts w:hint="eastAsia" w:ascii="宋体" w:hAnsi="宋体" w:cs="宋体"/>
          <w:color w:val="auto"/>
          <w:sz w:val="30"/>
          <w:szCs w:val="30"/>
          <w:highlight w:val="none"/>
          <w:lang w:val="en-US" w:eastAsia="zh-CN"/>
        </w:rPr>
        <w:t xml:space="preserve"> </w:t>
      </w:r>
      <w:r>
        <w:rPr>
          <w:rFonts w:hint="eastAsia" w:ascii="宋体" w:hAnsi="宋体" w:cs="宋体"/>
          <w:color w:val="auto"/>
          <w:sz w:val="30"/>
          <w:szCs w:val="30"/>
          <w:highlight w:val="none"/>
          <w:lang w:eastAsia="zh-CN"/>
        </w:rPr>
        <w:t>馆及心理健康发展中心建设项目</w:t>
      </w:r>
    </w:p>
    <w:p w14:paraId="5A71A5CE">
      <w:pPr>
        <w:spacing w:line="360" w:lineRule="auto"/>
        <w:ind w:firstLine="60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采购人：江苏省梅村高级中学</w:t>
      </w:r>
    </w:p>
    <w:p w14:paraId="586C9C50">
      <w:pPr>
        <w:spacing w:line="360" w:lineRule="auto"/>
        <w:ind w:firstLine="600"/>
        <w:rPr>
          <w:rFonts w:hint="eastAsia" w:ascii="宋体" w:hAnsi="宋体" w:eastAsia="宋体" w:cs="宋体"/>
          <w:color w:val="auto"/>
          <w:sz w:val="36"/>
          <w:szCs w:val="36"/>
          <w:highlight w:val="none"/>
          <w:lang w:eastAsia="zh-CN"/>
        </w:rPr>
      </w:pPr>
      <w:r>
        <w:rPr>
          <w:rFonts w:hint="eastAsia" w:ascii="宋体" w:hAnsi="宋体" w:eastAsia="宋体" w:cs="宋体"/>
          <w:color w:val="auto"/>
          <w:sz w:val="30"/>
          <w:szCs w:val="30"/>
          <w:highlight w:val="none"/>
        </w:rPr>
        <w:t>采购代理机构：</w:t>
      </w:r>
      <w:r>
        <w:rPr>
          <w:rFonts w:hint="eastAsia" w:ascii="宋体" w:hAnsi="宋体" w:cs="宋体"/>
          <w:color w:val="auto"/>
          <w:sz w:val="30"/>
          <w:szCs w:val="30"/>
          <w:highlight w:val="none"/>
          <w:lang w:eastAsia="zh-CN"/>
        </w:rPr>
        <w:t>江苏新鑫工程咨询有限公司</w:t>
      </w:r>
    </w:p>
    <w:p w14:paraId="10E0E756">
      <w:pPr>
        <w:spacing w:line="360" w:lineRule="auto"/>
        <w:jc w:val="center"/>
        <w:rPr>
          <w:rFonts w:hint="eastAsia" w:ascii="宋体" w:hAnsi="宋体" w:eastAsia="宋体" w:cs="宋体"/>
          <w:b/>
          <w:bCs/>
          <w:color w:val="auto"/>
          <w:sz w:val="32"/>
          <w:szCs w:val="32"/>
          <w:highlight w:val="none"/>
        </w:rPr>
      </w:pPr>
    </w:p>
    <w:p w14:paraId="1A339082">
      <w:pPr>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color w:val="auto"/>
          <w:sz w:val="36"/>
          <w:szCs w:val="36"/>
          <w:highlight w:val="none"/>
        </w:rPr>
        <w:t>二〇二</w:t>
      </w:r>
      <w:r>
        <w:rPr>
          <w:rFonts w:hint="eastAsia" w:ascii="宋体" w:hAnsi="宋体" w:cs="宋体"/>
          <w:color w:val="auto"/>
          <w:sz w:val="36"/>
          <w:szCs w:val="36"/>
          <w:highlight w:val="none"/>
          <w:lang w:val="en-US" w:eastAsia="zh-CN"/>
        </w:rPr>
        <w:t>六</w:t>
      </w:r>
      <w:r>
        <w:rPr>
          <w:rFonts w:hint="eastAsia" w:ascii="宋体" w:hAnsi="宋体" w:eastAsia="宋体" w:cs="宋体"/>
          <w:color w:val="auto"/>
          <w:sz w:val="36"/>
          <w:szCs w:val="36"/>
          <w:highlight w:val="none"/>
        </w:rPr>
        <w:t>年</w:t>
      </w:r>
      <w:r>
        <w:rPr>
          <w:rFonts w:hint="eastAsia" w:ascii="宋体" w:hAnsi="宋体" w:eastAsia="宋体" w:cs="宋体"/>
          <w:color w:val="auto"/>
          <w:sz w:val="36"/>
          <w:szCs w:val="36"/>
          <w:highlight w:val="none"/>
          <w:lang w:val="en-US" w:eastAsia="zh-CN"/>
        </w:rPr>
        <w:t>六</w:t>
      </w:r>
      <w:r>
        <w:rPr>
          <w:rFonts w:hint="eastAsia" w:ascii="宋体" w:hAnsi="宋体" w:eastAsia="宋体" w:cs="宋体"/>
          <w:color w:val="auto"/>
          <w:sz w:val="36"/>
          <w:szCs w:val="36"/>
          <w:highlight w:val="none"/>
        </w:rPr>
        <w:t>月</w:t>
      </w:r>
    </w:p>
    <w:p w14:paraId="2DF3B72E">
      <w:pPr>
        <w:spacing w:line="720" w:lineRule="auto"/>
        <w:ind w:firstLine="600"/>
        <w:jc w:val="center"/>
        <w:rPr>
          <w:rFonts w:hint="eastAsia" w:ascii="宋体" w:hAnsi="宋体" w:eastAsia="宋体" w:cs="宋体"/>
          <w:color w:val="auto"/>
          <w:sz w:val="40"/>
          <w:szCs w:val="40"/>
          <w:highlight w:val="none"/>
        </w:rPr>
        <w:sectPr>
          <w:headerReference r:id="rId3" w:type="default"/>
          <w:pgSz w:w="11906" w:h="16838"/>
          <w:pgMar w:top="1440" w:right="1800" w:bottom="1440" w:left="1800" w:header="851" w:footer="454" w:gutter="0"/>
          <w:pgNumType w:start="0"/>
          <w:cols w:space="720" w:num="1"/>
          <w:docGrid w:linePitch="360" w:charSpace="0"/>
        </w:sectPr>
      </w:pPr>
    </w:p>
    <w:p w14:paraId="429ECAC8">
      <w:pPr>
        <w:spacing w:line="720" w:lineRule="auto"/>
        <w:ind w:firstLine="600"/>
        <w:jc w:val="center"/>
        <w:rPr>
          <w:rFonts w:hint="eastAsia" w:ascii="宋体" w:hAnsi="宋体" w:eastAsia="宋体" w:cs="宋体"/>
          <w:b/>
          <w:bCs/>
          <w:color w:val="auto"/>
          <w:sz w:val="30"/>
          <w:szCs w:val="30"/>
          <w:highlight w:val="none"/>
        </w:rPr>
      </w:pPr>
      <w:r>
        <w:rPr>
          <w:rFonts w:hint="eastAsia" w:ascii="宋体" w:hAnsi="宋体" w:eastAsia="宋体" w:cs="宋体"/>
          <w:color w:val="auto"/>
          <w:sz w:val="40"/>
          <w:szCs w:val="40"/>
          <w:highlight w:val="none"/>
        </w:rPr>
        <w:t>目录</w:t>
      </w:r>
    </w:p>
    <w:p w14:paraId="0BB10A4B">
      <w:pPr>
        <w:spacing w:line="720" w:lineRule="auto"/>
        <w:ind w:firstLine="45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一、磋商邀请函</w:t>
      </w:r>
    </w:p>
    <w:p w14:paraId="4C275D50">
      <w:pPr>
        <w:spacing w:line="720" w:lineRule="auto"/>
        <w:ind w:firstLine="45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二、</w:t>
      </w:r>
      <w:r>
        <w:rPr>
          <w:rFonts w:hint="eastAsia" w:ascii="宋体" w:hAnsi="宋体" w:eastAsia="宋体" w:cs="宋体"/>
          <w:color w:val="auto"/>
          <w:sz w:val="30"/>
          <w:szCs w:val="30"/>
          <w:highlight w:val="none"/>
          <w:lang w:val="en-US" w:eastAsia="zh-CN"/>
        </w:rPr>
        <w:t>磋</w:t>
      </w:r>
      <w:r>
        <w:rPr>
          <w:rFonts w:hint="eastAsia" w:ascii="宋体" w:hAnsi="宋体" w:eastAsia="宋体" w:cs="宋体"/>
          <w:color w:val="auto"/>
          <w:sz w:val="30"/>
          <w:szCs w:val="30"/>
          <w:highlight w:val="none"/>
        </w:rPr>
        <w:t>商须知</w:t>
      </w:r>
    </w:p>
    <w:p w14:paraId="21F18278">
      <w:pPr>
        <w:spacing w:line="720" w:lineRule="auto"/>
        <w:ind w:firstLine="45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三、采购需求</w:t>
      </w:r>
    </w:p>
    <w:p w14:paraId="47C15B24">
      <w:pPr>
        <w:spacing w:line="720" w:lineRule="auto"/>
        <w:ind w:firstLine="45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四、合同书（格式）</w:t>
      </w:r>
    </w:p>
    <w:p w14:paraId="7A4DD769">
      <w:pPr>
        <w:spacing w:line="720" w:lineRule="auto"/>
        <w:ind w:firstLine="45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五、 响应文件（格式）</w:t>
      </w:r>
    </w:p>
    <w:p w14:paraId="68520F81">
      <w:pPr>
        <w:spacing w:line="720" w:lineRule="auto"/>
        <w:rPr>
          <w:rFonts w:hint="eastAsia" w:ascii="宋体" w:hAnsi="宋体" w:eastAsia="宋体" w:cs="宋体"/>
          <w:color w:val="auto"/>
          <w:sz w:val="30"/>
          <w:szCs w:val="30"/>
          <w:highlight w:val="none"/>
        </w:rPr>
      </w:pPr>
    </w:p>
    <w:p w14:paraId="350D9BC3">
      <w:pPr>
        <w:widowControl/>
        <w:spacing w:line="360" w:lineRule="auto"/>
        <w:rPr>
          <w:rFonts w:hint="eastAsia" w:ascii="宋体" w:hAnsi="宋体" w:eastAsia="宋体" w:cs="宋体"/>
          <w:b/>
          <w:bCs/>
          <w:color w:val="auto"/>
          <w:sz w:val="24"/>
          <w:szCs w:val="24"/>
          <w:highlight w:val="none"/>
        </w:rPr>
      </w:pPr>
    </w:p>
    <w:p w14:paraId="339B451E">
      <w:pPr>
        <w:widowControl/>
        <w:jc w:val="center"/>
        <w:rPr>
          <w:rFonts w:hint="eastAsia" w:ascii="宋体" w:hAnsi="宋体" w:eastAsia="宋体" w:cs="宋体"/>
          <w:b/>
          <w:bCs/>
          <w:color w:val="auto"/>
          <w:sz w:val="36"/>
          <w:szCs w:val="36"/>
          <w:highlight w:val="none"/>
        </w:rPr>
      </w:pPr>
    </w:p>
    <w:p w14:paraId="22721C0E">
      <w:pPr>
        <w:widowControl/>
        <w:jc w:val="center"/>
        <w:rPr>
          <w:rFonts w:hint="eastAsia" w:ascii="宋体" w:hAnsi="宋体" w:eastAsia="宋体" w:cs="宋体"/>
          <w:b/>
          <w:bCs/>
          <w:color w:val="auto"/>
          <w:sz w:val="36"/>
          <w:szCs w:val="36"/>
          <w:highlight w:val="none"/>
        </w:rPr>
      </w:pPr>
    </w:p>
    <w:p w14:paraId="66DC8F5B">
      <w:pPr>
        <w:widowControl/>
        <w:jc w:val="center"/>
        <w:rPr>
          <w:rFonts w:hint="eastAsia" w:ascii="宋体" w:hAnsi="宋体" w:eastAsia="宋体" w:cs="宋体"/>
          <w:b/>
          <w:bCs/>
          <w:color w:val="auto"/>
          <w:sz w:val="36"/>
          <w:szCs w:val="36"/>
          <w:highlight w:val="none"/>
        </w:rPr>
      </w:pPr>
    </w:p>
    <w:p w14:paraId="147E4B38">
      <w:pPr>
        <w:widowControl/>
        <w:jc w:val="center"/>
        <w:rPr>
          <w:rFonts w:hint="eastAsia" w:ascii="宋体" w:hAnsi="宋体" w:eastAsia="宋体" w:cs="宋体"/>
          <w:b/>
          <w:bCs/>
          <w:color w:val="auto"/>
          <w:sz w:val="36"/>
          <w:szCs w:val="36"/>
          <w:highlight w:val="none"/>
        </w:rPr>
      </w:pPr>
    </w:p>
    <w:p w14:paraId="2464ABBC">
      <w:pPr>
        <w:widowControl/>
        <w:rPr>
          <w:rFonts w:hint="eastAsia" w:ascii="宋体" w:hAnsi="宋体" w:eastAsia="宋体" w:cs="宋体"/>
          <w:b/>
          <w:bCs/>
          <w:color w:val="auto"/>
          <w:sz w:val="36"/>
          <w:szCs w:val="36"/>
          <w:highlight w:val="none"/>
        </w:rPr>
      </w:pPr>
    </w:p>
    <w:p w14:paraId="5F9F8B1C">
      <w:pPr>
        <w:jc w:val="center"/>
        <w:rPr>
          <w:rFonts w:hint="eastAsia" w:ascii="宋体" w:hAnsi="宋体" w:eastAsia="宋体" w:cs="宋体"/>
          <w:color w:val="auto"/>
          <w:sz w:val="28"/>
          <w:szCs w:val="28"/>
          <w:highlight w:val="none"/>
        </w:rPr>
        <w:sectPr>
          <w:headerReference r:id="rId4" w:type="default"/>
          <w:footerReference r:id="rId5" w:type="default"/>
          <w:pgSz w:w="11906" w:h="16838"/>
          <w:pgMar w:top="1440" w:right="1800" w:bottom="1440" w:left="1800" w:header="851" w:footer="454" w:gutter="0"/>
          <w:pgNumType w:start="38"/>
          <w:cols w:space="720" w:num="1"/>
          <w:docGrid w:linePitch="360" w:charSpace="0"/>
        </w:sectPr>
      </w:pPr>
    </w:p>
    <w:p w14:paraId="19EE13C9">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一、磋商邀请函</w:t>
      </w:r>
    </w:p>
    <w:p w14:paraId="18DE054E">
      <w:pPr>
        <w:widowControl/>
        <w:spacing w:line="360" w:lineRule="auto"/>
        <w:ind w:right="-92"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我公司受</w:t>
      </w:r>
      <w:r>
        <w:rPr>
          <w:rFonts w:hint="eastAsia" w:ascii="宋体" w:hAnsi="宋体" w:eastAsia="宋体" w:cs="宋体"/>
          <w:b/>
          <w:bCs/>
          <w:color w:val="auto"/>
          <w:sz w:val="24"/>
          <w:szCs w:val="24"/>
          <w:highlight w:val="none"/>
        </w:rPr>
        <w:t>江苏省梅村高级中学</w:t>
      </w:r>
      <w:r>
        <w:rPr>
          <w:rFonts w:hint="eastAsia" w:ascii="宋体" w:hAnsi="宋体" w:eastAsia="宋体" w:cs="宋体"/>
          <w:color w:val="auto"/>
          <w:sz w:val="24"/>
          <w:szCs w:val="24"/>
          <w:highlight w:val="none"/>
        </w:rPr>
        <w:t>的委托，就</w:t>
      </w:r>
      <w:r>
        <w:rPr>
          <w:rFonts w:hint="eastAsia" w:ascii="宋体" w:hAnsi="宋体" w:cs="宋体"/>
          <w:b/>
          <w:bCs/>
          <w:color w:val="auto"/>
          <w:sz w:val="24"/>
          <w:szCs w:val="24"/>
          <w:highlight w:val="none"/>
          <w:lang w:eastAsia="zh-CN"/>
        </w:rPr>
        <w:t>江苏省梅村高级中学2026年艺体楼、图书馆及心理健康发展中心建设项目</w:t>
      </w:r>
      <w:r>
        <w:rPr>
          <w:rFonts w:hint="eastAsia" w:ascii="宋体" w:hAnsi="宋体" w:eastAsia="宋体" w:cs="宋体"/>
          <w:color w:val="auto"/>
          <w:sz w:val="24"/>
          <w:szCs w:val="24"/>
          <w:highlight w:val="none"/>
        </w:rPr>
        <w:t>进行竞争性磋商，欢迎你单位参加报价并提请注意下列附表中的相关事项：</w:t>
      </w:r>
    </w:p>
    <w:tbl>
      <w:tblPr>
        <w:tblStyle w:val="40"/>
        <w:tblW w:w="51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494"/>
      </w:tblGrid>
      <w:tr w14:paraId="3A88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36" w:type="pct"/>
            <w:noWrap w:val="0"/>
          </w:tcPr>
          <w:p w14:paraId="0E7CB2E8">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563" w:type="pct"/>
            <w:noWrap w:val="0"/>
          </w:tcPr>
          <w:p w14:paraId="66F70F50">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w:t>
            </w:r>
          </w:p>
        </w:tc>
      </w:tr>
      <w:tr w14:paraId="38BC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436" w:type="pct"/>
            <w:noWrap w:val="0"/>
            <w:vAlign w:val="center"/>
          </w:tcPr>
          <w:p w14:paraId="50397EE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563" w:type="pct"/>
            <w:noWrap w:val="0"/>
            <w:vAlign w:val="center"/>
          </w:tcPr>
          <w:p w14:paraId="591242D9">
            <w:pPr>
              <w:spacing w:line="440" w:lineRule="exact"/>
              <w:ind w:left="1680" w:hanging="16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采购项目名称：</w:t>
            </w:r>
            <w:r>
              <w:rPr>
                <w:rFonts w:hint="eastAsia" w:ascii="宋体" w:hAnsi="宋体" w:cs="宋体"/>
                <w:color w:val="auto"/>
                <w:sz w:val="24"/>
                <w:szCs w:val="24"/>
                <w:highlight w:val="none"/>
                <w:lang w:eastAsia="zh-CN"/>
              </w:rPr>
              <w:t>江苏省梅村高级中学2026年艺体楼、图书馆及心理健康发展中心建设项目</w:t>
            </w:r>
          </w:p>
          <w:p w14:paraId="4568D938">
            <w:pPr>
              <w:spacing w:line="440" w:lineRule="exact"/>
              <w:ind w:left="120" w:hanging="12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采购项目编号：JSZC-320200-XXGC-C2026-0008</w:t>
            </w:r>
          </w:p>
          <w:p w14:paraId="1CF732E4">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采购人：江苏省梅村高级中学</w:t>
            </w:r>
          </w:p>
          <w:p w14:paraId="185E8786">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采购方式：竞争性磋商</w:t>
            </w:r>
          </w:p>
        </w:tc>
      </w:tr>
      <w:tr w14:paraId="1B68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436" w:type="pct"/>
            <w:noWrap w:val="0"/>
            <w:vAlign w:val="center"/>
          </w:tcPr>
          <w:p w14:paraId="2482B81F">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4563" w:type="pct"/>
            <w:noWrap w:val="0"/>
            <w:vAlign w:val="center"/>
          </w:tcPr>
          <w:p w14:paraId="7C89932B">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采购人：江苏省梅村高级中学</w:t>
            </w:r>
          </w:p>
          <w:p w14:paraId="3D25BB28">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联系地址：无锡市新吴区梅村街道梅育路63号</w:t>
            </w:r>
          </w:p>
          <w:p w14:paraId="4A34855D">
            <w:pPr>
              <w:spacing w:line="44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采购代理机构：</w:t>
            </w:r>
            <w:r>
              <w:rPr>
                <w:rFonts w:hint="eastAsia" w:ascii="宋体" w:hAnsi="宋体" w:cs="宋体"/>
                <w:color w:val="auto"/>
                <w:sz w:val="24"/>
                <w:szCs w:val="24"/>
                <w:highlight w:val="none"/>
                <w:lang w:eastAsia="zh-CN"/>
              </w:rPr>
              <w:t>江苏新鑫工程咨询有限公司</w:t>
            </w:r>
          </w:p>
          <w:p w14:paraId="5C2C291D">
            <w:pPr>
              <w:spacing w:line="44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地址：</w:t>
            </w:r>
            <w:r>
              <w:rPr>
                <w:rFonts w:hint="eastAsia" w:ascii="宋体" w:hAnsi="宋体" w:cs="宋体"/>
                <w:color w:val="auto"/>
                <w:sz w:val="24"/>
                <w:szCs w:val="24"/>
                <w:highlight w:val="none"/>
                <w:lang w:eastAsia="zh-CN"/>
              </w:rPr>
              <w:t>无锡市新吴区珠江路16号A栋3楼</w:t>
            </w:r>
          </w:p>
        </w:tc>
      </w:tr>
      <w:tr w14:paraId="278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6" w:type="pct"/>
            <w:noWrap w:val="0"/>
            <w:vAlign w:val="center"/>
          </w:tcPr>
          <w:p w14:paraId="6687B351">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4563" w:type="pct"/>
            <w:noWrap w:val="0"/>
            <w:vAlign w:val="center"/>
          </w:tcPr>
          <w:p w14:paraId="7750EE56">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招标项目概况、要求：（具体内容、要求详见竞争性磋商文件“三．采购需求”）。</w:t>
            </w:r>
          </w:p>
          <w:p w14:paraId="39FA827D">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宋体" w:hAnsi="宋体" w:eastAsia="宋体" w:cs="宋体"/>
                <w:color w:val="auto"/>
                <w:sz w:val="24"/>
                <w:szCs w:val="24"/>
                <w:highlight w:val="none"/>
                <w:lang w:val="en-US"/>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项目概况：</w:t>
            </w:r>
            <w:r>
              <w:rPr>
                <w:rFonts w:hint="eastAsia" w:ascii="宋体" w:hAnsi="宋体" w:eastAsia="宋体" w:cs="宋体"/>
                <w:color w:val="auto"/>
                <w:sz w:val="24"/>
                <w:szCs w:val="24"/>
                <w:highlight w:val="none"/>
                <w:lang w:val="en-US" w:eastAsia="zh-CN"/>
              </w:rPr>
              <w:t>本项目总建筑面积约4500平方</w:t>
            </w:r>
            <w:r>
              <w:rPr>
                <w:rFonts w:hint="eastAsia" w:ascii="宋体" w:hAnsi="宋体" w:cs="宋体"/>
                <w:color w:val="auto"/>
                <w:sz w:val="24"/>
                <w:szCs w:val="24"/>
                <w:highlight w:val="none"/>
                <w:lang w:val="en-US" w:eastAsia="zh-CN"/>
              </w:rPr>
              <w:t>米；</w:t>
            </w:r>
          </w:p>
          <w:p w14:paraId="0DE166B0">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采购</w:t>
            </w:r>
            <w:r>
              <w:rPr>
                <w:rFonts w:hint="eastAsia" w:ascii="宋体" w:hAnsi="宋体" w:eastAsia="宋体" w:cs="宋体"/>
                <w:color w:val="auto"/>
                <w:sz w:val="24"/>
                <w:szCs w:val="24"/>
                <w:highlight w:val="none"/>
              </w:rPr>
              <w:t>范围：</w:t>
            </w:r>
            <w:r>
              <w:rPr>
                <w:rFonts w:hint="eastAsia" w:ascii="宋体" w:hAnsi="宋体" w:eastAsia="宋体" w:cs="宋体"/>
                <w:color w:val="auto"/>
                <w:sz w:val="24"/>
                <w:szCs w:val="24"/>
                <w:highlight w:val="none"/>
                <w:lang w:val="en-US" w:eastAsia="zh-CN"/>
              </w:rPr>
              <w:t>招标图纸及工程量清单范围内</w:t>
            </w:r>
            <w:r>
              <w:rPr>
                <w:rFonts w:hint="eastAsia" w:ascii="宋体" w:hAnsi="宋体" w:cs="宋体"/>
                <w:color w:val="auto"/>
                <w:sz w:val="24"/>
                <w:szCs w:val="24"/>
                <w:highlight w:val="none"/>
                <w:lang w:val="en-US" w:eastAsia="zh-CN"/>
              </w:rPr>
              <w:t>的拆除工程、装修工程、安装工程等；</w:t>
            </w:r>
          </w:p>
          <w:p w14:paraId="53BBB27E">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szCs w:val="24"/>
                <w:highlight w:val="none"/>
              </w:rPr>
              <w:t>工期</w:t>
            </w: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45日历天</w:t>
            </w:r>
            <w:r>
              <w:rPr>
                <w:rFonts w:hint="eastAsia" w:ascii="宋体" w:hAnsi="宋体" w:eastAsia="宋体" w:cs="宋体"/>
                <w:color w:val="auto"/>
                <w:sz w:val="24"/>
                <w:szCs w:val="24"/>
                <w:highlight w:val="none"/>
              </w:rPr>
              <w:t>，具体开工时间以甲方开工令为准；</w:t>
            </w:r>
          </w:p>
          <w:p w14:paraId="0B7DCC0D">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highlight w:val="none"/>
              </w:rPr>
              <w:t>误期违约金：2000元/天；</w:t>
            </w:r>
          </w:p>
          <w:p w14:paraId="5DF13C1E">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5、质量要求：一次性验收通过</w:t>
            </w:r>
            <w:r>
              <w:rPr>
                <w:rFonts w:hint="eastAsia" w:ascii="宋体" w:hAnsi="宋体" w:eastAsia="宋体" w:cs="宋体"/>
                <w:color w:val="auto"/>
                <w:sz w:val="24"/>
                <w:szCs w:val="22"/>
                <w:highlight w:val="none"/>
              </w:rPr>
              <w:t>，100%合格</w:t>
            </w:r>
            <w:r>
              <w:rPr>
                <w:rFonts w:hint="eastAsia" w:ascii="宋体" w:hAnsi="宋体" w:eastAsia="宋体" w:cs="宋体"/>
                <w:color w:val="auto"/>
                <w:sz w:val="24"/>
                <w:szCs w:val="24"/>
                <w:highlight w:val="none"/>
              </w:rPr>
              <w:t>；</w:t>
            </w:r>
          </w:p>
          <w:p w14:paraId="5DEE804B">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highlight w:val="none"/>
              </w:rPr>
              <w:t>质量违约金：合同价款的5%；</w:t>
            </w:r>
          </w:p>
          <w:p w14:paraId="62DF64CC">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hAnsi="宋体"/>
                <w:color w:val="auto"/>
                <w:sz w:val="24"/>
                <w:highlight w:val="none"/>
              </w:rPr>
              <w:t>本项目是否专门面向中小企业：是</w:t>
            </w:r>
            <w:r>
              <w:rPr>
                <w:rFonts w:hint="eastAsia" w:ascii="宋体" w:hAnsi="宋体" w:eastAsia="宋体" w:cs="宋体"/>
                <w:color w:val="auto"/>
                <w:sz w:val="24"/>
                <w:szCs w:val="24"/>
                <w:highlight w:val="none"/>
              </w:rPr>
              <w:t>。</w:t>
            </w:r>
          </w:p>
          <w:p w14:paraId="32724230">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本项目标的所属行业：建筑业。根据《中小企业划型标准规定》工信部联企业〔2011〕300号规定，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995AF93">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9、本项目预算金额：</w:t>
            </w:r>
            <w:r>
              <w:rPr>
                <w:rFonts w:hint="eastAsia" w:ascii="宋体" w:hAnsi="宋体" w:cs="宋体"/>
                <w:color w:val="auto"/>
                <w:sz w:val="24"/>
                <w:szCs w:val="24"/>
                <w:highlight w:val="none"/>
                <w:lang w:val="en-US" w:eastAsia="zh-CN"/>
              </w:rPr>
              <w:t>384.283983万</w:t>
            </w:r>
            <w:r>
              <w:rPr>
                <w:rFonts w:hint="eastAsia" w:ascii="宋体" w:hAnsi="宋体" w:eastAsia="宋体" w:cs="宋体"/>
                <w:color w:val="auto"/>
                <w:sz w:val="24"/>
                <w:szCs w:val="24"/>
                <w:highlight w:val="none"/>
              </w:rPr>
              <w:t>元；</w:t>
            </w:r>
          </w:p>
          <w:p w14:paraId="0A7D34CC">
            <w:pPr>
              <w:widowControl/>
              <w:spacing w:line="360" w:lineRule="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最高限价：</w:t>
            </w:r>
            <w:r>
              <w:rPr>
                <w:rFonts w:hint="eastAsia" w:ascii="宋体" w:hAnsi="宋体" w:cs="宋体"/>
                <w:color w:val="auto"/>
                <w:sz w:val="24"/>
                <w:szCs w:val="24"/>
                <w:highlight w:val="none"/>
                <w:u w:val="single"/>
                <w:lang w:val="en-US" w:eastAsia="zh-CN"/>
              </w:rPr>
              <w:t xml:space="preserve">  384.28  </w:t>
            </w:r>
            <w:r>
              <w:rPr>
                <w:rFonts w:hint="eastAsia" w:ascii="宋体" w:hAnsi="宋体" w:cs="宋体"/>
                <w:color w:val="auto"/>
                <w:sz w:val="24"/>
                <w:szCs w:val="24"/>
                <w:highlight w:val="none"/>
                <w:lang w:val="en-US" w:eastAsia="zh-CN"/>
              </w:rPr>
              <w:t>万元</w:t>
            </w:r>
            <w:r>
              <w:rPr>
                <w:rFonts w:hint="eastAsia" w:ascii="宋体" w:hAnsi="宋体" w:eastAsia="宋体" w:cs="宋体"/>
                <w:color w:val="auto"/>
                <w:sz w:val="24"/>
                <w:szCs w:val="24"/>
                <w:highlight w:val="none"/>
              </w:rPr>
              <w:t>，超过最高限价的按无效标书处理。</w:t>
            </w:r>
          </w:p>
        </w:tc>
      </w:tr>
      <w:tr w14:paraId="1AE4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436" w:type="pct"/>
            <w:noWrap w:val="0"/>
            <w:vAlign w:val="center"/>
          </w:tcPr>
          <w:p w14:paraId="248A962A">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4563" w:type="pct"/>
            <w:noWrap w:val="0"/>
            <w:vAlign w:val="center"/>
          </w:tcPr>
          <w:p w14:paraId="4E18D876">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报价供应商条件：</w:t>
            </w:r>
          </w:p>
          <w:p w14:paraId="7C635203">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1.供应商满足《中华人民共和国政府采购法》第二十二条规定；</w:t>
            </w:r>
          </w:p>
          <w:p w14:paraId="59160CC6">
            <w:pPr>
              <w:widowControl/>
              <w:spacing w:line="360" w:lineRule="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2.落实政府采购政策需满足的资格要求：</w:t>
            </w:r>
            <w:r>
              <w:rPr>
                <w:rFonts w:hint="eastAsia" w:ascii="宋体" w:hAnsi="宋体" w:eastAsia="宋体" w:cs="宋体"/>
                <w:b/>
                <w:bCs/>
                <w:color w:val="auto"/>
                <w:sz w:val="24"/>
                <w:szCs w:val="24"/>
                <w:highlight w:val="none"/>
              </w:rPr>
              <w:t>供应商为中小企业/小微企业或供应商应为监狱企业或供应商应为残疾人福利企业；</w:t>
            </w:r>
          </w:p>
          <w:p w14:paraId="65A21FF8">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3.本项目的特定资格要求：</w:t>
            </w:r>
          </w:p>
          <w:p w14:paraId="72851014">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（1）报价供应商应为中国大陆境内合法注册，具有独立法人资格的法人</w:t>
            </w: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rPr>
              <w:t>其他组织，</w:t>
            </w:r>
            <w:r>
              <w:rPr>
                <w:rFonts w:hint="eastAsia" w:ascii="宋体" w:hAnsi="宋体" w:eastAsia="宋体" w:cs="宋体"/>
                <w:color w:val="auto"/>
                <w:sz w:val="24"/>
                <w:szCs w:val="24"/>
                <w:highlight w:val="none"/>
                <w:lang w:val="zh-CN"/>
              </w:rPr>
              <w:t>具有独立签订合同的权利和良好履行合同的能力，企业财务状况良好</w:t>
            </w:r>
            <w:r>
              <w:rPr>
                <w:rFonts w:hint="eastAsia" w:ascii="宋体" w:hAnsi="宋体" w:eastAsia="宋体" w:cs="宋体"/>
                <w:color w:val="auto"/>
                <w:sz w:val="24"/>
                <w:szCs w:val="24"/>
                <w:highlight w:val="none"/>
              </w:rPr>
              <w:t>；</w:t>
            </w:r>
          </w:p>
          <w:p w14:paraId="592E4B65">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（2）报价供应商具备[建筑装修装饰工程专业承包二级]（含）以上资质</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且</w:t>
            </w:r>
            <w:r>
              <w:rPr>
                <w:rFonts w:hint="eastAsia" w:ascii="宋体" w:hAnsi="宋体" w:eastAsia="宋体" w:cs="宋体"/>
                <w:color w:val="auto"/>
                <w:sz w:val="24"/>
                <w:szCs w:val="24"/>
                <w:highlight w:val="none"/>
              </w:rPr>
              <w:t>具备安全生产条件，并取得安全生产许可证（相关规定不作要求的除外）；</w:t>
            </w:r>
          </w:p>
          <w:p w14:paraId="65AD7E7B">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）项目负责人具备[建筑工程注册建造师二级]（含）以上资格和有效期内的《建筑施工企业项目负责人安全生产考核合格证书》（B证）；</w:t>
            </w:r>
          </w:p>
          <w:p w14:paraId="471D3886">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被授权委托人、项目负责人应为报价供应商在职员工，</w:t>
            </w:r>
            <w:r>
              <w:rPr>
                <w:rFonts w:hint="eastAsia" w:ascii="宋体" w:hAnsi="宋体" w:eastAsia="宋体" w:cs="宋体"/>
                <w:color w:val="auto"/>
                <w:sz w:val="24"/>
                <w:szCs w:val="24"/>
                <w:highlight w:val="none"/>
                <w:lang w:val="en-US" w:eastAsia="zh-CN"/>
              </w:rPr>
              <w:t>需提供由法定的社保收缴部门出具的近</w:t>
            </w:r>
            <w:r>
              <w:rPr>
                <w:rFonts w:hint="eastAsia" w:ascii="宋体" w:hAnsi="宋体" w:cs="宋体"/>
                <w:color w:val="auto"/>
                <w:sz w:val="24"/>
                <w:szCs w:val="24"/>
                <w:highlight w:val="none"/>
                <w:lang w:val="en-US" w:eastAsia="zh-CN"/>
              </w:rPr>
              <w:t>一年</w:t>
            </w:r>
            <w:r>
              <w:rPr>
                <w:rFonts w:hint="eastAsia" w:ascii="宋体" w:hAnsi="宋体" w:eastAsia="宋体" w:cs="宋体"/>
                <w:color w:val="auto"/>
                <w:sz w:val="24"/>
                <w:szCs w:val="24"/>
                <w:highlight w:val="none"/>
                <w:lang w:val="en-US" w:eastAsia="zh-CN"/>
              </w:rPr>
              <w:t>中任意一个月（不含磋商当月）的磋商供应商依法为其缴纳社会保险证明（由相关主管部门出具，如磋商供应商成立时间迟于要求开始的时间，则时间要求为磋商供应商成立时间至截止时间；法定代表人亲自参加投标或担任本项目的项目负责人的除外；社保缴费证明必须提交带有社保部门公章的或含有县（区）级及以上社保部门电子加盖公章或签电子公章或带二维码验证的扫描件）</w:t>
            </w:r>
            <w:r>
              <w:rPr>
                <w:rFonts w:hint="eastAsia" w:ascii="宋体" w:hAnsi="宋体" w:eastAsia="宋体" w:cs="宋体"/>
                <w:color w:val="auto"/>
                <w:sz w:val="24"/>
                <w:szCs w:val="24"/>
                <w:highlight w:val="none"/>
              </w:rPr>
              <w:t>；</w:t>
            </w:r>
          </w:p>
          <w:p w14:paraId="33101FEE">
            <w:pPr>
              <w:pStyle w:val="20"/>
              <w:keepNext w:val="0"/>
              <w:keepLines w:val="0"/>
              <w:pageBreakBefore w:val="0"/>
              <w:spacing w:line="360" w:lineRule="auto"/>
              <w:ind w:left="0" w:firstLine="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单位负责人为同一人或者存在直接控股、管理关系的不同供应商，不得参加同一合同项下的政府采购活动；除单一来源采购项目外，为本项目提供整体设计、规范编制或者项目管理、监理、检测等服务的供应商，不得再参加该项目的其他采购活动。</w:t>
            </w:r>
          </w:p>
          <w:p w14:paraId="2646FA73">
            <w:pPr>
              <w:keepNext w:val="0"/>
              <w:keepLines w:val="0"/>
              <w:pageBreakBefore w:val="0"/>
              <w:widowControl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）项目负责人不得有在建</w:t>
            </w:r>
            <w:r>
              <w:rPr>
                <w:rFonts w:hint="eastAsia" w:ascii="宋体" w:hAnsi="宋体" w:eastAsia="宋体" w:cs="宋体"/>
                <w:color w:val="auto"/>
                <w:sz w:val="24"/>
                <w:szCs w:val="24"/>
                <w:highlight w:val="none"/>
                <w:lang w:eastAsia="zh-CN"/>
              </w:rPr>
              <w:t>。</w:t>
            </w:r>
          </w:p>
          <w:p w14:paraId="30AD6FAA">
            <w:pPr>
              <w:keepNext w:val="0"/>
              <w:keepLines w:val="0"/>
              <w:pageBreakBefore w:val="0"/>
              <w:widowControl w:val="0"/>
              <w:spacing w:line="360" w:lineRule="auto"/>
              <w:rPr>
                <w:rFonts w:hint="eastAsia"/>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）未被“信用中国”网站（www.creditchina.gov.cn)、中国政府采购网（www.ccgp.gov.cn)列入失信被执行人、重大税收违法案件当事人名单、政府采购严重违法失信行为记录名单。</w:t>
            </w:r>
          </w:p>
          <w:p w14:paraId="79F909B2">
            <w:pPr>
              <w:keepNext w:val="0"/>
              <w:keepLines w:val="0"/>
              <w:pageBreakBefore w:val="0"/>
              <w:widowControl/>
              <w:shd w:val="clear" w:color="auto" w:fill="FFFFFF"/>
              <w:spacing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注：</w:t>
            </w:r>
            <w:r>
              <w:rPr>
                <w:rFonts w:hint="eastAsia" w:ascii="宋体" w:hAnsi="宋体" w:eastAsia="宋体" w:cs="宋体"/>
                <w:b/>
                <w:bCs/>
                <w:color w:val="auto"/>
                <w:sz w:val="24"/>
                <w:szCs w:val="24"/>
                <w:highlight w:val="none"/>
              </w:rPr>
              <w:t>1）按照《政府采购法实施条例释义》，法人的分支机构由于其不能独立承担民事责任，不能以分支机构的身份参加政府采购，只能以法人身份参加。但银行、保险、石油石化、电力、电信等有行业特殊情况的，可以分支机构参加政府采购和签订合同</w:t>
            </w:r>
            <w:r>
              <w:rPr>
                <w:rFonts w:hint="eastAsia" w:ascii="宋体" w:hAnsi="宋体" w:eastAsia="宋体" w:cs="宋体"/>
                <w:b/>
                <w:bCs/>
                <w:color w:val="auto"/>
                <w:sz w:val="24"/>
                <w:szCs w:val="24"/>
                <w:highlight w:val="none"/>
                <w:lang w:eastAsia="zh-CN"/>
              </w:rPr>
              <w:t>；</w:t>
            </w:r>
          </w:p>
          <w:p w14:paraId="027E96B7">
            <w:pPr>
              <w:keepNext w:val="0"/>
              <w:keepLines w:val="0"/>
              <w:pageBreakBefore w:val="0"/>
              <w:widowControl/>
              <w:shd w:val="clear" w:color="auto" w:fill="FFFFFF"/>
              <w:spacing w:line="360" w:lineRule="auto"/>
              <w:ind w:firstLine="482"/>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2）重大违法记录是指</w:t>
            </w:r>
            <w:r>
              <w:rPr>
                <w:rFonts w:hint="eastAsia" w:ascii="宋体" w:hAnsi="宋体" w:eastAsia="宋体" w:cs="宋体"/>
                <w:b/>
                <w:bCs/>
                <w:color w:val="auto"/>
                <w:sz w:val="24"/>
                <w:szCs w:val="24"/>
                <w:highlight w:val="none"/>
                <w:lang w:val="en-US" w:eastAsia="zh-CN"/>
              </w:rPr>
              <w:t>磋商</w:t>
            </w:r>
            <w:r>
              <w:rPr>
                <w:rFonts w:hint="eastAsia" w:ascii="宋体" w:hAnsi="宋体" w:eastAsia="宋体" w:cs="宋体"/>
                <w:b/>
                <w:bCs/>
                <w:color w:val="auto"/>
                <w:sz w:val="24"/>
                <w:szCs w:val="24"/>
                <w:highlight w:val="none"/>
              </w:rPr>
              <w:t>供应商因违法经营受到刑事处罚或者责令停产停业、吊销许可证或者执照、较大数额罚款等行政处罚。</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根据财库</w:t>
            </w:r>
            <w:r>
              <w:rPr>
                <w:rFonts w:hint="eastAsia" w:ascii="宋体" w:hAnsi="宋体" w:eastAsia="宋体" w:cs="宋体"/>
                <w:b/>
                <w:bCs/>
                <w:color w:val="auto"/>
                <w:sz w:val="24"/>
                <w:szCs w:val="24"/>
                <w:highlight w:val="none"/>
                <w:lang w:eastAsia="zh-CN"/>
              </w:rPr>
              <w:t>〔2022〕3号</w:t>
            </w:r>
            <w:r>
              <w:rPr>
                <w:rFonts w:hint="eastAsia" w:ascii="宋体" w:hAnsi="宋体" w:eastAsia="宋体" w:cs="宋体"/>
                <w:b/>
                <w:bCs/>
                <w:color w:val="auto"/>
                <w:sz w:val="24"/>
                <w:szCs w:val="24"/>
                <w:highlight w:val="none"/>
              </w:rPr>
              <w:t>文，较大数额罚款认定为200万元以上的罚款，法律、行政法规以及国务院有关部门明确规定相关领域“较大数额罚款”标准高于200万元的，从其规定</w:t>
            </w:r>
            <w:r>
              <w:rPr>
                <w:rFonts w:hint="eastAsia" w:ascii="宋体" w:hAnsi="宋体" w:eastAsia="宋体" w:cs="宋体"/>
                <w:b/>
                <w:bCs/>
                <w:color w:val="auto"/>
                <w:sz w:val="24"/>
                <w:szCs w:val="24"/>
                <w:highlight w:val="none"/>
                <w:lang w:eastAsia="zh-CN"/>
              </w:rPr>
              <w:t>）</w:t>
            </w:r>
          </w:p>
          <w:p w14:paraId="6C931F85">
            <w:pPr>
              <w:widowControl/>
              <w:spacing w:line="360" w:lineRule="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.本项目不接受联合体磋商。</w:t>
            </w:r>
          </w:p>
        </w:tc>
      </w:tr>
      <w:tr w14:paraId="27EB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436" w:type="pct"/>
            <w:noWrap w:val="0"/>
            <w:vAlign w:val="center"/>
          </w:tcPr>
          <w:p w14:paraId="2C9E5251">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4563" w:type="pct"/>
            <w:noWrap w:val="0"/>
            <w:vAlign w:val="center"/>
          </w:tcPr>
          <w:p w14:paraId="196F4361">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资金来源：财政资金</w:t>
            </w:r>
          </w:p>
        </w:tc>
      </w:tr>
      <w:tr w14:paraId="58D0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436" w:type="pct"/>
            <w:noWrap w:val="0"/>
            <w:vAlign w:val="center"/>
          </w:tcPr>
          <w:p w14:paraId="1F9D0AB8">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4563" w:type="pct"/>
            <w:noWrap w:val="0"/>
            <w:vAlign w:val="center"/>
          </w:tcPr>
          <w:p w14:paraId="2A8C37D4">
            <w:pPr>
              <w:pStyle w:val="217"/>
              <w:widowControl/>
              <w:shd w:val="clear" w:color="auto" w:fill="FFFFFF"/>
              <w:spacing w:line="360" w:lineRule="auto"/>
              <w:jc w:val="left"/>
              <w:rPr>
                <w:rFonts w:hint="eastAsia" w:hAnsi="宋体"/>
                <w:b/>
                <w:color w:val="auto"/>
                <w:sz w:val="24"/>
                <w:szCs w:val="24"/>
                <w:highlight w:val="none"/>
              </w:rPr>
            </w:pPr>
            <w:r>
              <w:rPr>
                <w:rFonts w:hint="eastAsia" w:hAnsi="宋体"/>
                <w:b/>
                <w:color w:val="auto"/>
                <w:sz w:val="24"/>
                <w:szCs w:val="24"/>
                <w:highlight w:val="none"/>
              </w:rPr>
              <w:t>获取</w:t>
            </w:r>
            <w:r>
              <w:rPr>
                <w:rFonts w:hint="eastAsia" w:hAnsi="宋体"/>
                <w:b/>
                <w:color w:val="auto"/>
                <w:sz w:val="24"/>
                <w:szCs w:val="24"/>
                <w:highlight w:val="none"/>
                <w:lang w:eastAsia="zh-CN"/>
              </w:rPr>
              <w:t>磋商文件</w:t>
            </w:r>
            <w:r>
              <w:rPr>
                <w:rFonts w:hint="eastAsia" w:hAnsi="宋体"/>
                <w:b/>
                <w:color w:val="auto"/>
                <w:sz w:val="24"/>
                <w:szCs w:val="24"/>
                <w:highlight w:val="none"/>
              </w:rPr>
              <w:t>：</w:t>
            </w:r>
          </w:p>
          <w:p w14:paraId="02965DCC">
            <w:pPr>
              <w:widowControl/>
              <w:spacing w:line="360" w:lineRule="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（1）获取竞争性磋商文件时间：20</w:t>
            </w:r>
            <w:r>
              <w:rPr>
                <w:rFonts w:hint="eastAsia" w:ascii="宋体" w:hAnsi="宋体" w:cs="宋体"/>
                <w:color w:val="auto"/>
                <w:sz w:val="24"/>
                <w:highlight w:val="none"/>
                <w:lang w:val="en-US" w:eastAsia="zh-CN"/>
              </w:rPr>
              <w:t>26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15</w:t>
            </w:r>
            <w:r>
              <w:rPr>
                <w:rFonts w:hint="eastAsia" w:ascii="宋体" w:hAnsi="宋体" w:eastAsia="宋体" w:cs="宋体"/>
                <w:color w:val="auto"/>
                <w:sz w:val="24"/>
                <w:highlight w:val="none"/>
              </w:rPr>
              <w:t>日至20</w:t>
            </w:r>
            <w:r>
              <w:rPr>
                <w:rFonts w:hint="eastAsia" w:ascii="宋体" w:hAnsi="宋体" w:cs="宋体"/>
                <w:color w:val="auto"/>
                <w:sz w:val="24"/>
                <w:highlight w:val="none"/>
                <w:lang w:val="en-US" w:eastAsia="zh-CN"/>
              </w:rPr>
              <w:t>26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23</w:t>
            </w:r>
            <w:r>
              <w:rPr>
                <w:rFonts w:hint="eastAsia" w:ascii="宋体" w:hAnsi="宋体" w:eastAsia="宋体" w:cs="宋体"/>
                <w:color w:val="auto"/>
                <w:sz w:val="24"/>
                <w:highlight w:val="none"/>
              </w:rPr>
              <w:t>日</w:t>
            </w:r>
            <w:r>
              <w:rPr>
                <w:rFonts w:hint="eastAsia" w:ascii="宋体" w:hAnsi="宋体" w:eastAsia="宋体" w:cs="宋体"/>
                <w:color w:val="auto"/>
                <w:sz w:val="24"/>
                <w:highlight w:val="none"/>
                <w:lang w:val="zh-CN"/>
              </w:rPr>
              <w:t>23:59时止（法定假日除外）。</w:t>
            </w:r>
          </w:p>
          <w:p w14:paraId="5B86FFD5">
            <w:pPr>
              <w:widowControl/>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（2）竞争性磋商文件获取地点方式：</w:t>
            </w:r>
            <w:r>
              <w:rPr>
                <w:rFonts w:hint="eastAsia" w:ascii="宋体" w:hAnsi="宋体" w:eastAsia="宋体" w:cs="宋体"/>
                <w:color w:val="auto"/>
                <w:sz w:val="24"/>
                <w:highlight w:val="none"/>
                <w:lang w:val="zh-CN"/>
              </w:rPr>
              <w:t>网上获取，潜在报价供应商可在项目竞争性磋商公告附件中查看竞争性磋商文件，如确定投标，必须在苏采云平台（http://jszfcg.jscz.gov.cn/jszc/login）中免费下载竞争性磋商文件</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zh-CN"/>
              </w:rPr>
              <w:t>江苏政府采购</w:t>
            </w:r>
            <w:r>
              <w:rPr>
                <w:rFonts w:hint="eastAsia" w:ascii="宋体" w:hAnsi="宋体" w:eastAsia="宋体" w:cs="宋体"/>
                <w:color w:val="auto"/>
                <w:sz w:val="24"/>
                <w:highlight w:val="none"/>
                <w:lang w:val="en-US" w:eastAsia="zh-CN"/>
              </w:rPr>
              <w:t>网--</w:t>
            </w:r>
            <w:r>
              <w:rPr>
                <w:rFonts w:hint="eastAsia" w:ascii="宋体" w:hAnsi="宋体" w:eastAsia="宋体" w:cs="宋体"/>
                <w:color w:val="auto"/>
                <w:sz w:val="24"/>
                <w:highlight w:val="none"/>
                <w:lang w:val="zh-CN"/>
              </w:rPr>
              <w:t>苏采云平台中免费下载文件（“项目参与”——找到需要获取竞争性磋商文件的项目，点击“我要参与”——“参与投标”——“下载文件”）</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zh-CN"/>
              </w:rPr>
              <w:t>，完成项目报名，方可按要求制作、上传响应文件。</w:t>
            </w:r>
            <w:r>
              <w:rPr>
                <w:rFonts w:hint="eastAsia" w:ascii="宋体" w:hAnsi="宋体" w:eastAsia="宋体" w:cs="宋体"/>
                <w:color w:val="auto"/>
                <w:sz w:val="24"/>
                <w:highlight w:val="none"/>
              </w:rPr>
              <w:t>供应商须</w:t>
            </w:r>
            <w:r>
              <w:rPr>
                <w:rFonts w:hint="eastAsia" w:ascii="宋体" w:hAnsi="宋体" w:eastAsia="宋体" w:cs="宋体"/>
                <w:color w:val="auto"/>
                <w:sz w:val="24"/>
                <w:highlight w:val="none"/>
                <w:lang w:val="zh-CN"/>
              </w:rPr>
              <w:t>对竞争性磋商文件各项内容做出实质性响应，否则其响应文件无效。供应商应承担其编制响应文件以及递交响应文件所涉及的一切费用。无论投标结果如何，采购人对上述费用不负任何责任。</w:t>
            </w:r>
          </w:p>
          <w:p w14:paraId="1E4064DA">
            <w:pPr>
              <w:widowControl/>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highlight w:val="none"/>
              </w:rPr>
              <w:t>（3）售价：</w:t>
            </w:r>
            <w:r>
              <w:rPr>
                <w:rFonts w:hint="eastAsia" w:hAnsi="宋体"/>
                <w:bCs/>
                <w:color w:val="auto"/>
                <w:sz w:val="24"/>
                <w:szCs w:val="24"/>
                <w:highlight w:val="none"/>
              </w:rPr>
              <w:t>本项目</w:t>
            </w:r>
            <w:r>
              <w:rPr>
                <w:rFonts w:hint="eastAsia" w:hAnsi="宋体"/>
                <w:bCs/>
                <w:color w:val="auto"/>
                <w:sz w:val="24"/>
                <w:szCs w:val="24"/>
                <w:highlight w:val="none"/>
                <w:lang w:eastAsia="zh-CN"/>
              </w:rPr>
              <w:t>磋商文件</w:t>
            </w:r>
            <w:r>
              <w:rPr>
                <w:rFonts w:hint="eastAsia" w:hAnsi="宋体"/>
                <w:bCs/>
                <w:color w:val="auto"/>
                <w:sz w:val="24"/>
                <w:szCs w:val="24"/>
                <w:highlight w:val="none"/>
              </w:rPr>
              <w:t>免费</w:t>
            </w:r>
            <w:r>
              <w:rPr>
                <w:rFonts w:hint="eastAsia" w:ascii="宋体" w:hAnsi="宋体" w:eastAsia="宋体" w:cs="宋体"/>
                <w:color w:val="auto"/>
                <w:sz w:val="24"/>
                <w:highlight w:val="none"/>
                <w:lang w:eastAsia="zh-CN"/>
              </w:rPr>
              <w:t>。</w:t>
            </w:r>
          </w:p>
        </w:tc>
      </w:tr>
      <w:tr w14:paraId="3BE6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436" w:type="pct"/>
            <w:noWrap w:val="0"/>
            <w:vAlign w:val="center"/>
          </w:tcPr>
          <w:p w14:paraId="1CBFCDE1">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4563" w:type="pct"/>
            <w:noWrap w:val="0"/>
            <w:vAlign w:val="center"/>
          </w:tcPr>
          <w:p w14:paraId="1CF892AE">
            <w:pPr>
              <w:spacing w:line="440" w:lineRule="exact"/>
              <w:rPr>
                <w:rFonts w:hint="eastAsia" w:ascii="宋体" w:hAnsi="宋体" w:eastAsia="宋体" w:cs="宋体"/>
                <w:color w:val="auto"/>
                <w:sz w:val="24"/>
                <w:highlight w:val="none"/>
                <w:lang w:eastAsia="zh-CN"/>
              </w:rPr>
            </w:pPr>
            <w:r>
              <w:rPr>
                <w:rFonts w:hint="eastAsia" w:hAnsi="宋体"/>
                <w:b/>
                <w:bCs/>
                <w:color w:val="auto"/>
                <w:sz w:val="24"/>
                <w:highlight w:val="none"/>
                <w:lang w:eastAsia="zh-CN"/>
              </w:rPr>
              <w:t>磋商文件</w:t>
            </w:r>
            <w:r>
              <w:rPr>
                <w:rFonts w:hint="eastAsia" w:hAnsi="宋体"/>
                <w:b/>
                <w:bCs/>
                <w:color w:val="auto"/>
                <w:sz w:val="24"/>
                <w:highlight w:val="none"/>
              </w:rPr>
              <w:t>的澄清修改</w:t>
            </w:r>
            <w:r>
              <w:rPr>
                <w:rFonts w:hint="eastAsia" w:hAnsi="宋体"/>
                <w:b/>
                <w:bCs/>
                <w:color w:val="auto"/>
                <w:sz w:val="24"/>
                <w:highlight w:val="none"/>
                <w:lang w:eastAsia="zh-CN"/>
              </w:rPr>
              <w:t>：</w:t>
            </w:r>
          </w:p>
          <w:p w14:paraId="1F7BC1BA">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提疑截止时间：20</w:t>
            </w:r>
            <w:r>
              <w:rPr>
                <w:rFonts w:hint="eastAsia" w:ascii="宋体" w:hAnsi="宋体" w:cs="宋体"/>
                <w:color w:val="auto"/>
                <w:sz w:val="24"/>
                <w:highlight w:val="none"/>
                <w:lang w:val="en-US" w:eastAsia="zh-CN"/>
              </w:rPr>
              <w:t>26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24</w:t>
            </w:r>
            <w:r>
              <w:rPr>
                <w:rFonts w:hint="eastAsia" w:ascii="宋体" w:hAnsi="宋体" w:eastAsia="宋体" w:cs="宋体"/>
                <w:color w:val="auto"/>
                <w:sz w:val="24"/>
                <w:highlight w:val="none"/>
              </w:rPr>
              <w:t>日11时，以书面形式和电子邮件形式发送给采购代理机构；</w:t>
            </w:r>
          </w:p>
          <w:p w14:paraId="78469378">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答疑时间：20</w:t>
            </w:r>
            <w:r>
              <w:rPr>
                <w:rFonts w:hint="eastAsia" w:ascii="宋体" w:hAnsi="宋体" w:cs="宋体"/>
                <w:color w:val="auto"/>
                <w:sz w:val="24"/>
                <w:highlight w:val="none"/>
                <w:lang w:val="en-US" w:eastAsia="zh-CN"/>
              </w:rPr>
              <w:t>26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24</w:t>
            </w:r>
            <w:r>
              <w:rPr>
                <w:rFonts w:hint="eastAsia" w:ascii="宋体" w:hAnsi="宋体" w:eastAsia="宋体" w:cs="宋体"/>
                <w:color w:val="auto"/>
                <w:sz w:val="24"/>
                <w:highlight w:val="none"/>
              </w:rPr>
              <w:t>日16时前，以电子邮件形式发送给各报价供应商；</w:t>
            </w:r>
          </w:p>
        </w:tc>
      </w:tr>
      <w:tr w14:paraId="3CFB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 w:type="pct"/>
            <w:noWrap w:val="0"/>
            <w:vAlign w:val="center"/>
          </w:tcPr>
          <w:p w14:paraId="5A4E072E">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4563" w:type="pct"/>
            <w:noWrap w:val="0"/>
            <w:vAlign w:val="center"/>
          </w:tcPr>
          <w:p w14:paraId="75F7713F">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磋商</w:t>
            </w:r>
            <w:r>
              <w:rPr>
                <w:rFonts w:hint="eastAsia" w:ascii="宋体" w:hAnsi="宋体" w:eastAsia="宋体" w:cs="宋体"/>
                <w:color w:val="auto"/>
                <w:sz w:val="24"/>
                <w:szCs w:val="24"/>
                <w:highlight w:val="none"/>
              </w:rPr>
              <w:t>有效期：</w:t>
            </w:r>
            <w:r>
              <w:rPr>
                <w:rFonts w:hint="eastAsia" w:ascii="宋体" w:hAnsi="宋体" w:eastAsia="宋体" w:cs="宋体"/>
                <w:color w:val="auto"/>
                <w:sz w:val="24"/>
                <w:highlight w:val="none"/>
              </w:rPr>
              <w:t>投标截止时间起90天</w:t>
            </w:r>
          </w:p>
        </w:tc>
      </w:tr>
      <w:tr w14:paraId="2056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36" w:type="pct"/>
            <w:noWrap w:val="0"/>
            <w:vAlign w:val="center"/>
          </w:tcPr>
          <w:p w14:paraId="39072EE3">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p>
        </w:tc>
        <w:tc>
          <w:tcPr>
            <w:tcW w:w="4563" w:type="pct"/>
            <w:noWrap w:val="0"/>
            <w:vAlign w:val="center"/>
          </w:tcPr>
          <w:p w14:paraId="0A1ADCD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网上磋商截止时间：20</w:t>
            </w:r>
            <w:r>
              <w:rPr>
                <w:rFonts w:hint="eastAsia" w:ascii="宋体" w:hAnsi="宋体" w:cs="宋体"/>
                <w:color w:val="auto"/>
                <w:sz w:val="24"/>
                <w:highlight w:val="none"/>
                <w:lang w:val="en-US" w:eastAsia="zh-CN"/>
              </w:rPr>
              <w:t>26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29</w:t>
            </w:r>
            <w:r>
              <w:rPr>
                <w:rFonts w:hint="eastAsia" w:ascii="宋体" w:hAnsi="宋体" w:eastAsia="宋体" w:cs="宋体"/>
                <w:color w:val="auto"/>
                <w:sz w:val="24"/>
                <w:highlight w:val="none"/>
              </w:rPr>
              <w:t>日</w:t>
            </w:r>
            <w:r>
              <w:rPr>
                <w:rFonts w:hint="eastAsia" w:ascii="宋体" w:hAnsi="宋体" w:cs="宋体"/>
                <w:b/>
                <w:bCs/>
                <w:color w:val="auto"/>
                <w:sz w:val="24"/>
                <w:highlight w:val="none"/>
                <w:lang w:val="en-US" w:eastAsia="zh-CN"/>
              </w:rPr>
              <w:t>上午9</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val="en-US" w:eastAsia="zh-CN"/>
              </w:rPr>
              <w:t>3</w:t>
            </w:r>
            <w:r>
              <w:rPr>
                <w:rFonts w:hint="eastAsia" w:ascii="宋体" w:hAnsi="宋体" w:eastAsia="宋体" w:cs="宋体"/>
                <w:b/>
                <w:bCs/>
                <w:color w:val="auto"/>
                <w:sz w:val="24"/>
                <w:highlight w:val="none"/>
              </w:rPr>
              <w:t>0</w:t>
            </w:r>
            <w:r>
              <w:rPr>
                <w:rFonts w:hint="eastAsia" w:ascii="宋体" w:hAnsi="宋体" w:eastAsia="宋体" w:cs="宋体"/>
                <w:color w:val="auto"/>
                <w:sz w:val="24"/>
                <w:highlight w:val="none"/>
              </w:rPr>
              <w:t>（北京时间），磋商截止时间后的响应文件恕不接受。</w:t>
            </w:r>
          </w:p>
          <w:p w14:paraId="451CC1A3">
            <w:pPr>
              <w:widowControl/>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投标地点：江苏省政府采购（苏采云）平台投标，线上不见面开标。</w:t>
            </w:r>
          </w:p>
          <w:p w14:paraId="086D4BAC">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本项目为不见面开标，</w:t>
            </w:r>
            <w:r>
              <w:rPr>
                <w:rFonts w:hint="eastAsia" w:ascii="宋体" w:hAnsi="宋体" w:cs="宋体"/>
                <w:color w:val="auto"/>
                <w:sz w:val="24"/>
                <w:highlight w:val="none"/>
                <w:lang w:eastAsia="zh-CN"/>
              </w:rPr>
              <w:t>报价供应商</w:t>
            </w:r>
            <w:r>
              <w:rPr>
                <w:rFonts w:hint="eastAsia" w:ascii="宋体" w:hAnsi="宋体" w:eastAsia="宋体" w:cs="宋体"/>
                <w:color w:val="auto"/>
                <w:sz w:val="24"/>
                <w:highlight w:val="none"/>
              </w:rPr>
              <w:t>无需到达开标现场。</w:t>
            </w:r>
          </w:p>
          <w:p w14:paraId="6B4B3C0C">
            <w:pPr>
              <w:widowControl/>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本项目进行线上不见面采购活动，供应商准备好制作标书的笔记本电脑、CA锁（政务CA），在规定时间内登录苏采云网上开标大厅，等待开标流程进入“解锁环境”，点击“点击立即解密”进行标书解密，解锁完成后及时关注开标大厅，等待后续多次报价、答疑澄清等提示。具体操作流程详见《“苏采云”系统供应商操作手册》。</w:t>
            </w:r>
          </w:p>
          <w:p w14:paraId="0E3C8E2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网上解密时间：20</w:t>
            </w:r>
            <w:r>
              <w:rPr>
                <w:rFonts w:hint="eastAsia" w:ascii="宋体" w:hAnsi="宋体" w:cs="宋体"/>
                <w:color w:val="auto"/>
                <w:sz w:val="24"/>
                <w:highlight w:val="none"/>
                <w:lang w:val="en-US" w:eastAsia="zh-CN"/>
              </w:rPr>
              <w:t>26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29</w:t>
            </w:r>
            <w:r>
              <w:rPr>
                <w:rFonts w:hint="eastAsia" w:ascii="宋体" w:hAnsi="宋体" w:eastAsia="宋体" w:cs="宋体"/>
                <w:color w:val="auto"/>
                <w:sz w:val="24"/>
                <w:highlight w:val="none"/>
              </w:rPr>
              <w:t>日</w:t>
            </w:r>
            <w:r>
              <w:rPr>
                <w:rFonts w:hint="eastAsia" w:ascii="宋体" w:hAnsi="宋体" w:cs="宋体"/>
                <w:b/>
                <w:bCs/>
                <w:color w:val="auto"/>
                <w:sz w:val="24"/>
                <w:highlight w:val="none"/>
                <w:lang w:val="en-US" w:eastAsia="zh-CN"/>
              </w:rPr>
              <w:t>上午9</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val="en-US" w:eastAsia="zh-CN"/>
              </w:rPr>
              <w:t>3</w:t>
            </w:r>
            <w:r>
              <w:rPr>
                <w:rFonts w:hint="eastAsia" w:ascii="宋体" w:hAnsi="宋体" w:eastAsia="宋体" w:cs="宋体"/>
                <w:b/>
                <w:bCs/>
                <w:color w:val="auto"/>
                <w:sz w:val="24"/>
                <w:highlight w:val="none"/>
              </w:rPr>
              <w:t>0</w:t>
            </w:r>
            <w:r>
              <w:rPr>
                <w:rFonts w:hint="eastAsia" w:ascii="宋体" w:hAnsi="宋体" w:eastAsia="宋体" w:cs="宋体"/>
                <w:color w:val="auto"/>
                <w:sz w:val="24"/>
                <w:highlight w:val="none"/>
              </w:rPr>
              <w:t>。</w:t>
            </w:r>
            <w:r>
              <w:rPr>
                <w:rFonts w:hint="eastAsia" w:ascii="宋体" w:hAnsi="宋体" w:eastAsia="宋体" w:cs="宋体"/>
                <w:b/>
                <w:bCs/>
                <w:color w:val="auto"/>
                <w:sz w:val="24"/>
                <w:highlight w:val="none"/>
              </w:rPr>
              <w:t>解密时限：开启解密后30分钟。</w:t>
            </w:r>
          </w:p>
        </w:tc>
      </w:tr>
      <w:tr w14:paraId="7DE6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36" w:type="pct"/>
            <w:noWrap w:val="0"/>
            <w:vAlign w:val="center"/>
          </w:tcPr>
          <w:p w14:paraId="6CD797D2">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4563" w:type="pct"/>
            <w:noWrap w:val="0"/>
            <w:vAlign w:val="center"/>
          </w:tcPr>
          <w:p w14:paraId="19C5033F">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确定成交单位时间：20</w:t>
            </w:r>
            <w:r>
              <w:rPr>
                <w:rFonts w:hint="eastAsia" w:ascii="宋体" w:hAnsi="宋体" w:cs="宋体"/>
                <w:color w:val="auto"/>
                <w:sz w:val="24"/>
                <w:highlight w:val="none"/>
                <w:lang w:val="en-US" w:eastAsia="zh-CN"/>
              </w:rPr>
              <w:t>26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29</w:t>
            </w:r>
            <w:r>
              <w:rPr>
                <w:rFonts w:hint="eastAsia" w:ascii="宋体" w:hAnsi="宋体" w:eastAsia="宋体" w:cs="宋体"/>
                <w:color w:val="auto"/>
                <w:sz w:val="24"/>
                <w:highlight w:val="none"/>
              </w:rPr>
              <w:t>日评审</w:t>
            </w:r>
            <w:r>
              <w:rPr>
                <w:rFonts w:hint="eastAsia" w:ascii="宋体" w:hAnsi="宋体" w:eastAsia="宋体" w:cs="宋体"/>
                <w:color w:val="auto"/>
                <w:sz w:val="24"/>
                <w:highlight w:val="none"/>
                <w:lang w:val="zh-CN"/>
              </w:rPr>
              <w:t>结束后</w:t>
            </w:r>
          </w:p>
          <w:p w14:paraId="4DA25FF0">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确定成交单位地点：</w:t>
            </w:r>
            <w:r>
              <w:rPr>
                <w:rFonts w:hint="eastAsia" w:ascii="宋体" w:hAnsi="宋体" w:eastAsia="宋体" w:cs="宋体"/>
                <w:color w:val="auto"/>
                <w:sz w:val="24"/>
                <w:szCs w:val="24"/>
                <w:highlight w:val="none"/>
              </w:rPr>
              <w:t>无锡市学前街27号（原高等师范大楼）4楼</w:t>
            </w:r>
            <w:r>
              <w:rPr>
                <w:rFonts w:hint="eastAsia" w:ascii="宋体" w:hAnsi="宋体" w:eastAsia="宋体" w:cs="宋体"/>
                <w:b/>
                <w:bCs/>
                <w:color w:val="auto"/>
                <w:sz w:val="24"/>
                <w:highlight w:val="none"/>
              </w:rPr>
              <w:t>。</w:t>
            </w:r>
          </w:p>
        </w:tc>
      </w:tr>
      <w:tr w14:paraId="2438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36" w:type="pct"/>
            <w:noWrap w:val="0"/>
            <w:vAlign w:val="center"/>
          </w:tcPr>
          <w:p w14:paraId="1C64715E">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4563" w:type="pct"/>
            <w:noWrap w:val="0"/>
            <w:vAlign w:val="center"/>
          </w:tcPr>
          <w:p w14:paraId="02B13D43">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解密时间：30分钟</w:t>
            </w:r>
          </w:p>
        </w:tc>
      </w:tr>
      <w:tr w14:paraId="6DB8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436" w:type="pct"/>
            <w:noWrap w:val="0"/>
            <w:vAlign w:val="center"/>
          </w:tcPr>
          <w:p w14:paraId="4BDA1B0A">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4563" w:type="pct"/>
            <w:noWrap w:val="0"/>
            <w:vAlign w:val="center"/>
          </w:tcPr>
          <w:p w14:paraId="1E9F66E7">
            <w:pPr>
              <w:numPr>
                <w:ilvl w:val="0"/>
                <w:numId w:val="4"/>
              </w:num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本项目不需要缴纳磋商保证金</w:t>
            </w:r>
          </w:p>
          <w:p w14:paraId="4533C502">
            <w:pPr>
              <w:numPr>
                <w:ilvl w:val="0"/>
                <w:numId w:val="4"/>
              </w:num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本项目不需要缴纳履约保证金</w:t>
            </w:r>
          </w:p>
        </w:tc>
      </w:tr>
      <w:tr w14:paraId="372D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436" w:type="pct"/>
            <w:noWrap w:val="0"/>
            <w:vAlign w:val="center"/>
          </w:tcPr>
          <w:p w14:paraId="514062BA">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4563" w:type="pct"/>
            <w:noWrap w:val="0"/>
            <w:vAlign w:val="center"/>
          </w:tcPr>
          <w:p w14:paraId="6F509E88">
            <w:pPr>
              <w:widowControl/>
              <w:spacing w:line="360" w:lineRule="auto"/>
              <w:rPr>
                <w:rFonts w:hint="eastAsia" w:ascii="宋体" w:hAnsi="宋体" w:eastAsia="宋体" w:cs="宋体"/>
                <w:b/>
                <w:bCs/>
                <w:color w:val="auto"/>
                <w:sz w:val="24"/>
                <w:highlight w:val="none"/>
                <w:lang w:val="zh-CN"/>
              </w:rPr>
            </w:pPr>
            <w:r>
              <w:rPr>
                <w:rFonts w:hint="eastAsia" w:ascii="宋体" w:hAnsi="宋体" w:eastAsia="宋体" w:cs="宋体"/>
                <w:b/>
                <w:bCs/>
                <w:color w:val="auto"/>
                <w:sz w:val="24"/>
                <w:highlight w:val="none"/>
                <w:lang w:val="zh-CN"/>
              </w:rPr>
              <w:t>响应文件份数：</w:t>
            </w:r>
          </w:p>
          <w:p w14:paraId="7591997E">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1、因供应商可能会存在操作不熟练、业务不熟悉等因素，为保证开</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评标流程顺利，供应商如有问题应及时反馈，供应商在开标截止时间前网上上传电子响应文件。</w:t>
            </w:r>
          </w:p>
          <w:p w14:paraId="0653B7CA">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2、供应商在开标前务必确认电脑浏览器设置、CA证书软件下载等，确保和CA证书匹配可以正常登录苏采云投标客户端。</w:t>
            </w:r>
          </w:p>
          <w:p w14:paraId="0EC78CE9">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3、本项目为不见面开标，</w:t>
            </w:r>
            <w:r>
              <w:rPr>
                <w:rFonts w:hint="eastAsia" w:ascii="宋体" w:hAnsi="宋体" w:cs="宋体"/>
                <w:color w:val="auto"/>
                <w:sz w:val="24"/>
                <w:highlight w:val="none"/>
                <w:lang w:eastAsia="zh-CN"/>
              </w:rPr>
              <w:t>报价供应商</w:t>
            </w:r>
            <w:r>
              <w:rPr>
                <w:rFonts w:hint="eastAsia" w:ascii="宋体" w:hAnsi="宋体" w:eastAsia="宋体" w:cs="宋体"/>
                <w:color w:val="auto"/>
                <w:sz w:val="24"/>
                <w:highlight w:val="none"/>
              </w:rPr>
              <w:t>无需递交纸质响应文件至现场，仅成交供应商在中标公告结束后递交纸质版响应文件一正二副至招标代理机构。若纸质响应文件与电子响应文件不符，则以电子响应文件为准。</w:t>
            </w:r>
          </w:p>
          <w:p w14:paraId="29EE3D64">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4、供应商请仔细阅读供应商注册流程和竞争性磋商文件中关于电子开</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评标等相关事项，如有问题可发送邮件或电话咨询。</w:t>
            </w:r>
          </w:p>
        </w:tc>
      </w:tr>
      <w:tr w14:paraId="0B5F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436" w:type="pct"/>
            <w:noWrap w:val="0"/>
            <w:vAlign w:val="center"/>
          </w:tcPr>
          <w:p w14:paraId="41B65FF4">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4563" w:type="pct"/>
            <w:noWrap w:val="0"/>
            <w:vAlign w:val="center"/>
          </w:tcPr>
          <w:p w14:paraId="765564D4">
            <w:pPr>
              <w:widowControl/>
              <w:spacing w:line="360" w:lineRule="auto"/>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供应商主体信息库注册：</w:t>
            </w:r>
          </w:p>
          <w:p w14:paraId="5783541B">
            <w:pPr>
              <w:widowControl/>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1.请有意参加本项目采购活动的供应商按以下流程进行操作：</w:t>
            </w:r>
          </w:p>
          <w:p w14:paraId="6C1FCDFA">
            <w:pPr>
              <w:widowControl/>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（1）访问“江苏省政府采购（苏采云）平台”（以下简称“苏采云”）进行账号注册，注册完成后需在系统中填写资质信息并提交审核。也可以直接通过http://jszfcg.jsczt.cn/进入注册界面。</w:t>
            </w:r>
          </w:p>
          <w:p w14:paraId="0EDD454B">
            <w:pPr>
              <w:widowControl/>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（2）办理“意源”CA数字证书和“方正”电子签章（办理地址：无锡市滨湖区观山路199号12号楼二楼9号、10号窗口），办理指南链接：http://jsxcmm.com/help/help.html。</w:t>
            </w:r>
          </w:p>
          <w:p w14:paraId="421CB256">
            <w:pPr>
              <w:widowControl/>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（3）CA驱动下载：</w:t>
            </w:r>
          </w:p>
          <w:p w14:paraId="3A7EF4BD">
            <w:pPr>
              <w:widowControl/>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在“江苏省政府采购（苏采云）平台”账号登录页面，点击“驱动下载”链接中的“政务CA、方正签章控件驱动安装包及安装说明”可以直接下载驱动安装包，安装包中附有驱动安装手册。</w:t>
            </w:r>
          </w:p>
          <w:p w14:paraId="0FD77DD6">
            <w:pPr>
              <w:widowControl/>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技术服务电话：0510-81827781（服务时间：工作日 9:00-11:30，13:00-17:00）</w:t>
            </w:r>
          </w:p>
          <w:p w14:paraId="4DC8C208">
            <w:pPr>
              <w:widowControl/>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2.完成苏采云注册的供应商方可在苏采云中进行CA绑定。登录“江苏省政府采购（苏采云）平台”，插入CA后，点击【账号设置】——【绑定CA】。</w:t>
            </w:r>
          </w:p>
          <w:p w14:paraId="5DB58DAF">
            <w:pPr>
              <w:widowControl/>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3.供应商应按上述要求提供相关材料及注册登记信息，所提供的材料应均是真实的、准确的，若有违背，供应商自行承担由此而产生的一切后果。</w:t>
            </w:r>
          </w:p>
          <w:p w14:paraId="0DBAED27">
            <w:pPr>
              <w:widowControl/>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如供应商未按上述要求操作，由此所产生的损失及风险由供应商自行承担。具体操作步骤详见《“苏采云”系统供应商操作手册》（以下简称《操作手册》），下载地址：苏采云——“苏采云”系统供应商操作手册。</w:t>
            </w:r>
          </w:p>
          <w:p w14:paraId="0C8D2C7A">
            <w:pPr>
              <w:widowControl/>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技术支持QQ：田女士：3071474382；王先生：897651173。</w:t>
            </w:r>
          </w:p>
          <w:p w14:paraId="78D8AD24">
            <w:pPr>
              <w:widowControl/>
              <w:spacing w:line="360" w:lineRule="auto"/>
              <w:ind w:firstLine="480"/>
              <w:jc w:val="left"/>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有关本次采购的事项若存在变动或修改，敬请及时关注</w:t>
            </w:r>
            <w:r>
              <w:rPr>
                <w:rFonts w:hint="eastAsia" w:ascii="宋体" w:hAnsi="宋体" w:eastAsia="宋体" w:cs="宋体"/>
                <w:color w:val="auto"/>
                <w:sz w:val="24"/>
                <w:highlight w:val="none"/>
                <w:lang w:eastAsia="zh-CN"/>
              </w:rPr>
              <w:t>捷宏润安工程顾问 (江苏) 有限公司</w:t>
            </w:r>
            <w:r>
              <w:rPr>
                <w:rFonts w:hint="eastAsia" w:ascii="宋体" w:hAnsi="宋体" w:eastAsia="宋体" w:cs="宋体"/>
                <w:color w:val="auto"/>
                <w:sz w:val="24"/>
                <w:highlight w:val="none"/>
              </w:rPr>
              <w:t>在“江苏政府采购网”发布的更正公告。</w:t>
            </w:r>
          </w:p>
          <w:p w14:paraId="4FEC4E5A">
            <w:pPr>
              <w:widowControl/>
              <w:spacing w:line="360" w:lineRule="auto"/>
              <w:ind w:firstLine="480"/>
              <w:jc w:val="left"/>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线上不见面开标</w:t>
            </w:r>
          </w:p>
          <w:p w14:paraId="3CBA145E">
            <w:pPr>
              <w:widowControl/>
              <w:spacing w:line="360" w:lineRule="auto"/>
              <w:ind w:firstLine="480"/>
              <w:jc w:val="left"/>
              <w:rPr>
                <w:rFonts w:hint="eastAsia" w:ascii="宋体" w:hAnsi="宋体" w:eastAsia="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本项目进行线上不见面开标活动，供应商应在开标前登录谷歌浏览器进入不见面大厅，并准备好耳麦和摄像设备，在规定时间内登录苏采云网上开标大厅，等待开标流程进入“解锁环境”，点击“点击立即解密”进行标书解密，解密完成后及时关注开标大厅，在评标过程中保持在线，等待后续多次报价、答疑澄清、评标委员会的询标和评标结果等提示，中途不得离开。供应商如未按要求应答，由此所产生的损失及风险由供应商自行承担。具体操作流程详见《“苏采云”系统供应商操作手册》。因供应商网络与电源不稳定、未按要求配置上述设备、上述设备发生故障等自身原因，导致开标评标失败，供应商自行承担后果。</w:t>
            </w:r>
          </w:p>
          <w:p w14:paraId="623E7F6F">
            <w:pPr>
              <w:widowControl/>
              <w:spacing w:line="360" w:lineRule="auto"/>
              <w:ind w:firstLine="480"/>
              <w:jc w:val="left"/>
              <w:rPr>
                <w:rFonts w:hint="eastAsia" w:ascii="宋体" w:hAnsi="宋体" w:eastAsia="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.若资格审查中或评审过程中，采购人/代理机构/评标委员会对响应文件存在疑问，供应商被授权代表须在接到在线询标函后15分钟内，在开标界面在线以澄清函回复并加盖公章或签电子公章；若供应</w:t>
            </w:r>
            <w:bookmarkStart w:id="203" w:name="_GoBack"/>
            <w:bookmarkEnd w:id="203"/>
            <w:r>
              <w:rPr>
                <w:rFonts w:hint="eastAsia" w:ascii="宋体" w:hAnsi="宋体" w:eastAsia="宋体" w:cs="宋体"/>
                <w:color w:val="auto"/>
                <w:sz w:val="24"/>
                <w:highlight w:val="none"/>
              </w:rPr>
              <w:t>商被授权代表未在规定时间内按上述要求作出回复，则视为供应商默认资审结果或评审结果</w:t>
            </w:r>
          </w:p>
        </w:tc>
      </w:tr>
      <w:tr w14:paraId="4509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6" w:hRule="atLeast"/>
          <w:jc w:val="center"/>
        </w:trPr>
        <w:tc>
          <w:tcPr>
            <w:tcW w:w="436" w:type="pct"/>
            <w:noWrap w:val="0"/>
            <w:vAlign w:val="center"/>
          </w:tcPr>
          <w:p w14:paraId="32DD00A4">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4563" w:type="pct"/>
            <w:noWrap w:val="0"/>
            <w:vAlign w:val="center"/>
          </w:tcPr>
          <w:p w14:paraId="108CECBE">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采购人：江苏省梅村高级中学</w:t>
            </w:r>
          </w:p>
          <w:p w14:paraId="4AE023BD">
            <w:pPr>
              <w:spacing w:line="440" w:lineRule="exac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lang w:eastAsia="zh-CN"/>
              </w:rPr>
              <w:t>江老师</w:t>
            </w:r>
          </w:p>
          <w:p w14:paraId="7138A96C">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联系电话：0510-81859746</w:t>
            </w:r>
          </w:p>
          <w:p w14:paraId="4B04CF2D">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联系地址：无锡市新吴区梅村街道梅育路63号</w:t>
            </w:r>
          </w:p>
          <w:p w14:paraId="39239327">
            <w:pPr>
              <w:spacing w:line="440" w:lineRule="exac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采购代理机构：</w:t>
            </w:r>
            <w:r>
              <w:rPr>
                <w:rFonts w:hint="eastAsia" w:ascii="宋体" w:hAnsi="宋体" w:cs="宋体"/>
                <w:color w:val="auto"/>
                <w:sz w:val="24"/>
                <w:highlight w:val="none"/>
                <w:lang w:eastAsia="zh-CN"/>
              </w:rPr>
              <w:t>江苏新鑫工程咨询有限公司</w:t>
            </w:r>
          </w:p>
          <w:p w14:paraId="0937B736">
            <w:pPr>
              <w:spacing w:line="44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联系人：</w:t>
            </w:r>
            <w:r>
              <w:rPr>
                <w:rFonts w:hint="eastAsia" w:ascii="宋体" w:hAnsi="宋体" w:cs="宋体"/>
                <w:color w:val="auto"/>
                <w:sz w:val="24"/>
                <w:highlight w:val="none"/>
                <w:lang w:val="en-US" w:eastAsia="zh-CN"/>
              </w:rPr>
              <w:t>朱丽娟</w:t>
            </w:r>
          </w:p>
          <w:p w14:paraId="4943EA8E">
            <w:pPr>
              <w:spacing w:line="440" w:lineRule="exac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lang w:eastAsia="zh-CN"/>
              </w:rPr>
              <w:t>0510-</w:t>
            </w:r>
            <w:r>
              <w:rPr>
                <w:rFonts w:hint="eastAsia" w:ascii="宋体" w:hAnsi="宋体" w:cs="宋体"/>
                <w:color w:val="auto"/>
                <w:sz w:val="24"/>
                <w:highlight w:val="none"/>
                <w:lang w:val="en-US" w:eastAsia="zh-CN"/>
              </w:rPr>
              <w:t>81192483、13961876020</w:t>
            </w:r>
          </w:p>
          <w:p w14:paraId="3EFA4BE9">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电子邮件地址：</w:t>
            </w:r>
            <w:r>
              <w:rPr>
                <w:rFonts w:hint="eastAsia" w:ascii="宋体" w:hAnsi="宋体" w:eastAsia="宋体" w:cs="宋体"/>
                <w:kern w:val="0"/>
                <w:sz w:val="24"/>
                <w:szCs w:val="24"/>
                <w:highlight w:val="none"/>
              </w:rPr>
              <w:t>jsxxzbb@163.com</w:t>
            </w:r>
          </w:p>
          <w:p w14:paraId="673F9531">
            <w:pPr>
              <w:spacing w:line="440" w:lineRule="exac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联系地址：</w:t>
            </w:r>
            <w:r>
              <w:rPr>
                <w:rFonts w:hint="eastAsia" w:ascii="宋体" w:hAnsi="宋体" w:cs="宋体"/>
                <w:color w:val="auto"/>
                <w:sz w:val="24"/>
                <w:highlight w:val="none"/>
                <w:lang w:eastAsia="zh-CN"/>
              </w:rPr>
              <w:t>无锡市新吴区珠江路16号A栋3楼</w:t>
            </w:r>
          </w:p>
          <w:p w14:paraId="7F995750">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邮政编码：214000</w:t>
            </w:r>
          </w:p>
          <w:p w14:paraId="54F2D1EC">
            <w:pPr>
              <w:spacing w:line="440" w:lineRule="exact"/>
              <w:rPr>
                <w:rFonts w:hint="eastAsia" w:ascii="宋体" w:hAnsi="宋体" w:eastAsia="宋体" w:cs="宋体"/>
                <w:color w:val="auto"/>
                <w:highlight w:val="none"/>
              </w:rPr>
            </w:pPr>
            <w:r>
              <w:rPr>
                <w:rFonts w:hint="eastAsia" w:ascii="宋体" w:hAnsi="宋体" w:eastAsia="宋体" w:cs="宋体"/>
                <w:color w:val="auto"/>
                <w:sz w:val="24"/>
                <w:highlight w:val="none"/>
              </w:rPr>
              <w:t>有关本次采购活动程序方面的问题，可来人、来函（传真）或电话联系。</w:t>
            </w:r>
          </w:p>
        </w:tc>
      </w:tr>
    </w:tbl>
    <w:p w14:paraId="4C585318">
      <w:pPr>
        <w:pStyle w:val="6"/>
        <w:numPr>
          <w:ilvl w:val="4"/>
          <w:numId w:val="0"/>
        </w:numPr>
        <w:rPr>
          <w:rFonts w:hint="eastAsia" w:ascii="宋体" w:hAnsi="宋体" w:eastAsia="宋体" w:cs="宋体"/>
          <w:color w:val="auto"/>
          <w:highlight w:val="none"/>
        </w:rPr>
      </w:pPr>
    </w:p>
    <w:p w14:paraId="58108778">
      <w:pPr>
        <w:pageBreakBefore/>
        <w:spacing w:line="490" w:lineRule="exact"/>
        <w:jc w:val="center"/>
        <w:rPr>
          <w:rFonts w:hint="eastAsia" w:ascii="宋体" w:hAnsi="宋体" w:eastAsia="宋体" w:cs="宋体"/>
          <w:color w:val="auto"/>
          <w:sz w:val="30"/>
          <w:szCs w:val="30"/>
          <w:highlight w:val="none"/>
        </w:rPr>
      </w:pPr>
      <w:r>
        <w:rPr>
          <w:rFonts w:hint="eastAsia" w:ascii="宋体" w:hAnsi="宋体" w:eastAsia="宋体" w:cs="宋体"/>
          <w:color w:val="auto"/>
          <w:sz w:val="28"/>
          <w:szCs w:val="28"/>
          <w:highlight w:val="none"/>
        </w:rPr>
        <w:t>二、报价供应商须知</w:t>
      </w:r>
    </w:p>
    <w:p w14:paraId="586EE686">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bookmarkStart w:id="0" w:name="三．项目技术配置和有关说明"/>
      <w:bookmarkEnd w:id="0"/>
      <w:bookmarkStart w:id="1" w:name="四．合同书"/>
      <w:bookmarkEnd w:id="1"/>
      <w:r>
        <w:rPr>
          <w:rFonts w:hint="eastAsia" w:ascii="宋体" w:hAnsi="宋体" w:eastAsia="宋体" w:cs="宋体"/>
          <w:color w:val="auto"/>
          <w:sz w:val="24"/>
          <w:szCs w:val="24"/>
          <w:highlight w:val="none"/>
        </w:rPr>
        <w:t>（一）遵循原则：</w:t>
      </w:r>
    </w:p>
    <w:p w14:paraId="6FF906A7">
      <w:pPr>
        <w:keepNext w:val="0"/>
        <w:keepLines w:val="0"/>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公开透明原则、公平竞争原则、公正原则和诚实信用原则。</w:t>
      </w:r>
    </w:p>
    <w:p w14:paraId="581ED39C">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（二）磋商文件：</w:t>
      </w:r>
    </w:p>
    <w:p w14:paraId="56E2E935">
      <w:pPr>
        <w:keepNext w:val="0"/>
        <w:keepLines w:val="0"/>
        <w:pageBreakBefore w:val="0"/>
        <w:numPr>
          <w:ilvl w:val="0"/>
          <w:numId w:val="5"/>
        </w:numPr>
        <w:tabs>
          <w:tab w:val="left" w:pos="-1260"/>
          <w:tab w:val="left" w:pos="525"/>
          <w:tab w:val="left" w:pos="1050"/>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磋商文件包括本文件目录所列全部内容，报价供应商应仔细阅读，并在响应文件中充分响应磋商文件的所有要求。</w:t>
      </w:r>
    </w:p>
    <w:p w14:paraId="370CCFA6">
      <w:pPr>
        <w:keepNext w:val="0"/>
        <w:keepLines w:val="0"/>
        <w:pageBreakBefore w:val="0"/>
        <w:numPr>
          <w:ilvl w:val="0"/>
          <w:numId w:val="5"/>
        </w:numPr>
        <w:tabs>
          <w:tab w:val="left" w:pos="0"/>
          <w:tab w:val="left" w:pos="525"/>
          <w:tab w:val="left" w:pos="1050"/>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报价供应商应在</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"http://cz.wuxi.gov.cn/ztzl/zfcg/index.shtml" \o "http://cz.wuxi.gov.cn/ztzl/zfcg/index.shtml"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江苏政府采购网（http://www.ccgp-jiangsu.gov.cn//）</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登录“苏采云”系统（</w:t>
      </w:r>
      <w:r>
        <w:rPr>
          <w:rFonts w:hint="eastAsia" w:ascii="宋体" w:hAnsi="宋体" w:eastAsia="宋体" w:cs="宋体"/>
          <w:color w:val="auto"/>
          <w:sz w:val="24"/>
          <w:szCs w:val="24"/>
          <w:highlight w:val="none"/>
          <w:lang w:eastAsia="zh-CN"/>
        </w:rPr>
        <w:t>http://www.ccgp-jiangsu.gov.cn/</w:t>
      </w:r>
      <w:r>
        <w:rPr>
          <w:rFonts w:hint="eastAsia" w:ascii="宋体" w:hAnsi="宋体" w:eastAsia="宋体" w:cs="宋体"/>
          <w:color w:val="auto"/>
          <w:sz w:val="24"/>
          <w:szCs w:val="24"/>
          <w:highlight w:val="none"/>
        </w:rPr>
        <w:t>）下载</w:t>
      </w:r>
      <w:r>
        <w:rPr>
          <w:rFonts w:hint="eastAsia" w:ascii="宋体" w:hAnsi="宋体" w:cs="宋体"/>
          <w:color w:val="auto"/>
          <w:sz w:val="24"/>
          <w:szCs w:val="24"/>
          <w:highlight w:val="none"/>
          <w:lang w:eastAsia="zh-CN"/>
        </w:rPr>
        <w:t>磋商文件</w:t>
      </w:r>
      <w:r>
        <w:rPr>
          <w:rFonts w:hint="eastAsia" w:ascii="宋体" w:hAnsi="宋体" w:eastAsia="宋体" w:cs="宋体"/>
          <w:color w:val="auto"/>
          <w:sz w:val="24"/>
          <w:szCs w:val="24"/>
          <w:highlight w:val="none"/>
        </w:rPr>
        <w:t>及有关资料，按要求制作、上传响应文件，对</w:t>
      </w:r>
      <w:r>
        <w:rPr>
          <w:rFonts w:hint="eastAsia" w:ascii="宋体" w:hAnsi="宋体" w:cs="宋体"/>
          <w:color w:val="auto"/>
          <w:sz w:val="24"/>
          <w:szCs w:val="24"/>
          <w:highlight w:val="none"/>
          <w:lang w:eastAsia="zh-CN"/>
        </w:rPr>
        <w:t>磋商文件</w:t>
      </w:r>
      <w:r>
        <w:rPr>
          <w:rFonts w:hint="eastAsia" w:ascii="宋体" w:hAnsi="宋体" w:eastAsia="宋体" w:cs="宋体"/>
          <w:color w:val="auto"/>
          <w:sz w:val="24"/>
          <w:szCs w:val="24"/>
          <w:highlight w:val="none"/>
        </w:rPr>
        <w:t>各项内容做出实质性响应，否则投标无效。</w:t>
      </w:r>
    </w:p>
    <w:p w14:paraId="72528158">
      <w:pPr>
        <w:keepNext w:val="0"/>
        <w:keepLines w:val="0"/>
        <w:pageBreakBefore w:val="0"/>
        <w:numPr>
          <w:ilvl w:val="0"/>
          <w:numId w:val="5"/>
        </w:numPr>
        <w:tabs>
          <w:tab w:val="left" w:pos="0"/>
          <w:tab w:val="left" w:pos="525"/>
          <w:tab w:val="left" w:pos="1050"/>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w:t>
      </w:r>
      <w:r>
        <w:rPr>
          <w:rFonts w:hint="eastAsia" w:hAnsi="宋体" w:cs="宋体"/>
          <w:bCs/>
          <w:color w:val="auto"/>
          <w:sz w:val="24"/>
          <w:highlight w:val="none"/>
        </w:rPr>
        <w:t>中的“法定代表人”是指报价供应商的营业执照的“法定代表人”或相关部门的登记证明文件中的“负责人”</w:t>
      </w:r>
      <w:r>
        <w:rPr>
          <w:rFonts w:hint="eastAsia" w:hAnsi="宋体" w:cs="宋体"/>
          <w:bCs/>
          <w:color w:val="auto"/>
          <w:sz w:val="24"/>
          <w:highlight w:val="none"/>
          <w:lang w:eastAsia="zh-CN"/>
        </w:rPr>
        <w:t>。</w:t>
      </w:r>
    </w:p>
    <w:p w14:paraId="0EA9E7C1">
      <w:pPr>
        <w:keepNext w:val="0"/>
        <w:keepLines w:val="0"/>
        <w:pageBreakBefore w:val="0"/>
        <w:numPr>
          <w:ilvl w:val="0"/>
          <w:numId w:val="5"/>
        </w:numPr>
        <w:tabs>
          <w:tab w:val="left" w:pos="0"/>
          <w:tab w:val="left" w:pos="525"/>
          <w:tab w:val="left" w:pos="1050"/>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报价供应商一旦参加本项目报价，即表明承诺接受了本磋商文件中的所有条件和规定。</w:t>
      </w:r>
    </w:p>
    <w:p w14:paraId="13EBA7B7">
      <w:pPr>
        <w:keepNext w:val="0"/>
        <w:keepLines w:val="0"/>
        <w:pageBreakBefore w:val="0"/>
        <w:numPr>
          <w:ilvl w:val="0"/>
          <w:numId w:val="5"/>
        </w:numPr>
        <w:tabs>
          <w:tab w:val="left" w:pos="0"/>
          <w:tab w:val="left" w:pos="525"/>
          <w:tab w:val="left" w:pos="1050"/>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磋商文件仅作为本次招投标使用。</w:t>
      </w:r>
    </w:p>
    <w:p w14:paraId="12087F8F">
      <w:pPr>
        <w:keepNext w:val="0"/>
        <w:keepLines w:val="0"/>
        <w:pageBreakBefore w:val="0"/>
        <w:tabs>
          <w:tab w:val="left" w:pos="630"/>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（三）磋商文件的解释：</w:t>
      </w:r>
    </w:p>
    <w:p w14:paraId="13213242">
      <w:pPr>
        <w:keepNext w:val="0"/>
        <w:keepLines w:val="0"/>
        <w:pageBreakBefore w:val="0"/>
        <w:numPr>
          <w:ilvl w:val="2"/>
          <w:numId w:val="6"/>
        </w:numPr>
        <w:tabs>
          <w:tab w:val="left" w:pos="525"/>
          <w:tab w:val="left" w:pos="1050"/>
          <w:tab w:val="clear" w:pos="1740"/>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报价供应商如需要对磋商文件要求澄清的问题，请以书面提出，并按“磋商邀请函”第7项规定的时间将电子邮件及书面文件形式（两种形式）送至</w:t>
      </w:r>
      <w:r>
        <w:rPr>
          <w:rFonts w:hint="eastAsia" w:ascii="宋体" w:hAnsi="宋体" w:cs="宋体"/>
          <w:color w:val="auto"/>
          <w:sz w:val="24"/>
          <w:szCs w:val="24"/>
          <w:highlight w:val="none"/>
          <w:lang w:eastAsia="zh-CN"/>
        </w:rPr>
        <w:t>江苏新鑫工程咨询有限公司</w:t>
      </w:r>
      <w:r>
        <w:rPr>
          <w:rFonts w:hint="eastAsia" w:hAnsi="宋体" w:cs="宋体"/>
          <w:bCs/>
          <w:color w:val="auto"/>
          <w:sz w:val="24"/>
          <w:highlight w:val="none"/>
        </w:rPr>
        <w:t>，联系方式详见“</w:t>
      </w:r>
      <w:r>
        <w:rPr>
          <w:rFonts w:hint="eastAsia" w:hAnsi="宋体" w:cs="宋体"/>
          <w:bCs/>
          <w:color w:val="auto"/>
          <w:sz w:val="24"/>
          <w:highlight w:val="none"/>
          <w:lang w:val="en-US" w:eastAsia="zh-CN"/>
        </w:rPr>
        <w:t>磋商</w:t>
      </w:r>
      <w:r>
        <w:rPr>
          <w:rFonts w:hint="eastAsia" w:hAnsi="宋体" w:cs="宋体"/>
          <w:bCs/>
          <w:color w:val="auto"/>
          <w:sz w:val="24"/>
          <w:highlight w:val="none"/>
        </w:rPr>
        <w:t>邀请</w:t>
      </w:r>
      <w:r>
        <w:rPr>
          <w:rFonts w:hint="eastAsia" w:hAnsi="宋体" w:cs="宋体"/>
          <w:bCs/>
          <w:color w:val="auto"/>
          <w:sz w:val="24"/>
          <w:highlight w:val="none"/>
          <w:lang w:val="en-US" w:eastAsia="zh-CN"/>
        </w:rPr>
        <w:t>函</w:t>
      </w:r>
      <w:r>
        <w:rPr>
          <w:rFonts w:hint="eastAsia" w:hAnsi="宋体" w:cs="宋体"/>
          <w:bCs/>
          <w:color w:val="auto"/>
          <w:sz w:val="24"/>
          <w:highlight w:val="none"/>
        </w:rPr>
        <w:t>”</w:t>
      </w:r>
      <w:r>
        <w:rPr>
          <w:rFonts w:hint="eastAsia" w:ascii="宋体" w:hAnsi="宋体" w:eastAsia="宋体" w:cs="宋体"/>
          <w:color w:val="auto"/>
          <w:sz w:val="24"/>
          <w:szCs w:val="24"/>
          <w:highlight w:val="none"/>
        </w:rPr>
        <w:t>。</w:t>
      </w:r>
    </w:p>
    <w:p w14:paraId="3014D296">
      <w:pPr>
        <w:keepNext w:val="0"/>
        <w:keepLines w:val="0"/>
        <w:pageBreakBefore w:val="0"/>
        <w:numPr>
          <w:ilvl w:val="2"/>
          <w:numId w:val="6"/>
        </w:numPr>
        <w:tabs>
          <w:tab w:val="left" w:pos="525"/>
          <w:tab w:val="left" w:pos="1050"/>
          <w:tab w:val="clear" w:pos="1740"/>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cs="宋体"/>
          <w:color w:val="auto"/>
          <w:sz w:val="24"/>
          <w:szCs w:val="24"/>
          <w:highlight w:val="none"/>
          <w:lang w:eastAsia="zh-CN"/>
        </w:rPr>
        <w:t>江苏新鑫工程咨询有限公司</w:t>
      </w:r>
      <w:r>
        <w:rPr>
          <w:rFonts w:hint="eastAsia" w:ascii="宋体" w:hAnsi="宋体" w:eastAsia="宋体" w:cs="宋体"/>
          <w:color w:val="auto"/>
          <w:sz w:val="24"/>
          <w:szCs w:val="24"/>
          <w:highlight w:val="none"/>
        </w:rPr>
        <w:t>将按照“磋商邀请函”第7项规定的时间对报价供应商针对磋商文件书面提出的要求澄清的问题进行书面答疑。</w:t>
      </w:r>
    </w:p>
    <w:p w14:paraId="43765C74">
      <w:pPr>
        <w:keepNext w:val="0"/>
        <w:keepLines w:val="0"/>
        <w:pageBreakBefore w:val="0"/>
        <w:numPr>
          <w:ilvl w:val="2"/>
          <w:numId w:val="6"/>
        </w:numPr>
        <w:tabs>
          <w:tab w:val="left" w:pos="525"/>
          <w:tab w:val="left" w:pos="1050"/>
          <w:tab w:val="clear" w:pos="1740"/>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本文件的最终解释权归采购人。</w:t>
      </w:r>
    </w:p>
    <w:p w14:paraId="6CC4E701">
      <w:pPr>
        <w:keepNext w:val="0"/>
        <w:keepLines w:val="0"/>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（四）磋商文件的补充或修正：</w:t>
      </w:r>
    </w:p>
    <w:p w14:paraId="6F611544">
      <w:pPr>
        <w:keepNext w:val="0"/>
        <w:keepLines w:val="0"/>
        <w:pageBreakBefore w:val="0"/>
        <w:numPr>
          <w:ilvl w:val="0"/>
          <w:numId w:val="7"/>
        </w:numPr>
        <w:tabs>
          <w:tab w:val="left" w:pos="525"/>
          <w:tab w:val="left" w:pos="1050"/>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采购人或者采购代理机构可以对已发出的磋商文件进行必要的澄清或者修改，</w:t>
      </w:r>
      <w:r>
        <w:rPr>
          <w:rFonts w:hint="eastAsia" w:ascii="宋体" w:hAnsi="宋体" w:eastAsia="宋体" w:cs="宋体"/>
          <w:color w:val="auto"/>
          <w:sz w:val="24"/>
          <w:szCs w:val="24"/>
          <w:highlight w:val="none"/>
          <w:shd w:val="clear" w:color="auto" w:fill="FFFFFF"/>
        </w:rPr>
        <w:t>但不得改变采购标的和资格条件。</w:t>
      </w:r>
      <w:r>
        <w:rPr>
          <w:rFonts w:hint="eastAsia" w:ascii="宋体" w:hAnsi="宋体" w:eastAsia="宋体" w:cs="宋体"/>
          <w:color w:val="auto"/>
          <w:sz w:val="24"/>
          <w:szCs w:val="24"/>
          <w:highlight w:val="none"/>
        </w:rPr>
        <w:t>如需对磋商文件进行澄清或修正，</w:t>
      </w:r>
      <w:r>
        <w:rPr>
          <w:rFonts w:hint="eastAsia" w:ascii="宋体" w:hAnsi="宋体" w:cs="宋体"/>
          <w:color w:val="auto"/>
          <w:sz w:val="24"/>
          <w:szCs w:val="24"/>
          <w:highlight w:val="none"/>
          <w:lang w:eastAsia="zh-CN"/>
        </w:rPr>
        <w:t>江苏新鑫工程咨询有限公司</w:t>
      </w:r>
      <w:r>
        <w:rPr>
          <w:rFonts w:hint="eastAsia" w:ascii="宋体" w:hAnsi="宋体" w:eastAsia="宋体" w:cs="宋体"/>
          <w:color w:val="auto"/>
          <w:sz w:val="24"/>
          <w:szCs w:val="24"/>
          <w:highlight w:val="none"/>
        </w:rPr>
        <w:t>将在财政部门指定的政府采购信息发布媒体上（江苏政府采购网）发布更正公告并书面通知已报价单位，该澄清或修正的内容为磋商文件的组成部分。报价供应商应在磋商截止时间前关注原磋商公告媒体上发布的相关更正公告。请磋商文件的收受人下载此更正公告后，于磋商截止日前书面回函（传真件）</w:t>
      </w:r>
      <w:r>
        <w:rPr>
          <w:rFonts w:hint="eastAsia" w:ascii="宋体" w:hAnsi="宋体" w:cs="宋体"/>
          <w:color w:val="auto"/>
          <w:sz w:val="24"/>
          <w:szCs w:val="24"/>
          <w:highlight w:val="none"/>
          <w:lang w:eastAsia="zh-CN"/>
        </w:rPr>
        <w:t>江苏新鑫工程咨询有限公司</w:t>
      </w:r>
      <w:r>
        <w:rPr>
          <w:rFonts w:hint="eastAsia" w:ascii="宋体" w:hAnsi="宋体" w:eastAsia="宋体" w:cs="宋体"/>
          <w:color w:val="auto"/>
          <w:sz w:val="24"/>
          <w:szCs w:val="24"/>
          <w:highlight w:val="none"/>
        </w:rPr>
        <w:t>，逾期不回视同收到此公告。澄清或者修改的内容为磋商文件的组成部分。</w:t>
      </w:r>
    </w:p>
    <w:p w14:paraId="11CE9772">
      <w:pPr>
        <w:keepNext w:val="0"/>
        <w:keepLines w:val="0"/>
        <w:pageBreakBefore w:val="0"/>
        <w:tabs>
          <w:tab w:val="left" w:pos="525"/>
          <w:tab w:val="left" w:pos="94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bCs/>
          <w:color w:val="auto"/>
          <w:sz w:val="24"/>
          <w:highlight w:val="none"/>
        </w:rPr>
        <w:t>澄清或者修改的内容可能影响响应文件编制的，采购人或者采购代理机构将在提交响应文件截止时间至少5日前，以书面形式通知所有获取磋商文件的潜在供应商；不足5日的，采购人或者采购代理机构将顺延提交响应文件的截止时间</w:t>
      </w:r>
      <w:r>
        <w:rPr>
          <w:rFonts w:hint="eastAsia" w:ascii="宋体" w:hAnsi="宋体" w:eastAsia="宋体" w:cs="宋体"/>
          <w:color w:val="auto"/>
          <w:sz w:val="24"/>
          <w:szCs w:val="24"/>
          <w:highlight w:val="none"/>
        </w:rPr>
        <w:t>。</w:t>
      </w:r>
    </w:p>
    <w:p w14:paraId="4943F1DB">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（五）响应文件的组成：相应内容上传至投标客户端。</w:t>
      </w:r>
    </w:p>
    <w:p w14:paraId="0DE14DB6">
      <w:pPr>
        <w:spacing w:line="360" w:lineRule="auto"/>
        <w:ind w:firstLine="482"/>
        <w:rPr>
          <w:rFonts w:ascii="宋体" w:hAnsi="宋体"/>
          <w:b/>
          <w:bCs/>
          <w:color w:val="000000"/>
          <w:sz w:val="24"/>
          <w:highlight w:val="none"/>
        </w:rPr>
      </w:pPr>
      <w:r>
        <w:rPr>
          <w:rFonts w:hint="eastAsia" w:ascii="宋体" w:hAnsi="宋体"/>
          <w:b/>
          <w:bCs/>
          <w:color w:val="000000"/>
          <w:sz w:val="24"/>
          <w:highlight w:val="none"/>
        </w:rPr>
        <w:t>响应文件分为证明文件部分、响应函部分、报价部分、技术文件部分四部分。</w:t>
      </w:r>
    </w:p>
    <w:p w14:paraId="02D759D2">
      <w:pPr>
        <w:keepNext w:val="0"/>
        <w:keepLines w:val="0"/>
        <w:pageBreakBefore w:val="0"/>
        <w:spacing w:line="360" w:lineRule="auto"/>
        <w:ind w:left="0" w:firstLine="48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1、证明文件：</w:t>
      </w:r>
    </w:p>
    <w:p w14:paraId="0D5909D0">
      <w:pPr>
        <w:keepNext w:val="0"/>
        <w:keepLines w:val="0"/>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第一部分：资格、资信证明文件</w:t>
      </w:r>
      <w:r>
        <w:rPr>
          <w:rFonts w:hint="eastAsia" w:ascii="宋体" w:hAnsi="宋体" w:eastAsia="宋体" w:cs="宋体"/>
          <w:bCs/>
          <w:color w:val="auto"/>
          <w:sz w:val="24"/>
          <w:highlight w:val="none"/>
        </w:rPr>
        <w:t>（</w:t>
      </w:r>
      <w:r>
        <w:rPr>
          <w:rFonts w:hint="eastAsia" w:ascii="宋体" w:hAnsi="宋体" w:eastAsia="宋体" w:cs="宋体"/>
          <w:b/>
          <w:bCs/>
          <w:color w:val="auto"/>
          <w:sz w:val="24"/>
          <w:highlight w:val="none"/>
        </w:rPr>
        <w:t>扫描后上传，身份证应为正、反面</w:t>
      </w:r>
      <w:r>
        <w:rPr>
          <w:rFonts w:hint="eastAsia" w:ascii="宋体" w:hAnsi="宋体" w:eastAsia="宋体" w:cs="宋体"/>
          <w:bCs/>
          <w:color w:val="auto"/>
          <w:sz w:val="24"/>
          <w:highlight w:val="none"/>
        </w:rPr>
        <w:t>）</w:t>
      </w:r>
    </w:p>
    <w:p w14:paraId="06BB9746">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highlight w:val="none"/>
        </w:rPr>
        <w:t>关于资格的声明函</w:t>
      </w:r>
      <w:r>
        <w:rPr>
          <w:rFonts w:hint="eastAsia" w:ascii="宋体" w:hAnsi="宋体" w:cs="宋体"/>
          <w:color w:val="auto"/>
          <w:sz w:val="24"/>
          <w:highlight w:val="none"/>
          <w:lang w:eastAsia="zh-CN"/>
        </w:rPr>
        <w:t>彩色扫描件</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格式见附件</w:t>
      </w:r>
      <w:r>
        <w:rPr>
          <w:rFonts w:hint="eastAsia" w:ascii="宋体" w:hAnsi="宋体" w:eastAsia="宋体" w:cs="宋体"/>
          <w:color w:val="auto"/>
          <w:sz w:val="24"/>
          <w:szCs w:val="24"/>
          <w:highlight w:val="none"/>
        </w:rPr>
        <w:t>）</w:t>
      </w:r>
    </w:p>
    <w:p w14:paraId="7ACC9A63">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w:t>
      </w:r>
      <w:r>
        <w:rPr>
          <w:rFonts w:hint="eastAsia" w:hAnsi="宋体" w:cs="宋体"/>
          <w:bCs/>
          <w:color w:val="auto"/>
          <w:sz w:val="24"/>
          <w:highlight w:val="none"/>
        </w:rPr>
        <w:t>具有独立承担民事责任能力的</w:t>
      </w:r>
      <w:r>
        <w:rPr>
          <w:rFonts w:hint="eastAsia" w:hAnsi="宋体" w:cs="宋体"/>
          <w:bCs/>
          <w:color w:val="auto"/>
          <w:sz w:val="24"/>
          <w:highlight w:val="none"/>
          <w:lang w:eastAsia="zh-CN"/>
        </w:rPr>
        <w:t>报价供应商</w:t>
      </w:r>
      <w:r>
        <w:rPr>
          <w:rFonts w:hint="eastAsia" w:hAnsi="宋体" w:cs="宋体"/>
          <w:bCs/>
          <w:color w:val="auto"/>
          <w:sz w:val="24"/>
          <w:highlight w:val="none"/>
        </w:rPr>
        <w:t>营业执照或相关部门登记证书；</w:t>
      </w:r>
      <w:r>
        <w:rPr>
          <w:rFonts w:hint="eastAsia" w:hAnsi="宋体" w:cs="宋体"/>
          <w:b/>
          <w:bCs w:val="0"/>
          <w:color w:val="auto"/>
          <w:sz w:val="24"/>
          <w:highlight w:val="none"/>
        </w:rPr>
        <w:t>（</w:t>
      </w:r>
      <w:r>
        <w:rPr>
          <w:rFonts w:hint="eastAsia" w:hAnsi="宋体" w:cs="宋体"/>
          <w:b/>
          <w:bCs w:val="0"/>
          <w:color w:val="auto"/>
          <w:sz w:val="24"/>
          <w:highlight w:val="none"/>
          <w:lang w:eastAsia="zh-CN"/>
        </w:rPr>
        <w:t>彩色扫描件</w:t>
      </w:r>
      <w:r>
        <w:rPr>
          <w:rFonts w:hint="eastAsia" w:hAnsi="宋体" w:cs="宋体"/>
          <w:b/>
          <w:bCs w:val="0"/>
          <w:color w:val="auto"/>
          <w:sz w:val="24"/>
          <w:highlight w:val="none"/>
        </w:rPr>
        <w:t>上传投标系统）</w:t>
      </w:r>
      <w:r>
        <w:rPr>
          <w:rFonts w:hint="eastAsia" w:ascii="宋体" w:hAnsi="宋体" w:eastAsia="宋体" w:cs="宋体"/>
          <w:color w:val="auto"/>
          <w:sz w:val="24"/>
          <w:szCs w:val="24"/>
          <w:highlight w:val="none"/>
        </w:rPr>
        <w:t>；</w:t>
      </w:r>
    </w:p>
    <w:p w14:paraId="098DC76E">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3.报价</w:t>
      </w:r>
      <w:r>
        <w:rPr>
          <w:rFonts w:hint="eastAsia" w:ascii="宋体" w:hAnsi="宋体" w:eastAsia="宋体" w:cs="宋体"/>
          <w:color w:val="auto"/>
          <w:sz w:val="24"/>
          <w:highlight w:val="none"/>
        </w:rPr>
        <w:t>供应商具备有效期内的[建筑装修装饰工程专业承包二级]（含）以上资质证书</w:t>
      </w:r>
      <w:r>
        <w:rPr>
          <w:rFonts w:hint="eastAsia" w:hAnsi="宋体" w:cs="宋体"/>
          <w:b/>
          <w:bCs w:val="0"/>
          <w:color w:val="auto"/>
          <w:sz w:val="24"/>
          <w:highlight w:val="none"/>
        </w:rPr>
        <w:t>（</w:t>
      </w:r>
      <w:r>
        <w:rPr>
          <w:rFonts w:hint="eastAsia" w:hAnsi="宋体" w:cs="宋体"/>
          <w:b/>
          <w:bCs w:val="0"/>
          <w:color w:val="auto"/>
          <w:sz w:val="24"/>
          <w:highlight w:val="none"/>
          <w:lang w:eastAsia="zh-CN"/>
        </w:rPr>
        <w:t>彩色扫描件</w:t>
      </w:r>
      <w:r>
        <w:rPr>
          <w:rFonts w:hint="eastAsia" w:hAnsi="宋体" w:cs="宋体"/>
          <w:b/>
          <w:bCs w:val="0"/>
          <w:color w:val="auto"/>
          <w:sz w:val="24"/>
          <w:highlight w:val="none"/>
        </w:rPr>
        <w:t>上传投标系统）</w:t>
      </w:r>
      <w:r>
        <w:rPr>
          <w:rFonts w:hint="eastAsia" w:ascii="宋体" w:hAnsi="宋体" w:eastAsia="宋体" w:cs="宋体"/>
          <w:color w:val="auto"/>
          <w:sz w:val="24"/>
          <w:highlight w:val="none"/>
        </w:rPr>
        <w:t>；</w:t>
      </w:r>
    </w:p>
    <w:p w14:paraId="3AC6615B">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4.报价供应商具备有效期内的安全生产许可证</w:t>
      </w:r>
      <w:r>
        <w:rPr>
          <w:rFonts w:hint="eastAsia" w:hAnsi="宋体" w:cs="宋体"/>
          <w:b/>
          <w:bCs w:val="0"/>
          <w:color w:val="auto"/>
          <w:sz w:val="24"/>
          <w:highlight w:val="none"/>
        </w:rPr>
        <w:t>（</w:t>
      </w:r>
      <w:r>
        <w:rPr>
          <w:rFonts w:hint="eastAsia" w:hAnsi="宋体" w:cs="宋体"/>
          <w:b/>
          <w:bCs w:val="0"/>
          <w:color w:val="auto"/>
          <w:sz w:val="24"/>
          <w:highlight w:val="none"/>
          <w:lang w:eastAsia="zh-CN"/>
        </w:rPr>
        <w:t>彩色扫描件</w:t>
      </w:r>
      <w:r>
        <w:rPr>
          <w:rFonts w:hint="eastAsia" w:hAnsi="宋体" w:cs="宋体"/>
          <w:b/>
          <w:bCs w:val="0"/>
          <w:color w:val="auto"/>
          <w:sz w:val="24"/>
          <w:highlight w:val="none"/>
        </w:rPr>
        <w:t>上传投标系统）</w:t>
      </w:r>
      <w:r>
        <w:rPr>
          <w:rFonts w:hint="eastAsia" w:ascii="宋体" w:hAnsi="宋体" w:eastAsia="宋体" w:cs="宋体"/>
          <w:color w:val="auto"/>
          <w:sz w:val="24"/>
          <w:highlight w:val="none"/>
        </w:rPr>
        <w:t>；</w:t>
      </w:r>
    </w:p>
    <w:p w14:paraId="53A04E49">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5.项目负责人提供[建筑工程注册建造师二级]（含）以上资格证书和有效期内的《建筑施工企业项目负责人安全生产考核合格证书》（B证）证书</w:t>
      </w:r>
      <w:r>
        <w:rPr>
          <w:rFonts w:hint="eastAsia" w:ascii="宋体" w:hAnsi="宋体" w:cs="宋体"/>
          <w:color w:val="auto"/>
          <w:sz w:val="24"/>
          <w:highlight w:val="none"/>
          <w:lang w:eastAsia="zh-CN"/>
        </w:rPr>
        <w:t>彩色扫描件</w:t>
      </w:r>
      <w:r>
        <w:rPr>
          <w:rFonts w:hint="eastAsia" w:ascii="宋体" w:hAnsi="宋体" w:eastAsia="宋体" w:cs="宋体"/>
          <w:color w:val="auto"/>
          <w:sz w:val="24"/>
          <w:highlight w:val="none"/>
        </w:rPr>
        <w:t>（</w:t>
      </w:r>
      <w:r>
        <w:rPr>
          <w:rFonts w:hint="eastAsia" w:ascii="宋体" w:hAnsi="宋体" w:eastAsia="宋体" w:cs="宋体"/>
          <w:b/>
          <w:bCs/>
          <w:color w:val="auto"/>
          <w:sz w:val="24"/>
          <w:highlight w:val="none"/>
        </w:rPr>
        <w:t>带二维码的证书彩色打印件可做原件使用</w:t>
      </w:r>
      <w:r>
        <w:rPr>
          <w:rFonts w:hint="eastAsia" w:ascii="宋体" w:hAnsi="宋体" w:eastAsia="宋体" w:cs="宋体"/>
          <w:color w:val="auto"/>
          <w:sz w:val="24"/>
          <w:highlight w:val="none"/>
        </w:rPr>
        <w:t>）；</w:t>
      </w:r>
    </w:p>
    <w:p w14:paraId="43A00B0E">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6.报价供应商法定代表人授权委托书（</w:t>
      </w:r>
      <w:r>
        <w:rPr>
          <w:rFonts w:hint="eastAsia" w:ascii="宋体" w:hAnsi="宋体" w:eastAsia="宋体" w:cs="宋体"/>
          <w:b/>
          <w:bCs/>
          <w:color w:val="auto"/>
          <w:sz w:val="24"/>
          <w:szCs w:val="24"/>
          <w:highlight w:val="none"/>
        </w:rPr>
        <w:t>格式见附件，法定代表人亲自参加报价的除外</w:t>
      </w:r>
      <w:r>
        <w:rPr>
          <w:rFonts w:hint="eastAsia" w:ascii="宋体" w:hAnsi="宋体" w:cs="宋体"/>
          <w:b/>
          <w:bCs/>
          <w:color w:val="auto"/>
          <w:sz w:val="24"/>
          <w:szCs w:val="24"/>
          <w:highlight w:val="none"/>
          <w:lang w:eastAsia="zh-CN"/>
        </w:rPr>
        <w:t>，</w:t>
      </w:r>
      <w:r>
        <w:rPr>
          <w:rFonts w:hint="eastAsia" w:hAnsi="宋体" w:cs="宋体"/>
          <w:b/>
          <w:bCs w:val="0"/>
          <w:color w:val="auto"/>
          <w:sz w:val="24"/>
          <w:highlight w:val="none"/>
          <w:lang w:eastAsia="zh-CN"/>
        </w:rPr>
        <w:t>彩色扫描件</w:t>
      </w:r>
      <w:r>
        <w:rPr>
          <w:rFonts w:hint="eastAsia" w:hAnsi="宋体" w:cs="宋体"/>
          <w:b/>
          <w:bCs w:val="0"/>
          <w:color w:val="auto"/>
          <w:sz w:val="24"/>
          <w:highlight w:val="none"/>
        </w:rPr>
        <w:t>上传投标系统</w:t>
      </w:r>
      <w:r>
        <w:rPr>
          <w:rFonts w:hint="eastAsia" w:ascii="宋体" w:hAnsi="宋体" w:eastAsia="宋体" w:cs="宋体"/>
          <w:color w:val="auto"/>
          <w:sz w:val="24"/>
          <w:szCs w:val="24"/>
          <w:highlight w:val="none"/>
        </w:rPr>
        <w:t>）；</w:t>
      </w:r>
    </w:p>
    <w:p w14:paraId="48C91B3B">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7.报价供应商法定代表人身份证及法定代表人授权代表身份证</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法定代表人亲自参与投标的只需提供法定代表人身份证</w:t>
      </w:r>
      <w:r>
        <w:rPr>
          <w:rFonts w:hint="eastAsia" w:ascii="宋体" w:hAnsi="宋体" w:eastAsia="宋体" w:cs="宋体"/>
          <w:color w:val="auto"/>
          <w:sz w:val="24"/>
          <w:szCs w:val="24"/>
          <w:highlight w:val="none"/>
        </w:rPr>
        <w:t>；</w:t>
      </w:r>
      <w:r>
        <w:rPr>
          <w:rFonts w:hint="eastAsia" w:hAnsi="宋体" w:cs="宋体"/>
          <w:b/>
          <w:bCs w:val="0"/>
          <w:color w:val="auto"/>
          <w:sz w:val="24"/>
          <w:highlight w:val="none"/>
        </w:rPr>
        <w:t>（</w:t>
      </w:r>
      <w:r>
        <w:rPr>
          <w:rFonts w:hint="eastAsia" w:hAnsi="宋体" w:cs="宋体"/>
          <w:b/>
          <w:bCs w:val="0"/>
          <w:color w:val="auto"/>
          <w:sz w:val="24"/>
          <w:highlight w:val="none"/>
          <w:lang w:eastAsia="zh-CN"/>
        </w:rPr>
        <w:t>彩色扫描件</w:t>
      </w:r>
      <w:r>
        <w:rPr>
          <w:rFonts w:hint="eastAsia" w:hAnsi="宋体" w:cs="宋体"/>
          <w:b/>
          <w:bCs w:val="0"/>
          <w:color w:val="auto"/>
          <w:sz w:val="24"/>
          <w:highlight w:val="none"/>
        </w:rPr>
        <w:t>上传投标系统）</w:t>
      </w:r>
    </w:p>
    <w:p w14:paraId="1F7C2D5A">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8.报价供应商近</w:t>
      </w:r>
      <w:r>
        <w:rPr>
          <w:rFonts w:hint="eastAsia" w:ascii="宋体" w:hAnsi="宋体" w:cs="宋体"/>
          <w:color w:val="auto"/>
          <w:sz w:val="24"/>
          <w:szCs w:val="24"/>
          <w:highlight w:val="none"/>
          <w:lang w:val="en-US" w:eastAsia="zh-CN"/>
        </w:rPr>
        <w:t>一年</w:t>
      </w:r>
      <w:r>
        <w:rPr>
          <w:rFonts w:hint="eastAsia" w:ascii="宋体" w:hAnsi="宋体" w:eastAsia="宋体" w:cs="宋体"/>
          <w:color w:val="auto"/>
          <w:sz w:val="24"/>
          <w:szCs w:val="24"/>
          <w:highlight w:val="none"/>
        </w:rPr>
        <w:t>中任意一个月份（不含</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当月）的财务状况报告（资产负债表和利润表）或由会计师事务所出具的202</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年度</w:t>
      </w:r>
      <w:r>
        <w:rPr>
          <w:rFonts w:hint="eastAsia" w:ascii="宋体" w:hAnsi="宋体" w:eastAsia="宋体" w:cs="宋体"/>
          <w:color w:val="auto"/>
          <w:sz w:val="24"/>
          <w:szCs w:val="24"/>
          <w:highlight w:val="none"/>
          <w:lang w:val="en-US" w:eastAsia="zh-CN"/>
        </w:rPr>
        <w:t>或202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年度</w:t>
      </w:r>
      <w:r>
        <w:rPr>
          <w:rFonts w:hint="eastAsia" w:ascii="宋体" w:hAnsi="宋体" w:eastAsia="宋体" w:cs="宋体"/>
          <w:color w:val="auto"/>
          <w:sz w:val="24"/>
          <w:szCs w:val="24"/>
          <w:highlight w:val="none"/>
        </w:rPr>
        <w:t>审计报告和所附已审财务报告；</w:t>
      </w:r>
      <w:r>
        <w:rPr>
          <w:rFonts w:hint="eastAsia" w:hAnsi="宋体" w:cs="宋体"/>
          <w:b/>
          <w:bCs w:val="0"/>
          <w:color w:val="auto"/>
          <w:sz w:val="24"/>
          <w:highlight w:val="none"/>
        </w:rPr>
        <w:t>（</w:t>
      </w:r>
      <w:r>
        <w:rPr>
          <w:rFonts w:hint="eastAsia" w:hAnsi="宋体" w:cs="宋体"/>
          <w:b/>
          <w:bCs w:val="0"/>
          <w:color w:val="auto"/>
          <w:sz w:val="24"/>
          <w:highlight w:val="none"/>
          <w:lang w:eastAsia="zh-CN"/>
        </w:rPr>
        <w:t>彩色扫描件</w:t>
      </w:r>
      <w:r>
        <w:rPr>
          <w:rFonts w:hint="eastAsia" w:hAnsi="宋体" w:cs="宋体"/>
          <w:b/>
          <w:bCs w:val="0"/>
          <w:color w:val="auto"/>
          <w:sz w:val="24"/>
          <w:highlight w:val="none"/>
        </w:rPr>
        <w:t>上传投标系统）</w:t>
      </w:r>
    </w:p>
    <w:p w14:paraId="14F1A42B">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9.报价供应商近</w:t>
      </w:r>
      <w:r>
        <w:rPr>
          <w:rFonts w:hint="eastAsia" w:ascii="宋体" w:hAnsi="宋体" w:cs="宋体"/>
          <w:color w:val="auto"/>
          <w:sz w:val="24"/>
          <w:szCs w:val="24"/>
          <w:highlight w:val="none"/>
          <w:lang w:val="en-US" w:eastAsia="zh-CN"/>
        </w:rPr>
        <w:t>一年</w:t>
      </w:r>
      <w:r>
        <w:rPr>
          <w:rFonts w:hint="eastAsia" w:ascii="宋体" w:hAnsi="宋体" w:eastAsia="宋体" w:cs="宋体"/>
          <w:color w:val="auto"/>
          <w:sz w:val="24"/>
          <w:szCs w:val="24"/>
          <w:highlight w:val="none"/>
        </w:rPr>
        <w:t>中任意一个月份（不含</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当月）的依法缴纳税收的相关材料（提供相关主管部门证明或银行代扣证明）；</w:t>
      </w:r>
      <w:r>
        <w:rPr>
          <w:rFonts w:hint="eastAsia" w:hAnsi="宋体" w:cs="宋体"/>
          <w:b/>
          <w:bCs w:val="0"/>
          <w:color w:val="auto"/>
          <w:sz w:val="24"/>
          <w:highlight w:val="none"/>
        </w:rPr>
        <w:t>（</w:t>
      </w:r>
      <w:r>
        <w:rPr>
          <w:rFonts w:hint="eastAsia" w:hAnsi="宋体" w:cs="宋体"/>
          <w:b/>
          <w:bCs w:val="0"/>
          <w:color w:val="auto"/>
          <w:sz w:val="24"/>
          <w:highlight w:val="none"/>
          <w:lang w:eastAsia="zh-CN"/>
        </w:rPr>
        <w:t>彩色扫描件</w:t>
      </w:r>
      <w:r>
        <w:rPr>
          <w:rFonts w:hint="eastAsia" w:hAnsi="宋体" w:cs="宋体"/>
          <w:b/>
          <w:bCs w:val="0"/>
          <w:color w:val="auto"/>
          <w:sz w:val="24"/>
          <w:highlight w:val="none"/>
        </w:rPr>
        <w:t>上传投标系统）</w:t>
      </w:r>
    </w:p>
    <w:p w14:paraId="456C282A">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10.报价供应商近</w:t>
      </w:r>
      <w:r>
        <w:rPr>
          <w:rFonts w:hint="eastAsia" w:ascii="宋体" w:hAnsi="宋体" w:cs="宋体"/>
          <w:color w:val="auto"/>
          <w:sz w:val="24"/>
          <w:szCs w:val="24"/>
          <w:highlight w:val="none"/>
          <w:lang w:val="en-US" w:eastAsia="zh-CN"/>
        </w:rPr>
        <w:t>一年中</w:t>
      </w:r>
      <w:r>
        <w:rPr>
          <w:rFonts w:hint="eastAsia" w:ascii="宋体" w:hAnsi="宋体" w:eastAsia="宋体" w:cs="宋体"/>
          <w:color w:val="auto"/>
          <w:sz w:val="24"/>
          <w:szCs w:val="24"/>
          <w:highlight w:val="none"/>
        </w:rPr>
        <w:t>任意一个月份（不含</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当月）的依法缴纳社会保障资金的相关材料（提供相关主管部门证明或银行代扣证明）；</w:t>
      </w:r>
      <w:r>
        <w:rPr>
          <w:rFonts w:hint="eastAsia" w:hAnsi="宋体" w:cs="宋体"/>
          <w:b/>
          <w:bCs w:val="0"/>
          <w:color w:val="auto"/>
          <w:sz w:val="24"/>
          <w:highlight w:val="none"/>
        </w:rPr>
        <w:t>（</w:t>
      </w:r>
      <w:r>
        <w:rPr>
          <w:rFonts w:hint="eastAsia" w:hAnsi="宋体" w:cs="宋体"/>
          <w:b/>
          <w:bCs w:val="0"/>
          <w:color w:val="auto"/>
          <w:sz w:val="24"/>
          <w:highlight w:val="none"/>
          <w:lang w:eastAsia="zh-CN"/>
        </w:rPr>
        <w:t>彩色扫描件</w:t>
      </w:r>
      <w:r>
        <w:rPr>
          <w:rFonts w:hint="eastAsia" w:hAnsi="宋体" w:cs="宋体"/>
          <w:b/>
          <w:bCs w:val="0"/>
          <w:color w:val="auto"/>
          <w:sz w:val="24"/>
          <w:highlight w:val="none"/>
        </w:rPr>
        <w:t>上传投标系统）</w:t>
      </w:r>
    </w:p>
    <w:p w14:paraId="5B01E5C4">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highlight w:val="none"/>
        </w:rPr>
        <w:t>被授权代表、项目负责人为报价供应商本单位在职员工（提供被授权代表、项目负责人与企业签订的劳动合同，被授权代表、项目负责人由社保机构出具的</w:t>
      </w:r>
      <w:r>
        <w:rPr>
          <w:rFonts w:hint="eastAsia" w:ascii="宋体" w:hAnsi="宋体" w:eastAsia="宋体" w:cs="宋体"/>
          <w:color w:val="auto"/>
          <w:sz w:val="24"/>
          <w:highlight w:val="none"/>
          <w:lang w:eastAsia="zh-CN"/>
        </w:rPr>
        <w:t>近</w:t>
      </w:r>
      <w:r>
        <w:rPr>
          <w:rFonts w:hint="eastAsia" w:ascii="宋体" w:hAnsi="宋体" w:cs="宋体"/>
          <w:color w:val="auto"/>
          <w:sz w:val="24"/>
          <w:highlight w:val="none"/>
          <w:lang w:val="en-US" w:eastAsia="zh-CN"/>
        </w:rPr>
        <w:t>一年</w:t>
      </w:r>
      <w:r>
        <w:rPr>
          <w:rFonts w:hint="eastAsia" w:ascii="宋体" w:hAnsi="宋体" w:eastAsia="宋体" w:cs="宋体"/>
          <w:color w:val="auto"/>
          <w:sz w:val="24"/>
          <w:highlight w:val="none"/>
          <w:lang w:eastAsia="zh-CN"/>
        </w:rPr>
        <w:t>中任意一个月（不含磋商当月）</w:t>
      </w:r>
      <w:r>
        <w:rPr>
          <w:rFonts w:hint="eastAsia" w:ascii="宋体" w:hAnsi="宋体" w:eastAsia="宋体" w:cs="宋体"/>
          <w:color w:val="auto"/>
          <w:sz w:val="24"/>
          <w:highlight w:val="none"/>
        </w:rPr>
        <w:t>的缴费证明）（</w:t>
      </w:r>
      <w:r>
        <w:rPr>
          <w:rFonts w:hint="eastAsia" w:ascii="宋体" w:hAnsi="宋体" w:eastAsia="宋体" w:cs="宋体"/>
          <w:b/>
          <w:bCs/>
          <w:color w:val="auto"/>
          <w:sz w:val="24"/>
          <w:highlight w:val="none"/>
        </w:rPr>
        <w:t>带二维码的社保彩色打印件可作原件使用</w:t>
      </w:r>
      <w:r>
        <w:rPr>
          <w:rFonts w:hint="eastAsia" w:ascii="宋体" w:hAnsi="宋体" w:eastAsia="宋体" w:cs="宋体"/>
          <w:color w:val="auto"/>
          <w:sz w:val="24"/>
          <w:highlight w:val="none"/>
        </w:rPr>
        <w:t>）</w:t>
      </w:r>
      <w:r>
        <w:rPr>
          <w:rFonts w:hint="eastAsia" w:ascii="宋体" w:hAnsi="宋体" w:eastAsia="宋体" w:cs="宋体"/>
          <w:color w:val="auto"/>
          <w:sz w:val="24"/>
          <w:szCs w:val="24"/>
          <w:highlight w:val="none"/>
        </w:rPr>
        <w:t>；</w:t>
      </w:r>
    </w:p>
    <w:p w14:paraId="01AFDE29">
      <w:pPr>
        <w:keepNext w:val="0"/>
        <w:keepLines w:val="0"/>
        <w:pageBreakBefore w:val="0"/>
        <w:tabs>
          <w:tab w:val="left" w:pos="420"/>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12.承诺书（</w:t>
      </w:r>
      <w:r>
        <w:rPr>
          <w:rFonts w:hint="eastAsia" w:ascii="宋体" w:hAnsi="宋体" w:eastAsia="宋体" w:cs="宋体"/>
          <w:b/>
          <w:bCs/>
          <w:color w:val="auto"/>
          <w:sz w:val="24"/>
          <w:szCs w:val="24"/>
          <w:highlight w:val="none"/>
        </w:rPr>
        <w:t>格式见附件</w:t>
      </w:r>
      <w:r>
        <w:rPr>
          <w:rFonts w:hint="eastAsia" w:ascii="宋体" w:hAnsi="宋体" w:eastAsia="宋体" w:cs="宋体"/>
          <w:color w:val="auto"/>
          <w:sz w:val="24"/>
          <w:szCs w:val="24"/>
          <w:highlight w:val="none"/>
        </w:rPr>
        <w:t>）</w:t>
      </w:r>
      <w:r>
        <w:rPr>
          <w:rFonts w:hint="eastAsia" w:hAnsi="宋体" w:cs="宋体"/>
          <w:b/>
          <w:bCs w:val="0"/>
          <w:color w:val="auto"/>
          <w:sz w:val="24"/>
          <w:highlight w:val="none"/>
        </w:rPr>
        <w:t>（</w:t>
      </w:r>
      <w:r>
        <w:rPr>
          <w:rFonts w:hint="eastAsia" w:hAnsi="宋体" w:cs="宋体"/>
          <w:b/>
          <w:bCs w:val="0"/>
          <w:color w:val="auto"/>
          <w:sz w:val="24"/>
          <w:highlight w:val="none"/>
          <w:lang w:eastAsia="zh-CN"/>
        </w:rPr>
        <w:t>彩色扫描件</w:t>
      </w:r>
      <w:r>
        <w:rPr>
          <w:rFonts w:hint="eastAsia" w:hAnsi="宋体" w:cs="宋体"/>
          <w:b/>
          <w:bCs w:val="0"/>
          <w:color w:val="auto"/>
          <w:sz w:val="24"/>
          <w:highlight w:val="none"/>
        </w:rPr>
        <w:t>上传投标系统）</w:t>
      </w:r>
      <w:r>
        <w:rPr>
          <w:rFonts w:hint="eastAsia" w:ascii="宋体" w:hAnsi="宋体" w:eastAsia="宋体" w:cs="宋体"/>
          <w:color w:val="auto"/>
          <w:sz w:val="24"/>
          <w:szCs w:val="24"/>
          <w:highlight w:val="none"/>
        </w:rPr>
        <w:t>；</w:t>
      </w:r>
    </w:p>
    <w:p w14:paraId="6EF17338">
      <w:pPr>
        <w:keepNext w:val="0"/>
        <w:keepLines w:val="0"/>
        <w:pageBreakBefore w:val="0"/>
        <w:tabs>
          <w:tab w:val="left" w:pos="420"/>
          <w:tab w:val="left" w:pos="945"/>
          <w:tab w:val="left" w:pos="1155"/>
        </w:tabs>
        <w:spacing w:line="360" w:lineRule="auto"/>
        <w:ind w:left="0"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14.报价供应商提供《中小企业声明函》或《监狱企业证明文件》（省级以上监狱管理局、戒毒管理局出具）或《残疾人福利性单位声明函》</w:t>
      </w:r>
      <w:r>
        <w:rPr>
          <w:rFonts w:hint="eastAsia" w:ascii="宋体" w:hAnsi="宋体" w:eastAsia="宋体" w:cs="宋体"/>
          <w:b/>
          <w:bCs/>
          <w:color w:val="auto"/>
          <w:sz w:val="24"/>
          <w:szCs w:val="24"/>
          <w:highlight w:val="none"/>
        </w:rPr>
        <w:t>（《中小企业声明函》及《残疾人福利性单位声明函》格式见附件）。</w:t>
      </w:r>
    </w:p>
    <w:p w14:paraId="285C9A3A">
      <w:pPr>
        <w:keepNext w:val="0"/>
        <w:keepLines w:val="0"/>
        <w:pageBreakBefore w:val="0"/>
        <w:spacing w:line="360" w:lineRule="auto"/>
        <w:ind w:left="0" w:firstLine="48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上述资格、资信证明文件报价供应商必须按要求全部提供，否则响应文件无效。如上述资格、资信证明文件遇有国家相关政策规定可不具备的，必须提供相关政策规定或相关单位出具的有效证明复印件。报价供应商法定代表人或法定代表人授权代表为外籍、港、澳、台地区人士的，其身份证明须提供有效的护照或港澳同胞来往内地通行证、台湾同胞来往大陆通行证，或其他可以在中国大陆有效居留的许可证明。</w:t>
      </w:r>
    </w:p>
    <w:p w14:paraId="2F88E0FA">
      <w:pPr>
        <w:keepNext w:val="0"/>
        <w:keepLines w:val="0"/>
        <w:pageBreakBefore w:val="0"/>
        <w:widowControl/>
        <w:tabs>
          <w:tab w:val="left" w:pos="0"/>
        </w:tabs>
        <w:spacing w:line="360" w:lineRule="auto"/>
        <w:ind w:left="0"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第二部分：补充性文件：</w:t>
      </w:r>
    </w:p>
    <w:p w14:paraId="55695936">
      <w:pPr>
        <w:keepNext w:val="0"/>
        <w:keepLines w:val="0"/>
        <w:pageBreakBefore w:val="0"/>
        <w:widowControl/>
        <w:tabs>
          <w:tab w:val="left" w:pos="420"/>
        </w:tabs>
        <w:spacing w:line="360" w:lineRule="auto"/>
        <w:ind w:left="0"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1.报价供应商简介和经营情况说明；</w:t>
      </w:r>
    </w:p>
    <w:p w14:paraId="4EBB06BD">
      <w:pPr>
        <w:keepNext w:val="0"/>
        <w:keepLines w:val="0"/>
        <w:pageBreakBefore w:val="0"/>
        <w:tabs>
          <w:tab w:val="left" w:pos="360"/>
          <w:tab w:val="left" w:pos="60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highlight w:val="none"/>
        </w:rPr>
        <w:t>实施项目管理机构配备情况：</w:t>
      </w:r>
    </w:p>
    <w:p w14:paraId="0A2E7DCA">
      <w:pPr>
        <w:keepNext w:val="0"/>
        <w:keepLines w:val="0"/>
        <w:pageBreakBefore w:val="0"/>
        <w:widowControl/>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 实施项目管理机构配备情况表（格式见附件）</w:t>
      </w:r>
    </w:p>
    <w:p w14:paraId="0C7A9629">
      <w:pPr>
        <w:keepNext w:val="0"/>
        <w:keepLines w:val="0"/>
        <w:pageBreakBefore w:val="0"/>
        <w:widowControl/>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 项目负责人简历表（格式见附件）</w:t>
      </w:r>
    </w:p>
    <w:p w14:paraId="74CA6F7E">
      <w:pPr>
        <w:keepNext w:val="0"/>
        <w:keepLines w:val="0"/>
        <w:pageBreakBefore w:val="0"/>
        <w:widowControl/>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 项目技术负责人简历表（格式见附件）</w:t>
      </w:r>
    </w:p>
    <w:p w14:paraId="2601A230">
      <w:pPr>
        <w:keepNext w:val="0"/>
        <w:keepLines w:val="0"/>
        <w:pageBreakBefore w:val="0"/>
        <w:spacing w:line="360" w:lineRule="auto"/>
        <w:ind w:left="0" w:firstLine="480"/>
        <w:jc w:val="left"/>
        <w:rPr>
          <w:rFonts w:hint="eastAsia" w:ascii="宋体" w:hAnsi="宋体" w:eastAsia="宋体" w:cs="宋体"/>
          <w:bCs/>
          <w:color w:val="auto"/>
          <w:sz w:val="24"/>
          <w:highlight w:val="none"/>
        </w:rPr>
      </w:pPr>
      <w:r>
        <w:rPr>
          <w:rFonts w:hint="eastAsia" w:ascii="宋体" w:hAnsi="宋体" w:eastAsia="宋体" w:cs="宋体"/>
          <w:color w:val="auto"/>
          <w:sz w:val="24"/>
          <w:highlight w:val="none"/>
        </w:rPr>
        <w:t>4) 项目管理机构配备情况辅助说明资料（格式见附件）</w:t>
      </w:r>
    </w:p>
    <w:p w14:paraId="71B11CD8">
      <w:pPr>
        <w:keepNext w:val="0"/>
        <w:keepLines w:val="0"/>
        <w:pageBreakBefore w:val="0"/>
        <w:widowControl/>
        <w:tabs>
          <w:tab w:val="left" w:pos="420"/>
        </w:tabs>
        <w:spacing w:line="360" w:lineRule="auto"/>
        <w:ind w:left="0" w:firstLine="480"/>
        <w:jc w:val="left"/>
        <w:rPr>
          <w:rFonts w:hint="eastAsia" w:ascii="宋体" w:hAnsi="宋体" w:eastAsia="宋体" w:cs="宋体"/>
          <w:color w:val="auto"/>
          <w:sz w:val="24"/>
          <w:szCs w:val="24"/>
          <w:highlight w:val="none"/>
        </w:rPr>
      </w:pPr>
      <w:r>
        <w:rPr>
          <w:rFonts w:hint="eastAsia" w:ascii="宋体" w:hAnsi="宋体" w:eastAsia="宋体" w:cs="宋体"/>
          <w:bCs/>
          <w:color w:val="auto"/>
          <w:sz w:val="24"/>
          <w:highlight w:val="none"/>
        </w:rPr>
        <w:t>3.报价供应商认为有必要提供的其他资料（详见评分标准所要求之证明材料</w:t>
      </w:r>
      <w:r>
        <w:rPr>
          <w:rFonts w:hint="eastAsia" w:ascii="宋体" w:hAnsi="宋体" w:eastAsia="宋体" w:cs="宋体"/>
          <w:color w:val="auto"/>
          <w:sz w:val="24"/>
          <w:szCs w:val="24"/>
          <w:highlight w:val="none"/>
        </w:rPr>
        <w:t>）</w:t>
      </w:r>
    </w:p>
    <w:p w14:paraId="3CBCA324">
      <w:pPr>
        <w:keepNext w:val="0"/>
        <w:keepLines w:val="0"/>
        <w:pageBreakBefore w:val="0"/>
        <w:spacing w:line="360" w:lineRule="auto"/>
        <w:ind w:left="0" w:firstLine="48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2、响应函部分（格式见附件）：</w:t>
      </w:r>
    </w:p>
    <w:p w14:paraId="57021BA7">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（1）响应函；</w:t>
      </w:r>
    </w:p>
    <w:p w14:paraId="69077D08">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w:t>
      </w:r>
      <w:r>
        <w:rPr>
          <w:rFonts w:hint="eastAsia" w:ascii="宋体" w:hAnsi="宋体" w:eastAsia="宋体" w:cs="宋体"/>
          <w:bCs/>
          <w:color w:val="auto"/>
          <w:sz w:val="24"/>
          <w:highlight w:val="none"/>
          <w:lang w:val="en-US" w:eastAsia="zh-CN"/>
        </w:rPr>
        <w:t>磋商</w:t>
      </w:r>
      <w:r>
        <w:rPr>
          <w:rFonts w:hint="eastAsia" w:ascii="宋体" w:hAnsi="宋体" w:eastAsia="宋体" w:cs="宋体"/>
          <w:bCs/>
          <w:color w:val="auto"/>
          <w:sz w:val="24"/>
          <w:highlight w:val="none"/>
        </w:rPr>
        <w:t>报价一览表；</w:t>
      </w:r>
    </w:p>
    <w:p w14:paraId="3649879A">
      <w:pPr>
        <w:keepNext w:val="0"/>
        <w:keepLines w:val="0"/>
        <w:pageBreakBefore w:val="0"/>
        <w:spacing w:line="360" w:lineRule="auto"/>
        <w:ind w:left="0" w:firstLine="48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3、报价部分（格式见附件）；</w:t>
      </w:r>
    </w:p>
    <w:p w14:paraId="291BCBB5">
      <w:pPr>
        <w:spacing w:line="360" w:lineRule="auto"/>
        <w:ind w:firstLine="482"/>
        <w:rPr>
          <w:rFonts w:ascii="宋体" w:hAnsi="宋体"/>
          <w:b/>
          <w:color w:val="000000"/>
          <w:sz w:val="24"/>
          <w:highlight w:val="none"/>
        </w:rPr>
      </w:pPr>
      <w:r>
        <w:rPr>
          <w:rFonts w:hint="eastAsia" w:ascii="宋体" w:hAnsi="宋体" w:eastAsia="宋体" w:cs="宋体"/>
          <w:b/>
          <w:bCs/>
          <w:color w:val="auto"/>
          <w:sz w:val="24"/>
          <w:szCs w:val="24"/>
          <w:highlight w:val="none"/>
        </w:rPr>
        <w:t>4、</w:t>
      </w:r>
      <w:r>
        <w:rPr>
          <w:rFonts w:hint="eastAsia" w:ascii="宋体" w:hAnsi="宋体"/>
          <w:b/>
          <w:bCs/>
          <w:color w:val="000000"/>
          <w:sz w:val="24"/>
          <w:szCs w:val="22"/>
          <w:highlight w:val="none"/>
        </w:rPr>
        <w:t>技术文件部分</w:t>
      </w:r>
      <w:r>
        <w:rPr>
          <w:rFonts w:hint="eastAsia" w:ascii="宋体" w:hAnsi="宋体"/>
          <w:b/>
          <w:color w:val="000000"/>
          <w:sz w:val="24"/>
          <w:highlight w:val="none"/>
        </w:rPr>
        <w:t>（暗标，内容参照评标办法）</w:t>
      </w:r>
    </w:p>
    <w:p w14:paraId="48EF2907">
      <w:pPr>
        <w:spacing w:line="360" w:lineRule="auto"/>
        <w:ind w:firstLine="482"/>
        <w:rPr>
          <w:rFonts w:ascii="宋体" w:hAnsi="宋体"/>
          <w:b/>
          <w:color w:val="000000"/>
          <w:sz w:val="24"/>
          <w:szCs w:val="21"/>
          <w:highlight w:val="none"/>
          <w:u w:val="single"/>
        </w:rPr>
      </w:pPr>
      <w:r>
        <w:rPr>
          <w:rFonts w:hint="eastAsia" w:ascii="宋体" w:hAnsi="宋体"/>
          <w:b/>
          <w:color w:val="000000"/>
          <w:sz w:val="24"/>
          <w:szCs w:val="21"/>
          <w:highlight w:val="none"/>
          <w:u w:val="single"/>
        </w:rPr>
        <w:t>特别注意：本项目采用暗标形式，</w:t>
      </w:r>
      <w:r>
        <w:rPr>
          <w:rFonts w:hint="eastAsia" w:ascii="宋体" w:hAnsi="宋体"/>
          <w:b/>
          <w:color w:val="000000"/>
          <w:sz w:val="24"/>
          <w:szCs w:val="21"/>
          <w:highlight w:val="none"/>
          <w:u w:val="single"/>
          <w:lang w:eastAsia="zh-CN"/>
        </w:rPr>
        <w:t>供应商</w:t>
      </w:r>
      <w:r>
        <w:rPr>
          <w:rFonts w:hint="eastAsia" w:ascii="宋体" w:hAnsi="宋体"/>
          <w:b/>
          <w:color w:val="000000"/>
          <w:sz w:val="24"/>
          <w:szCs w:val="21"/>
          <w:highlight w:val="none"/>
          <w:u w:val="single"/>
        </w:rPr>
        <w:t>须参照评标办法的相关要求对商务部分和技术文件部分分别进行制作。其中技术文件部分属于暗标，</w:t>
      </w:r>
      <w:r>
        <w:rPr>
          <w:rFonts w:hint="eastAsia" w:ascii="宋体" w:hAnsi="宋体"/>
          <w:b/>
          <w:color w:val="000000"/>
          <w:sz w:val="24"/>
          <w:szCs w:val="21"/>
          <w:highlight w:val="none"/>
          <w:u w:val="single"/>
          <w:lang w:eastAsia="zh-CN"/>
        </w:rPr>
        <w:t>报价供应商</w:t>
      </w:r>
      <w:r>
        <w:rPr>
          <w:rFonts w:hint="eastAsia" w:ascii="宋体" w:hAnsi="宋体"/>
          <w:b/>
          <w:color w:val="000000"/>
          <w:sz w:val="24"/>
          <w:szCs w:val="21"/>
          <w:highlight w:val="none"/>
          <w:u w:val="single"/>
        </w:rPr>
        <w:t>在制作技术文件部分相关内容时不得有体现</w:t>
      </w:r>
      <w:r>
        <w:rPr>
          <w:rFonts w:hint="eastAsia" w:ascii="宋体" w:hAnsi="宋体"/>
          <w:b/>
          <w:color w:val="000000"/>
          <w:sz w:val="24"/>
          <w:szCs w:val="21"/>
          <w:highlight w:val="none"/>
          <w:u w:val="single"/>
          <w:lang w:eastAsia="zh-CN"/>
        </w:rPr>
        <w:t>报价供应商</w:t>
      </w:r>
      <w:r>
        <w:rPr>
          <w:rFonts w:hint="eastAsia" w:ascii="宋体" w:hAnsi="宋体"/>
          <w:b/>
          <w:color w:val="000000"/>
          <w:sz w:val="24"/>
          <w:szCs w:val="21"/>
          <w:highlight w:val="none"/>
          <w:u w:val="single"/>
        </w:rPr>
        <w:t>身份的内容，否则投标无效。</w:t>
      </w:r>
    </w:p>
    <w:p w14:paraId="75E74D52">
      <w:pPr>
        <w:spacing w:line="360" w:lineRule="auto"/>
        <w:ind w:firstLine="482"/>
        <w:rPr>
          <w:rFonts w:ascii="宋体" w:hAnsi="宋体"/>
          <w:b/>
          <w:color w:val="000000"/>
          <w:sz w:val="24"/>
          <w:szCs w:val="21"/>
          <w:highlight w:val="none"/>
          <w:u w:val="single"/>
        </w:rPr>
      </w:pPr>
      <w:r>
        <w:rPr>
          <w:rFonts w:hint="eastAsia" w:ascii="宋体" w:hAnsi="宋体"/>
          <w:b/>
          <w:color w:val="000000"/>
          <w:sz w:val="24"/>
          <w:szCs w:val="21"/>
          <w:highlight w:val="none"/>
        </w:rPr>
        <w:t>不得有体现</w:t>
      </w:r>
      <w:r>
        <w:rPr>
          <w:rFonts w:hint="eastAsia" w:ascii="宋体" w:hAnsi="宋体"/>
          <w:b/>
          <w:color w:val="000000"/>
          <w:sz w:val="24"/>
          <w:szCs w:val="21"/>
          <w:highlight w:val="none"/>
          <w:lang w:eastAsia="zh-CN"/>
        </w:rPr>
        <w:t>报价供应商</w:t>
      </w:r>
      <w:r>
        <w:rPr>
          <w:rFonts w:hint="eastAsia" w:ascii="宋体" w:hAnsi="宋体"/>
          <w:b/>
          <w:color w:val="000000"/>
          <w:sz w:val="24"/>
          <w:szCs w:val="21"/>
          <w:highlight w:val="none"/>
        </w:rPr>
        <w:t>身份的内容是指：</w:t>
      </w:r>
    </w:p>
    <w:p w14:paraId="3771D91F">
      <w:pPr>
        <w:spacing w:line="360" w:lineRule="auto"/>
        <w:ind w:firstLine="482"/>
        <w:rPr>
          <w:rFonts w:ascii="宋体" w:hAnsi="宋体"/>
          <w:b/>
          <w:color w:val="000000"/>
          <w:sz w:val="24"/>
          <w:szCs w:val="21"/>
          <w:highlight w:val="none"/>
        </w:rPr>
      </w:pPr>
      <w:r>
        <w:rPr>
          <w:rFonts w:hint="eastAsia" w:ascii="宋体" w:hAnsi="宋体"/>
          <w:b/>
          <w:color w:val="000000"/>
          <w:sz w:val="24"/>
          <w:szCs w:val="21"/>
          <w:highlight w:val="none"/>
        </w:rPr>
        <w:t>①技术部分不得出现能够体现</w:t>
      </w:r>
      <w:r>
        <w:rPr>
          <w:rFonts w:hint="eastAsia" w:ascii="宋体" w:hAnsi="宋体"/>
          <w:b/>
          <w:color w:val="000000"/>
          <w:sz w:val="24"/>
          <w:szCs w:val="21"/>
          <w:highlight w:val="none"/>
          <w:lang w:eastAsia="zh-CN"/>
        </w:rPr>
        <w:t>报价供应商</w:t>
      </w:r>
      <w:r>
        <w:rPr>
          <w:rFonts w:hint="eastAsia" w:ascii="宋体" w:hAnsi="宋体"/>
          <w:b/>
          <w:color w:val="000000"/>
          <w:sz w:val="24"/>
          <w:szCs w:val="21"/>
          <w:highlight w:val="none"/>
        </w:rPr>
        <w:t>身份、名称的相关描述、材料、文件等内容；</w:t>
      </w:r>
    </w:p>
    <w:p w14:paraId="5E83384C">
      <w:pPr>
        <w:spacing w:line="360" w:lineRule="auto"/>
        <w:ind w:firstLine="482"/>
        <w:rPr>
          <w:rFonts w:ascii="宋体" w:hAnsi="宋体"/>
          <w:b/>
          <w:color w:val="000000"/>
          <w:sz w:val="24"/>
          <w:szCs w:val="21"/>
          <w:highlight w:val="none"/>
        </w:rPr>
      </w:pPr>
      <w:r>
        <w:rPr>
          <w:rFonts w:hint="eastAsia" w:ascii="宋体" w:hAnsi="宋体"/>
          <w:b/>
          <w:color w:val="000000"/>
          <w:sz w:val="24"/>
          <w:szCs w:val="21"/>
          <w:highlight w:val="none"/>
        </w:rPr>
        <w:t>②技术部分不得更改，不得在其中涂改、标注或做任何可以辨认</w:t>
      </w:r>
      <w:r>
        <w:rPr>
          <w:rFonts w:hint="eastAsia" w:ascii="宋体" w:hAnsi="宋体"/>
          <w:b/>
          <w:color w:val="000000"/>
          <w:sz w:val="24"/>
          <w:szCs w:val="21"/>
          <w:highlight w:val="none"/>
          <w:lang w:eastAsia="zh-CN"/>
        </w:rPr>
        <w:t>报价供应商</w:t>
      </w:r>
      <w:r>
        <w:rPr>
          <w:rFonts w:hint="eastAsia" w:ascii="宋体" w:hAnsi="宋体"/>
          <w:b/>
          <w:color w:val="000000"/>
          <w:sz w:val="24"/>
          <w:szCs w:val="21"/>
          <w:highlight w:val="none"/>
        </w:rPr>
        <w:t>及所属人员身份的名称、印章、商标等标记；</w:t>
      </w:r>
    </w:p>
    <w:p w14:paraId="37DC22F4">
      <w:pPr>
        <w:spacing w:line="360" w:lineRule="auto"/>
        <w:ind w:firstLine="482"/>
        <w:rPr>
          <w:rFonts w:hint="eastAsia" w:ascii="宋体" w:hAnsi="宋体"/>
          <w:b/>
          <w:color w:val="000000"/>
          <w:sz w:val="24"/>
          <w:szCs w:val="21"/>
          <w:highlight w:val="none"/>
        </w:rPr>
      </w:pPr>
      <w:r>
        <w:rPr>
          <w:rFonts w:hint="eastAsia" w:ascii="宋体" w:hAnsi="宋体"/>
          <w:b/>
          <w:color w:val="000000"/>
          <w:sz w:val="24"/>
          <w:szCs w:val="21"/>
          <w:highlight w:val="none"/>
        </w:rPr>
        <w:t>③技术部分应当版面整洁、字迹清楚、不许批注或进行水印等特殊设置。</w:t>
      </w:r>
    </w:p>
    <w:p w14:paraId="30817C8A">
      <w:pPr>
        <w:keepNext w:val="0"/>
        <w:keepLines w:val="0"/>
        <w:pageBreakBefore w:val="0"/>
        <w:tabs>
          <w:tab w:val="left" w:pos="525"/>
          <w:tab w:val="left" w:pos="1050"/>
        </w:tabs>
        <w:spacing w:line="360" w:lineRule="auto"/>
        <w:ind w:left="0" w:firstLine="482"/>
        <w:rPr>
          <w:rFonts w:hint="eastAsia" w:ascii="宋体" w:hAnsi="宋体" w:eastAsia="宋体" w:cs="宋体"/>
          <w:b/>
          <w:bCs/>
          <w:color w:val="auto"/>
          <w:sz w:val="24"/>
          <w:szCs w:val="24"/>
          <w:highlight w:val="none"/>
          <w:lang w:eastAsia="zh-CN"/>
        </w:rPr>
      </w:pPr>
      <w:r>
        <w:rPr>
          <w:rFonts w:hint="eastAsia" w:ascii="宋体" w:hAnsi="宋体"/>
          <w:b/>
          <w:color w:val="000000"/>
          <w:sz w:val="24"/>
          <w:szCs w:val="21"/>
          <w:highlight w:val="none"/>
        </w:rPr>
        <w:t>④不得有其他体现</w:t>
      </w:r>
      <w:r>
        <w:rPr>
          <w:rFonts w:hint="eastAsia" w:ascii="宋体" w:hAnsi="宋体"/>
          <w:b/>
          <w:color w:val="000000"/>
          <w:sz w:val="24"/>
          <w:szCs w:val="21"/>
          <w:highlight w:val="none"/>
          <w:lang w:eastAsia="zh-CN"/>
        </w:rPr>
        <w:t>报价供应商</w:t>
      </w:r>
      <w:r>
        <w:rPr>
          <w:rFonts w:hint="eastAsia" w:ascii="宋体" w:hAnsi="宋体"/>
          <w:b/>
          <w:color w:val="000000"/>
          <w:sz w:val="24"/>
          <w:szCs w:val="21"/>
          <w:highlight w:val="none"/>
        </w:rPr>
        <w:t>身份的内容</w:t>
      </w:r>
      <w:r>
        <w:rPr>
          <w:rFonts w:hint="eastAsia" w:ascii="宋体" w:hAnsi="宋体"/>
          <w:b/>
          <w:color w:val="000000"/>
          <w:sz w:val="24"/>
          <w:szCs w:val="21"/>
          <w:highlight w:val="none"/>
          <w:lang w:eastAsia="zh-CN"/>
        </w:rPr>
        <w:t>。</w:t>
      </w:r>
    </w:p>
    <w:p w14:paraId="56E94ECE">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（六）竞争性磋商报价说明：</w:t>
      </w:r>
    </w:p>
    <w:p w14:paraId="246E1B9F">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（1）本工程的投标报价应采用</w:t>
      </w:r>
      <w:r>
        <w:rPr>
          <w:rFonts w:hint="eastAsia" w:ascii="宋体" w:hAnsi="宋体" w:eastAsia="宋体" w:cs="宋体"/>
          <w:bCs/>
          <w:color w:val="auto"/>
          <w:sz w:val="24"/>
          <w:highlight w:val="none"/>
          <w:lang w:val="en-US" w:eastAsia="zh-CN"/>
        </w:rPr>
        <w:t>《建设工程工程量清单计价标准》（GB/T50500-2024）</w:t>
      </w:r>
      <w:r>
        <w:rPr>
          <w:rFonts w:hint="eastAsia" w:ascii="宋体" w:hAnsi="宋体" w:eastAsia="宋体" w:cs="宋体"/>
          <w:bCs/>
          <w:color w:val="auto"/>
          <w:sz w:val="24"/>
          <w:highlight w:val="none"/>
        </w:rPr>
        <w:t>规定的工程量清单计价格式。</w:t>
      </w:r>
    </w:p>
    <w:p w14:paraId="50BBBD77">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供应商的投标报价的总额应是报价供应商在响应文件中提出的各项支付金额的总和，也应是完成磋商文件工程量清单计价所列项目的全部费用。包括分部分项工程费、措施项目费、其他项目费、规费和税金。综合单价包括完成工程量清单中一个规定计量单位项目所需的人工、材料费、机械使用费，管理费和利润并考虑风险因素。总之投标报价应为完成该项目的全部费用。包括</w:t>
      </w:r>
      <w:r>
        <w:rPr>
          <w:rFonts w:hint="eastAsia" w:ascii="宋体" w:hAnsi="宋体" w:eastAsia="宋体" w:cs="宋体"/>
          <w:bCs/>
          <w:color w:val="auto"/>
          <w:sz w:val="24"/>
          <w:highlight w:val="none"/>
          <w:lang w:eastAsia="zh-CN"/>
        </w:rPr>
        <w:t>完工</w:t>
      </w:r>
      <w:r>
        <w:rPr>
          <w:rFonts w:hint="eastAsia" w:ascii="宋体" w:hAnsi="宋体" w:eastAsia="宋体" w:cs="宋体"/>
          <w:bCs/>
          <w:color w:val="auto"/>
          <w:sz w:val="24"/>
          <w:highlight w:val="none"/>
        </w:rPr>
        <w:t>清场、移交竣工验收、保修期满。</w:t>
      </w:r>
    </w:p>
    <w:p w14:paraId="19456266">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（3）本工程磋商文件所提供的工程量清单是按照</w:t>
      </w:r>
      <w:r>
        <w:rPr>
          <w:rFonts w:hint="eastAsia" w:ascii="宋体" w:hAnsi="宋体" w:eastAsia="宋体" w:cs="宋体"/>
          <w:bCs/>
          <w:color w:val="auto"/>
          <w:sz w:val="24"/>
          <w:highlight w:val="none"/>
          <w:lang w:val="en-US" w:eastAsia="zh-CN"/>
        </w:rPr>
        <w:t>《建设工程工程量清单计价标准》（GB/T50500-2024）</w:t>
      </w:r>
      <w:r>
        <w:rPr>
          <w:rFonts w:hint="eastAsia" w:ascii="宋体" w:hAnsi="宋体" w:eastAsia="宋体" w:cs="宋体"/>
          <w:bCs/>
          <w:color w:val="auto"/>
          <w:sz w:val="24"/>
          <w:highlight w:val="none"/>
        </w:rPr>
        <w:t>和施工图设计计算确定。对于工程量清单中未提供齐全，而本磋商文件中所确定的招标范围所提供的全套设计图中已明确包含的工程内容，供应商可以按统一的工程量计算规则计算后，在发标后3天内以书面形式提供给采购人，采购人在收到书面资料后2天内将可以增列的项目或修改的数量以修正文件形式书面通知供应商。但是不论工程量清单数量与设计图数量是否一致，供应商只能以采购人发放的工程量清单及修正文件进行磋商报价。工程数量与实际施工量不一致时，工程数量可按实际调整。</w:t>
      </w:r>
    </w:p>
    <w:p w14:paraId="682B2D63">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除非采购人对磋商文件予以修改，报价供应商应按采购人提供的工程量清单及其计价格式，填报单价和合价。报价供应商未填单价或合价的工程项目，视为该项目费用已包括在其他有价款的单价或合价内，在实施后，采购人将不另行支付。如实际施工的工程量与采购人提供的工程量清单中的数量不一致时，量差部分结算时可按本项目合同规定调整，每一项目只允许有一个报价。任何有选择的报价将不予接受。</w:t>
      </w:r>
    </w:p>
    <w:p w14:paraId="3A81C3A3">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（5）供应商可先到工地踏勘以充分了解工地位置、情况、道路、储存空间、装卸限制及任何其他足以影响承包价的情况，任何因忽视或误解工地情况而导致的索赔或工期延长申请将不被批准。</w:t>
      </w:r>
    </w:p>
    <w:p w14:paraId="18377C47">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6）所有的施工方案的费用以及按国家标准或施工验收规范要求对材料、构件进行质量检测或检测所需的试验、检测费用应列入投标单位认为合适的细目中，在工程量清单分析中反映出来。工程量清单分析中未列细目的，其施工方案费用及试验、检测费用应被视为已分摊在投标单位认为合适的细目报价中。</w:t>
      </w:r>
    </w:p>
    <w:p w14:paraId="4187C0DD">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（7）供应商不得将下列不可竞争费用改变标准收取：（1）现场安全文明施工措施费（2）规费（3）税金（4）</w:t>
      </w:r>
      <w:r>
        <w:rPr>
          <w:rFonts w:hint="eastAsia" w:ascii="宋体" w:hAnsi="宋体" w:eastAsia="宋体" w:cs="宋体"/>
          <w:color w:val="auto"/>
          <w:sz w:val="24"/>
          <w:highlight w:val="none"/>
        </w:rPr>
        <w:t>竞争性磋商文件</w:t>
      </w:r>
      <w:r>
        <w:rPr>
          <w:rFonts w:hint="eastAsia" w:ascii="宋体" w:hAnsi="宋体" w:eastAsia="宋体" w:cs="宋体"/>
          <w:bCs/>
          <w:color w:val="auto"/>
          <w:sz w:val="24"/>
          <w:highlight w:val="none"/>
        </w:rPr>
        <w:t>中已明确的材料设备及暂定费用（5）其他法律法规规定不可竞争的费用。</w:t>
      </w:r>
      <w:r>
        <w:rPr>
          <w:rFonts w:hint="eastAsia" w:ascii="宋体" w:hAnsi="宋体" w:eastAsia="宋体" w:cs="宋体"/>
          <w:b/>
          <w:color w:val="auto"/>
          <w:sz w:val="24"/>
          <w:highlight w:val="none"/>
        </w:rPr>
        <w:t>如改变不可竞争费用的按无效标处理。</w:t>
      </w:r>
    </w:p>
    <w:p w14:paraId="29CEDB3B">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（8）现场安全文明施工措施费中的基本费、省级标化增加费是按苏建价〔2016〕154号《省住房城乡建设厅关于建筑业实施营改增后江苏省建设工程计价依据调整的通知》规定的标准计列的。</w:t>
      </w:r>
    </w:p>
    <w:p w14:paraId="784737B1">
      <w:pPr>
        <w:keepNext w:val="0"/>
        <w:keepLines w:val="0"/>
        <w:pageBreakBefore w:val="0"/>
        <w:spacing w:line="360" w:lineRule="auto"/>
        <w:ind w:left="0" w:firstLine="480"/>
        <w:rPr>
          <w:rFonts w:hint="eastAsia" w:ascii="宋体" w:hAnsi="宋体" w:eastAsia="宋体" w:cs="宋体"/>
          <w:color w:val="auto"/>
          <w:sz w:val="24"/>
          <w:highlight w:val="none"/>
        </w:rPr>
      </w:pPr>
      <w:r>
        <w:rPr>
          <w:rFonts w:hint="eastAsia" w:ascii="宋体" w:hAnsi="宋体" w:eastAsia="宋体" w:cs="宋体"/>
          <w:bCs/>
          <w:color w:val="auto"/>
          <w:sz w:val="24"/>
          <w:highlight w:val="none"/>
        </w:rPr>
        <w:t>（9）各种材料的价格当采购人未提供市场价</w:t>
      </w:r>
      <w:r>
        <w:rPr>
          <w:rFonts w:hint="eastAsia" w:ascii="宋体" w:hAnsi="宋体" w:eastAsia="宋体" w:cs="宋体"/>
          <w:color w:val="auto"/>
          <w:sz w:val="24"/>
          <w:highlight w:val="none"/>
        </w:rPr>
        <w:t>格或限定价格时，由报价供应商自行进行市场调查后决定报价，但各报价供应商应充分考虑在工程建设周期内市场价格的波动风险，并将认为适合的风险费用计列在内，凡未列的，将视为已包含在报价之中，一经报价确定，将不作调整。当采购人对部分材料提供暂定价格时，报价供应商投标报价时不得以任何理由更改暂定价格，否则作废标处理。</w:t>
      </w:r>
    </w:p>
    <w:p w14:paraId="5BF6DCE4">
      <w:pPr>
        <w:keepNext w:val="0"/>
        <w:keepLines w:val="0"/>
        <w:pageBreakBefore w:val="0"/>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（10）报价供应商应根据施工现场的实际情况、本磋商文件中载明的施工组织要求、现场的交通管制条件、文明施工要求和各自的施工经验确定合理的施工组织方案，自主合理报价。</w:t>
      </w:r>
    </w:p>
    <w:p w14:paraId="2C6AFDA0">
      <w:pPr>
        <w:keepNext w:val="0"/>
        <w:keepLines w:val="0"/>
        <w:pageBreakBefore w:val="0"/>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（11）本项目采用营改增后一般计税方法。</w:t>
      </w:r>
    </w:p>
    <w:p w14:paraId="01011E1C">
      <w:pPr>
        <w:keepNext w:val="0"/>
        <w:keepLines w:val="0"/>
        <w:pageBreakBefore w:val="0"/>
        <w:spacing w:line="360" w:lineRule="auto"/>
        <w:ind w:left="0" w:firstLine="48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8.异常低价审查</w:t>
      </w:r>
    </w:p>
    <w:p w14:paraId="22ECC249">
      <w:pPr>
        <w:spacing w:line="360" w:lineRule="auto"/>
        <w:ind w:firstLine="513" w:firstLineChars="213"/>
        <w:outlineLvl w:val="1"/>
        <w:rPr>
          <w:rFonts w:hint="eastAsia" w:ascii="宋体" w:hAnsi="宋体"/>
          <w:b/>
          <w:bCs/>
          <w:color w:val="auto"/>
          <w:sz w:val="24"/>
          <w:highlight w:val="none"/>
          <w:u w:val="none"/>
        </w:rPr>
      </w:pPr>
      <w:r>
        <w:rPr>
          <w:rFonts w:hint="eastAsia" w:ascii="宋体" w:hAnsi="宋体"/>
          <w:b/>
          <w:bCs/>
          <w:color w:val="auto"/>
          <w:sz w:val="24"/>
          <w:highlight w:val="none"/>
          <w:u w:val="none"/>
        </w:rPr>
        <w:t>根据《关于推动解决政府采购异常低价问题相关工作的通知》（苏财购〔2025〕62号）及《关于推动解决政府采购异常低价问题的通知》财库〔2026〕2号要求：强化政府采购异常低价审查，出现</w:t>
      </w:r>
      <w:r>
        <w:rPr>
          <w:rFonts w:hint="eastAsia" w:ascii="宋体" w:hAnsi="宋体"/>
          <w:b/>
          <w:bCs/>
          <w:color w:val="auto"/>
          <w:sz w:val="24"/>
          <w:highlight w:val="none"/>
          <w:u w:val="none"/>
          <w:lang w:eastAsia="zh-CN"/>
        </w:rPr>
        <w:t>响应文件</w:t>
      </w:r>
      <w:r>
        <w:rPr>
          <w:rFonts w:hint="eastAsia" w:ascii="宋体" w:hAnsi="宋体"/>
          <w:b/>
          <w:bCs/>
          <w:color w:val="auto"/>
          <w:sz w:val="24"/>
          <w:highlight w:val="none"/>
          <w:u w:val="none"/>
        </w:rPr>
        <w:t>规定的异常低价情形，评标委员会未启动异常低价审查或未对异常低价情形作出认定意见的，采购人应及时报告同级财政部门，由财政部门按照《中华人民共和国政府采购法实施条例》第七十五条追究评审专家的法律责任：</w:t>
      </w:r>
    </w:p>
    <w:p w14:paraId="6FE62124">
      <w:pPr>
        <w:spacing w:line="360" w:lineRule="auto"/>
        <w:ind w:firstLine="238"/>
        <w:outlineLvl w:val="1"/>
        <w:rPr>
          <w:rFonts w:hint="eastAsia" w:ascii="宋体" w:hAnsi="宋体"/>
          <w:b/>
          <w:bCs/>
          <w:color w:val="auto"/>
          <w:sz w:val="24"/>
          <w:highlight w:val="none"/>
          <w:u w:val="none"/>
        </w:rPr>
      </w:pPr>
      <w:r>
        <w:rPr>
          <w:rFonts w:hint="eastAsia" w:ascii="宋体" w:hAnsi="宋体"/>
          <w:b/>
          <w:bCs/>
          <w:color w:val="auto"/>
          <w:sz w:val="24"/>
          <w:highlight w:val="none"/>
          <w:u w:val="none"/>
        </w:rPr>
        <w:t>（一）政府采购评审过程中出现下列情形之一的，评审委员会应当启动异常低价投标（响应）审查程序：</w:t>
      </w:r>
    </w:p>
    <w:p w14:paraId="6A925760">
      <w:pPr>
        <w:spacing w:line="360" w:lineRule="auto"/>
        <w:ind w:firstLine="238"/>
        <w:outlineLvl w:val="1"/>
        <w:rPr>
          <w:rFonts w:hint="eastAsia" w:ascii="宋体" w:hAnsi="宋体"/>
          <w:b/>
          <w:bCs/>
          <w:color w:val="auto"/>
          <w:sz w:val="24"/>
          <w:highlight w:val="none"/>
          <w:u w:val="none"/>
        </w:rPr>
      </w:pPr>
      <w:r>
        <w:rPr>
          <w:rFonts w:hint="eastAsia" w:ascii="宋体" w:hAnsi="宋体"/>
          <w:b/>
          <w:bCs/>
          <w:color w:val="auto"/>
          <w:sz w:val="24"/>
          <w:highlight w:val="none"/>
          <w:u w:val="none"/>
        </w:rPr>
        <w:t>1.投标（响应）报价低于全部通过符合性审查供应商投标（响应）报价平均值50%的，即投标（响应）报价&lt;全部通过符合性审查供应商投标（响应）报价平均值×50%；</w:t>
      </w:r>
    </w:p>
    <w:p w14:paraId="0B2EF8B0">
      <w:pPr>
        <w:spacing w:line="360" w:lineRule="auto"/>
        <w:ind w:firstLine="238"/>
        <w:outlineLvl w:val="1"/>
        <w:rPr>
          <w:rFonts w:hint="eastAsia" w:ascii="宋体" w:hAnsi="宋体"/>
          <w:b/>
          <w:bCs/>
          <w:color w:val="auto"/>
          <w:sz w:val="24"/>
          <w:highlight w:val="none"/>
          <w:u w:val="none"/>
        </w:rPr>
      </w:pPr>
      <w:r>
        <w:rPr>
          <w:rFonts w:hint="eastAsia" w:ascii="宋体" w:hAnsi="宋体"/>
          <w:b/>
          <w:bCs/>
          <w:color w:val="auto"/>
          <w:sz w:val="24"/>
          <w:highlight w:val="none"/>
          <w:u w:val="none"/>
        </w:rPr>
        <w:t xml:space="preserve"> 2.投标（响应）报价低于通过符合性审查的次低报价供应商投标（响应）报价50%的，即投标（响应）报价&lt;通过符合性审查的次低报价供应商投标（响应）报价×50%； </w:t>
      </w:r>
    </w:p>
    <w:p w14:paraId="24072040">
      <w:pPr>
        <w:spacing w:line="360" w:lineRule="auto"/>
        <w:ind w:firstLine="238"/>
        <w:outlineLvl w:val="1"/>
        <w:rPr>
          <w:rFonts w:hint="eastAsia" w:ascii="宋体" w:hAnsi="宋体"/>
          <w:b/>
          <w:bCs/>
          <w:color w:val="auto"/>
          <w:sz w:val="24"/>
          <w:highlight w:val="none"/>
          <w:u w:val="none"/>
        </w:rPr>
      </w:pPr>
      <w:r>
        <w:rPr>
          <w:rFonts w:hint="eastAsia" w:ascii="宋体" w:hAnsi="宋体"/>
          <w:b/>
          <w:bCs/>
          <w:color w:val="auto"/>
          <w:sz w:val="24"/>
          <w:highlight w:val="none"/>
          <w:u w:val="none"/>
        </w:rPr>
        <w:t xml:space="preserve">3.投标（响应）报价低于采购项目最高限价45%的，即投标（响应）报价&lt;采购项目最高限价×45%； </w:t>
      </w:r>
    </w:p>
    <w:p w14:paraId="406D0673">
      <w:pPr>
        <w:spacing w:line="360" w:lineRule="auto"/>
        <w:ind w:firstLine="238"/>
        <w:outlineLvl w:val="1"/>
        <w:rPr>
          <w:rFonts w:hint="eastAsia" w:ascii="宋体" w:hAnsi="宋体"/>
          <w:b/>
          <w:bCs/>
          <w:color w:val="auto"/>
          <w:sz w:val="24"/>
          <w:highlight w:val="none"/>
          <w:u w:val="none"/>
        </w:rPr>
      </w:pPr>
      <w:r>
        <w:rPr>
          <w:rFonts w:hint="eastAsia" w:ascii="宋体" w:hAnsi="宋体"/>
          <w:b/>
          <w:bCs/>
          <w:color w:val="auto"/>
          <w:sz w:val="24"/>
          <w:highlight w:val="none"/>
          <w:u w:val="none"/>
        </w:rPr>
        <w:t>4.评审委员会基于专业判断，认为供应商报价过低，有可能影响产品质量或者不能诚信履约的其他情形。</w:t>
      </w:r>
    </w:p>
    <w:p w14:paraId="319D4365">
      <w:pPr>
        <w:spacing w:line="360" w:lineRule="auto"/>
        <w:ind w:firstLine="238"/>
        <w:outlineLvl w:val="1"/>
        <w:rPr>
          <w:rFonts w:hint="eastAsia" w:ascii="宋体" w:hAnsi="宋体"/>
          <w:b/>
          <w:bCs/>
          <w:color w:val="auto"/>
          <w:sz w:val="24"/>
          <w:highlight w:val="none"/>
          <w:u w:val="none"/>
        </w:rPr>
      </w:pPr>
      <w:r>
        <w:rPr>
          <w:rFonts w:hint="eastAsia" w:ascii="宋体" w:hAnsi="宋体"/>
          <w:b/>
          <w:bCs/>
          <w:color w:val="auto"/>
          <w:sz w:val="24"/>
          <w:highlight w:val="none"/>
          <w:u w:val="none"/>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92F3675">
      <w:pPr>
        <w:spacing w:line="360" w:lineRule="auto"/>
        <w:ind w:firstLine="238"/>
        <w:outlineLvl w:val="1"/>
        <w:rPr>
          <w:rFonts w:hint="eastAsia" w:ascii="宋体" w:hAnsi="宋体"/>
          <w:b/>
          <w:bCs/>
          <w:color w:val="auto"/>
          <w:sz w:val="24"/>
          <w:highlight w:val="none"/>
          <w:u w:val="none"/>
        </w:rPr>
      </w:pPr>
      <w:r>
        <w:rPr>
          <w:rFonts w:hint="eastAsia" w:ascii="宋体" w:hAnsi="宋体"/>
          <w:b/>
          <w:bCs/>
          <w:color w:val="auto"/>
          <w:sz w:val="24"/>
          <w:highlight w:val="none"/>
          <w:u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3490C42">
      <w:pPr>
        <w:spacing w:line="360" w:lineRule="auto"/>
        <w:ind w:firstLine="238"/>
        <w:outlineLvl w:val="1"/>
        <w:rPr>
          <w:rFonts w:hint="eastAsia" w:ascii="宋体" w:hAnsi="宋体"/>
          <w:b/>
          <w:bCs/>
          <w:color w:val="auto"/>
          <w:sz w:val="24"/>
          <w:highlight w:val="none"/>
          <w:u w:val="none"/>
        </w:rPr>
      </w:pPr>
      <w:r>
        <w:rPr>
          <w:rFonts w:hint="eastAsia" w:ascii="宋体" w:hAnsi="宋体"/>
          <w:b/>
          <w:bCs/>
          <w:color w:val="auto"/>
          <w:sz w:val="24"/>
          <w:highlight w:val="none"/>
          <w:u w:val="none"/>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0AD97CE2">
      <w:pPr>
        <w:keepNext w:val="0"/>
        <w:keepLines w:val="0"/>
        <w:pageBreakBefore w:val="0"/>
        <w:spacing w:line="360" w:lineRule="auto"/>
        <w:ind w:left="0" w:firstLine="480"/>
        <w:rPr>
          <w:rFonts w:hint="eastAsia" w:ascii="宋体" w:hAnsi="宋体" w:eastAsia="宋体" w:cs="宋体"/>
          <w:color w:val="auto"/>
          <w:sz w:val="24"/>
          <w:highlight w:val="none"/>
        </w:rPr>
      </w:pPr>
      <w:r>
        <w:rPr>
          <w:rFonts w:hint="eastAsia" w:ascii="宋体" w:hAnsi="宋体"/>
          <w:b/>
          <w:bCs/>
          <w:color w:val="auto"/>
          <w:sz w:val="24"/>
          <w:highlight w:val="none"/>
          <w:u w:val="none"/>
        </w:rPr>
        <w:t>异常低价投标（响应）审查的启动原因、审查意见和审查结果应当在评审报告中记录，并随供应商提供的相关书面说明及证明材料，以及评审委员会有关互联网浏览、查询历史一并归档。</w:t>
      </w:r>
    </w:p>
    <w:p w14:paraId="035B81AA">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（七）响应文件的要求</w:t>
      </w:r>
    </w:p>
    <w:p w14:paraId="3E63FCF6">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1.所有文件、往来函件均应使用简体中文（规格、型号辅助符号除外）。</w:t>
      </w:r>
    </w:p>
    <w:p w14:paraId="6D70C4AB">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2.响应文件由报价供应商按给定格式如实填写（编写），须有法人（盖章）、法定代表人或法定代表人授权代表签字或盖章，方为有效，未尽事宜可自行补充。</w:t>
      </w:r>
    </w:p>
    <w:p w14:paraId="76548DBF">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3.本</w:t>
      </w:r>
      <w:r>
        <w:rPr>
          <w:rFonts w:hint="eastAsia" w:ascii="宋体" w:hAnsi="宋体" w:cs="宋体"/>
          <w:color w:val="auto"/>
          <w:sz w:val="24"/>
          <w:highlight w:val="none"/>
          <w:lang w:eastAsia="zh-CN"/>
        </w:rPr>
        <w:t>磋商文件</w:t>
      </w:r>
      <w:r>
        <w:rPr>
          <w:rFonts w:hint="eastAsia" w:ascii="宋体" w:hAnsi="宋体" w:eastAsia="宋体" w:cs="宋体"/>
          <w:color w:val="auto"/>
          <w:sz w:val="24"/>
          <w:highlight w:val="none"/>
        </w:rPr>
        <w:t>中要求涉及的盖章部分均可使用CA签章。</w:t>
      </w:r>
    </w:p>
    <w:p w14:paraId="19FFB57D">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4.报价供应商报价一律以人民币为报价结算货币，结算单位为“元”。</w:t>
      </w:r>
    </w:p>
    <w:p w14:paraId="36A0682C">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5.响应文件格式部分，应由报价供应商按给定格式提供，不得更改。</w:t>
      </w:r>
    </w:p>
    <w:p w14:paraId="5E976095">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6.响应文件不应有涂改、增删和潦草之处，如有必须修改时，修改处必须有法人、法定代表人或法定代表人授权代表的签章。</w:t>
      </w:r>
    </w:p>
    <w:p w14:paraId="246FBFC4">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7.报价费用自理。</w:t>
      </w:r>
    </w:p>
    <w:p w14:paraId="551A0F24">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8.报价供应商应由其法定代表人或法定代表人授权代表在规定的网上响应时间内，凭CA数字证书登录政府采购交易管理一体化系统获取</w:t>
      </w:r>
      <w:r>
        <w:rPr>
          <w:rFonts w:hint="eastAsia" w:ascii="宋体" w:hAnsi="宋体" w:cs="宋体"/>
          <w:color w:val="auto"/>
          <w:sz w:val="24"/>
          <w:highlight w:val="none"/>
          <w:lang w:eastAsia="zh-CN"/>
        </w:rPr>
        <w:t>磋商文件</w:t>
      </w:r>
      <w:r>
        <w:rPr>
          <w:rFonts w:hint="eastAsia" w:ascii="宋体" w:hAnsi="宋体" w:eastAsia="宋体" w:cs="宋体"/>
          <w:color w:val="auto"/>
          <w:sz w:val="24"/>
          <w:highlight w:val="none"/>
        </w:rPr>
        <w:t>，在投标客户端制作响应文件（电子数据），并在投标截止时间之前上传响应文件。</w:t>
      </w:r>
    </w:p>
    <w:p w14:paraId="56B0EB69">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9.报价供应商应对CA数字证书妥善保管，如被他人盗用投标，后果自负。</w:t>
      </w:r>
    </w:p>
    <w:p w14:paraId="0BEE1C28">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10.报价供应商按</w:t>
      </w:r>
      <w:r>
        <w:rPr>
          <w:rFonts w:hint="eastAsia" w:ascii="宋体" w:hAnsi="宋体" w:cs="宋体"/>
          <w:color w:val="auto"/>
          <w:sz w:val="24"/>
          <w:highlight w:val="none"/>
          <w:lang w:eastAsia="zh-CN"/>
        </w:rPr>
        <w:t>磋商文件</w:t>
      </w:r>
      <w:r>
        <w:rPr>
          <w:rFonts w:hint="eastAsia" w:ascii="宋体" w:hAnsi="宋体" w:eastAsia="宋体" w:cs="宋体"/>
          <w:color w:val="auto"/>
          <w:sz w:val="24"/>
          <w:highlight w:val="none"/>
        </w:rPr>
        <w:t>规定的网上解密时间进行解密，如未按时解密后果自负。</w:t>
      </w:r>
    </w:p>
    <w:p w14:paraId="09CF7BBC">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11.报价供应商应当对</w:t>
      </w:r>
      <w:r>
        <w:rPr>
          <w:rFonts w:hint="eastAsia" w:ascii="宋体" w:hAnsi="宋体" w:cs="宋体"/>
          <w:color w:val="auto"/>
          <w:sz w:val="24"/>
          <w:highlight w:val="none"/>
          <w:lang w:eastAsia="zh-CN"/>
        </w:rPr>
        <w:t>磋商文件</w:t>
      </w:r>
      <w:r>
        <w:rPr>
          <w:rFonts w:hint="eastAsia" w:ascii="宋体" w:hAnsi="宋体" w:eastAsia="宋体" w:cs="宋体"/>
          <w:color w:val="auto"/>
          <w:sz w:val="24"/>
          <w:highlight w:val="none"/>
        </w:rPr>
        <w:t>提出的要求和条件作出实质性响应，并在电子投标系统逐条应答。</w:t>
      </w:r>
    </w:p>
    <w:p w14:paraId="3180C39E">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12.报价供应商应对要求提供的资格证明文件（如资质证书、资格证书）、技术资料（如白皮书、彩页、手册、检测报告等）扫描上传至投标系统。</w:t>
      </w:r>
    </w:p>
    <w:p w14:paraId="465F028F">
      <w:pPr>
        <w:keepNext w:val="0"/>
        <w:keepLines w:val="0"/>
        <w:pageBreakBefore w:val="0"/>
        <w:spacing w:line="360" w:lineRule="auto"/>
        <w:ind w:left="0"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13.报价供应商进行网上投标请参照《政府采购项目电子交易管理操作指南-供应商》。</w:t>
      </w:r>
    </w:p>
    <w:p w14:paraId="0681CA35">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（八）网上投标</w:t>
      </w:r>
    </w:p>
    <w:p w14:paraId="692CFC00">
      <w:pPr>
        <w:keepNext w:val="0"/>
        <w:keepLines w:val="0"/>
        <w:pageBreakBefore w:val="0"/>
        <w:tabs>
          <w:tab w:val="left" w:pos="0"/>
          <w:tab w:val="left" w:pos="704"/>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潜在报价供应商可在项目竞争性磋商公告附件中查看竞争性磋商文件，如确定投标，必须在苏采云平台（http://jszfcg.jscz.gov.cn/jszc/login）中免费下载竞争性磋商文件[江苏省政府采购（苏采云）平台或“政府采购客户端（苏采云）”中免费下载文件（“项目参与”——找到需要获取竞争性磋商文件的项目，点击“我要参与”——“参与投标”——“下载文件”）]，完成项目报名，将苏采云平台中下载的竞争性磋商文件（后缀名为“.kedt”）导入到“政府采购客户端”，离线按要求编制并加密响应文件（使用“CA数字证书”），导出加密的响应文件（后缀名为zip，不得超过150M）并在苏采云平台上传该加密的响应文件，对竞争性磋商文件各项内容做出实质性响应，否则其响应文件无效。</w:t>
      </w:r>
    </w:p>
    <w:p w14:paraId="54773E30">
      <w:pPr>
        <w:keepNext w:val="0"/>
        <w:keepLines w:val="0"/>
        <w:pageBreakBefore w:val="0"/>
        <w:tabs>
          <w:tab w:val="left" w:pos="0"/>
          <w:tab w:val="left" w:pos="704"/>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2、竞争性磋商文件（后缀名为“.kedt”）、“苏采云”系统供应商操作手册及政府采购客户端工具也可通过“苏采云”系统－－已参与项目－－报名详情页面内相应链接进行下载。</w:t>
      </w:r>
    </w:p>
    <w:p w14:paraId="2824F193">
      <w:pPr>
        <w:keepNext w:val="0"/>
        <w:keepLines w:val="0"/>
        <w:pageBreakBefore w:val="0"/>
        <w:tabs>
          <w:tab w:val="left" w:pos="0"/>
          <w:tab w:val="left" w:pos="704"/>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3、政府采购客户端工具及“苏采云”系统供应商操作手册可访问江苏政府采购网-－办事指南--“资料下载”进行下载《“苏采云”系统供应商操作手册及政府采购客户端工具》或可至</w:t>
      </w:r>
      <w:r>
        <w:rPr>
          <w:rFonts w:hint="eastAsia" w:ascii="宋体" w:hAnsi="宋体" w:eastAsia="宋体" w:cs="宋体"/>
          <w:color w:val="auto"/>
          <w:sz w:val="24"/>
          <w:highlight w:val="none"/>
          <w:lang w:val="en-US" w:eastAsia="zh-CN"/>
        </w:rPr>
        <w:t>江苏</w:t>
      </w:r>
      <w:r>
        <w:rPr>
          <w:rFonts w:hint="eastAsia" w:ascii="宋体" w:hAnsi="宋体" w:eastAsia="宋体" w:cs="宋体"/>
          <w:color w:val="auto"/>
          <w:sz w:val="24"/>
          <w:highlight w:val="none"/>
        </w:rPr>
        <w:t>政府采购网--“苏采云”栏目下载《“苏采云”系统供应商操作手册》。</w:t>
      </w:r>
    </w:p>
    <w:p w14:paraId="4154E3D7">
      <w:pPr>
        <w:keepNext w:val="0"/>
        <w:keepLines w:val="0"/>
        <w:pageBreakBefore w:val="0"/>
        <w:tabs>
          <w:tab w:val="left" w:pos="0"/>
          <w:tab w:val="left" w:pos="704"/>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r>
        <w:rPr>
          <w:rFonts w:hint="eastAsia" w:ascii="宋体" w:hAnsi="宋体" w:cs="宋体"/>
          <w:color w:val="auto"/>
          <w:sz w:val="24"/>
          <w:highlight w:val="none"/>
          <w:lang w:eastAsia="zh-CN"/>
        </w:rPr>
        <w:t>报价供应商</w:t>
      </w:r>
      <w:r>
        <w:rPr>
          <w:rFonts w:hint="eastAsia" w:ascii="宋体" w:hAnsi="宋体" w:eastAsia="宋体" w:cs="宋体"/>
          <w:color w:val="auto"/>
          <w:sz w:val="24"/>
          <w:highlight w:val="none"/>
        </w:rPr>
        <w:t>应对CA数字证书妥善保管，如被他人盗用投标，后果自负。</w:t>
      </w:r>
    </w:p>
    <w:p w14:paraId="7C9A37F9">
      <w:pPr>
        <w:keepNext w:val="0"/>
        <w:keepLines w:val="0"/>
        <w:pageBreakBefore w:val="0"/>
        <w:tabs>
          <w:tab w:val="left" w:pos="0"/>
          <w:tab w:val="left" w:pos="704"/>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5、</w:t>
      </w:r>
      <w:r>
        <w:rPr>
          <w:rFonts w:hint="eastAsia" w:ascii="宋体" w:hAnsi="宋体" w:cs="宋体"/>
          <w:color w:val="auto"/>
          <w:sz w:val="24"/>
          <w:highlight w:val="none"/>
          <w:lang w:eastAsia="zh-CN"/>
        </w:rPr>
        <w:t>报价供应商</w:t>
      </w:r>
      <w:r>
        <w:rPr>
          <w:rFonts w:hint="eastAsia" w:ascii="宋体" w:hAnsi="宋体" w:eastAsia="宋体" w:cs="宋体"/>
          <w:color w:val="auto"/>
          <w:sz w:val="24"/>
          <w:highlight w:val="none"/>
        </w:rPr>
        <w:t>按竞争性磋商文件规定的网上解密时间进行解密，如未按时解密后果自负。</w:t>
      </w:r>
    </w:p>
    <w:p w14:paraId="7EF02A8B">
      <w:pPr>
        <w:keepNext w:val="0"/>
        <w:keepLines w:val="0"/>
        <w:pageBreakBefore w:val="0"/>
        <w:tabs>
          <w:tab w:val="left" w:pos="0"/>
          <w:tab w:val="left" w:pos="704"/>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6、</w:t>
      </w:r>
      <w:r>
        <w:rPr>
          <w:rFonts w:hint="eastAsia" w:ascii="宋体" w:hAnsi="宋体" w:cs="宋体"/>
          <w:color w:val="auto"/>
          <w:sz w:val="24"/>
          <w:highlight w:val="none"/>
          <w:lang w:eastAsia="zh-CN"/>
        </w:rPr>
        <w:t>报价供应商</w:t>
      </w:r>
      <w:r>
        <w:rPr>
          <w:rFonts w:hint="eastAsia" w:ascii="宋体" w:hAnsi="宋体" w:eastAsia="宋体" w:cs="宋体"/>
          <w:color w:val="auto"/>
          <w:sz w:val="24"/>
          <w:highlight w:val="none"/>
        </w:rPr>
        <w:t>应当对竞争性磋商文件提出的要求和条件作出实质性响应，并在电子投标系统逐条应答。</w:t>
      </w:r>
    </w:p>
    <w:p w14:paraId="01AB98DF">
      <w:pPr>
        <w:keepNext w:val="0"/>
        <w:keepLines w:val="0"/>
        <w:pageBreakBefore w:val="0"/>
        <w:tabs>
          <w:tab w:val="left" w:pos="0"/>
          <w:tab w:val="left" w:pos="704"/>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7、</w:t>
      </w:r>
      <w:r>
        <w:rPr>
          <w:rFonts w:hint="eastAsia" w:ascii="宋体" w:hAnsi="宋体" w:cs="宋体"/>
          <w:color w:val="auto"/>
          <w:sz w:val="24"/>
          <w:highlight w:val="none"/>
          <w:lang w:eastAsia="zh-CN"/>
        </w:rPr>
        <w:t>报价供应商</w:t>
      </w:r>
      <w:r>
        <w:rPr>
          <w:rFonts w:hint="eastAsia" w:ascii="宋体" w:hAnsi="宋体" w:eastAsia="宋体" w:cs="宋体"/>
          <w:color w:val="auto"/>
          <w:sz w:val="24"/>
          <w:highlight w:val="none"/>
        </w:rPr>
        <w:t>应对要求提供的资格证明文件（如资质证书、资格证书）、技术资料（如白皮书、彩页、手册、检测报告等）扫描上传至投标系统。</w:t>
      </w:r>
    </w:p>
    <w:p w14:paraId="500F9853">
      <w:pPr>
        <w:keepNext w:val="0"/>
        <w:keepLines w:val="0"/>
        <w:pageBreakBefore w:val="0"/>
        <w:tabs>
          <w:tab w:val="left" w:pos="0"/>
          <w:tab w:val="left" w:pos="704"/>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8、响应文件不应有涂改、增删和潦草之处，如有必须修改时，修改处必须有法人、法定代表人或法定代表人授权代表的签章。</w:t>
      </w:r>
    </w:p>
    <w:p w14:paraId="202EAC5B">
      <w:pPr>
        <w:keepNext w:val="0"/>
        <w:keepLines w:val="0"/>
        <w:pageBreakBefore w:val="0"/>
        <w:tabs>
          <w:tab w:val="left" w:pos="0"/>
          <w:tab w:val="left" w:pos="704"/>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9、投标费用自理。</w:t>
      </w:r>
    </w:p>
    <w:p w14:paraId="46494B45">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（九）无效响应文件的确认</w:t>
      </w:r>
    </w:p>
    <w:p w14:paraId="3BCA70F2">
      <w:pPr>
        <w:keepNext w:val="0"/>
        <w:keepLines w:val="0"/>
        <w:pageBreakBefore w:val="0"/>
        <w:spacing w:line="360" w:lineRule="auto"/>
        <w:ind w:left="0" w:firstLine="480"/>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报价供应商有下列情况之一者，其响应文件无效：</w:t>
      </w:r>
    </w:p>
    <w:p w14:paraId="630D6884">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电子响应文件未按规定期限上传的；</w:t>
      </w:r>
    </w:p>
    <w:p w14:paraId="7D1B873D">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电子响应文件未按要求密封、签署、盖章、</w:t>
      </w:r>
      <w:bookmarkStart w:id="2" w:name="_Hlk95937726"/>
      <w:r>
        <w:rPr>
          <w:rFonts w:hint="eastAsia" w:ascii="宋体" w:hAnsi="宋体" w:eastAsia="宋体" w:cs="宋体"/>
          <w:color w:val="auto"/>
          <w:sz w:val="24"/>
          <w:highlight w:val="none"/>
        </w:rPr>
        <w:t>上传至系统</w:t>
      </w:r>
      <w:bookmarkEnd w:id="2"/>
      <w:r>
        <w:rPr>
          <w:rFonts w:hint="eastAsia" w:ascii="宋体" w:hAnsi="宋体" w:eastAsia="宋体" w:cs="宋体"/>
          <w:color w:val="auto"/>
          <w:sz w:val="24"/>
          <w:highlight w:val="none"/>
        </w:rPr>
        <w:t>的；</w:t>
      </w:r>
    </w:p>
    <w:p w14:paraId="5D261328">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供应商未按</w:t>
      </w:r>
      <w:r>
        <w:rPr>
          <w:rFonts w:hint="eastAsia" w:ascii="宋体" w:hAnsi="宋体" w:cs="宋体"/>
          <w:color w:val="auto"/>
          <w:sz w:val="24"/>
          <w:highlight w:val="none"/>
          <w:lang w:eastAsia="zh-CN"/>
        </w:rPr>
        <w:t>磋商文件</w:t>
      </w:r>
      <w:r>
        <w:rPr>
          <w:rFonts w:hint="eastAsia" w:ascii="宋体" w:hAnsi="宋体" w:eastAsia="宋体" w:cs="宋体"/>
          <w:color w:val="auto"/>
          <w:sz w:val="24"/>
          <w:highlight w:val="none"/>
        </w:rPr>
        <w:t>要求解密响应文件的；</w:t>
      </w:r>
    </w:p>
    <w:p w14:paraId="2DFD8006">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报价供应商的法定代表人授权代表，无法定代表人授权委托书的；</w:t>
      </w:r>
    </w:p>
    <w:p w14:paraId="019056D6">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不具备竞争性磋商文件中规定的资格要求及未按竞争性磋商文件规定的要求提供资格证明文件的；</w:t>
      </w:r>
    </w:p>
    <w:p w14:paraId="35BA36AC">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响应文件含有采购人不能接受的附加条件的；</w:t>
      </w:r>
    </w:p>
    <w:p w14:paraId="3A64AD8C">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响应文件未按竞争性磋商文件规定的格式、内容和要求填写、制作的；</w:t>
      </w:r>
    </w:p>
    <w:p w14:paraId="573A217F">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响应文件书写潦草、字迹模糊不清、无法辨认的；</w:t>
      </w:r>
    </w:p>
    <w:p w14:paraId="76D43EEF">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响应文件中有竞争性磋商文件未允许提供的选择性内容的；</w:t>
      </w:r>
    </w:p>
    <w:p w14:paraId="620567CA">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恶意串通其他报价供应商，故意哄抬价格或压价的；</w:t>
      </w:r>
    </w:p>
    <w:p w14:paraId="390C33CA">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提供虚假材料的（包括工商营业执照、财务报表、资格证明文件等）；</w:t>
      </w:r>
    </w:p>
    <w:p w14:paraId="6881F68F">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响应文件未加盖报价供应商公章及法定代表人或授权代表签字和盖章的；</w:t>
      </w:r>
    </w:p>
    <w:p w14:paraId="4A769CB2">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不同报价供应商响应文件相互混装的；</w:t>
      </w:r>
    </w:p>
    <w:p w14:paraId="61DF7611">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不同报价供应商响应文件中的项目相关人员出现同一人的；</w:t>
      </w:r>
    </w:p>
    <w:p w14:paraId="5F8D92D7">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不同报价供应商聘请同一人为其报价提供技术或经济咨询服务的；</w:t>
      </w:r>
    </w:p>
    <w:p w14:paraId="6AF86DD8">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不同报价供应商的单位负责人为同一人或者存在直接控股、管理关系的；</w:t>
      </w:r>
    </w:p>
    <w:p w14:paraId="09357698">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不同报价供应商的响应文件异常一致或者投标报价呈规律性差异；</w:t>
      </w:r>
    </w:p>
    <w:p w14:paraId="1E573D6F">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响应文件中同一方案有选择性报价且未声明以哪一个为准的；</w:t>
      </w:r>
    </w:p>
    <w:p w14:paraId="728CE877">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改变竞争性磋商文件规定的暂定价格或不可竞争费用的；改变竞争性磋商文件规定的工期、误期违约金、质量标准及质量违约金的；</w:t>
      </w:r>
    </w:p>
    <w:p w14:paraId="7B3C8002">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被本项目评委确认为无效响应文件的；</w:t>
      </w:r>
    </w:p>
    <w:p w14:paraId="53909426">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改变竞争性磋商文件提供的工程量清单中的清单编码、计量单位、工程数量、项目特征；</w:t>
      </w:r>
    </w:p>
    <w:p w14:paraId="15470DB9">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未按要求提供技术文件（服务方案）的；</w:t>
      </w:r>
    </w:p>
    <w:p w14:paraId="1B44A4D9">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未按要求提供电子版或电子版内容不全、格式不符合要求的；</w:t>
      </w:r>
    </w:p>
    <w:p w14:paraId="7F08D3C0">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响应文件报价出现前后不一致，报价供应商拒不确认修正后的报价的；</w:t>
      </w:r>
    </w:p>
    <w:p w14:paraId="47AFD8DA">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超过竞争性磋商文件规定的最高限价的；</w:t>
      </w:r>
    </w:p>
    <w:p w14:paraId="3572479B">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磋商小组</w:t>
      </w:r>
      <w:r>
        <w:rPr>
          <w:rFonts w:hint="eastAsia" w:ascii="宋体" w:hAnsi="宋体" w:eastAsia="宋体" w:cs="宋体"/>
          <w:color w:val="auto"/>
          <w:sz w:val="24"/>
          <w:highlight w:val="none"/>
        </w:rPr>
        <w:t>认为报价供应商报价明显低于其他通过符合性审查的报价供应商的报价，有可能影响产品质量或者不能诚信履约，报价供应商必须在评标现场1小时内提供书面说明及提交相关证明材料；报价供应商不能证明其报价合理性的；</w:t>
      </w:r>
    </w:p>
    <w:p w14:paraId="5E389AF8">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未通过初步资格性审查、响应文件资格性检查、响应文件符合性检查的；</w:t>
      </w:r>
    </w:p>
    <w:p w14:paraId="4F15B5F6">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列入失信被执行人、重大税收违法案件当事人名单、政府采购严重违法失信行为记录名单及其他不符合《中华人民共和国政府采购法》第二十二条规定条件的；</w:t>
      </w:r>
    </w:p>
    <w:p w14:paraId="287540EF">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报价供应商的报价畸高或畸低，在询标时没有合理的解释或者不能提供计算依据和报价依据的；</w:t>
      </w:r>
    </w:p>
    <w:p w14:paraId="7F3E05DA">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不同报价供应商的响应文件的装订形式、纸张情况、目录序号、排版格式、文字风格等存在明显的相似性或一致性，特征显示由同一单位或者同一个人编制的；</w:t>
      </w:r>
    </w:p>
    <w:p w14:paraId="1ED4A6F3">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不同报价供应商响应文件内容存在非正常一致、项目组成员或者联系人员出现同一人、响应文件中错误（或异常）一致或雷同、</w:t>
      </w:r>
      <w:r>
        <w:rPr>
          <w:rStyle w:val="225"/>
          <w:rFonts w:hint="eastAsia" w:ascii="宋体" w:hAnsi="宋体" w:eastAsia="宋体" w:cs="宋体"/>
          <w:color w:val="auto"/>
          <w:sz w:val="24"/>
          <w:highlight w:val="none"/>
        </w:rPr>
        <w:t>上传系统的文档信息一致或雷同的</w:t>
      </w:r>
      <w:r>
        <w:rPr>
          <w:rFonts w:hint="eastAsia" w:ascii="宋体" w:hAnsi="宋体" w:eastAsia="宋体" w:cs="宋体"/>
          <w:color w:val="auto"/>
          <w:sz w:val="24"/>
          <w:highlight w:val="none"/>
        </w:rPr>
        <w:t>；</w:t>
      </w:r>
    </w:p>
    <w:p w14:paraId="2E4D813A">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不同报价供应商的委托代理人、项目负责人以及其他相关人员有在同一个单位缴纳社会保险的；</w:t>
      </w:r>
    </w:p>
    <w:p w14:paraId="72477272">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同一响应文件中单位名称落款与公章不是同一单位的；</w:t>
      </w:r>
    </w:p>
    <w:p w14:paraId="34342C8A">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不同报价供应商委托同一单位或者个人办理报价事宜的；</w:t>
      </w:r>
    </w:p>
    <w:p w14:paraId="483D8B97">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不同报价供应商的响应文件由同一台电脑编制或者同一把数字证书加密锁加密或者同一台附属设备打印的；</w:t>
      </w:r>
    </w:p>
    <w:p w14:paraId="38377A9C">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报价供应商的响应文件上传使用的MAC地址和IP地址一致的，不同响应文件留有相同标记标识、存在两处以上一致性错误或雷同等情况，视为报价供应商相互围标、串标，其投标无效；</w:t>
      </w:r>
    </w:p>
    <w:p w14:paraId="16AB88C8">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电子响应文件与竞争性磋商文件要求格式不一致而无法导入计算机评标系统；</w:t>
      </w:r>
    </w:p>
    <w:p w14:paraId="10F11BC0">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启用响应文件电子文本的项目，报价供应商因自身原因造成响应文件电子文本无法导入应急开评标系统的，视为放弃其投标；</w:t>
      </w:r>
    </w:p>
    <w:p w14:paraId="30ACC947">
      <w:pPr>
        <w:keepNext w:val="0"/>
        <w:keepLines w:val="0"/>
        <w:pageBreakBefore w:val="0"/>
        <w:numPr>
          <w:ilvl w:val="0"/>
          <w:numId w:val="8"/>
        </w:numPr>
        <w:tabs>
          <w:tab w:val="left" w:pos="0"/>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响应文件内容不全或不符合法律法规和竞争性磋商文件中规定的其他实质性要求的</w:t>
      </w:r>
      <w:r>
        <w:rPr>
          <w:rFonts w:hint="eastAsia" w:ascii="宋体" w:hAnsi="宋体" w:eastAsia="宋体" w:cs="宋体"/>
          <w:color w:val="auto"/>
          <w:sz w:val="24"/>
          <w:highlight w:val="none"/>
        </w:rPr>
        <w:t>。</w:t>
      </w:r>
    </w:p>
    <w:p w14:paraId="4E46C10D">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（十）磋商、评审</w:t>
      </w:r>
    </w:p>
    <w:p w14:paraId="38D6AA3B">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1.磋商小组</w:t>
      </w:r>
    </w:p>
    <w:p w14:paraId="4237E920">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1.1依照《中华人民共和国政府采购法》《政府采购竞争性磋商采购方式管理暂行办法》的有关规定由专家组成磋商小组</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采购人代表不参加</w:t>
      </w:r>
      <w:r>
        <w:rPr>
          <w:rFonts w:hint="eastAsia" w:ascii="宋体" w:hAnsi="宋体" w:eastAsia="宋体" w:cs="宋体"/>
          <w:bCs/>
          <w:color w:val="auto"/>
          <w:sz w:val="24"/>
          <w:highlight w:val="none"/>
        </w:rPr>
        <w:t>。</w:t>
      </w:r>
    </w:p>
    <w:p w14:paraId="6C3F2D7D">
      <w:pPr>
        <w:keepNext w:val="0"/>
        <w:keepLines w:val="0"/>
        <w:pageBreakBefore w:val="0"/>
        <w:tabs>
          <w:tab w:val="left" w:pos="840"/>
          <w:tab w:val="left" w:pos="1050"/>
        </w:tabs>
        <w:spacing w:line="360" w:lineRule="auto"/>
        <w:ind w:left="0" w:firstLine="48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1.2磋商小组将在江苏省政府采购（苏采云）平台系统集中与单一报价人分别进行磋商，并给予所有参加磋商的报价人平等的磋商机会。参加磋商的报价人代表如未按要求磋商，将被视为报价人自动放弃竞争性磋商权利。</w:t>
      </w:r>
    </w:p>
    <w:p w14:paraId="0D2AB53C">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1.3磋商过程中，磋商小组成员不得与报价人私下交换意见，并在磋商工作结束后，不得将磋商情况进行泄露。</w:t>
      </w:r>
    </w:p>
    <w:p w14:paraId="5787D22D">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1.4回避</w:t>
      </w:r>
    </w:p>
    <w:p w14:paraId="36EE5185">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评审专家不得参加与自己有利害关系的政府采购项目的评审活动。对与自己有利害关系的评审项目，如受到邀请，应主动提出回避。财政部门、采购人或采购代理机构也可要求该评审专家回避。</w:t>
      </w:r>
    </w:p>
    <w:p w14:paraId="74112369">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2.磋商响应文件的评审依据：</w:t>
      </w:r>
    </w:p>
    <w:p w14:paraId="25C1A5ED">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2.1报价一览表内容与磋商响应文件中明细表内容不一致的，以报价一览表为准。</w:t>
      </w:r>
    </w:p>
    <w:p w14:paraId="4FE74539">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2.2总价金额与按单价汇总金额不一致的，以单价金额计算结果为准。单价金额小数点有明显错位的，应以总价为准，并修改单价。</w:t>
      </w:r>
    </w:p>
    <w:p w14:paraId="1A9F9115">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2.3大写金额与小写金额不一致的，以大写金额为准。</w:t>
      </w:r>
    </w:p>
    <w:p w14:paraId="1F0E00D1">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3.磋商程序</w:t>
      </w:r>
    </w:p>
    <w:p w14:paraId="50FD7CFD">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3.1所有报价单位在磋商文件规定的时间内解密各自响应文件；</w:t>
      </w:r>
    </w:p>
    <w:p w14:paraId="283DC5F4">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解密后，供应商须自行准备设备（包括但不限于笔记本电脑、CA锁、无线网络热点）登录“江苏省政府采购（苏采云）平台”，按</w:t>
      </w:r>
      <w:r>
        <w:rPr>
          <w:rFonts w:hint="eastAsia" w:ascii="宋体" w:hAnsi="宋体" w:cs="宋体"/>
          <w:bCs/>
          <w:color w:val="auto"/>
          <w:sz w:val="24"/>
          <w:highlight w:val="none"/>
          <w:lang w:eastAsia="zh-CN"/>
        </w:rPr>
        <w:t>磋商文件</w:t>
      </w:r>
      <w:r>
        <w:rPr>
          <w:rFonts w:hint="eastAsia" w:ascii="宋体" w:hAnsi="宋体" w:eastAsia="宋体" w:cs="宋体"/>
          <w:bCs/>
          <w:color w:val="auto"/>
          <w:sz w:val="24"/>
          <w:highlight w:val="none"/>
        </w:rPr>
        <w:t>规定时间解密后，在评审过程中保持在线，等待</w:t>
      </w:r>
      <w:r>
        <w:rPr>
          <w:rFonts w:hint="eastAsia" w:ascii="宋体" w:hAnsi="宋体" w:eastAsia="宋体" w:cs="宋体"/>
          <w:bCs/>
          <w:color w:val="auto"/>
          <w:sz w:val="24"/>
          <w:highlight w:val="none"/>
          <w:lang w:eastAsia="zh-CN"/>
        </w:rPr>
        <w:t>磋商小组</w:t>
      </w:r>
      <w:r>
        <w:rPr>
          <w:rFonts w:hint="eastAsia" w:ascii="宋体" w:hAnsi="宋体" w:eastAsia="宋体" w:cs="宋体"/>
          <w:bCs/>
          <w:color w:val="auto"/>
          <w:sz w:val="24"/>
          <w:highlight w:val="none"/>
        </w:rPr>
        <w:t>的询标（如有）、按要求报价，并等待评审结果，中途不得离开。如未按要求应答，由此所产生的损失及风险由供应商自行承担。</w:t>
      </w:r>
    </w:p>
    <w:p w14:paraId="5720143C">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3.2磋商截止时间后参加报价的供应商或解密响应文件的供应商不足三家的，不磋商；</w:t>
      </w:r>
    </w:p>
    <w:p w14:paraId="5D651E4E">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3.3磋商时，响应文件报价出现前后不一致的，按照下列规定修正：</w:t>
      </w:r>
    </w:p>
    <w:p w14:paraId="06CBA395">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①响应文件中报价一览表（报价表）内容与响应文件中相应内容不一致的，以报价一览表（报价表）为准；</w:t>
      </w:r>
    </w:p>
    <w:p w14:paraId="737FEF1D">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②大写金额和小写金额不一致的，以大写金额为准；</w:t>
      </w:r>
    </w:p>
    <w:p w14:paraId="50926979">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③单价金额小数点或者百分比有明显错位的，以报价一览表的总价为准，并修改单价；</w:t>
      </w:r>
    </w:p>
    <w:p w14:paraId="4064017D">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④总价金额与按单价汇总金额不一致的，以单价金额计算结果为准。</w:t>
      </w:r>
    </w:p>
    <w:p w14:paraId="63C84BC9">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同时出现两种以上不一致的，按照前款规定的顺序修正。修正后的报价</w:t>
      </w:r>
      <w:r>
        <w:rPr>
          <w:rFonts w:hint="eastAsia" w:ascii="宋体" w:hAnsi="宋体" w:eastAsia="宋体" w:cs="宋体"/>
          <w:bCs/>
          <w:color w:val="auto"/>
          <w:sz w:val="24"/>
          <w:highlight w:val="none"/>
          <w:lang w:eastAsia="zh-CN"/>
        </w:rPr>
        <w:t>磋商小组</w:t>
      </w:r>
      <w:r>
        <w:rPr>
          <w:rFonts w:hint="eastAsia" w:ascii="宋体" w:hAnsi="宋体" w:eastAsia="宋体" w:cs="宋体"/>
          <w:bCs/>
          <w:color w:val="auto"/>
          <w:sz w:val="24"/>
          <w:highlight w:val="none"/>
        </w:rPr>
        <w:t>应当以书面形式要求报价人作出必要的澄清、说明或者补正，经报价人确认后产生约束力，报价人不确认的，其报价无效。</w:t>
      </w:r>
    </w:p>
    <w:p w14:paraId="3D83DA09">
      <w:pPr>
        <w:keepNext w:val="0"/>
        <w:keepLines w:val="0"/>
        <w:pageBreakBefore w:val="0"/>
        <w:tabs>
          <w:tab w:val="left" w:pos="840"/>
          <w:tab w:val="left" w:pos="1050"/>
        </w:tabs>
        <w:spacing w:line="360" w:lineRule="auto"/>
        <w:ind w:left="0" w:firstLine="48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4．电子响应文件与纸质响应文件（如有）不符的，以电子响应文件为准。</w:t>
      </w:r>
    </w:p>
    <w:p w14:paraId="3CF13385">
      <w:pPr>
        <w:keepNext w:val="0"/>
        <w:keepLines w:val="0"/>
        <w:pageBreakBefore w:val="0"/>
        <w:tabs>
          <w:tab w:val="left" w:pos="840"/>
          <w:tab w:val="left" w:pos="1050"/>
        </w:tabs>
        <w:spacing w:line="360" w:lineRule="auto"/>
        <w:ind w:left="0" w:firstLine="482"/>
        <w:rPr>
          <w:rFonts w:hint="eastAsia" w:ascii="宋体" w:hAnsi="宋体" w:eastAsia="宋体" w:cs="宋体"/>
          <w:bCs/>
          <w:color w:val="auto"/>
          <w:sz w:val="24"/>
          <w:highlight w:val="none"/>
        </w:rPr>
      </w:pPr>
      <w:r>
        <w:rPr>
          <w:rFonts w:hint="eastAsia" w:ascii="宋体" w:hAnsi="宋体" w:eastAsia="宋体" w:cs="宋体"/>
          <w:b/>
          <w:color w:val="auto"/>
          <w:sz w:val="24"/>
          <w:highlight w:val="none"/>
        </w:rPr>
        <w:t>5．报价人未参加磋商的，视同认可磋商结果。</w:t>
      </w:r>
    </w:p>
    <w:p w14:paraId="5FAE6D38">
      <w:pPr>
        <w:keepNext w:val="0"/>
        <w:keepLines w:val="0"/>
        <w:pageBreakBefore w:val="0"/>
        <w:tabs>
          <w:tab w:val="left" w:pos="840"/>
          <w:tab w:val="left" w:pos="1050"/>
        </w:tabs>
        <w:spacing w:line="360" w:lineRule="auto"/>
        <w:ind w:left="0" w:firstLine="48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6.信用信息查询</w:t>
      </w:r>
    </w:p>
    <w:p w14:paraId="4E590BF0">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采购代理机构在开标后通过“信用中国”网站（www.creditchina.gov.cn）、中国政府采购网（www.ccgp.gov.cn）、“信用江苏”（http://credit.jiangsu.gov.cn）等渠道查询相关供应商主体信用记录，对列入失信被执行人、重大税收违法案件当事人名单、政府采购严重违法失信行为记录名单及其他不符合《中华人民共和国政府采购法》第二十二条规定条件的供应商，拒绝其参与政府采购活动。</w:t>
      </w:r>
    </w:p>
    <w:p w14:paraId="45366E70">
      <w:pPr>
        <w:keepNext w:val="0"/>
        <w:keepLines w:val="0"/>
        <w:pageBreakBefore w:val="0"/>
        <w:tabs>
          <w:tab w:val="left" w:pos="840"/>
          <w:tab w:val="left" w:pos="105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采购人或采购代理机构通过相关渠道查询的供应商主体信用记录，与项目其他采购资料一并保存。</w:t>
      </w:r>
    </w:p>
    <w:p w14:paraId="235F7FDA">
      <w:pPr>
        <w:keepNext w:val="0"/>
        <w:keepLines w:val="0"/>
        <w:pageBreakBefore w:val="0"/>
        <w:tabs>
          <w:tab w:val="left" w:pos="840"/>
          <w:tab w:val="left" w:pos="1050"/>
        </w:tabs>
        <w:spacing w:line="360" w:lineRule="auto"/>
        <w:ind w:left="0" w:firstLine="48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7.评审工作程序：</w:t>
      </w:r>
    </w:p>
    <w:p w14:paraId="4844B232">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评标工作由</w:t>
      </w:r>
      <w:r>
        <w:rPr>
          <w:rFonts w:hint="eastAsia" w:ascii="宋体" w:hAnsi="宋体" w:cs="宋体"/>
          <w:bCs/>
          <w:color w:val="auto"/>
          <w:sz w:val="24"/>
          <w:szCs w:val="24"/>
          <w:highlight w:val="none"/>
          <w:lang w:eastAsia="zh-CN"/>
        </w:rPr>
        <w:t>江苏新鑫工程咨询有限公司</w:t>
      </w:r>
      <w:r>
        <w:rPr>
          <w:rFonts w:hint="eastAsia" w:ascii="宋体" w:hAnsi="宋体" w:eastAsia="宋体" w:cs="宋体"/>
          <w:bCs/>
          <w:color w:val="auto"/>
          <w:sz w:val="24"/>
          <w:szCs w:val="24"/>
          <w:highlight w:val="none"/>
        </w:rPr>
        <w:t>负责组织，具体评标事务由依法组建的</w:t>
      </w:r>
      <w:r>
        <w:rPr>
          <w:rFonts w:hint="eastAsia" w:ascii="宋体" w:hAnsi="宋体" w:eastAsia="宋体" w:cs="宋体"/>
          <w:bCs/>
          <w:color w:val="auto"/>
          <w:sz w:val="24"/>
          <w:szCs w:val="24"/>
          <w:highlight w:val="none"/>
          <w:lang w:eastAsia="zh-CN"/>
        </w:rPr>
        <w:t>磋商小组</w:t>
      </w:r>
      <w:r>
        <w:rPr>
          <w:rFonts w:hint="eastAsia" w:ascii="宋体" w:hAnsi="宋体" w:eastAsia="宋体" w:cs="宋体"/>
          <w:bCs/>
          <w:color w:val="auto"/>
          <w:sz w:val="24"/>
          <w:szCs w:val="24"/>
          <w:highlight w:val="none"/>
        </w:rPr>
        <w:t>负责。</w:t>
      </w:r>
    </w:p>
    <w:p w14:paraId="4950A554">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（1）响应文件初审。初审分为资格性检查和符合性检查。</w:t>
      </w:r>
    </w:p>
    <w:p w14:paraId="74DF65C4">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①资格性检查。磋商小组依据法律法规和竞争性磋商文件的规定，对响应文件中的资格证明文件等进行审查；通过“信用中国”网站（www.creditchina.gov.cn）、中国政府采购网（www.ccgp.gov.cn）查询供应商在磋商截止时间之前，是否被列入失信被执行人、重大税收违法案件当事人名单、政府采购严重违法失信行为记录名单，以确定供应商是否具备报价资格。信用查询结果以网页打印的形式留存并归档。</w:t>
      </w:r>
    </w:p>
    <w:p w14:paraId="186657CF">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②符合性检查。磋商小组依据竞争性磋商文件的规定，从响应文件的有效性、完整性和对竞争性磋商文件的响应程度进行审查，以确定是否对竞争性磋商文件的实质性要求作出响应。</w:t>
      </w:r>
    </w:p>
    <w:p w14:paraId="5E0A818B">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（2）澄清有关问题。对响应文件中含义不明确、同类问题表述不一致或者有明显文字和计算错误的内容，</w:t>
      </w:r>
      <w:r>
        <w:rPr>
          <w:rFonts w:hint="eastAsia" w:ascii="宋体" w:hAnsi="宋体" w:eastAsia="宋体" w:cs="宋体"/>
          <w:bCs/>
          <w:color w:val="auto"/>
          <w:sz w:val="24"/>
          <w:szCs w:val="24"/>
          <w:highlight w:val="none"/>
          <w:lang w:eastAsia="zh-CN"/>
        </w:rPr>
        <w:t>磋商小组</w:t>
      </w:r>
      <w:r>
        <w:rPr>
          <w:rFonts w:hint="eastAsia" w:ascii="宋体" w:hAnsi="宋体" w:eastAsia="宋体" w:cs="宋体"/>
          <w:bCs/>
          <w:color w:val="auto"/>
          <w:sz w:val="24"/>
          <w:szCs w:val="24"/>
          <w:highlight w:val="none"/>
        </w:rPr>
        <w:t>可以通过江苏省政府采购（苏采云）平台发起询标，要求报价人作出必要的澄清、说明或者纠正。报价人的澄清、说明或者补正应当通过政府采购交易管理一体化系统，由其授权的代表应答并加盖电子公章，且不得超出响应文件的范围或者改变响应文件的实质性内容。</w:t>
      </w:r>
    </w:p>
    <w:p w14:paraId="2E88CEA1">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（3）比较与评价。按竞争性磋商文件中规定的评标方法和标准，对资格性检查和符合性检查合格的响应文件进行商务和技术评估，综合比较与评价。</w:t>
      </w:r>
    </w:p>
    <w:p w14:paraId="15725731">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8.关于磋商报价：</w:t>
      </w:r>
    </w:p>
    <w:p w14:paraId="73DF5B54">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8.1 磋商前首次报价，即按本竞争性磋商文件要求的格式报价；</w:t>
      </w:r>
    </w:p>
    <w:p w14:paraId="613F04A2">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8.2 磋商结束后，磋商小组要求所有实质性响应的供应商在规定时间内提交最终报价，提交最终报价的供应商不得少于3家。</w:t>
      </w:r>
    </w:p>
    <w:p w14:paraId="3D812336">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9. 评标方法</w:t>
      </w:r>
    </w:p>
    <w:p w14:paraId="319F1561">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磋商小组</w:t>
      </w:r>
      <w:r>
        <w:rPr>
          <w:rFonts w:hint="eastAsia" w:ascii="宋体" w:hAnsi="宋体" w:eastAsia="宋体" w:cs="宋体"/>
          <w:bCs/>
          <w:color w:val="auto"/>
          <w:sz w:val="24"/>
          <w:szCs w:val="24"/>
          <w:highlight w:val="none"/>
        </w:rPr>
        <w:t>遵循公平、公正、择优原则，独立按照评分标准分别评定报价供应商的分值；各报价供应商的最终得分为各评委所评定分值的平均值，评标结果按评审后得分由高到低顺序排列。得分相同的，按报价由低到高顺序排列。得分且报价相同的并列，成交候选人并列的按方案优劣顺序排列。响应文件满足磋商文件全部实质性要求，且按照评审因素的量化指标评审得分最高的报价人为排名第一的中标候选人。未列入本评分细则的其他条件不作为评分内容。（计分均保留2位小数）</w:t>
      </w:r>
    </w:p>
    <w:p w14:paraId="1ACF57C5">
      <w:pPr>
        <w:keepNext w:val="0"/>
        <w:keepLines w:val="0"/>
        <w:pageBreakBefore w:val="0"/>
        <w:tabs>
          <w:tab w:val="left" w:pos="525"/>
          <w:tab w:val="left" w:pos="94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10.评分标准</w:t>
      </w:r>
    </w:p>
    <w:p w14:paraId="77F5ABB7">
      <w:pPr>
        <w:keepNext w:val="0"/>
        <w:keepLines w:val="0"/>
        <w:pageBreakBefore w:val="0"/>
        <w:spacing w:line="360" w:lineRule="auto"/>
        <w:ind w:left="0" w:firstLine="480"/>
        <w:rPr>
          <w:rFonts w:hint="eastAsia" w:ascii="宋体" w:hAnsi="宋体" w:eastAsia="宋体" w:cs="宋体"/>
          <w:b/>
          <w:bCs/>
          <w:color w:val="auto"/>
          <w:sz w:val="24"/>
          <w:highlight w:val="none"/>
        </w:rPr>
      </w:pPr>
      <w:r>
        <w:rPr>
          <w:rFonts w:hint="eastAsia" w:ascii="宋体" w:hAnsi="宋体" w:eastAsia="宋体" w:cs="宋体"/>
          <w:color w:val="auto"/>
          <w:sz w:val="24"/>
          <w:szCs w:val="28"/>
          <w:highlight w:val="none"/>
        </w:rPr>
        <w:t>对通过符合性审查、商务及技术评审和报价评审的报价人，采用综合计分的办法进</w:t>
      </w:r>
      <w:r>
        <w:rPr>
          <w:rFonts w:hint="eastAsia" w:ascii="宋体" w:hAnsi="宋体" w:eastAsia="宋体" w:cs="宋体"/>
          <w:b w:val="0"/>
          <w:bCs w:val="0"/>
          <w:color w:val="auto"/>
          <w:sz w:val="24"/>
          <w:szCs w:val="28"/>
          <w:highlight w:val="none"/>
        </w:rPr>
        <w:t>行评分。标准具体如下：</w:t>
      </w:r>
    </w:p>
    <w:p w14:paraId="3E122EEE">
      <w:pPr>
        <w:keepNext w:val="0"/>
        <w:keepLines w:val="0"/>
        <w:pageBreakBefore w:val="0"/>
        <w:spacing w:line="360" w:lineRule="auto"/>
        <w:ind w:left="0" w:firstLine="48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特别注意：本项目采用暗标形式，</w:t>
      </w:r>
      <w:r>
        <w:rPr>
          <w:rFonts w:hint="eastAsia" w:ascii="宋体" w:hAnsi="宋体" w:cs="宋体"/>
          <w:b/>
          <w:bCs/>
          <w:color w:val="auto"/>
          <w:sz w:val="24"/>
          <w:szCs w:val="24"/>
          <w:highlight w:val="none"/>
          <w:lang w:eastAsia="zh-CN"/>
        </w:rPr>
        <w:t>报价供应商</w:t>
      </w:r>
      <w:r>
        <w:rPr>
          <w:rFonts w:hint="eastAsia" w:ascii="宋体" w:hAnsi="宋体" w:eastAsia="宋体" w:cs="宋体"/>
          <w:b/>
          <w:bCs/>
          <w:color w:val="auto"/>
          <w:sz w:val="24"/>
          <w:szCs w:val="24"/>
          <w:highlight w:val="none"/>
        </w:rPr>
        <w:t>须对商务部分和技术部分分别进行制作。其中技术部分属于暗标，</w:t>
      </w:r>
      <w:r>
        <w:rPr>
          <w:rFonts w:hint="eastAsia" w:ascii="宋体" w:hAnsi="宋体" w:cs="宋体"/>
          <w:b/>
          <w:bCs/>
          <w:color w:val="auto"/>
          <w:sz w:val="24"/>
          <w:szCs w:val="24"/>
          <w:highlight w:val="none"/>
          <w:lang w:eastAsia="zh-CN"/>
        </w:rPr>
        <w:t>报价供应商</w:t>
      </w:r>
      <w:r>
        <w:rPr>
          <w:rFonts w:hint="eastAsia" w:ascii="宋体" w:hAnsi="宋体" w:eastAsia="宋体" w:cs="宋体"/>
          <w:b/>
          <w:bCs/>
          <w:color w:val="auto"/>
          <w:sz w:val="24"/>
          <w:szCs w:val="24"/>
          <w:highlight w:val="none"/>
        </w:rPr>
        <w:t>在制作技术部分相关内容时不得有体现</w:t>
      </w:r>
      <w:r>
        <w:rPr>
          <w:rFonts w:hint="eastAsia" w:ascii="宋体" w:hAnsi="宋体" w:cs="宋体"/>
          <w:b/>
          <w:bCs/>
          <w:color w:val="auto"/>
          <w:sz w:val="24"/>
          <w:szCs w:val="24"/>
          <w:highlight w:val="none"/>
          <w:lang w:eastAsia="zh-CN"/>
        </w:rPr>
        <w:t>报价供应商</w:t>
      </w:r>
      <w:r>
        <w:rPr>
          <w:rFonts w:hint="eastAsia" w:ascii="宋体" w:hAnsi="宋体" w:eastAsia="宋体" w:cs="宋体"/>
          <w:b/>
          <w:bCs/>
          <w:color w:val="auto"/>
          <w:sz w:val="24"/>
          <w:szCs w:val="24"/>
          <w:highlight w:val="none"/>
        </w:rPr>
        <w:t>身份的内容，否则投标无效。</w:t>
      </w:r>
    </w:p>
    <w:p w14:paraId="350EAD56">
      <w:pPr>
        <w:keepNext w:val="0"/>
        <w:keepLines w:val="0"/>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（一）评分项目及总分（总分100分）</w:t>
      </w:r>
    </w:p>
    <w:p w14:paraId="6BC9C819">
      <w:pPr>
        <w:keepNext w:val="0"/>
        <w:keepLines w:val="0"/>
        <w:pageBreakBefore w:val="0"/>
        <w:spacing w:line="360" w:lineRule="auto"/>
        <w:ind w:left="0" w:firstLine="482"/>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明标部分</w:t>
      </w:r>
    </w:p>
    <w:p w14:paraId="50BCF785">
      <w:pPr>
        <w:keepNext w:val="0"/>
        <w:keepLines w:val="0"/>
        <w:pageBreakBefore w:val="0"/>
        <w:spacing w:line="360" w:lineRule="auto"/>
        <w:ind w:left="0" w:firstLine="48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磋商</w:t>
      </w:r>
      <w:r>
        <w:rPr>
          <w:rFonts w:hint="eastAsia" w:ascii="宋体" w:hAnsi="宋体" w:eastAsia="宋体" w:cs="宋体"/>
          <w:b/>
          <w:color w:val="auto"/>
          <w:sz w:val="24"/>
          <w:szCs w:val="24"/>
          <w:highlight w:val="none"/>
        </w:rPr>
        <w:t>报价                               30分</w:t>
      </w:r>
    </w:p>
    <w:p w14:paraId="30227749">
      <w:pPr>
        <w:keepNext w:val="0"/>
        <w:keepLines w:val="0"/>
        <w:pageBreakBefore w:val="0"/>
        <w:spacing w:line="360" w:lineRule="auto"/>
        <w:ind w:left="0" w:firstLine="48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w:t>
      </w:r>
      <w:r>
        <w:rPr>
          <w:rFonts w:hint="eastAsia" w:ascii="宋体" w:hAnsi="宋体" w:eastAsia="宋体" w:cs="宋体"/>
          <w:b/>
          <w:color w:val="auto"/>
          <w:sz w:val="24"/>
          <w:szCs w:val="24"/>
          <w:highlight w:val="none"/>
          <w:lang w:val="en-US" w:eastAsia="zh-CN"/>
        </w:rPr>
        <w:t>磋商</w:t>
      </w:r>
      <w:r>
        <w:rPr>
          <w:rFonts w:hint="eastAsia" w:ascii="宋体" w:hAnsi="宋体" w:eastAsia="宋体" w:cs="宋体"/>
          <w:b/>
          <w:color w:val="auto"/>
          <w:sz w:val="24"/>
          <w:highlight w:val="none"/>
        </w:rPr>
        <w:t>供应商评价</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z w:val="24"/>
          <w:szCs w:val="24"/>
          <w:highlight w:val="none"/>
          <w:lang w:val="en-US" w:eastAsia="zh-CN"/>
        </w:rPr>
        <w:t>1</w:t>
      </w:r>
      <w:r>
        <w:rPr>
          <w:rFonts w:hint="eastAsia" w:ascii="宋体" w:hAnsi="宋体" w:cs="宋体"/>
          <w:b/>
          <w:bCs/>
          <w:color w:val="auto"/>
          <w:sz w:val="24"/>
          <w:szCs w:val="24"/>
          <w:highlight w:val="none"/>
          <w:lang w:val="en-US" w:eastAsia="zh-CN"/>
        </w:rPr>
        <w:t>4</w:t>
      </w:r>
      <w:r>
        <w:rPr>
          <w:rFonts w:hint="eastAsia" w:ascii="宋体" w:hAnsi="宋体" w:eastAsia="宋体" w:cs="宋体"/>
          <w:b/>
          <w:color w:val="auto"/>
          <w:sz w:val="24"/>
          <w:szCs w:val="24"/>
          <w:highlight w:val="none"/>
        </w:rPr>
        <w:t>分</w:t>
      </w:r>
    </w:p>
    <w:p w14:paraId="13E11040">
      <w:pPr>
        <w:keepNext w:val="0"/>
        <w:keepLines w:val="0"/>
        <w:pageBreakBefore w:val="0"/>
        <w:spacing w:line="360" w:lineRule="auto"/>
        <w:ind w:left="0" w:firstLine="482"/>
        <w:rPr>
          <w:rFonts w:hint="eastAsia" w:ascii="宋体" w:hAnsi="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暗标部分</w:t>
      </w:r>
    </w:p>
    <w:p w14:paraId="4704CA19">
      <w:pPr>
        <w:keepNext w:val="0"/>
        <w:keepLines w:val="0"/>
        <w:pageBreakBefore w:val="0"/>
        <w:spacing w:line="360" w:lineRule="auto"/>
        <w:ind w:left="0" w:firstLine="48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（3）技术文件                               5</w:t>
      </w:r>
      <w:r>
        <w:rPr>
          <w:rFonts w:hint="eastAsia" w:ascii="宋体" w:hAnsi="宋体" w:cs="宋体"/>
          <w:b/>
          <w:color w:val="auto"/>
          <w:sz w:val="24"/>
          <w:szCs w:val="24"/>
          <w:highlight w:val="none"/>
          <w:lang w:val="en-US" w:eastAsia="zh-CN"/>
        </w:rPr>
        <w:t>6</w:t>
      </w:r>
      <w:r>
        <w:rPr>
          <w:rFonts w:hint="eastAsia" w:ascii="宋体" w:hAnsi="宋体" w:eastAsia="宋体" w:cs="宋体"/>
          <w:b/>
          <w:color w:val="auto"/>
          <w:sz w:val="24"/>
          <w:szCs w:val="24"/>
          <w:highlight w:val="none"/>
        </w:rPr>
        <w:t>分</w:t>
      </w:r>
    </w:p>
    <w:p w14:paraId="08E6AF32">
      <w:pPr>
        <w:keepNext w:val="0"/>
        <w:keepLines w:val="0"/>
        <w:pageBreakBefore w:val="0"/>
        <w:spacing w:line="360" w:lineRule="auto"/>
        <w:ind w:left="0" w:firstLine="48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（二）各项目评分标准：</w:t>
      </w:r>
    </w:p>
    <w:p w14:paraId="11D46E3C">
      <w:pPr>
        <w:keepNext w:val="0"/>
        <w:keepLines w:val="0"/>
        <w:pageBreakBefore w:val="0"/>
        <w:tabs>
          <w:tab w:val="left" w:pos="420"/>
          <w:tab w:val="left" w:pos="945"/>
          <w:tab w:val="left" w:pos="1155"/>
        </w:tabs>
        <w:spacing w:line="360" w:lineRule="auto"/>
        <w:ind w:left="0" w:firstLine="48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en-US" w:eastAsia="zh-CN"/>
        </w:rPr>
        <w:t>磋商</w:t>
      </w:r>
      <w:r>
        <w:rPr>
          <w:rFonts w:hint="eastAsia" w:ascii="宋体" w:hAnsi="宋体" w:eastAsia="宋体" w:cs="宋体"/>
          <w:b/>
          <w:bCs/>
          <w:color w:val="auto"/>
          <w:sz w:val="24"/>
          <w:szCs w:val="24"/>
          <w:highlight w:val="none"/>
        </w:rPr>
        <w:t>报价（30分）</w:t>
      </w:r>
    </w:p>
    <w:p w14:paraId="44550B45">
      <w:pPr>
        <w:keepNext w:val="0"/>
        <w:keepLines w:val="0"/>
        <w:pageBreakBefore w:val="0"/>
        <w:tabs>
          <w:tab w:val="left" w:pos="945"/>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8"/>
          <w:highlight w:val="none"/>
        </w:rPr>
        <w:t>价格分统一采用低价优先法计算，即满足磋商文件要求且最后报价最低的供应商的价格为磋商基准价，其价格分为满分。</w:t>
      </w:r>
      <w:r>
        <w:rPr>
          <w:rFonts w:hint="eastAsia" w:ascii="宋体" w:hAnsi="宋体" w:eastAsia="宋体" w:cs="宋体"/>
          <w:color w:val="auto"/>
          <w:sz w:val="24"/>
          <w:szCs w:val="24"/>
          <w:highlight w:val="none"/>
        </w:rPr>
        <w:t>其他供应商的价格分统一按照下列公式计算：</w:t>
      </w:r>
    </w:p>
    <w:p w14:paraId="75CD2E1E">
      <w:pPr>
        <w:keepNext w:val="0"/>
        <w:keepLines w:val="0"/>
        <w:pageBreakBefore w:val="0"/>
        <w:tabs>
          <w:tab w:val="left" w:pos="945"/>
          <w:tab w:val="left" w:pos="1155"/>
        </w:tabs>
        <w:spacing w:line="360" w:lineRule="auto"/>
        <w:ind w:left="0" w:firstLine="48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8"/>
          <w:highlight w:val="none"/>
        </w:rPr>
        <w:t>磋商</w:t>
      </w:r>
      <w:r>
        <w:rPr>
          <w:rFonts w:hint="eastAsia" w:ascii="宋体" w:hAnsi="宋体" w:eastAsia="宋体" w:cs="宋体"/>
          <w:b/>
          <w:bCs/>
          <w:color w:val="auto"/>
          <w:sz w:val="24"/>
          <w:szCs w:val="24"/>
          <w:highlight w:val="none"/>
        </w:rPr>
        <w:t>报价得分=（磋商基准价/最后磋商报价）×价格权值×100</w:t>
      </w:r>
    </w:p>
    <w:p w14:paraId="2F588DBD">
      <w:pPr>
        <w:keepNext w:val="0"/>
        <w:keepLines w:val="0"/>
        <w:pageBreakBefore w:val="0"/>
        <w:tabs>
          <w:tab w:val="left" w:pos="945"/>
          <w:tab w:val="left" w:pos="1155"/>
        </w:tabs>
        <w:spacing w:line="360" w:lineRule="auto"/>
        <w:ind w:left="0" w:firstLine="48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（2）报价供应商评价（</w:t>
      </w:r>
      <w:r>
        <w:rPr>
          <w:rFonts w:hint="eastAsia" w:ascii="宋体" w:hAnsi="宋体" w:eastAsia="宋体" w:cs="宋体"/>
          <w:b/>
          <w:bCs/>
          <w:color w:val="auto"/>
          <w:sz w:val="24"/>
          <w:szCs w:val="24"/>
          <w:highlight w:val="none"/>
          <w:lang w:val="en-US" w:eastAsia="zh-CN"/>
        </w:rPr>
        <w:t>1</w:t>
      </w: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分）</w:t>
      </w:r>
    </w:p>
    <w:p w14:paraId="3E0D729E">
      <w:pPr>
        <w:keepNext w:val="0"/>
        <w:keepLines w:val="0"/>
        <w:pageBreakBefore w:val="0"/>
        <w:tabs>
          <w:tab w:val="left" w:pos="945"/>
          <w:tab w:val="left" w:pos="1155"/>
        </w:tabs>
        <w:spacing w:line="360" w:lineRule="auto"/>
        <w:ind w:left="0" w:firstLine="480"/>
        <w:rPr>
          <w:rFonts w:hint="default" w:ascii="宋体" w:hAnsi="宋体" w:eastAsia="宋体" w:cs="宋体"/>
          <w:color w:val="auto"/>
          <w:sz w:val="24"/>
          <w:szCs w:val="24"/>
          <w:highlight w:val="none"/>
        </w:rPr>
      </w:pPr>
      <w:r>
        <w:rPr>
          <w:rFonts w:hint="eastAsia" w:ascii="宋体" w:hAnsi="宋体" w:eastAsia="宋体" w:cs="宋体"/>
          <w:color w:val="auto"/>
          <w:sz w:val="24"/>
          <w:highlight w:val="none"/>
        </w:rPr>
        <w:t>1）</w:t>
      </w:r>
      <w:r>
        <w:rPr>
          <w:rFonts w:hint="eastAsia" w:ascii="宋体" w:hAnsi="宋体" w:cs="宋体"/>
          <w:color w:val="auto"/>
          <w:sz w:val="24"/>
          <w:highlight w:val="none"/>
          <w:lang w:val="en-US" w:eastAsia="zh-CN"/>
        </w:rPr>
        <w:t>项目负责人</w:t>
      </w:r>
      <w:r>
        <w:rPr>
          <w:rFonts w:hint="eastAsia" w:ascii="宋体" w:hAnsi="宋体" w:eastAsia="宋体" w:cs="宋体"/>
          <w:color w:val="auto"/>
          <w:sz w:val="24"/>
          <w:szCs w:val="24"/>
          <w:highlight w:val="none"/>
        </w:rPr>
        <w:t>业绩（</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分）</w:t>
      </w:r>
    </w:p>
    <w:p w14:paraId="6CCFCC46">
      <w:pPr>
        <w:keepNext w:val="0"/>
        <w:keepLines w:val="0"/>
        <w:pageBreakBefore w:val="0"/>
        <w:numPr>
          <w:ilvl w:val="0"/>
          <w:numId w:val="0"/>
        </w:numPr>
        <w:tabs>
          <w:tab w:val="left" w:pos="945"/>
          <w:tab w:val="left" w:pos="1155"/>
        </w:tabs>
        <w:spacing w:line="360" w:lineRule="auto"/>
        <w:ind w:firstLine="480" w:firstLineChars="200"/>
        <w:rPr>
          <w:rFonts w:hint="default" w:ascii="宋体" w:hAnsi="宋体" w:cs="宋体"/>
          <w:color w:val="auto"/>
          <w:sz w:val="24"/>
          <w:szCs w:val="24"/>
          <w:highlight w:val="none"/>
          <w:lang w:val="en-US" w:eastAsia="zh-CN"/>
        </w:rPr>
      </w:pPr>
      <w:r>
        <w:rPr>
          <w:rFonts w:hint="eastAsia" w:ascii="宋体" w:hAnsi="宋体" w:cs="宋体"/>
          <w:bCs/>
          <w:sz w:val="24"/>
        </w:rPr>
        <w:t>项目负责人</w:t>
      </w:r>
      <w:r>
        <w:rPr>
          <w:rFonts w:hint="eastAsia" w:ascii="宋体" w:hAnsi="宋体" w:eastAsia="宋体" w:cs="Times New Roman"/>
          <w:bCs/>
          <w:color w:val="000000"/>
          <w:kern w:val="0"/>
          <w:sz w:val="24"/>
          <w:szCs w:val="24"/>
        </w:rPr>
        <w:t>自2023年1月1日以来承担过类似工程的，有一个得2分，本项最高得2分。</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提供</w:t>
      </w:r>
      <w:r>
        <w:rPr>
          <w:rFonts w:hint="eastAsia" w:ascii="宋体" w:hAnsi="宋体" w:eastAsia="宋体" w:cs="宋体"/>
          <w:b/>
          <w:bCs/>
          <w:color w:val="auto"/>
          <w:sz w:val="24"/>
          <w:szCs w:val="24"/>
          <w:highlight w:val="none"/>
          <w:lang w:val="zh-CN"/>
        </w:rPr>
        <w:t>有效的中标通知书或直接发包备案证明、</w:t>
      </w:r>
      <w:r>
        <w:rPr>
          <w:rFonts w:hint="eastAsia" w:ascii="宋体" w:hAnsi="宋体" w:eastAsia="宋体" w:cs="宋体"/>
          <w:b/>
          <w:bCs/>
          <w:color w:val="auto"/>
          <w:sz w:val="24"/>
          <w:szCs w:val="24"/>
          <w:highlight w:val="none"/>
        </w:rPr>
        <w:t>施工合同、竣工验收证明扫描件上传至</w:t>
      </w:r>
      <w:r>
        <w:rPr>
          <w:rFonts w:hint="eastAsia" w:ascii="宋体" w:hAnsi="宋体" w:cs="宋体"/>
          <w:b/>
          <w:bCs/>
          <w:color w:val="auto"/>
          <w:sz w:val="24"/>
          <w:szCs w:val="24"/>
          <w:highlight w:val="none"/>
          <w:lang w:val="en-US" w:eastAsia="zh-CN"/>
        </w:rPr>
        <w:t>响应</w:t>
      </w:r>
      <w:r>
        <w:rPr>
          <w:rFonts w:hint="eastAsia" w:ascii="宋体" w:hAnsi="宋体" w:eastAsia="宋体" w:cs="宋体"/>
          <w:b/>
          <w:bCs/>
          <w:color w:val="auto"/>
          <w:sz w:val="24"/>
          <w:szCs w:val="24"/>
          <w:highlight w:val="none"/>
        </w:rPr>
        <w:t>文件并电子签章，业绩有效期以竣工验收证明日期为准。不提供或缺任意一项不得分）</w:t>
      </w:r>
    </w:p>
    <w:p w14:paraId="2EFE076C">
      <w:pPr>
        <w:keepNext w:val="0"/>
        <w:keepLines w:val="0"/>
        <w:pageBreakBefore w:val="0"/>
        <w:tabs>
          <w:tab w:val="left" w:pos="945"/>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项目管理机构人员配备（</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p w14:paraId="7D4A8CFE">
      <w:pPr>
        <w:keepNext w:val="0"/>
        <w:keepLines w:val="0"/>
        <w:pageBreakBefore w:val="0"/>
        <w:tabs>
          <w:tab w:val="left" w:pos="945"/>
          <w:tab w:val="left" w:pos="1155"/>
        </w:tabs>
        <w:spacing w:line="360" w:lineRule="auto"/>
        <w:ind w:left="0" w:firstLine="480"/>
        <w:rPr>
          <w:rFonts w:hint="eastAsia" w:ascii="宋体" w:hAnsi="宋体" w:eastAsia="宋体" w:cs="宋体"/>
          <w:b/>
          <w:bCs/>
          <w:color w:val="auto"/>
          <w:sz w:val="24"/>
          <w:szCs w:val="24"/>
          <w:highlight w:val="none"/>
        </w:rPr>
      </w:pPr>
      <w:r>
        <w:rPr>
          <w:rFonts w:hint="eastAsia" w:ascii="宋体" w:hAnsi="宋体" w:eastAsia="宋体" w:cs="宋体"/>
          <w:b w:val="0"/>
          <w:bCs w:val="0"/>
          <w:color w:val="auto"/>
          <w:sz w:val="24"/>
          <w:szCs w:val="24"/>
          <w:highlight w:val="none"/>
        </w:rPr>
        <w:t>①拟投入的项目负责人具备工程类中级及以上技术职称的得2分；具备[机电工程]专业二级</w:t>
      </w:r>
      <w:r>
        <w:rPr>
          <w:rFonts w:hint="eastAsia" w:ascii="宋体" w:hAnsi="宋体" w:cs="宋体"/>
          <w:b w:val="0"/>
          <w:bCs w:val="0"/>
          <w:color w:val="auto"/>
          <w:sz w:val="24"/>
          <w:szCs w:val="24"/>
          <w:highlight w:val="none"/>
          <w:lang w:val="en-US" w:eastAsia="zh-CN"/>
        </w:rPr>
        <w:t>及以上</w:t>
      </w:r>
      <w:r>
        <w:rPr>
          <w:rFonts w:hint="eastAsia" w:ascii="宋体" w:hAnsi="宋体" w:eastAsia="宋体" w:cs="宋体"/>
          <w:b w:val="0"/>
          <w:bCs w:val="0"/>
          <w:color w:val="auto"/>
          <w:sz w:val="24"/>
          <w:szCs w:val="24"/>
          <w:highlight w:val="none"/>
        </w:rPr>
        <w:t>建造师资格的，得2分，本项目最高得4分。</w:t>
      </w:r>
      <w:r>
        <w:rPr>
          <w:rFonts w:hint="eastAsia" w:ascii="宋体" w:hAnsi="宋体" w:eastAsia="宋体" w:cs="宋体"/>
          <w:b/>
          <w:bCs/>
          <w:color w:val="auto"/>
          <w:sz w:val="24"/>
          <w:szCs w:val="24"/>
          <w:highlight w:val="none"/>
        </w:rPr>
        <w:t>(提供证书描件上传至</w:t>
      </w:r>
      <w:r>
        <w:rPr>
          <w:rFonts w:hint="eastAsia" w:ascii="宋体" w:hAnsi="宋体" w:eastAsia="宋体" w:cs="宋体"/>
          <w:b/>
          <w:bCs/>
          <w:color w:val="auto"/>
          <w:sz w:val="24"/>
          <w:szCs w:val="24"/>
          <w:highlight w:val="none"/>
          <w:lang w:val="en-US" w:eastAsia="zh-CN"/>
        </w:rPr>
        <w:t>响应</w:t>
      </w:r>
      <w:r>
        <w:rPr>
          <w:rFonts w:hint="eastAsia" w:ascii="宋体" w:hAnsi="宋体" w:eastAsia="宋体" w:cs="宋体"/>
          <w:b/>
          <w:bCs/>
          <w:color w:val="auto"/>
          <w:sz w:val="24"/>
          <w:szCs w:val="24"/>
          <w:highlight w:val="none"/>
        </w:rPr>
        <w:t>文件并电子签章，不提供或未按要求提供</w:t>
      </w:r>
      <w:r>
        <w:rPr>
          <w:rFonts w:hint="eastAsia" w:ascii="宋体" w:hAnsi="宋体" w:cs="宋体"/>
          <w:b/>
          <w:bCs/>
          <w:color w:val="auto"/>
          <w:sz w:val="24"/>
          <w:szCs w:val="24"/>
          <w:highlight w:val="none"/>
          <w:lang w:eastAsia="zh-CN"/>
        </w:rPr>
        <w:t>的</w:t>
      </w:r>
      <w:r>
        <w:rPr>
          <w:rFonts w:hint="eastAsia" w:ascii="宋体" w:hAnsi="宋体" w:eastAsia="宋体" w:cs="宋体"/>
          <w:b/>
          <w:bCs/>
          <w:color w:val="auto"/>
          <w:sz w:val="24"/>
          <w:szCs w:val="24"/>
          <w:highlight w:val="none"/>
        </w:rPr>
        <w:t>不得分)</w:t>
      </w:r>
    </w:p>
    <w:p w14:paraId="0CC36979">
      <w:pPr>
        <w:keepNext w:val="0"/>
        <w:keepLines w:val="0"/>
        <w:pageBreakBefore w:val="0"/>
        <w:tabs>
          <w:tab w:val="left" w:pos="945"/>
          <w:tab w:val="left" w:pos="1155"/>
        </w:tabs>
        <w:spacing w:line="360" w:lineRule="auto"/>
        <w:ind w:left="0" w:firstLine="48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②拟投入的项目技术负责人具备工程类中级及以上技术职称的得2分。</w:t>
      </w:r>
      <w:r>
        <w:rPr>
          <w:rFonts w:hint="eastAsia" w:ascii="宋体" w:hAnsi="宋体" w:eastAsia="宋体" w:cs="宋体"/>
          <w:b/>
          <w:bCs/>
          <w:color w:val="auto"/>
          <w:sz w:val="24"/>
          <w:szCs w:val="24"/>
          <w:highlight w:val="none"/>
        </w:rPr>
        <w:t>(提供证书描件上传至</w:t>
      </w:r>
      <w:r>
        <w:rPr>
          <w:rFonts w:hint="eastAsia" w:ascii="宋体" w:hAnsi="宋体" w:eastAsia="宋体" w:cs="宋体"/>
          <w:b/>
          <w:bCs/>
          <w:color w:val="auto"/>
          <w:sz w:val="24"/>
          <w:szCs w:val="24"/>
          <w:highlight w:val="none"/>
          <w:lang w:val="en-US" w:eastAsia="zh-CN"/>
        </w:rPr>
        <w:t>响应</w:t>
      </w:r>
      <w:r>
        <w:rPr>
          <w:rFonts w:hint="eastAsia" w:ascii="宋体" w:hAnsi="宋体" w:eastAsia="宋体" w:cs="宋体"/>
          <w:b/>
          <w:bCs/>
          <w:color w:val="auto"/>
          <w:sz w:val="24"/>
          <w:szCs w:val="24"/>
          <w:highlight w:val="none"/>
        </w:rPr>
        <w:t>文件并电子签章，不提供或未按要求提供</w:t>
      </w:r>
      <w:r>
        <w:rPr>
          <w:rFonts w:hint="eastAsia" w:ascii="宋体" w:hAnsi="宋体" w:cs="宋体"/>
          <w:b/>
          <w:bCs/>
          <w:color w:val="auto"/>
          <w:sz w:val="24"/>
          <w:szCs w:val="24"/>
          <w:highlight w:val="none"/>
          <w:lang w:eastAsia="zh-CN"/>
        </w:rPr>
        <w:t>的</w:t>
      </w:r>
      <w:r>
        <w:rPr>
          <w:rFonts w:hint="eastAsia" w:ascii="宋体" w:hAnsi="宋体" w:eastAsia="宋体" w:cs="宋体"/>
          <w:b/>
          <w:bCs/>
          <w:color w:val="auto"/>
          <w:sz w:val="24"/>
          <w:szCs w:val="24"/>
          <w:highlight w:val="none"/>
        </w:rPr>
        <w:t>不得分)</w:t>
      </w:r>
    </w:p>
    <w:p w14:paraId="2FB414E8">
      <w:pPr>
        <w:keepNext w:val="0"/>
        <w:keepLines w:val="0"/>
        <w:pageBreakBefore w:val="0"/>
        <w:tabs>
          <w:tab w:val="left" w:pos="945"/>
          <w:tab w:val="left" w:pos="115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③拟投入的其他项目组成员中具备工程类中级及以上技术职称的，有一个得2分，最高得6分。</w:t>
      </w:r>
      <w:r>
        <w:rPr>
          <w:rFonts w:hint="eastAsia" w:ascii="宋体" w:hAnsi="宋体" w:eastAsia="宋体" w:cs="宋体"/>
          <w:b/>
          <w:bCs/>
          <w:color w:val="auto"/>
          <w:sz w:val="24"/>
          <w:szCs w:val="24"/>
          <w:highlight w:val="none"/>
        </w:rPr>
        <w:t>(提供证书描件上传至</w:t>
      </w:r>
      <w:r>
        <w:rPr>
          <w:rFonts w:hint="eastAsia" w:ascii="宋体" w:hAnsi="宋体" w:eastAsia="宋体" w:cs="宋体"/>
          <w:b/>
          <w:bCs/>
          <w:color w:val="auto"/>
          <w:sz w:val="24"/>
          <w:szCs w:val="24"/>
          <w:highlight w:val="none"/>
          <w:lang w:val="en-US" w:eastAsia="zh-CN"/>
        </w:rPr>
        <w:t>响应</w:t>
      </w:r>
      <w:r>
        <w:rPr>
          <w:rFonts w:hint="eastAsia" w:ascii="宋体" w:hAnsi="宋体" w:eastAsia="宋体" w:cs="宋体"/>
          <w:b/>
          <w:bCs/>
          <w:color w:val="auto"/>
          <w:sz w:val="24"/>
          <w:szCs w:val="24"/>
          <w:highlight w:val="none"/>
        </w:rPr>
        <w:t>文件并电子签章，不提供或未按要求提供</w:t>
      </w:r>
      <w:r>
        <w:rPr>
          <w:rFonts w:hint="eastAsia" w:ascii="宋体" w:hAnsi="宋体" w:cs="宋体"/>
          <w:b/>
          <w:bCs/>
          <w:color w:val="auto"/>
          <w:sz w:val="24"/>
          <w:szCs w:val="24"/>
          <w:highlight w:val="none"/>
          <w:lang w:eastAsia="zh-CN"/>
        </w:rPr>
        <w:t>的</w:t>
      </w:r>
      <w:r>
        <w:rPr>
          <w:rFonts w:hint="eastAsia" w:ascii="宋体" w:hAnsi="宋体" w:eastAsia="宋体" w:cs="宋体"/>
          <w:b/>
          <w:bCs/>
          <w:color w:val="auto"/>
          <w:sz w:val="24"/>
          <w:szCs w:val="24"/>
          <w:highlight w:val="none"/>
        </w:rPr>
        <w:t>不得分)</w:t>
      </w:r>
    </w:p>
    <w:p w14:paraId="4C18CE67">
      <w:pPr>
        <w:keepNext w:val="0"/>
        <w:keepLines w:val="0"/>
        <w:pageBreakBefore w:val="0"/>
        <w:tabs>
          <w:tab w:val="left" w:pos="945"/>
          <w:tab w:val="left" w:pos="1155"/>
        </w:tabs>
        <w:spacing w:line="360" w:lineRule="auto"/>
        <w:ind w:left="0" w:firstLine="482"/>
        <w:rPr>
          <w:rFonts w:hint="eastAsia" w:ascii="宋体" w:hAnsi="宋体" w:eastAsia="宋体" w:cs="宋体"/>
          <w:b/>
          <w:bCs/>
          <w:color w:val="auto"/>
          <w:sz w:val="24"/>
          <w:highlight w:val="none"/>
        </w:rPr>
      </w:pPr>
      <w:r>
        <w:rPr>
          <w:rFonts w:hint="eastAsia" w:ascii="宋体" w:hAnsi="宋体" w:eastAsia="宋体" w:cs="宋体"/>
          <w:b/>
          <w:bCs/>
          <w:color w:val="auto"/>
          <w:sz w:val="24"/>
          <w:szCs w:val="24"/>
          <w:highlight w:val="none"/>
        </w:rPr>
        <w:t>注：以上人员中同一岗位限评一人且同一人员不重复计分，提供以上人员的相关证书</w:t>
      </w:r>
      <w:r>
        <w:rPr>
          <w:rFonts w:hint="eastAsia" w:ascii="宋体" w:hAnsi="宋体" w:eastAsia="宋体" w:cs="Times New Roman"/>
          <w:b/>
          <w:color w:val="000000"/>
          <w:kern w:val="0"/>
          <w:sz w:val="24"/>
          <w:szCs w:val="24"/>
        </w:rPr>
        <w:t>和《职工养老保险手册》【内附</w:t>
      </w:r>
      <w:r>
        <w:rPr>
          <w:rFonts w:hint="eastAsia" w:ascii="宋体" w:hAnsi="宋体" w:eastAsia="宋体" w:cs="宋体"/>
          <w:b/>
          <w:bCs/>
          <w:kern w:val="0"/>
          <w:sz w:val="24"/>
          <w:szCs w:val="24"/>
        </w:rPr>
        <w:t>近一年中任意一个月份（不含磋商当月）</w:t>
      </w:r>
      <w:r>
        <w:rPr>
          <w:rFonts w:hint="eastAsia" w:ascii="宋体" w:hAnsi="宋体" w:eastAsia="宋体" w:cs="Times New Roman"/>
          <w:b/>
          <w:color w:val="000000"/>
          <w:kern w:val="0"/>
          <w:sz w:val="24"/>
          <w:szCs w:val="24"/>
        </w:rPr>
        <w:t>的缴费清单】或</w:t>
      </w:r>
      <w:r>
        <w:rPr>
          <w:rFonts w:hint="eastAsia" w:ascii="宋体" w:hAnsi="宋体" w:eastAsia="宋体" w:cs="宋体"/>
          <w:b/>
          <w:bCs/>
          <w:color w:val="auto"/>
          <w:sz w:val="24"/>
          <w:szCs w:val="24"/>
          <w:highlight w:val="none"/>
        </w:rPr>
        <w:t>由社保机构出具的</w:t>
      </w:r>
      <w:r>
        <w:rPr>
          <w:rFonts w:hint="eastAsia" w:ascii="宋体" w:hAnsi="宋体" w:eastAsia="宋体" w:cs="宋体"/>
          <w:b/>
          <w:bCs/>
          <w:color w:val="auto"/>
          <w:sz w:val="24"/>
          <w:szCs w:val="24"/>
          <w:highlight w:val="none"/>
          <w:lang w:val="en-US" w:eastAsia="zh-CN"/>
        </w:rPr>
        <w:t>近三个月中任意一个月（不含磋商当月）</w:t>
      </w:r>
      <w:r>
        <w:rPr>
          <w:rFonts w:hint="eastAsia" w:ascii="宋体" w:hAnsi="宋体" w:eastAsia="宋体" w:cs="宋体"/>
          <w:b/>
          <w:bCs/>
          <w:color w:val="auto"/>
          <w:sz w:val="24"/>
          <w:szCs w:val="24"/>
          <w:highlight w:val="none"/>
        </w:rPr>
        <w:t>的缴费证明扫描件上传至</w:t>
      </w:r>
      <w:r>
        <w:rPr>
          <w:rFonts w:hint="eastAsia" w:ascii="宋体" w:hAnsi="宋体" w:cs="宋体"/>
          <w:b/>
          <w:bCs/>
          <w:color w:val="auto"/>
          <w:sz w:val="24"/>
          <w:szCs w:val="24"/>
          <w:highlight w:val="none"/>
          <w:lang w:val="en-US" w:eastAsia="zh-CN"/>
        </w:rPr>
        <w:t>需要</w:t>
      </w:r>
      <w:r>
        <w:rPr>
          <w:rFonts w:hint="eastAsia" w:ascii="宋体" w:hAnsi="宋体" w:eastAsia="宋体" w:cs="宋体"/>
          <w:b/>
          <w:bCs/>
          <w:color w:val="auto"/>
          <w:sz w:val="24"/>
          <w:szCs w:val="24"/>
          <w:highlight w:val="none"/>
        </w:rPr>
        <w:t>文件并电子签章，如报价供应商成立时间迟于要求开始的时间，则时间要求为报价供应商成立时间至截止时间，不提供不得分）</w:t>
      </w:r>
      <w:r>
        <w:rPr>
          <w:rFonts w:hint="eastAsia" w:ascii="宋体" w:hAnsi="宋体" w:eastAsia="宋体" w:cs="宋体"/>
          <w:b/>
          <w:bCs/>
          <w:color w:val="auto"/>
          <w:sz w:val="24"/>
          <w:highlight w:val="none"/>
        </w:rPr>
        <w:t>。</w:t>
      </w:r>
    </w:p>
    <w:p w14:paraId="74F5EF82">
      <w:pPr>
        <w:keepNext w:val="0"/>
        <w:keepLines w:val="0"/>
        <w:pageBreakBefore w:val="0"/>
        <w:numPr>
          <w:ilvl w:val="0"/>
          <w:numId w:val="9"/>
        </w:numPr>
        <w:tabs>
          <w:tab w:val="left" w:pos="945"/>
          <w:tab w:val="left" w:pos="1155"/>
        </w:tabs>
        <w:spacing w:line="360" w:lineRule="auto"/>
        <w:ind w:left="0" w:firstLine="482"/>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技术文件（5</w:t>
      </w:r>
      <w:r>
        <w:rPr>
          <w:rFonts w:hint="eastAsia" w:ascii="宋体" w:hAnsi="宋体" w:cs="宋体"/>
          <w:b/>
          <w:bCs/>
          <w:color w:val="auto"/>
          <w:sz w:val="24"/>
          <w:highlight w:val="none"/>
          <w:lang w:val="en-US" w:eastAsia="zh-CN"/>
        </w:rPr>
        <w:t>6</w:t>
      </w:r>
      <w:r>
        <w:rPr>
          <w:rFonts w:hint="eastAsia" w:ascii="宋体" w:hAnsi="宋体" w:eastAsia="宋体" w:cs="宋体"/>
          <w:b/>
          <w:bCs/>
          <w:color w:val="auto"/>
          <w:sz w:val="24"/>
          <w:highlight w:val="none"/>
        </w:rPr>
        <w:t>分）</w:t>
      </w:r>
    </w:p>
    <w:p w14:paraId="22B4639B">
      <w:pPr>
        <w:keepNext w:val="0"/>
        <w:keepLines w:val="0"/>
        <w:pageBreakBefore w:val="0"/>
        <w:numPr>
          <w:ilvl w:val="0"/>
          <w:numId w:val="0"/>
        </w:numPr>
        <w:tabs>
          <w:tab w:val="left" w:pos="945"/>
          <w:tab w:val="left" w:pos="1155"/>
        </w:tabs>
        <w:spacing w:line="360" w:lineRule="auto"/>
        <w:ind w:left="482" w:leftChars="0"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注：技术部分属于暗标，</w:t>
      </w:r>
      <w:r>
        <w:rPr>
          <w:rFonts w:hint="eastAsia" w:ascii="宋体" w:hAnsi="宋体" w:cs="宋体"/>
          <w:b/>
          <w:bCs/>
          <w:color w:val="auto"/>
          <w:sz w:val="24"/>
          <w:highlight w:val="none"/>
          <w:lang w:eastAsia="zh-CN"/>
        </w:rPr>
        <w:t>报价供应商</w:t>
      </w:r>
      <w:r>
        <w:rPr>
          <w:rFonts w:hint="eastAsia" w:ascii="宋体" w:hAnsi="宋体" w:eastAsia="宋体" w:cs="宋体"/>
          <w:b/>
          <w:bCs/>
          <w:color w:val="auto"/>
          <w:sz w:val="24"/>
          <w:highlight w:val="none"/>
        </w:rPr>
        <w:t>在制作技术部分相关内容时不得有体现</w:t>
      </w:r>
      <w:r>
        <w:rPr>
          <w:rFonts w:hint="eastAsia" w:ascii="宋体" w:hAnsi="宋体" w:cs="宋体"/>
          <w:b/>
          <w:bCs/>
          <w:color w:val="auto"/>
          <w:sz w:val="24"/>
          <w:highlight w:val="none"/>
          <w:lang w:eastAsia="zh-CN"/>
        </w:rPr>
        <w:t>报价供应商</w:t>
      </w:r>
      <w:r>
        <w:rPr>
          <w:rFonts w:hint="eastAsia" w:ascii="宋体" w:hAnsi="宋体" w:eastAsia="宋体" w:cs="宋体"/>
          <w:b/>
          <w:bCs/>
          <w:color w:val="auto"/>
          <w:sz w:val="24"/>
          <w:highlight w:val="none"/>
        </w:rPr>
        <w:t>身份的内容，否则投标无效。</w:t>
      </w:r>
    </w:p>
    <w:p w14:paraId="3A2ABA81">
      <w:pPr>
        <w:keepNext w:val="0"/>
        <w:keepLines w:val="0"/>
        <w:pageBreakBefore w:val="0"/>
        <w:numPr>
          <w:ilvl w:val="0"/>
          <w:numId w:val="0"/>
        </w:numPr>
        <w:tabs>
          <w:tab w:val="left" w:pos="945"/>
          <w:tab w:val="left" w:pos="1155"/>
        </w:tabs>
        <w:spacing w:line="360" w:lineRule="auto"/>
        <w:ind w:left="482" w:leftChars="0"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报价供应商须分别从以下方面结合本磋商文件提出的采购需求，编制符合项目实际情况、后期操作性强的技术文件，技术文件应完整、严谨、重点突出。技术文件应至少包括以下组成部分：</w:t>
      </w:r>
    </w:p>
    <w:p w14:paraId="3B3F4252">
      <w:pPr>
        <w:tabs>
          <w:tab w:val="left" w:pos="945"/>
          <w:tab w:val="left" w:pos="1155"/>
        </w:tabs>
        <w:spacing w:line="300" w:lineRule="auto"/>
        <w:ind w:firstLine="480"/>
        <w:jc w:val="left"/>
        <w:rPr>
          <w:rFonts w:hint="eastAsia" w:ascii="宋体" w:hAnsi="宋体" w:eastAsia="宋体" w:cs="宋体"/>
          <w:bCs/>
          <w:color w:val="auto"/>
          <w:sz w:val="24"/>
          <w:highlight w:val="none"/>
        </w:rPr>
      </w:pPr>
      <w:r>
        <w:rPr>
          <w:rFonts w:hint="eastAsia" w:ascii="宋体" w:hAnsi="宋体" w:eastAsia="宋体" w:cs="宋体"/>
          <w:b/>
          <w:bCs w:val="0"/>
          <w:color w:val="auto"/>
          <w:sz w:val="24"/>
          <w:highlight w:val="none"/>
        </w:rPr>
        <w:t>（1）项目总体概述、施工组织总体设想、方案针对性及施工段划分  12分</w:t>
      </w:r>
    </w:p>
    <w:p w14:paraId="58096557">
      <w:pPr>
        <w:tabs>
          <w:tab w:val="left" w:pos="945"/>
          <w:tab w:val="left" w:pos="1155"/>
        </w:tabs>
        <w:spacing w:line="300" w:lineRule="auto"/>
        <w:ind w:firstLine="480"/>
        <w:jc w:val="lef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内容需包括①项目总体概述；②施工组织总体设想；③方案针对性；④施工段划分。要求：内容表述清晰、理解准确、贴合采购需求。按照下列评分幅度对该项进行评分：每有一项阐述且满足采购需求的得3分，基本完善但存在欠缺的得2分，有待完善的得1分，未进行阐述或不满足采购需求的不得分，本项最高得12分。</w:t>
      </w:r>
    </w:p>
    <w:p w14:paraId="068EBE9E">
      <w:pPr>
        <w:tabs>
          <w:tab w:val="left" w:pos="945"/>
          <w:tab w:val="left" w:pos="1155"/>
        </w:tabs>
        <w:spacing w:line="300" w:lineRule="auto"/>
        <w:ind w:firstLine="480"/>
        <w:jc w:val="left"/>
        <w:rPr>
          <w:rFonts w:hint="eastAsia" w:ascii="宋体" w:hAnsi="宋体" w:eastAsia="宋体" w:cs="宋体"/>
          <w:bCs/>
          <w:color w:val="auto"/>
          <w:sz w:val="24"/>
          <w:highlight w:val="none"/>
        </w:rPr>
      </w:pPr>
      <w:r>
        <w:rPr>
          <w:rFonts w:hint="eastAsia" w:ascii="宋体" w:hAnsi="宋体" w:eastAsia="宋体" w:cs="宋体"/>
          <w:b/>
          <w:bCs w:val="0"/>
          <w:color w:val="auto"/>
          <w:sz w:val="24"/>
          <w:highlight w:val="none"/>
        </w:rPr>
        <w:t xml:space="preserve">（2）施工现场平面布置和临时设施、临时道路布置 </w:t>
      </w:r>
      <w:r>
        <w:rPr>
          <w:rFonts w:hint="eastAsia" w:ascii="宋体" w:hAnsi="宋体" w:cs="宋体"/>
          <w:b/>
          <w:bCs w:val="0"/>
          <w:color w:val="auto"/>
          <w:sz w:val="24"/>
          <w:highlight w:val="none"/>
          <w:lang w:val="en-US" w:eastAsia="zh-CN"/>
        </w:rPr>
        <w:t xml:space="preserve">          </w:t>
      </w:r>
      <w:r>
        <w:rPr>
          <w:rFonts w:hint="eastAsia" w:ascii="宋体" w:hAnsi="宋体" w:eastAsia="宋体" w:cs="宋体"/>
          <w:b/>
          <w:bCs w:val="0"/>
          <w:color w:val="auto"/>
          <w:sz w:val="24"/>
          <w:highlight w:val="none"/>
        </w:rPr>
        <w:t xml:space="preserve">      </w:t>
      </w:r>
      <w:r>
        <w:rPr>
          <w:rFonts w:hint="eastAsia" w:ascii="宋体" w:hAnsi="宋体" w:cs="宋体"/>
          <w:b/>
          <w:bCs w:val="0"/>
          <w:color w:val="auto"/>
          <w:sz w:val="24"/>
          <w:highlight w:val="none"/>
          <w:lang w:val="en-US" w:eastAsia="zh-CN"/>
        </w:rPr>
        <w:t>6</w:t>
      </w:r>
      <w:r>
        <w:rPr>
          <w:rFonts w:hint="eastAsia" w:ascii="宋体" w:hAnsi="宋体" w:eastAsia="宋体" w:cs="宋体"/>
          <w:b/>
          <w:bCs w:val="0"/>
          <w:color w:val="auto"/>
          <w:sz w:val="24"/>
          <w:highlight w:val="none"/>
        </w:rPr>
        <w:t>分</w:t>
      </w:r>
    </w:p>
    <w:p w14:paraId="1A01DD47">
      <w:pPr>
        <w:tabs>
          <w:tab w:val="left" w:pos="945"/>
          <w:tab w:val="left" w:pos="1155"/>
        </w:tabs>
        <w:spacing w:line="300" w:lineRule="auto"/>
        <w:ind w:firstLine="480"/>
        <w:jc w:val="lef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内容需包括①施工现场平面布置；②施工现场临时设施、临时道路布置。要求：内容详尽合理、清晰准确。按照下列评分幅度对该项进行评分：每有一项阐述且满足采购需求的得3分，基本完善但存在欠缺的得2分，有待完善的得1分，未进行阐述或不满足采购需求的不得分，本项最高得</w:t>
      </w:r>
      <w:r>
        <w:rPr>
          <w:rFonts w:hint="eastAsia" w:ascii="宋体" w:hAnsi="宋体" w:cs="宋体"/>
          <w:bCs/>
          <w:color w:val="auto"/>
          <w:sz w:val="24"/>
          <w:highlight w:val="none"/>
          <w:lang w:val="en-US" w:eastAsia="zh-CN"/>
        </w:rPr>
        <w:t>6</w:t>
      </w:r>
      <w:r>
        <w:rPr>
          <w:rFonts w:hint="eastAsia" w:ascii="宋体" w:hAnsi="宋体" w:eastAsia="宋体" w:cs="宋体"/>
          <w:bCs/>
          <w:color w:val="auto"/>
          <w:sz w:val="24"/>
          <w:highlight w:val="none"/>
        </w:rPr>
        <w:t>分。</w:t>
      </w:r>
    </w:p>
    <w:p w14:paraId="41B3B57A">
      <w:pPr>
        <w:tabs>
          <w:tab w:val="left" w:pos="945"/>
          <w:tab w:val="left" w:pos="1155"/>
        </w:tabs>
        <w:spacing w:line="300" w:lineRule="auto"/>
        <w:ind w:firstLine="480"/>
        <w:jc w:val="left"/>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 xml:space="preserve">（3）施工进度计划和各阶段进度的保证措施                </w:t>
      </w:r>
      <w:r>
        <w:rPr>
          <w:rFonts w:hint="eastAsia" w:ascii="宋体" w:hAnsi="宋体" w:eastAsia="宋体" w:cs="宋体"/>
          <w:b/>
          <w:bCs w:val="0"/>
          <w:color w:val="auto"/>
          <w:sz w:val="24"/>
          <w:highlight w:val="none"/>
          <w:lang w:val="en-US" w:eastAsia="zh-CN"/>
        </w:rPr>
        <w:t xml:space="preserve">  </w:t>
      </w:r>
      <w:r>
        <w:rPr>
          <w:rFonts w:hint="eastAsia" w:ascii="宋体" w:hAnsi="宋体" w:eastAsia="宋体" w:cs="宋体"/>
          <w:b/>
          <w:bCs w:val="0"/>
          <w:color w:val="auto"/>
          <w:sz w:val="24"/>
          <w:highlight w:val="none"/>
        </w:rPr>
        <w:t xml:space="preserve">    10分</w:t>
      </w:r>
    </w:p>
    <w:p w14:paraId="3630B672">
      <w:pPr>
        <w:tabs>
          <w:tab w:val="left" w:pos="945"/>
          <w:tab w:val="left" w:pos="1155"/>
        </w:tabs>
        <w:spacing w:line="300" w:lineRule="auto"/>
        <w:ind w:firstLine="480"/>
        <w:jc w:val="lef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内容需包括①施工进度计划；②各阶段进度的保证措施。要求：施工进度计划内容清晰详尽、各阶段进度的保证措施针对性强、可行性强。按照下列评分幅度对该项进行评分：每有一项阐述且满足采购需求的得5分，基本完善但存在欠缺的得3分，有待完善的得1分，未进行阐述或不满足采购需求的不得分，本项最高得10分。</w:t>
      </w:r>
    </w:p>
    <w:p w14:paraId="1CDDC25F">
      <w:pPr>
        <w:tabs>
          <w:tab w:val="left" w:pos="945"/>
          <w:tab w:val="left" w:pos="1155"/>
        </w:tabs>
        <w:spacing w:line="300" w:lineRule="auto"/>
        <w:ind w:firstLine="480"/>
        <w:jc w:val="left"/>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（4）各分部分项工程的施工方案及质量保证措施                  10分</w:t>
      </w:r>
    </w:p>
    <w:p w14:paraId="5A171230">
      <w:pPr>
        <w:tabs>
          <w:tab w:val="left" w:pos="945"/>
          <w:tab w:val="left" w:pos="1155"/>
        </w:tabs>
        <w:spacing w:line="300" w:lineRule="auto"/>
        <w:ind w:firstLine="480"/>
        <w:jc w:val="lef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内容需包括①各分部分项工程的施工方案；②确保工程质量的保证措施。要求：结合项目阐述具有针对性、可操作性各分部分项工程的施工方案及质量保证措施。按照下列评分幅度对该项进行评分：每有一项阐述且满足采购需求的得5分，基本完善但存在欠缺的得3分，有待完善的得1分，未进行阐述或不满足采购需求的不得分，本项最高得10分。</w:t>
      </w:r>
    </w:p>
    <w:p w14:paraId="49B2B5DF">
      <w:pPr>
        <w:tabs>
          <w:tab w:val="left" w:pos="945"/>
          <w:tab w:val="left" w:pos="1155"/>
        </w:tabs>
        <w:spacing w:line="300" w:lineRule="auto"/>
        <w:ind w:firstLine="480"/>
        <w:jc w:val="left"/>
        <w:rPr>
          <w:rFonts w:hint="eastAsia" w:ascii="宋体" w:hAnsi="宋体" w:eastAsia="宋体" w:cs="宋体"/>
          <w:bCs/>
          <w:color w:val="auto"/>
          <w:sz w:val="24"/>
          <w:highlight w:val="none"/>
        </w:rPr>
      </w:pPr>
      <w:r>
        <w:rPr>
          <w:rFonts w:hint="eastAsia" w:ascii="宋体" w:hAnsi="宋体" w:eastAsia="宋体" w:cs="宋体"/>
          <w:b/>
          <w:bCs w:val="0"/>
          <w:color w:val="auto"/>
          <w:sz w:val="24"/>
          <w:highlight w:val="none"/>
        </w:rPr>
        <w:t>（5）安全文明施工及施工环境保护措施                          9分</w:t>
      </w:r>
    </w:p>
    <w:p w14:paraId="326D6E42">
      <w:pPr>
        <w:tabs>
          <w:tab w:val="left" w:pos="945"/>
          <w:tab w:val="left" w:pos="1155"/>
        </w:tabs>
        <w:spacing w:line="300" w:lineRule="auto"/>
        <w:ind w:firstLine="480"/>
        <w:jc w:val="lef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内容需包括①对本项目总体安全文明施工措施阐述、问题沟通和解决机制；②对项目安全、环保等风险分析；③各环节安全文明施工措施。要求：内容科学合理、简明高效、操作性强。按照下列评分幅度对该项进行评分：每有一项阐述且满足采购需求的得3分，基本完善但存在欠缺的得2分，有待完善的得1分，未进行阐述或不满足采购需求的不得分，本项最高得9分。</w:t>
      </w:r>
    </w:p>
    <w:p w14:paraId="03AE7DF1">
      <w:pPr>
        <w:tabs>
          <w:tab w:val="left" w:pos="945"/>
          <w:tab w:val="left" w:pos="1155"/>
        </w:tabs>
        <w:spacing w:line="300" w:lineRule="auto"/>
        <w:ind w:firstLine="480"/>
        <w:jc w:val="left"/>
        <w:rPr>
          <w:rFonts w:hint="eastAsia" w:ascii="宋体" w:hAnsi="宋体" w:eastAsia="宋体" w:cs="宋体"/>
          <w:bCs/>
          <w:color w:val="auto"/>
          <w:sz w:val="24"/>
          <w:highlight w:val="none"/>
        </w:rPr>
      </w:pPr>
      <w:r>
        <w:rPr>
          <w:rFonts w:hint="eastAsia" w:ascii="宋体" w:hAnsi="宋体" w:eastAsia="宋体" w:cs="宋体"/>
          <w:b/>
          <w:bCs w:val="0"/>
          <w:color w:val="auto"/>
          <w:sz w:val="24"/>
          <w:highlight w:val="none"/>
        </w:rPr>
        <w:t xml:space="preserve">（6）劳动力、机械设备和材料投入计划                          </w:t>
      </w:r>
      <w:r>
        <w:rPr>
          <w:rFonts w:hint="eastAsia" w:ascii="宋体" w:hAnsi="宋体" w:cs="宋体"/>
          <w:b/>
          <w:bCs w:val="0"/>
          <w:color w:val="auto"/>
          <w:sz w:val="24"/>
          <w:highlight w:val="none"/>
          <w:lang w:val="en-US" w:eastAsia="zh-CN"/>
        </w:rPr>
        <w:t>9</w:t>
      </w:r>
      <w:r>
        <w:rPr>
          <w:rFonts w:hint="eastAsia" w:ascii="宋体" w:hAnsi="宋体" w:eastAsia="宋体" w:cs="宋体"/>
          <w:b/>
          <w:bCs w:val="0"/>
          <w:color w:val="auto"/>
          <w:sz w:val="24"/>
          <w:highlight w:val="none"/>
        </w:rPr>
        <w:t>分</w:t>
      </w:r>
    </w:p>
    <w:p w14:paraId="00FB953E">
      <w:pPr>
        <w:tabs>
          <w:tab w:val="left" w:pos="945"/>
          <w:tab w:val="left" w:pos="1155"/>
        </w:tabs>
        <w:spacing w:line="300" w:lineRule="auto"/>
        <w:ind w:firstLine="480"/>
        <w:jc w:val="lef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内容需包括①人员投入计划；②机械设备投入计划；③材料投入计划。要求：劳动力、机械设备和材料投入计划详实具体、满足采购需求。按照下列评分幅度对该项进行评分：每有一项阐述且满足采购需求的得</w:t>
      </w:r>
      <w:r>
        <w:rPr>
          <w:rFonts w:hint="eastAsia" w:ascii="宋体" w:hAnsi="宋体" w:cs="宋体"/>
          <w:bCs/>
          <w:color w:val="auto"/>
          <w:sz w:val="24"/>
          <w:highlight w:val="none"/>
          <w:lang w:val="en-US" w:eastAsia="zh-CN"/>
        </w:rPr>
        <w:t>3</w:t>
      </w:r>
      <w:r>
        <w:rPr>
          <w:rFonts w:hint="eastAsia" w:ascii="宋体" w:hAnsi="宋体" w:eastAsia="宋体" w:cs="宋体"/>
          <w:bCs/>
          <w:color w:val="auto"/>
          <w:sz w:val="24"/>
          <w:highlight w:val="none"/>
        </w:rPr>
        <w:t>分，基本完善但存在欠缺的得</w:t>
      </w:r>
      <w:r>
        <w:rPr>
          <w:rFonts w:hint="eastAsia" w:ascii="宋体" w:hAnsi="宋体" w:cs="宋体"/>
          <w:bCs/>
          <w:color w:val="auto"/>
          <w:sz w:val="24"/>
          <w:highlight w:val="none"/>
          <w:lang w:val="en-US" w:eastAsia="zh-CN"/>
        </w:rPr>
        <w:t>2</w:t>
      </w:r>
      <w:r>
        <w:rPr>
          <w:rFonts w:hint="eastAsia" w:ascii="宋体" w:hAnsi="宋体" w:eastAsia="宋体" w:cs="宋体"/>
          <w:bCs/>
          <w:color w:val="auto"/>
          <w:sz w:val="24"/>
          <w:highlight w:val="none"/>
        </w:rPr>
        <w:t>分，有待完善的得1分，未进行阐述或不满足采购需求的不得分，本项最高得</w:t>
      </w:r>
      <w:r>
        <w:rPr>
          <w:rFonts w:hint="eastAsia" w:ascii="宋体" w:hAnsi="宋体" w:cs="宋体"/>
          <w:bCs/>
          <w:color w:val="auto"/>
          <w:sz w:val="24"/>
          <w:highlight w:val="none"/>
          <w:lang w:val="en-US" w:eastAsia="zh-CN"/>
        </w:rPr>
        <w:t>9</w:t>
      </w:r>
      <w:r>
        <w:rPr>
          <w:rFonts w:hint="eastAsia" w:ascii="宋体" w:hAnsi="宋体" w:eastAsia="宋体" w:cs="宋体"/>
          <w:bCs/>
          <w:color w:val="auto"/>
          <w:sz w:val="24"/>
          <w:highlight w:val="none"/>
        </w:rPr>
        <w:t>分。</w:t>
      </w:r>
    </w:p>
    <w:p w14:paraId="79637E7F">
      <w:pPr>
        <w:tabs>
          <w:tab w:val="left" w:pos="945"/>
          <w:tab w:val="left" w:pos="1155"/>
        </w:tabs>
        <w:spacing w:line="300" w:lineRule="auto"/>
        <w:ind w:firstLine="480"/>
        <w:jc w:val="left"/>
        <w:rPr>
          <w:rFonts w:hint="eastAsia" w:ascii="宋体" w:hAnsi="宋体" w:cs="宋体"/>
          <w:spacing w:val="8"/>
          <w:sz w:val="24"/>
          <w:szCs w:val="24"/>
          <w:lang w:val="en-US" w:eastAsia="zh-CN"/>
        </w:rPr>
      </w:pPr>
      <w:r>
        <w:rPr>
          <w:rFonts w:hint="eastAsia" w:ascii="宋体" w:hAnsi="宋体" w:eastAsia="宋体" w:cs="宋体"/>
          <w:spacing w:val="8"/>
          <w:sz w:val="24"/>
          <w:szCs w:val="24"/>
          <w:lang w:val="en-US" w:eastAsia="zh-CN"/>
        </w:rPr>
        <w:t>注：除编制粗糙、缺漏项多、格式混乱、条理不清、内容偏少（少于30页）或内容繁琐（超过300页）外</w:t>
      </w:r>
      <w:r>
        <w:rPr>
          <w:rFonts w:hint="eastAsia" w:ascii="宋体" w:hAnsi="宋体" w:cs="宋体"/>
          <w:spacing w:val="8"/>
          <w:sz w:val="24"/>
          <w:szCs w:val="24"/>
          <w:lang w:val="en-US" w:eastAsia="zh-CN"/>
        </w:rPr>
        <w:t>。</w:t>
      </w:r>
    </w:p>
    <w:p w14:paraId="7CA423AD">
      <w:pPr>
        <w:pStyle w:val="248"/>
        <w:rPr>
          <w:rFonts w:hint="eastAsia"/>
        </w:rPr>
      </w:pPr>
    </w:p>
    <w:p w14:paraId="49228E7E">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（十一）确定成交供应商：</w:t>
      </w:r>
    </w:p>
    <w:p w14:paraId="2FEE30F9">
      <w:pPr>
        <w:keepNext w:val="0"/>
        <w:keepLines w:val="0"/>
        <w:pageBreakBefore w:val="0"/>
        <w:tabs>
          <w:tab w:val="left" w:pos="525"/>
          <w:tab w:val="left" w:pos="945"/>
          <w:tab w:val="left" w:pos="1155"/>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磋商根据磋商文件规定的评标方法和评标标准进行评审，按磋商文件的要求依法确定成交供应商。自评审结束之日起2个工作日内将评审报告送交采购人。采购人自收到评审报告之日起5个工作日内按磋商文件的要求，在评审报告推荐的成交候选单位中，依法确定成交供应商。采购代理机构自成交供应商确定之日起2个工作日内，发出成交通知书，并将在财政部门指定的信息发布媒体（江苏政府采购网）上发布成交结果公告。</w:t>
      </w:r>
    </w:p>
    <w:p w14:paraId="16A2F2AC">
      <w:pPr>
        <w:keepNext w:val="0"/>
        <w:keepLines w:val="0"/>
        <w:pageBreakBefore w:val="0"/>
        <w:tabs>
          <w:tab w:val="left" w:pos="525"/>
          <w:tab w:val="left" w:pos="945"/>
          <w:tab w:val="left" w:pos="1155"/>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2.报价供应商如有质疑，按照中华人民共和国财政部令第94号——政府采购质疑和投诉办法执行，供应商在法定质疑期限外送达的质疑函或法定质疑期限内送达的质疑函不符合下述要求的均为无效质疑，</w:t>
      </w:r>
      <w:r>
        <w:rPr>
          <w:rFonts w:hint="eastAsia" w:ascii="宋体" w:hAnsi="宋体" w:cs="宋体"/>
          <w:bCs/>
          <w:color w:val="auto"/>
          <w:sz w:val="24"/>
          <w:highlight w:val="none"/>
          <w:lang w:eastAsia="zh-CN"/>
        </w:rPr>
        <w:t>江苏新鑫工程咨询有限公司</w:t>
      </w:r>
      <w:r>
        <w:rPr>
          <w:rFonts w:hint="eastAsia" w:ascii="宋体" w:hAnsi="宋体" w:eastAsia="宋体" w:cs="宋体"/>
          <w:bCs/>
          <w:color w:val="auto"/>
          <w:sz w:val="24"/>
          <w:highlight w:val="none"/>
        </w:rPr>
        <w:t>对无效质疑不予受理。</w:t>
      </w:r>
      <w:r>
        <w:rPr>
          <w:rFonts w:hint="eastAsia" w:hAnsi="宋体"/>
          <w:color w:val="auto"/>
          <w:sz w:val="24"/>
          <w:highlight w:val="none"/>
        </w:rPr>
        <w:t>如有质疑，报价供应商按中华人民共和国财政部令【第94号】《政府采购质疑和投诉办法》“第十二条 供应商提出质疑应当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规定提交资料，并按《中华人民共和国政府采购法》、财政部《政府采购货物和服务招标投标管理办法》、《政府采购质疑和投诉办法》等有关法规处理</w:t>
      </w:r>
      <w:r>
        <w:rPr>
          <w:rFonts w:hint="eastAsia" w:ascii="宋体" w:hAnsi="宋体" w:eastAsia="宋体" w:cs="宋体"/>
          <w:bCs/>
          <w:color w:val="auto"/>
          <w:sz w:val="24"/>
          <w:highlight w:val="none"/>
        </w:rPr>
        <w:t>。</w:t>
      </w:r>
    </w:p>
    <w:p w14:paraId="18DD95DC">
      <w:pPr>
        <w:keepNext w:val="0"/>
        <w:keepLines w:val="0"/>
        <w:pageBreakBefore w:val="0"/>
        <w:tabs>
          <w:tab w:val="left" w:pos="525"/>
          <w:tab w:val="left" w:pos="945"/>
          <w:tab w:val="left" w:pos="1155"/>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提出质疑的供应商应当是参加所质疑项目采购活动的供应商。潜在供应商已依法获取其可质疑的磋商文件的，可以对该文件提出质疑。对磋商文件提出质疑的，应当在获取磋商文件或者磋商文件公告期限届满之日起7个工作日内提出。</w:t>
      </w:r>
    </w:p>
    <w:p w14:paraId="50BA1479">
      <w:pPr>
        <w:keepNext w:val="0"/>
        <w:keepLines w:val="0"/>
        <w:pageBreakBefore w:val="0"/>
        <w:tabs>
          <w:tab w:val="left" w:pos="525"/>
          <w:tab w:val="left" w:pos="945"/>
          <w:tab w:val="left" w:pos="1155"/>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4.供应商提出质疑应当提交质疑函和必要的证明材料。质疑函应当包括下列内容：</w:t>
      </w:r>
    </w:p>
    <w:p w14:paraId="435388B4">
      <w:pPr>
        <w:keepNext w:val="0"/>
        <w:keepLines w:val="0"/>
        <w:pageBreakBefore w:val="0"/>
        <w:tabs>
          <w:tab w:val="left" w:pos="525"/>
          <w:tab w:val="left" w:pos="945"/>
          <w:tab w:val="left" w:pos="1155"/>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①供应商的姓名或者名称、地址、邮编、联系人及联系电话；</w:t>
      </w:r>
    </w:p>
    <w:p w14:paraId="2714D39B">
      <w:pPr>
        <w:keepNext w:val="0"/>
        <w:keepLines w:val="0"/>
        <w:pageBreakBefore w:val="0"/>
        <w:tabs>
          <w:tab w:val="left" w:pos="525"/>
          <w:tab w:val="left" w:pos="945"/>
          <w:tab w:val="left" w:pos="1155"/>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②质疑项目的名称、编号；</w:t>
      </w:r>
    </w:p>
    <w:p w14:paraId="700ADE76">
      <w:pPr>
        <w:keepNext w:val="0"/>
        <w:keepLines w:val="0"/>
        <w:pageBreakBefore w:val="0"/>
        <w:tabs>
          <w:tab w:val="left" w:pos="525"/>
          <w:tab w:val="left" w:pos="945"/>
          <w:tab w:val="left" w:pos="1155"/>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③具体、明确的质疑事项和与质疑事项相关的请求；</w:t>
      </w:r>
    </w:p>
    <w:p w14:paraId="3DC103CA">
      <w:pPr>
        <w:keepNext w:val="0"/>
        <w:keepLines w:val="0"/>
        <w:pageBreakBefore w:val="0"/>
        <w:tabs>
          <w:tab w:val="left" w:pos="525"/>
          <w:tab w:val="left" w:pos="945"/>
          <w:tab w:val="left" w:pos="1155"/>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④事实依据；</w:t>
      </w:r>
    </w:p>
    <w:p w14:paraId="6FD594D1">
      <w:pPr>
        <w:keepNext w:val="0"/>
        <w:keepLines w:val="0"/>
        <w:pageBreakBefore w:val="0"/>
        <w:tabs>
          <w:tab w:val="left" w:pos="525"/>
          <w:tab w:val="left" w:pos="945"/>
          <w:tab w:val="left" w:pos="1155"/>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⑤必要的法律依据；</w:t>
      </w:r>
    </w:p>
    <w:p w14:paraId="65929E89">
      <w:pPr>
        <w:keepNext w:val="0"/>
        <w:keepLines w:val="0"/>
        <w:pageBreakBefore w:val="0"/>
        <w:tabs>
          <w:tab w:val="left" w:pos="525"/>
          <w:tab w:val="left" w:pos="945"/>
          <w:tab w:val="left" w:pos="1155"/>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⑥提出质疑的日期。</w:t>
      </w:r>
    </w:p>
    <w:p w14:paraId="74A163C2">
      <w:pPr>
        <w:pStyle w:val="17"/>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szCs w:val="24"/>
          <w:highlight w:val="none"/>
        </w:rPr>
        <w:t>供应商为自然人的，应当由本人签字；供应商为法人或者其他组织的，应当由法定代表人、主要负责人，或者其授权代表签字或者盖章，并加盖公章。</w:t>
      </w:r>
    </w:p>
    <w:p w14:paraId="796A5C23">
      <w:pPr>
        <w:keepNext w:val="0"/>
        <w:keepLines w:val="0"/>
        <w:pageBreakBefore w:val="0"/>
        <w:spacing w:line="360" w:lineRule="auto"/>
        <w:ind w:left="0" w:firstLine="480"/>
        <w:outlineLvl w:val="0"/>
        <w:rPr>
          <w:rFonts w:hint="eastAsia" w:ascii="宋体" w:hAnsi="宋体" w:eastAsia="宋体" w:cs="宋体"/>
          <w:bCs/>
          <w:color w:val="auto"/>
          <w:sz w:val="24"/>
          <w:highlight w:val="none"/>
        </w:rPr>
      </w:pPr>
      <w:r>
        <w:rPr>
          <w:rFonts w:hint="eastAsia" w:ascii="宋体" w:hAnsi="宋体" w:cs="宋体"/>
          <w:bCs/>
          <w:color w:val="auto"/>
          <w:sz w:val="24"/>
          <w:highlight w:val="none"/>
          <w:lang w:val="en-US" w:eastAsia="zh-CN"/>
        </w:rPr>
        <w:t>5</w:t>
      </w:r>
      <w:r>
        <w:rPr>
          <w:rFonts w:hint="eastAsia" w:ascii="宋体" w:hAnsi="宋体" w:eastAsia="宋体" w:cs="宋体"/>
          <w:bCs/>
          <w:color w:val="auto"/>
          <w:sz w:val="24"/>
          <w:highlight w:val="none"/>
        </w:rPr>
        <w:t>.供应商递交的所有响应文件均不退还。</w:t>
      </w:r>
    </w:p>
    <w:p w14:paraId="0E5F087E">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（十二）废标的确认：</w:t>
      </w:r>
    </w:p>
    <w:p w14:paraId="2D122A13">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在采购中，出现下列情况之一的，应予废标：</w:t>
      </w:r>
    </w:p>
    <w:p w14:paraId="5695B9E0">
      <w:pPr>
        <w:keepNext w:val="0"/>
        <w:keepLines w:val="0"/>
        <w:pageBreakBefore w:val="0"/>
        <w:tabs>
          <w:tab w:val="left" w:pos="525"/>
          <w:tab w:val="left" w:pos="1155"/>
          <w:tab w:val="left" w:pos="126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1.符合专业条件的供应商或者对磋商文件作出实质性响应的供应商不足三家；</w:t>
      </w:r>
    </w:p>
    <w:p w14:paraId="3008BA07">
      <w:pPr>
        <w:keepNext w:val="0"/>
        <w:keepLines w:val="0"/>
        <w:pageBreakBefore w:val="0"/>
        <w:tabs>
          <w:tab w:val="left" w:pos="525"/>
          <w:tab w:val="left" w:pos="1155"/>
          <w:tab w:val="left" w:pos="126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2.出现影响采购公正的违法、违规行为；</w:t>
      </w:r>
    </w:p>
    <w:p w14:paraId="205C2030">
      <w:pPr>
        <w:keepNext w:val="0"/>
        <w:keepLines w:val="0"/>
        <w:pageBreakBefore w:val="0"/>
        <w:tabs>
          <w:tab w:val="left" w:pos="525"/>
          <w:tab w:val="left" w:pos="1155"/>
          <w:tab w:val="left" w:pos="126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3.供应商的报价均超过采购预算，采购人不能支付的；</w:t>
      </w:r>
    </w:p>
    <w:p w14:paraId="302B77E0">
      <w:pPr>
        <w:keepNext w:val="0"/>
        <w:keepLines w:val="0"/>
        <w:pageBreakBefore w:val="0"/>
        <w:spacing w:line="360" w:lineRule="auto"/>
        <w:ind w:left="0" w:firstLine="480"/>
        <w:outlineLvl w:val="0"/>
        <w:rPr>
          <w:rFonts w:hint="eastAsia" w:ascii="宋体" w:hAnsi="宋体" w:eastAsia="宋体" w:cs="宋体"/>
          <w:color w:val="auto"/>
          <w:sz w:val="24"/>
          <w:szCs w:val="24"/>
          <w:highlight w:val="none"/>
        </w:rPr>
      </w:pPr>
      <w:r>
        <w:rPr>
          <w:rFonts w:hint="eastAsia" w:ascii="宋体" w:hAnsi="宋体" w:eastAsia="宋体" w:cs="宋体"/>
          <w:bCs/>
          <w:color w:val="auto"/>
          <w:sz w:val="24"/>
          <w:highlight w:val="none"/>
        </w:rPr>
        <w:t>4.因重大变故，采购任务取消。</w:t>
      </w:r>
    </w:p>
    <w:p w14:paraId="5C7D5C03">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（十三）中标无效的确认：</w:t>
      </w:r>
    </w:p>
    <w:p w14:paraId="39BE512F">
      <w:pPr>
        <w:keepNext w:val="0"/>
        <w:keepLines w:val="0"/>
        <w:pageBreakBefore w:val="0"/>
        <w:tabs>
          <w:tab w:val="left" w:pos="42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1.提供虚假材料谋取成交的；</w:t>
      </w:r>
    </w:p>
    <w:p w14:paraId="66BF960E">
      <w:pPr>
        <w:keepNext w:val="0"/>
        <w:keepLines w:val="0"/>
        <w:pageBreakBefore w:val="0"/>
        <w:tabs>
          <w:tab w:val="left" w:pos="42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2.采取不正当手段诋毁、排挤其他供应商的；</w:t>
      </w:r>
    </w:p>
    <w:p w14:paraId="5945F5A7">
      <w:pPr>
        <w:keepNext w:val="0"/>
        <w:keepLines w:val="0"/>
        <w:pageBreakBefore w:val="0"/>
        <w:tabs>
          <w:tab w:val="left" w:pos="420"/>
          <w:tab w:val="left" w:pos="114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3.与</w:t>
      </w:r>
      <w:r>
        <w:rPr>
          <w:rFonts w:hint="eastAsia" w:ascii="宋体" w:hAnsi="宋体" w:cs="宋体"/>
          <w:bCs/>
          <w:color w:val="auto"/>
          <w:sz w:val="24"/>
          <w:highlight w:val="none"/>
          <w:lang w:eastAsia="zh-CN"/>
        </w:rPr>
        <w:t>采购人</w:t>
      </w:r>
      <w:r>
        <w:rPr>
          <w:rFonts w:hint="eastAsia" w:ascii="宋体" w:hAnsi="宋体" w:eastAsia="宋体" w:cs="宋体"/>
          <w:bCs/>
          <w:color w:val="auto"/>
          <w:sz w:val="24"/>
          <w:highlight w:val="none"/>
        </w:rPr>
        <w:t>、其他供应商恶意串通的；</w:t>
      </w:r>
    </w:p>
    <w:p w14:paraId="505D34F4">
      <w:pPr>
        <w:keepNext w:val="0"/>
        <w:keepLines w:val="0"/>
        <w:pageBreakBefore w:val="0"/>
        <w:tabs>
          <w:tab w:val="left" w:pos="420"/>
          <w:tab w:val="left" w:pos="114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4.向</w:t>
      </w:r>
      <w:r>
        <w:rPr>
          <w:rFonts w:hint="eastAsia" w:ascii="宋体" w:hAnsi="宋体" w:cs="宋体"/>
          <w:bCs/>
          <w:color w:val="auto"/>
          <w:sz w:val="24"/>
          <w:highlight w:val="none"/>
          <w:lang w:eastAsia="zh-CN"/>
        </w:rPr>
        <w:t>采购人</w:t>
      </w:r>
      <w:r>
        <w:rPr>
          <w:rFonts w:hint="eastAsia" w:ascii="宋体" w:hAnsi="宋体" w:eastAsia="宋体" w:cs="宋体"/>
          <w:bCs/>
          <w:color w:val="auto"/>
          <w:sz w:val="24"/>
          <w:highlight w:val="none"/>
        </w:rPr>
        <w:t>行贿或者提供其他不正当利益的；</w:t>
      </w:r>
    </w:p>
    <w:p w14:paraId="6024768F">
      <w:pPr>
        <w:keepNext w:val="0"/>
        <w:keepLines w:val="0"/>
        <w:pageBreakBefore w:val="0"/>
        <w:tabs>
          <w:tab w:val="left" w:pos="420"/>
          <w:tab w:val="left" w:pos="114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5.拒绝有关部门监督检查或者提供虚假情况的；</w:t>
      </w:r>
    </w:p>
    <w:p w14:paraId="721FDF82">
      <w:pPr>
        <w:keepNext w:val="0"/>
        <w:keepLines w:val="0"/>
        <w:pageBreakBefore w:val="0"/>
        <w:tabs>
          <w:tab w:val="left" w:pos="420"/>
          <w:tab w:val="left" w:pos="114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6.采购人、采购代理机构发现磋商小组未按照磋商文件规定的评审标准进行评审的；</w:t>
      </w:r>
    </w:p>
    <w:p w14:paraId="2B338C8C">
      <w:pPr>
        <w:keepNext w:val="0"/>
        <w:keepLines w:val="0"/>
        <w:pageBreakBefore w:val="0"/>
        <w:tabs>
          <w:tab w:val="left" w:pos="420"/>
          <w:tab w:val="left" w:pos="1140"/>
        </w:tabs>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7.成交供应商拒绝签订政府采购合同的。</w:t>
      </w:r>
    </w:p>
    <w:p w14:paraId="381FA587">
      <w:pPr>
        <w:keepNext w:val="0"/>
        <w:keepLines w:val="0"/>
        <w:pageBreakBefore w:val="0"/>
        <w:spacing w:line="360" w:lineRule="auto"/>
        <w:ind w:left="0" w:firstLine="480"/>
        <w:outlineLvl w:val="0"/>
        <w:rPr>
          <w:rFonts w:hint="eastAsia" w:ascii="宋体" w:hAnsi="宋体" w:eastAsia="宋体" w:cs="宋体"/>
          <w:color w:val="auto"/>
          <w:sz w:val="24"/>
          <w:szCs w:val="24"/>
          <w:highlight w:val="none"/>
        </w:rPr>
      </w:pPr>
      <w:r>
        <w:rPr>
          <w:rFonts w:hint="eastAsia" w:ascii="宋体" w:hAnsi="宋体" w:eastAsia="宋体" w:cs="宋体"/>
          <w:bCs/>
          <w:color w:val="auto"/>
          <w:sz w:val="24"/>
          <w:highlight w:val="none"/>
        </w:rPr>
        <w:t>供应商有上述（1）至（6）项情形之一的，成交无效。有上述（1）至（7）项情形之一的，处以政府采购项目成交金额千分之五以上千分之十以下的罚款，列入不良行为记录名单，在一至三年内禁止参加政府采购活动，并予以公告，有违法所得的，并处没收违法所得，情节严重的，由工商行政管理机构吊销营业执照；构成犯罪的，依法追究刑事责任。</w:t>
      </w:r>
    </w:p>
    <w:p w14:paraId="6755E1FA">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（十四）签订、履行合同：</w:t>
      </w:r>
    </w:p>
    <w:p w14:paraId="63791FA8">
      <w:pPr>
        <w:keepNext w:val="0"/>
        <w:keepLines w:val="0"/>
        <w:pageBreakBefore w:val="0"/>
        <w:tabs>
          <w:tab w:val="left" w:pos="735"/>
          <w:tab w:val="left" w:pos="1365"/>
        </w:tabs>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bookmarkStart w:id="3" w:name="_Hlk62564219"/>
      <w:r>
        <w:rPr>
          <w:rFonts w:hint="eastAsia" w:ascii="宋体" w:hAnsi="宋体" w:eastAsia="宋体" w:cs="宋体"/>
          <w:bCs/>
          <w:color w:val="auto"/>
          <w:sz w:val="24"/>
          <w:highlight w:val="none"/>
        </w:rPr>
        <w:t>采购人应当自成交通知书发出之日起</w:t>
      </w:r>
      <w:r>
        <w:rPr>
          <w:rFonts w:hint="eastAsia" w:ascii="宋体" w:hAnsi="宋体" w:eastAsia="宋体" w:cs="宋体"/>
          <w:bCs/>
          <w:color w:val="auto"/>
          <w:sz w:val="24"/>
          <w:highlight w:val="none"/>
          <w:lang w:val="en-US" w:eastAsia="zh-CN"/>
        </w:rPr>
        <w:t>三十</w:t>
      </w:r>
      <w:r>
        <w:rPr>
          <w:rFonts w:hint="eastAsia" w:ascii="宋体" w:hAnsi="宋体" w:eastAsia="宋体" w:cs="宋体"/>
          <w:bCs/>
          <w:color w:val="auto"/>
          <w:sz w:val="24"/>
          <w:highlight w:val="none"/>
        </w:rPr>
        <w:t>日内，按照竞争性磋商文件和成交供应商响应文件的约定，与成交供应商签订书面合同。所签订的合同不得对竞争性磋商文件和成交供应商响应文件作实质性修改。采购人不得向成交供应商提出任何不合理的要求，作为签订合同的条件，不得与成交供应商私下订立背离合同实质性内容的协议。</w:t>
      </w:r>
      <w:bookmarkEnd w:id="3"/>
    </w:p>
    <w:p w14:paraId="649EC78B">
      <w:pPr>
        <w:keepNext w:val="0"/>
        <w:keepLines w:val="0"/>
        <w:pageBreakBefore w:val="0"/>
        <w:spacing w:line="360" w:lineRule="auto"/>
        <w:ind w:left="0"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r>
        <w:rPr>
          <w:rFonts w:hint="eastAsia" w:ascii="宋体" w:hAnsi="宋体" w:cs="宋体"/>
          <w:bCs/>
          <w:color w:val="auto"/>
          <w:sz w:val="24"/>
          <w:szCs w:val="24"/>
          <w:highlight w:val="none"/>
          <w:lang w:eastAsia="zh-CN"/>
        </w:rPr>
        <w:t>江苏新鑫工程咨询有限公司</w:t>
      </w:r>
      <w:r>
        <w:rPr>
          <w:rFonts w:hint="eastAsia" w:ascii="宋体" w:hAnsi="宋体" w:eastAsia="宋体" w:cs="宋体"/>
          <w:bCs/>
          <w:color w:val="auto"/>
          <w:sz w:val="24"/>
          <w:szCs w:val="24"/>
          <w:highlight w:val="none"/>
        </w:rPr>
        <w:t>监督合同的履行。成交方非因不可抗力未履行</w:t>
      </w:r>
      <w:r>
        <w:rPr>
          <w:rFonts w:hint="eastAsia" w:ascii="宋体" w:hAnsi="宋体" w:cs="宋体"/>
          <w:bCs/>
          <w:color w:val="auto"/>
          <w:sz w:val="24"/>
          <w:szCs w:val="24"/>
          <w:highlight w:val="none"/>
          <w:lang w:eastAsia="zh-CN"/>
        </w:rPr>
        <w:t>磋商文件</w:t>
      </w:r>
      <w:r>
        <w:rPr>
          <w:rFonts w:hint="eastAsia" w:ascii="宋体" w:hAnsi="宋体" w:eastAsia="宋体" w:cs="宋体"/>
          <w:bCs/>
          <w:color w:val="auto"/>
          <w:sz w:val="24"/>
          <w:szCs w:val="24"/>
          <w:highlight w:val="none"/>
        </w:rPr>
        <w:t>、响应文件和合同规定的义务，一经查实，采购代理机构将根据具体情况提请政府采购管理部门作出相应处理。</w:t>
      </w:r>
    </w:p>
    <w:p w14:paraId="3691E0E4">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（十五）政府采购信用担保</w:t>
      </w:r>
    </w:p>
    <w:p w14:paraId="628AA6D6">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履约担保，是指由专业担保机构为成交供应商支付履约保证金的义务向采购人提供的保函担保。专业担保机构根据成交供应商的成交通知书为凭据，进行资信审查后出具保函， 成交供应商以保函形式缴纳履约保证金；供应商未按政府采购合同履行约定义务而应实际支付保证金的，由专业担保机构按照担保函约定履行担保责任。供应商可以自愿选择是否采取履约担保函的形式交纳履约保证金。</w:t>
      </w:r>
    </w:p>
    <w:p w14:paraId="4B1DB212">
      <w:pPr>
        <w:keepNext w:val="0"/>
        <w:keepLines w:val="0"/>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bCs/>
          <w:color w:val="auto"/>
          <w:sz w:val="24"/>
          <w:highlight w:val="none"/>
        </w:rPr>
        <w:t>成交供应商可以根据自身情况，自行决定是否选择采用履约担保形式，自主选择合作银行。除江苏省财政厅确定的江苏省再担保有限公司和无锡市财政局确定的科发投资担保有限公司为无锡市政府采购信用担保合作担保机构外，民生银行南京分行、江苏银行和中信银行南京分行、浙商银行无锡分行可以在无锡市范围内开展政府采购履约担保业务。</w:t>
      </w:r>
    </w:p>
    <w:p w14:paraId="765294CE">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（十六）政府采购合同融资</w:t>
      </w:r>
    </w:p>
    <w:p w14:paraId="3D92D594">
      <w:pPr>
        <w:keepNext w:val="0"/>
        <w:keepLines w:val="0"/>
        <w:pageBreakBefore w:val="0"/>
        <w:spacing w:line="360" w:lineRule="auto"/>
        <w:ind w:left="0"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合同融资，是指参与政府采购的供应商，凭借中标、成交通知书或政府采购合同向金融机构申请融资，金融机构以供应商信用审查和政府采购信誉为基础，按便捷贷款程序和优惠利率，为其发放无财产抵押贷款的一种融资模式。供应商与金融机构按照“银企自愿，风险共担”的原则开展融资活动，有融资需求的中标、成交供应商可根据自身情况，在无锡市政府采购交易管理一体化系统凭政府采购中标、成交通知书或政府采购合同在线提出融资申请，自主选择金融机构及其融资产品，金融机构进行融资信息审查决定是否为其提供融资，做好预授信。双方达成融资意向后签订融资协议，确定融资成交信息并约定融资回款账户。</w:t>
      </w:r>
    </w:p>
    <w:p w14:paraId="5F3A3112">
      <w:pPr>
        <w:keepNext w:val="0"/>
        <w:keepLines w:val="0"/>
        <w:pageBreakBefore w:val="0"/>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bCs/>
          <w:color w:val="auto"/>
          <w:sz w:val="24"/>
          <w:highlight w:val="none"/>
        </w:rPr>
        <w:t>中标、成交供应商可根据自身情况，自行决定是否选择采用合同融资形式，在无锡政府采购网——政采贷专栏提供的银行名录内自主选择合作银行。</w:t>
      </w:r>
    </w:p>
    <w:p w14:paraId="2158AF01">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（十七）代理服务费：</w:t>
      </w:r>
    </w:p>
    <w:p w14:paraId="0EA124DB">
      <w:pPr>
        <w:keepNext w:val="0"/>
        <w:keepLines w:val="0"/>
        <w:pageBreakBefore w:val="0"/>
        <w:spacing w:line="360" w:lineRule="auto"/>
        <w:ind w:left="0" w:firstLine="480"/>
        <w:jc w:val="left"/>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1.本项目代理服务费、编标费由</w:t>
      </w:r>
      <w:r>
        <w:rPr>
          <w:rFonts w:hint="eastAsia" w:ascii="宋体" w:hAnsi="宋体" w:cs="宋体"/>
          <w:bCs/>
          <w:color w:val="auto"/>
          <w:sz w:val="24"/>
          <w:szCs w:val="22"/>
          <w:highlight w:val="none"/>
          <w:lang w:val="en-US" w:eastAsia="zh-CN"/>
        </w:rPr>
        <w:t>采购人</w:t>
      </w:r>
      <w:r>
        <w:rPr>
          <w:rFonts w:hint="eastAsia" w:ascii="宋体" w:hAnsi="宋体" w:eastAsia="宋体" w:cs="宋体"/>
          <w:bCs/>
          <w:color w:val="auto"/>
          <w:sz w:val="24"/>
          <w:szCs w:val="22"/>
          <w:highlight w:val="none"/>
        </w:rPr>
        <w:t>支付。</w:t>
      </w:r>
    </w:p>
    <w:p w14:paraId="6077FC55">
      <w:pPr>
        <w:keepNext w:val="0"/>
        <w:keepLines w:val="0"/>
        <w:pageBreakBefore w:val="0"/>
        <w:spacing w:line="360" w:lineRule="auto"/>
        <w:ind w:left="0" w:firstLine="480"/>
        <w:jc w:val="left"/>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2.项目代理服务费：按累进制计算，中标金额100万以下</w:t>
      </w:r>
      <w:r>
        <w:rPr>
          <w:rFonts w:hint="eastAsia" w:ascii="宋体" w:hAnsi="宋体" w:cs="宋体"/>
          <w:bCs/>
          <w:color w:val="auto"/>
          <w:sz w:val="24"/>
          <w:szCs w:val="22"/>
          <w:highlight w:val="none"/>
          <w:lang w:eastAsia="zh-CN"/>
        </w:rPr>
        <w:t>的</w:t>
      </w:r>
      <w:r>
        <w:rPr>
          <w:rFonts w:hint="eastAsia" w:ascii="宋体" w:hAnsi="宋体" w:cs="宋体"/>
          <w:bCs/>
          <w:color w:val="auto"/>
          <w:sz w:val="24"/>
          <w:szCs w:val="22"/>
          <w:highlight w:val="none"/>
          <w:lang w:val="en-US" w:eastAsia="zh-CN"/>
        </w:rPr>
        <w:t>费率为1%</w:t>
      </w:r>
      <w:r>
        <w:rPr>
          <w:rFonts w:hint="eastAsia" w:ascii="宋体" w:hAnsi="宋体" w:eastAsia="宋体" w:cs="宋体"/>
          <w:bCs/>
          <w:color w:val="auto"/>
          <w:sz w:val="24"/>
          <w:szCs w:val="22"/>
          <w:highlight w:val="none"/>
        </w:rPr>
        <w:t>乘以</w:t>
      </w:r>
      <w:r>
        <w:rPr>
          <w:rFonts w:hint="eastAsia" w:ascii="宋体" w:hAnsi="宋体" w:cs="宋体"/>
          <w:bCs/>
          <w:color w:val="auto"/>
          <w:sz w:val="24"/>
          <w:szCs w:val="22"/>
          <w:highlight w:val="none"/>
          <w:lang w:val="en-US" w:eastAsia="zh-CN"/>
        </w:rPr>
        <w:t>70</w:t>
      </w:r>
      <w:r>
        <w:rPr>
          <w:rFonts w:hint="eastAsia" w:ascii="宋体" w:hAnsi="宋体" w:eastAsia="宋体" w:cs="宋体"/>
          <w:bCs/>
          <w:color w:val="auto"/>
          <w:sz w:val="24"/>
          <w:szCs w:val="22"/>
          <w:highlight w:val="none"/>
        </w:rPr>
        <w:t>%，100万—500万</w:t>
      </w:r>
      <w:r>
        <w:rPr>
          <w:rFonts w:hint="eastAsia" w:ascii="宋体" w:hAnsi="宋体" w:cs="宋体"/>
          <w:bCs/>
          <w:color w:val="auto"/>
          <w:sz w:val="24"/>
          <w:szCs w:val="22"/>
          <w:highlight w:val="none"/>
          <w:lang w:eastAsia="zh-CN"/>
        </w:rPr>
        <w:t>的</w:t>
      </w:r>
      <w:r>
        <w:rPr>
          <w:rFonts w:hint="eastAsia" w:ascii="宋体" w:hAnsi="宋体" w:cs="宋体"/>
          <w:bCs/>
          <w:color w:val="auto"/>
          <w:sz w:val="24"/>
          <w:szCs w:val="22"/>
          <w:highlight w:val="none"/>
          <w:lang w:val="en-US" w:eastAsia="zh-CN"/>
        </w:rPr>
        <w:t>费率为</w:t>
      </w:r>
      <w:r>
        <w:rPr>
          <w:rFonts w:hint="eastAsia" w:ascii="宋体" w:hAnsi="宋体" w:eastAsia="宋体" w:cs="宋体"/>
          <w:bCs/>
          <w:color w:val="auto"/>
          <w:sz w:val="24"/>
          <w:szCs w:val="22"/>
          <w:highlight w:val="none"/>
        </w:rPr>
        <w:t>0.</w:t>
      </w:r>
      <w:r>
        <w:rPr>
          <w:rFonts w:hint="eastAsia" w:ascii="宋体" w:hAnsi="宋体" w:cs="宋体"/>
          <w:bCs/>
          <w:color w:val="auto"/>
          <w:sz w:val="24"/>
          <w:szCs w:val="22"/>
          <w:highlight w:val="none"/>
          <w:lang w:val="en-US" w:eastAsia="zh-CN"/>
        </w:rPr>
        <w:t>7</w:t>
      </w:r>
      <w:r>
        <w:rPr>
          <w:rFonts w:hint="eastAsia" w:ascii="宋体" w:hAnsi="宋体" w:eastAsia="宋体" w:cs="宋体"/>
          <w:bCs/>
          <w:color w:val="auto"/>
          <w:sz w:val="24"/>
          <w:szCs w:val="22"/>
          <w:highlight w:val="none"/>
        </w:rPr>
        <w:t>%乘以</w:t>
      </w:r>
      <w:r>
        <w:rPr>
          <w:rFonts w:hint="eastAsia" w:ascii="宋体" w:hAnsi="宋体" w:eastAsia="宋体" w:cs="宋体"/>
          <w:bCs/>
          <w:color w:val="auto"/>
          <w:sz w:val="24"/>
          <w:szCs w:val="22"/>
          <w:highlight w:val="none"/>
          <w:lang w:val="en-US" w:eastAsia="zh-CN"/>
        </w:rPr>
        <w:t>70%</w:t>
      </w:r>
      <w:r>
        <w:rPr>
          <w:rFonts w:hint="eastAsia" w:ascii="宋体" w:hAnsi="宋体" w:eastAsia="宋体" w:cs="宋体"/>
          <w:bCs/>
          <w:color w:val="auto"/>
          <w:sz w:val="24"/>
          <w:szCs w:val="22"/>
          <w:highlight w:val="none"/>
        </w:rPr>
        <w:t>。</w:t>
      </w:r>
    </w:p>
    <w:p w14:paraId="2690B968">
      <w:pPr>
        <w:keepNext w:val="0"/>
        <w:keepLines w:val="0"/>
        <w:pageBreakBefore w:val="0"/>
        <w:spacing w:line="360" w:lineRule="auto"/>
        <w:ind w:left="0" w:firstLine="480"/>
        <w:jc w:val="left"/>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3.编标费：按累进制计算，以最高限价为计费基础，按差额定率累进法计算，500万以下费率为</w:t>
      </w:r>
      <w:r>
        <w:rPr>
          <w:rFonts w:hint="eastAsia" w:ascii="宋体" w:hAnsi="宋体" w:cs="宋体"/>
          <w:bCs/>
          <w:color w:val="auto"/>
          <w:sz w:val="24"/>
          <w:szCs w:val="22"/>
          <w:highlight w:val="none"/>
          <w:lang w:val="en-US" w:eastAsia="zh-CN"/>
        </w:rPr>
        <w:t>0.38</w:t>
      </w:r>
      <w:r>
        <w:rPr>
          <w:rFonts w:hint="eastAsia" w:ascii="宋体" w:hAnsi="宋体" w:eastAsia="宋体" w:cs="宋体"/>
          <w:bCs/>
          <w:color w:val="auto"/>
          <w:sz w:val="24"/>
          <w:szCs w:val="22"/>
          <w:highlight w:val="none"/>
        </w:rPr>
        <w:t>%乘以</w:t>
      </w:r>
      <w:r>
        <w:rPr>
          <w:rFonts w:hint="eastAsia" w:ascii="宋体" w:hAnsi="宋体" w:eastAsia="宋体" w:cs="宋体"/>
          <w:bCs/>
          <w:color w:val="auto"/>
          <w:sz w:val="24"/>
          <w:szCs w:val="22"/>
          <w:highlight w:val="none"/>
          <w:lang w:val="en-US" w:eastAsia="zh-CN"/>
        </w:rPr>
        <w:t>70%</w:t>
      </w:r>
      <w:r>
        <w:rPr>
          <w:rFonts w:hint="eastAsia" w:ascii="宋体" w:hAnsi="宋体" w:eastAsia="宋体" w:cs="宋体"/>
          <w:bCs/>
          <w:color w:val="auto"/>
          <w:sz w:val="24"/>
          <w:szCs w:val="22"/>
          <w:highlight w:val="none"/>
        </w:rPr>
        <w:t>。</w:t>
      </w:r>
    </w:p>
    <w:p w14:paraId="730E2D05">
      <w:pPr>
        <w:keepNext w:val="0"/>
        <w:keepLines w:val="0"/>
        <w:pageBreakBefore w:val="0"/>
        <w:tabs>
          <w:tab w:val="left" w:pos="735"/>
        </w:tabs>
        <w:spacing w:line="36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（十八）其他：</w:t>
      </w:r>
    </w:p>
    <w:p w14:paraId="60430DA4">
      <w:pPr>
        <w:keepNext w:val="0"/>
        <w:keepLines w:val="0"/>
        <w:pageBreakBefore w:val="0"/>
        <w:spacing w:line="360" w:lineRule="auto"/>
        <w:ind w:left="0" w:firstLine="480"/>
        <w:rPr>
          <w:rFonts w:hint="eastAsia" w:ascii="宋体" w:hAnsi="宋体" w:eastAsia="宋体" w:cs="宋体"/>
          <w:b/>
          <w:bCs/>
          <w:color w:val="auto"/>
          <w:sz w:val="28"/>
          <w:szCs w:val="28"/>
          <w:highlight w:val="none"/>
          <w:shd w:val="clear" w:color="auto" w:fill="FFFFFF"/>
        </w:rPr>
      </w:pPr>
      <w:r>
        <w:rPr>
          <w:rFonts w:hint="eastAsia" w:ascii="宋体" w:hAnsi="宋体" w:eastAsia="宋体" w:cs="宋体"/>
          <w:color w:val="auto"/>
          <w:sz w:val="24"/>
          <w:szCs w:val="24"/>
          <w:highlight w:val="none"/>
        </w:rPr>
        <w:t>竞争性磋商文件的条款必须认真审阅，报价供应商应自行检查竞争性磋商文件页数是否齐全。若有遗漏、重复或不清楚，需立刻通知采购人予以更正；凡属对条款的误解所造成的投标价格失误，由报价供应商负责。</w:t>
      </w:r>
      <w:bookmarkStart w:id="4" w:name="五．合同条款"/>
      <w:bookmarkEnd w:id="4"/>
      <w:r>
        <w:rPr>
          <w:rFonts w:hint="eastAsia" w:ascii="宋体" w:hAnsi="宋体" w:eastAsia="宋体" w:cs="宋体"/>
          <w:b/>
          <w:bCs/>
          <w:color w:val="auto"/>
          <w:sz w:val="28"/>
          <w:szCs w:val="28"/>
          <w:highlight w:val="none"/>
          <w:shd w:val="clear" w:color="auto" w:fill="FFFFFF"/>
        </w:rPr>
        <w:br w:type="page" w:clear="all"/>
      </w:r>
    </w:p>
    <w:p w14:paraId="4054AA2D">
      <w:pPr>
        <w:spacing w:line="360" w:lineRule="auto"/>
        <w:jc w:val="center"/>
        <w:rPr>
          <w:rFonts w:hint="eastAsia" w:ascii="宋体" w:hAnsi="宋体" w:eastAsia="宋体" w:cs="宋体"/>
          <w:b/>
          <w:bCs/>
          <w:color w:val="auto"/>
          <w:sz w:val="28"/>
          <w:szCs w:val="28"/>
          <w:highlight w:val="none"/>
          <w:shd w:val="clear" w:color="auto" w:fill="FFFFFF"/>
        </w:rPr>
      </w:pPr>
      <w:r>
        <w:rPr>
          <w:rFonts w:hint="eastAsia" w:ascii="宋体" w:hAnsi="宋体" w:eastAsia="宋体" w:cs="宋体"/>
          <w:b/>
          <w:bCs/>
          <w:color w:val="auto"/>
          <w:sz w:val="28"/>
          <w:szCs w:val="28"/>
          <w:highlight w:val="none"/>
          <w:shd w:val="clear" w:color="auto" w:fill="FFFFFF"/>
        </w:rPr>
        <w:t>三、采购需求</w:t>
      </w:r>
    </w:p>
    <w:p w14:paraId="621996D8">
      <w:pPr>
        <w:keepNext w:val="0"/>
        <w:keepLines w:val="0"/>
        <w:pageBreakBefore w:val="0"/>
        <w:spacing w:line="360" w:lineRule="auto"/>
        <w:ind w:righ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一、工程概况：</w:t>
      </w:r>
    </w:p>
    <w:p w14:paraId="573A643B">
      <w:pPr>
        <w:keepNext w:val="0"/>
        <w:keepLines w:val="0"/>
        <w:pageBreakBefore w:val="0"/>
        <w:spacing w:line="360" w:lineRule="auto"/>
        <w:ind w:right="0" w:firstLine="480"/>
        <w:rPr>
          <w:rFonts w:hint="eastAsia" w:ascii="宋体" w:hAnsi="宋体" w:eastAsia="宋体" w:cs="宋体"/>
          <w:color w:val="auto"/>
          <w:sz w:val="24"/>
          <w:szCs w:val="24"/>
          <w:highlight w:val="none"/>
        </w:rPr>
      </w:pPr>
      <w:bookmarkStart w:id="5" w:name="_Hlk511131204"/>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建设单位：江苏省梅村高级中学</w:t>
      </w:r>
    </w:p>
    <w:p w14:paraId="694619CE">
      <w:pPr>
        <w:keepNext w:val="0"/>
        <w:keepLines w:val="0"/>
        <w:pageBreakBefore w:val="0"/>
        <w:spacing w:line="360" w:lineRule="auto"/>
        <w:ind w:right="0" w:firstLine="48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工程名称：</w:t>
      </w:r>
      <w:r>
        <w:rPr>
          <w:rFonts w:hint="eastAsia" w:ascii="宋体" w:hAnsi="宋体" w:cs="宋体"/>
          <w:color w:val="auto"/>
          <w:sz w:val="24"/>
          <w:szCs w:val="24"/>
          <w:highlight w:val="none"/>
          <w:lang w:eastAsia="zh-CN"/>
        </w:rPr>
        <w:t>江苏省梅村高级中学2026年艺体楼、图书馆及心理健康发展中心建设项目</w:t>
      </w:r>
    </w:p>
    <w:p w14:paraId="68EB7E2F">
      <w:pPr>
        <w:keepNext w:val="0"/>
        <w:keepLines w:val="0"/>
        <w:pageBreakBefore w:val="0"/>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建设地点：江苏省梅村高级中学内</w:t>
      </w:r>
      <w:bookmarkEnd w:id="5"/>
    </w:p>
    <w:p w14:paraId="2D9FD57B">
      <w:pPr>
        <w:keepNext w:val="0"/>
        <w:keepLines w:val="0"/>
        <w:pageBreakBefore w:val="0"/>
        <w:spacing w:line="360" w:lineRule="auto"/>
        <w:ind w:right="0" w:firstLine="48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建设规模：</w:t>
      </w:r>
      <w:r>
        <w:rPr>
          <w:rFonts w:hint="eastAsia" w:ascii="宋体" w:hAnsi="宋体" w:cs="宋体"/>
          <w:color w:val="auto"/>
          <w:sz w:val="24"/>
          <w:szCs w:val="24"/>
          <w:highlight w:val="none"/>
          <w:lang w:val="en-US" w:eastAsia="zh-CN"/>
        </w:rPr>
        <w:t>本项目</w:t>
      </w:r>
      <w:r>
        <w:rPr>
          <w:rFonts w:hint="eastAsia" w:ascii="宋体" w:hAnsi="宋体" w:eastAsia="宋体" w:cs="宋体"/>
          <w:color w:val="auto"/>
          <w:sz w:val="24"/>
          <w:szCs w:val="24"/>
          <w:highlight w:val="none"/>
          <w:lang w:val="en-US" w:eastAsia="zh-CN"/>
        </w:rPr>
        <w:t>总建筑面积约4500</w:t>
      </w:r>
      <w:r>
        <w:rPr>
          <w:rFonts w:hint="eastAsia" w:ascii="宋体" w:hAnsi="宋体" w:cs="宋体"/>
          <w:color w:val="auto"/>
          <w:sz w:val="24"/>
          <w:szCs w:val="24"/>
          <w:highlight w:val="none"/>
          <w:lang w:val="en-US" w:eastAsia="zh-CN"/>
        </w:rPr>
        <w:t>平方米；</w:t>
      </w:r>
    </w:p>
    <w:p w14:paraId="5064B820">
      <w:pPr>
        <w:keepNext w:val="0"/>
        <w:keepLines w:val="0"/>
        <w:pageBreakBefore w:val="0"/>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5、采购</w:t>
      </w:r>
      <w:r>
        <w:rPr>
          <w:rFonts w:hint="eastAsia" w:ascii="宋体" w:hAnsi="宋体" w:eastAsia="宋体" w:cs="宋体"/>
          <w:color w:val="auto"/>
          <w:sz w:val="24"/>
          <w:szCs w:val="24"/>
          <w:highlight w:val="none"/>
        </w:rPr>
        <w:t>范围：</w:t>
      </w:r>
      <w:r>
        <w:rPr>
          <w:rFonts w:hint="eastAsia" w:ascii="宋体" w:hAnsi="宋体" w:eastAsia="宋体" w:cs="宋体"/>
          <w:color w:val="auto"/>
          <w:sz w:val="24"/>
          <w:szCs w:val="24"/>
          <w:highlight w:val="none"/>
          <w:lang w:val="en-US" w:eastAsia="zh-CN"/>
        </w:rPr>
        <w:t>招标图纸及工程量清单范围内</w:t>
      </w:r>
      <w:r>
        <w:rPr>
          <w:rFonts w:hint="eastAsia" w:ascii="宋体" w:hAnsi="宋体" w:cs="宋体"/>
          <w:color w:val="auto"/>
          <w:sz w:val="24"/>
          <w:szCs w:val="24"/>
          <w:highlight w:val="none"/>
          <w:lang w:val="en-US" w:eastAsia="zh-CN"/>
        </w:rPr>
        <w:t>的拆除工程、装修工程、安装工程等</w:t>
      </w:r>
      <w:r>
        <w:rPr>
          <w:rFonts w:hint="eastAsia" w:ascii="宋体" w:hAnsi="宋体" w:eastAsia="宋体" w:cs="宋体"/>
          <w:color w:val="auto"/>
          <w:sz w:val="24"/>
          <w:szCs w:val="24"/>
          <w:highlight w:val="none"/>
        </w:rPr>
        <w:t>。</w:t>
      </w:r>
    </w:p>
    <w:p w14:paraId="65AE9322">
      <w:pPr>
        <w:keepNext w:val="0"/>
        <w:keepLines w:val="0"/>
        <w:pageBreakBefore w:val="0"/>
        <w:spacing w:line="360" w:lineRule="auto"/>
        <w:ind w:right="0" w:firstLine="480"/>
        <w:rPr>
          <w:rFonts w:hint="eastAsia" w:ascii="宋体" w:hAnsi="宋体" w:eastAsia="宋体" w:cs="宋体"/>
          <w:color w:val="auto"/>
          <w:sz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承包方式：包工包料，所有材料</w:t>
      </w:r>
      <w:r>
        <w:rPr>
          <w:rFonts w:hint="eastAsia" w:ascii="宋体" w:hAnsi="宋体" w:eastAsia="宋体" w:cs="宋体"/>
          <w:color w:val="auto"/>
          <w:sz w:val="24"/>
          <w:highlight w:val="none"/>
        </w:rPr>
        <w:t>均符合国家环保要求。</w:t>
      </w:r>
    </w:p>
    <w:p w14:paraId="1861B9A2">
      <w:pPr>
        <w:keepNext w:val="0"/>
        <w:keepLines w:val="0"/>
        <w:pageBreakBefore w:val="0"/>
        <w:spacing w:line="360" w:lineRule="auto"/>
        <w:ind w:right="0"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质量标准：</w:t>
      </w:r>
      <w:r>
        <w:rPr>
          <w:rFonts w:hint="eastAsia" w:ascii="宋体" w:hAnsi="宋体" w:eastAsia="宋体" w:cs="宋体"/>
          <w:bCs/>
          <w:color w:val="auto"/>
          <w:sz w:val="24"/>
          <w:highlight w:val="none"/>
        </w:rPr>
        <w:t>一次性验收通过，100%合格</w:t>
      </w:r>
      <w:r>
        <w:rPr>
          <w:rFonts w:hint="eastAsia" w:ascii="宋体" w:hAnsi="宋体" w:eastAsia="宋体" w:cs="宋体"/>
          <w:color w:val="auto"/>
          <w:sz w:val="24"/>
          <w:highlight w:val="none"/>
        </w:rPr>
        <w:t>。</w:t>
      </w:r>
    </w:p>
    <w:p w14:paraId="146DC6AC">
      <w:pPr>
        <w:keepNext w:val="0"/>
        <w:keepLines w:val="0"/>
        <w:pageBreakBefore w:val="0"/>
        <w:spacing w:line="360" w:lineRule="auto"/>
        <w:ind w:right="0"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工期及相关要求：合同签订后接到采购人开工通知之日起</w:t>
      </w:r>
      <w:r>
        <w:rPr>
          <w:rFonts w:hint="eastAsia" w:ascii="宋体" w:hAnsi="宋体" w:eastAsia="宋体" w:cs="宋体"/>
          <w:color w:val="auto"/>
          <w:sz w:val="24"/>
          <w:highlight w:val="none"/>
          <w:lang w:val="en-US" w:eastAsia="zh-CN"/>
        </w:rPr>
        <w:t xml:space="preserve"> 4</w:t>
      </w:r>
      <w:r>
        <w:rPr>
          <w:rFonts w:hint="eastAsia" w:ascii="宋体" w:hAnsi="宋体" w:cs="宋体"/>
          <w:color w:val="auto"/>
          <w:sz w:val="24"/>
          <w:highlight w:val="none"/>
          <w:lang w:val="en-US" w:eastAsia="zh-CN"/>
        </w:rPr>
        <w:t>5日</w:t>
      </w:r>
      <w:r>
        <w:rPr>
          <w:rFonts w:hint="eastAsia" w:ascii="宋体" w:hAnsi="宋体" w:eastAsia="宋体" w:cs="宋体"/>
          <w:bCs/>
          <w:color w:val="auto"/>
          <w:sz w:val="24"/>
          <w:highlight w:val="none"/>
        </w:rPr>
        <w:t>历天</w:t>
      </w:r>
      <w:r>
        <w:rPr>
          <w:rFonts w:hint="eastAsia" w:ascii="宋体" w:hAnsi="宋体" w:eastAsia="宋体" w:cs="宋体"/>
          <w:color w:val="auto"/>
          <w:sz w:val="24"/>
          <w:highlight w:val="none"/>
        </w:rPr>
        <w:t>，工程在约定时间完成并通过竣工验收，且验收合格交付采购人正常使用。</w:t>
      </w:r>
    </w:p>
    <w:p w14:paraId="7D69E8F7">
      <w:pPr>
        <w:keepNext w:val="0"/>
        <w:keepLines w:val="0"/>
        <w:pageBreakBefore w:val="0"/>
        <w:spacing w:line="360" w:lineRule="auto"/>
        <w:ind w:right="0"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误期违约金：2000元/天。</w:t>
      </w:r>
    </w:p>
    <w:p w14:paraId="58401140">
      <w:pPr>
        <w:keepNext w:val="0"/>
        <w:keepLines w:val="0"/>
        <w:pageBreakBefore w:val="0"/>
        <w:spacing w:line="360" w:lineRule="auto"/>
        <w:ind w:right="0"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质量违约金：合同价款的5%。</w:t>
      </w:r>
    </w:p>
    <w:p w14:paraId="68A02AFE">
      <w:pPr>
        <w:keepNext w:val="0"/>
        <w:keepLines w:val="0"/>
        <w:pageBreakBefore w:val="0"/>
        <w:spacing w:line="360" w:lineRule="auto"/>
        <w:ind w:right="0"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本工程所有</w:t>
      </w:r>
      <w:r>
        <w:rPr>
          <w:rFonts w:hint="eastAsia" w:ascii="宋体" w:hAnsi="宋体" w:eastAsia="宋体" w:cs="宋体"/>
          <w:color w:val="auto"/>
          <w:sz w:val="24"/>
          <w:highlight w:val="none"/>
        </w:rPr>
        <w:t>垃圾</w:t>
      </w:r>
      <w:r>
        <w:rPr>
          <w:rFonts w:hint="eastAsia" w:ascii="宋体" w:hAnsi="宋体" w:eastAsia="宋体" w:cs="宋体"/>
          <w:color w:val="auto"/>
          <w:sz w:val="24"/>
          <w:szCs w:val="24"/>
          <w:highlight w:val="none"/>
        </w:rPr>
        <w:t>由承包人负责及时外运，不能堆放校内，做好文明施工措施。承包人负责处理好相关政府管理部门（如城管、环卫）的检查及整改工作。</w:t>
      </w:r>
    </w:p>
    <w:p w14:paraId="5FCF38EF">
      <w:pPr>
        <w:keepNext w:val="0"/>
        <w:keepLines w:val="0"/>
        <w:pageBreakBefore w:val="0"/>
        <w:spacing w:line="360" w:lineRule="auto"/>
        <w:ind w:right="0" w:firstLine="480"/>
        <w:rPr>
          <w:rFonts w:hint="eastAsia" w:ascii="宋体" w:hAnsi="宋体" w:eastAsia="宋体" w:cs="宋体"/>
          <w:color w:val="auto"/>
          <w:sz w:val="24"/>
          <w:highlight w:val="none"/>
          <w:lang w:eastAsia="zh-CN"/>
        </w:rPr>
      </w:pP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lang w:eastAsia="zh-CN"/>
        </w:rPr>
        <w:t>关于付款周期：</w:t>
      </w:r>
      <w:r>
        <w:rPr>
          <w:rFonts w:hint="eastAsia" w:ascii="宋体" w:hAnsi="宋体" w:cs="宋体"/>
          <w:color w:val="auto"/>
          <w:sz w:val="24"/>
          <w:highlight w:val="none"/>
          <w:lang w:eastAsia="zh-CN"/>
        </w:rPr>
        <w:t>本项目根据财政拨款进度支付，合同签订后付至合同价的10%作为预付款，工程竣工验收通过后付至合同价的50%，结算审计后付至审定价的90%，项目整体决算审计后付清余款（包括3%的质保金），质保期为3年。（所有款项在中标单位提供发票后，发包人在30日内付清。）</w:t>
      </w:r>
    </w:p>
    <w:p w14:paraId="6812ED38">
      <w:pPr>
        <w:pStyle w:val="231"/>
        <w:keepNext w:val="0"/>
        <w:keepLines w:val="0"/>
        <w:pageBreakBefore w:val="0"/>
        <w:shd w:val="clear" w:color="auto" w:fill="FFFFFF"/>
        <w:spacing w:before="0" w:beforeAutospacing="0" w:after="0" w:afterAutospacing="0" w:line="360" w:lineRule="auto"/>
        <w:ind w:right="0" w:firstLine="482"/>
        <w:rPr>
          <w:rFonts w:hint="eastAsia" w:ascii="宋体" w:hAnsi="宋体" w:eastAsia="宋体" w:cs="宋体"/>
          <w:bCs/>
          <w:color w:val="auto"/>
          <w:sz w:val="24"/>
          <w:highlight w:val="none"/>
        </w:rPr>
      </w:pPr>
      <w:r>
        <w:rPr>
          <w:rFonts w:hint="eastAsia" w:ascii="宋体" w:hAnsi="宋体" w:eastAsia="宋体" w:cs="宋体"/>
          <w:b/>
          <w:color w:val="auto"/>
          <w:highlight w:val="none"/>
        </w:rPr>
        <w:t>二、工程施工内容和要求：详见附件“工程量清单”及“施工图”文件内容。</w:t>
      </w:r>
    </w:p>
    <w:p w14:paraId="2DE581A5">
      <w:pPr>
        <w:keepNext w:val="0"/>
        <w:keepLines w:val="0"/>
        <w:pageBreakBefore w:val="0"/>
        <w:spacing w:line="360" w:lineRule="auto"/>
        <w:ind w:right="0" w:firstLine="560"/>
        <w:rPr>
          <w:rFonts w:hint="eastAsia" w:ascii="宋体" w:hAnsi="宋体" w:eastAsia="宋体" w:cs="宋体"/>
          <w:bCs/>
          <w:color w:val="auto"/>
          <w:sz w:val="28"/>
          <w:szCs w:val="28"/>
          <w:highlight w:val="none"/>
        </w:rPr>
      </w:pPr>
    </w:p>
    <w:p w14:paraId="12370292">
      <w:pPr>
        <w:keepNext w:val="0"/>
        <w:keepLines w:val="0"/>
        <w:pageBreakBefore w:val="0"/>
        <w:spacing w:line="360" w:lineRule="auto"/>
        <w:ind w:right="0" w:firstLine="560"/>
        <w:jc w:val="center"/>
        <w:rPr>
          <w:rFonts w:hint="eastAsia" w:ascii="宋体" w:hAnsi="宋体" w:eastAsia="宋体" w:cs="宋体"/>
          <w:bCs/>
          <w:color w:val="auto"/>
          <w:sz w:val="28"/>
          <w:szCs w:val="28"/>
          <w:highlight w:val="none"/>
        </w:rPr>
      </w:pPr>
    </w:p>
    <w:p w14:paraId="6B48BF30">
      <w:pPr>
        <w:keepNext w:val="0"/>
        <w:keepLines w:val="0"/>
        <w:pageBreakBefore w:val="0"/>
        <w:spacing w:line="360" w:lineRule="auto"/>
        <w:ind w:right="0" w:firstLine="420"/>
        <w:rPr>
          <w:rFonts w:hint="eastAsia" w:ascii="宋体" w:hAnsi="宋体" w:eastAsia="宋体" w:cs="宋体"/>
          <w:color w:val="auto"/>
          <w:highlight w:val="none"/>
        </w:rPr>
      </w:pPr>
      <w:r>
        <w:rPr>
          <w:rFonts w:hint="eastAsia" w:ascii="宋体" w:hAnsi="宋体" w:eastAsia="宋体" w:cs="宋体"/>
          <w:color w:val="auto"/>
          <w:highlight w:val="none"/>
        </w:rPr>
        <w:br w:type="page" w:clear="all"/>
      </w:r>
    </w:p>
    <w:p w14:paraId="1207BF45">
      <w:pPr>
        <w:pStyle w:val="2"/>
        <w:numPr>
          <w:ilvl w:val="0"/>
          <w:numId w:val="10"/>
        </w:numPr>
        <w:jc w:val="center"/>
        <w:rPr>
          <w:rFonts w:hint="eastAsia" w:ascii="宋体" w:hAnsi="宋体" w:eastAsia="宋体" w:cs="宋体"/>
          <w:color w:val="auto"/>
          <w:sz w:val="18"/>
          <w:szCs w:val="18"/>
          <w:highlight w:val="none"/>
        </w:rPr>
      </w:pPr>
      <w:r>
        <w:rPr>
          <w:rFonts w:hint="eastAsia" w:ascii="宋体" w:hAnsi="宋体" w:eastAsia="宋体" w:cs="宋体"/>
          <w:color w:val="auto"/>
          <w:highlight w:val="none"/>
        </w:rPr>
        <w:t>合同条款</w:t>
      </w:r>
      <w:r>
        <w:rPr>
          <w:rFonts w:hint="eastAsia" w:ascii="宋体" w:hAnsi="宋体" w:eastAsia="宋体" w:cs="宋体"/>
          <w:color w:val="auto"/>
          <w:sz w:val="28"/>
          <w:szCs w:val="28"/>
          <w:highlight w:val="none"/>
        </w:rPr>
        <w:t>（格式，报价时不需填写）</w:t>
      </w:r>
    </w:p>
    <w:p w14:paraId="4677B09F">
      <w:pPr>
        <w:jc w:val="center"/>
        <w:rPr>
          <w:rFonts w:hint="eastAsia" w:ascii="宋体" w:hAnsi="宋体" w:eastAsia="宋体" w:cs="宋体"/>
          <w:b/>
          <w:color w:val="auto"/>
          <w:sz w:val="52"/>
          <w:szCs w:val="52"/>
          <w:highlight w:val="none"/>
          <w:lang w:eastAsia="zh-CN"/>
        </w:rPr>
      </w:pPr>
      <w:r>
        <w:rPr>
          <w:rFonts w:hint="eastAsia" w:ascii="宋体" w:hAnsi="宋体" w:eastAsia="宋体" w:cs="宋体"/>
          <w:b/>
          <w:color w:val="auto"/>
          <w:sz w:val="52"/>
          <w:szCs w:val="52"/>
          <w:highlight w:val="none"/>
          <w:lang w:eastAsia="zh-CN"/>
        </w:rPr>
        <w:t>江苏省梅村高级中学</w:t>
      </w:r>
    </w:p>
    <w:p w14:paraId="2ADA6E6A">
      <w:pPr>
        <w:jc w:val="center"/>
        <w:rPr>
          <w:rFonts w:hint="eastAsia" w:ascii="宋体" w:hAnsi="宋体" w:eastAsia="宋体" w:cs="宋体"/>
          <w:b/>
          <w:color w:val="auto"/>
          <w:sz w:val="48"/>
          <w:szCs w:val="52"/>
          <w:highlight w:val="none"/>
        </w:rPr>
      </w:pPr>
      <w:r>
        <w:rPr>
          <w:rFonts w:hint="eastAsia" w:ascii="宋体" w:hAnsi="宋体" w:eastAsia="宋体" w:cs="宋体"/>
          <w:b/>
          <w:color w:val="auto"/>
          <w:sz w:val="52"/>
          <w:szCs w:val="52"/>
          <w:highlight w:val="none"/>
          <w:lang w:eastAsia="zh-CN"/>
        </w:rPr>
        <w:t>2026年艺体楼、图书馆及心理健康发展中心建设项目</w:t>
      </w:r>
      <w:r>
        <w:rPr>
          <w:rFonts w:hint="eastAsia" w:ascii="宋体" w:hAnsi="宋体" w:eastAsia="宋体" w:cs="宋体"/>
          <w:b/>
          <w:color w:val="auto"/>
          <w:sz w:val="48"/>
          <w:szCs w:val="52"/>
          <w:highlight w:val="none"/>
        </w:rPr>
        <w:t>建设工程施工合同</w:t>
      </w:r>
    </w:p>
    <w:p w14:paraId="60A1FD05">
      <w:pPr>
        <w:pStyle w:val="66"/>
        <w:rPr>
          <w:rFonts w:hint="eastAsia" w:ascii="宋体" w:hAnsi="宋体" w:eastAsia="宋体" w:cs="宋体"/>
          <w:color w:val="auto"/>
          <w:highlight w:val="none"/>
        </w:rPr>
      </w:pPr>
    </w:p>
    <w:p w14:paraId="68324615">
      <w:pPr>
        <w:jc w:val="center"/>
        <w:rPr>
          <w:rFonts w:hint="eastAsia" w:ascii="宋体" w:hAnsi="宋体" w:eastAsia="宋体" w:cs="宋体"/>
          <w:b/>
          <w:color w:val="auto"/>
          <w:sz w:val="52"/>
          <w:szCs w:val="52"/>
          <w:highlight w:val="none"/>
        </w:rPr>
      </w:pPr>
      <w:r>
        <w:rPr>
          <w:rFonts w:hint="eastAsia" w:ascii="宋体" w:hAnsi="宋体" w:eastAsia="宋体" w:cs="宋体"/>
          <w:b/>
          <w:color w:val="auto"/>
          <w:sz w:val="28"/>
          <w:szCs w:val="52"/>
          <w:highlight w:val="none"/>
        </w:rPr>
        <w:t>合同编号：</w:t>
      </w:r>
    </w:p>
    <w:p w14:paraId="7D56E198">
      <w:pPr>
        <w:jc w:val="center"/>
        <w:rPr>
          <w:rFonts w:hint="eastAsia" w:ascii="宋体" w:hAnsi="宋体" w:eastAsia="宋体" w:cs="宋体"/>
          <w:b/>
          <w:color w:val="auto"/>
          <w:sz w:val="72"/>
          <w:szCs w:val="72"/>
          <w:highlight w:val="none"/>
        </w:rPr>
      </w:pPr>
    </w:p>
    <w:p w14:paraId="0E49B83B">
      <w:pPr>
        <w:jc w:val="center"/>
        <w:rPr>
          <w:rFonts w:hint="eastAsia" w:ascii="宋体" w:hAnsi="宋体" w:eastAsia="宋体" w:cs="宋体"/>
          <w:b/>
          <w:color w:val="auto"/>
          <w:sz w:val="72"/>
          <w:szCs w:val="72"/>
          <w:highlight w:val="none"/>
        </w:rPr>
      </w:pPr>
    </w:p>
    <w:p w14:paraId="55952150">
      <w:pPr>
        <w:jc w:val="center"/>
        <w:rPr>
          <w:rFonts w:hint="eastAsia" w:ascii="宋体" w:hAnsi="宋体" w:eastAsia="宋体" w:cs="宋体"/>
          <w:b/>
          <w:color w:val="auto"/>
          <w:sz w:val="52"/>
          <w:szCs w:val="52"/>
          <w:highlight w:val="none"/>
        </w:rPr>
      </w:pPr>
    </w:p>
    <w:p w14:paraId="1F37F829">
      <w:pPr>
        <w:jc w:val="center"/>
        <w:rPr>
          <w:rFonts w:hint="eastAsia" w:ascii="宋体" w:hAnsi="宋体" w:eastAsia="宋体" w:cs="宋体"/>
          <w:b/>
          <w:color w:val="auto"/>
          <w:sz w:val="52"/>
          <w:szCs w:val="52"/>
          <w:highlight w:val="none"/>
        </w:rPr>
      </w:pPr>
    </w:p>
    <w:p w14:paraId="0FC11426">
      <w:pPr>
        <w:jc w:val="center"/>
        <w:rPr>
          <w:rFonts w:hint="eastAsia" w:ascii="宋体" w:hAnsi="宋体" w:eastAsia="宋体" w:cs="宋体"/>
          <w:b/>
          <w:color w:val="auto"/>
          <w:sz w:val="52"/>
          <w:szCs w:val="52"/>
          <w:highlight w:val="none"/>
        </w:rPr>
      </w:pPr>
    </w:p>
    <w:p w14:paraId="6762566B">
      <w:pPr>
        <w:jc w:val="center"/>
        <w:rPr>
          <w:rFonts w:hint="eastAsia" w:ascii="宋体" w:hAnsi="宋体" w:eastAsia="宋体" w:cs="宋体"/>
          <w:b/>
          <w:color w:val="auto"/>
          <w:sz w:val="52"/>
          <w:szCs w:val="52"/>
          <w:highlight w:val="none"/>
        </w:rPr>
      </w:pPr>
    </w:p>
    <w:p w14:paraId="38A71A87">
      <w:pPr>
        <w:jc w:val="center"/>
        <w:rPr>
          <w:rFonts w:hint="eastAsia" w:ascii="宋体" w:hAnsi="宋体" w:eastAsia="宋体" w:cs="宋体"/>
          <w:b/>
          <w:color w:val="auto"/>
          <w:sz w:val="52"/>
          <w:szCs w:val="52"/>
          <w:highlight w:val="none"/>
        </w:rPr>
      </w:pPr>
    </w:p>
    <w:p w14:paraId="37CD7FD2">
      <w:pPr>
        <w:jc w:val="center"/>
        <w:rPr>
          <w:rFonts w:hint="eastAsia" w:ascii="宋体" w:hAnsi="宋体" w:eastAsia="宋体" w:cs="宋体"/>
          <w:b/>
          <w:color w:val="auto"/>
          <w:sz w:val="52"/>
          <w:szCs w:val="52"/>
          <w:highlight w:val="none"/>
        </w:rPr>
      </w:pPr>
    </w:p>
    <w:p w14:paraId="02A9A6CB">
      <w:pPr>
        <w:jc w:val="center"/>
        <w:rPr>
          <w:rFonts w:hint="eastAsia" w:ascii="宋体" w:hAnsi="宋体" w:eastAsia="宋体" w:cs="宋体"/>
          <w:b/>
          <w:color w:val="auto"/>
          <w:sz w:val="28"/>
          <w:szCs w:val="52"/>
          <w:highlight w:val="none"/>
        </w:rPr>
      </w:pPr>
    </w:p>
    <w:p w14:paraId="4D223335">
      <w:pPr>
        <w:rPr>
          <w:rFonts w:hint="eastAsia" w:ascii="宋体" w:hAnsi="宋体" w:eastAsia="宋体" w:cs="宋体"/>
          <w:b/>
          <w:color w:val="auto"/>
          <w:highlight w:val="none"/>
        </w:rPr>
      </w:pPr>
    </w:p>
    <w:p w14:paraId="2DD7E8C0">
      <w:pPr>
        <w:jc w:val="center"/>
        <w:rPr>
          <w:rFonts w:hint="eastAsia" w:ascii="宋体" w:hAnsi="宋体" w:eastAsia="宋体" w:cs="宋体"/>
          <w:b/>
          <w:color w:val="auto"/>
          <w:sz w:val="32"/>
          <w:highlight w:val="none"/>
        </w:rPr>
      </w:pPr>
      <w:r>
        <w:rPr>
          <w:rFonts w:hint="eastAsia" w:ascii="宋体" w:hAnsi="宋体" w:eastAsia="宋体" w:cs="宋体"/>
          <w:b/>
          <w:color w:val="auto"/>
          <w:highlight w:val="none"/>
        </w:rPr>
        <w:br w:type="page" w:clear="all"/>
      </w:r>
      <w:r>
        <w:rPr>
          <w:rFonts w:hint="eastAsia" w:ascii="宋体" w:hAnsi="宋体" w:eastAsia="宋体" w:cs="宋体"/>
          <w:b/>
          <w:color w:val="auto"/>
          <w:sz w:val="32"/>
          <w:highlight w:val="none"/>
        </w:rPr>
        <w:t>目录</w:t>
      </w:r>
    </w:p>
    <w:p w14:paraId="759D2011">
      <w:pPr>
        <w:pStyle w:val="232"/>
        <w:keepNext w:val="0"/>
        <w:keepLines w:val="0"/>
        <w:pageBreakBefore w:val="0"/>
        <w:widowControl w:val="0"/>
        <w:spacing w:before="0" w:after="0" w:line="240" w:lineRule="auto"/>
        <w:ind w:left="0" w:firstLine="0"/>
        <w:rPr>
          <w:rFonts w:hint="eastAsia" w:ascii="宋体" w:hAnsi="宋体" w:eastAsia="宋体" w:cs="宋体"/>
          <w:b/>
          <w:bCs/>
          <w:caps w:val="0"/>
          <w:color w:val="auto"/>
          <w:sz w:val="24"/>
          <w:szCs w:val="24"/>
          <w:highlight w:val="none"/>
          <w:lang w:val="en-US" w:eastAsia="zh-CN"/>
        </w:rPr>
      </w:pPr>
      <w:r>
        <w:rPr>
          <w:rFonts w:hint="eastAsia" w:ascii="宋体" w:hAnsi="宋体" w:eastAsia="宋体" w:cs="宋体"/>
          <w:b/>
          <w:caps w:val="0"/>
          <w:color w:val="auto"/>
          <w:sz w:val="24"/>
          <w:szCs w:val="24"/>
          <w:highlight w:val="none"/>
        </w:rPr>
        <w:fldChar w:fldCharType="begin"/>
      </w:r>
      <w:r>
        <w:rPr>
          <w:rFonts w:hint="eastAsia" w:ascii="宋体" w:hAnsi="宋体" w:eastAsia="宋体" w:cs="宋体"/>
          <w:b/>
          <w:caps w:val="0"/>
          <w:color w:val="auto"/>
          <w:sz w:val="24"/>
          <w:szCs w:val="24"/>
          <w:highlight w:val="none"/>
        </w:rPr>
        <w:instrText xml:space="preserve"> TOC \o "1-2" \h \z \u </w:instrText>
      </w:r>
      <w:r>
        <w:rPr>
          <w:rFonts w:hint="eastAsia" w:ascii="宋体" w:hAnsi="宋体" w:eastAsia="宋体" w:cs="宋体"/>
          <w:b/>
          <w:caps w:val="0"/>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"_Toc71558855" </w:instrText>
      </w:r>
      <w:r>
        <w:rPr>
          <w:rFonts w:hint="eastAsia" w:ascii="宋体" w:hAnsi="宋体" w:eastAsia="宋体" w:cs="宋体"/>
          <w:color w:val="auto"/>
          <w:sz w:val="24"/>
          <w:szCs w:val="24"/>
          <w:highlight w:val="none"/>
        </w:rPr>
        <w:fldChar w:fldCharType="separate"/>
      </w:r>
      <w:r>
        <w:rPr>
          <w:rStyle w:val="233"/>
          <w:rFonts w:hint="eastAsia" w:ascii="宋体" w:hAnsi="宋体" w:eastAsia="宋体" w:cs="宋体"/>
          <w:color w:val="auto"/>
          <w:sz w:val="24"/>
          <w:szCs w:val="24"/>
          <w:highlight w:val="none"/>
        </w:rPr>
        <w:t>第一部分 合同协议书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7842F641">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smallCaps w:val="0"/>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"_Toc71558856" </w:instrText>
      </w:r>
      <w:r>
        <w:rPr>
          <w:rFonts w:hint="eastAsia" w:ascii="宋体" w:hAnsi="宋体" w:eastAsia="宋体" w:cs="宋体"/>
          <w:color w:val="auto"/>
          <w:sz w:val="24"/>
          <w:szCs w:val="24"/>
          <w:highlight w:val="none"/>
        </w:rPr>
        <w:fldChar w:fldCharType="separate"/>
      </w:r>
      <w:r>
        <w:rPr>
          <w:rStyle w:val="233"/>
          <w:rFonts w:hint="eastAsia" w:ascii="宋体" w:hAnsi="宋体" w:eastAsia="宋体" w:cs="宋体"/>
          <w:color w:val="auto"/>
          <w:sz w:val="24"/>
          <w:szCs w:val="24"/>
          <w:highlight w:val="none"/>
        </w:rPr>
        <w:t>一、工程概况</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534D401B">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smallCaps w:val="0"/>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"_Toc71558857" </w:instrText>
      </w:r>
      <w:r>
        <w:rPr>
          <w:rFonts w:hint="eastAsia" w:ascii="宋体" w:hAnsi="宋体" w:eastAsia="宋体" w:cs="宋体"/>
          <w:color w:val="auto"/>
          <w:sz w:val="24"/>
          <w:szCs w:val="24"/>
          <w:highlight w:val="none"/>
        </w:rPr>
        <w:fldChar w:fldCharType="separate"/>
      </w:r>
      <w:r>
        <w:rPr>
          <w:rStyle w:val="233"/>
          <w:rFonts w:hint="eastAsia" w:ascii="宋体" w:hAnsi="宋体" w:eastAsia="宋体" w:cs="宋体"/>
          <w:color w:val="auto"/>
          <w:sz w:val="24"/>
          <w:szCs w:val="24"/>
          <w:highlight w:val="none"/>
        </w:rPr>
        <w:t>二、合同工期</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1BC2AB8D">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smallCaps w:val="0"/>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"_Toc71558858" </w:instrText>
      </w:r>
      <w:r>
        <w:rPr>
          <w:rFonts w:hint="eastAsia" w:ascii="宋体" w:hAnsi="宋体" w:eastAsia="宋体" w:cs="宋体"/>
          <w:color w:val="auto"/>
          <w:sz w:val="24"/>
          <w:szCs w:val="24"/>
          <w:highlight w:val="none"/>
        </w:rPr>
        <w:fldChar w:fldCharType="separate"/>
      </w:r>
      <w:r>
        <w:rPr>
          <w:rStyle w:val="233"/>
          <w:rFonts w:hint="eastAsia" w:ascii="宋体" w:hAnsi="宋体" w:eastAsia="宋体" w:cs="宋体"/>
          <w:color w:val="auto"/>
          <w:sz w:val="24"/>
          <w:szCs w:val="24"/>
          <w:highlight w:val="none"/>
        </w:rPr>
        <w:t>三、质量标准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4B8E0FEA">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"_Toc71558859"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四、签约合同价与合同价格形式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596FA755">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"_Toc71558860"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五、项目经理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7EF8E418">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"_Toc71558861"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六、合同文件构成</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32C52D33">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"_Toc71558862"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七、承诺</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70FD9674">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"_Toc71558863"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八、词语含义</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719BFD1C">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"_Toc71558864"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九、签订时间</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7</w:t>
      </w:r>
    </w:p>
    <w:p w14:paraId="48C3E089">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"_Toc71558865"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十、签订地点</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7</w:t>
      </w:r>
    </w:p>
    <w:p w14:paraId="29810D36">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"_Toc71558866"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十一、补充协议</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7</w:t>
      </w:r>
    </w:p>
    <w:p w14:paraId="612C39EF">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"_Toc71558867"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十二、合同生效</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7</w:t>
      </w:r>
    </w:p>
    <w:p w14:paraId="13B68ADD">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"_Toc71558868"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十三、合同份数</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7</w:t>
      </w:r>
    </w:p>
    <w:p w14:paraId="35991770">
      <w:pPr>
        <w:pStyle w:val="234"/>
        <w:keepNext w:val="0"/>
        <w:keepLines w:val="0"/>
        <w:pageBreakBefore w:val="0"/>
        <w:widowControl w:val="0"/>
        <w:tabs>
          <w:tab w:val="right" w:leader="dot" w:pos="8296"/>
        </w:tabs>
        <w:spacing w:line="240" w:lineRule="auto"/>
        <w:ind w:left="0" w:firstLine="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"_Toc71558869"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第二部分 通用合同条款</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8</w:t>
      </w:r>
    </w:p>
    <w:p w14:paraId="5FEACD9A">
      <w:pPr>
        <w:pStyle w:val="234"/>
        <w:keepNext w:val="0"/>
        <w:keepLines w:val="0"/>
        <w:pageBreakBefore w:val="0"/>
        <w:widowControl w:val="0"/>
        <w:tabs>
          <w:tab w:val="right" w:leader="dot" w:pos="8296"/>
        </w:tabs>
        <w:spacing w:line="240" w:lineRule="auto"/>
        <w:ind w:left="0" w:firstLine="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"_Toc71558870"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第三部分 专用合同条款</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8</w:t>
      </w:r>
    </w:p>
    <w:p w14:paraId="751DF686">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"_Toc71558871"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1.一般约定</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8</w:t>
      </w:r>
    </w:p>
    <w:p w14:paraId="4B6EFBAF">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"_Toc71558872"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 发包人</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1</w:t>
      </w:r>
    </w:p>
    <w:p w14:paraId="41E96165">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"_Toc71558873"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 承包人</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_Toc71558873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2</w:t>
      </w:r>
    </w:p>
    <w:p w14:paraId="62076130">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"_Toc71558874"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 监理人</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781DE54E">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"_Toc71558875"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5.工程质量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7</w:t>
      </w:r>
    </w:p>
    <w:p w14:paraId="7A219759">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6.安全文明施工与环境保护</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9</w:t>
      </w:r>
    </w:p>
    <w:p w14:paraId="6267ACE5">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"_Toc71558877"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7.工期和进度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1</w:t>
      </w:r>
    </w:p>
    <w:p w14:paraId="748B198C">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"_Toc71558878"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8.材料与设备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2</w:t>
      </w:r>
    </w:p>
    <w:p w14:paraId="08CABE65">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"_Toc71558879"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9.试验与检验</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4</w:t>
      </w:r>
    </w:p>
    <w:p w14:paraId="0F2AB3DD">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"_Toc71558880"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10.变更</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5</w:t>
      </w:r>
    </w:p>
    <w:p w14:paraId="19E32899">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"_Toc71558881"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11.价格调整</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8</w:t>
      </w:r>
    </w:p>
    <w:p w14:paraId="5DAAA4D5">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"_Toc71558882"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12.合同价格、计量与支付</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8</w:t>
      </w:r>
    </w:p>
    <w:p w14:paraId="2AE24697">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"_Toc71558883"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13.验收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1</w:t>
      </w:r>
    </w:p>
    <w:p w14:paraId="782AF51A">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"_Toc71558884"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14.竣工结算</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2</w:t>
      </w:r>
    </w:p>
    <w:p w14:paraId="6B25A1EF">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"_Toc71558885"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15.缺陷责任期与保修</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3</w:t>
      </w:r>
    </w:p>
    <w:p w14:paraId="066ACFE1">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"_Toc71558886"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16.违约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3</w:t>
      </w:r>
    </w:p>
    <w:p w14:paraId="196AD627">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"_Toc71558887"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17.不可抗力</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en-US" w:eastAsia="zh-CN"/>
        </w:rPr>
        <w:t>5</w:t>
      </w:r>
    </w:p>
    <w:p w14:paraId="4ECBD9BF">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"_Toc71558888"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18.保险</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5</w:t>
      </w:r>
    </w:p>
    <w:p w14:paraId="75B2E524">
      <w:pPr>
        <w:pStyle w:val="234"/>
        <w:keepNext w:val="0"/>
        <w:keepLines w:val="0"/>
        <w:pageBreakBefore w:val="0"/>
        <w:widowControl w:val="0"/>
        <w:tabs>
          <w:tab w:val="right" w:leader="dot" w:pos="8296"/>
        </w:tabs>
        <w:spacing w:line="240" w:lineRule="auto"/>
        <w:ind w:left="0"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"_Toc71558889"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19.争议解决</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0354DA55">
      <w:pPr>
        <w:pStyle w:val="234"/>
        <w:keepNext w:val="0"/>
        <w:keepLines w:val="0"/>
        <w:pageBreakBefore w:val="0"/>
        <w:widowControl w:val="0"/>
        <w:tabs>
          <w:tab w:val="right" w:leader="dot" w:pos="8296"/>
        </w:tabs>
        <w:spacing w:line="240" w:lineRule="auto"/>
        <w:ind w:left="0" w:firstLine="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"_Toc71558891"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附件1：</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6</w:t>
      </w:r>
    </w:p>
    <w:p w14:paraId="3F314FF9">
      <w:pPr>
        <w:pStyle w:val="234"/>
        <w:keepNext w:val="0"/>
        <w:keepLines w:val="0"/>
        <w:pageBreakBefore w:val="0"/>
        <w:widowControl w:val="0"/>
        <w:tabs>
          <w:tab w:val="right" w:leader="dot" w:pos="8296"/>
        </w:tabs>
        <w:spacing w:line="240" w:lineRule="auto"/>
        <w:ind w:left="0" w:firstLine="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"_Toc71558892"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附件2：</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7</w:t>
      </w:r>
    </w:p>
    <w:p w14:paraId="6CCD6D62">
      <w:pPr>
        <w:pStyle w:val="234"/>
        <w:keepNext w:val="0"/>
        <w:keepLines w:val="0"/>
        <w:pageBreakBefore w:val="0"/>
        <w:widowControl w:val="0"/>
        <w:tabs>
          <w:tab w:val="right" w:leader="dot" w:pos="8296"/>
        </w:tabs>
        <w:spacing w:line="240" w:lineRule="auto"/>
        <w:ind w:left="0" w:firstLine="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"_Toc71558893"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附件3：</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9</w:t>
      </w:r>
    </w:p>
    <w:p w14:paraId="4F2B7E2D">
      <w:pPr>
        <w:pStyle w:val="234"/>
        <w:keepNext w:val="0"/>
        <w:keepLines w:val="0"/>
        <w:pageBreakBefore w:val="0"/>
        <w:widowControl w:val="0"/>
        <w:tabs>
          <w:tab w:val="right" w:leader="dot" w:pos="8296"/>
        </w:tabs>
        <w:spacing w:line="240" w:lineRule="auto"/>
        <w:ind w:left="0" w:firstLine="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"_Toc71558895"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附件4：</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04</w:t>
      </w:r>
    </w:p>
    <w:p w14:paraId="306185E8">
      <w:pPr>
        <w:pStyle w:val="234"/>
        <w:pageBreakBefore w:val="0"/>
        <w:widowControl w:val="0"/>
        <w:tabs>
          <w:tab w:val="right" w:leader="dot" w:pos="8296"/>
        </w:tabs>
        <w:spacing w:line="240" w:lineRule="auto"/>
        <w:ind w:left="0" w:firstLine="0"/>
        <w:rPr>
          <w:rFonts w:hint="eastAsia" w:ascii="宋体" w:hAnsi="宋体" w:eastAsia="宋体" w:cs="宋体"/>
          <w:smallCaps w:val="0"/>
          <w:color w:val="auto"/>
          <w:sz w:val="24"/>
          <w:szCs w:val="24"/>
          <w:highlight w:val="none"/>
          <w:lang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"_Toc71558897"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附件5：</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6</w:t>
      </w:r>
    </w:p>
    <w:p w14:paraId="5C6AE226">
      <w:pPr>
        <w:pStyle w:val="235"/>
        <w:pageBreakBefore w:val="0"/>
        <w:widowControl w:val="0"/>
        <w:spacing w:before="0" w:after="0" w:line="240" w:lineRule="auto"/>
        <w:ind w:left="0" w:firstLine="0"/>
        <w:jc w:val="center"/>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fldChar w:fldCharType="end"/>
      </w:r>
      <w:bookmarkStart w:id="6" w:name="_Toc366589556"/>
      <w:bookmarkStart w:id="7" w:name="_Toc267475113"/>
      <w:bookmarkStart w:id="8" w:name="_Toc263777212"/>
    </w:p>
    <w:p w14:paraId="54794F8B">
      <w:pPr>
        <w:rPr>
          <w:rFonts w:hint="eastAsia" w:ascii="宋体" w:hAnsi="宋体" w:eastAsia="宋体" w:cs="宋体"/>
          <w:b w:val="0"/>
          <w:color w:val="auto"/>
          <w:szCs w:val="21"/>
          <w:highlight w:val="none"/>
        </w:rPr>
      </w:pPr>
      <w:r>
        <w:rPr>
          <w:rFonts w:hint="eastAsia" w:ascii="宋体" w:hAnsi="宋体" w:eastAsia="宋体" w:cs="宋体"/>
          <w:b w:val="0"/>
          <w:color w:val="auto"/>
          <w:szCs w:val="21"/>
          <w:highlight w:val="none"/>
        </w:rPr>
        <w:br w:type="page" w:clear="all"/>
      </w:r>
    </w:p>
    <w:p w14:paraId="04849448">
      <w:pPr>
        <w:pStyle w:val="235"/>
        <w:pageBreakBefore w:val="0"/>
        <w:widowControl w:val="0"/>
        <w:spacing w:before="0" w:after="0" w:line="240" w:lineRule="auto"/>
        <w:ind w:lef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第一部分　</w:t>
      </w:r>
      <w:bookmarkStart w:id="9" w:name="_Toc276025319"/>
      <w:bookmarkStart w:id="10" w:name="_Toc277937723"/>
      <w:r>
        <w:rPr>
          <w:rFonts w:hint="eastAsia" w:ascii="宋体" w:hAnsi="宋体" w:eastAsia="宋体" w:cs="宋体"/>
          <w:color w:val="auto"/>
          <w:highlight w:val="none"/>
        </w:rPr>
        <w:t>合同协议书</w:t>
      </w:r>
      <w:bookmarkEnd w:id="6"/>
      <w:bookmarkEnd w:id="9"/>
      <w:bookmarkEnd w:id="10"/>
    </w:p>
    <w:p w14:paraId="572E05DE">
      <w:pPr>
        <w:rPr>
          <w:rFonts w:hint="eastAsia" w:ascii="宋体" w:hAnsi="宋体" w:eastAsia="宋体" w:cs="宋体"/>
          <w:color w:val="auto"/>
          <w:highlight w:val="none"/>
        </w:rPr>
      </w:pPr>
    </w:p>
    <w:p w14:paraId="0CAF081A">
      <w:pPr>
        <w:spacing w:line="360" w:lineRule="auto"/>
        <w:rPr>
          <w:rFonts w:hint="eastAsia" w:ascii="宋体" w:hAnsi="宋体" w:eastAsia="宋体" w:cs="宋体"/>
          <w:b/>
          <w:color w:val="auto"/>
          <w:highlight w:val="none"/>
          <w:u w:val="single"/>
        </w:rPr>
      </w:pPr>
      <w:r>
        <w:rPr>
          <w:rFonts w:hint="eastAsia" w:ascii="宋体" w:hAnsi="宋体" w:eastAsia="宋体" w:cs="宋体"/>
          <w:b/>
          <w:color w:val="auto"/>
          <w:highlight w:val="none"/>
        </w:rPr>
        <w:t>发包人（全称）：</w:t>
      </w:r>
      <w:r>
        <w:rPr>
          <w:rFonts w:hint="eastAsia" w:ascii="宋体" w:hAnsi="宋体" w:eastAsia="宋体" w:cs="宋体"/>
          <w:b/>
          <w:color w:val="auto"/>
          <w:highlight w:val="none"/>
          <w:u w:val="single"/>
        </w:rPr>
        <w:t>江苏省梅村高级中学</w:t>
      </w:r>
      <w:r>
        <w:rPr>
          <w:rFonts w:hint="eastAsia" w:ascii="宋体" w:hAnsi="宋体" w:eastAsia="宋体" w:cs="宋体"/>
          <w:color w:val="auto"/>
          <w:sz w:val="24"/>
          <w:highlight w:val="none"/>
          <w:u w:val="single"/>
        </w:rPr>
        <w:t xml:space="preserve">          </w:t>
      </w:r>
      <w:r>
        <w:rPr>
          <w:rFonts w:hint="eastAsia" w:ascii="宋体" w:hAnsi="宋体" w:eastAsia="宋体" w:cs="宋体"/>
          <w:b/>
          <w:color w:val="auto"/>
          <w:highlight w:val="none"/>
          <w:u w:val="single"/>
        </w:rPr>
        <w:t xml:space="preserve">     </w:t>
      </w:r>
    </w:p>
    <w:p w14:paraId="1417806B">
      <w:pPr>
        <w:spacing w:line="360" w:lineRule="auto"/>
        <w:rPr>
          <w:rFonts w:hint="eastAsia" w:ascii="宋体" w:hAnsi="宋体" w:eastAsia="宋体" w:cs="宋体"/>
          <w:b/>
          <w:color w:val="auto"/>
          <w:highlight w:val="none"/>
          <w:u w:val="single"/>
        </w:rPr>
      </w:pPr>
      <w:r>
        <w:rPr>
          <w:rFonts w:hint="eastAsia" w:ascii="宋体" w:hAnsi="宋体" w:eastAsia="宋体" w:cs="宋体"/>
          <w:b/>
          <w:color w:val="auto"/>
          <w:highlight w:val="none"/>
        </w:rPr>
        <w:t>承包人（全称）：</w:t>
      </w:r>
      <w:r>
        <w:rPr>
          <w:rFonts w:hint="eastAsia" w:ascii="宋体" w:hAnsi="宋体" w:eastAsia="宋体" w:cs="宋体"/>
          <w:b/>
          <w:color w:val="auto"/>
          <w:highlight w:val="none"/>
          <w:u w:val="single"/>
        </w:rPr>
        <w:t xml:space="preserve">                                  </w:t>
      </w:r>
    </w:p>
    <w:p w14:paraId="2083E50F">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根据《中华人民共和国民法典》《中华人民共和国建筑法》及有关法律规定，遵循平等、自愿、公平和诚实信用的原则，双方就</w:t>
      </w:r>
      <w:r>
        <w:rPr>
          <w:rFonts w:hint="eastAsia" w:ascii="宋体" w:hAnsi="宋体" w:cs="宋体"/>
          <w:b/>
          <w:color w:val="auto"/>
          <w:highlight w:val="none"/>
          <w:u w:val="single"/>
          <w:lang w:eastAsia="zh-CN"/>
        </w:rPr>
        <w:t>江苏省梅村高级中学2026年艺体楼、图书馆及心理健康发展中心建设项目</w:t>
      </w:r>
      <w:r>
        <w:rPr>
          <w:rFonts w:hint="eastAsia" w:ascii="宋体" w:hAnsi="宋体" w:eastAsia="宋体" w:cs="宋体"/>
          <w:color w:val="auto"/>
          <w:highlight w:val="none"/>
        </w:rPr>
        <w:t>及有关事项协商一致，共同达成如下协议：</w:t>
      </w:r>
    </w:p>
    <w:p w14:paraId="1CF55470">
      <w:pPr>
        <w:spacing w:line="360" w:lineRule="auto"/>
        <w:rPr>
          <w:rFonts w:hint="eastAsia" w:ascii="宋体" w:hAnsi="宋体" w:eastAsia="宋体" w:cs="宋体"/>
          <w:color w:val="auto"/>
          <w:highlight w:val="none"/>
        </w:rPr>
      </w:pPr>
      <w:r>
        <w:rPr>
          <w:rFonts w:hint="eastAsia" w:ascii="宋体" w:hAnsi="宋体" w:eastAsia="宋体" w:cs="宋体"/>
          <w:bCs/>
          <w:color w:val="auto"/>
          <w:highlight w:val="none"/>
        </w:rPr>
        <w:t xml:space="preserve">   </w:t>
      </w:r>
      <w:r>
        <w:rPr>
          <w:rFonts w:hint="eastAsia" w:ascii="宋体" w:hAnsi="宋体" w:eastAsia="宋体" w:cs="宋体"/>
          <w:b/>
          <w:color w:val="auto"/>
          <w:highlight w:val="none"/>
        </w:rPr>
        <w:t xml:space="preserve"> </w:t>
      </w:r>
      <w:bookmarkStart w:id="11" w:name="_Toc372788914"/>
      <w:r>
        <w:rPr>
          <w:rFonts w:hint="eastAsia" w:ascii="宋体" w:hAnsi="宋体" w:eastAsia="宋体" w:cs="宋体"/>
          <w:b/>
          <w:color w:val="auto"/>
          <w:highlight w:val="none"/>
        </w:rPr>
        <w:t>一、工程概况</w:t>
      </w:r>
      <w:bookmarkEnd w:id="11"/>
    </w:p>
    <w:p w14:paraId="2593A992">
      <w:pPr>
        <w:spacing w:line="360" w:lineRule="auto"/>
        <w:ind w:firstLine="411"/>
        <w:rPr>
          <w:rFonts w:hint="eastAsia" w:ascii="宋体" w:hAnsi="宋体" w:eastAsia="宋体" w:cs="宋体"/>
          <w:b/>
          <w:color w:val="auto"/>
          <w:highlight w:val="none"/>
          <w:u w:val="single"/>
          <w:lang w:eastAsia="zh-CN"/>
        </w:rPr>
      </w:pPr>
      <w:r>
        <w:rPr>
          <w:rFonts w:hint="eastAsia" w:ascii="宋体" w:hAnsi="宋体" w:eastAsia="宋体" w:cs="宋体"/>
          <w:bCs/>
          <w:color w:val="auto"/>
          <w:highlight w:val="none"/>
        </w:rPr>
        <w:t>1.工程名称</w:t>
      </w:r>
      <w:r>
        <w:rPr>
          <w:rFonts w:hint="eastAsia" w:ascii="宋体" w:hAnsi="宋体" w:eastAsia="宋体" w:cs="宋体"/>
          <w:color w:val="auto"/>
          <w:highlight w:val="none"/>
        </w:rPr>
        <w:t>：</w:t>
      </w:r>
      <w:r>
        <w:rPr>
          <w:rFonts w:hint="eastAsia" w:ascii="宋体" w:hAnsi="宋体" w:cs="宋体"/>
          <w:b/>
          <w:color w:val="auto"/>
          <w:highlight w:val="none"/>
          <w:u w:val="single"/>
          <w:lang w:eastAsia="zh-CN"/>
        </w:rPr>
        <w:t>江苏省梅村高级中学2026年艺体楼、图书馆及心理健康发展中心建设项目</w:t>
      </w:r>
    </w:p>
    <w:p w14:paraId="0FCFE5A1">
      <w:pPr>
        <w:spacing w:line="360" w:lineRule="auto"/>
        <w:ind w:firstLine="411"/>
        <w:rPr>
          <w:rFonts w:hint="eastAsia" w:ascii="宋体" w:hAnsi="宋体" w:eastAsia="宋体" w:cs="宋体"/>
          <w:b/>
          <w:color w:val="auto"/>
          <w:highlight w:val="none"/>
          <w:u w:val="single"/>
        </w:rPr>
      </w:pPr>
      <w:r>
        <w:rPr>
          <w:rFonts w:hint="eastAsia" w:ascii="宋体" w:hAnsi="宋体" w:eastAsia="宋体" w:cs="宋体"/>
          <w:bCs/>
          <w:color w:val="auto"/>
          <w:highlight w:val="none"/>
        </w:rPr>
        <w:t>2.工程地点</w:t>
      </w:r>
      <w:r>
        <w:rPr>
          <w:rFonts w:hint="eastAsia" w:ascii="宋体" w:hAnsi="宋体" w:eastAsia="宋体" w:cs="宋体"/>
          <w:b w:val="0"/>
          <w:bCs/>
          <w:color w:val="auto"/>
          <w:highlight w:val="none"/>
          <w:u w:val="none"/>
        </w:rPr>
        <w:t>：</w:t>
      </w:r>
      <w:r>
        <w:rPr>
          <w:rFonts w:hint="eastAsia" w:ascii="宋体" w:hAnsi="宋体" w:eastAsia="宋体" w:cs="宋体"/>
          <w:b w:val="0"/>
          <w:bCs/>
          <w:color w:val="auto"/>
          <w:highlight w:val="none"/>
          <w:u w:val="single"/>
        </w:rPr>
        <w:t>江苏省梅村高级中学内</w:t>
      </w:r>
    </w:p>
    <w:p w14:paraId="1C7E53EC">
      <w:pPr>
        <w:spacing w:line="360" w:lineRule="auto"/>
        <w:ind w:firstLine="411"/>
        <w:rPr>
          <w:rFonts w:hint="eastAsia" w:ascii="宋体" w:hAnsi="宋体" w:eastAsia="宋体" w:cs="宋体"/>
          <w:bCs/>
          <w:color w:val="auto"/>
          <w:highlight w:val="none"/>
        </w:rPr>
      </w:pPr>
      <w:r>
        <w:rPr>
          <w:rFonts w:hint="eastAsia" w:ascii="宋体" w:hAnsi="宋体" w:eastAsia="宋体" w:cs="宋体"/>
          <w:bCs/>
          <w:color w:val="auto"/>
          <w:highlight w:val="none"/>
        </w:rPr>
        <w:t>3.工程立项批准文号：</w:t>
      </w:r>
      <w:r>
        <w:rPr>
          <w:rFonts w:hint="eastAsia" w:ascii="宋体" w:hAnsi="宋体" w:eastAsia="宋体" w:cs="宋体"/>
          <w:b/>
          <w:color w:val="auto"/>
          <w:highlight w:val="none"/>
          <w:u w:val="single"/>
        </w:rPr>
        <w:t xml:space="preserve"> </w:t>
      </w:r>
      <w:r>
        <w:rPr>
          <w:rFonts w:hint="eastAsia" w:ascii="宋体" w:hAnsi="宋体" w:eastAsia="宋体" w:cs="宋体"/>
          <w:color w:val="auto"/>
          <w:highlight w:val="none"/>
          <w:u w:val="single"/>
        </w:rPr>
        <w:t xml:space="preserve">                      </w:t>
      </w:r>
    </w:p>
    <w:p w14:paraId="3B6BB263">
      <w:pPr>
        <w:spacing w:line="360" w:lineRule="auto"/>
        <w:ind w:firstLine="411"/>
        <w:rPr>
          <w:rFonts w:hint="eastAsia" w:ascii="宋体" w:hAnsi="宋体" w:eastAsia="宋体" w:cs="宋体"/>
          <w:bCs/>
          <w:color w:val="auto"/>
          <w:highlight w:val="none"/>
        </w:rPr>
      </w:pPr>
      <w:r>
        <w:rPr>
          <w:rFonts w:hint="eastAsia" w:ascii="宋体" w:hAnsi="宋体" w:eastAsia="宋体" w:cs="宋体"/>
          <w:bCs/>
          <w:color w:val="auto"/>
          <w:highlight w:val="none"/>
        </w:rPr>
        <w:t>4.资金来源：</w:t>
      </w:r>
      <w:r>
        <w:rPr>
          <w:rFonts w:hint="eastAsia" w:ascii="宋体" w:hAnsi="宋体" w:eastAsia="宋体" w:cs="宋体"/>
          <w:color w:val="auto"/>
          <w:highlight w:val="none"/>
          <w:u w:val="single"/>
        </w:rPr>
        <w:t xml:space="preserve"> 财政          </w:t>
      </w:r>
      <w:r>
        <w:rPr>
          <w:rFonts w:hint="eastAsia" w:ascii="宋体" w:hAnsi="宋体" w:eastAsia="宋体" w:cs="宋体"/>
          <w:bCs/>
          <w:color w:val="auto"/>
          <w:highlight w:val="none"/>
        </w:rPr>
        <w:t>。</w:t>
      </w:r>
    </w:p>
    <w:p w14:paraId="045556F5">
      <w:pPr>
        <w:spacing w:line="360" w:lineRule="auto"/>
        <w:ind w:firstLine="411"/>
        <w:rPr>
          <w:rFonts w:hint="eastAsia" w:ascii="宋体" w:hAnsi="宋体" w:eastAsia="宋体" w:cs="宋体"/>
          <w:bCs/>
          <w:color w:val="auto"/>
          <w:highlight w:val="none"/>
        </w:rPr>
      </w:pPr>
      <w:r>
        <w:rPr>
          <w:rFonts w:hint="eastAsia" w:ascii="宋体" w:hAnsi="宋体" w:eastAsia="宋体" w:cs="宋体"/>
          <w:bCs/>
          <w:color w:val="auto"/>
          <w:highlight w:val="none"/>
        </w:rPr>
        <w:t>5.工程内容：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本项目总建筑面积约4500</w:t>
      </w:r>
      <w:r>
        <w:rPr>
          <w:rFonts w:hint="eastAsia" w:ascii="宋体" w:hAnsi="宋体" w:cs="宋体"/>
          <w:color w:val="auto"/>
          <w:highlight w:val="none"/>
          <w:u w:val="single"/>
          <w:lang w:val="en-US" w:eastAsia="zh-CN"/>
        </w:rPr>
        <w:t>平方米</w:t>
      </w:r>
      <w:r>
        <w:rPr>
          <w:rFonts w:hint="eastAsia" w:ascii="宋体" w:hAnsi="宋体" w:eastAsia="宋体" w:cs="宋体"/>
          <w:color w:val="auto"/>
          <w:highlight w:val="none"/>
          <w:u w:val="single"/>
        </w:rPr>
        <w:t>。</w:t>
      </w:r>
    </w:p>
    <w:p w14:paraId="04FF06AE">
      <w:pPr>
        <w:spacing w:line="360" w:lineRule="auto"/>
        <w:ind w:firstLine="411"/>
        <w:rPr>
          <w:rFonts w:hint="eastAsia" w:ascii="宋体" w:hAnsi="宋体" w:eastAsia="宋体" w:cs="宋体"/>
          <w:color w:val="auto"/>
          <w:highlight w:val="none"/>
        </w:rPr>
      </w:pPr>
      <w:r>
        <w:rPr>
          <w:rFonts w:hint="eastAsia" w:ascii="宋体" w:hAnsi="宋体" w:eastAsia="宋体" w:cs="宋体"/>
          <w:bCs/>
          <w:color w:val="auto"/>
          <w:highlight w:val="none"/>
        </w:rPr>
        <w:t>6.工程承包范围：</w:t>
      </w:r>
      <w:r>
        <w:rPr>
          <w:rFonts w:hint="eastAsia" w:ascii="宋体" w:hAnsi="宋体" w:eastAsia="宋体" w:cs="宋体"/>
          <w:bCs/>
          <w:color w:val="auto"/>
          <w:highlight w:val="none"/>
          <w:u w:val="single"/>
          <w:lang w:val="en-US" w:eastAsia="zh-CN"/>
        </w:rPr>
        <w:t>招标图纸及工程量清单范围内的拆除工程、装修工程、安装工程等</w:t>
      </w:r>
      <w:r>
        <w:rPr>
          <w:rFonts w:hint="eastAsia" w:ascii="宋体" w:hAnsi="宋体" w:eastAsia="宋体" w:cs="宋体"/>
          <w:color w:val="auto"/>
          <w:highlight w:val="none"/>
          <w:u w:val="single"/>
        </w:rPr>
        <w:t>。</w:t>
      </w:r>
    </w:p>
    <w:p w14:paraId="45B7645C">
      <w:pPr>
        <w:pStyle w:val="238"/>
        <w:spacing w:before="120" w:after="120" w:line="360" w:lineRule="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w:t>
      </w:r>
      <w:bookmarkStart w:id="12" w:name="_Toc372788915"/>
      <w:r>
        <w:rPr>
          <w:rFonts w:hint="eastAsia" w:ascii="宋体" w:hAnsi="宋体" w:eastAsia="宋体" w:cs="宋体"/>
          <w:b w:val="0"/>
          <w:color w:val="auto"/>
          <w:sz w:val="21"/>
          <w:szCs w:val="21"/>
          <w:highlight w:val="none"/>
        </w:rPr>
        <w:t>二、合同工期</w:t>
      </w:r>
      <w:bookmarkEnd w:id="12"/>
    </w:p>
    <w:p w14:paraId="1CB72293">
      <w:pPr>
        <w:spacing w:line="360" w:lineRule="auto"/>
        <w:ind w:firstLine="459"/>
        <w:rPr>
          <w:rFonts w:hint="eastAsia" w:ascii="宋体" w:hAnsi="宋体" w:eastAsia="宋体" w:cs="宋体"/>
          <w:color w:val="auto"/>
          <w:highlight w:val="none"/>
        </w:rPr>
      </w:pPr>
      <w:r>
        <w:rPr>
          <w:rFonts w:hint="eastAsia" w:ascii="宋体" w:hAnsi="宋体" w:eastAsia="宋体" w:cs="宋体"/>
          <w:color w:val="auto"/>
          <w:highlight w:val="none"/>
        </w:rPr>
        <w:t xml:space="preserve">计划开工日期： </w:t>
      </w:r>
      <w:r>
        <w:rPr>
          <w:rFonts w:hint="eastAsia" w:ascii="宋体" w:hAnsi="宋体" w:eastAsia="宋体" w:cs="宋体"/>
          <w:color w:val="auto"/>
          <w:highlight w:val="none"/>
          <w:u w:val="single"/>
        </w:rPr>
        <w:t>202</w:t>
      </w:r>
      <w:r>
        <w:rPr>
          <w:rFonts w:hint="eastAsia" w:ascii="宋体" w:hAnsi="宋体" w:cs="宋体"/>
          <w:color w:val="auto"/>
          <w:highlight w:val="none"/>
          <w:u w:val="single"/>
          <w:lang w:val="en-US" w:eastAsia="zh-CN"/>
        </w:rPr>
        <w:t>6</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 。</w:t>
      </w:r>
    </w:p>
    <w:p w14:paraId="3CB3369B">
      <w:pPr>
        <w:spacing w:line="360" w:lineRule="auto"/>
        <w:ind w:firstLine="459"/>
        <w:rPr>
          <w:rFonts w:hint="eastAsia" w:ascii="宋体" w:hAnsi="宋体" w:eastAsia="宋体" w:cs="宋体"/>
          <w:color w:val="auto"/>
          <w:highlight w:val="none"/>
        </w:rPr>
      </w:pPr>
      <w:r>
        <w:rPr>
          <w:rFonts w:hint="eastAsia" w:ascii="宋体" w:hAnsi="宋体" w:eastAsia="宋体" w:cs="宋体"/>
          <w:color w:val="auto"/>
          <w:highlight w:val="none"/>
        </w:rPr>
        <w:t xml:space="preserve">计划竣工日期： </w:t>
      </w:r>
      <w:r>
        <w:rPr>
          <w:rFonts w:hint="eastAsia" w:ascii="宋体" w:hAnsi="宋体" w:eastAsia="宋体" w:cs="宋体"/>
          <w:color w:val="auto"/>
          <w:highlight w:val="none"/>
          <w:u w:val="single"/>
        </w:rPr>
        <w:t xml:space="preserve"> 202</w:t>
      </w:r>
      <w:r>
        <w:rPr>
          <w:rFonts w:hint="eastAsia" w:ascii="宋体" w:hAnsi="宋体" w:cs="宋体"/>
          <w:color w:val="auto"/>
          <w:highlight w:val="none"/>
          <w:u w:val="single"/>
          <w:lang w:val="en-US" w:eastAsia="zh-CN"/>
        </w:rPr>
        <w:t>6</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19766AF1">
      <w:pPr>
        <w:spacing w:line="360" w:lineRule="auto"/>
        <w:ind w:firstLine="459"/>
        <w:rPr>
          <w:rFonts w:hint="eastAsia" w:ascii="宋体" w:hAnsi="宋体" w:eastAsia="宋体" w:cs="宋体"/>
          <w:color w:val="auto"/>
          <w:highlight w:val="none"/>
        </w:rPr>
      </w:pPr>
      <w:r>
        <w:rPr>
          <w:rFonts w:hint="eastAsia" w:ascii="宋体" w:hAnsi="宋体" w:eastAsia="宋体" w:cs="宋体"/>
          <w:color w:val="auto"/>
          <w:highlight w:val="none"/>
        </w:rPr>
        <w:t>工期总日历天数</w:t>
      </w:r>
      <w:r>
        <w:rPr>
          <w:rFonts w:hint="eastAsia" w:ascii="宋体" w:hAnsi="宋体" w:eastAsia="宋体" w:cs="宋体"/>
          <w:color w:val="auto"/>
          <w:highlight w:val="none"/>
          <w:u w:val="single"/>
        </w:rPr>
        <w:t>：</w:t>
      </w:r>
      <w:r>
        <w:rPr>
          <w:rFonts w:hint="eastAsia" w:ascii="宋体" w:hAnsi="宋体" w:cs="宋体"/>
          <w:color w:val="auto"/>
          <w:highlight w:val="none"/>
          <w:u w:val="single"/>
          <w:lang w:val="en-US" w:eastAsia="zh-CN"/>
        </w:rPr>
        <w:t>45日历天</w:t>
      </w:r>
      <w:r>
        <w:rPr>
          <w:rFonts w:hint="eastAsia" w:ascii="宋体" w:hAnsi="宋体" w:eastAsia="宋体" w:cs="宋体"/>
          <w:color w:val="auto"/>
          <w:highlight w:val="none"/>
          <w:u w:val="single"/>
        </w:rPr>
        <w:t>。</w:t>
      </w:r>
      <w:r>
        <w:rPr>
          <w:rFonts w:hint="eastAsia" w:ascii="宋体" w:hAnsi="宋体" w:eastAsia="宋体" w:cs="宋体"/>
          <w:color w:val="auto"/>
          <w:highlight w:val="none"/>
        </w:rPr>
        <w:t>工期总日历天数与根据前述计划开竣工日期计算的工期天数不一致的，以工期总日历天数为准。</w:t>
      </w:r>
    </w:p>
    <w:p w14:paraId="7D4EAF06">
      <w:pPr>
        <w:pStyle w:val="238"/>
        <w:spacing w:before="120" w:after="120" w:line="360" w:lineRule="auto"/>
        <w:rPr>
          <w:rFonts w:hint="eastAsia" w:ascii="宋体" w:hAnsi="宋体" w:eastAsia="宋体" w:cs="宋体"/>
          <w:bCs w:val="0"/>
          <w:color w:val="auto"/>
          <w:sz w:val="21"/>
          <w:szCs w:val="21"/>
          <w:highlight w:val="none"/>
        </w:rPr>
      </w:pPr>
      <w:bookmarkStart w:id="13" w:name="_Toc372788916"/>
      <w:r>
        <w:rPr>
          <w:rFonts w:hint="eastAsia" w:ascii="宋体" w:hAnsi="宋体" w:eastAsia="宋体" w:cs="宋体"/>
          <w:b w:val="0"/>
          <w:color w:val="auto"/>
          <w:sz w:val="21"/>
          <w:szCs w:val="21"/>
          <w:highlight w:val="none"/>
        </w:rPr>
        <w:t>三、质量标准</w:t>
      </w:r>
      <w:bookmarkEnd w:id="13"/>
    </w:p>
    <w:p w14:paraId="66159906">
      <w:pPr>
        <w:spacing w:line="360" w:lineRule="auto"/>
        <w:ind w:firstLine="459"/>
        <w:rPr>
          <w:rFonts w:hint="eastAsia" w:ascii="宋体" w:hAnsi="宋体" w:eastAsia="宋体" w:cs="宋体"/>
          <w:color w:val="auto"/>
          <w:highlight w:val="none"/>
        </w:rPr>
      </w:pPr>
      <w:r>
        <w:rPr>
          <w:rFonts w:hint="eastAsia" w:ascii="宋体" w:hAnsi="宋体" w:eastAsia="宋体" w:cs="宋体"/>
          <w:color w:val="auto"/>
          <w:highlight w:val="none"/>
        </w:rPr>
        <w:t>工程质量符合</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合格</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标准。</w:t>
      </w:r>
    </w:p>
    <w:p w14:paraId="413AEDFF">
      <w:pPr>
        <w:pStyle w:val="238"/>
        <w:spacing w:before="120" w:after="120" w:line="360" w:lineRule="auto"/>
        <w:ind w:left="0" w:firstLine="0"/>
        <w:rPr>
          <w:rFonts w:hint="eastAsia" w:ascii="宋体" w:hAnsi="宋体" w:eastAsia="宋体" w:cs="宋体"/>
          <w:bCs w:val="0"/>
          <w:color w:val="auto"/>
          <w:sz w:val="21"/>
          <w:szCs w:val="21"/>
          <w:highlight w:val="none"/>
        </w:rPr>
      </w:pPr>
      <w:r>
        <w:rPr>
          <w:rFonts w:hint="eastAsia" w:ascii="宋体" w:hAnsi="宋体" w:eastAsia="宋体" w:cs="宋体"/>
          <w:b w:val="0"/>
          <w:color w:val="auto"/>
          <w:sz w:val="21"/>
          <w:szCs w:val="21"/>
          <w:highlight w:val="none"/>
        </w:rPr>
        <w:t xml:space="preserve"> </w:t>
      </w:r>
      <w:bookmarkStart w:id="14" w:name="_Toc372788917"/>
      <w:r>
        <w:rPr>
          <w:rFonts w:hint="eastAsia" w:ascii="宋体" w:hAnsi="宋体" w:eastAsia="宋体" w:cs="宋体"/>
          <w:b w:val="0"/>
          <w:color w:val="auto"/>
          <w:sz w:val="21"/>
          <w:szCs w:val="21"/>
          <w:highlight w:val="none"/>
        </w:rPr>
        <w:t>四、签约合同价与合同价格形式</w:t>
      </w:r>
      <w:bookmarkEnd w:id="14"/>
      <w:r>
        <w:rPr>
          <w:rFonts w:hint="eastAsia" w:ascii="宋体" w:hAnsi="宋体" w:eastAsia="宋体" w:cs="宋体"/>
          <w:b w:val="0"/>
          <w:color w:val="auto"/>
          <w:sz w:val="21"/>
          <w:szCs w:val="21"/>
          <w:highlight w:val="none"/>
        </w:rPr>
        <w:tab/>
      </w:r>
    </w:p>
    <w:p w14:paraId="7D5E07BE">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1.签约合同价为：</w:t>
      </w:r>
    </w:p>
    <w:p w14:paraId="48FA5943">
      <w:pPr>
        <w:spacing w:line="360" w:lineRule="auto"/>
        <w:ind w:firstLine="525"/>
        <w:rPr>
          <w:rFonts w:hint="eastAsia" w:ascii="宋体" w:hAnsi="宋体" w:eastAsia="宋体" w:cs="宋体"/>
          <w:color w:val="auto"/>
          <w:highlight w:val="none"/>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02CEB050">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其中：</w:t>
      </w:r>
    </w:p>
    <w:p w14:paraId="68A266C3">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（1）安全文明施工费：</w:t>
      </w:r>
    </w:p>
    <w:p w14:paraId="29A236B2">
      <w:pPr>
        <w:spacing w:line="360" w:lineRule="auto"/>
        <w:ind w:firstLine="945"/>
        <w:rPr>
          <w:rFonts w:hint="eastAsia" w:ascii="宋体" w:hAnsi="宋体" w:eastAsia="宋体" w:cs="宋体"/>
          <w:color w:val="auto"/>
          <w:highlight w:val="none"/>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4AD82D01">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（2）材料和工程设备暂估价金额：</w:t>
      </w:r>
    </w:p>
    <w:p w14:paraId="22091C1F">
      <w:pPr>
        <w:spacing w:line="360" w:lineRule="auto"/>
        <w:ind w:firstLine="945"/>
        <w:rPr>
          <w:rFonts w:hint="eastAsia" w:ascii="宋体" w:hAnsi="宋体" w:eastAsia="宋体" w:cs="宋体"/>
          <w:color w:val="auto"/>
          <w:highlight w:val="none"/>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0F986FC2">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（3）专业工程暂估价金额：</w:t>
      </w:r>
    </w:p>
    <w:p w14:paraId="3EC17725">
      <w:pPr>
        <w:spacing w:line="360" w:lineRule="auto"/>
        <w:ind w:firstLine="945"/>
        <w:rPr>
          <w:rFonts w:hint="eastAsia" w:ascii="宋体" w:hAnsi="宋体" w:eastAsia="宋体" w:cs="宋体"/>
          <w:color w:val="auto"/>
          <w:highlight w:val="none"/>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2DC44C81">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（4）暂列金额：</w:t>
      </w:r>
    </w:p>
    <w:p w14:paraId="5F42D0D4">
      <w:pPr>
        <w:spacing w:line="360" w:lineRule="auto"/>
        <w:ind w:firstLine="945"/>
        <w:rPr>
          <w:rFonts w:hint="eastAsia" w:ascii="宋体" w:hAnsi="宋体" w:eastAsia="宋体" w:cs="宋体"/>
          <w:color w:val="auto"/>
          <w:highlight w:val="none"/>
        </w:rPr>
      </w:pPr>
      <w:r>
        <w:rPr>
          <w:rFonts w:hint="eastAsia" w:ascii="宋体" w:hAnsi="宋体" w:eastAsia="宋体" w:cs="宋体"/>
          <w:color w:val="auto"/>
          <w:highlight w:val="none"/>
        </w:rPr>
        <w:t>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w:t>
      </w:r>
    </w:p>
    <w:p w14:paraId="244C281F">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2.合同价格形式：</w:t>
      </w:r>
      <w:r>
        <w:rPr>
          <w:rFonts w:hint="eastAsia" w:ascii="宋体" w:hAnsi="宋体" w:eastAsia="宋体" w:cs="宋体"/>
          <w:color w:val="auto"/>
          <w:highlight w:val="none"/>
          <w:u w:val="single"/>
        </w:rPr>
        <w:t xml:space="preserve"> 固定单价 </w:t>
      </w:r>
      <w:r>
        <w:rPr>
          <w:rFonts w:hint="eastAsia" w:ascii="宋体" w:hAnsi="宋体" w:eastAsia="宋体" w:cs="宋体"/>
          <w:color w:val="auto"/>
          <w:highlight w:val="none"/>
        </w:rPr>
        <w:t>。</w:t>
      </w:r>
    </w:p>
    <w:p w14:paraId="6D5BB9EC">
      <w:pPr>
        <w:pStyle w:val="238"/>
        <w:spacing w:before="120" w:after="120" w:line="360" w:lineRule="auto"/>
        <w:rPr>
          <w:rFonts w:hint="eastAsia" w:ascii="宋体" w:hAnsi="宋体" w:eastAsia="宋体" w:cs="宋体"/>
          <w:b w:val="0"/>
          <w:color w:val="auto"/>
          <w:sz w:val="21"/>
          <w:szCs w:val="21"/>
          <w:highlight w:val="none"/>
        </w:rPr>
      </w:pPr>
      <w:bookmarkStart w:id="15" w:name="_Toc372788918"/>
      <w:r>
        <w:rPr>
          <w:rFonts w:hint="eastAsia" w:ascii="宋体" w:hAnsi="宋体" w:eastAsia="宋体" w:cs="宋体"/>
          <w:b w:val="0"/>
          <w:color w:val="auto"/>
          <w:sz w:val="21"/>
          <w:szCs w:val="21"/>
          <w:highlight w:val="none"/>
        </w:rPr>
        <w:t>五、项目经理</w:t>
      </w:r>
      <w:bookmarkEnd w:id="15"/>
    </w:p>
    <w:p w14:paraId="298E99A1">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承包人项目经理：</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（具体信息见第三部分3.2项目经理） </w:t>
      </w:r>
      <w:r>
        <w:rPr>
          <w:rFonts w:hint="eastAsia" w:ascii="宋体" w:hAnsi="宋体" w:eastAsia="宋体" w:cs="宋体"/>
          <w:color w:val="auto"/>
          <w:highlight w:val="none"/>
        </w:rPr>
        <w:t>。</w:t>
      </w:r>
    </w:p>
    <w:p w14:paraId="1B893A6C">
      <w:pPr>
        <w:pStyle w:val="238"/>
        <w:spacing w:before="120" w:after="120" w:line="360" w:lineRule="auto"/>
        <w:rPr>
          <w:rFonts w:hint="eastAsia" w:ascii="宋体" w:hAnsi="宋体" w:eastAsia="宋体" w:cs="宋体"/>
          <w:bCs w:val="0"/>
          <w:color w:val="auto"/>
          <w:sz w:val="21"/>
          <w:szCs w:val="21"/>
          <w:highlight w:val="none"/>
        </w:rPr>
      </w:pPr>
      <w:bookmarkStart w:id="16" w:name="_Toc372788919"/>
      <w:r>
        <w:rPr>
          <w:rFonts w:hint="eastAsia" w:ascii="宋体" w:hAnsi="宋体" w:eastAsia="宋体" w:cs="宋体"/>
          <w:b w:val="0"/>
          <w:color w:val="auto"/>
          <w:sz w:val="21"/>
          <w:szCs w:val="21"/>
          <w:highlight w:val="none"/>
        </w:rPr>
        <w:t>六、合同文件构成</w:t>
      </w:r>
      <w:bookmarkEnd w:id="16"/>
    </w:p>
    <w:p w14:paraId="49D96879">
      <w:pPr>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本协议书与下列文件一起构成合同文件：</w:t>
      </w:r>
    </w:p>
    <w:p w14:paraId="131E69C1">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（1）中标通知书（如果有）；</w:t>
      </w:r>
    </w:p>
    <w:p w14:paraId="18CD76E1">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（2）投标函及其附录（如果有）； </w:t>
      </w:r>
    </w:p>
    <w:p w14:paraId="35A8C599">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（3）专用合同条款及其附件；</w:t>
      </w:r>
    </w:p>
    <w:p w14:paraId="3AF2A6F0">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（4）通用合同条款；</w:t>
      </w:r>
    </w:p>
    <w:p w14:paraId="1A433E34">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（5）技术标准和要求；</w:t>
      </w:r>
    </w:p>
    <w:p w14:paraId="0237169D">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（6）图纸；</w:t>
      </w:r>
    </w:p>
    <w:p w14:paraId="23745373">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（7）已标价工程量清单或预算书；</w:t>
      </w:r>
    </w:p>
    <w:p w14:paraId="5A8A7285">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（8）其他合同文件。</w:t>
      </w:r>
    </w:p>
    <w:p w14:paraId="1880F8DF">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在合同订立及履行过程中形成的与合同有关的文件均构成合同文件组成部分。</w:t>
      </w:r>
    </w:p>
    <w:p w14:paraId="71D2DDD8">
      <w:pPr>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上述各项合同文件包括合同当事人就该项合同文件所作出的补充和修改，属于同类内容的文件，应以最新签署的为准。专用合同条款及其附件须经合同当事人签字或盖章。</w:t>
      </w:r>
    </w:p>
    <w:p w14:paraId="58DE3DAE">
      <w:pPr>
        <w:pStyle w:val="238"/>
        <w:spacing w:before="120" w:after="120"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color w:val="auto"/>
          <w:sz w:val="21"/>
          <w:szCs w:val="21"/>
          <w:highlight w:val="none"/>
        </w:rPr>
        <w:t xml:space="preserve"> </w:t>
      </w:r>
      <w:bookmarkStart w:id="17" w:name="_Toc372788920"/>
      <w:r>
        <w:rPr>
          <w:rFonts w:hint="eastAsia" w:ascii="宋体" w:hAnsi="宋体" w:eastAsia="宋体" w:cs="宋体"/>
          <w:b w:val="0"/>
          <w:color w:val="auto"/>
          <w:sz w:val="21"/>
          <w:szCs w:val="21"/>
          <w:highlight w:val="none"/>
        </w:rPr>
        <w:t>七、承诺</w:t>
      </w:r>
      <w:bookmarkEnd w:id="17"/>
    </w:p>
    <w:p w14:paraId="57CAE51A">
      <w:pPr>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1.发包人承诺按照法律规定履行项目审批手续、筹集工程建设资金并按照合同约定的期限和方式支付合同价款。</w:t>
      </w:r>
    </w:p>
    <w:p w14:paraId="3FC150CC">
      <w:pPr>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2.承包人承诺按照法律规定及合同约定组织完成工程施工，确保工程质量和安全，不进行转包及违法分包，并在缺陷责任期及保修期内承担相应的工程维修责任。</w:t>
      </w:r>
    </w:p>
    <w:p w14:paraId="428464DE">
      <w:pPr>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3.发包人和承包人通过招投标形式签订合同的，双方理解并承诺不再就同一工程另行签订与合同实质性内容相背离的协议。</w:t>
      </w:r>
    </w:p>
    <w:p w14:paraId="1DA3BA3C">
      <w:pPr>
        <w:spacing w:line="360" w:lineRule="auto"/>
        <w:rPr>
          <w:rFonts w:hint="eastAsia" w:ascii="宋体" w:hAnsi="宋体" w:eastAsia="宋体" w:cs="宋体"/>
          <w:bCs/>
          <w:color w:val="auto"/>
          <w:highlight w:val="none"/>
        </w:rPr>
      </w:pPr>
      <w:r>
        <w:rPr>
          <w:rFonts w:hint="eastAsia" w:ascii="宋体" w:hAnsi="宋体" w:eastAsia="宋体" w:cs="宋体"/>
          <w:b/>
          <w:color w:val="auto"/>
          <w:highlight w:val="none"/>
        </w:rPr>
        <w:t xml:space="preserve">    八、词语含义</w:t>
      </w:r>
    </w:p>
    <w:p w14:paraId="70C54187">
      <w:pPr>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本协议书中词语含义与第二部分通用合同条款中赋予的含义相同。</w:t>
      </w:r>
    </w:p>
    <w:p w14:paraId="66C84E9C">
      <w:pPr>
        <w:pStyle w:val="238"/>
        <w:spacing w:before="120" w:after="120" w:line="360" w:lineRule="auto"/>
        <w:ind w:left="105" w:firstLine="105"/>
        <w:rPr>
          <w:rFonts w:hint="eastAsia" w:ascii="宋体" w:hAnsi="宋体" w:eastAsia="宋体" w:cs="宋体"/>
          <w:bCs w:val="0"/>
          <w:color w:val="auto"/>
          <w:sz w:val="21"/>
          <w:szCs w:val="21"/>
          <w:highlight w:val="none"/>
        </w:rPr>
      </w:pPr>
      <w:r>
        <w:rPr>
          <w:rFonts w:hint="eastAsia" w:ascii="宋体" w:hAnsi="宋体" w:eastAsia="宋体" w:cs="宋体"/>
          <w:b w:val="0"/>
          <w:color w:val="auto"/>
          <w:sz w:val="21"/>
          <w:szCs w:val="21"/>
          <w:highlight w:val="none"/>
        </w:rPr>
        <w:t xml:space="preserve"> </w:t>
      </w:r>
      <w:bookmarkStart w:id="18" w:name="_Toc372788921"/>
      <w:r>
        <w:rPr>
          <w:rFonts w:hint="eastAsia" w:ascii="宋体" w:hAnsi="宋体" w:eastAsia="宋体" w:cs="宋体"/>
          <w:b w:val="0"/>
          <w:color w:val="auto"/>
          <w:sz w:val="21"/>
          <w:szCs w:val="21"/>
          <w:highlight w:val="none"/>
        </w:rPr>
        <w:t>九、签订时间</w:t>
      </w:r>
      <w:bookmarkEnd w:id="18"/>
    </w:p>
    <w:p w14:paraId="4068BA1E">
      <w:pPr>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本合同于</w:t>
      </w:r>
      <w:r>
        <w:rPr>
          <w:rFonts w:hint="eastAsia" w:ascii="宋体" w:hAnsi="宋体" w:eastAsia="宋体" w:cs="宋体"/>
          <w:bCs/>
          <w:color w:val="auto"/>
          <w:highlight w:val="none"/>
          <w:u w:val="single"/>
        </w:rPr>
        <w:t xml:space="preserve"> 202</w:t>
      </w:r>
      <w:r>
        <w:rPr>
          <w:rFonts w:hint="eastAsia" w:ascii="宋体" w:hAnsi="宋体" w:cs="宋体"/>
          <w:bCs/>
          <w:color w:val="auto"/>
          <w:highlight w:val="none"/>
          <w:u w:val="single"/>
          <w:lang w:val="en-US" w:eastAsia="zh-CN"/>
        </w:rPr>
        <w:t>6</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rPr>
        <w:t>年</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rPr>
        <w:t>月</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rPr>
        <w:t>日签订。</w:t>
      </w:r>
    </w:p>
    <w:p w14:paraId="725A92BC">
      <w:pPr>
        <w:pStyle w:val="238"/>
        <w:spacing w:before="120" w:after="120" w:line="360" w:lineRule="auto"/>
        <w:ind w:left="105" w:firstLine="210"/>
        <w:rPr>
          <w:rFonts w:hint="eastAsia" w:ascii="宋体" w:hAnsi="宋体" w:eastAsia="宋体" w:cs="宋体"/>
          <w:bCs w:val="0"/>
          <w:color w:val="auto"/>
          <w:sz w:val="21"/>
          <w:szCs w:val="21"/>
          <w:highlight w:val="none"/>
        </w:rPr>
      </w:pPr>
      <w:bookmarkStart w:id="19" w:name="_Toc372788922"/>
      <w:r>
        <w:rPr>
          <w:rFonts w:hint="eastAsia" w:ascii="宋体" w:hAnsi="宋体" w:eastAsia="宋体" w:cs="宋体"/>
          <w:b w:val="0"/>
          <w:color w:val="auto"/>
          <w:sz w:val="21"/>
          <w:szCs w:val="21"/>
          <w:highlight w:val="none"/>
        </w:rPr>
        <w:t>十、签订地点</w:t>
      </w:r>
      <w:bookmarkEnd w:id="19"/>
    </w:p>
    <w:p w14:paraId="48EC31B2">
      <w:pPr>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本合同在</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u w:val="single"/>
        </w:rPr>
        <w:t>无锡市新区梅村街道梅育路63号</w:t>
      </w:r>
      <w:r>
        <w:rPr>
          <w:rFonts w:hint="eastAsia" w:ascii="宋体" w:hAnsi="宋体" w:eastAsia="宋体" w:cs="宋体"/>
          <w:color w:val="auto"/>
          <w:sz w:val="24"/>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rPr>
        <w:t>签订。</w:t>
      </w:r>
    </w:p>
    <w:p w14:paraId="638600D3">
      <w:pPr>
        <w:pStyle w:val="238"/>
        <w:spacing w:before="120" w:after="120" w:line="360" w:lineRule="auto"/>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bookmarkStart w:id="20" w:name="_Toc372788923"/>
      <w:r>
        <w:rPr>
          <w:rFonts w:hint="eastAsia" w:ascii="宋体" w:hAnsi="宋体" w:eastAsia="宋体" w:cs="宋体"/>
          <w:b w:val="0"/>
          <w:color w:val="auto"/>
          <w:sz w:val="21"/>
          <w:szCs w:val="21"/>
          <w:highlight w:val="none"/>
        </w:rPr>
        <w:t>十一、补充协议</w:t>
      </w:r>
      <w:bookmarkEnd w:id="20"/>
    </w:p>
    <w:p w14:paraId="26AC47DD">
      <w:pPr>
        <w:spacing w:line="360" w:lineRule="auto"/>
        <w:ind w:firstLine="420"/>
        <w:rPr>
          <w:rFonts w:hint="eastAsia" w:ascii="宋体" w:hAnsi="宋体" w:eastAsia="宋体" w:cs="宋体"/>
          <w:b/>
          <w:bCs/>
          <w:color w:val="auto"/>
          <w:highlight w:val="none"/>
        </w:rPr>
      </w:pPr>
      <w:r>
        <w:rPr>
          <w:rFonts w:hint="eastAsia" w:ascii="宋体" w:hAnsi="宋体" w:eastAsia="宋体" w:cs="宋体"/>
          <w:bCs/>
          <w:color w:val="auto"/>
          <w:highlight w:val="none"/>
        </w:rPr>
        <w:t>合同未尽事宜，合同当事人另行签订补充协议，补充协议是合同的组成部分。</w:t>
      </w:r>
    </w:p>
    <w:p w14:paraId="07BAFC58">
      <w:pPr>
        <w:pStyle w:val="238"/>
        <w:spacing w:before="120" w:after="120" w:line="360" w:lineRule="auto"/>
        <w:rPr>
          <w:rFonts w:hint="eastAsia" w:ascii="宋体" w:hAnsi="宋体" w:eastAsia="宋体" w:cs="宋体"/>
          <w:bCs w:val="0"/>
          <w:color w:val="auto"/>
          <w:sz w:val="21"/>
          <w:szCs w:val="21"/>
          <w:highlight w:val="none"/>
        </w:rPr>
      </w:pPr>
      <w:bookmarkStart w:id="21" w:name="_Toc372788924"/>
      <w:r>
        <w:rPr>
          <w:rFonts w:hint="eastAsia" w:ascii="宋体" w:hAnsi="宋体" w:eastAsia="宋体" w:cs="宋体"/>
          <w:b w:val="0"/>
          <w:color w:val="auto"/>
          <w:sz w:val="21"/>
          <w:szCs w:val="21"/>
          <w:highlight w:val="none"/>
        </w:rPr>
        <w:t>十二、合同生效</w:t>
      </w:r>
      <w:bookmarkEnd w:id="21"/>
    </w:p>
    <w:p w14:paraId="3E7FE1BD">
      <w:pPr>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本合同自</w:t>
      </w:r>
      <w:r>
        <w:rPr>
          <w:rFonts w:hint="eastAsia" w:ascii="宋体" w:hAnsi="宋体" w:eastAsia="宋体" w:cs="宋体"/>
          <w:color w:val="auto"/>
          <w:sz w:val="24"/>
          <w:highlight w:val="none"/>
          <w:u w:val="single"/>
        </w:rPr>
        <w:t xml:space="preserve"> </w:t>
      </w:r>
      <w:r>
        <w:rPr>
          <w:rFonts w:hint="eastAsia" w:ascii="宋体" w:hAnsi="宋体" w:eastAsia="宋体" w:cs="宋体"/>
          <w:color w:val="auto"/>
          <w:highlight w:val="none"/>
          <w:u w:val="single"/>
        </w:rPr>
        <w:t>双方</w:t>
      </w:r>
      <w:r>
        <w:rPr>
          <w:rFonts w:hint="eastAsia" w:ascii="宋体" w:hAnsi="宋体" w:eastAsia="宋体" w:cs="宋体"/>
          <w:color w:val="auto"/>
          <w:highlight w:val="none"/>
          <w:u w:val="single"/>
          <w:lang w:val="en-US" w:eastAsia="zh-CN"/>
        </w:rPr>
        <w:t>及见证方</w:t>
      </w:r>
      <w:r>
        <w:rPr>
          <w:rFonts w:hint="eastAsia" w:ascii="宋体" w:hAnsi="宋体" w:eastAsia="宋体" w:cs="宋体"/>
          <w:color w:val="auto"/>
          <w:highlight w:val="none"/>
          <w:u w:val="single"/>
        </w:rPr>
        <w:t>盖章后</w:t>
      </w:r>
      <w:r>
        <w:rPr>
          <w:rFonts w:hint="eastAsia" w:ascii="宋体" w:hAnsi="宋体" w:eastAsia="宋体" w:cs="宋体"/>
          <w:color w:val="auto"/>
          <w:sz w:val="24"/>
          <w:highlight w:val="none"/>
          <w:u w:val="single"/>
        </w:rPr>
        <w:t xml:space="preserve"> </w:t>
      </w:r>
      <w:r>
        <w:rPr>
          <w:rFonts w:hint="eastAsia" w:ascii="宋体" w:hAnsi="宋体" w:eastAsia="宋体" w:cs="宋体"/>
          <w:bCs/>
          <w:color w:val="auto"/>
          <w:highlight w:val="none"/>
        </w:rPr>
        <w:t>生效。</w:t>
      </w:r>
    </w:p>
    <w:p w14:paraId="23E3C105">
      <w:pPr>
        <w:pStyle w:val="238"/>
        <w:spacing w:before="120" w:after="120" w:line="360" w:lineRule="auto"/>
        <w:rPr>
          <w:rFonts w:hint="eastAsia" w:ascii="宋体" w:hAnsi="宋体" w:eastAsia="宋体" w:cs="宋体"/>
          <w:bCs w:val="0"/>
          <w:color w:val="auto"/>
          <w:sz w:val="21"/>
          <w:szCs w:val="21"/>
          <w:highlight w:val="none"/>
        </w:rPr>
      </w:pPr>
      <w:bookmarkStart w:id="22" w:name="_Toc372788925"/>
      <w:r>
        <w:rPr>
          <w:rFonts w:hint="eastAsia" w:ascii="宋体" w:hAnsi="宋体" w:eastAsia="宋体" w:cs="宋体"/>
          <w:b w:val="0"/>
          <w:color w:val="auto"/>
          <w:sz w:val="21"/>
          <w:szCs w:val="21"/>
          <w:highlight w:val="none"/>
        </w:rPr>
        <w:t>十三、合同份数</w:t>
      </w:r>
      <w:bookmarkEnd w:id="22"/>
    </w:p>
    <w:p w14:paraId="1F9BE475">
      <w:pPr>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本合同一式</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u w:val="single"/>
          <w:lang w:val="en-US" w:eastAsia="zh-CN"/>
        </w:rPr>
        <w:t>柒</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rPr>
        <w:t>份，均具有同等法律效力，发包人执</w:t>
      </w:r>
      <w:r>
        <w:rPr>
          <w:rFonts w:hint="eastAsia" w:ascii="宋体" w:hAnsi="宋体" w:eastAsia="宋体" w:cs="宋体"/>
          <w:bCs/>
          <w:color w:val="auto"/>
          <w:highlight w:val="none"/>
          <w:u w:val="single"/>
        </w:rPr>
        <w:t xml:space="preserve"> 肆 </w:t>
      </w:r>
      <w:r>
        <w:rPr>
          <w:rFonts w:hint="eastAsia" w:ascii="宋体" w:hAnsi="宋体" w:eastAsia="宋体" w:cs="宋体"/>
          <w:bCs/>
          <w:color w:val="auto"/>
          <w:highlight w:val="none"/>
        </w:rPr>
        <w:t>份，承包人执</w:t>
      </w:r>
      <w:r>
        <w:rPr>
          <w:rFonts w:hint="eastAsia" w:ascii="宋体" w:hAnsi="宋体" w:eastAsia="宋体" w:cs="宋体"/>
          <w:bCs/>
          <w:color w:val="auto"/>
          <w:highlight w:val="none"/>
          <w:u w:val="single"/>
        </w:rPr>
        <w:t xml:space="preserve"> 贰 </w:t>
      </w:r>
      <w:r>
        <w:rPr>
          <w:rFonts w:hint="eastAsia" w:ascii="宋体" w:hAnsi="宋体" w:eastAsia="宋体" w:cs="宋体"/>
          <w:bCs/>
          <w:color w:val="auto"/>
          <w:highlight w:val="none"/>
        </w:rPr>
        <w:t>份</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lang w:val="en-US" w:eastAsia="zh-CN"/>
        </w:rPr>
        <w:t>见证方</w:t>
      </w:r>
      <w:r>
        <w:rPr>
          <w:rFonts w:hint="eastAsia" w:ascii="宋体" w:hAnsi="宋体" w:eastAsia="宋体" w:cs="宋体"/>
          <w:bCs/>
          <w:color w:val="auto"/>
          <w:highlight w:val="none"/>
        </w:rPr>
        <w:t>执</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u w:val="single"/>
          <w:lang w:val="en-US" w:eastAsia="zh-CN"/>
        </w:rPr>
        <w:t>壹</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rPr>
        <w:t>份。</w:t>
      </w:r>
    </w:p>
    <w:p w14:paraId="0253BC41">
      <w:pPr>
        <w:spacing w:line="360" w:lineRule="auto"/>
        <w:rPr>
          <w:rFonts w:hint="eastAsia" w:ascii="宋体" w:hAnsi="宋体" w:eastAsia="宋体" w:cs="宋体"/>
          <w:color w:val="auto"/>
          <w:highlight w:val="none"/>
        </w:rPr>
      </w:pPr>
    </w:p>
    <w:p w14:paraId="28E294A1">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发包人：  （盖章）             承包人：  （盖章）</w:t>
      </w:r>
    </w:p>
    <w:p w14:paraId="523DA2AA">
      <w:pPr>
        <w:spacing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w:t>
      </w:r>
    </w:p>
    <w:p w14:paraId="07BDBBC5">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  法定代表人或其委托代理人：</w:t>
      </w:r>
    </w:p>
    <w:p w14:paraId="3D3BD76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（签字）                    （签字）</w:t>
      </w:r>
    </w:p>
    <w:p w14:paraId="24EA62A5">
      <w:pPr>
        <w:spacing w:line="360" w:lineRule="auto"/>
        <w:rPr>
          <w:rFonts w:hint="eastAsia" w:ascii="宋体" w:hAnsi="宋体" w:eastAsia="宋体" w:cs="宋体"/>
          <w:color w:val="auto"/>
          <w:highlight w:val="none"/>
          <w:u w:val="single"/>
        </w:rPr>
      </w:pPr>
    </w:p>
    <w:p w14:paraId="5CA9D086">
      <w:pPr>
        <w:tabs>
          <w:tab w:val="left" w:pos="4410"/>
        </w:tabs>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组织机构代码：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组织机构代码：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1D19856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地  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地  址：</w:t>
      </w:r>
      <w:r>
        <w:rPr>
          <w:rFonts w:hint="eastAsia" w:ascii="宋体" w:hAnsi="宋体" w:eastAsia="宋体" w:cs="宋体"/>
          <w:color w:val="auto"/>
          <w:highlight w:val="none"/>
          <w:u w:val="single"/>
        </w:rPr>
        <w:t xml:space="preserve">                 </w:t>
      </w:r>
    </w:p>
    <w:p w14:paraId="61621EEA">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邮政编码：</w:t>
      </w:r>
      <w:r>
        <w:rPr>
          <w:rFonts w:hint="eastAsia" w:ascii="宋体" w:hAnsi="宋体" w:eastAsia="宋体" w:cs="宋体"/>
          <w:color w:val="auto"/>
          <w:highlight w:val="none"/>
          <w:u w:val="single"/>
        </w:rPr>
        <w:t xml:space="preserve">               </w:t>
      </w:r>
    </w:p>
    <w:p w14:paraId="30F40E78">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法定代表人：</w:t>
      </w:r>
      <w:r>
        <w:rPr>
          <w:rFonts w:hint="eastAsia" w:ascii="宋体" w:hAnsi="宋体" w:eastAsia="宋体" w:cs="宋体"/>
          <w:color w:val="auto"/>
          <w:highlight w:val="none"/>
          <w:u w:val="single"/>
        </w:rPr>
        <w:t xml:space="preserve">             </w:t>
      </w:r>
    </w:p>
    <w:p w14:paraId="3C0B9DE8">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委托代理人：</w:t>
      </w:r>
      <w:r>
        <w:rPr>
          <w:rFonts w:hint="eastAsia" w:ascii="宋体" w:hAnsi="宋体" w:eastAsia="宋体" w:cs="宋体"/>
          <w:color w:val="auto"/>
          <w:highlight w:val="none"/>
          <w:u w:val="single"/>
        </w:rPr>
        <w:t xml:space="preserve">             </w:t>
      </w:r>
    </w:p>
    <w:p w14:paraId="0B78CEEB">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  话：</w:t>
      </w:r>
      <w:r>
        <w:rPr>
          <w:rFonts w:hint="eastAsia" w:ascii="宋体" w:hAnsi="宋体" w:eastAsia="宋体" w:cs="宋体"/>
          <w:color w:val="auto"/>
          <w:highlight w:val="none"/>
          <w:u w:val="single"/>
        </w:rPr>
        <w:t xml:space="preserve">                 </w:t>
      </w:r>
    </w:p>
    <w:p w14:paraId="14D5A77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传  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传  真：</w:t>
      </w:r>
      <w:r>
        <w:rPr>
          <w:rFonts w:hint="eastAsia" w:ascii="宋体" w:hAnsi="宋体" w:eastAsia="宋体" w:cs="宋体"/>
          <w:color w:val="auto"/>
          <w:highlight w:val="none"/>
          <w:u w:val="single"/>
        </w:rPr>
        <w:t xml:space="preserve">                 </w:t>
      </w:r>
    </w:p>
    <w:p w14:paraId="694C5511">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电子信箱：</w:t>
      </w:r>
      <w:r>
        <w:rPr>
          <w:rFonts w:hint="eastAsia" w:ascii="宋体" w:hAnsi="宋体" w:eastAsia="宋体" w:cs="宋体"/>
          <w:color w:val="auto"/>
          <w:highlight w:val="none"/>
          <w:u w:val="single"/>
        </w:rPr>
        <w:t xml:space="preserve">               </w:t>
      </w:r>
    </w:p>
    <w:p w14:paraId="7E7319A2">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开户银行：</w:t>
      </w:r>
      <w:r>
        <w:rPr>
          <w:rFonts w:hint="eastAsia" w:ascii="宋体" w:hAnsi="宋体" w:eastAsia="宋体" w:cs="宋体"/>
          <w:color w:val="auto"/>
          <w:highlight w:val="none"/>
          <w:u w:val="single"/>
        </w:rPr>
        <w:t xml:space="preserve">               </w:t>
      </w:r>
    </w:p>
    <w:p w14:paraId="6B9965A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账  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账  号：</w:t>
      </w:r>
      <w:r>
        <w:rPr>
          <w:rFonts w:hint="eastAsia" w:ascii="宋体" w:hAnsi="宋体" w:eastAsia="宋体" w:cs="宋体"/>
          <w:color w:val="auto"/>
          <w:highlight w:val="none"/>
          <w:u w:val="single"/>
        </w:rPr>
        <w:t xml:space="preserve">                 </w:t>
      </w:r>
    </w:p>
    <w:p w14:paraId="1C12FC37">
      <w:pPr>
        <w:spacing w:line="360" w:lineRule="auto"/>
        <w:ind w:firstLine="200"/>
        <w:rPr>
          <w:rFonts w:hint="eastAsia" w:ascii="宋体" w:hAnsi="宋体" w:eastAsia="宋体" w:cs="宋体"/>
          <w:b/>
          <w:color w:val="auto"/>
          <w:spacing w:val="12"/>
          <w:highlight w:val="none"/>
        </w:rPr>
      </w:pPr>
    </w:p>
    <w:p w14:paraId="3CFCE30D">
      <w:pPr>
        <w:spacing w:line="360" w:lineRule="auto"/>
        <w:ind w:firstLine="200"/>
        <w:rPr>
          <w:rFonts w:hint="eastAsia" w:ascii="宋体" w:hAnsi="宋体" w:eastAsia="宋体" w:cs="宋体"/>
          <w:b/>
          <w:color w:val="auto"/>
          <w:spacing w:val="12"/>
          <w:highlight w:val="none"/>
        </w:rPr>
      </w:pPr>
    </w:p>
    <w:p w14:paraId="2A4A2EDE">
      <w:pPr>
        <w:spacing w:line="360" w:lineRule="auto"/>
        <w:rPr>
          <w:rFonts w:hint="eastAsia" w:ascii="宋体" w:hAnsi="宋体" w:eastAsia="宋体" w:cs="宋体"/>
          <w:b w:val="0"/>
          <w:bCs/>
          <w:color w:val="auto"/>
          <w:spacing w:val="12"/>
          <w:highlight w:val="none"/>
          <w:lang w:val="en-US" w:eastAsia="zh-CN"/>
        </w:rPr>
      </w:pPr>
      <w:r>
        <w:rPr>
          <w:rFonts w:hint="eastAsia" w:ascii="宋体" w:hAnsi="宋体" w:eastAsia="宋体" w:cs="宋体"/>
          <w:b w:val="0"/>
          <w:bCs/>
          <w:color w:val="auto"/>
          <w:spacing w:val="12"/>
          <w:highlight w:val="none"/>
          <w:lang w:val="en-US" w:eastAsia="zh-CN"/>
        </w:rPr>
        <w:t>见证方：   （盖章）</w:t>
      </w:r>
    </w:p>
    <w:p w14:paraId="3E4163C4">
      <w:pPr>
        <w:spacing w:line="360" w:lineRule="auto"/>
        <w:rPr>
          <w:rFonts w:hint="eastAsia" w:ascii="宋体" w:hAnsi="宋体" w:eastAsia="宋体" w:cs="宋体"/>
          <w:b w:val="0"/>
          <w:bCs/>
          <w:color w:val="auto"/>
          <w:spacing w:val="12"/>
          <w:highlight w:val="none"/>
          <w:lang w:val="en-US" w:eastAsia="zh-CN"/>
        </w:rPr>
      </w:pPr>
    </w:p>
    <w:p w14:paraId="5C605E0D">
      <w:pPr>
        <w:spacing w:line="360" w:lineRule="auto"/>
        <w:rPr>
          <w:rFonts w:hint="eastAsia" w:ascii="宋体" w:hAnsi="宋体" w:eastAsia="宋体" w:cs="宋体"/>
          <w:b w:val="0"/>
          <w:bCs/>
          <w:color w:val="auto"/>
          <w:spacing w:val="12"/>
          <w:highlight w:val="none"/>
          <w:lang w:val="en-US" w:eastAsia="zh-CN"/>
        </w:rPr>
      </w:pPr>
    </w:p>
    <w:p w14:paraId="08799D85">
      <w:pPr>
        <w:spacing w:line="360" w:lineRule="auto"/>
        <w:rPr>
          <w:rFonts w:hint="eastAsia" w:ascii="宋体" w:hAnsi="宋体" w:eastAsia="宋体" w:cs="宋体"/>
          <w:b w:val="0"/>
          <w:bCs/>
          <w:color w:val="auto"/>
          <w:spacing w:val="12"/>
          <w:highlight w:val="none"/>
          <w:lang w:val="en-US" w:eastAsia="zh-CN"/>
        </w:rPr>
      </w:pPr>
    </w:p>
    <w:p w14:paraId="3B275C17">
      <w:pPr>
        <w:pStyle w:val="237"/>
        <w:ind w:left="105" w:firstLine="2409"/>
        <w:rPr>
          <w:rFonts w:hint="eastAsia" w:ascii="宋体" w:hAnsi="宋体" w:eastAsia="宋体" w:cs="宋体"/>
          <w:color w:val="auto"/>
          <w:highlight w:val="none"/>
        </w:rPr>
      </w:pPr>
      <w:bookmarkStart w:id="23" w:name="_Toc366589557"/>
      <w:r>
        <w:rPr>
          <w:rFonts w:hint="eastAsia" w:ascii="宋体" w:hAnsi="宋体" w:eastAsia="宋体" w:cs="宋体"/>
          <w:color w:val="auto"/>
          <w:highlight w:val="none"/>
        </w:rPr>
        <w:t>第二部分　通用合同条款</w:t>
      </w:r>
      <w:bookmarkEnd w:id="23"/>
    </w:p>
    <w:p w14:paraId="1E5397BB">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按照住房和城乡建设部、国家工商行政管理总局制定的《建设工程施工合同（示范文本）》（GF-2017-0201）第二部分 通用合同条款执行。</w:t>
      </w:r>
      <w:bookmarkEnd w:id="7"/>
      <w:bookmarkEnd w:id="8"/>
    </w:p>
    <w:p w14:paraId="103CF02E">
      <w:pPr>
        <w:pStyle w:val="237"/>
        <w:ind w:firstLine="1767"/>
        <w:rPr>
          <w:rFonts w:hint="eastAsia" w:ascii="宋体" w:hAnsi="宋体" w:eastAsia="宋体" w:cs="宋体"/>
          <w:color w:val="auto"/>
          <w:highlight w:val="none"/>
        </w:rPr>
      </w:pPr>
      <w:bookmarkStart w:id="24" w:name="_Toc459383350"/>
      <w:r>
        <w:rPr>
          <w:rFonts w:hint="eastAsia" w:ascii="宋体" w:hAnsi="宋体" w:eastAsia="宋体" w:cs="宋体"/>
          <w:color w:val="auto"/>
          <w:highlight w:val="none"/>
        </w:rPr>
        <w:t>第三部分　专用合同条款</w:t>
      </w:r>
      <w:bookmarkEnd w:id="24"/>
    </w:p>
    <w:p w14:paraId="3F7AEF10">
      <w:pPr>
        <w:pStyle w:val="238"/>
        <w:spacing w:before="120" w:after="120" w:line="360" w:lineRule="auto"/>
        <w:rPr>
          <w:rFonts w:hint="eastAsia" w:ascii="宋体" w:hAnsi="宋体" w:eastAsia="宋体" w:cs="宋体"/>
          <w:bCs w:val="0"/>
          <w:color w:val="auto"/>
          <w:sz w:val="24"/>
          <w:szCs w:val="20"/>
          <w:highlight w:val="none"/>
        </w:rPr>
      </w:pPr>
      <w:bookmarkStart w:id="25" w:name="_Toc372788928"/>
      <w:r>
        <w:rPr>
          <w:rFonts w:hint="eastAsia" w:ascii="宋体" w:hAnsi="宋体" w:eastAsia="宋体" w:cs="宋体"/>
          <w:bCs w:val="0"/>
          <w:color w:val="auto"/>
          <w:sz w:val="24"/>
          <w:szCs w:val="20"/>
          <w:highlight w:val="none"/>
        </w:rPr>
        <w:t>1</w:t>
      </w:r>
      <w:bookmarkStart w:id="26" w:name="_Toc297048342"/>
      <w:bookmarkStart w:id="27" w:name="_Toc296503156"/>
      <w:bookmarkStart w:id="28" w:name="_Toc296890984"/>
      <w:bookmarkStart w:id="29" w:name="_Toc296347155"/>
      <w:bookmarkStart w:id="30" w:name="_Toc296944495"/>
      <w:bookmarkStart w:id="31" w:name="_Toc292559866"/>
      <w:bookmarkStart w:id="32" w:name="_Toc292559361"/>
      <w:bookmarkStart w:id="33" w:name="_Toc296346657"/>
      <w:bookmarkStart w:id="34" w:name="_Toc297120456"/>
      <w:bookmarkStart w:id="35" w:name="_Toc296891196"/>
      <w:r>
        <w:rPr>
          <w:rFonts w:hint="eastAsia" w:ascii="宋体" w:hAnsi="宋体" w:eastAsia="宋体" w:cs="宋体"/>
          <w:bCs w:val="0"/>
          <w:color w:val="auto"/>
          <w:sz w:val="24"/>
          <w:szCs w:val="20"/>
          <w:highlight w:val="none"/>
        </w:rPr>
        <w:t>. 一般约定</w:t>
      </w:r>
      <w:bookmarkEnd w:id="25"/>
      <w:bookmarkEnd w:id="26"/>
      <w:bookmarkEnd w:id="27"/>
      <w:bookmarkEnd w:id="28"/>
      <w:bookmarkEnd w:id="29"/>
      <w:bookmarkEnd w:id="30"/>
      <w:bookmarkEnd w:id="31"/>
      <w:bookmarkEnd w:id="32"/>
      <w:bookmarkEnd w:id="33"/>
      <w:bookmarkEnd w:id="34"/>
      <w:bookmarkEnd w:id="35"/>
    </w:p>
    <w:p w14:paraId="1D3CA0D9">
      <w:pPr>
        <w:spacing w:after="120" w:line="360" w:lineRule="auto"/>
        <w:ind w:firstLine="482"/>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1.1 词语定义</w:t>
      </w:r>
    </w:p>
    <w:p w14:paraId="7CDD8FB9">
      <w:pPr>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1.1.1合同</w:t>
      </w:r>
    </w:p>
    <w:p w14:paraId="5B7FC8FB">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其他合同文件包括：</w:t>
      </w:r>
    </w:p>
    <w:p w14:paraId="559E11D3">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5525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合同协议书包括承诺书、中标通知书；明确双方权利、义务的纪要、协议；投标书、招标文件；施工图纸；标准、规范及有关技术文件、技术要求。</w:t>
      </w:r>
      <w:r>
        <w:rPr>
          <w:rFonts w:hint="eastAsia" w:ascii="宋体" w:hAnsi="宋体" w:eastAsia="宋体" w:cs="宋体"/>
          <w:color w:val="auto"/>
          <w:highlight w:val="none"/>
          <w:u w:val="single"/>
        </w:rPr>
        <w:fldChar w:fldCharType="end"/>
      </w:r>
    </w:p>
    <w:p w14:paraId="7AE79D87">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1.1.2 合同当事人及其他相关方</w:t>
      </w:r>
    </w:p>
    <w:p w14:paraId="6CCB33D0">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1.1.2.1监理人：</w:t>
      </w:r>
    </w:p>
    <w:p w14:paraId="5321D9CF">
      <w:pPr>
        <w:pageBreakBefore w:val="0"/>
        <w:widowControl w:val="0"/>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名    称：</w:t>
      </w:r>
      <w:r>
        <w:rPr>
          <w:rFonts w:hint="eastAsia" w:ascii="宋体" w:hAnsi="宋体" w:eastAsia="宋体" w:cs="宋体"/>
          <w:color w:val="auto"/>
          <w:highlight w:val="none"/>
          <w:u w:val="single"/>
        </w:rPr>
        <w:t xml:space="preserve">                                                                      </w:t>
      </w:r>
    </w:p>
    <w:p w14:paraId="6FA881FF">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资质类别和等级：</w:t>
      </w:r>
      <w:r>
        <w:rPr>
          <w:rFonts w:hint="eastAsia" w:ascii="宋体" w:hAnsi="宋体" w:eastAsia="宋体" w:cs="宋体"/>
          <w:color w:val="auto"/>
          <w:highlight w:val="none"/>
          <w:u w:val="single"/>
        </w:rPr>
        <w:t xml:space="preserve">                                                                </w:t>
      </w:r>
    </w:p>
    <w:p w14:paraId="57CDF623">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xml:space="preserve">                                                                      </w:t>
      </w:r>
    </w:p>
    <w:p w14:paraId="04B04E40">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xml:space="preserve">                                                                      </w:t>
      </w:r>
    </w:p>
    <w:p w14:paraId="1BA2A8CE">
      <w:pPr>
        <w:pageBreakBefore w:val="0"/>
        <w:widowControl w:val="0"/>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通信地址：</w:t>
      </w:r>
      <w:r>
        <w:rPr>
          <w:rFonts w:hint="eastAsia" w:ascii="宋体" w:hAnsi="宋体" w:eastAsia="宋体" w:cs="宋体"/>
          <w:color w:val="auto"/>
          <w:highlight w:val="none"/>
          <w:u w:val="single"/>
        </w:rPr>
        <w:t xml:space="preserve">                                                                      </w:t>
      </w:r>
    </w:p>
    <w:p w14:paraId="1191B89F">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1.1.2.2 设计人：</w:t>
      </w:r>
    </w:p>
    <w:p w14:paraId="3F561EF9">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名    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51329C30">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资质类别和等级：</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7339880F">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073B5F42">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9401BFC">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通信地址：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58433B3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1.1.3 工程和设备</w:t>
      </w:r>
    </w:p>
    <w:p w14:paraId="2E515105">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1.1.3.1 作为施工现场组成部分的其他场所包括：</w:t>
      </w:r>
      <w:r>
        <w:rPr>
          <w:rFonts w:hint="eastAsia" w:ascii="宋体" w:hAnsi="宋体" w:eastAsia="宋体" w:cs="宋体"/>
          <w:bCs/>
          <w:color w:val="auto"/>
          <w:highlight w:val="none"/>
          <w:u w:val="single"/>
        </w:rPr>
        <w:t>具体由发包人和承包人根据现场条件确定</w:t>
      </w:r>
      <w:r>
        <w:rPr>
          <w:rFonts w:hint="eastAsia" w:ascii="宋体" w:hAnsi="宋体" w:eastAsia="宋体" w:cs="宋体"/>
          <w:color w:val="auto"/>
          <w:highlight w:val="none"/>
        </w:rPr>
        <w:t>。</w:t>
      </w:r>
    </w:p>
    <w:p w14:paraId="285E2A76">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1.1.3.2 永久占地包括：</w:t>
      </w:r>
      <w:r>
        <w:rPr>
          <w:rFonts w:hint="eastAsia" w:ascii="宋体" w:hAnsi="宋体" w:eastAsia="宋体" w:cs="宋体"/>
          <w:bCs/>
          <w:color w:val="auto"/>
          <w:highlight w:val="none"/>
          <w:u w:val="single"/>
        </w:rPr>
        <w:t>施工区域</w:t>
      </w:r>
      <w:r>
        <w:rPr>
          <w:rFonts w:hint="eastAsia" w:ascii="宋体" w:hAnsi="宋体" w:eastAsia="宋体" w:cs="宋体"/>
          <w:color w:val="auto"/>
          <w:highlight w:val="none"/>
        </w:rPr>
        <w:t>。</w:t>
      </w:r>
    </w:p>
    <w:p w14:paraId="0E694CD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1.1.3.3 临时占地包括：</w:t>
      </w:r>
      <w:r>
        <w:rPr>
          <w:rFonts w:hint="eastAsia" w:ascii="宋体" w:hAnsi="宋体" w:eastAsia="宋体" w:cs="宋体"/>
          <w:bCs/>
          <w:color w:val="auto"/>
          <w:highlight w:val="none"/>
          <w:u w:val="single"/>
        </w:rPr>
        <w:t>无</w:t>
      </w:r>
      <w:r>
        <w:rPr>
          <w:rFonts w:hint="eastAsia" w:ascii="宋体" w:hAnsi="宋体" w:eastAsia="宋体" w:cs="宋体"/>
          <w:color w:val="auto"/>
          <w:highlight w:val="none"/>
        </w:rPr>
        <w:t>。</w:t>
      </w:r>
    </w:p>
    <w:p w14:paraId="1612188C">
      <w:pPr>
        <w:pStyle w:val="239"/>
        <w:pageBreakBefore w:val="0"/>
        <w:widowControl w:val="0"/>
        <w:spacing w:line="360" w:lineRule="auto"/>
        <w:rPr>
          <w:rFonts w:hint="eastAsia" w:ascii="宋体" w:hAnsi="宋体" w:eastAsia="宋体" w:cs="宋体"/>
          <w:bCs w:val="0"/>
          <w:color w:val="auto"/>
          <w:sz w:val="24"/>
          <w:szCs w:val="20"/>
          <w:highlight w:val="none"/>
        </w:rPr>
      </w:pPr>
      <w:bookmarkStart w:id="36" w:name="_Toc14470141"/>
      <w:r>
        <w:rPr>
          <w:rFonts w:hint="eastAsia" w:ascii="宋体" w:hAnsi="宋体" w:eastAsia="宋体" w:cs="宋体"/>
          <w:bCs w:val="0"/>
          <w:color w:val="auto"/>
          <w:sz w:val="24"/>
          <w:szCs w:val="20"/>
          <w:highlight w:val="none"/>
        </w:rPr>
        <w:t>1.2法律</w:t>
      </w:r>
      <w:bookmarkEnd w:id="36"/>
    </w:p>
    <w:p w14:paraId="1BFEAB16">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适用于合同的其他规范性文件：</w:t>
      </w:r>
    </w:p>
    <w:p w14:paraId="5511101D">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u w:val="single"/>
        </w:rPr>
        <w:t>现行</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AUTOTEXT 116 \* MERGEFORMAT</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《中华人民共和国民法典》《中华人民共和国建筑法》《中华人民共和国招标投标法》《建设工程质量管理条例》及国家、江苏省、无锡市的法规条令</w:t>
      </w:r>
      <w:r>
        <w:rPr>
          <w:rFonts w:hint="eastAsia" w:ascii="宋体" w:hAnsi="宋体" w:eastAsia="宋体" w:cs="宋体"/>
          <w:color w:val="auto"/>
          <w:highlight w:val="none"/>
          <w:u w:val="single"/>
        </w:rPr>
        <w:fldChar w:fldCharType="end"/>
      </w:r>
      <w:r>
        <w:rPr>
          <w:rFonts w:hint="eastAsia" w:ascii="宋体" w:hAnsi="宋体" w:eastAsia="宋体" w:cs="宋体"/>
          <w:bCs/>
          <w:color w:val="auto"/>
          <w:highlight w:val="none"/>
          <w:u w:val="single"/>
        </w:rPr>
        <w:t>及规范性文件</w:t>
      </w:r>
      <w:r>
        <w:rPr>
          <w:rFonts w:hint="eastAsia" w:ascii="宋体" w:hAnsi="宋体" w:eastAsia="宋体" w:cs="宋体"/>
          <w:color w:val="auto"/>
          <w:highlight w:val="none"/>
          <w:u w:val="single"/>
        </w:rPr>
        <w:t>。</w:t>
      </w:r>
    </w:p>
    <w:p w14:paraId="2FB94610">
      <w:pPr>
        <w:pStyle w:val="239"/>
        <w:pageBreakBefore w:val="0"/>
        <w:widowControl w:val="0"/>
        <w:spacing w:line="360" w:lineRule="auto"/>
        <w:rPr>
          <w:rFonts w:hint="eastAsia" w:ascii="宋体" w:hAnsi="宋体" w:eastAsia="宋体" w:cs="宋体"/>
          <w:bCs w:val="0"/>
          <w:color w:val="auto"/>
          <w:sz w:val="24"/>
          <w:szCs w:val="20"/>
          <w:highlight w:val="none"/>
        </w:rPr>
      </w:pPr>
      <w:bookmarkStart w:id="37" w:name="_Toc14470142"/>
      <w:r>
        <w:rPr>
          <w:rFonts w:hint="eastAsia" w:ascii="宋体" w:hAnsi="宋体" w:eastAsia="宋体" w:cs="宋体"/>
          <w:bCs w:val="0"/>
          <w:color w:val="auto"/>
          <w:sz w:val="24"/>
          <w:szCs w:val="20"/>
          <w:highlight w:val="none"/>
        </w:rPr>
        <w:t>1.3标准和规范</w:t>
      </w:r>
      <w:bookmarkEnd w:id="37"/>
    </w:p>
    <w:p w14:paraId="470F036C">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1.3.1 适用于工程的国家标准、行业标准、工程所在地的地方性标准，以及相应的规范、规程等，合同当事人有特别要求的，应在专用合同条款中约定。</w:t>
      </w:r>
    </w:p>
    <w:p w14:paraId="2AE3F48D">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适用于工程的标准规范包括：</w:t>
      </w:r>
      <w:r>
        <w:rPr>
          <w:rFonts w:hint="eastAsia" w:ascii="宋体" w:hAnsi="宋体" w:eastAsia="宋体" w:cs="宋体"/>
          <w:bCs/>
          <w:color w:val="auto"/>
          <w:highlight w:val="none"/>
          <w:u w:val="single"/>
        </w:rPr>
        <w:t>国家部委颁发的有关施工、验收的标准、规范，以及江苏省、无锡市建设、消防、节能以及环保等相关主管部门颁布的文件</w:t>
      </w:r>
      <w:r>
        <w:rPr>
          <w:rFonts w:hint="eastAsia" w:ascii="宋体" w:hAnsi="宋体" w:eastAsia="宋体" w:cs="宋体"/>
          <w:color w:val="auto"/>
          <w:highlight w:val="none"/>
        </w:rPr>
        <w:t>。</w:t>
      </w:r>
    </w:p>
    <w:p w14:paraId="3F6161EF">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1.3.2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5A2C9B8D">
      <w:pPr>
        <w:pStyle w:val="239"/>
        <w:pageBreakBefore w:val="0"/>
        <w:widowControl w:val="0"/>
        <w:spacing w:line="360" w:lineRule="auto"/>
        <w:rPr>
          <w:rFonts w:hint="eastAsia" w:ascii="宋体" w:hAnsi="宋体" w:eastAsia="宋体" w:cs="宋体"/>
          <w:bCs w:val="0"/>
          <w:color w:val="auto"/>
          <w:sz w:val="24"/>
          <w:szCs w:val="20"/>
          <w:highlight w:val="none"/>
        </w:rPr>
      </w:pPr>
      <w:bookmarkStart w:id="38" w:name="_Toc14470143"/>
      <w:r>
        <w:rPr>
          <w:rFonts w:hint="eastAsia" w:ascii="宋体" w:hAnsi="宋体" w:eastAsia="宋体" w:cs="宋体"/>
          <w:bCs w:val="0"/>
          <w:color w:val="auto"/>
          <w:sz w:val="24"/>
          <w:szCs w:val="20"/>
          <w:highlight w:val="none"/>
        </w:rPr>
        <w:t>1.4合同文件的优先顺序</w:t>
      </w:r>
      <w:bookmarkEnd w:id="38"/>
    </w:p>
    <w:p w14:paraId="7A7E5040">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合同文件组成及优先顺序为：</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1）本合同协议书；（2）中标通知书；（3）本合同专用条款；（4）明确双方权利义务的纪要或承诺或协议等契约；（5）招标文件及其附件；（6）本合同通用条款；（7）标准、规范及有关技术文件、技术要求；（8）设计文件以及地勘报告（包括施工图纸、图审意见等）；（9）</w:t>
      </w:r>
      <w:r>
        <w:rPr>
          <w:rFonts w:hint="eastAsia" w:ascii="宋体" w:hAnsi="宋体" w:cs="宋体"/>
          <w:bCs/>
          <w:color w:val="auto"/>
          <w:highlight w:val="none"/>
          <w:u w:val="single"/>
          <w:lang w:eastAsia="zh-CN"/>
        </w:rPr>
        <w:t>响应文件</w:t>
      </w:r>
      <w:r>
        <w:rPr>
          <w:rFonts w:hint="eastAsia" w:ascii="宋体" w:hAnsi="宋体" w:eastAsia="宋体" w:cs="宋体"/>
          <w:bCs/>
          <w:color w:val="auto"/>
          <w:highlight w:val="none"/>
          <w:u w:val="single"/>
        </w:rPr>
        <w:t>、工程报价单或预算书；（10）当对同一问题，国家、江苏省、无锡市颁布的标准和规范与招标文件要求不一致时，以国家、江苏省、无锡市的标准、规范、规定与招标文件要求的严格者为准；（11）其他经双方同意视为本合同组成的有关文件。</w:t>
      </w:r>
    </w:p>
    <w:p w14:paraId="7821E66A">
      <w:pPr>
        <w:pStyle w:val="239"/>
        <w:pageBreakBefore w:val="0"/>
        <w:widowControl w:val="0"/>
        <w:spacing w:line="360" w:lineRule="auto"/>
        <w:rPr>
          <w:rFonts w:hint="eastAsia" w:ascii="宋体" w:hAnsi="宋体" w:eastAsia="宋体" w:cs="宋体"/>
          <w:bCs w:val="0"/>
          <w:color w:val="auto"/>
          <w:sz w:val="24"/>
          <w:szCs w:val="20"/>
          <w:highlight w:val="none"/>
        </w:rPr>
      </w:pPr>
      <w:bookmarkStart w:id="39" w:name="_Toc14470144"/>
      <w:r>
        <w:rPr>
          <w:rFonts w:hint="eastAsia" w:ascii="宋体" w:hAnsi="宋体" w:eastAsia="宋体" w:cs="宋体"/>
          <w:bCs w:val="0"/>
          <w:color w:val="auto"/>
          <w:sz w:val="24"/>
          <w:szCs w:val="20"/>
          <w:highlight w:val="none"/>
        </w:rPr>
        <w:t>1.5保密</w:t>
      </w:r>
      <w:bookmarkEnd w:id="39"/>
    </w:p>
    <w:p w14:paraId="5B5CE03D">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除法律规定或合同另有约定外，未经发包人同意，承包人不得将发包人提供的图纸、文件以及声明需要保密的资料信息等商业秘密泄露给第三方。</w:t>
      </w:r>
    </w:p>
    <w:p w14:paraId="3FD1A156">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除法律规定或合同另有约定外，未经承包人同意，发包人不得将承包人提供的技术秘密及声明需要保密的资料信息等商业秘密泄露给第三方。</w:t>
      </w:r>
    </w:p>
    <w:p w14:paraId="5F3FF996">
      <w:pPr>
        <w:pStyle w:val="239"/>
        <w:pageBreakBefore w:val="0"/>
        <w:widowControl w:val="0"/>
        <w:spacing w:line="360" w:lineRule="auto"/>
        <w:rPr>
          <w:rFonts w:hint="eastAsia" w:ascii="宋体" w:hAnsi="宋体" w:eastAsia="宋体" w:cs="宋体"/>
          <w:bCs w:val="0"/>
          <w:color w:val="auto"/>
          <w:sz w:val="24"/>
          <w:szCs w:val="20"/>
          <w:highlight w:val="none"/>
        </w:rPr>
      </w:pPr>
      <w:bookmarkStart w:id="40" w:name="_Toc14470145"/>
      <w:r>
        <w:rPr>
          <w:rFonts w:hint="eastAsia" w:ascii="宋体" w:hAnsi="宋体" w:eastAsia="宋体" w:cs="宋体"/>
          <w:bCs w:val="0"/>
          <w:color w:val="auto"/>
          <w:sz w:val="24"/>
          <w:szCs w:val="20"/>
          <w:highlight w:val="none"/>
        </w:rPr>
        <w:t>1.6图纸和承包人文件</w:t>
      </w:r>
      <w:bookmarkEnd w:id="40"/>
      <w:r>
        <w:rPr>
          <w:rFonts w:hint="eastAsia" w:ascii="宋体" w:hAnsi="宋体" w:eastAsia="宋体" w:cs="宋体"/>
          <w:bCs w:val="0"/>
          <w:color w:val="auto"/>
          <w:sz w:val="24"/>
          <w:szCs w:val="20"/>
          <w:highlight w:val="none"/>
        </w:rPr>
        <w:tab/>
      </w:r>
    </w:p>
    <w:p w14:paraId="24B60934">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1.6.1 图纸的提供</w:t>
      </w:r>
    </w:p>
    <w:p w14:paraId="10B8745A">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发包人向承包人提供图纸的期限：</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79BBFB4A">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发包人向承包人提供图纸的数量：</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3082E166">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发包人向承包人提供图纸的内容：</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0E32DDAD">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1.6.2 承包人文件</w:t>
      </w:r>
    </w:p>
    <w:p w14:paraId="3577C1C0">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需要由承包人提供的文件，包括：</w:t>
      </w:r>
      <w:r>
        <w:rPr>
          <w:rFonts w:hint="eastAsia" w:ascii="宋体" w:hAnsi="宋体" w:eastAsia="宋体" w:cs="宋体"/>
          <w:bCs/>
          <w:color w:val="auto"/>
          <w:highlight w:val="none"/>
          <w:u w:val="single"/>
        </w:rPr>
        <w:t>施工组织设计和进度计划等</w:t>
      </w:r>
      <w:r>
        <w:rPr>
          <w:rFonts w:hint="eastAsia" w:ascii="宋体" w:hAnsi="宋体" w:eastAsia="宋体" w:cs="宋体"/>
          <w:color w:val="auto"/>
          <w:highlight w:val="none"/>
        </w:rPr>
        <w:t>；</w:t>
      </w:r>
    </w:p>
    <w:p w14:paraId="0FA3A2C4">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承包人提供的文件的期限为：</w:t>
      </w:r>
      <w:r>
        <w:rPr>
          <w:rFonts w:hint="eastAsia" w:ascii="宋体" w:hAnsi="宋体" w:eastAsia="宋体" w:cs="宋体"/>
          <w:bCs/>
          <w:color w:val="auto"/>
          <w:highlight w:val="none"/>
          <w:u w:val="single"/>
        </w:rPr>
        <w:t>开工前7天</w:t>
      </w:r>
      <w:r>
        <w:rPr>
          <w:rFonts w:hint="eastAsia" w:ascii="宋体" w:hAnsi="宋体" w:eastAsia="宋体" w:cs="宋体"/>
          <w:color w:val="auto"/>
          <w:highlight w:val="none"/>
        </w:rPr>
        <w:t>；</w:t>
      </w:r>
    </w:p>
    <w:p w14:paraId="486877AF">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承包人提供的文件的数量为：</w:t>
      </w:r>
      <w:r>
        <w:rPr>
          <w:rFonts w:hint="eastAsia" w:ascii="宋体" w:hAnsi="宋体" w:eastAsia="宋体" w:cs="宋体"/>
          <w:bCs/>
          <w:color w:val="auto"/>
          <w:highlight w:val="none"/>
          <w:u w:val="single"/>
        </w:rPr>
        <w:t>伍份纸质档文件以及电子档文件</w:t>
      </w:r>
      <w:r>
        <w:rPr>
          <w:rFonts w:hint="eastAsia" w:ascii="宋体" w:hAnsi="宋体" w:eastAsia="宋体" w:cs="宋体"/>
          <w:color w:val="auto"/>
          <w:highlight w:val="none"/>
        </w:rPr>
        <w:t>；</w:t>
      </w:r>
    </w:p>
    <w:p w14:paraId="46AB6EBA">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承包人提供的文件的形式为：</w:t>
      </w:r>
      <w:r>
        <w:rPr>
          <w:rFonts w:hint="eastAsia" w:ascii="宋体" w:hAnsi="宋体" w:eastAsia="宋体" w:cs="宋体"/>
          <w:bCs/>
          <w:color w:val="auto"/>
          <w:highlight w:val="none"/>
          <w:u w:val="single"/>
        </w:rPr>
        <w:t>书面形式（包括纸质档和电子档文件）</w:t>
      </w:r>
      <w:r>
        <w:rPr>
          <w:rFonts w:hint="eastAsia" w:ascii="宋体" w:hAnsi="宋体" w:eastAsia="宋体" w:cs="宋体"/>
          <w:color w:val="auto"/>
          <w:highlight w:val="none"/>
        </w:rPr>
        <w:t>；</w:t>
      </w:r>
    </w:p>
    <w:p w14:paraId="7ECFF70C">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发包人审批承包人文件的期限：</w:t>
      </w:r>
      <w:r>
        <w:rPr>
          <w:rFonts w:hint="eastAsia" w:ascii="宋体" w:hAnsi="宋体" w:eastAsia="宋体" w:cs="宋体"/>
          <w:bCs/>
          <w:color w:val="auto"/>
          <w:highlight w:val="none"/>
          <w:u w:val="single"/>
        </w:rPr>
        <w:t>收到承包人提交文件后7天内</w:t>
      </w:r>
      <w:r>
        <w:rPr>
          <w:rFonts w:hint="eastAsia" w:ascii="宋体" w:hAnsi="宋体" w:eastAsia="宋体" w:cs="宋体"/>
          <w:color w:val="auto"/>
          <w:highlight w:val="none"/>
        </w:rPr>
        <w:t>。</w:t>
      </w:r>
    </w:p>
    <w:p w14:paraId="5E9793C3">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1.6.3 现场图纸准备</w:t>
      </w:r>
    </w:p>
    <w:p w14:paraId="65BA0778">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关于现场图纸准备的约定：</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6938C3C9">
      <w:pPr>
        <w:pStyle w:val="239"/>
        <w:pageBreakBefore w:val="0"/>
        <w:widowControl w:val="0"/>
        <w:spacing w:line="360" w:lineRule="auto"/>
        <w:rPr>
          <w:rFonts w:hint="eastAsia" w:ascii="宋体" w:hAnsi="宋体" w:eastAsia="宋体" w:cs="宋体"/>
          <w:bCs w:val="0"/>
          <w:color w:val="auto"/>
          <w:sz w:val="24"/>
          <w:szCs w:val="20"/>
          <w:highlight w:val="none"/>
        </w:rPr>
      </w:pPr>
      <w:bookmarkStart w:id="41" w:name="_Toc14470146"/>
      <w:r>
        <w:rPr>
          <w:rFonts w:hint="eastAsia" w:ascii="宋体" w:hAnsi="宋体" w:eastAsia="宋体" w:cs="宋体"/>
          <w:bCs w:val="0"/>
          <w:color w:val="auto"/>
          <w:sz w:val="24"/>
          <w:szCs w:val="20"/>
          <w:highlight w:val="none"/>
        </w:rPr>
        <w:t>1.7联络</w:t>
      </w:r>
      <w:bookmarkEnd w:id="41"/>
    </w:p>
    <w:p w14:paraId="42A64CBE">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1.7.1发包人和承包人应当在</w:t>
      </w:r>
      <w:r>
        <w:rPr>
          <w:rFonts w:hint="eastAsia" w:ascii="宋体" w:hAnsi="宋体" w:eastAsia="宋体" w:cs="宋体"/>
          <w:bCs/>
          <w:color w:val="auto"/>
          <w:highlight w:val="none"/>
          <w:u w:val="single"/>
        </w:rPr>
        <w:t>3</w:t>
      </w:r>
      <w:r>
        <w:rPr>
          <w:rFonts w:hint="eastAsia" w:ascii="宋体" w:hAnsi="宋体" w:eastAsia="宋体" w:cs="宋体"/>
          <w:color w:val="auto"/>
          <w:highlight w:val="none"/>
        </w:rPr>
        <w:t>天内将与合同有关的通知、批准、证明、证书、指示、指令、要求、请求、同意、意见、确定和决定等书面函件送达对方当事人。</w:t>
      </w:r>
    </w:p>
    <w:p w14:paraId="4F86E658">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1.7.2 发包人接收文件的地点：</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79ECAF5E">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发包人指定的接收人为：</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6773CB23">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承包人接收文件的地点：</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02655219">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承包人指定的接收人为：</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61B5D72F">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监理人接收文件的地点：</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78AD9534">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监理人指定的接收人为：</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2E54781C">
      <w:pPr>
        <w:pStyle w:val="239"/>
        <w:pageBreakBefore w:val="0"/>
        <w:widowControl w:val="0"/>
        <w:spacing w:line="360" w:lineRule="auto"/>
        <w:rPr>
          <w:rFonts w:hint="eastAsia" w:ascii="宋体" w:hAnsi="宋体" w:eastAsia="宋体" w:cs="宋体"/>
          <w:bCs w:val="0"/>
          <w:color w:val="auto"/>
          <w:sz w:val="24"/>
          <w:szCs w:val="20"/>
          <w:highlight w:val="none"/>
        </w:rPr>
      </w:pPr>
      <w:bookmarkStart w:id="42" w:name="_Toc14470147"/>
      <w:r>
        <w:rPr>
          <w:rFonts w:hint="eastAsia" w:ascii="宋体" w:hAnsi="宋体" w:eastAsia="宋体" w:cs="宋体"/>
          <w:bCs w:val="0"/>
          <w:color w:val="auto"/>
          <w:sz w:val="24"/>
          <w:szCs w:val="20"/>
          <w:highlight w:val="none"/>
        </w:rPr>
        <w:t>1.8交通运输</w:t>
      </w:r>
      <w:bookmarkEnd w:id="42"/>
    </w:p>
    <w:p w14:paraId="68C995F5">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w:t>
      </w:r>
      <w:bookmarkStart w:id="43" w:name="_Toc303539100"/>
      <w:bookmarkStart w:id="44" w:name="_Toc300934943"/>
      <w:bookmarkStart w:id="45" w:name="_Toc304295521"/>
      <w:bookmarkStart w:id="46" w:name="_Toc318581155"/>
      <w:bookmarkStart w:id="47" w:name="_Toc312677986"/>
      <w:r>
        <w:rPr>
          <w:rFonts w:hint="eastAsia" w:ascii="宋体" w:hAnsi="宋体" w:eastAsia="宋体" w:cs="宋体"/>
          <w:color w:val="auto"/>
          <w:highlight w:val="none"/>
        </w:rPr>
        <w:t>.8.1 出入现场的权利</w:t>
      </w:r>
    </w:p>
    <w:p w14:paraId="3AAF9E90">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关于出入现场的权利的约定：</w:t>
      </w:r>
      <w:r>
        <w:rPr>
          <w:rFonts w:hint="eastAsia" w:ascii="宋体" w:hAnsi="宋体" w:eastAsia="宋体" w:cs="宋体"/>
          <w:bCs/>
          <w:color w:val="auto"/>
          <w:highlight w:val="none"/>
          <w:u w:val="single"/>
        </w:rPr>
        <w:t>除本项目参建单位相关人员外，其他人员未经许可不得进入施工现场，承包人应安排专人做好保卫工作，费用含在投标价中</w:t>
      </w:r>
      <w:r>
        <w:rPr>
          <w:rFonts w:hint="eastAsia" w:ascii="宋体" w:hAnsi="宋体" w:eastAsia="宋体" w:cs="宋体"/>
          <w:color w:val="auto"/>
          <w:highlight w:val="none"/>
        </w:rPr>
        <w:t>。</w:t>
      </w:r>
      <w:bookmarkEnd w:id="43"/>
      <w:bookmarkEnd w:id="44"/>
      <w:bookmarkEnd w:id="45"/>
      <w:bookmarkEnd w:id="46"/>
      <w:bookmarkEnd w:id="47"/>
    </w:p>
    <w:p w14:paraId="129988F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w:t>
      </w:r>
      <w:bookmarkStart w:id="48" w:name="_Toc300934944"/>
      <w:bookmarkStart w:id="49" w:name="_Toc312677987"/>
      <w:bookmarkStart w:id="50" w:name="_Toc303539101"/>
      <w:bookmarkStart w:id="51" w:name="_Toc318581156"/>
      <w:bookmarkStart w:id="52" w:name="_Toc304295522"/>
      <w:r>
        <w:rPr>
          <w:rFonts w:hint="eastAsia" w:ascii="宋体" w:hAnsi="宋体" w:eastAsia="宋体" w:cs="宋体"/>
          <w:color w:val="auto"/>
          <w:highlight w:val="none"/>
        </w:rPr>
        <w:t>.8.2 场内交通</w:t>
      </w:r>
    </w:p>
    <w:p w14:paraId="58DC3BD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关于场外交通和场内交通的边界的约定：</w:t>
      </w:r>
      <w:r>
        <w:rPr>
          <w:rFonts w:hint="eastAsia" w:ascii="宋体" w:hAnsi="宋体" w:eastAsia="宋体" w:cs="宋体"/>
          <w:bCs/>
          <w:color w:val="auto"/>
          <w:highlight w:val="none"/>
          <w:u w:val="single"/>
        </w:rPr>
        <w:t>以本工程工地围墙（或围挡）和入口大门范围为界，以内为场内交通，以外为场外交通</w:t>
      </w:r>
      <w:r>
        <w:rPr>
          <w:rFonts w:hint="eastAsia" w:ascii="宋体" w:hAnsi="宋体" w:eastAsia="宋体" w:cs="宋体"/>
          <w:color w:val="auto"/>
          <w:highlight w:val="none"/>
        </w:rPr>
        <w:t>。</w:t>
      </w:r>
    </w:p>
    <w:p w14:paraId="44E7AA72">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关于发包人向承包人免费提供满足工程施工需要的场内道路和交通设施的约定：</w:t>
      </w:r>
    </w:p>
    <w:p w14:paraId="2D9A619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bCs/>
          <w:color w:val="auto"/>
          <w:highlight w:val="none"/>
          <w:u w:val="single"/>
        </w:rPr>
        <w:t>发包人提供现场已有道路、围墙以及大门等设施，不再提供现场已有条件外的其他设施，如承包人施工期间损坏现有设施，应予以恢复或承担恢复的相关费用</w:t>
      </w:r>
      <w:r>
        <w:rPr>
          <w:rFonts w:hint="eastAsia" w:ascii="宋体" w:hAnsi="宋体" w:eastAsia="宋体" w:cs="宋体"/>
          <w:color w:val="auto"/>
          <w:highlight w:val="none"/>
        </w:rPr>
        <w:t>。</w:t>
      </w:r>
      <w:bookmarkEnd w:id="48"/>
      <w:bookmarkEnd w:id="49"/>
      <w:bookmarkEnd w:id="50"/>
      <w:bookmarkEnd w:id="51"/>
      <w:bookmarkEnd w:id="52"/>
      <w:bookmarkStart w:id="53" w:name="_Toc318581157"/>
    </w:p>
    <w:p w14:paraId="60D96B7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1.8.3超大件和超重件的运输</w:t>
      </w:r>
    </w:p>
    <w:p w14:paraId="5C53D218">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运输超大件或超重件所需的道路和桥梁临时加固改造费用和其他有关费用由</w:t>
      </w:r>
      <w:r>
        <w:rPr>
          <w:rFonts w:hint="eastAsia" w:ascii="宋体" w:hAnsi="宋体" w:eastAsia="宋体" w:cs="宋体"/>
          <w:bCs/>
          <w:color w:val="auto"/>
          <w:highlight w:val="none"/>
          <w:u w:val="single"/>
        </w:rPr>
        <w:t>承包人</w:t>
      </w:r>
      <w:r>
        <w:rPr>
          <w:rFonts w:hint="eastAsia" w:ascii="宋体" w:hAnsi="宋体" w:eastAsia="宋体" w:cs="宋体"/>
          <w:color w:val="auto"/>
          <w:highlight w:val="none"/>
        </w:rPr>
        <w:t>承担。</w:t>
      </w:r>
      <w:bookmarkEnd w:id="53"/>
    </w:p>
    <w:p w14:paraId="6A7F9110">
      <w:pPr>
        <w:pStyle w:val="239"/>
        <w:pageBreakBefore w:val="0"/>
        <w:widowControl w:val="0"/>
        <w:spacing w:line="360" w:lineRule="auto"/>
        <w:rPr>
          <w:rFonts w:hint="eastAsia" w:ascii="宋体" w:hAnsi="宋体" w:eastAsia="宋体" w:cs="宋体"/>
          <w:bCs w:val="0"/>
          <w:color w:val="auto"/>
          <w:sz w:val="24"/>
          <w:szCs w:val="20"/>
          <w:highlight w:val="none"/>
        </w:rPr>
      </w:pPr>
      <w:bookmarkStart w:id="54" w:name="_Toc14470148"/>
      <w:r>
        <w:rPr>
          <w:rFonts w:hint="eastAsia" w:ascii="宋体" w:hAnsi="宋体" w:eastAsia="宋体" w:cs="宋体"/>
          <w:bCs w:val="0"/>
          <w:color w:val="auto"/>
          <w:sz w:val="24"/>
          <w:szCs w:val="20"/>
          <w:highlight w:val="none"/>
        </w:rPr>
        <w:t>1.9知识产权</w:t>
      </w:r>
      <w:bookmarkEnd w:id="54"/>
    </w:p>
    <w:p w14:paraId="33120056">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1.9.1关于发包人提供给承包人的图纸、发包人为实施工程自行编制或委托编制的技术规范以及反映发包人关于合同要求或其他类似性质的文件的著作权的归属：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bCs/>
          <w:color w:val="auto"/>
          <w:highlight w:val="none"/>
          <w:u w:val="single"/>
        </w:rPr>
        <w:t>发包人或按发包人与第三方签订的有关协议执行</w:t>
      </w:r>
      <w:r>
        <w:rPr>
          <w:rFonts w:hint="eastAsia" w:ascii="宋体" w:hAnsi="宋体" w:eastAsia="宋体" w:cs="宋体"/>
          <w:color w:val="auto"/>
          <w:highlight w:val="none"/>
        </w:rPr>
        <w:t>。</w:t>
      </w:r>
    </w:p>
    <w:p w14:paraId="7F40E2DD">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关于发包人提供的上述文件的使用限制的要求：</w:t>
      </w:r>
      <w:r>
        <w:rPr>
          <w:rFonts w:hint="eastAsia" w:ascii="宋体" w:hAnsi="宋体" w:eastAsia="宋体" w:cs="宋体"/>
          <w:bCs/>
          <w:color w:val="auto"/>
          <w:highlight w:val="none"/>
          <w:u w:val="single"/>
        </w:rPr>
        <w:t>仅限用于本项目</w:t>
      </w:r>
      <w:r>
        <w:rPr>
          <w:rFonts w:hint="eastAsia" w:ascii="宋体" w:hAnsi="宋体" w:eastAsia="宋体" w:cs="宋体"/>
          <w:color w:val="auto"/>
          <w:highlight w:val="none"/>
        </w:rPr>
        <w:t>。</w:t>
      </w:r>
    </w:p>
    <w:p w14:paraId="4C46AA7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1.9.2 关于承包人为实施工程所编制文件的著作权的归属：</w:t>
      </w:r>
      <w:r>
        <w:rPr>
          <w:rFonts w:hint="eastAsia" w:ascii="宋体" w:hAnsi="宋体" w:eastAsia="宋体" w:cs="宋体"/>
          <w:bCs/>
          <w:color w:val="auto"/>
          <w:highlight w:val="none"/>
          <w:u w:val="single"/>
        </w:rPr>
        <w:t>除署名权以外的著作权属于发包人</w:t>
      </w:r>
      <w:r>
        <w:rPr>
          <w:rFonts w:hint="eastAsia" w:ascii="宋体" w:hAnsi="宋体" w:eastAsia="宋体" w:cs="宋体"/>
          <w:color w:val="auto"/>
          <w:highlight w:val="none"/>
        </w:rPr>
        <w:t>。</w:t>
      </w:r>
    </w:p>
    <w:p w14:paraId="13918A03">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关于承包人提供的上述文件的使用限制的要求：</w:t>
      </w:r>
      <w:r>
        <w:rPr>
          <w:rFonts w:hint="eastAsia" w:ascii="宋体" w:hAnsi="宋体" w:eastAsia="宋体" w:cs="宋体"/>
          <w:bCs/>
          <w:color w:val="auto"/>
          <w:highlight w:val="none"/>
          <w:u w:val="single"/>
        </w:rPr>
        <w:t>仅限用于本项目</w:t>
      </w:r>
      <w:r>
        <w:rPr>
          <w:rFonts w:hint="eastAsia" w:ascii="宋体" w:hAnsi="宋体" w:eastAsia="宋体" w:cs="宋体"/>
          <w:color w:val="auto"/>
          <w:highlight w:val="none"/>
        </w:rPr>
        <w:t>。</w:t>
      </w:r>
    </w:p>
    <w:p w14:paraId="738B5D3B">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1.9.3承包人在施工过程中所采用的专利、专有技术、技术秘密的使用费的承担方式：</w:t>
      </w:r>
      <w:r>
        <w:rPr>
          <w:rFonts w:hint="eastAsia" w:ascii="宋体" w:hAnsi="宋体" w:eastAsia="宋体" w:cs="宋体"/>
          <w:bCs/>
          <w:color w:val="auto"/>
          <w:highlight w:val="none"/>
          <w:u w:val="single"/>
        </w:rPr>
        <w:t>已含在合同价款中由承包人承担</w:t>
      </w:r>
      <w:r>
        <w:rPr>
          <w:rFonts w:hint="eastAsia" w:ascii="宋体" w:hAnsi="宋体" w:eastAsia="宋体" w:cs="宋体"/>
          <w:color w:val="auto"/>
          <w:highlight w:val="none"/>
        </w:rPr>
        <w:t>。</w:t>
      </w:r>
    </w:p>
    <w:p w14:paraId="55998205">
      <w:pPr>
        <w:pStyle w:val="239"/>
        <w:pageBreakBefore w:val="0"/>
        <w:widowControl w:val="0"/>
        <w:spacing w:line="360" w:lineRule="auto"/>
        <w:rPr>
          <w:rFonts w:hint="eastAsia" w:ascii="宋体" w:hAnsi="宋体" w:eastAsia="宋体" w:cs="宋体"/>
          <w:bCs w:val="0"/>
          <w:color w:val="auto"/>
          <w:sz w:val="24"/>
          <w:szCs w:val="20"/>
          <w:highlight w:val="none"/>
        </w:rPr>
      </w:pPr>
      <w:bookmarkStart w:id="55" w:name="_Toc14470149"/>
      <w:r>
        <w:rPr>
          <w:rFonts w:hint="eastAsia" w:ascii="宋体" w:hAnsi="宋体" w:eastAsia="宋体" w:cs="宋体"/>
          <w:bCs w:val="0"/>
          <w:color w:val="auto"/>
          <w:sz w:val="24"/>
          <w:szCs w:val="20"/>
          <w:highlight w:val="none"/>
        </w:rPr>
        <w:t>1.10工程量清单错误的修正</w:t>
      </w:r>
      <w:bookmarkEnd w:id="55"/>
    </w:p>
    <w:p w14:paraId="06BB55AE">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出现工程量清单错误时，是否调整合同价格：</w:t>
      </w:r>
      <w:r>
        <w:rPr>
          <w:rFonts w:hint="eastAsia" w:ascii="宋体" w:hAnsi="宋体" w:eastAsia="宋体" w:cs="宋体"/>
          <w:bCs/>
          <w:color w:val="auto"/>
          <w:highlight w:val="none"/>
          <w:u w:val="single"/>
        </w:rPr>
        <w:t>按清单计价规范相应条款执行</w:t>
      </w:r>
      <w:r>
        <w:rPr>
          <w:rFonts w:hint="eastAsia" w:ascii="宋体" w:hAnsi="宋体" w:eastAsia="宋体" w:cs="宋体"/>
          <w:color w:val="auto"/>
          <w:highlight w:val="none"/>
        </w:rPr>
        <w:t>。</w:t>
      </w:r>
    </w:p>
    <w:p w14:paraId="7BBDCAEC">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允许调整合同价格的工程量偏差范围：</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123446DC">
      <w:pPr>
        <w:pStyle w:val="237"/>
        <w:pageBreakBefore w:val="0"/>
        <w:widowControl w:val="0"/>
        <w:spacing w:line="360" w:lineRule="auto"/>
        <w:rPr>
          <w:rFonts w:hint="eastAsia" w:ascii="宋体" w:hAnsi="宋体" w:eastAsia="宋体" w:cs="宋体"/>
          <w:color w:val="auto"/>
          <w:sz w:val="24"/>
          <w:highlight w:val="none"/>
        </w:rPr>
      </w:pPr>
      <w:bookmarkStart w:id="56" w:name="_Toc14470150"/>
      <w:bookmarkStart w:id="57" w:name="_Toc71558872"/>
      <w:r>
        <w:rPr>
          <w:rFonts w:hint="eastAsia" w:ascii="宋体" w:hAnsi="宋体" w:eastAsia="宋体" w:cs="宋体"/>
          <w:color w:val="auto"/>
          <w:sz w:val="24"/>
          <w:highlight w:val="none"/>
        </w:rPr>
        <w:t>2. 发包人</w:t>
      </w:r>
      <w:bookmarkEnd w:id="56"/>
      <w:bookmarkEnd w:id="57"/>
    </w:p>
    <w:p w14:paraId="3B942E47">
      <w:pPr>
        <w:pStyle w:val="239"/>
        <w:pageBreakBefore w:val="0"/>
        <w:widowControl w:val="0"/>
        <w:spacing w:line="360" w:lineRule="auto"/>
        <w:rPr>
          <w:rFonts w:hint="eastAsia" w:ascii="宋体" w:hAnsi="宋体" w:eastAsia="宋体" w:cs="宋体"/>
          <w:bCs w:val="0"/>
          <w:color w:val="auto"/>
          <w:sz w:val="24"/>
          <w:szCs w:val="20"/>
          <w:highlight w:val="none"/>
        </w:rPr>
      </w:pPr>
      <w:bookmarkStart w:id="58" w:name="_Toc14470151"/>
      <w:r>
        <w:rPr>
          <w:rFonts w:hint="eastAsia" w:ascii="宋体" w:hAnsi="宋体" w:eastAsia="宋体" w:cs="宋体"/>
          <w:bCs w:val="0"/>
          <w:color w:val="auto"/>
          <w:sz w:val="24"/>
          <w:szCs w:val="20"/>
          <w:highlight w:val="none"/>
        </w:rPr>
        <w:t>2.1 发包人代表</w:t>
      </w:r>
      <w:bookmarkEnd w:id="58"/>
    </w:p>
    <w:p w14:paraId="63DDC25E">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2.1.1发包人代表在发包人的授权范围内，负责处理合同履行过程中与发包人有关的具体事宜。发包人代表在授权范围内的行为由发包人承担法律责任。</w:t>
      </w:r>
    </w:p>
    <w:p w14:paraId="7F520D9A">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2.1.2发包人对发包人代表的授权范围如下：</w:t>
      </w:r>
    </w:p>
    <w:p w14:paraId="5A160F48">
      <w:pPr>
        <w:pageBreakBefore w:val="0"/>
        <w:widowControl w:val="0"/>
        <w:spacing w:line="360" w:lineRule="auto"/>
        <w:ind w:firstLine="420"/>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（1）行使发包人代表的权利，包括组织施工现场发包人的工作及代表发包人行使本合同授予发包人的相关权力。</w:t>
      </w:r>
    </w:p>
    <w:p w14:paraId="3D28BC85">
      <w:pPr>
        <w:pageBreakBefore w:val="0"/>
        <w:widowControl w:val="0"/>
        <w:spacing w:line="360" w:lineRule="auto"/>
        <w:ind w:firstLine="420"/>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（2）本合同实施过程中，所有应由承包人负责又需发包人派驻代表/监理审批或确认的事情均不能免除或减轻承包人应负的合同责任。</w:t>
      </w:r>
    </w:p>
    <w:p w14:paraId="541C89D9">
      <w:pPr>
        <w:pageBreakBefore w:val="0"/>
        <w:widowControl w:val="0"/>
        <w:spacing w:line="360" w:lineRule="auto"/>
        <w:ind w:firstLine="420"/>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（3）发包人权利及相关约定：</w:t>
      </w:r>
    </w:p>
    <w:p w14:paraId="7E1692F9">
      <w:pPr>
        <w:pageBreakBefore w:val="0"/>
        <w:widowControl w:val="0"/>
        <w:spacing w:line="360" w:lineRule="auto"/>
        <w:ind w:firstLine="420"/>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①对于承包人在施工阶段一切违背本合同文件条款和国家有关规定的行为，发包人有权就有关事项书面发出通知。如承包人在接获发包人要求纠正的书面通知后十天内仍未遵照执行时，则发包人有权直接请其他承包人执行该书面通知所需的任何工作，由此招请而产生的费用和发包人的相关损失，发包人可作为债务向承包人索还或在根据本合同文件内应付或届期应付承包人的款项内扣除，支付执行者。</w:t>
      </w:r>
    </w:p>
    <w:p w14:paraId="7C80BD10">
      <w:pPr>
        <w:pageBreakBefore w:val="0"/>
        <w:widowControl w:val="0"/>
        <w:spacing w:line="360" w:lineRule="auto"/>
        <w:ind w:firstLine="420"/>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②发包人可以书面形式通知承包人要求其暂停履行合同规定的全部或部分义务，通知应说明暂停履行的义务、有效日期和理由，承包人应就此暂停履行其义务（除照管工程所需的部分外）直到发包人签发恢复履行的书面通知。</w:t>
      </w:r>
    </w:p>
    <w:p w14:paraId="2DE1C57E">
      <w:pPr>
        <w:pStyle w:val="239"/>
        <w:pageBreakBefore w:val="0"/>
        <w:widowControl w:val="0"/>
        <w:spacing w:line="360" w:lineRule="auto"/>
        <w:rPr>
          <w:rFonts w:hint="eastAsia" w:ascii="宋体" w:hAnsi="宋体" w:eastAsia="宋体" w:cs="宋体"/>
          <w:bCs w:val="0"/>
          <w:color w:val="auto"/>
          <w:sz w:val="24"/>
          <w:szCs w:val="20"/>
          <w:highlight w:val="none"/>
        </w:rPr>
      </w:pPr>
      <w:bookmarkStart w:id="59" w:name="_Toc14470152"/>
      <w:r>
        <w:rPr>
          <w:rFonts w:hint="eastAsia" w:ascii="宋体" w:hAnsi="宋体" w:eastAsia="宋体" w:cs="宋体"/>
          <w:bCs w:val="0"/>
          <w:color w:val="auto"/>
          <w:sz w:val="24"/>
          <w:szCs w:val="20"/>
          <w:highlight w:val="none"/>
        </w:rPr>
        <w:t>2.2 发包人人员</w:t>
      </w:r>
      <w:bookmarkEnd w:id="59"/>
    </w:p>
    <w:p w14:paraId="18FE67D9">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2.2.1发包人应要求在施工现场的发包人人员遵守法律及有关安全、质量、环境保护、文明施工等规定，并保障承包人免于承受因发包人人员未遵守上述要求给承包人造成的损失和责任。</w:t>
      </w:r>
    </w:p>
    <w:p w14:paraId="57D1210C">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2.2.2发包人人员包括发包人代表及其他由发包人派驻施工现场的人员。</w:t>
      </w:r>
    </w:p>
    <w:p w14:paraId="6A4A052F">
      <w:pPr>
        <w:pStyle w:val="239"/>
        <w:pageBreakBefore w:val="0"/>
        <w:widowControl w:val="0"/>
        <w:spacing w:line="360" w:lineRule="auto"/>
        <w:rPr>
          <w:rFonts w:hint="eastAsia" w:ascii="宋体" w:hAnsi="宋体" w:eastAsia="宋体" w:cs="宋体"/>
          <w:bCs w:val="0"/>
          <w:color w:val="auto"/>
          <w:sz w:val="24"/>
          <w:szCs w:val="20"/>
          <w:highlight w:val="none"/>
        </w:rPr>
      </w:pPr>
      <w:bookmarkStart w:id="60" w:name="_Toc14470153"/>
      <w:r>
        <w:rPr>
          <w:rFonts w:hint="eastAsia" w:ascii="宋体" w:hAnsi="宋体" w:eastAsia="宋体" w:cs="宋体"/>
          <w:bCs w:val="0"/>
          <w:color w:val="auto"/>
          <w:sz w:val="24"/>
          <w:szCs w:val="20"/>
          <w:highlight w:val="none"/>
        </w:rPr>
        <w:t>2.3 施工现场、施工条件和基础资料的提供</w:t>
      </w:r>
      <w:bookmarkEnd w:id="60"/>
    </w:p>
    <w:p w14:paraId="0D603F51">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2.3.1提供施工现场</w:t>
      </w:r>
    </w:p>
    <w:p w14:paraId="11F45308">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发包人应向承包人提供必要的施工现场，保障必需的施工条件（施工用水、施工用电、施工交通条件等），提供现有的施工现场及工程施工所必需的毗邻区域内建筑物和地下水电管网分布等资料，并保证所提供资料的真实性、准确性和完整性。</w:t>
      </w:r>
    </w:p>
    <w:p w14:paraId="5A1CB8E7">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2.3.2提供施工条件</w:t>
      </w:r>
    </w:p>
    <w:p w14:paraId="6E587496">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关于发包人应负责提供施工所需要的条件，包括：</w:t>
      </w:r>
      <w:r>
        <w:rPr>
          <w:rFonts w:hint="eastAsia" w:ascii="宋体" w:hAnsi="宋体" w:eastAsia="宋体" w:cs="宋体"/>
          <w:bCs/>
          <w:color w:val="auto"/>
          <w:highlight w:val="none"/>
          <w:u w:val="single"/>
        </w:rPr>
        <w:t>承包人在投标前已经到工地勘察并充分了解工地位置、邻近建筑物、道路、储存空间、起卸限制及任何其他足以影响投标报价之情况。中标后，承包人不得因不了解现场情况或误解工地情况提出费用或工期索赔</w:t>
      </w:r>
      <w:r>
        <w:rPr>
          <w:rFonts w:hint="eastAsia" w:ascii="宋体" w:hAnsi="宋体" w:eastAsia="宋体" w:cs="宋体"/>
          <w:color w:val="auto"/>
          <w:highlight w:val="none"/>
        </w:rPr>
        <w:t>。</w:t>
      </w:r>
    </w:p>
    <w:p w14:paraId="60A3E6B9">
      <w:pPr>
        <w:pageBreakBefore w:val="0"/>
        <w:widowControl w:val="0"/>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开工前7天提供临时水电接驳点，施工场内临时水管、电线电缆等铺设费用及施工过程中的施工用水、用电费用由承包人自行承担解决，费用已</w:t>
      </w:r>
      <w:r>
        <w:rPr>
          <w:rFonts w:hint="eastAsia" w:ascii="宋体" w:hAnsi="宋体" w:cs="宋体"/>
          <w:color w:val="auto"/>
          <w:highlight w:val="none"/>
          <w:u w:val="single"/>
          <w:lang w:eastAsia="zh-CN"/>
        </w:rPr>
        <w:t>包含</w:t>
      </w:r>
      <w:r>
        <w:rPr>
          <w:rFonts w:hint="eastAsia" w:ascii="宋体" w:hAnsi="宋体" w:eastAsia="宋体" w:cs="宋体"/>
          <w:color w:val="auto"/>
          <w:highlight w:val="none"/>
          <w:u w:val="single"/>
        </w:rPr>
        <w:t xml:space="preserve">在合同价中，发包人不另行支付。承包人须自备发电机组设备（费用已经包括在合同价中），以保证偶然停电情况下正常施工所需用电以及为满足合同工期要求赶工所需用电，自行发电所产生的费用由承包人承担，已包含在合同价中。发包人不提供电讯线路接驳点，承包人负责接驳到现场的工作，相关一切费用已包含在承包人合同价中，发包人不另行支付 </w:t>
      </w:r>
      <w:r>
        <w:rPr>
          <w:rFonts w:hint="eastAsia" w:ascii="宋体" w:hAnsi="宋体" w:eastAsia="宋体" w:cs="宋体"/>
          <w:color w:val="auto"/>
          <w:highlight w:val="none"/>
        </w:rPr>
        <w:t>。</w:t>
      </w:r>
    </w:p>
    <w:p w14:paraId="717D6DFA">
      <w:pPr>
        <w:pStyle w:val="237"/>
        <w:pageBreakBefore w:val="0"/>
        <w:widowControl w:val="0"/>
        <w:spacing w:line="360" w:lineRule="auto"/>
        <w:rPr>
          <w:rFonts w:hint="eastAsia" w:ascii="宋体" w:hAnsi="宋体" w:eastAsia="宋体" w:cs="宋体"/>
          <w:color w:val="auto"/>
          <w:sz w:val="24"/>
          <w:highlight w:val="none"/>
        </w:rPr>
      </w:pPr>
      <w:bookmarkStart w:id="61" w:name="_Toc14470154"/>
      <w:bookmarkStart w:id="62" w:name="_Toc71558873"/>
      <w:r>
        <w:rPr>
          <w:rFonts w:hint="eastAsia" w:ascii="宋体" w:hAnsi="宋体" w:eastAsia="宋体" w:cs="宋体"/>
          <w:color w:val="auto"/>
          <w:sz w:val="24"/>
          <w:highlight w:val="none"/>
        </w:rPr>
        <w:t>3. 承包人</w:t>
      </w:r>
      <w:bookmarkEnd w:id="61"/>
      <w:bookmarkEnd w:id="62"/>
    </w:p>
    <w:p w14:paraId="7BC225F6">
      <w:pPr>
        <w:pStyle w:val="239"/>
        <w:pageBreakBefore w:val="0"/>
        <w:widowControl w:val="0"/>
        <w:spacing w:line="360" w:lineRule="auto"/>
        <w:rPr>
          <w:rFonts w:hint="eastAsia" w:ascii="宋体" w:hAnsi="宋体" w:eastAsia="宋体" w:cs="宋体"/>
          <w:bCs w:val="0"/>
          <w:color w:val="auto"/>
          <w:sz w:val="24"/>
          <w:szCs w:val="20"/>
          <w:highlight w:val="none"/>
        </w:rPr>
      </w:pPr>
      <w:bookmarkStart w:id="63" w:name="_Toc14470155"/>
      <w:r>
        <w:rPr>
          <w:rFonts w:hint="eastAsia" w:ascii="宋体" w:hAnsi="宋体" w:eastAsia="宋体" w:cs="宋体"/>
          <w:bCs w:val="0"/>
          <w:color w:val="auto"/>
          <w:sz w:val="24"/>
          <w:szCs w:val="20"/>
          <w:highlight w:val="none"/>
        </w:rPr>
        <w:t>3.1 承包人的一般义务</w:t>
      </w:r>
      <w:bookmarkEnd w:id="63"/>
    </w:p>
    <w:p w14:paraId="7FA4EC07">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（1）承包人提交的竣工资料的内容：</w:t>
      </w:r>
      <w:r>
        <w:rPr>
          <w:rFonts w:hint="eastAsia" w:ascii="宋体" w:hAnsi="宋体" w:eastAsia="宋体" w:cs="宋体"/>
          <w:bCs/>
          <w:color w:val="auto"/>
          <w:highlight w:val="none"/>
          <w:u w:val="single"/>
        </w:rPr>
        <w:t>按照建设主管部门相关文件要求，</w:t>
      </w:r>
      <w:r>
        <w:rPr>
          <w:rFonts w:hint="eastAsia" w:ascii="宋体" w:hAnsi="宋体" w:eastAsia="宋体" w:cs="宋体"/>
          <w:color w:val="auto"/>
          <w:highlight w:val="none"/>
          <w:u w:val="single"/>
        </w:rPr>
        <w:t>符合无锡市建设工程档案归档规范要求及无锡市城建档案馆要求的竣工图纸及资料，并向发包人提供竣工图及资料的电子版</w:t>
      </w:r>
      <w:r>
        <w:rPr>
          <w:rFonts w:hint="eastAsia" w:ascii="宋体" w:hAnsi="宋体" w:eastAsia="宋体" w:cs="宋体"/>
          <w:color w:val="auto"/>
          <w:highlight w:val="none"/>
        </w:rPr>
        <w:t>。</w:t>
      </w:r>
    </w:p>
    <w:p w14:paraId="7496664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承包人需要提交的竣工资料套数：</w:t>
      </w:r>
      <w:r>
        <w:rPr>
          <w:rFonts w:hint="eastAsia" w:ascii="宋体" w:hAnsi="宋体" w:eastAsia="宋体" w:cs="宋体"/>
          <w:bCs/>
          <w:color w:val="auto"/>
          <w:highlight w:val="none"/>
          <w:u w:val="single"/>
        </w:rPr>
        <w:t>叁套。</w:t>
      </w:r>
    </w:p>
    <w:p w14:paraId="182C092D">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承包人提交的竣工资料的费用承担：</w:t>
      </w:r>
      <w:r>
        <w:rPr>
          <w:rFonts w:hint="eastAsia" w:ascii="宋体" w:hAnsi="宋体" w:eastAsia="宋体" w:cs="宋体"/>
          <w:bCs/>
          <w:color w:val="auto"/>
          <w:highlight w:val="none"/>
          <w:u w:val="single"/>
        </w:rPr>
        <w:t>由承包人承担</w:t>
      </w:r>
      <w:r>
        <w:rPr>
          <w:rFonts w:hint="eastAsia" w:ascii="宋体" w:hAnsi="宋体" w:eastAsia="宋体" w:cs="宋体"/>
          <w:color w:val="auto"/>
          <w:highlight w:val="none"/>
        </w:rPr>
        <w:t>。</w:t>
      </w:r>
    </w:p>
    <w:p w14:paraId="7F438F44">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承包人提交的竣工资料移交时间：</w:t>
      </w:r>
      <w:r>
        <w:rPr>
          <w:rFonts w:hint="eastAsia" w:ascii="宋体" w:hAnsi="宋体" w:eastAsia="宋体" w:cs="宋体"/>
          <w:bCs/>
          <w:color w:val="auto"/>
          <w:highlight w:val="none"/>
          <w:u w:val="single"/>
        </w:rPr>
        <w:t>竣工验收合格后28日内</w:t>
      </w:r>
      <w:r>
        <w:rPr>
          <w:rFonts w:hint="eastAsia" w:ascii="宋体" w:hAnsi="宋体" w:eastAsia="宋体" w:cs="宋体"/>
          <w:color w:val="auto"/>
          <w:highlight w:val="none"/>
        </w:rPr>
        <w:t>。</w:t>
      </w:r>
    </w:p>
    <w:p w14:paraId="7D1AFC18">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承包人提交的竣工资料形式要求：</w:t>
      </w:r>
      <w:r>
        <w:rPr>
          <w:rFonts w:hint="eastAsia" w:ascii="宋体" w:hAnsi="宋体" w:eastAsia="宋体" w:cs="宋体"/>
          <w:color w:val="auto"/>
          <w:highlight w:val="none"/>
          <w:u w:val="single"/>
        </w:rPr>
        <w:t>书面资料和电子文档。应按发包人要求提供的完整结算资料（包括但不限于经确认后的竣工图纸、整套竣工结算送审文件、档案室移交证明等），否则视为未完全竣工。</w:t>
      </w:r>
    </w:p>
    <w:p w14:paraId="6D962D82">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 xml:space="preserve">（2）承包人应履行的其他义务： </w:t>
      </w:r>
    </w:p>
    <w:p w14:paraId="3DE0FE74">
      <w:pPr>
        <w:pageBreakBefore w:val="0"/>
        <w:widowControl w:val="0"/>
        <w:tabs>
          <w:tab w:val="left" w:pos="8280"/>
        </w:tabs>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1）承包人宗旨：保证与发包人密切配合，服从统一指挥、统一安排，高标准、严要求、安全优质、快速地完成该合同工程的施工建设，确保发包人满意。</w:t>
      </w:r>
    </w:p>
    <w:p w14:paraId="7575D708">
      <w:pPr>
        <w:pageBreakBefore w:val="0"/>
        <w:widowControl w:val="0"/>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2）本工程确保一次验收100％达到合格标准，如因承包方原因一次验收达不到合格工程标准，则承包方必须返修整改达到合格标准为止，才能交付发包方，其返修费用均由承包方自行承担。返修工期计入总工期考核，并支付发包方质量违约金。</w:t>
      </w:r>
    </w:p>
    <w:p w14:paraId="2FCD0A49">
      <w:pPr>
        <w:pageBreakBefore w:val="0"/>
        <w:widowControl w:val="0"/>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3）工程竣工验收通过后，承包方在28天内提供全部结算资料，由发包方委托具备相应资质的第三方咨询机构进行项目结算审核。</w:t>
      </w:r>
    </w:p>
    <w:p w14:paraId="21B112BE">
      <w:pPr>
        <w:pageBreakBefore w:val="0"/>
        <w:widowControl w:val="0"/>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4）涉及工程价款的签证，应由监理方审核签署、跟踪审计复核、发包方确认作为结算依据。所有签证承包方必须在事件发生后3天内报出签证申请，逾期作为让利。超出规定额度的还需由建设行政主管部门审核确认后方可作为结算依据。</w:t>
      </w:r>
    </w:p>
    <w:p w14:paraId="2F4623B4">
      <w:pPr>
        <w:pageBreakBefore w:val="0"/>
        <w:widowControl w:val="0"/>
        <w:tabs>
          <w:tab w:val="left" w:pos="8280"/>
        </w:tabs>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5）施工期间，承包方要做到文明施工，并符合市创建卫生城市的要求，材料堆放整齐，做好工地文明创建工作，在施工过程中如受到有关部门的通报批评，则每次按该工程总建筑面积0.5元／M2扣款。工程车辆上路行驶时抛、洒、滴、漏，涉及环卫方面的问题，由承包人负责解决及承担可能出现的费用。</w:t>
      </w:r>
    </w:p>
    <w:p w14:paraId="4D645230">
      <w:pPr>
        <w:pageBreakBefore w:val="0"/>
        <w:widowControl w:val="0"/>
        <w:tabs>
          <w:tab w:val="left" w:pos="8280"/>
        </w:tabs>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6）严格施工安全，承包人应对施工人员进行安全教育，避免发生人身伤亡事故和火灾事故，并应参加建筑、安装工程保险，施工中发生的质量、安全事故及责任和经济损失均由承包人负责，并按相关管理部门论定的责任相应处理。</w:t>
      </w:r>
    </w:p>
    <w:p w14:paraId="2F2FE523">
      <w:pPr>
        <w:pageBreakBefore w:val="0"/>
        <w:widowControl w:val="0"/>
        <w:tabs>
          <w:tab w:val="left" w:pos="8280"/>
        </w:tabs>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7）中标方项目负责人和投标时的项目负责人应为同一人；在项目实施过程中，发包单位要加强项目负责人考勤并做好现场记录；中标方项目负责人 若有变动，需经发包单位审批同意，且中标单位须提供新项目负责人近3个月的社保缴费凭证，否则作违约处理，施工单位清理出场，承担一切直接、间接的经济损失。项目负责人必须保证每周有40小时在施工现场，专职安全员必须与施工同步在岗，由总监和甲方代表考核，缺勤乙方支付违约金1000元/小时给甲方，如有事应征得总监或业主同意。</w:t>
      </w:r>
    </w:p>
    <w:p w14:paraId="5655872E">
      <w:pPr>
        <w:pageBreakBefore w:val="0"/>
        <w:widowControl w:val="0"/>
        <w:tabs>
          <w:tab w:val="left" w:pos="8280"/>
        </w:tabs>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8）工期：</w:t>
      </w:r>
      <w:r>
        <w:rPr>
          <w:rFonts w:hint="eastAsia" w:ascii="宋体" w:hAnsi="宋体" w:cs="宋体"/>
          <w:color w:val="auto"/>
          <w:highlight w:val="none"/>
          <w:u w:val="single"/>
          <w:lang w:val="en-US" w:eastAsia="zh-CN"/>
        </w:rPr>
        <w:t>45日历天</w:t>
      </w:r>
      <w:r>
        <w:rPr>
          <w:rFonts w:hint="eastAsia" w:ascii="宋体" w:hAnsi="宋体" w:eastAsia="宋体" w:cs="宋体"/>
          <w:color w:val="auto"/>
          <w:highlight w:val="none"/>
          <w:u w:val="single"/>
        </w:rPr>
        <w:t>；计划开工时间以甲方开工令为准。延误工期承包方应按照2000元/天支付违约金给发包方，误期赔偿费上限为合同价5%。</w:t>
      </w:r>
    </w:p>
    <w:p w14:paraId="528E4F37">
      <w:pPr>
        <w:pageBreakBefore w:val="0"/>
        <w:widowControl w:val="0"/>
        <w:tabs>
          <w:tab w:val="left" w:pos="8280"/>
        </w:tabs>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9）除通用条款约定的不可抗力外，另要约定的不可抗力由发包方、承包方及监理视事件情况共同论定。</w:t>
      </w:r>
    </w:p>
    <w:p w14:paraId="474391D4">
      <w:pPr>
        <w:pageBreakBefore w:val="0"/>
        <w:widowControl w:val="0"/>
        <w:tabs>
          <w:tab w:val="left" w:pos="8280"/>
        </w:tabs>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10）承包人采购或发包人供应的建筑材料，必须符合现行国家质量标准的要求。材料进场时必须附有出厂合格证，并按规定会同发包人（监理）工地代表共同抽样，送质检部门认可有效的检测单位复验，当发包人或质检部门按高于规范和规定的要求另行要求检验试验所发生的复验费以及新材料、新工艺、新设备的试验费，其费用按江苏省物价局、江苏省建设厅苏价物〔2001〕113号关于核定《江苏省建设工程质量检测和建筑材料试验收费标准》的通知规定由发包人承担费用；其余根据有关国家标准或验收规范要求的检验项目的试验费用由承包人承担。经复验合格后的材料，并对该进场后的复验材料进行实物检查，与复验结果相符的才能使用。遵循谁采购谁负责的原则，不合格的材料、设备由材料来源的采购方组织处理、清出现场。</w:t>
      </w:r>
    </w:p>
    <w:p w14:paraId="25A7AAC8">
      <w:pPr>
        <w:pageBreakBefore w:val="0"/>
        <w:widowControl w:val="0"/>
        <w:tabs>
          <w:tab w:val="left" w:pos="8280"/>
        </w:tabs>
        <w:spacing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11）对施工过程中的主要质量控制的主要要求：施工方法、施工顺序承包人必须严格按发包人（监理）工地代表批准的施工组织设计（施工方案）组织施工，并由发包人（监理）工地代表监督实施。</w:t>
      </w:r>
    </w:p>
    <w:p w14:paraId="4F6BC188">
      <w:pPr>
        <w:pageBreakBefore w:val="0"/>
        <w:widowControl w:val="0"/>
        <w:tabs>
          <w:tab w:val="left" w:pos="8280"/>
        </w:tabs>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12）工程竣工后承包人逾期（28天）提交合同范围内的工程竣工结算时，发包人可相应延期支付承包人的工程款。</w:t>
      </w:r>
    </w:p>
    <w:p w14:paraId="478C93B9">
      <w:pPr>
        <w:pageBreakBefore w:val="0"/>
        <w:widowControl w:val="0"/>
        <w:tabs>
          <w:tab w:val="left" w:pos="8280"/>
        </w:tabs>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13）有暂估价的材料按暂估价报价，中标后由发包方、承包方双方共同看样订货，发包方以确认单的形式明确材料的结算价格。</w:t>
      </w:r>
    </w:p>
    <w:p w14:paraId="693F5B48">
      <w:pPr>
        <w:pageBreakBefore w:val="0"/>
        <w:widowControl w:val="0"/>
        <w:tabs>
          <w:tab w:val="left" w:pos="8280"/>
        </w:tabs>
        <w:spacing w:line="360" w:lineRule="auto"/>
        <w:ind w:firstLine="63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14）关于农民工工资事项合同条款：a.承包人是本工程农民工管理的责任人，全面负责施工过程中农民工的管理、用工合同管理和农民工工资发放等工作；b.承包人在施工过程中，必须确保按规定、按时支付农民工工资，农民工工资必须直接发放到农民工本人手中；c.发包人按合同约定支付工程款的，因承包人拖欠农民工工资而发生农民工上诉、上访情况，由发包人先行垫付农民工工资及相关费用，垫付费用由发包人按垫付总额乘以N（具体数额见《系数N取值表》）系数向承包人收回，从工程款中直接扣除；d.发包人未按《合同》约定按时支付工程款，造成承包人拖欠农民工工资的，由发包人无条件支付农民工工资及相关费用，并支付承包人直接经济损失，且不得向承包人追讨，不得从工程款中扣除。</w:t>
      </w:r>
    </w:p>
    <w:p w14:paraId="58DB0214">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15）</w:t>
      </w:r>
      <w:r>
        <w:rPr>
          <w:rFonts w:hint="eastAsia" w:ascii="宋体" w:hAnsi="宋体" w:cs="宋体"/>
          <w:color w:val="auto"/>
          <w:highlight w:val="none"/>
          <w:u w:val="single"/>
          <w:lang w:eastAsia="zh-CN"/>
        </w:rPr>
        <w:t>报价供应商</w:t>
      </w:r>
      <w:r>
        <w:rPr>
          <w:rFonts w:hint="eastAsia" w:ascii="宋体" w:hAnsi="宋体" w:eastAsia="宋体" w:cs="宋体"/>
          <w:color w:val="auto"/>
          <w:highlight w:val="none"/>
          <w:u w:val="single"/>
        </w:rPr>
        <w:t>对施工现场临时用水、用电工作进行统一管理和支付费用，采购人收取的水电费按照定额扣除</w:t>
      </w:r>
      <w:r>
        <w:rPr>
          <w:rFonts w:hint="eastAsia" w:ascii="宋体" w:hAnsi="宋体" w:eastAsia="宋体" w:cs="宋体"/>
          <w:bCs/>
          <w:color w:val="auto"/>
          <w:highlight w:val="none"/>
          <w:u w:val="single"/>
        </w:rPr>
        <w:t>。</w:t>
      </w:r>
    </w:p>
    <w:p w14:paraId="43E2FBF1">
      <w:pPr>
        <w:pStyle w:val="239"/>
        <w:pageBreakBefore w:val="0"/>
        <w:widowControl w:val="0"/>
        <w:spacing w:line="360" w:lineRule="auto"/>
        <w:rPr>
          <w:rFonts w:hint="eastAsia" w:ascii="宋体" w:hAnsi="宋体" w:eastAsia="宋体" w:cs="宋体"/>
          <w:bCs w:val="0"/>
          <w:color w:val="auto"/>
          <w:sz w:val="24"/>
          <w:szCs w:val="20"/>
          <w:highlight w:val="none"/>
        </w:rPr>
      </w:pPr>
      <w:bookmarkStart w:id="64" w:name="_Toc14470156"/>
      <w:r>
        <w:rPr>
          <w:rFonts w:hint="eastAsia" w:ascii="宋体" w:hAnsi="宋体" w:eastAsia="宋体" w:cs="宋体"/>
          <w:bCs w:val="0"/>
          <w:color w:val="auto"/>
          <w:sz w:val="24"/>
          <w:szCs w:val="20"/>
          <w:highlight w:val="none"/>
        </w:rPr>
        <w:t>3.2 项目经理</w:t>
      </w:r>
      <w:bookmarkEnd w:id="64"/>
    </w:p>
    <w:p w14:paraId="74969984">
      <w:pPr>
        <w:pageBreakBefore w:val="0"/>
        <w:widowControl w:val="0"/>
        <w:spacing w:line="360" w:lineRule="auto"/>
        <w:ind w:firstLine="422"/>
        <w:rPr>
          <w:rFonts w:hint="eastAsia" w:ascii="宋体" w:hAnsi="宋体" w:eastAsia="宋体" w:cs="宋体"/>
          <w:b/>
          <w:bCs/>
          <w:color w:val="auto"/>
          <w:highlight w:val="none"/>
        </w:rPr>
      </w:pPr>
      <w:r>
        <w:rPr>
          <w:rFonts w:hint="eastAsia" w:ascii="宋体" w:hAnsi="宋体" w:eastAsia="宋体" w:cs="宋体"/>
          <w:b/>
          <w:bCs/>
          <w:color w:val="auto"/>
          <w:highlight w:val="none"/>
        </w:rPr>
        <w:t>3.2.1 项目经理：</w:t>
      </w:r>
    </w:p>
    <w:p w14:paraId="6741F610">
      <w:pPr>
        <w:pageBreakBefore w:val="0"/>
        <w:widowControl w:val="0"/>
        <w:spacing w:line="360" w:lineRule="auto"/>
        <w:ind w:firstLine="420"/>
        <w:rPr>
          <w:rFonts w:hint="eastAsia" w:ascii="宋体" w:hAnsi="宋体" w:eastAsia="宋体" w:cs="宋体"/>
          <w:b/>
          <w:bCs/>
          <w:color w:val="auto"/>
          <w:highlight w:val="none"/>
        </w:rPr>
      </w:pPr>
      <w:r>
        <w:rPr>
          <w:rFonts w:hint="eastAsia" w:ascii="宋体" w:hAnsi="宋体" w:eastAsia="宋体" w:cs="宋体"/>
          <w:b/>
          <w:bCs/>
          <w:color w:val="auto"/>
          <w:highlight w:val="none"/>
        </w:rPr>
        <w:t>姓    名：</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w:t>
      </w:r>
    </w:p>
    <w:p w14:paraId="2BD32FDA">
      <w:pPr>
        <w:pageBreakBefore w:val="0"/>
        <w:widowControl w:val="0"/>
        <w:spacing w:line="360" w:lineRule="auto"/>
        <w:ind w:firstLine="420"/>
        <w:rPr>
          <w:rFonts w:hint="eastAsia" w:ascii="宋体" w:hAnsi="宋体" w:eastAsia="宋体" w:cs="宋体"/>
          <w:b/>
          <w:bCs/>
          <w:color w:val="auto"/>
          <w:highlight w:val="none"/>
        </w:rPr>
      </w:pPr>
      <w:r>
        <w:rPr>
          <w:rFonts w:hint="eastAsia" w:ascii="宋体" w:hAnsi="宋体" w:eastAsia="宋体" w:cs="宋体"/>
          <w:b/>
          <w:bCs/>
          <w:color w:val="auto"/>
          <w:highlight w:val="none"/>
        </w:rPr>
        <w:t>身份证号：</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w:t>
      </w:r>
    </w:p>
    <w:p w14:paraId="3FC89C12">
      <w:pPr>
        <w:pageBreakBefore w:val="0"/>
        <w:widowControl w:val="0"/>
        <w:spacing w:line="360" w:lineRule="auto"/>
        <w:ind w:firstLine="420"/>
        <w:rPr>
          <w:rFonts w:hint="eastAsia" w:ascii="宋体" w:hAnsi="宋体" w:eastAsia="宋体" w:cs="宋体"/>
          <w:b/>
          <w:bCs/>
          <w:color w:val="auto"/>
          <w:highlight w:val="none"/>
        </w:rPr>
      </w:pPr>
      <w:r>
        <w:rPr>
          <w:rFonts w:hint="eastAsia" w:ascii="宋体" w:hAnsi="宋体" w:eastAsia="宋体" w:cs="宋体"/>
          <w:b/>
          <w:bCs/>
          <w:color w:val="auto"/>
          <w:highlight w:val="none"/>
        </w:rPr>
        <w:t>建造师执业资格等级：</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w:t>
      </w:r>
    </w:p>
    <w:p w14:paraId="679C4897">
      <w:pPr>
        <w:pageBreakBefore w:val="0"/>
        <w:widowControl w:val="0"/>
        <w:spacing w:line="360" w:lineRule="auto"/>
        <w:ind w:firstLine="420"/>
        <w:rPr>
          <w:rFonts w:hint="eastAsia" w:ascii="宋体" w:hAnsi="宋体" w:eastAsia="宋体" w:cs="宋体"/>
          <w:b/>
          <w:bCs/>
          <w:color w:val="auto"/>
          <w:highlight w:val="none"/>
        </w:rPr>
      </w:pPr>
      <w:r>
        <w:rPr>
          <w:rFonts w:hint="eastAsia" w:ascii="宋体" w:hAnsi="宋体" w:eastAsia="宋体" w:cs="宋体"/>
          <w:b/>
          <w:bCs/>
          <w:color w:val="auto"/>
          <w:highlight w:val="none"/>
        </w:rPr>
        <w:t>建造师注册证书号：</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w:t>
      </w:r>
    </w:p>
    <w:p w14:paraId="4B437596">
      <w:pPr>
        <w:pageBreakBefore w:val="0"/>
        <w:widowControl w:val="0"/>
        <w:spacing w:line="360" w:lineRule="auto"/>
        <w:ind w:firstLine="420"/>
        <w:rPr>
          <w:rFonts w:hint="eastAsia" w:ascii="宋体" w:hAnsi="宋体" w:eastAsia="宋体" w:cs="宋体"/>
          <w:b/>
          <w:bCs/>
          <w:color w:val="auto"/>
          <w:highlight w:val="none"/>
        </w:rPr>
      </w:pPr>
      <w:r>
        <w:rPr>
          <w:rFonts w:hint="eastAsia" w:ascii="宋体" w:hAnsi="宋体" w:eastAsia="宋体" w:cs="宋体"/>
          <w:b/>
          <w:bCs/>
          <w:color w:val="auto"/>
          <w:highlight w:val="none"/>
        </w:rPr>
        <w:t>建造师执业印章号：</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w:t>
      </w:r>
    </w:p>
    <w:p w14:paraId="6AB019E5">
      <w:pPr>
        <w:pageBreakBefore w:val="0"/>
        <w:widowControl w:val="0"/>
        <w:spacing w:line="360" w:lineRule="auto"/>
        <w:ind w:firstLine="420"/>
        <w:rPr>
          <w:rFonts w:hint="eastAsia" w:ascii="宋体" w:hAnsi="宋体" w:eastAsia="宋体" w:cs="宋体"/>
          <w:b/>
          <w:bCs/>
          <w:color w:val="auto"/>
          <w:highlight w:val="none"/>
        </w:rPr>
      </w:pPr>
      <w:r>
        <w:rPr>
          <w:rFonts w:hint="eastAsia" w:ascii="宋体" w:hAnsi="宋体" w:eastAsia="宋体" w:cs="宋体"/>
          <w:b/>
          <w:bCs/>
          <w:color w:val="auto"/>
          <w:highlight w:val="none"/>
        </w:rPr>
        <w:t>安全生产考核合格证书号：</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w:t>
      </w:r>
    </w:p>
    <w:p w14:paraId="58EB8E5C">
      <w:pPr>
        <w:pageBreakBefore w:val="0"/>
        <w:widowControl w:val="0"/>
        <w:spacing w:line="360" w:lineRule="auto"/>
        <w:ind w:firstLine="420"/>
        <w:rPr>
          <w:rFonts w:hint="eastAsia" w:ascii="宋体" w:hAnsi="宋体" w:eastAsia="宋体" w:cs="宋体"/>
          <w:b/>
          <w:bCs/>
          <w:color w:val="auto"/>
          <w:highlight w:val="none"/>
        </w:rPr>
      </w:pPr>
      <w:r>
        <w:rPr>
          <w:rFonts w:hint="eastAsia" w:ascii="宋体" w:hAnsi="宋体" w:eastAsia="宋体" w:cs="宋体"/>
          <w:b/>
          <w:bCs/>
          <w:color w:val="auto"/>
          <w:highlight w:val="none"/>
        </w:rPr>
        <w:t>联系电话：</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w:t>
      </w:r>
    </w:p>
    <w:p w14:paraId="50E4344E">
      <w:pPr>
        <w:pageBreakBefore w:val="0"/>
        <w:widowControl w:val="0"/>
        <w:spacing w:line="360" w:lineRule="auto"/>
        <w:ind w:firstLine="420"/>
        <w:rPr>
          <w:rFonts w:hint="eastAsia" w:ascii="宋体" w:hAnsi="宋体" w:eastAsia="宋体" w:cs="宋体"/>
          <w:b/>
          <w:bCs/>
          <w:color w:val="auto"/>
          <w:highlight w:val="none"/>
        </w:rPr>
      </w:pPr>
      <w:r>
        <w:rPr>
          <w:rFonts w:hint="eastAsia" w:ascii="宋体" w:hAnsi="宋体" w:eastAsia="宋体" w:cs="宋体"/>
          <w:b/>
          <w:bCs/>
          <w:color w:val="auto"/>
          <w:highlight w:val="none"/>
        </w:rPr>
        <w:t>电子信箱：</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w:t>
      </w:r>
    </w:p>
    <w:p w14:paraId="57307567">
      <w:pPr>
        <w:pageBreakBefore w:val="0"/>
        <w:widowControl w:val="0"/>
        <w:spacing w:line="360" w:lineRule="auto"/>
        <w:ind w:firstLine="420"/>
        <w:rPr>
          <w:rFonts w:hint="eastAsia" w:ascii="宋体" w:hAnsi="宋体" w:eastAsia="宋体" w:cs="宋体"/>
          <w:b/>
          <w:bCs/>
          <w:color w:val="auto"/>
          <w:highlight w:val="none"/>
        </w:rPr>
      </w:pPr>
      <w:r>
        <w:rPr>
          <w:rFonts w:hint="eastAsia" w:ascii="宋体" w:hAnsi="宋体" w:eastAsia="宋体" w:cs="宋体"/>
          <w:b/>
          <w:bCs/>
          <w:color w:val="auto"/>
          <w:highlight w:val="none"/>
        </w:rPr>
        <w:t>通信地址：</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w:t>
      </w:r>
    </w:p>
    <w:p w14:paraId="4EB91D8D">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承包人对项目负责人的授权范围如下：</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5597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作为承包人在项目的授权代表，全面履行工程项目的承包管理职责，为工程参与各方做好协调和服务，在资金、质量、安全、环境保护、文明施工等合约目标范围向发包人直接负责</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BA899BF">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关于项目负责人每月在施工现场的时间要求：</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5598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项目经理本人每周至少40小时在本工程现场工作，且必须参加工地例会（有事须请假）</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rPr>
        <w:t>。</w:t>
      </w:r>
    </w:p>
    <w:p w14:paraId="00ACDFF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承包人未提交劳动合同，以及没有为项目负责人缴纳社会保险证明的违约责任：</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5599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发包人有权解除合同，追究违约责任，并报监管部门备案。</w:t>
      </w:r>
      <w:r>
        <w:rPr>
          <w:rFonts w:hint="eastAsia" w:ascii="宋体" w:hAnsi="宋体" w:eastAsia="宋体" w:cs="宋体"/>
          <w:color w:val="auto"/>
          <w:highlight w:val="none"/>
          <w:u w:val="single"/>
        </w:rPr>
        <w:fldChar w:fldCharType="end"/>
      </w:r>
    </w:p>
    <w:p w14:paraId="2F2A946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3.2.2承包人擅自更换项目负责人的违约责任：</w:t>
      </w:r>
    </w:p>
    <w:p w14:paraId="7F4BEDA9">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5601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中标的项目经理和</w:t>
      </w:r>
      <w:r>
        <w:rPr>
          <w:rFonts w:hint="eastAsia" w:ascii="宋体" w:hAnsi="宋体" w:cs="宋体"/>
          <w:color w:val="auto"/>
          <w:highlight w:val="none"/>
          <w:u w:val="single"/>
          <w:lang w:eastAsia="zh-CN"/>
        </w:rPr>
        <w:t>响应文件</w:t>
      </w:r>
      <w:r>
        <w:rPr>
          <w:rFonts w:hint="eastAsia" w:ascii="宋体" w:hAnsi="宋体" w:eastAsia="宋体" w:cs="宋体"/>
          <w:color w:val="auto"/>
          <w:highlight w:val="none"/>
          <w:u w:val="single"/>
        </w:rPr>
        <w:t>中约定的施工管理人员不得擅自更换，否则发包人有权解除合同，承包人应赔偿发包人的损失；如有特殊原因确需更换，承包人应向发包人提出书面申请，发包人同意后方可更换。</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2D28236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3.2.3承包人无正当理由拒绝更换项目负责人的违约责任：</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5602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发包人有权解除合同，追究违约责任，并报监管部门备案 。</w:t>
      </w:r>
      <w:r>
        <w:rPr>
          <w:rFonts w:hint="eastAsia" w:ascii="宋体" w:hAnsi="宋体" w:eastAsia="宋体" w:cs="宋体"/>
          <w:color w:val="auto"/>
          <w:highlight w:val="none"/>
          <w:u w:val="single"/>
        </w:rPr>
        <w:fldChar w:fldCharType="end"/>
      </w:r>
    </w:p>
    <w:p w14:paraId="557E23F3">
      <w:pPr>
        <w:pStyle w:val="239"/>
        <w:pageBreakBefore w:val="0"/>
        <w:widowControl w:val="0"/>
        <w:spacing w:line="360" w:lineRule="auto"/>
        <w:rPr>
          <w:rFonts w:hint="eastAsia" w:ascii="宋体" w:hAnsi="宋体" w:eastAsia="宋体" w:cs="宋体"/>
          <w:bCs w:val="0"/>
          <w:color w:val="auto"/>
          <w:sz w:val="24"/>
          <w:szCs w:val="20"/>
          <w:highlight w:val="none"/>
        </w:rPr>
      </w:pPr>
      <w:bookmarkStart w:id="65" w:name="_Toc14470157"/>
      <w:r>
        <w:rPr>
          <w:rFonts w:hint="eastAsia" w:ascii="宋体" w:hAnsi="宋体" w:eastAsia="宋体" w:cs="宋体"/>
          <w:bCs w:val="0"/>
          <w:color w:val="auto"/>
          <w:sz w:val="24"/>
          <w:szCs w:val="20"/>
          <w:highlight w:val="none"/>
        </w:rPr>
        <w:t>3.3承包人人员</w:t>
      </w:r>
      <w:bookmarkEnd w:id="65"/>
    </w:p>
    <w:p w14:paraId="0D376608">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3.3.1承包人提交项目管理机构及施工现场管理人员安排报告的期限：</w:t>
      </w:r>
      <w:r>
        <w:rPr>
          <w:rFonts w:hint="eastAsia" w:ascii="宋体" w:hAnsi="宋体" w:eastAsia="宋体" w:cs="宋体"/>
          <w:bCs/>
          <w:color w:val="auto"/>
          <w:highlight w:val="none"/>
          <w:u w:val="single"/>
        </w:rPr>
        <w:t>接到开工通知7天内</w:t>
      </w:r>
    </w:p>
    <w:p w14:paraId="78CB3FC9">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3.3.2承包人无正当理由拒绝撤换主要施工管理人员的违约责任：</w:t>
      </w:r>
      <w:r>
        <w:rPr>
          <w:rFonts w:hint="eastAsia" w:ascii="宋体" w:hAnsi="宋体" w:eastAsia="宋体" w:cs="宋体"/>
          <w:bCs/>
          <w:color w:val="auto"/>
          <w:highlight w:val="none"/>
          <w:u w:val="single"/>
        </w:rPr>
        <w:t>承包人按照每人次5000元向发包人支付违约金（从当期进度款扣除）。</w:t>
      </w:r>
    </w:p>
    <w:p w14:paraId="58A0953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3.3.3承包人主要施工管理人员离开施工现场的批准要求：</w:t>
      </w:r>
      <w:r>
        <w:rPr>
          <w:rFonts w:hint="eastAsia" w:ascii="宋体" w:hAnsi="宋体" w:eastAsia="宋体" w:cs="宋体"/>
          <w:color w:val="auto"/>
          <w:highlight w:val="none"/>
          <w:u w:val="single"/>
        </w:rPr>
        <w:t>经</w:t>
      </w:r>
      <w:r>
        <w:rPr>
          <w:rFonts w:hint="eastAsia" w:ascii="宋体" w:hAnsi="宋体" w:eastAsia="宋体" w:cs="宋体"/>
          <w:bCs/>
          <w:color w:val="auto"/>
          <w:highlight w:val="none"/>
          <w:u w:val="single"/>
        </w:rPr>
        <w:t>发包人或监理单位批准方可离开现场。</w:t>
      </w:r>
    </w:p>
    <w:p w14:paraId="3CCAF60B">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3.3.4承包人擅自更换主要施工管理人员的违约责任：</w:t>
      </w:r>
      <w:r>
        <w:rPr>
          <w:rFonts w:hint="eastAsia" w:ascii="宋体" w:hAnsi="宋体" w:cs="宋体"/>
          <w:bCs/>
          <w:color w:val="auto"/>
          <w:highlight w:val="none"/>
          <w:u w:val="single"/>
          <w:lang w:eastAsia="zh-CN"/>
        </w:rPr>
        <w:t>响应文件</w:t>
      </w:r>
      <w:r>
        <w:rPr>
          <w:rFonts w:hint="eastAsia" w:ascii="宋体" w:hAnsi="宋体" w:eastAsia="宋体" w:cs="宋体"/>
          <w:bCs/>
          <w:color w:val="auto"/>
          <w:highlight w:val="none"/>
          <w:u w:val="single"/>
        </w:rPr>
        <w:t>中约定的施工管理人员不得擅自更换，如有特殊原因确需更换，承包人应向发包人提出书面申请，发包人同意后方可更换，否则将追究承包人违约责任，违约金按照每人次5000元（从当期进度款中扣除）</w:t>
      </w:r>
      <w:r>
        <w:rPr>
          <w:rFonts w:hint="eastAsia" w:ascii="宋体" w:hAnsi="宋体" w:eastAsia="宋体" w:cs="宋体"/>
          <w:color w:val="auto"/>
          <w:highlight w:val="none"/>
        </w:rPr>
        <w:t>。</w:t>
      </w:r>
    </w:p>
    <w:p w14:paraId="71BF112E">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3.3.5承包人主要施工管理人员擅自离开施工现场的违约责任：</w:t>
      </w:r>
      <w:r>
        <w:rPr>
          <w:rFonts w:hint="eastAsia" w:ascii="宋体" w:hAnsi="宋体" w:eastAsia="宋体" w:cs="宋体"/>
          <w:bCs/>
          <w:color w:val="auto"/>
          <w:highlight w:val="none"/>
          <w:u w:val="single"/>
        </w:rPr>
        <w:t>如承包人主要施工管理人员未经发包人批准擅自离开施工现场，每缺勤一天承担违约金500元/人次</w:t>
      </w:r>
      <w:r>
        <w:rPr>
          <w:rFonts w:hint="eastAsia" w:ascii="宋体" w:hAnsi="宋体" w:eastAsia="宋体" w:cs="宋体"/>
          <w:color w:val="auto"/>
          <w:highlight w:val="none"/>
        </w:rPr>
        <w:t>。</w:t>
      </w:r>
    </w:p>
    <w:p w14:paraId="095CFDF6">
      <w:pPr>
        <w:pStyle w:val="239"/>
        <w:pageBreakBefore w:val="0"/>
        <w:widowControl w:val="0"/>
        <w:spacing w:line="360" w:lineRule="auto"/>
        <w:rPr>
          <w:rFonts w:hint="eastAsia" w:ascii="宋体" w:hAnsi="宋体" w:eastAsia="宋体" w:cs="宋体"/>
          <w:bCs w:val="0"/>
          <w:color w:val="auto"/>
          <w:sz w:val="24"/>
          <w:szCs w:val="20"/>
          <w:highlight w:val="none"/>
        </w:rPr>
      </w:pPr>
      <w:bookmarkStart w:id="66" w:name="_Toc14470158"/>
      <w:r>
        <w:rPr>
          <w:rFonts w:hint="eastAsia" w:ascii="宋体" w:hAnsi="宋体" w:eastAsia="宋体" w:cs="宋体"/>
          <w:bCs w:val="0"/>
          <w:color w:val="auto"/>
          <w:sz w:val="24"/>
          <w:szCs w:val="20"/>
          <w:highlight w:val="none"/>
        </w:rPr>
        <w:t>3.4承包人现场勘查</w:t>
      </w:r>
      <w:bookmarkEnd w:id="66"/>
    </w:p>
    <w:p w14:paraId="2C4FA8B9">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3.4.1承包人的施工现场负责人应对每项工程的施工现场和施工条件进行查勘，并充分了解工程所在地的气象条件、交通条件、风俗习惯以及其他与完成合同工作有关的其他资料。</w:t>
      </w:r>
    </w:p>
    <w:p w14:paraId="5C8A958A">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3.4.2承包人的施工现场负责人不在施工现场或不勘查现场，发包人有权不分配施工任务。</w:t>
      </w:r>
    </w:p>
    <w:p w14:paraId="47AE5062">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3.4.3因承包人未能充分查勘、了解前述情况或未能充分估计前述情况所可能产生的后果的，承包人承担由此增加的费用和（或）延误的工期。</w:t>
      </w:r>
    </w:p>
    <w:p w14:paraId="5630FF68">
      <w:pPr>
        <w:pStyle w:val="239"/>
        <w:pageBreakBefore w:val="0"/>
        <w:widowControl w:val="0"/>
        <w:spacing w:line="360" w:lineRule="auto"/>
        <w:rPr>
          <w:rFonts w:hint="eastAsia" w:ascii="宋体" w:hAnsi="宋体" w:eastAsia="宋体" w:cs="宋体"/>
          <w:bCs w:val="0"/>
          <w:color w:val="auto"/>
          <w:sz w:val="24"/>
          <w:szCs w:val="20"/>
          <w:highlight w:val="none"/>
        </w:rPr>
      </w:pPr>
      <w:bookmarkStart w:id="67" w:name="_Toc14470159"/>
      <w:r>
        <w:rPr>
          <w:rFonts w:hint="eastAsia" w:ascii="宋体" w:hAnsi="宋体" w:eastAsia="宋体" w:cs="宋体"/>
          <w:bCs w:val="0"/>
          <w:color w:val="auto"/>
          <w:sz w:val="24"/>
          <w:szCs w:val="20"/>
          <w:highlight w:val="none"/>
        </w:rPr>
        <w:t>3.5分包</w:t>
      </w:r>
      <w:bookmarkEnd w:id="67"/>
    </w:p>
    <w:p w14:paraId="3D45708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3.5.1禁止分包的工程包括：</w:t>
      </w:r>
      <w:r>
        <w:rPr>
          <w:rFonts w:hint="eastAsia" w:ascii="宋体" w:hAnsi="宋体" w:eastAsia="宋体" w:cs="宋体"/>
          <w:color w:val="auto"/>
          <w:highlight w:val="none"/>
          <w:u w:val="single"/>
        </w:rPr>
        <w:t xml:space="preserve"> 全部工程 </w:t>
      </w:r>
      <w:r>
        <w:rPr>
          <w:rFonts w:hint="eastAsia" w:ascii="宋体" w:hAnsi="宋体" w:eastAsia="宋体" w:cs="宋体"/>
          <w:color w:val="auto"/>
          <w:highlight w:val="none"/>
        </w:rPr>
        <w:t>。</w:t>
      </w:r>
    </w:p>
    <w:p w14:paraId="348D1BE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3.5.2严禁承包人转包和擅自分包。</w:t>
      </w:r>
    </w:p>
    <w:p w14:paraId="7AD0F52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3.5.3合同签订后，若发现乙方将工程转让、转包、分包给他人或发现乙方实际不具备与承包的工程相应资质与能力（如乙方管理混乱，机械设备不能满足施工需要，质量不符合合同和现行规范要求，有关手续不齐全，工程进度有可能影响单体工程进度及验收等），甲方有权随时终止合同，责令乙方立即退出施工现场，并要求乙方赔偿合同总价30%的违约金；如有其他损失，甲方仍有权要求赔偿。</w:t>
      </w:r>
    </w:p>
    <w:p w14:paraId="63615797">
      <w:pPr>
        <w:pStyle w:val="239"/>
        <w:pageBreakBefore w:val="0"/>
        <w:widowControl w:val="0"/>
        <w:spacing w:line="360" w:lineRule="auto"/>
        <w:rPr>
          <w:rFonts w:hint="eastAsia" w:ascii="宋体" w:hAnsi="宋体" w:eastAsia="宋体" w:cs="宋体"/>
          <w:bCs w:val="0"/>
          <w:color w:val="auto"/>
          <w:sz w:val="24"/>
          <w:szCs w:val="20"/>
          <w:highlight w:val="none"/>
        </w:rPr>
      </w:pPr>
      <w:bookmarkStart w:id="68" w:name="_Toc14470160"/>
      <w:r>
        <w:rPr>
          <w:rFonts w:hint="eastAsia" w:ascii="宋体" w:hAnsi="宋体" w:eastAsia="宋体" w:cs="宋体"/>
          <w:bCs w:val="0"/>
          <w:color w:val="auto"/>
          <w:sz w:val="24"/>
          <w:szCs w:val="20"/>
          <w:highlight w:val="none"/>
        </w:rPr>
        <w:t>3.6 工程照管与成品、半成品保护</w:t>
      </w:r>
      <w:bookmarkEnd w:id="68"/>
    </w:p>
    <w:p w14:paraId="5AA7254F">
      <w:pPr>
        <w:pageBreakBefore w:val="0"/>
        <w:widowControl w:val="0"/>
        <w:spacing w:before="120" w:after="120"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承包人负责照管工程及工程相关的材料、工程设备的起始时间：</w:t>
      </w:r>
      <w:r>
        <w:rPr>
          <w:rFonts w:hint="eastAsia" w:ascii="宋体" w:hAnsi="宋体" w:eastAsia="宋体" w:cs="宋体"/>
          <w:bCs/>
          <w:color w:val="auto"/>
          <w:highlight w:val="none"/>
          <w:u w:val="single"/>
        </w:rPr>
        <w:t>竣工交付前由承包人负责，由此产生的相关费用由承包人承担，发包人要求采取特殊保护措施所发生的费用由发包人承担</w:t>
      </w:r>
      <w:r>
        <w:rPr>
          <w:rFonts w:hint="eastAsia" w:ascii="宋体" w:hAnsi="宋体" w:eastAsia="宋体" w:cs="宋体"/>
          <w:color w:val="auto"/>
          <w:highlight w:val="none"/>
        </w:rPr>
        <w:t>。</w:t>
      </w:r>
    </w:p>
    <w:p w14:paraId="6E5CDC07">
      <w:pPr>
        <w:pStyle w:val="239"/>
        <w:pageBreakBefore w:val="0"/>
        <w:widowControl w:val="0"/>
        <w:spacing w:line="360" w:lineRule="auto"/>
        <w:rPr>
          <w:rFonts w:hint="eastAsia" w:ascii="宋体" w:hAnsi="宋体" w:eastAsia="宋体" w:cs="宋体"/>
          <w:bCs w:val="0"/>
          <w:color w:val="auto"/>
          <w:sz w:val="24"/>
          <w:szCs w:val="20"/>
          <w:highlight w:val="none"/>
        </w:rPr>
      </w:pPr>
      <w:bookmarkStart w:id="69" w:name="_Toc14470161"/>
      <w:r>
        <w:rPr>
          <w:rFonts w:hint="eastAsia" w:ascii="宋体" w:hAnsi="宋体" w:eastAsia="宋体" w:cs="宋体"/>
          <w:bCs w:val="0"/>
          <w:color w:val="auto"/>
          <w:sz w:val="24"/>
          <w:szCs w:val="20"/>
          <w:highlight w:val="none"/>
        </w:rPr>
        <w:t>3.7 履约担保</w:t>
      </w:r>
      <w:bookmarkEnd w:id="69"/>
    </w:p>
    <w:p w14:paraId="4F4FC2AD">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承包人是否提供履约担保：</w:t>
      </w:r>
      <w:r>
        <w:rPr>
          <w:rFonts w:hint="eastAsia" w:ascii="宋体" w:hAnsi="宋体" w:eastAsia="宋体" w:cs="宋体"/>
          <w:color w:val="auto"/>
          <w:highlight w:val="none"/>
          <w:u w:val="single"/>
        </w:rPr>
        <w:t xml:space="preserve">  否  </w:t>
      </w:r>
      <w:r>
        <w:rPr>
          <w:rFonts w:hint="eastAsia" w:ascii="宋体" w:hAnsi="宋体" w:eastAsia="宋体" w:cs="宋体"/>
          <w:color w:val="auto"/>
          <w:highlight w:val="none"/>
        </w:rPr>
        <w:t>。</w:t>
      </w:r>
    </w:p>
    <w:p w14:paraId="23D1B28C">
      <w:pPr>
        <w:pageBreakBefore w:val="0"/>
        <w:widowControl w:val="0"/>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承包人提供履约担保的形式、金额及期限：</w:t>
      </w:r>
      <w:r>
        <w:rPr>
          <w:rFonts w:hint="eastAsia" w:ascii="宋体" w:hAnsi="宋体" w:eastAsia="宋体" w:cs="宋体"/>
          <w:color w:val="auto"/>
          <w:highlight w:val="none"/>
          <w:u w:val="single"/>
        </w:rPr>
        <w:t xml:space="preserve">  /  </w:t>
      </w:r>
    </w:p>
    <w:p w14:paraId="109E99D8">
      <w:pPr>
        <w:pStyle w:val="237"/>
        <w:pageBreakBefore w:val="0"/>
        <w:widowControl w:val="0"/>
        <w:spacing w:line="360" w:lineRule="auto"/>
        <w:rPr>
          <w:rFonts w:hint="eastAsia" w:ascii="宋体" w:hAnsi="宋体" w:eastAsia="宋体" w:cs="宋体"/>
          <w:color w:val="auto"/>
          <w:sz w:val="24"/>
          <w:highlight w:val="none"/>
        </w:rPr>
      </w:pPr>
      <w:bookmarkStart w:id="70" w:name="_Toc71558874"/>
      <w:bookmarkStart w:id="71" w:name="_Toc14470162"/>
      <w:bookmarkStart w:id="72" w:name="_Toc351203636"/>
      <w:r>
        <w:rPr>
          <w:rFonts w:hint="eastAsia" w:ascii="宋体" w:hAnsi="宋体" w:eastAsia="宋体" w:cs="宋体"/>
          <w:color w:val="auto"/>
          <w:sz w:val="24"/>
          <w:highlight w:val="none"/>
        </w:rPr>
        <w:t>4</w:t>
      </w:r>
      <w:bookmarkStart w:id="73" w:name="_Toc297048348"/>
      <w:bookmarkStart w:id="74" w:name="_Toc292559871"/>
      <w:bookmarkStart w:id="75" w:name="_Toc296944501"/>
      <w:bookmarkStart w:id="76" w:name="_Toc296891202"/>
      <w:bookmarkStart w:id="77" w:name="_Toc296347161"/>
      <w:bookmarkStart w:id="78" w:name="_Toc296890990"/>
      <w:bookmarkStart w:id="79" w:name="_Toc267251413"/>
      <w:bookmarkStart w:id="80" w:name="_Toc292559366"/>
      <w:bookmarkStart w:id="81" w:name="_Toc297120462"/>
      <w:bookmarkStart w:id="82" w:name="_Toc296346663"/>
      <w:bookmarkStart w:id="83" w:name="_Toc296503162"/>
      <w:r>
        <w:rPr>
          <w:rFonts w:hint="eastAsia" w:ascii="宋体" w:hAnsi="宋体" w:eastAsia="宋体" w:cs="宋体"/>
          <w:color w:val="auto"/>
          <w:sz w:val="24"/>
          <w:highlight w:val="none"/>
        </w:rPr>
        <w:t>. 监</w:t>
      </w:r>
      <w:bookmarkEnd w:id="73"/>
      <w:bookmarkEnd w:id="74"/>
      <w:bookmarkEnd w:id="75"/>
      <w:bookmarkEnd w:id="76"/>
      <w:bookmarkEnd w:id="77"/>
      <w:bookmarkEnd w:id="78"/>
      <w:bookmarkEnd w:id="79"/>
      <w:bookmarkEnd w:id="80"/>
      <w:bookmarkEnd w:id="81"/>
      <w:bookmarkEnd w:id="82"/>
      <w:bookmarkEnd w:id="83"/>
      <w:r>
        <w:rPr>
          <w:rFonts w:hint="eastAsia" w:ascii="宋体" w:hAnsi="宋体" w:eastAsia="宋体" w:cs="宋体"/>
          <w:color w:val="auto"/>
          <w:sz w:val="24"/>
          <w:highlight w:val="none"/>
        </w:rPr>
        <w:t>理人</w:t>
      </w:r>
      <w:bookmarkEnd w:id="70"/>
      <w:bookmarkEnd w:id="71"/>
      <w:bookmarkEnd w:id="72"/>
    </w:p>
    <w:p w14:paraId="6D01FDFA">
      <w:pPr>
        <w:pStyle w:val="239"/>
        <w:pageBreakBefore w:val="0"/>
        <w:widowControl w:val="0"/>
        <w:spacing w:line="360" w:lineRule="auto"/>
        <w:rPr>
          <w:rFonts w:hint="eastAsia" w:ascii="宋体" w:hAnsi="宋体" w:eastAsia="宋体" w:cs="宋体"/>
          <w:bCs w:val="0"/>
          <w:color w:val="auto"/>
          <w:sz w:val="24"/>
          <w:szCs w:val="20"/>
          <w:highlight w:val="none"/>
        </w:rPr>
      </w:pPr>
      <w:bookmarkStart w:id="84" w:name="_Toc14470163"/>
      <w:r>
        <w:rPr>
          <w:rFonts w:hint="eastAsia" w:ascii="宋体" w:hAnsi="宋体" w:eastAsia="宋体" w:cs="宋体"/>
          <w:bCs w:val="0"/>
          <w:color w:val="auto"/>
          <w:sz w:val="24"/>
          <w:szCs w:val="20"/>
          <w:highlight w:val="none"/>
        </w:rPr>
        <w:t>4.1监理人的一般规定</w:t>
      </w:r>
      <w:bookmarkEnd w:id="84"/>
    </w:p>
    <w:p w14:paraId="0CA03957">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关于监理人的监理内容：</w:t>
      </w:r>
      <w:r>
        <w:rPr>
          <w:rFonts w:hint="eastAsia" w:ascii="宋体" w:hAnsi="宋体" w:eastAsia="宋体" w:cs="宋体"/>
          <w:bCs/>
          <w:color w:val="auto"/>
          <w:highlight w:val="none"/>
          <w:u w:val="single"/>
        </w:rPr>
        <w:t>四控两管一协调，即对工程进行进度、质量、投资、安全四控制，合同管理、信息管理，监督安全生产，协调施工现场各方面关系</w:t>
      </w:r>
      <w:r>
        <w:rPr>
          <w:rFonts w:hint="eastAsia" w:ascii="宋体" w:hAnsi="宋体" w:eastAsia="宋体" w:cs="宋体"/>
          <w:color w:val="auto"/>
          <w:highlight w:val="none"/>
        </w:rPr>
        <w:t>。</w:t>
      </w:r>
    </w:p>
    <w:p w14:paraId="6D77249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关于监理人的监理权限：</w:t>
      </w:r>
      <w:r>
        <w:rPr>
          <w:rFonts w:hint="eastAsia" w:ascii="宋体" w:hAnsi="宋体" w:eastAsia="宋体" w:cs="宋体"/>
          <w:bCs/>
          <w:color w:val="auto"/>
          <w:highlight w:val="none"/>
          <w:u w:val="single"/>
        </w:rPr>
        <w:t>涉及工程造价的签证、设计变更、开工令、停工令、复工令、工程延期、施工索赔、隐蔽工程验收、标准的确认、分包单位（如有）的确认、支付工程款、材料的确认以及工程施工过程中需要发生的造价变更工作，均需要得到发包人的批准后才能生效</w:t>
      </w:r>
      <w:r>
        <w:rPr>
          <w:rFonts w:hint="eastAsia" w:ascii="宋体" w:hAnsi="宋体" w:eastAsia="宋体" w:cs="宋体"/>
          <w:color w:val="auto"/>
          <w:highlight w:val="none"/>
        </w:rPr>
        <w:t xml:space="preserve">。 </w:t>
      </w:r>
    </w:p>
    <w:p w14:paraId="5414BC91">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关于监理人在施工现场的办公场所、生活场所的提供和费用承担的约定：</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578A9C79">
      <w:pPr>
        <w:pStyle w:val="239"/>
        <w:pageBreakBefore w:val="0"/>
        <w:widowControl w:val="0"/>
        <w:spacing w:line="360" w:lineRule="auto"/>
        <w:rPr>
          <w:rFonts w:hint="eastAsia" w:ascii="宋体" w:hAnsi="宋体" w:eastAsia="宋体" w:cs="宋体"/>
          <w:bCs w:val="0"/>
          <w:color w:val="auto"/>
          <w:sz w:val="24"/>
          <w:szCs w:val="20"/>
          <w:highlight w:val="none"/>
        </w:rPr>
      </w:pPr>
      <w:bookmarkStart w:id="85" w:name="_Toc14470164"/>
      <w:r>
        <w:rPr>
          <w:rFonts w:hint="eastAsia" w:ascii="宋体" w:hAnsi="宋体" w:eastAsia="宋体" w:cs="宋体"/>
          <w:bCs w:val="0"/>
          <w:color w:val="auto"/>
          <w:sz w:val="24"/>
          <w:szCs w:val="20"/>
          <w:highlight w:val="none"/>
        </w:rPr>
        <w:t>4.2 监理人员</w:t>
      </w:r>
      <w:bookmarkEnd w:id="85"/>
    </w:p>
    <w:p w14:paraId="725A4118">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总监理工程师：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0A071C4A">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姓    名：</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7FB0FD0F">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职    务：</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2EF10AA3">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监理工程师执业资格证书号：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702947F6">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58594850">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电子信箱：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68796C3">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通信地址：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C09B5A5">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关于监理人的其他约定：</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58F32BFD">
      <w:pPr>
        <w:pStyle w:val="237"/>
        <w:pageBreakBefore w:val="0"/>
        <w:widowControl w:val="0"/>
        <w:spacing w:line="360" w:lineRule="auto"/>
        <w:rPr>
          <w:rFonts w:hint="eastAsia" w:ascii="宋体" w:hAnsi="宋体" w:eastAsia="宋体" w:cs="宋体"/>
          <w:color w:val="auto"/>
          <w:sz w:val="24"/>
          <w:highlight w:val="none"/>
        </w:rPr>
      </w:pPr>
      <w:bookmarkStart w:id="86" w:name="_Toc14470165"/>
      <w:bookmarkStart w:id="87" w:name="_Toc71558875"/>
      <w:r>
        <w:rPr>
          <w:rFonts w:hint="eastAsia" w:ascii="宋体" w:hAnsi="宋体" w:eastAsia="宋体" w:cs="宋体"/>
          <w:color w:val="auto"/>
          <w:sz w:val="24"/>
          <w:highlight w:val="none"/>
        </w:rPr>
        <w:t>5.工程质量</w:t>
      </w:r>
      <w:bookmarkEnd w:id="86"/>
      <w:bookmarkEnd w:id="87"/>
    </w:p>
    <w:p w14:paraId="0ABA1B1D">
      <w:pPr>
        <w:pStyle w:val="239"/>
        <w:pageBreakBefore w:val="0"/>
        <w:widowControl w:val="0"/>
        <w:spacing w:line="360" w:lineRule="auto"/>
        <w:rPr>
          <w:rFonts w:hint="eastAsia" w:ascii="宋体" w:hAnsi="宋体" w:eastAsia="宋体" w:cs="宋体"/>
          <w:bCs w:val="0"/>
          <w:color w:val="auto"/>
          <w:sz w:val="24"/>
          <w:szCs w:val="20"/>
          <w:highlight w:val="none"/>
        </w:rPr>
      </w:pPr>
      <w:bookmarkStart w:id="88" w:name="_Toc14470166"/>
      <w:r>
        <w:rPr>
          <w:rFonts w:hint="eastAsia" w:ascii="宋体" w:hAnsi="宋体" w:eastAsia="宋体" w:cs="宋体"/>
          <w:bCs w:val="0"/>
          <w:color w:val="auto"/>
          <w:sz w:val="24"/>
          <w:szCs w:val="20"/>
          <w:highlight w:val="none"/>
        </w:rPr>
        <w:t>5.1质量要求</w:t>
      </w:r>
      <w:bookmarkEnd w:id="88"/>
    </w:p>
    <w:p w14:paraId="44838E2D">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5.1.1 特殊质量标准和要求：</w:t>
      </w:r>
      <w:r>
        <w:rPr>
          <w:rFonts w:hint="eastAsia" w:ascii="宋体" w:hAnsi="宋体" w:eastAsia="宋体" w:cs="宋体"/>
          <w:bCs/>
          <w:color w:val="auto"/>
          <w:highlight w:val="none"/>
          <w:u w:val="single"/>
        </w:rPr>
        <w:t>工程质量符合《建筑工程施工质量验收统一标准》（GB50300-2013）要求，并达到投标承诺的质量标准等级</w:t>
      </w:r>
      <w:r>
        <w:rPr>
          <w:rFonts w:hint="eastAsia" w:ascii="宋体" w:hAnsi="宋体" w:eastAsia="宋体" w:cs="宋体"/>
          <w:color w:val="auto"/>
          <w:highlight w:val="none"/>
        </w:rPr>
        <w:t>。</w:t>
      </w:r>
    </w:p>
    <w:p w14:paraId="474DFE2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5.1.2特殊质量标准和要求：</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5629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符合国家验收规范，一次性验收合格</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0229D8D9">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关于工程奖项的约定：</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5630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无</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3C848CAB">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5.1.3 材料需使用发包人招标文件工程量清单中指定的或承包人</w:t>
      </w:r>
      <w:r>
        <w:rPr>
          <w:rFonts w:hint="eastAsia" w:ascii="宋体" w:hAnsi="宋体" w:cs="宋体"/>
          <w:color w:val="auto"/>
          <w:highlight w:val="none"/>
          <w:lang w:eastAsia="zh-CN"/>
        </w:rPr>
        <w:t>响应文件</w:t>
      </w:r>
      <w:r>
        <w:rPr>
          <w:rFonts w:hint="eastAsia" w:ascii="宋体" w:hAnsi="宋体" w:eastAsia="宋体" w:cs="宋体"/>
          <w:color w:val="auto"/>
          <w:highlight w:val="none"/>
        </w:rPr>
        <w:t>中承诺的规格、品种和品牌。所有材料必须满足国家相关标准，验收时须提供材料出厂合格证和检测证明。</w:t>
      </w:r>
    </w:p>
    <w:p w14:paraId="72CC2C75">
      <w:pPr>
        <w:pStyle w:val="239"/>
        <w:pageBreakBefore w:val="0"/>
        <w:widowControl w:val="0"/>
        <w:spacing w:line="360" w:lineRule="auto"/>
        <w:rPr>
          <w:rFonts w:hint="eastAsia" w:ascii="宋体" w:hAnsi="宋体" w:eastAsia="宋体" w:cs="宋体"/>
          <w:bCs w:val="0"/>
          <w:color w:val="auto"/>
          <w:sz w:val="24"/>
          <w:szCs w:val="20"/>
          <w:highlight w:val="none"/>
        </w:rPr>
      </w:pPr>
      <w:bookmarkStart w:id="89" w:name="_Toc14470167"/>
      <w:r>
        <w:rPr>
          <w:rFonts w:hint="eastAsia" w:ascii="宋体" w:hAnsi="宋体" w:eastAsia="宋体" w:cs="宋体"/>
          <w:bCs w:val="0"/>
          <w:color w:val="auto"/>
          <w:sz w:val="24"/>
          <w:szCs w:val="20"/>
          <w:highlight w:val="none"/>
        </w:rPr>
        <w:t>5.2质量保证措施</w:t>
      </w:r>
      <w:bookmarkEnd w:id="89"/>
    </w:p>
    <w:p w14:paraId="2813F97F">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5.2.1 发包人的质量管理</w:t>
      </w:r>
    </w:p>
    <w:p w14:paraId="4CD46932">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发包人应按照法律规定及合同约定完成与工程质量有关的各项工作。</w:t>
      </w:r>
    </w:p>
    <w:p w14:paraId="6B5E579A">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5.2.2 承包人的质量管理</w:t>
      </w:r>
    </w:p>
    <w:p w14:paraId="3D6A3B49">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按照《建设工程施工合同》范本（GF-2017-0201）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512FF431">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承包人应对施工人员进行质量教育和技术培训，定期考核施工人员的劳动技能，严格执行施工规范和操作规程。</w:t>
      </w:r>
    </w:p>
    <w:p w14:paraId="21E8D9F4">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照法律规定和发包人的要求，对材料、工程设备以及工程的所有部位及其施工工艺进行全过程的质量检查和检验，并做详细记录，编制工程质量报表，报送监理人审查。此外，承包人还应按照法律规定和发包人的要求，进行施工现场取样试验、工程复核测量和设备性能检测，提供试验样品、提交试验报告和测量成果以及其他工作。</w:t>
      </w:r>
    </w:p>
    <w:p w14:paraId="6B0564B2">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5.2.3 监理人的质量检查和检验</w:t>
      </w:r>
    </w:p>
    <w:p w14:paraId="18CF179E">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按照法律规定和发包人授权对工程的所有部位及其施工工艺、材料和工程设备进行检查和检验。承包人应为监理人的检查和检验提供方便，包括监理人到施工现场，或制造、加工地点，或合同约定的其他地方进行查看和查阅施工原始记录。监理人为此进行的检查和检验，不免除或减轻承包人按照合同约定应当承担的责任。</w:t>
      </w:r>
    </w:p>
    <w:p w14:paraId="7A804120">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755B8980">
      <w:pPr>
        <w:pStyle w:val="239"/>
        <w:pageBreakBefore w:val="0"/>
        <w:widowControl w:val="0"/>
        <w:spacing w:line="360" w:lineRule="auto"/>
        <w:rPr>
          <w:rFonts w:hint="eastAsia" w:ascii="宋体" w:hAnsi="宋体" w:eastAsia="宋体" w:cs="宋体"/>
          <w:bCs w:val="0"/>
          <w:color w:val="auto"/>
          <w:sz w:val="24"/>
          <w:szCs w:val="20"/>
          <w:highlight w:val="none"/>
        </w:rPr>
      </w:pPr>
      <w:bookmarkStart w:id="90" w:name="_Toc14470168"/>
      <w:r>
        <w:rPr>
          <w:rFonts w:hint="eastAsia" w:ascii="宋体" w:hAnsi="宋体" w:eastAsia="宋体" w:cs="宋体"/>
          <w:bCs w:val="0"/>
          <w:color w:val="auto"/>
          <w:sz w:val="24"/>
          <w:szCs w:val="20"/>
          <w:highlight w:val="none"/>
        </w:rPr>
        <w:t>5.3隐蔽工程检查</w:t>
      </w:r>
      <w:bookmarkEnd w:id="90"/>
    </w:p>
    <w:p w14:paraId="5FA04C3A">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5.3.1承包人自检</w:t>
      </w:r>
    </w:p>
    <w:p w14:paraId="6E7CEDD3">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承包人应当对工程隐蔽部位进行自检，并经自检确认是否具备覆盖条件。</w:t>
      </w:r>
    </w:p>
    <w:p w14:paraId="21F2922E">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5.3.2检查程序</w:t>
      </w:r>
    </w:p>
    <w:p w14:paraId="2A3EED34">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7505A58B">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32EBA140">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196EFC03">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5.3.3 重新检查</w:t>
      </w:r>
    </w:p>
    <w:p w14:paraId="43DAF35C">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25E78CAE">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5.3.4 承包人私自覆盖</w:t>
      </w:r>
    </w:p>
    <w:p w14:paraId="06FE38C9">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承包人未通知监理人到场检查，私自将工程隐蔽部位覆盖的，监理人有权指示承包人钻孔探测或揭开检查，无论工程隐蔽部位质量是否合格，由此增加的费用和（或）延误的工期均由承包人承担。</w:t>
      </w:r>
    </w:p>
    <w:p w14:paraId="5E5C218F">
      <w:pPr>
        <w:pStyle w:val="239"/>
        <w:pageBreakBefore w:val="0"/>
        <w:widowControl w:val="0"/>
        <w:spacing w:line="360" w:lineRule="auto"/>
        <w:rPr>
          <w:rFonts w:hint="eastAsia" w:ascii="宋体" w:hAnsi="宋体" w:eastAsia="宋体" w:cs="宋体"/>
          <w:bCs w:val="0"/>
          <w:color w:val="auto"/>
          <w:sz w:val="24"/>
          <w:szCs w:val="20"/>
          <w:highlight w:val="none"/>
        </w:rPr>
      </w:pPr>
      <w:bookmarkStart w:id="91" w:name="_Toc14470169"/>
      <w:r>
        <w:rPr>
          <w:rFonts w:hint="eastAsia" w:ascii="宋体" w:hAnsi="宋体" w:eastAsia="宋体" w:cs="宋体"/>
          <w:bCs w:val="0"/>
          <w:color w:val="auto"/>
          <w:sz w:val="24"/>
          <w:szCs w:val="20"/>
          <w:highlight w:val="none"/>
        </w:rPr>
        <w:t>5.4不合格工程的处理</w:t>
      </w:r>
      <w:bookmarkEnd w:id="91"/>
    </w:p>
    <w:p w14:paraId="76A59682">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6F3F832A">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5.4.2 因发包人原因造成工程不合格的，由此增加的费用和（或）延误的工期由发包人承担，并支付承包人合理的利润。</w:t>
      </w:r>
    </w:p>
    <w:p w14:paraId="18E63CB9">
      <w:pPr>
        <w:pStyle w:val="239"/>
        <w:pageBreakBefore w:val="0"/>
        <w:widowControl w:val="0"/>
        <w:spacing w:line="360" w:lineRule="auto"/>
        <w:rPr>
          <w:rFonts w:hint="eastAsia" w:ascii="宋体" w:hAnsi="宋体" w:eastAsia="宋体" w:cs="宋体"/>
          <w:bCs w:val="0"/>
          <w:color w:val="auto"/>
          <w:sz w:val="24"/>
          <w:szCs w:val="20"/>
          <w:highlight w:val="none"/>
        </w:rPr>
      </w:pPr>
      <w:bookmarkStart w:id="92" w:name="_Toc14470170"/>
      <w:r>
        <w:rPr>
          <w:rFonts w:hint="eastAsia" w:ascii="宋体" w:hAnsi="宋体" w:eastAsia="宋体" w:cs="宋体"/>
          <w:bCs w:val="0"/>
          <w:color w:val="auto"/>
          <w:sz w:val="24"/>
          <w:szCs w:val="20"/>
          <w:highlight w:val="none"/>
        </w:rPr>
        <w:t>5.5 质量争议检测</w:t>
      </w:r>
      <w:bookmarkEnd w:id="92"/>
    </w:p>
    <w:p w14:paraId="64189BEF">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合同当事人对工程质量有争议的，由双方协商确定的工程质量检测机构鉴定，由此产生的费用及因此造成的损失，由责任方承担。</w:t>
      </w:r>
    </w:p>
    <w:p w14:paraId="2B0E5A07">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合同当事人均有责任的，由双方根据其责任分别承担。</w:t>
      </w:r>
    </w:p>
    <w:p w14:paraId="3485D0D7">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承包人提前通知监理人隐蔽工程检查的期限的约定：</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5631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承包人必须按照相关规定通知监理单位组织人员对本工程施工过程中的隐蔽工程进行严格的验收，同时发包人有权要求对工程任何部位进行中间验收</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041F70E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监理人不能按时进行检查时，应提前</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5632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24</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小时提交书面延期要求。</w:t>
      </w:r>
    </w:p>
    <w:p w14:paraId="616804A9">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关于延期最长不得超过：</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5633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48</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小时。</w:t>
      </w:r>
    </w:p>
    <w:p w14:paraId="7C0C8173">
      <w:pPr>
        <w:pStyle w:val="237"/>
        <w:pageBreakBefore w:val="0"/>
        <w:widowControl w:val="0"/>
        <w:spacing w:line="360" w:lineRule="auto"/>
        <w:rPr>
          <w:rFonts w:hint="eastAsia" w:ascii="宋体" w:hAnsi="宋体" w:eastAsia="宋体" w:cs="宋体"/>
          <w:color w:val="auto"/>
          <w:sz w:val="24"/>
          <w:highlight w:val="none"/>
        </w:rPr>
      </w:pPr>
      <w:bookmarkStart w:id="93" w:name="_Toc71558876"/>
      <w:bookmarkStart w:id="94" w:name="_Toc14470171"/>
      <w:r>
        <w:rPr>
          <w:rFonts w:hint="eastAsia" w:ascii="宋体" w:hAnsi="宋体" w:eastAsia="宋体" w:cs="宋体"/>
          <w:color w:val="auto"/>
          <w:sz w:val="24"/>
          <w:highlight w:val="none"/>
        </w:rPr>
        <w:t>6.安全文明施工与环境保护</w:t>
      </w:r>
      <w:bookmarkEnd w:id="93"/>
      <w:bookmarkEnd w:id="94"/>
    </w:p>
    <w:p w14:paraId="7B0CFB64">
      <w:pPr>
        <w:pStyle w:val="239"/>
        <w:pageBreakBefore w:val="0"/>
        <w:widowControl w:val="0"/>
        <w:spacing w:line="360" w:lineRule="auto"/>
        <w:rPr>
          <w:rFonts w:hint="eastAsia" w:ascii="宋体" w:hAnsi="宋体" w:eastAsia="宋体" w:cs="宋体"/>
          <w:bCs w:val="0"/>
          <w:color w:val="auto"/>
          <w:sz w:val="24"/>
          <w:szCs w:val="20"/>
          <w:highlight w:val="none"/>
        </w:rPr>
      </w:pPr>
      <w:bookmarkStart w:id="95" w:name="_Toc14470172"/>
      <w:r>
        <w:rPr>
          <w:rFonts w:hint="eastAsia" w:ascii="宋体" w:hAnsi="宋体" w:eastAsia="宋体" w:cs="宋体"/>
          <w:bCs w:val="0"/>
          <w:color w:val="auto"/>
          <w:sz w:val="24"/>
          <w:szCs w:val="20"/>
          <w:highlight w:val="none"/>
        </w:rPr>
        <w:t>6.1安全文明施工</w:t>
      </w:r>
      <w:bookmarkEnd w:id="95"/>
    </w:p>
    <w:p w14:paraId="403C4C1D">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6.1.1 项目安全生产的达标目标及相应事项的约定：</w:t>
      </w:r>
      <w:r>
        <w:rPr>
          <w:rFonts w:hint="eastAsia" w:ascii="宋体" w:hAnsi="宋体" w:eastAsia="宋体" w:cs="宋体"/>
          <w:color w:val="auto"/>
          <w:highlight w:val="none"/>
          <w:u w:val="single"/>
        </w:rPr>
        <w:t>承包人应遵守工程建设安全生产有关管理规定，严格按安全标准组织施工，并随时接受行政监督机构及其安全检查人员依法实施的监督检查，采取必要的安全防护措施，消除事故隐患。</w:t>
      </w:r>
      <w:r>
        <w:rPr>
          <w:rFonts w:hint="eastAsia" w:ascii="宋体" w:hAnsi="宋体" w:eastAsia="宋体" w:cs="宋体"/>
          <w:bCs/>
          <w:color w:val="auto"/>
          <w:highlight w:val="none"/>
          <w:u w:val="single"/>
        </w:rPr>
        <w:t>承包人在现场的安全管理、教育和安全事故责任由承包人负责，费用含在安全文明施工费中。承包人负责施工现场的安全及第三方的人身财产安全</w:t>
      </w:r>
      <w:r>
        <w:rPr>
          <w:rFonts w:hint="eastAsia" w:ascii="宋体" w:hAnsi="宋体" w:eastAsia="宋体" w:cs="宋体"/>
          <w:color w:val="auto"/>
          <w:highlight w:val="none"/>
        </w:rPr>
        <w:t>。</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5637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本工程在整个施工期间杜绝一切人身伤亡和重大质量安全事故，如发生上述事故，则发包人视为承包人违约；在施工期间每发生一起重大人身伤亡事故，承包人除了接受相关行政监督部门的处罚外，承包人赔偿发包人违约金2万元；承包人应保证在整个合同履行过程中所用的全部工器具、设备、施工机械及现场设施等的安全、性能和状态完好，能够实现预定的作用，满足合同约定和业主代表的合理要求。与工程有关的大、中型施工机械、现场变配电设备以及重要施工器具等的检修、维护须提前7天通知发包人/监理人。承包人必须服从发包人现场安全考核管理办法</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w:t>
      </w:r>
    </w:p>
    <w:p w14:paraId="796EF3E7">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6.1.2 关于治安保卫的特别约定：</w:t>
      </w:r>
      <w:r>
        <w:rPr>
          <w:rFonts w:hint="eastAsia" w:ascii="宋体" w:hAnsi="宋体" w:eastAsia="宋体" w:cs="宋体"/>
          <w:bCs/>
          <w:color w:val="auto"/>
          <w:highlight w:val="none"/>
          <w:u w:val="single"/>
        </w:rPr>
        <w:t>承担施工安全保卫工作及非夜间施工照明的责任和要求，具体如下：①根据监理、发包人批准的施工方案，在施工现场适当地方设置门卫，并安排专人24小时看管，禁止非本工程施工、管理人员、车辆进入现场；②为保护本工程免遭损坏，或为现场附近和过往人群的安全与方便，在确有必要的时候和地方，或当监理工程师或有关主管部门要求时，承包人应自费提供照明、警卫、护栅、警告标志等安全防护措施。③在实施和完成本工程过程中，承包人应承担非夜间施工照明和照明设施的维护责任；④承包人必须承担上述工作所需的所有费用。⑤如承包人未履行上述约定及通用条款相关义务造成工程、财产和人身伤害，由承包人承担责任、赔偿损失及支付发生的费用。⑥因承包人自身原因造成的人身、财产安全事故，均由承包人自行承担相关责任及费用赔偿，与发包人无关。在施工期间，每发生一起重伤事故，承包人除接受政府相关部门处罚、承担处理事故费用外，承包人还将赔偿发包人违约金1万元（直接从工程进度款中扣除）；每发生一起人身伤亡事故，承包人除接受政府相关部门处罚、承担处理事故费用外，承包人还将赔偿发包人违约金1万元（直接从工程进度款中扣除）；每发生一起重大质量安全事故，承包人除接受政府相关部门处罚、承担处理事故费用外，承包人还将赔偿发包人违约金2万元（直接从工程进度款中扣除）。</w:t>
      </w:r>
    </w:p>
    <w:p w14:paraId="3D1FF21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关于编制施工场地治安管理计划的约定：</w:t>
      </w:r>
      <w:r>
        <w:rPr>
          <w:rFonts w:hint="eastAsia" w:ascii="宋体" w:hAnsi="宋体" w:eastAsia="宋体" w:cs="宋体"/>
          <w:bCs/>
          <w:color w:val="auto"/>
          <w:highlight w:val="none"/>
          <w:u w:val="single"/>
        </w:rPr>
        <w:t>由承包人负责施工现场内治安保卫工作，包括：（1）对进入施工现场的参建单位相关人员的管理；（2）配合公安、交警等部门的管理；（3）承担治安管理工作相关费用。</w:t>
      </w:r>
    </w:p>
    <w:p w14:paraId="1EE46986">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6.1.3 文明施工</w:t>
      </w:r>
    </w:p>
    <w:p w14:paraId="3AD7C0B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合同当事人对文明施工的要求：</w:t>
      </w:r>
      <w:r>
        <w:rPr>
          <w:rFonts w:hint="eastAsia" w:ascii="宋体" w:hAnsi="宋体" w:eastAsia="宋体" w:cs="宋体"/>
          <w:bCs/>
          <w:color w:val="auto"/>
          <w:highlight w:val="none"/>
          <w:u w:val="single"/>
        </w:rPr>
        <w:t>本工程不创建市级文明工地。施工场地符合无锡有关主管部门规定的标准化施工现场和文明工地要求，同时应满足市政、市容等相关主管部门的有关规定，承包人违反规定造成的损失和罚款由承包人负责</w:t>
      </w:r>
      <w:r>
        <w:rPr>
          <w:rFonts w:hint="eastAsia" w:ascii="宋体" w:hAnsi="宋体" w:eastAsia="宋体" w:cs="宋体"/>
          <w:color w:val="auto"/>
          <w:highlight w:val="none"/>
        </w:rPr>
        <w:t>。</w:t>
      </w:r>
    </w:p>
    <w:p w14:paraId="4A4342E5">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color w:val="auto"/>
          <w:highlight w:val="none"/>
        </w:rPr>
        <w:t>6.1.4 关于安全文明施工费支付比例和支付期限的约定：</w:t>
      </w:r>
      <w:r>
        <w:rPr>
          <w:rFonts w:hint="eastAsia" w:ascii="宋体" w:hAnsi="宋体" w:eastAsia="宋体" w:cs="宋体"/>
          <w:bCs/>
          <w:color w:val="auto"/>
          <w:highlight w:val="none"/>
          <w:u w:val="single"/>
        </w:rPr>
        <w:t>预付款和工程进度款已包含安全文明施工费，承包人对安全文明施工费应专款专用，不得挪作他用，否则发包人有权停止支付工程款并要求承包人限期整改到位。</w:t>
      </w:r>
    </w:p>
    <w:p w14:paraId="7E01EB37">
      <w:pPr>
        <w:pStyle w:val="237"/>
        <w:pageBreakBefore w:val="0"/>
        <w:widowControl w:val="0"/>
        <w:spacing w:line="360" w:lineRule="auto"/>
        <w:rPr>
          <w:rFonts w:hint="eastAsia" w:ascii="宋体" w:hAnsi="宋体" w:eastAsia="宋体" w:cs="宋体"/>
          <w:color w:val="auto"/>
          <w:sz w:val="24"/>
          <w:highlight w:val="none"/>
        </w:rPr>
      </w:pPr>
      <w:bookmarkStart w:id="96" w:name="_Toc14470173"/>
      <w:bookmarkStart w:id="97" w:name="_Toc71558877"/>
      <w:r>
        <w:rPr>
          <w:rFonts w:hint="eastAsia" w:ascii="宋体" w:hAnsi="宋体" w:eastAsia="宋体" w:cs="宋体"/>
          <w:color w:val="auto"/>
          <w:sz w:val="24"/>
          <w:highlight w:val="none"/>
        </w:rPr>
        <w:t>7.工期和进度</w:t>
      </w:r>
      <w:bookmarkEnd w:id="96"/>
      <w:bookmarkEnd w:id="97"/>
    </w:p>
    <w:p w14:paraId="4C654CCF">
      <w:pPr>
        <w:pStyle w:val="239"/>
        <w:pageBreakBefore w:val="0"/>
        <w:widowControl w:val="0"/>
        <w:spacing w:line="360" w:lineRule="auto"/>
        <w:rPr>
          <w:rFonts w:hint="eastAsia" w:ascii="宋体" w:hAnsi="宋体" w:eastAsia="宋体" w:cs="宋体"/>
          <w:bCs w:val="0"/>
          <w:color w:val="auto"/>
          <w:sz w:val="24"/>
          <w:szCs w:val="20"/>
          <w:highlight w:val="none"/>
        </w:rPr>
      </w:pPr>
      <w:bookmarkStart w:id="98" w:name="_Toc14470174"/>
      <w:r>
        <w:rPr>
          <w:rFonts w:hint="eastAsia" w:ascii="宋体" w:hAnsi="宋体" w:eastAsia="宋体" w:cs="宋体"/>
          <w:bCs w:val="0"/>
          <w:color w:val="auto"/>
          <w:sz w:val="24"/>
          <w:szCs w:val="20"/>
          <w:highlight w:val="none"/>
        </w:rPr>
        <w:t>7.1施工组织设计</w:t>
      </w:r>
      <w:bookmarkEnd w:id="98"/>
    </w:p>
    <w:p w14:paraId="4E6DABB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7.1.1 合同当事人约定的施工组织设计应包括的其他内容：</w:t>
      </w:r>
      <w:r>
        <w:rPr>
          <w:rFonts w:hint="eastAsia" w:ascii="宋体" w:hAnsi="宋体" w:eastAsia="宋体" w:cs="宋体"/>
          <w:bCs/>
          <w:color w:val="auto"/>
          <w:highlight w:val="none"/>
          <w:u w:val="single"/>
        </w:rPr>
        <w:t>施工进度计划，施工平面布置图、现场项目部组成、施工现场全方位智能监控布置，施工劳务安排、施工机械安排等。因承包人在投标前已自行踏勘现场并获得相关技术图纸，作为有经验的承包商已经充分考虑到现场实际情况及施工过程中可能出现的难点，中标后承包人提供的施工组织设计及施工方案不得作为增加合同价款的依据</w:t>
      </w:r>
      <w:r>
        <w:rPr>
          <w:rFonts w:hint="eastAsia" w:ascii="宋体" w:hAnsi="宋体" w:eastAsia="宋体" w:cs="宋体"/>
          <w:color w:val="auto"/>
          <w:highlight w:val="none"/>
        </w:rPr>
        <w:t>。</w:t>
      </w:r>
    </w:p>
    <w:p w14:paraId="45FD797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7.1.2 施工组织设计的提交和修改 </w:t>
      </w:r>
    </w:p>
    <w:p w14:paraId="48205C5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承包人提交详细施工组织设计的期限的约定：</w:t>
      </w:r>
      <w:r>
        <w:rPr>
          <w:rFonts w:hint="eastAsia" w:ascii="宋体" w:hAnsi="宋体" w:eastAsia="宋体" w:cs="宋体"/>
          <w:bCs/>
          <w:color w:val="auto"/>
          <w:highlight w:val="none"/>
          <w:u w:val="single"/>
        </w:rPr>
        <w:t>承包人于开工前7日提交施工组织设计，在各专项工程施工至少提前7日提交专项施工方案，有特殊要求的于施工前3日内上报施工方案。每月5日报本月的施工进度计划，每周五报周进度计划</w:t>
      </w:r>
      <w:r>
        <w:rPr>
          <w:rFonts w:hint="eastAsia" w:ascii="宋体" w:hAnsi="宋体" w:eastAsia="宋体" w:cs="宋体"/>
          <w:color w:val="auto"/>
          <w:highlight w:val="none"/>
        </w:rPr>
        <w:t>。</w:t>
      </w:r>
    </w:p>
    <w:p w14:paraId="626F5BD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发包人和监理人在收到详细的施工组织设计后确认或提出修改意见的期限：</w:t>
      </w:r>
      <w:r>
        <w:rPr>
          <w:rFonts w:hint="eastAsia" w:ascii="宋体" w:hAnsi="宋体" w:eastAsia="宋体" w:cs="宋体"/>
          <w:bCs/>
          <w:color w:val="auto"/>
          <w:highlight w:val="none"/>
          <w:u w:val="single"/>
        </w:rPr>
        <w:t>7日内</w:t>
      </w:r>
      <w:r>
        <w:rPr>
          <w:rFonts w:hint="eastAsia" w:ascii="宋体" w:hAnsi="宋体" w:eastAsia="宋体" w:cs="宋体"/>
          <w:color w:val="auto"/>
          <w:highlight w:val="none"/>
        </w:rPr>
        <w:t>。</w:t>
      </w:r>
    </w:p>
    <w:p w14:paraId="4DA1CA11">
      <w:pPr>
        <w:pStyle w:val="239"/>
        <w:pageBreakBefore w:val="0"/>
        <w:widowControl w:val="0"/>
        <w:spacing w:line="360" w:lineRule="auto"/>
        <w:rPr>
          <w:rFonts w:hint="eastAsia" w:ascii="宋体" w:hAnsi="宋体" w:eastAsia="宋体" w:cs="宋体"/>
          <w:bCs w:val="0"/>
          <w:color w:val="auto"/>
          <w:sz w:val="24"/>
          <w:szCs w:val="20"/>
          <w:highlight w:val="none"/>
        </w:rPr>
      </w:pPr>
      <w:bookmarkStart w:id="99" w:name="_Toc14470175"/>
      <w:r>
        <w:rPr>
          <w:rFonts w:hint="eastAsia" w:ascii="宋体" w:hAnsi="宋体" w:eastAsia="宋体" w:cs="宋体"/>
          <w:bCs w:val="0"/>
          <w:color w:val="auto"/>
          <w:sz w:val="24"/>
          <w:szCs w:val="20"/>
          <w:highlight w:val="none"/>
        </w:rPr>
        <w:t>7.2施工进度计划</w:t>
      </w:r>
      <w:bookmarkEnd w:id="99"/>
    </w:p>
    <w:p w14:paraId="66A5B749">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7.2.1施工进度计划的修订</w:t>
      </w:r>
    </w:p>
    <w:p w14:paraId="288BF08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发包人和监理人在收到修订的施工进度计划后确认或提出修改意见的期限：</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5642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收到后7日内。</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0BFD0EF4">
      <w:pPr>
        <w:pStyle w:val="239"/>
        <w:pageBreakBefore w:val="0"/>
        <w:widowControl w:val="0"/>
        <w:spacing w:line="360" w:lineRule="auto"/>
        <w:rPr>
          <w:rFonts w:hint="eastAsia" w:ascii="宋体" w:hAnsi="宋体" w:eastAsia="宋体" w:cs="宋体"/>
          <w:bCs w:val="0"/>
          <w:color w:val="auto"/>
          <w:sz w:val="24"/>
          <w:szCs w:val="20"/>
          <w:highlight w:val="none"/>
        </w:rPr>
      </w:pPr>
      <w:bookmarkStart w:id="100" w:name="_Toc14470176"/>
      <w:r>
        <w:rPr>
          <w:rFonts w:hint="eastAsia" w:ascii="宋体" w:hAnsi="宋体" w:eastAsia="宋体" w:cs="宋体"/>
          <w:bCs w:val="0"/>
          <w:color w:val="auto"/>
          <w:sz w:val="24"/>
          <w:szCs w:val="20"/>
          <w:highlight w:val="none"/>
        </w:rPr>
        <w:t>7.3开工</w:t>
      </w:r>
      <w:bookmarkEnd w:id="100"/>
    </w:p>
    <w:p w14:paraId="1BB0312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7.3.1开工准备</w:t>
      </w:r>
    </w:p>
    <w:p w14:paraId="5CE2AD9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关于承包人提交工程开工报审表的期限：</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5643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开工前3日内</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7293B8B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关于发包人应完成的其他开工准备工作及期限：</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开工前3日</w:t>
      </w:r>
      <w:r>
        <w:rPr>
          <w:rFonts w:hint="eastAsia" w:ascii="宋体" w:hAnsi="宋体" w:eastAsia="宋体" w:cs="宋体"/>
          <w:color w:val="auto"/>
          <w:highlight w:val="none"/>
          <w:u w:val="single"/>
        </w:rPr>
        <w:t xml:space="preserve"> </w:t>
      </w:r>
    </w:p>
    <w:p w14:paraId="689F08C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关于承包人应完成的其他开工准备工作及期限：</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开工前3日</w:t>
      </w:r>
      <w:r>
        <w:rPr>
          <w:rFonts w:hint="eastAsia" w:ascii="宋体" w:hAnsi="宋体" w:eastAsia="宋体" w:cs="宋体"/>
          <w:color w:val="auto"/>
          <w:highlight w:val="none"/>
          <w:u w:val="single"/>
        </w:rPr>
        <w:t xml:space="preserve"> </w:t>
      </w:r>
    </w:p>
    <w:p w14:paraId="4468F1E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7.3.2开工通知</w:t>
      </w:r>
    </w:p>
    <w:p w14:paraId="2F8C0C1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因发包人原因造成监理人未能在计划开工日期之日起</w:t>
      </w:r>
      <w:r>
        <w:rPr>
          <w:rFonts w:hint="eastAsia" w:ascii="宋体" w:hAnsi="宋体" w:eastAsia="宋体" w:cs="宋体"/>
          <w:color w:val="auto"/>
          <w:highlight w:val="none"/>
          <w:u w:val="single"/>
        </w:rPr>
        <w:t xml:space="preserve"> 90 </w:t>
      </w:r>
      <w:r>
        <w:rPr>
          <w:rFonts w:hint="eastAsia" w:ascii="宋体" w:hAnsi="宋体" w:eastAsia="宋体" w:cs="宋体"/>
          <w:color w:val="auto"/>
          <w:highlight w:val="none"/>
        </w:rPr>
        <w:t>天内发出开工通知的，承包人有权提出价格调整要求，或者解除合同。</w:t>
      </w:r>
    </w:p>
    <w:p w14:paraId="3DE402C5">
      <w:pPr>
        <w:pStyle w:val="239"/>
        <w:pageBreakBefore w:val="0"/>
        <w:widowControl w:val="0"/>
        <w:spacing w:line="360" w:lineRule="auto"/>
        <w:rPr>
          <w:rFonts w:hint="eastAsia" w:ascii="宋体" w:hAnsi="宋体" w:eastAsia="宋体" w:cs="宋体"/>
          <w:bCs w:val="0"/>
          <w:color w:val="auto"/>
          <w:sz w:val="24"/>
          <w:szCs w:val="20"/>
          <w:highlight w:val="none"/>
        </w:rPr>
      </w:pPr>
      <w:bookmarkStart w:id="101" w:name="_Toc14470177"/>
      <w:r>
        <w:rPr>
          <w:rFonts w:hint="eastAsia" w:ascii="宋体" w:hAnsi="宋体" w:eastAsia="宋体" w:cs="宋体"/>
          <w:bCs w:val="0"/>
          <w:color w:val="auto"/>
          <w:sz w:val="24"/>
          <w:szCs w:val="20"/>
          <w:highlight w:val="none"/>
        </w:rPr>
        <w:t>7.4测量放线</w:t>
      </w:r>
      <w:bookmarkEnd w:id="101"/>
    </w:p>
    <w:p w14:paraId="64A35850">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7.4.1发包人通过监理人向承包人提供测量基准点、基准线和水准点及其书面资料的期限：</w:t>
      </w:r>
      <w:r>
        <w:rPr>
          <w:rFonts w:hint="eastAsia" w:ascii="宋体" w:hAnsi="宋体" w:eastAsia="宋体" w:cs="宋体"/>
          <w:bCs/>
          <w:color w:val="auto"/>
          <w:highlight w:val="none"/>
          <w:u w:val="single"/>
        </w:rPr>
        <w:t>正式开工前由发包人、承包人在监理单位见证下现场交验，并以书面形式提供给承包人。水准点、坐标控制点交验完毕，即由承包人自费负责保护，此后由于破坏或失准带来的重新测量、放点费用及由此造成的其他损失均由承包人承担</w:t>
      </w:r>
      <w:r>
        <w:rPr>
          <w:rFonts w:hint="eastAsia" w:ascii="宋体" w:hAnsi="宋体" w:eastAsia="宋体" w:cs="宋体"/>
          <w:color w:val="auto"/>
          <w:highlight w:val="none"/>
        </w:rPr>
        <w:t>。</w:t>
      </w:r>
    </w:p>
    <w:p w14:paraId="0DF6A82C">
      <w:pPr>
        <w:pStyle w:val="239"/>
        <w:pageBreakBefore w:val="0"/>
        <w:widowControl w:val="0"/>
        <w:spacing w:line="360" w:lineRule="auto"/>
        <w:rPr>
          <w:rFonts w:hint="eastAsia" w:ascii="宋体" w:hAnsi="宋体" w:eastAsia="宋体" w:cs="宋体"/>
          <w:bCs w:val="0"/>
          <w:color w:val="auto"/>
          <w:sz w:val="24"/>
          <w:szCs w:val="20"/>
          <w:highlight w:val="none"/>
        </w:rPr>
      </w:pPr>
      <w:bookmarkStart w:id="102" w:name="_Toc14470178"/>
      <w:r>
        <w:rPr>
          <w:rFonts w:hint="eastAsia" w:ascii="宋体" w:hAnsi="宋体" w:eastAsia="宋体" w:cs="宋体"/>
          <w:bCs w:val="0"/>
          <w:color w:val="auto"/>
          <w:sz w:val="24"/>
          <w:szCs w:val="20"/>
          <w:highlight w:val="none"/>
        </w:rPr>
        <w:t>7.5工期延误</w:t>
      </w:r>
      <w:bookmarkEnd w:id="102"/>
    </w:p>
    <w:p w14:paraId="0C147C4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7.5.1 因发包人原因导致工期延误</w:t>
      </w:r>
    </w:p>
    <w:p w14:paraId="57606EE4">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因发包人原因导致工期延误的其他情形：</w:t>
      </w:r>
      <w:r>
        <w:rPr>
          <w:rFonts w:hint="eastAsia" w:ascii="宋体" w:hAnsi="宋体" w:eastAsia="宋体" w:cs="宋体"/>
          <w:bCs/>
          <w:color w:val="auto"/>
          <w:highlight w:val="none"/>
          <w:u w:val="single"/>
        </w:rPr>
        <w:t>①发包人未能及时提供设计变更修改图；②不可抗力；③其余按本合同《通用条款》执行。由于发包人原因延误工期的，工期相应顺延，但无费用索赔</w:t>
      </w:r>
      <w:r>
        <w:rPr>
          <w:rFonts w:hint="eastAsia" w:ascii="宋体" w:hAnsi="宋体" w:eastAsia="宋体" w:cs="宋体"/>
          <w:color w:val="auto"/>
          <w:highlight w:val="none"/>
        </w:rPr>
        <w:t>。</w:t>
      </w:r>
    </w:p>
    <w:p w14:paraId="34B3E32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7</w:t>
      </w:r>
      <w:bookmarkStart w:id="103" w:name="_Toc318581169"/>
      <w:bookmarkStart w:id="104" w:name="_Toc312678012"/>
      <w:bookmarkStart w:id="105" w:name="_Toc312677486"/>
      <w:bookmarkStart w:id="106" w:name="_Toc300934970"/>
      <w:bookmarkStart w:id="107" w:name="_Toc297216177"/>
      <w:bookmarkStart w:id="108" w:name="_Toc303539127"/>
      <w:bookmarkStart w:id="109" w:name="_Toc297123518"/>
      <w:bookmarkStart w:id="110" w:name="_Toc304295548"/>
      <w:r>
        <w:rPr>
          <w:rFonts w:hint="eastAsia" w:ascii="宋体" w:hAnsi="宋体" w:eastAsia="宋体" w:cs="宋体"/>
          <w:color w:val="auto"/>
          <w:highlight w:val="none"/>
        </w:rPr>
        <w:t>.5.2 因承包人原因导致工期延误</w:t>
      </w:r>
      <w:bookmarkEnd w:id="103"/>
      <w:bookmarkEnd w:id="104"/>
      <w:bookmarkEnd w:id="105"/>
    </w:p>
    <w:p w14:paraId="13B5488C">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因</w:t>
      </w:r>
      <w:bookmarkStart w:id="111" w:name="_Toc312678013"/>
      <w:bookmarkStart w:id="112" w:name="_Toc318581170"/>
      <w:bookmarkStart w:id="113" w:name="_Toc312677487"/>
      <w:r>
        <w:rPr>
          <w:rFonts w:hint="eastAsia" w:ascii="宋体" w:hAnsi="宋体" w:eastAsia="宋体" w:cs="宋体"/>
          <w:color w:val="auto"/>
          <w:highlight w:val="none"/>
        </w:rPr>
        <w:t>承包人原因造成工期延误，逾期竣工违约金的计算方法为：</w:t>
      </w:r>
      <w:r>
        <w:rPr>
          <w:rFonts w:hint="eastAsia" w:ascii="宋体" w:hAnsi="宋体" w:eastAsia="宋体" w:cs="宋体"/>
          <w:bCs/>
          <w:color w:val="auto"/>
          <w:highlight w:val="none"/>
          <w:u w:val="single"/>
        </w:rPr>
        <w:t xml:space="preserve">  2000元/天</w:t>
      </w:r>
      <w:r>
        <w:rPr>
          <w:rFonts w:hint="eastAsia" w:ascii="宋体" w:hAnsi="宋体" w:eastAsia="宋体" w:cs="宋体"/>
          <w:color w:val="auto"/>
          <w:highlight w:val="none"/>
        </w:rPr>
        <w:t>。</w:t>
      </w:r>
      <w:bookmarkEnd w:id="106"/>
      <w:bookmarkEnd w:id="107"/>
      <w:bookmarkEnd w:id="108"/>
      <w:bookmarkEnd w:id="109"/>
      <w:bookmarkEnd w:id="110"/>
      <w:bookmarkEnd w:id="111"/>
      <w:bookmarkEnd w:id="112"/>
      <w:bookmarkEnd w:id="113"/>
    </w:p>
    <w:p w14:paraId="07C3BFE6">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因承包人原因造成工期延误，逾</w:t>
      </w:r>
      <w:bookmarkStart w:id="114" w:name="_Toc318581171"/>
      <w:bookmarkStart w:id="115" w:name="_Toc312678014"/>
      <w:r>
        <w:rPr>
          <w:rFonts w:hint="eastAsia" w:ascii="宋体" w:hAnsi="宋体" w:eastAsia="宋体" w:cs="宋体"/>
          <w:color w:val="auto"/>
          <w:highlight w:val="none"/>
        </w:rPr>
        <w:t>期竣工违约金的上限：</w:t>
      </w:r>
      <w:r>
        <w:rPr>
          <w:rFonts w:hint="eastAsia" w:ascii="宋体" w:hAnsi="宋体" w:eastAsia="宋体" w:cs="宋体"/>
          <w:bCs/>
          <w:color w:val="auto"/>
          <w:highlight w:val="none"/>
          <w:u w:val="single"/>
        </w:rPr>
        <w:t>合同价款的5%</w:t>
      </w:r>
      <w:r>
        <w:rPr>
          <w:rFonts w:hint="eastAsia" w:ascii="宋体" w:hAnsi="宋体" w:eastAsia="宋体" w:cs="宋体"/>
          <w:color w:val="auto"/>
          <w:highlight w:val="none"/>
        </w:rPr>
        <w:t>。</w:t>
      </w:r>
      <w:bookmarkEnd w:id="114"/>
      <w:bookmarkEnd w:id="115"/>
    </w:p>
    <w:p w14:paraId="40987862">
      <w:pPr>
        <w:pStyle w:val="239"/>
        <w:pageBreakBefore w:val="0"/>
        <w:widowControl w:val="0"/>
        <w:spacing w:line="360" w:lineRule="auto"/>
        <w:rPr>
          <w:rFonts w:hint="eastAsia" w:ascii="宋体" w:hAnsi="宋体" w:eastAsia="宋体" w:cs="宋体"/>
          <w:bCs w:val="0"/>
          <w:color w:val="auto"/>
          <w:sz w:val="24"/>
          <w:szCs w:val="20"/>
          <w:highlight w:val="none"/>
        </w:rPr>
      </w:pPr>
      <w:bookmarkStart w:id="116" w:name="_Toc14470179"/>
      <w:r>
        <w:rPr>
          <w:rFonts w:hint="eastAsia" w:ascii="宋体" w:hAnsi="宋体" w:eastAsia="宋体" w:cs="宋体"/>
          <w:bCs w:val="0"/>
          <w:color w:val="auto"/>
          <w:sz w:val="24"/>
          <w:szCs w:val="20"/>
          <w:highlight w:val="none"/>
        </w:rPr>
        <w:t>7.6不利物质条件</w:t>
      </w:r>
      <w:bookmarkEnd w:id="116"/>
    </w:p>
    <w:p w14:paraId="61AD156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不利物质条件的其他情形和有关约定：</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5651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按通用条款有关规定执行</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4EE69E69">
      <w:pPr>
        <w:pStyle w:val="239"/>
        <w:pageBreakBefore w:val="0"/>
        <w:widowControl w:val="0"/>
        <w:spacing w:line="360" w:lineRule="auto"/>
        <w:rPr>
          <w:rFonts w:hint="eastAsia" w:ascii="宋体" w:hAnsi="宋体" w:eastAsia="宋体" w:cs="宋体"/>
          <w:bCs w:val="0"/>
          <w:color w:val="auto"/>
          <w:sz w:val="24"/>
          <w:szCs w:val="20"/>
          <w:highlight w:val="none"/>
        </w:rPr>
      </w:pPr>
      <w:bookmarkStart w:id="117" w:name="_Toc14470180"/>
      <w:r>
        <w:rPr>
          <w:rFonts w:hint="eastAsia" w:ascii="宋体" w:hAnsi="宋体" w:eastAsia="宋体" w:cs="宋体"/>
          <w:bCs w:val="0"/>
          <w:color w:val="auto"/>
          <w:sz w:val="24"/>
          <w:szCs w:val="20"/>
          <w:highlight w:val="none"/>
        </w:rPr>
        <w:t>7.7异常恶劣的气候条件</w:t>
      </w:r>
      <w:bookmarkEnd w:id="117"/>
    </w:p>
    <w:p w14:paraId="4B76C29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发包人和承包人同意以下情形视为异常恶劣的气候条件：</w:t>
      </w:r>
    </w:p>
    <w:p w14:paraId="39A6843D">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bCs/>
          <w:color w:val="auto"/>
          <w:highlight w:val="none"/>
          <w:u w:val="single"/>
        </w:rPr>
        <w:t>11级以上大风</w:t>
      </w:r>
      <w:r>
        <w:rPr>
          <w:rFonts w:hint="eastAsia" w:ascii="宋体" w:hAnsi="宋体" w:eastAsia="宋体" w:cs="宋体"/>
          <w:color w:val="auto"/>
          <w:highlight w:val="none"/>
        </w:rPr>
        <w:t>；</w:t>
      </w:r>
    </w:p>
    <w:p w14:paraId="653C2CA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bCs/>
          <w:color w:val="auto"/>
          <w:highlight w:val="none"/>
          <w:u w:val="single"/>
        </w:rPr>
        <w:t>24小时降雨量超过150mm；24小时积雪厚度大于400mm；当地气象部门认定的50年一遇的雨、雪、洪灾</w:t>
      </w:r>
      <w:r>
        <w:rPr>
          <w:rFonts w:hint="eastAsia" w:ascii="宋体" w:hAnsi="宋体" w:eastAsia="宋体" w:cs="宋体"/>
          <w:color w:val="auto"/>
          <w:highlight w:val="none"/>
        </w:rPr>
        <w:t>；</w:t>
      </w:r>
    </w:p>
    <w:p w14:paraId="7FD7AD78">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bCs/>
          <w:color w:val="auto"/>
          <w:highlight w:val="none"/>
          <w:u w:val="single"/>
        </w:rPr>
        <w:t>六级及以上地震；非发包人、承包人责任造成的爆炸、火灾</w:t>
      </w:r>
      <w:r>
        <w:rPr>
          <w:rFonts w:hint="eastAsia" w:ascii="宋体" w:hAnsi="宋体" w:eastAsia="宋体" w:cs="宋体"/>
          <w:color w:val="auto"/>
          <w:highlight w:val="none"/>
        </w:rPr>
        <w:t>。</w:t>
      </w:r>
    </w:p>
    <w:p w14:paraId="5C3A82B1">
      <w:pPr>
        <w:pStyle w:val="239"/>
        <w:pageBreakBefore w:val="0"/>
        <w:widowControl w:val="0"/>
        <w:spacing w:line="360" w:lineRule="auto"/>
        <w:rPr>
          <w:rFonts w:hint="eastAsia" w:ascii="宋体" w:hAnsi="宋体" w:eastAsia="宋体" w:cs="宋体"/>
          <w:bCs w:val="0"/>
          <w:color w:val="auto"/>
          <w:sz w:val="24"/>
          <w:szCs w:val="20"/>
          <w:highlight w:val="none"/>
        </w:rPr>
      </w:pPr>
      <w:bookmarkStart w:id="118" w:name="_Toc14470181"/>
      <w:r>
        <w:rPr>
          <w:rFonts w:hint="eastAsia" w:ascii="宋体" w:hAnsi="宋体" w:eastAsia="宋体" w:cs="宋体"/>
          <w:bCs w:val="0"/>
          <w:color w:val="auto"/>
          <w:sz w:val="24"/>
          <w:szCs w:val="20"/>
          <w:highlight w:val="none"/>
        </w:rPr>
        <w:t>7.8提前竣工的奖励</w:t>
      </w:r>
      <w:bookmarkEnd w:id="118"/>
    </w:p>
    <w:p w14:paraId="5B16BCEF">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提前竣工的奖励：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5655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无</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53B0B574">
      <w:pPr>
        <w:pStyle w:val="237"/>
        <w:pageBreakBefore w:val="0"/>
        <w:widowControl w:val="0"/>
        <w:spacing w:line="360" w:lineRule="auto"/>
        <w:rPr>
          <w:rFonts w:hint="eastAsia" w:ascii="宋体" w:hAnsi="宋体" w:eastAsia="宋体" w:cs="宋体"/>
          <w:color w:val="auto"/>
          <w:sz w:val="24"/>
          <w:highlight w:val="none"/>
        </w:rPr>
      </w:pPr>
      <w:bookmarkStart w:id="119" w:name="_Toc14470182"/>
      <w:bookmarkStart w:id="120" w:name="_Toc71558878"/>
      <w:r>
        <w:rPr>
          <w:rFonts w:hint="eastAsia" w:ascii="宋体" w:hAnsi="宋体" w:eastAsia="宋体" w:cs="宋体"/>
          <w:color w:val="auto"/>
          <w:sz w:val="24"/>
          <w:highlight w:val="none"/>
        </w:rPr>
        <w:t>8.材料与设备</w:t>
      </w:r>
      <w:bookmarkEnd w:id="119"/>
      <w:bookmarkEnd w:id="120"/>
    </w:p>
    <w:p w14:paraId="64C9AA5B">
      <w:pPr>
        <w:pStyle w:val="239"/>
        <w:pageBreakBefore w:val="0"/>
        <w:widowControl w:val="0"/>
        <w:spacing w:line="360" w:lineRule="auto"/>
        <w:rPr>
          <w:rFonts w:hint="eastAsia" w:ascii="宋体" w:hAnsi="宋体" w:eastAsia="宋体" w:cs="宋体"/>
          <w:bCs w:val="0"/>
          <w:color w:val="auto"/>
          <w:sz w:val="24"/>
          <w:szCs w:val="20"/>
          <w:highlight w:val="none"/>
        </w:rPr>
      </w:pPr>
      <w:bookmarkStart w:id="121" w:name="_Toc14470183"/>
      <w:r>
        <w:rPr>
          <w:rFonts w:hint="eastAsia" w:ascii="宋体" w:hAnsi="宋体" w:eastAsia="宋体" w:cs="宋体"/>
          <w:bCs w:val="0"/>
          <w:color w:val="auto"/>
          <w:sz w:val="24"/>
          <w:szCs w:val="20"/>
          <w:highlight w:val="none"/>
        </w:rPr>
        <w:t>8.1发包人供应材料与工程设备</w:t>
      </w:r>
      <w:bookmarkEnd w:id="121"/>
    </w:p>
    <w:p w14:paraId="167B3FA6">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发包人自行供应材料、工程设备的：</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09CB737F">
      <w:pPr>
        <w:pStyle w:val="239"/>
        <w:pageBreakBefore w:val="0"/>
        <w:widowControl w:val="0"/>
        <w:spacing w:line="360" w:lineRule="auto"/>
        <w:rPr>
          <w:rFonts w:hint="eastAsia" w:ascii="宋体" w:hAnsi="宋体" w:eastAsia="宋体" w:cs="宋体"/>
          <w:bCs w:val="0"/>
          <w:color w:val="auto"/>
          <w:sz w:val="24"/>
          <w:szCs w:val="20"/>
          <w:highlight w:val="none"/>
        </w:rPr>
      </w:pPr>
      <w:bookmarkStart w:id="122" w:name="_Toc14470184"/>
      <w:r>
        <w:rPr>
          <w:rFonts w:hint="eastAsia" w:ascii="宋体" w:hAnsi="宋体" w:eastAsia="宋体" w:cs="宋体"/>
          <w:bCs w:val="0"/>
          <w:color w:val="auto"/>
          <w:sz w:val="24"/>
          <w:szCs w:val="20"/>
          <w:highlight w:val="none"/>
        </w:rPr>
        <w:t>8.2承包人采购材料与工程设备</w:t>
      </w:r>
      <w:bookmarkEnd w:id="122"/>
    </w:p>
    <w:p w14:paraId="339AE3A3">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6A4D0EC5">
      <w:pPr>
        <w:pStyle w:val="239"/>
        <w:pageBreakBefore w:val="0"/>
        <w:widowControl w:val="0"/>
        <w:spacing w:line="360" w:lineRule="auto"/>
        <w:rPr>
          <w:rFonts w:hint="eastAsia" w:ascii="宋体" w:hAnsi="宋体" w:eastAsia="宋体" w:cs="宋体"/>
          <w:bCs w:val="0"/>
          <w:color w:val="auto"/>
          <w:sz w:val="24"/>
          <w:szCs w:val="20"/>
          <w:highlight w:val="none"/>
        </w:rPr>
      </w:pPr>
      <w:bookmarkStart w:id="123" w:name="_Toc14470185"/>
      <w:r>
        <w:rPr>
          <w:rFonts w:hint="eastAsia" w:ascii="宋体" w:hAnsi="宋体" w:eastAsia="宋体" w:cs="宋体"/>
          <w:bCs w:val="0"/>
          <w:color w:val="auto"/>
          <w:sz w:val="24"/>
          <w:szCs w:val="20"/>
          <w:highlight w:val="none"/>
        </w:rPr>
        <w:t>8.3禁止使用不合格的材料和工程设备</w:t>
      </w:r>
      <w:bookmarkEnd w:id="123"/>
    </w:p>
    <w:p w14:paraId="031ED2D6">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8.3.1 监理人有权拒绝承包人提供的不合格材料或工程设备，并要求承包人立即进行更换。监理人应在更换后再次进行检查和检验，由此增加的费用和（或）延误的工期由承包人承担。</w:t>
      </w:r>
    </w:p>
    <w:p w14:paraId="741BB098">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8.3.2 监理人发现承包人使用了不合格的材料和工程设备，承包人应按照监理人的指示立即改正，并禁止在工程中继续使用不合格的材料和工程设备。</w:t>
      </w:r>
    </w:p>
    <w:p w14:paraId="78D6EE3E">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8.3.3 发包人提供的材料或工程设备不符合合同要求的，承包人有权拒绝，并可要求发包人更换，由此增加的费用和（或）延误的工期由发包人承担，并支付承包人合理的利润。</w:t>
      </w:r>
    </w:p>
    <w:p w14:paraId="432113F0">
      <w:pPr>
        <w:pStyle w:val="239"/>
        <w:pageBreakBefore w:val="0"/>
        <w:widowControl w:val="0"/>
        <w:spacing w:line="360" w:lineRule="auto"/>
        <w:rPr>
          <w:rFonts w:hint="eastAsia" w:ascii="宋体" w:hAnsi="宋体" w:eastAsia="宋体" w:cs="宋体"/>
          <w:bCs w:val="0"/>
          <w:color w:val="auto"/>
          <w:sz w:val="24"/>
          <w:szCs w:val="20"/>
          <w:highlight w:val="none"/>
        </w:rPr>
      </w:pPr>
      <w:bookmarkStart w:id="124" w:name="_Toc14470186"/>
      <w:r>
        <w:rPr>
          <w:rFonts w:hint="eastAsia" w:ascii="宋体" w:hAnsi="宋体" w:eastAsia="宋体" w:cs="宋体"/>
          <w:bCs w:val="0"/>
          <w:color w:val="auto"/>
          <w:sz w:val="24"/>
          <w:szCs w:val="20"/>
          <w:highlight w:val="none"/>
        </w:rPr>
        <w:t>8.4样品</w:t>
      </w:r>
      <w:bookmarkEnd w:id="124"/>
    </w:p>
    <w:p w14:paraId="70F03817">
      <w:pPr>
        <w:pageBreakBefore w:val="0"/>
        <w:widowControl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8.4.1样品的报送与封存</w:t>
      </w:r>
    </w:p>
    <w:p w14:paraId="3586DF8E">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color w:val="auto"/>
          <w:highlight w:val="none"/>
        </w:rPr>
        <w:t>需要承包人报送样品的材料或工程设备，样品的种类、名称、规格、数量要求：</w:t>
      </w:r>
      <w:r>
        <w:rPr>
          <w:rFonts w:hint="eastAsia" w:ascii="宋体" w:hAnsi="宋体" w:eastAsia="宋体" w:cs="宋体"/>
          <w:bCs/>
          <w:color w:val="auto"/>
          <w:highlight w:val="none"/>
          <w:u w:val="single"/>
        </w:rPr>
        <w:t>用于本工程之任何材料，在使用前必须得到发包人和发包人授权的监理认可或批准，必须符合有关规范、设计图纸、招标文件规定的质量及品牌要求，并提供产品合格证明、质量保证书，承包人不得擅自更改招标文件中约定的主要材料品牌、规格和质量等级。在施工前，承包人须提供各有关物料之样品作发包人与监理认可之用。发包人与监理对任何样品之认可或批准，并不能解除承包人按合同须履行之责任及义务。</w:t>
      </w:r>
    </w:p>
    <w:p w14:paraId="30D4A24A">
      <w:pPr>
        <w:pStyle w:val="239"/>
        <w:pageBreakBefore w:val="0"/>
        <w:widowControl w:val="0"/>
        <w:spacing w:line="360" w:lineRule="auto"/>
        <w:rPr>
          <w:rFonts w:hint="eastAsia" w:ascii="宋体" w:hAnsi="宋体" w:eastAsia="宋体" w:cs="宋体"/>
          <w:bCs w:val="0"/>
          <w:color w:val="auto"/>
          <w:sz w:val="24"/>
          <w:szCs w:val="20"/>
          <w:highlight w:val="none"/>
        </w:rPr>
      </w:pPr>
      <w:bookmarkStart w:id="125" w:name="_Toc14470187"/>
      <w:r>
        <w:rPr>
          <w:rFonts w:hint="eastAsia" w:ascii="宋体" w:hAnsi="宋体" w:eastAsia="宋体" w:cs="宋体"/>
          <w:bCs w:val="0"/>
          <w:color w:val="auto"/>
          <w:sz w:val="24"/>
          <w:szCs w:val="20"/>
          <w:highlight w:val="none"/>
        </w:rPr>
        <w:t>8.5材料与工程设备的替代</w:t>
      </w:r>
      <w:bookmarkEnd w:id="125"/>
    </w:p>
    <w:p w14:paraId="16364400">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8.5.1出现下列情况需要使用替代材料和工程设备的，承包人应按照第8.5.2项约定的程序执行：</w:t>
      </w:r>
    </w:p>
    <w:p w14:paraId="2574D271">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（1）基准日期后生效的法律规定禁止使用的；</w:t>
      </w:r>
    </w:p>
    <w:p w14:paraId="1D2E2274">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（2）发包人要求使用替代品的；</w:t>
      </w:r>
    </w:p>
    <w:p w14:paraId="2029D866">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（3）因其他原因必须使用替代品的。</w:t>
      </w:r>
    </w:p>
    <w:p w14:paraId="09818E72">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8.5.2承包人应在使用替代材料和工程设备3天前书面通知监理人，并附下列文件：</w:t>
      </w:r>
    </w:p>
    <w:p w14:paraId="0CAB64C5">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（1）被替代的材料和工程设备的名称、数量、规格、型号、品牌、性能、价格及其他相关资料；</w:t>
      </w:r>
    </w:p>
    <w:p w14:paraId="79F2FF5A">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（2）替代品的名称、数量、规格、型号、品牌、性能、价格及其他相关资料；</w:t>
      </w:r>
    </w:p>
    <w:p w14:paraId="19B36C30">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（3）替代品与被替代产品之间的差异以及使用替代品可能对工程产生的影响；</w:t>
      </w:r>
    </w:p>
    <w:p w14:paraId="354656AE">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（4）替代品与被替代产品的价格差异；</w:t>
      </w:r>
    </w:p>
    <w:p w14:paraId="78CC88E3">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（5）使用替代品的理由和原因说明；</w:t>
      </w:r>
    </w:p>
    <w:p w14:paraId="1AF4DDFC">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（6）监理人要求的其他文件。</w:t>
      </w:r>
    </w:p>
    <w:p w14:paraId="64C35975">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监理人应在收到通知后7天内向承包人发出经发包人签认的书面指示；监理人逾期发出书面指示的，视为发包人和监理人同意使用替代品。</w:t>
      </w:r>
    </w:p>
    <w:p w14:paraId="1B92AC99">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8.5.3 发包人认可使用替代材料和工程设备的，替代材料和工程设备的价格，按照已标价工程量清单或预算书相同项目的价格认定；无相同项目的，参考相似项目的价格认定；既无相同项目也无相似项目的，按照合理的成本与利润构成的原则，由合同当事人按照第4.4款〔商定或确定〕确定价格。</w:t>
      </w:r>
    </w:p>
    <w:p w14:paraId="2CF047A6">
      <w:pPr>
        <w:pStyle w:val="239"/>
        <w:pageBreakBefore w:val="0"/>
        <w:widowControl w:val="0"/>
        <w:spacing w:line="360" w:lineRule="auto"/>
        <w:rPr>
          <w:rFonts w:hint="eastAsia" w:ascii="宋体" w:hAnsi="宋体" w:eastAsia="宋体" w:cs="宋体"/>
          <w:bCs w:val="0"/>
          <w:color w:val="auto"/>
          <w:sz w:val="24"/>
          <w:szCs w:val="20"/>
          <w:highlight w:val="none"/>
        </w:rPr>
      </w:pPr>
      <w:bookmarkStart w:id="126" w:name="_Toc14470188"/>
      <w:r>
        <w:rPr>
          <w:rFonts w:hint="eastAsia" w:ascii="宋体" w:hAnsi="宋体" w:eastAsia="宋体" w:cs="宋体"/>
          <w:bCs w:val="0"/>
          <w:color w:val="auto"/>
          <w:sz w:val="24"/>
          <w:szCs w:val="20"/>
          <w:highlight w:val="none"/>
        </w:rPr>
        <w:t>8.6施工设备和临时设施</w:t>
      </w:r>
      <w:bookmarkEnd w:id="126"/>
    </w:p>
    <w:p w14:paraId="5899E567">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8.6.1承包人提供的施工设备和临时设施</w:t>
      </w:r>
    </w:p>
    <w:p w14:paraId="3B44F4E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关于修建临时设施费用承担的约定：</w:t>
      </w:r>
      <w:r>
        <w:rPr>
          <w:rFonts w:hint="eastAsia" w:ascii="宋体" w:hAnsi="宋体" w:eastAsia="宋体" w:cs="宋体"/>
          <w:bCs/>
          <w:color w:val="auto"/>
          <w:highlight w:val="none"/>
          <w:u w:val="single"/>
        </w:rPr>
        <w:t>修建临时设施费用均由承包人承担，工程竣工后一周内负责将临时设施全部拆除并清运出场。建筑物周边及场内道路等设施如有损坏，承包人应负责修复。本项目建筑及生活垃圾由承包人在竣工验收一周前全部运至校外合法垃圾场，费用含在投标报价中</w:t>
      </w:r>
      <w:r>
        <w:rPr>
          <w:rFonts w:hint="eastAsia" w:ascii="宋体" w:hAnsi="宋体" w:eastAsia="宋体" w:cs="宋体"/>
          <w:color w:val="auto"/>
          <w:highlight w:val="none"/>
        </w:rPr>
        <w:t>。</w:t>
      </w:r>
    </w:p>
    <w:p w14:paraId="2CCBAE97">
      <w:pPr>
        <w:pStyle w:val="239"/>
        <w:pageBreakBefore w:val="0"/>
        <w:widowControl w:val="0"/>
        <w:spacing w:line="360" w:lineRule="auto"/>
        <w:rPr>
          <w:rFonts w:hint="eastAsia" w:ascii="宋体" w:hAnsi="宋体" w:eastAsia="宋体" w:cs="宋体"/>
          <w:bCs w:val="0"/>
          <w:color w:val="auto"/>
          <w:sz w:val="24"/>
          <w:szCs w:val="20"/>
          <w:highlight w:val="none"/>
        </w:rPr>
      </w:pPr>
      <w:bookmarkStart w:id="127" w:name="_Toc14470189"/>
      <w:r>
        <w:rPr>
          <w:rFonts w:hint="eastAsia" w:ascii="宋体" w:hAnsi="宋体" w:eastAsia="宋体" w:cs="宋体"/>
          <w:bCs w:val="0"/>
          <w:color w:val="auto"/>
          <w:sz w:val="24"/>
          <w:szCs w:val="20"/>
          <w:highlight w:val="none"/>
        </w:rPr>
        <w:t>8.7材料与设备专用要求</w:t>
      </w:r>
      <w:bookmarkEnd w:id="127"/>
    </w:p>
    <w:p w14:paraId="6D6387FF">
      <w:pPr>
        <w:pStyle w:val="240"/>
        <w:pageBreakBefore w:val="0"/>
        <w:widowControl w:val="0"/>
        <w:spacing w:before="0" w:after="0"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运入施工现场的材料、工程设备、施工设备以及在施工场地建设的临时设施，包括备品备件、安装工具与资料，必须专用于工程。未经发包人批准，承包人不得运出施工现场或挪作他用；经发包人批准，承包人可以根据施工进度计划撤走闲置的施工设备和其他物品。</w:t>
      </w:r>
    </w:p>
    <w:p w14:paraId="2644A825">
      <w:pPr>
        <w:pStyle w:val="237"/>
        <w:pageBreakBefore w:val="0"/>
        <w:widowControl w:val="0"/>
        <w:spacing w:line="360" w:lineRule="auto"/>
        <w:rPr>
          <w:rFonts w:hint="eastAsia" w:ascii="宋体" w:hAnsi="宋体" w:eastAsia="宋体" w:cs="宋体"/>
          <w:color w:val="auto"/>
          <w:sz w:val="24"/>
          <w:highlight w:val="none"/>
        </w:rPr>
      </w:pPr>
      <w:bookmarkStart w:id="128" w:name="_Toc14470190"/>
      <w:bookmarkStart w:id="129" w:name="_Toc71558879"/>
      <w:r>
        <w:rPr>
          <w:rFonts w:hint="eastAsia" w:ascii="宋体" w:hAnsi="宋体" w:eastAsia="宋体" w:cs="宋体"/>
          <w:color w:val="auto"/>
          <w:sz w:val="24"/>
          <w:highlight w:val="none"/>
        </w:rPr>
        <w:t>9.试验与检验</w:t>
      </w:r>
      <w:bookmarkEnd w:id="128"/>
      <w:bookmarkEnd w:id="129"/>
    </w:p>
    <w:p w14:paraId="286B204F">
      <w:pPr>
        <w:pStyle w:val="239"/>
        <w:pageBreakBefore w:val="0"/>
        <w:widowControl w:val="0"/>
        <w:spacing w:line="360" w:lineRule="auto"/>
        <w:rPr>
          <w:rFonts w:hint="eastAsia" w:ascii="宋体" w:hAnsi="宋体" w:eastAsia="宋体" w:cs="宋体"/>
          <w:bCs w:val="0"/>
          <w:color w:val="auto"/>
          <w:sz w:val="24"/>
          <w:szCs w:val="20"/>
          <w:highlight w:val="none"/>
        </w:rPr>
      </w:pPr>
      <w:bookmarkStart w:id="130" w:name="_Toc14470191"/>
      <w:r>
        <w:rPr>
          <w:rFonts w:hint="eastAsia" w:ascii="宋体" w:hAnsi="宋体" w:eastAsia="宋体" w:cs="宋体"/>
          <w:bCs w:val="0"/>
          <w:color w:val="auto"/>
          <w:sz w:val="24"/>
          <w:szCs w:val="20"/>
          <w:highlight w:val="none"/>
        </w:rPr>
        <w:t>9.1试验设备</w:t>
      </w:r>
      <w:bookmarkEnd w:id="130"/>
    </w:p>
    <w:p w14:paraId="4BBB86F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施工现场需要配置的试验场所：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5659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按通用条款有关规定执行</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1C5C66E9">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施工现场需要配备的试验设备：</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5660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按通用条款有关规定执行</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018970A8">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施工现场需要具备的其他试验条件：</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5661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按通用条款有关规定执行</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574AA34B">
      <w:pPr>
        <w:pStyle w:val="239"/>
        <w:pageBreakBefore w:val="0"/>
        <w:widowControl w:val="0"/>
        <w:spacing w:line="360" w:lineRule="auto"/>
        <w:rPr>
          <w:rFonts w:hint="eastAsia" w:ascii="宋体" w:hAnsi="宋体" w:eastAsia="宋体" w:cs="宋体"/>
          <w:bCs w:val="0"/>
          <w:color w:val="auto"/>
          <w:sz w:val="24"/>
          <w:szCs w:val="20"/>
          <w:highlight w:val="none"/>
        </w:rPr>
      </w:pPr>
      <w:bookmarkStart w:id="131" w:name="_Toc14470192"/>
      <w:r>
        <w:rPr>
          <w:rFonts w:hint="eastAsia" w:ascii="宋体" w:hAnsi="宋体" w:eastAsia="宋体" w:cs="宋体"/>
          <w:bCs w:val="0"/>
          <w:color w:val="auto"/>
          <w:sz w:val="24"/>
          <w:szCs w:val="20"/>
          <w:highlight w:val="none"/>
        </w:rPr>
        <w:t>9.2取样</w:t>
      </w:r>
      <w:bookmarkEnd w:id="131"/>
    </w:p>
    <w:p w14:paraId="69DE820C">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试验属于自检性质的，承包人可以单独取样。试验属于监理人抽检性质的，可由监理人取样，也可由承包人的试验人员在监理人的监督下取样。</w:t>
      </w:r>
    </w:p>
    <w:p w14:paraId="72BC049F">
      <w:pPr>
        <w:pStyle w:val="239"/>
        <w:pageBreakBefore w:val="0"/>
        <w:widowControl w:val="0"/>
        <w:spacing w:line="360" w:lineRule="auto"/>
        <w:rPr>
          <w:rFonts w:hint="eastAsia" w:ascii="宋体" w:hAnsi="宋体" w:eastAsia="宋体" w:cs="宋体"/>
          <w:bCs w:val="0"/>
          <w:color w:val="auto"/>
          <w:sz w:val="24"/>
          <w:szCs w:val="20"/>
          <w:highlight w:val="none"/>
        </w:rPr>
      </w:pPr>
      <w:bookmarkStart w:id="132" w:name="_Toc14470193"/>
      <w:r>
        <w:rPr>
          <w:rFonts w:hint="eastAsia" w:ascii="宋体" w:hAnsi="宋体" w:eastAsia="宋体" w:cs="宋体"/>
          <w:bCs w:val="0"/>
          <w:color w:val="auto"/>
          <w:sz w:val="24"/>
          <w:szCs w:val="20"/>
          <w:highlight w:val="none"/>
        </w:rPr>
        <w:t>9.3材料、工程设备和工程的试验和检验</w:t>
      </w:r>
      <w:bookmarkEnd w:id="132"/>
    </w:p>
    <w:p w14:paraId="6FB9E39F">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3D2B998A">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09FE2961">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333AC81E">
      <w:pPr>
        <w:pStyle w:val="239"/>
        <w:pageBreakBefore w:val="0"/>
        <w:widowControl w:val="0"/>
        <w:spacing w:line="360" w:lineRule="auto"/>
        <w:rPr>
          <w:rFonts w:hint="eastAsia" w:ascii="宋体" w:hAnsi="宋体" w:eastAsia="宋体" w:cs="宋体"/>
          <w:bCs w:val="0"/>
          <w:color w:val="auto"/>
          <w:sz w:val="24"/>
          <w:szCs w:val="20"/>
          <w:highlight w:val="none"/>
        </w:rPr>
      </w:pPr>
      <w:bookmarkStart w:id="133" w:name="_Toc14470194"/>
      <w:r>
        <w:rPr>
          <w:rFonts w:hint="eastAsia" w:ascii="宋体" w:hAnsi="宋体" w:eastAsia="宋体" w:cs="宋体"/>
          <w:bCs w:val="0"/>
          <w:color w:val="auto"/>
          <w:sz w:val="24"/>
          <w:szCs w:val="20"/>
          <w:highlight w:val="none"/>
        </w:rPr>
        <w:t>9.4现场工艺试验</w:t>
      </w:r>
      <w:bookmarkEnd w:id="133"/>
    </w:p>
    <w:p w14:paraId="0ECCE926">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现场工艺试验的有关约定：</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5662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按通用条款有关规定执行</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65DA7CC5">
      <w:pPr>
        <w:pStyle w:val="237"/>
        <w:pageBreakBefore w:val="0"/>
        <w:widowControl w:val="0"/>
        <w:spacing w:line="360" w:lineRule="auto"/>
        <w:rPr>
          <w:rFonts w:hint="eastAsia" w:ascii="宋体" w:hAnsi="宋体" w:eastAsia="宋体" w:cs="宋体"/>
          <w:color w:val="auto"/>
          <w:sz w:val="24"/>
          <w:highlight w:val="none"/>
        </w:rPr>
      </w:pPr>
      <w:bookmarkStart w:id="134" w:name="_Toc14470195"/>
      <w:bookmarkStart w:id="135" w:name="_Toc71558880"/>
      <w:r>
        <w:rPr>
          <w:rFonts w:hint="eastAsia" w:ascii="宋体" w:hAnsi="宋体" w:eastAsia="宋体" w:cs="宋体"/>
          <w:color w:val="auto"/>
          <w:sz w:val="24"/>
          <w:highlight w:val="none"/>
        </w:rPr>
        <w:t>10.变更</w:t>
      </w:r>
      <w:bookmarkEnd w:id="134"/>
      <w:bookmarkEnd w:id="135"/>
    </w:p>
    <w:p w14:paraId="5B6E3FE5">
      <w:pPr>
        <w:pStyle w:val="239"/>
        <w:pageBreakBefore w:val="0"/>
        <w:widowControl w:val="0"/>
        <w:spacing w:line="360" w:lineRule="auto"/>
        <w:rPr>
          <w:rFonts w:hint="eastAsia" w:ascii="宋体" w:hAnsi="宋体" w:eastAsia="宋体" w:cs="宋体"/>
          <w:bCs w:val="0"/>
          <w:color w:val="auto"/>
          <w:sz w:val="24"/>
          <w:szCs w:val="20"/>
          <w:highlight w:val="none"/>
        </w:rPr>
      </w:pPr>
      <w:bookmarkStart w:id="136" w:name="_Toc14470196"/>
      <w:r>
        <w:rPr>
          <w:rFonts w:hint="eastAsia" w:ascii="宋体" w:hAnsi="宋体" w:eastAsia="宋体" w:cs="宋体"/>
          <w:bCs w:val="0"/>
          <w:color w:val="auto"/>
          <w:sz w:val="24"/>
          <w:szCs w:val="20"/>
          <w:highlight w:val="none"/>
        </w:rPr>
        <w:t>10.1变更的范围</w:t>
      </w:r>
      <w:bookmarkEnd w:id="136"/>
    </w:p>
    <w:p w14:paraId="0D02A5E3">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color w:val="auto"/>
          <w:highlight w:val="none"/>
        </w:rPr>
        <w:t>关于变更的范围的约定：</w:t>
      </w:r>
      <w:r>
        <w:rPr>
          <w:rFonts w:hint="eastAsia" w:ascii="宋体" w:hAnsi="宋体" w:eastAsia="宋体" w:cs="宋体"/>
          <w:bCs/>
          <w:color w:val="auto"/>
          <w:highlight w:val="none"/>
          <w:u w:val="single"/>
        </w:rPr>
        <w:t>（1）施工中发包人需对原工程进行设计变更，应提前3天以书面形式向承包人发出变更通知。变更超过原设计标准或批准的建设规模需要重新报批或重新审图时，发包人应报规划管理部门和其他相关部门重新审查批准，并由原设计单位提供变更的相应图纸及说明。</w:t>
      </w:r>
    </w:p>
    <w:p w14:paraId="0EC17787">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承包人按发包人发出的变更通知及相关要求，进行下列需要的变更：①更改工程相关部分的标高、基线、位置和尺寸；②增减合同中约定的工程量；③改变有关施工顺序和时间；④其他有关工程变更需要追加的额外工作。因变更导致合同价款的增减及造成的承包人损失，由发包人承担，延误的工期相应顺延。</w:t>
      </w:r>
    </w:p>
    <w:p w14:paraId="30CDAA72">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（2）承包人不得对原设计擅自进行变更，由此造成的经济损失及工期延后由承包人自行承担，并赔偿发包人有关损失。</w:t>
      </w:r>
    </w:p>
    <w:p w14:paraId="363FB1A6">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3）承包人在施工中提出合理化建议及涉及对设计图纸或施工组织设计的更改及对材料、设备的更换，须经设计单位、总监理工程师及发包人书面同意。未经同意擅自更改的，承包人承担由此发生的费用，并赔偿发包人有关损失，工期不得延后。</w:t>
      </w:r>
    </w:p>
    <w:p w14:paraId="36B0090E">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发包人采用承包人合理化建议，所发生的费用和获得的收益，发包人、承包人另行约定分担或分享。</w:t>
      </w:r>
    </w:p>
    <w:p w14:paraId="510D873D">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（4）合同履行中发包人要求变更工程质量标准及发生其他实质性变更，由双方协商解决。</w:t>
      </w:r>
    </w:p>
    <w:p w14:paraId="1B298637">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（5）发包人保留变更或调整工程量的权力，承包人不得拒绝变更，更不得以变更为由提出不合理的要求；</w:t>
      </w:r>
    </w:p>
    <w:p w14:paraId="74FF98B0">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（6）承包人必须按发包人要求完成变更工作，否则发包人有权交由第三方承包人完成，并按第三方承包人报价的双倍作为违约金扣减承包人的合同价款。</w:t>
      </w:r>
    </w:p>
    <w:p w14:paraId="4004E948">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（7）因设计变更导致工期的顺延以监理工程师审核、发包人批准为准。</w:t>
      </w:r>
    </w:p>
    <w:p w14:paraId="4F3C5A34">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bCs/>
          <w:color w:val="auto"/>
          <w:highlight w:val="none"/>
          <w:u w:val="single"/>
        </w:rPr>
        <w:t>（8）设计单位出具的设计变更必须得到发包人的</w:t>
      </w:r>
      <w:r>
        <w:rPr>
          <w:rFonts w:hint="eastAsia" w:ascii="宋体" w:hAnsi="宋体" w:eastAsia="宋体" w:cs="宋体"/>
          <w:bCs/>
          <w:color w:val="auto"/>
          <w:highlight w:val="none"/>
          <w:u w:val="single"/>
          <w:lang w:val="en-US" w:eastAsia="zh-CN"/>
        </w:rPr>
        <w:t>书面</w:t>
      </w:r>
      <w:r>
        <w:rPr>
          <w:rFonts w:hint="eastAsia" w:ascii="宋体" w:hAnsi="宋体" w:eastAsia="宋体" w:cs="宋体"/>
          <w:bCs/>
          <w:color w:val="auto"/>
          <w:highlight w:val="none"/>
          <w:u w:val="single"/>
        </w:rPr>
        <w:t>批准。承包人不得直接从设计单位取得设计变更，或者以贿赂等不正当手段影响本工程的设计师进行变更。否则，由此增加的工程费用由承包人承担，工期不予顺延</w:t>
      </w:r>
      <w:r>
        <w:rPr>
          <w:rFonts w:hint="eastAsia" w:ascii="宋体" w:hAnsi="宋体" w:eastAsia="宋体" w:cs="宋体"/>
          <w:color w:val="auto"/>
          <w:highlight w:val="none"/>
        </w:rPr>
        <w:t>。</w:t>
      </w:r>
    </w:p>
    <w:p w14:paraId="19182E74">
      <w:pPr>
        <w:pStyle w:val="239"/>
        <w:pageBreakBefore w:val="0"/>
        <w:widowControl w:val="0"/>
        <w:spacing w:line="360" w:lineRule="auto"/>
        <w:rPr>
          <w:rFonts w:hint="eastAsia" w:ascii="宋体" w:hAnsi="宋体" w:eastAsia="宋体" w:cs="宋体"/>
          <w:bCs w:val="0"/>
          <w:color w:val="auto"/>
          <w:sz w:val="24"/>
          <w:szCs w:val="20"/>
          <w:highlight w:val="none"/>
        </w:rPr>
      </w:pPr>
      <w:bookmarkStart w:id="137" w:name="_Toc14470197"/>
      <w:r>
        <w:rPr>
          <w:rFonts w:hint="eastAsia" w:ascii="宋体" w:hAnsi="宋体" w:eastAsia="宋体" w:cs="宋体"/>
          <w:bCs w:val="0"/>
          <w:color w:val="auto"/>
          <w:sz w:val="24"/>
          <w:szCs w:val="20"/>
          <w:highlight w:val="none"/>
        </w:rPr>
        <w:t>10.2变更估价</w:t>
      </w:r>
      <w:bookmarkEnd w:id="137"/>
    </w:p>
    <w:p w14:paraId="1F33D6C6">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10.2.1变更估价原则</w:t>
      </w:r>
    </w:p>
    <w:p w14:paraId="51B81629">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关于变更估价的约定：</w:t>
      </w:r>
    </w:p>
    <w:p w14:paraId="41E60B67">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①工程量清单项目的项目特征与投标报价中项目相同的，按投标报价的综合单价计算。</w:t>
      </w:r>
    </w:p>
    <w:p w14:paraId="4380852C">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②新增工程量清单项目的项目特征与投标报价中项目类似的，综合单价按类似项目在按《建设工程工程量清单计价标准》（GB/T50500-2024）及《房屋建筑与装饰工程工程量计算标准》（GB/T50854-2024）、《通用安装工程工程量计算标准》（GB/T50856-2024）中的人工、材料、机械台班耗用量、让利幅度，类似项目投标报价时的人工、机械台班单价、管理费、利润等费用标准、让利幅度及材料价格（无投标价的材料由承包人提出申请，发包人办理确认单价）计算，作为结算单价。其相应综合单价及材料市场价由承包人提出，经发包人及监理人审核后，报发包人委托的跟踪审计单位审计。</w:t>
      </w:r>
    </w:p>
    <w:p w14:paraId="6E62F9F6">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上述的“与投标报价中项目类似的”新增项目，指与投标分部分项工程量清单项目编码一至九位完全相同的新增的分部分项工程。</w:t>
      </w:r>
    </w:p>
    <w:p w14:paraId="62871048">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③投标报价中没有综合单价的新的工程量清单项目，新增综合单价</w:t>
      </w:r>
      <w:r>
        <w:rPr>
          <w:rFonts w:hint="eastAsia" w:ascii="宋体" w:hAnsi="宋体" w:cs="宋体"/>
          <w:bCs/>
          <w:color w:val="auto"/>
          <w:highlight w:val="none"/>
          <w:u w:val="none"/>
          <w:lang w:eastAsia="zh-CN"/>
        </w:rPr>
        <w:t>按</w:t>
      </w:r>
      <w:r>
        <w:rPr>
          <w:rFonts w:hint="eastAsia" w:ascii="宋体" w:hAnsi="宋体" w:eastAsia="宋体" w:cs="宋体"/>
          <w:bCs/>
          <w:color w:val="auto"/>
          <w:highlight w:val="none"/>
          <w:u w:val="none"/>
        </w:rPr>
        <w:t>《建设工程工程量清单计价标准》（GB/T50500-2024）及《房屋建筑与装饰工程工程量计算标准》（GB/T50854-2024）、《通用安装工程工程量计算标准》（GB/T50856-2024）、苏建价〔2026〕76号</w:t>
      </w:r>
      <w:r>
        <w:rPr>
          <w:rFonts w:hint="eastAsia" w:ascii="宋体" w:hAnsi="宋体" w:cs="宋体"/>
          <w:bCs/>
          <w:color w:val="auto"/>
          <w:highlight w:val="none"/>
          <w:u w:val="none"/>
          <w:lang w:val="en-US" w:eastAsia="zh-CN"/>
        </w:rPr>
        <w:t>文内规定的最新要求</w:t>
      </w:r>
      <w:r>
        <w:rPr>
          <w:rFonts w:hint="eastAsia" w:ascii="宋体" w:hAnsi="宋体" w:eastAsia="宋体" w:cs="宋体"/>
          <w:bCs/>
          <w:color w:val="auto"/>
          <w:highlight w:val="none"/>
          <w:u w:val="none"/>
        </w:rPr>
        <w:t>、苏建价〔2016〕154号营改增文件、省住房和城乡建设厅</w:t>
      </w:r>
      <w:r>
        <w:rPr>
          <w:rFonts w:hint="eastAsia" w:ascii="宋体" w:hAnsi="宋体" w:cs="宋体"/>
          <w:bCs/>
          <w:color w:val="auto"/>
          <w:highlight w:val="none"/>
          <w:u w:val="none"/>
          <w:lang w:eastAsia="zh-CN"/>
        </w:rPr>
        <w:t>〔2018〕24号</w:t>
      </w:r>
      <w:r>
        <w:rPr>
          <w:rFonts w:hint="eastAsia" w:ascii="宋体" w:hAnsi="宋体" w:eastAsia="宋体" w:cs="宋体"/>
          <w:bCs/>
          <w:color w:val="auto"/>
          <w:highlight w:val="none"/>
          <w:u w:val="none"/>
        </w:rPr>
        <w:t>、苏建函价〔2019〕178号中的人工、材料、机械台班耗用量、投标报价时的人工、机械台班单价、材料价格（无投标价的材料由承包人提出申请，发包人办理确认单价），按照投标报价中管理费和利润的取费优惠标准作为结算单价。新增综合单价及材料市场价由承包人提出，经发包人及监理人审核后，报发包人委托的跟踪审计单位审计。</w:t>
      </w:r>
    </w:p>
    <w:p w14:paraId="26D9ED45">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10.2.2材料变更时价格确定</w:t>
      </w:r>
    </w:p>
    <w:p w14:paraId="483DA3E7">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承包人材料价格明细表中没有的材料，由承包人呈报价格，最终经监理、发包人批准后的价格为准。</w:t>
      </w:r>
    </w:p>
    <w:p w14:paraId="1B6C1E46">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10.2.3其他</w:t>
      </w:r>
    </w:p>
    <w:p w14:paraId="54D532DE">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①除总价措施项目中现场施工安全文明措施费项目可随分部分项工程量清单中工程量的增减作相应调整，其余的当分部分项工程量清单项目发生工程量变化或变更时，其总价措施项目及单价措施项目费用均不作调整，包干使用。对发包人所列的措施项目，承包人已根据工程实际与施工组织设计进行增补，但未更改发包人已列措施项目，结算时，承包人不得以招标工程措施项目清单缺项为由要求新增措施项目。</w:t>
      </w:r>
    </w:p>
    <w:p w14:paraId="24F0CD76">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②承包人自行施工工程内容所有专项检测费用均由承包人自行承担，已包含在本合同内。</w:t>
      </w:r>
    </w:p>
    <w:p w14:paraId="3225873B">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10.2.4设计变更、工程签证的价款结算：</w:t>
      </w:r>
    </w:p>
    <w:p w14:paraId="7A700A58">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①经监理工程师、设计单位确认，发包人批准后的设计变更，方可作为结算依据；</w:t>
      </w:r>
    </w:p>
    <w:p w14:paraId="51A69F29">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②经监理工程师确认，发包人批准后的工程签证，方可作为结算的依据。</w:t>
      </w:r>
    </w:p>
    <w:p w14:paraId="121F81E5">
      <w:pPr>
        <w:pageBreakBefore w:val="0"/>
        <w:widowControl w:val="0"/>
        <w:spacing w:line="360" w:lineRule="auto"/>
        <w:ind w:firstLine="420"/>
        <w:jc w:val="left"/>
        <w:rPr>
          <w:rFonts w:hint="eastAsia" w:ascii="宋体" w:hAnsi="宋体" w:eastAsia="宋体" w:cs="宋体"/>
          <w:bCs/>
          <w:color w:val="auto"/>
          <w:highlight w:val="none"/>
          <w:u w:val="none"/>
        </w:rPr>
      </w:pPr>
      <w:r>
        <w:rPr>
          <w:rFonts w:hint="eastAsia" w:ascii="宋体" w:hAnsi="宋体" w:eastAsia="宋体" w:cs="宋体"/>
          <w:bCs/>
          <w:color w:val="auto"/>
          <w:highlight w:val="none"/>
          <w:u w:val="none"/>
        </w:rPr>
        <w:t xml:space="preserve">③按发包人规定的工作流程执行：承包人收到设计变更后14天内，向监理工程师提出变更工程价款的完整资料，经监理工程师审核，报发包人相关部门批准后，可以作为直接计入竣工结算价款。 </w:t>
      </w:r>
    </w:p>
    <w:p w14:paraId="49FFB767">
      <w:pPr>
        <w:pStyle w:val="239"/>
        <w:pageBreakBefore w:val="0"/>
        <w:widowControl w:val="0"/>
        <w:spacing w:line="360" w:lineRule="auto"/>
        <w:rPr>
          <w:rFonts w:hint="eastAsia" w:ascii="宋体" w:hAnsi="宋体" w:eastAsia="宋体" w:cs="宋体"/>
          <w:bCs w:val="0"/>
          <w:color w:val="auto"/>
          <w:sz w:val="24"/>
          <w:szCs w:val="20"/>
          <w:highlight w:val="none"/>
        </w:rPr>
      </w:pPr>
      <w:bookmarkStart w:id="138" w:name="_Toc14470198"/>
      <w:r>
        <w:rPr>
          <w:rFonts w:hint="eastAsia" w:ascii="宋体" w:hAnsi="宋体" w:eastAsia="宋体" w:cs="宋体"/>
          <w:bCs w:val="0"/>
          <w:color w:val="auto"/>
          <w:sz w:val="24"/>
          <w:szCs w:val="20"/>
          <w:highlight w:val="none"/>
        </w:rPr>
        <w:t>10.3承包人的合理化建议</w:t>
      </w:r>
      <w:bookmarkEnd w:id="138"/>
    </w:p>
    <w:p w14:paraId="5669864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监理人审查承包人合理化建议的期限：</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5665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按通用条款有关规定执行 。</w:t>
      </w:r>
      <w:r>
        <w:rPr>
          <w:rFonts w:hint="eastAsia" w:ascii="宋体" w:hAnsi="宋体" w:eastAsia="宋体" w:cs="宋体"/>
          <w:color w:val="auto"/>
          <w:highlight w:val="none"/>
          <w:u w:val="single"/>
        </w:rPr>
        <w:fldChar w:fldCharType="end"/>
      </w:r>
    </w:p>
    <w:p w14:paraId="677B37B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发包人审批承包人合理化建议的期限：</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5666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按通用条款有关规定执行 。</w:t>
      </w:r>
      <w:r>
        <w:rPr>
          <w:rFonts w:hint="eastAsia" w:ascii="宋体" w:hAnsi="宋体" w:eastAsia="宋体" w:cs="宋体"/>
          <w:color w:val="auto"/>
          <w:highlight w:val="none"/>
          <w:u w:val="single"/>
        </w:rPr>
        <w:fldChar w:fldCharType="end"/>
      </w:r>
    </w:p>
    <w:p w14:paraId="6BD9C84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承包人提出的合理化建议降低了合同价格或者提高了工程经济效益的奖励的方法和金额为</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5667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无</w:t>
      </w:r>
      <w:r>
        <w:rPr>
          <w:rFonts w:hint="eastAsia" w:ascii="宋体" w:hAnsi="宋体" w:eastAsia="宋体" w:cs="宋体"/>
          <w:color w:val="auto"/>
          <w:highlight w:val="none"/>
          <w:u w:val="single"/>
        </w:rPr>
        <w:fldChar w:fldCharType="end"/>
      </w:r>
    </w:p>
    <w:p w14:paraId="58430B6C">
      <w:pPr>
        <w:pStyle w:val="239"/>
        <w:pageBreakBefore w:val="0"/>
        <w:widowControl w:val="0"/>
        <w:spacing w:line="360" w:lineRule="auto"/>
        <w:rPr>
          <w:rFonts w:hint="eastAsia" w:ascii="宋体" w:hAnsi="宋体" w:eastAsia="宋体" w:cs="宋体"/>
          <w:bCs w:val="0"/>
          <w:color w:val="auto"/>
          <w:sz w:val="24"/>
          <w:szCs w:val="20"/>
          <w:highlight w:val="none"/>
        </w:rPr>
      </w:pPr>
      <w:bookmarkStart w:id="139" w:name="_Toc14470199"/>
      <w:r>
        <w:rPr>
          <w:rFonts w:hint="eastAsia" w:ascii="宋体" w:hAnsi="宋体" w:eastAsia="宋体" w:cs="宋体"/>
          <w:bCs w:val="0"/>
          <w:color w:val="auto"/>
          <w:sz w:val="24"/>
          <w:szCs w:val="20"/>
          <w:highlight w:val="none"/>
        </w:rPr>
        <w:t>10.4暂估价</w:t>
      </w:r>
      <w:bookmarkEnd w:id="139"/>
    </w:p>
    <w:p w14:paraId="540D669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10.4.1依法必须招标的暂估价项目</w:t>
      </w:r>
    </w:p>
    <w:p w14:paraId="5761AB3F">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对于依法必须招标的暂估价项目的确认和批准采取第</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种方式确定。</w:t>
      </w:r>
    </w:p>
    <w:p w14:paraId="6D08B429">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10.4.2不属于依法必须招标的暂估价项目</w:t>
      </w:r>
    </w:p>
    <w:p w14:paraId="4D491672">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对于不属于依法必须招标的暂估价项目的确认和批准采取第</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种方式确定。</w:t>
      </w:r>
    </w:p>
    <w:p w14:paraId="7662AB7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第3种方式：承包人直接实施的暂估价项目</w:t>
      </w:r>
    </w:p>
    <w:p w14:paraId="7D2A30D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承包人直接实施的暂估价项目的约定：</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5670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bCs/>
          <w:color w:val="auto"/>
          <w:highlight w:val="none"/>
          <w:u w:val="single"/>
        </w:rPr>
        <w:t>按发包人的要求执行</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180D8E80">
      <w:pPr>
        <w:pStyle w:val="239"/>
        <w:pageBreakBefore w:val="0"/>
        <w:widowControl w:val="0"/>
        <w:spacing w:line="360" w:lineRule="auto"/>
        <w:rPr>
          <w:rFonts w:hint="eastAsia" w:ascii="宋体" w:hAnsi="宋体" w:eastAsia="宋体" w:cs="宋体"/>
          <w:bCs w:val="0"/>
          <w:color w:val="auto"/>
          <w:sz w:val="24"/>
          <w:szCs w:val="20"/>
          <w:highlight w:val="none"/>
        </w:rPr>
      </w:pPr>
      <w:bookmarkStart w:id="140" w:name="_Toc14470200"/>
      <w:r>
        <w:rPr>
          <w:rFonts w:hint="eastAsia" w:ascii="宋体" w:hAnsi="宋体" w:eastAsia="宋体" w:cs="宋体"/>
          <w:bCs w:val="0"/>
          <w:color w:val="auto"/>
          <w:sz w:val="24"/>
          <w:szCs w:val="20"/>
          <w:highlight w:val="none"/>
        </w:rPr>
        <w:t>10.5暂列金额</w:t>
      </w:r>
      <w:bookmarkEnd w:id="140"/>
    </w:p>
    <w:p w14:paraId="0D1CE9D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合同当事人关于暂列金额使用的约定：</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5671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bCs/>
          <w:color w:val="auto"/>
          <w:highlight w:val="none"/>
          <w:u w:val="single"/>
        </w:rPr>
        <w:t>按发包人的要求执行</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7E92BEC4">
      <w:pPr>
        <w:pStyle w:val="237"/>
        <w:pageBreakBefore w:val="0"/>
        <w:widowControl w:val="0"/>
        <w:spacing w:line="360" w:lineRule="auto"/>
        <w:rPr>
          <w:rFonts w:hint="eastAsia" w:ascii="宋体" w:hAnsi="宋体" w:eastAsia="宋体" w:cs="宋体"/>
          <w:color w:val="auto"/>
          <w:sz w:val="24"/>
          <w:highlight w:val="none"/>
        </w:rPr>
      </w:pPr>
      <w:bookmarkStart w:id="141" w:name="_Toc14470201"/>
      <w:bookmarkStart w:id="142" w:name="_Toc71558881"/>
      <w:r>
        <w:rPr>
          <w:rFonts w:hint="eastAsia" w:ascii="宋体" w:hAnsi="宋体" w:eastAsia="宋体" w:cs="宋体"/>
          <w:color w:val="auto"/>
          <w:sz w:val="24"/>
          <w:highlight w:val="none"/>
        </w:rPr>
        <w:t>11.价格调整</w:t>
      </w:r>
      <w:bookmarkEnd w:id="141"/>
      <w:bookmarkEnd w:id="142"/>
    </w:p>
    <w:p w14:paraId="5855BA19">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市场价格波动是否调整合同价格的约定：</w:t>
      </w:r>
      <w:r>
        <w:rPr>
          <w:rFonts w:hint="eastAsia" w:ascii="宋体" w:hAnsi="宋体" w:eastAsia="宋体" w:cs="宋体"/>
          <w:color w:val="auto"/>
          <w:highlight w:val="none"/>
          <w:u w:val="single"/>
          <w:lang w:val="en-US" w:eastAsia="zh-CN"/>
        </w:rPr>
        <w:t>不允许调整</w:t>
      </w:r>
      <w:r>
        <w:rPr>
          <w:rFonts w:hint="eastAsia" w:ascii="宋体" w:hAnsi="宋体" w:eastAsia="宋体" w:cs="宋体"/>
          <w:color w:val="auto"/>
          <w:highlight w:val="none"/>
          <w:u w:val="single"/>
        </w:rPr>
        <w:t xml:space="preserve"> </w:t>
      </w:r>
    </w:p>
    <w:p w14:paraId="658F3E74">
      <w:pPr>
        <w:pStyle w:val="237"/>
        <w:pageBreakBefore w:val="0"/>
        <w:widowControl w:val="0"/>
        <w:spacing w:line="360" w:lineRule="auto"/>
        <w:rPr>
          <w:rFonts w:hint="eastAsia" w:ascii="宋体" w:hAnsi="宋体" w:eastAsia="宋体" w:cs="宋体"/>
          <w:color w:val="auto"/>
          <w:sz w:val="24"/>
          <w:highlight w:val="none"/>
        </w:rPr>
      </w:pPr>
      <w:bookmarkStart w:id="143" w:name="_Toc71558882"/>
      <w:bookmarkStart w:id="144" w:name="_Toc14470202"/>
      <w:r>
        <w:rPr>
          <w:rFonts w:hint="eastAsia" w:ascii="宋体" w:hAnsi="宋体" w:eastAsia="宋体" w:cs="宋体"/>
          <w:color w:val="auto"/>
          <w:sz w:val="24"/>
          <w:highlight w:val="none"/>
        </w:rPr>
        <w:t>12.合同价格、计量与支付</w:t>
      </w:r>
      <w:bookmarkEnd w:id="143"/>
      <w:bookmarkEnd w:id="144"/>
    </w:p>
    <w:p w14:paraId="7829A6C5">
      <w:pPr>
        <w:pStyle w:val="239"/>
        <w:pageBreakBefore w:val="0"/>
        <w:widowControl w:val="0"/>
        <w:spacing w:line="360" w:lineRule="auto"/>
        <w:rPr>
          <w:rFonts w:hint="eastAsia" w:ascii="宋体" w:hAnsi="宋体" w:eastAsia="宋体" w:cs="宋体"/>
          <w:bCs w:val="0"/>
          <w:color w:val="auto"/>
          <w:sz w:val="24"/>
          <w:szCs w:val="20"/>
          <w:highlight w:val="none"/>
        </w:rPr>
      </w:pPr>
      <w:bookmarkStart w:id="145" w:name="_Toc14470203"/>
      <w:r>
        <w:rPr>
          <w:rFonts w:hint="eastAsia" w:ascii="宋体" w:hAnsi="宋体" w:eastAsia="宋体" w:cs="宋体"/>
          <w:bCs w:val="0"/>
          <w:color w:val="auto"/>
          <w:sz w:val="24"/>
          <w:szCs w:val="20"/>
          <w:highlight w:val="none"/>
        </w:rPr>
        <w:t>12.1合同价格形式</w:t>
      </w:r>
      <w:bookmarkEnd w:id="145"/>
    </w:p>
    <w:p w14:paraId="62A3178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1、单价合同。</w:t>
      </w:r>
    </w:p>
    <w:p w14:paraId="44ECF90D">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综合单价包含的风险范围：</w:t>
      </w:r>
      <w:r>
        <w:rPr>
          <w:rFonts w:hint="eastAsia" w:ascii="宋体" w:hAnsi="宋体" w:eastAsia="宋体" w:cs="宋体"/>
          <w:bCs/>
          <w:color w:val="auto"/>
          <w:highlight w:val="none"/>
          <w:u w:val="single"/>
        </w:rPr>
        <w:t>风险范围参照江苏省和无锡市相关文件规定执行</w:t>
      </w:r>
      <w:r>
        <w:rPr>
          <w:rFonts w:hint="eastAsia" w:ascii="宋体" w:hAnsi="宋体" w:eastAsia="宋体" w:cs="宋体"/>
          <w:color w:val="auto"/>
          <w:highlight w:val="none"/>
        </w:rPr>
        <w:t>。</w:t>
      </w:r>
    </w:p>
    <w:p w14:paraId="0D4818A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风险费用的计算方法：</w:t>
      </w:r>
      <w:r>
        <w:rPr>
          <w:rFonts w:hint="eastAsia" w:ascii="宋体" w:hAnsi="宋体" w:eastAsia="宋体" w:cs="宋体"/>
          <w:color w:val="auto"/>
          <w:highlight w:val="none"/>
          <w:u w:val="single"/>
        </w:rPr>
        <w:t xml:space="preserve">按无锡市建设行政主管部门的相关规定计取，承包人应充分考虑工程建设周期内市场价格等因素的波动风险，风险费用包含在投标报价中     </w:t>
      </w:r>
      <w:r>
        <w:rPr>
          <w:rFonts w:hint="eastAsia" w:ascii="宋体" w:hAnsi="宋体" w:eastAsia="宋体" w:cs="宋体"/>
          <w:color w:val="auto"/>
          <w:highlight w:val="none"/>
        </w:rPr>
        <w:t>。</w:t>
      </w:r>
    </w:p>
    <w:p w14:paraId="00B5BC95">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风险范围以外合同价格的调整方法：</w:t>
      </w:r>
    </w:p>
    <w:p w14:paraId="52CC5F87">
      <w:pPr>
        <w:pageBreakBefore w:val="0"/>
        <w:widowControl w:val="0"/>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（1）未发生工程变更的计价：投标报价时的分部分项综合单价和措施项目费均不调整（不论工程量变更做多大增减）</w:t>
      </w:r>
      <w:r>
        <w:rPr>
          <w:rFonts w:hint="eastAsia" w:ascii="宋体" w:hAnsi="宋体" w:eastAsia="宋体" w:cs="宋体"/>
          <w:bCs/>
          <w:color w:val="auto"/>
          <w:highlight w:val="none"/>
          <w:u w:val="single"/>
        </w:rPr>
        <w:t>，</w:t>
      </w:r>
      <w:r>
        <w:rPr>
          <w:rFonts w:hint="eastAsia" w:ascii="宋体" w:hAnsi="宋体" w:eastAsia="宋体" w:cs="宋体"/>
          <w:color w:val="auto"/>
          <w:highlight w:val="none"/>
          <w:u w:val="single"/>
        </w:rPr>
        <w:t>工程数量以监理工程师、跟踪审计人员及发包人签证作为付款的依据，并按实调整。</w:t>
      </w:r>
    </w:p>
    <w:p w14:paraId="0586CE91">
      <w:pPr>
        <w:pageBreakBefore w:val="0"/>
        <w:widowControl w:val="0"/>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u w:val="single"/>
          <w:lang w:val="zh-CN"/>
        </w:rPr>
        <w:t>（</w:t>
      </w:r>
      <w:r>
        <w:rPr>
          <w:rFonts w:hint="eastAsia" w:ascii="宋体" w:hAnsi="宋体" w:eastAsia="宋体" w:cs="宋体"/>
          <w:color w:val="auto"/>
          <w:highlight w:val="none"/>
          <w:u w:val="single"/>
          <w:lang w:val="en-US" w:eastAsia="zh-CN"/>
        </w:rPr>
        <w:t>2</w:t>
      </w:r>
      <w:r>
        <w:rPr>
          <w:rFonts w:hint="eastAsia" w:ascii="宋体" w:hAnsi="宋体" w:eastAsia="宋体" w:cs="宋体"/>
          <w:color w:val="auto"/>
          <w:highlight w:val="none"/>
          <w:u w:val="single"/>
          <w:lang w:val="zh-CN"/>
        </w:rPr>
        <w:t>）</w:t>
      </w:r>
      <w:bookmarkStart w:id="146" w:name="OLE_LINK11"/>
      <w:r>
        <w:rPr>
          <w:rFonts w:hint="eastAsia" w:ascii="宋体" w:hAnsi="宋体" w:eastAsia="宋体" w:cs="宋体"/>
          <w:bCs/>
          <w:color w:val="auto"/>
          <w:highlight w:val="none"/>
          <w:u w:val="single"/>
        </w:rPr>
        <w:t>投标时各单位工程中同一清单子目对应的综合单价报价应保持一致，如不一致，结算审计时以所报综合单价中最低的作为结算依据。</w:t>
      </w:r>
      <w:bookmarkEnd w:id="146"/>
    </w:p>
    <w:p w14:paraId="055CB696">
      <w:pPr>
        <w:pageBreakBefore w:val="0"/>
        <w:widowControl w:val="0"/>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）不可抗力因素所造成的损失经发包人审核及无锡市有关部门认定后可列入结算</w:t>
      </w:r>
      <w:r>
        <w:rPr>
          <w:rFonts w:hint="eastAsia" w:ascii="宋体" w:hAnsi="宋体" w:eastAsia="宋体" w:cs="宋体"/>
          <w:color w:val="auto"/>
          <w:highlight w:val="none"/>
        </w:rPr>
        <w:t>。</w:t>
      </w:r>
    </w:p>
    <w:p w14:paraId="257238F5">
      <w:pPr>
        <w:pageBreakBefore w:val="0"/>
        <w:widowControl w:val="0"/>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4</w:t>
      </w:r>
      <w:r>
        <w:rPr>
          <w:rFonts w:hint="eastAsia" w:ascii="宋体" w:hAnsi="宋体" w:eastAsia="宋体" w:cs="宋体"/>
          <w:color w:val="auto"/>
          <w:highlight w:val="none"/>
          <w:u w:val="single"/>
        </w:rPr>
        <w:t>）工程变更：施工过程中，若发包人有工程变更，以书面形式通知承包人并由承包人负责编制预算，经审核单位审核确认后，按规定办理书面签证手续。工程变更坚持一事一签证的原则，填写《工程变更联系单、签证单》，经批准后方可实施。超过5万元的变更由建设单位、监理、审计及评审中心确认后方可实施。</w:t>
      </w:r>
    </w:p>
    <w:p w14:paraId="2EC0B3C3">
      <w:pPr>
        <w:pageBreakBefore w:val="0"/>
        <w:widowControl w:val="0"/>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5</w:t>
      </w:r>
      <w:r>
        <w:rPr>
          <w:rFonts w:hint="eastAsia" w:ascii="宋体" w:hAnsi="宋体" w:eastAsia="宋体" w:cs="宋体"/>
          <w:color w:val="auto"/>
          <w:highlight w:val="none"/>
          <w:u w:val="single"/>
        </w:rPr>
        <w:t>）承包人无条件接受财政或上级部门组织的审核，审核结果作为竣工结算最终依据。</w:t>
      </w:r>
    </w:p>
    <w:p w14:paraId="6D8BCCCA">
      <w:pPr>
        <w:pageBreakBefore w:val="0"/>
        <w:widowControl w:val="0"/>
        <w:spacing w:line="360" w:lineRule="auto"/>
        <w:ind w:firstLine="420"/>
        <w:rPr>
          <w:rFonts w:hint="eastAsia" w:ascii="宋体" w:hAnsi="宋体" w:eastAsia="宋体" w:cs="宋体"/>
          <w:color w:val="auto"/>
          <w:highlight w:val="none"/>
          <w:u w:val="single"/>
        </w:rPr>
      </w:pPr>
      <w:bookmarkStart w:id="147" w:name="OLE_LINK6"/>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6</w:t>
      </w:r>
      <w:r>
        <w:rPr>
          <w:rFonts w:hint="eastAsia" w:ascii="宋体" w:hAnsi="宋体" w:eastAsia="宋体" w:cs="宋体"/>
          <w:color w:val="auto"/>
          <w:highlight w:val="none"/>
          <w:u w:val="single"/>
        </w:rPr>
        <w:t>）最终造价以审计机关出具的审计报告为准，必须经审计机关审计后方可工程结算和竣工决算。</w:t>
      </w:r>
      <w:bookmarkEnd w:id="147"/>
    </w:p>
    <w:p w14:paraId="79C7A5A6">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2、总价合同。</w:t>
      </w:r>
    </w:p>
    <w:p w14:paraId="6E5F856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总价包含的风险范围：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5685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78378A49">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风险费用的计算方法：</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5686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70B916AF">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风险范围以外合同价格的调整方法：</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5687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11C057AD">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3、其他价格方式：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5688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无</w:t>
      </w:r>
      <w:r>
        <w:rPr>
          <w:rFonts w:hint="eastAsia" w:ascii="宋体" w:hAnsi="宋体" w:eastAsia="宋体" w:cs="宋体"/>
          <w:color w:val="auto"/>
          <w:highlight w:val="none"/>
          <w:u w:val="single"/>
        </w:rPr>
        <w:fldChar w:fldCharType="end"/>
      </w:r>
    </w:p>
    <w:p w14:paraId="68F1DAC0">
      <w:pPr>
        <w:pStyle w:val="239"/>
        <w:pageBreakBefore w:val="0"/>
        <w:widowControl w:val="0"/>
        <w:spacing w:line="360" w:lineRule="auto"/>
        <w:rPr>
          <w:rFonts w:hint="eastAsia" w:ascii="宋体" w:hAnsi="宋体" w:eastAsia="宋体" w:cs="宋体"/>
          <w:bCs w:val="0"/>
          <w:color w:val="auto"/>
          <w:sz w:val="24"/>
          <w:szCs w:val="20"/>
          <w:highlight w:val="none"/>
        </w:rPr>
      </w:pPr>
      <w:bookmarkStart w:id="148" w:name="_Toc14470204"/>
      <w:r>
        <w:rPr>
          <w:rFonts w:hint="eastAsia" w:ascii="宋体" w:hAnsi="宋体" w:eastAsia="宋体" w:cs="宋体"/>
          <w:bCs w:val="0"/>
          <w:color w:val="auto"/>
          <w:sz w:val="24"/>
          <w:szCs w:val="20"/>
          <w:highlight w:val="none"/>
        </w:rPr>
        <w:t>12.2预付款</w:t>
      </w:r>
      <w:bookmarkEnd w:id="148"/>
    </w:p>
    <w:p w14:paraId="514068EB">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12.2.1预付款的支付</w:t>
      </w:r>
    </w:p>
    <w:p w14:paraId="1BB2027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预付款支付比例或金额：</w:t>
      </w:r>
      <w:r>
        <w:rPr>
          <w:rFonts w:hint="eastAsia" w:ascii="宋体" w:hAnsi="宋体" w:eastAsia="宋体" w:cs="宋体"/>
          <w:color w:val="auto"/>
          <w:szCs w:val="24"/>
          <w:highlight w:val="none"/>
          <w:u w:val="single"/>
        </w:rPr>
        <w:t>合同价的30%</w:t>
      </w:r>
      <w:r>
        <w:rPr>
          <w:rFonts w:hint="eastAsia" w:ascii="宋体" w:hAnsi="宋体" w:eastAsia="宋体" w:cs="宋体"/>
          <w:color w:val="auto"/>
          <w:highlight w:val="none"/>
        </w:rPr>
        <w:t>。</w:t>
      </w:r>
    </w:p>
    <w:p w14:paraId="51827A7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预付款扣回的方式：</w:t>
      </w:r>
      <w:r>
        <w:rPr>
          <w:rFonts w:hint="eastAsia" w:ascii="宋体" w:hAnsi="宋体" w:eastAsia="宋体" w:cs="宋体"/>
          <w:color w:val="auto"/>
          <w:szCs w:val="24"/>
          <w:highlight w:val="none"/>
          <w:u w:val="single"/>
        </w:rPr>
        <w:t>施工完成</w:t>
      </w:r>
      <w:r>
        <w:rPr>
          <w:rFonts w:hint="eastAsia" w:ascii="宋体" w:hAnsi="宋体" w:eastAsia="宋体" w:cs="宋体"/>
          <w:color w:val="auto"/>
          <w:szCs w:val="24"/>
          <w:highlight w:val="none"/>
          <w:u w:val="single"/>
          <w:lang w:eastAsia="zh-CN"/>
        </w:rPr>
        <w:t>验</w:t>
      </w:r>
      <w:r>
        <w:rPr>
          <w:rFonts w:hint="eastAsia" w:ascii="宋体" w:hAnsi="宋体" w:eastAsia="宋体" w:cs="宋体"/>
          <w:color w:val="auto"/>
          <w:szCs w:val="24"/>
          <w:highlight w:val="none"/>
          <w:u w:val="single"/>
        </w:rPr>
        <w:t>收合格后支付至合同金额的70%时扣回</w:t>
      </w:r>
      <w:r>
        <w:rPr>
          <w:rFonts w:hint="eastAsia" w:ascii="宋体" w:hAnsi="宋体" w:eastAsia="宋体" w:cs="宋体"/>
          <w:color w:val="auto"/>
          <w:highlight w:val="none"/>
        </w:rPr>
        <w:t>。</w:t>
      </w:r>
    </w:p>
    <w:p w14:paraId="42662517">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12.2.2预付款担保</w:t>
      </w:r>
    </w:p>
    <w:p w14:paraId="6167D5A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承包人提交预付款担保的期限：</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5692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无</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5F2DC7A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预付款担保的形式为：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5693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无</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6372C06F">
      <w:pPr>
        <w:pStyle w:val="239"/>
        <w:pageBreakBefore w:val="0"/>
        <w:widowControl w:val="0"/>
        <w:spacing w:line="360" w:lineRule="auto"/>
        <w:rPr>
          <w:rFonts w:hint="eastAsia" w:ascii="宋体" w:hAnsi="宋体" w:eastAsia="宋体" w:cs="宋体"/>
          <w:bCs w:val="0"/>
          <w:color w:val="auto"/>
          <w:sz w:val="24"/>
          <w:szCs w:val="20"/>
          <w:highlight w:val="none"/>
        </w:rPr>
      </w:pPr>
      <w:bookmarkStart w:id="149" w:name="_Toc14470205"/>
      <w:r>
        <w:rPr>
          <w:rFonts w:hint="eastAsia" w:ascii="宋体" w:hAnsi="宋体" w:eastAsia="宋体" w:cs="宋体"/>
          <w:bCs w:val="0"/>
          <w:color w:val="auto"/>
          <w:sz w:val="24"/>
          <w:szCs w:val="20"/>
          <w:highlight w:val="none"/>
        </w:rPr>
        <w:t>12.3计量</w:t>
      </w:r>
      <w:bookmarkEnd w:id="149"/>
    </w:p>
    <w:p w14:paraId="58F5DA07">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12.3.1计量原则</w:t>
      </w:r>
    </w:p>
    <w:p w14:paraId="2AA71C6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工程量计算规则：</w:t>
      </w:r>
      <w:r>
        <w:rPr>
          <w:rFonts w:hint="eastAsia" w:ascii="宋体" w:hAnsi="宋体" w:eastAsia="宋体" w:cs="宋体"/>
          <w:color w:val="auto"/>
          <w:highlight w:val="none"/>
          <w:u w:val="single"/>
        </w:rPr>
        <w:t xml:space="preserve">符合按《建设工程工程量清单计价标准》（GB/T50500-2024）及《房屋建筑与装饰工程工程量计算标准》（GB/T50854-2024）、《通用安装工程工程量计算标准》（GB/T50856-2024）、苏建价〔2026〕76号文内规定的最新要求及其相应调整文件、《房屋修缮工程计价表（土建）》2009版、《房屋修缮工程计价表（安装）》2009版、苏建价〔2016〕154号营改增文件、省住房和城乡建设厅〔2018〕第24号、苏建函价〔2019〕178号等，若以上标准、规范未能达到国家最新标准时，应按最新版本的国家标准、规范执行 </w:t>
      </w:r>
      <w:r>
        <w:rPr>
          <w:rFonts w:hint="eastAsia" w:ascii="宋体" w:hAnsi="宋体" w:eastAsia="宋体" w:cs="宋体"/>
          <w:color w:val="auto"/>
          <w:highlight w:val="none"/>
        </w:rPr>
        <w:t>。</w:t>
      </w:r>
    </w:p>
    <w:p w14:paraId="111F88B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12.3.2计量周期</w:t>
      </w:r>
    </w:p>
    <w:p w14:paraId="096BE30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关于计量周期的约定：</w:t>
      </w:r>
      <w:r>
        <w:rPr>
          <w:rFonts w:hint="eastAsia" w:ascii="宋体" w:hAnsi="宋体" w:eastAsia="宋体" w:cs="宋体"/>
          <w:color w:val="auto"/>
          <w:highlight w:val="none"/>
          <w:u w:val="single"/>
        </w:rPr>
        <w:t>按月计量</w:t>
      </w:r>
      <w:r>
        <w:rPr>
          <w:rFonts w:hint="eastAsia" w:ascii="宋体" w:hAnsi="宋体" w:eastAsia="宋体" w:cs="宋体"/>
          <w:color w:val="auto"/>
          <w:highlight w:val="none"/>
        </w:rPr>
        <w:t>。</w:t>
      </w:r>
    </w:p>
    <w:p w14:paraId="20CB903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12.3.3单价合同的计量</w:t>
      </w:r>
    </w:p>
    <w:p w14:paraId="72B642C9">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color w:val="auto"/>
          <w:highlight w:val="none"/>
        </w:rPr>
        <w:t>关于单价合同计量的约定：</w:t>
      </w:r>
      <w:r>
        <w:rPr>
          <w:rFonts w:hint="eastAsia" w:ascii="宋体" w:hAnsi="宋体" w:eastAsia="宋体" w:cs="宋体"/>
          <w:color w:val="auto"/>
          <w:highlight w:val="none"/>
          <w:u w:val="single"/>
        </w:rPr>
        <w:t>按月计量</w:t>
      </w:r>
      <w:r>
        <w:rPr>
          <w:rFonts w:hint="eastAsia" w:ascii="宋体" w:hAnsi="宋体" w:eastAsia="宋体" w:cs="宋体"/>
          <w:color w:val="auto"/>
          <w:highlight w:val="none"/>
        </w:rPr>
        <w:t>。</w:t>
      </w:r>
    </w:p>
    <w:p w14:paraId="026FC402">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12.3.4总价合同的计量</w:t>
      </w:r>
    </w:p>
    <w:p w14:paraId="4CC9DF9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关于总价合同计量的约定：</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69E6BE92">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12.3.5总价合同采用支付分解表计量支付的，是否适用第12.3.4项〔总价合同的计量〕约定进行计量：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5698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247FA7A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12.3.6其他价格形式合同的计量</w:t>
      </w:r>
    </w:p>
    <w:p w14:paraId="3886B5E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其他价格形式的计量方式和程序：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5699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7CB5A276">
      <w:pPr>
        <w:pStyle w:val="239"/>
        <w:pageBreakBefore w:val="0"/>
        <w:widowControl w:val="0"/>
        <w:spacing w:line="360" w:lineRule="auto"/>
        <w:rPr>
          <w:rFonts w:hint="eastAsia" w:ascii="宋体" w:hAnsi="宋体" w:eastAsia="宋体" w:cs="宋体"/>
          <w:bCs w:val="0"/>
          <w:color w:val="auto"/>
          <w:sz w:val="24"/>
          <w:szCs w:val="20"/>
          <w:highlight w:val="none"/>
        </w:rPr>
      </w:pPr>
      <w:bookmarkStart w:id="150" w:name="_Toc14470206"/>
      <w:r>
        <w:rPr>
          <w:rFonts w:hint="eastAsia" w:ascii="宋体" w:hAnsi="宋体" w:eastAsia="宋体" w:cs="宋体"/>
          <w:bCs w:val="0"/>
          <w:color w:val="auto"/>
          <w:sz w:val="24"/>
          <w:szCs w:val="20"/>
          <w:highlight w:val="none"/>
        </w:rPr>
        <w:t>12.4工程进度款支付</w:t>
      </w:r>
      <w:bookmarkEnd w:id="150"/>
    </w:p>
    <w:p w14:paraId="27AB51E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12.4.1 付款周期</w:t>
      </w:r>
    </w:p>
    <w:p w14:paraId="66F567E4">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关于付款周期的约定：</w:t>
      </w:r>
      <w:r>
        <w:rPr>
          <w:rFonts w:hint="eastAsia" w:ascii="宋体" w:hAnsi="宋体" w:cs="宋体"/>
          <w:color w:val="auto"/>
          <w:highlight w:val="none"/>
          <w:u w:val="single"/>
          <w:lang w:eastAsia="zh-CN"/>
        </w:rPr>
        <w:t>关于付款周期：本项目根据财政拨款进度支付，合同签订后付至合同价的10%作为预付款，工程竣工验收通过后付至合同价的50%，结算审计后付至审定价的90%，项目整体决算审计后付清余款（包括3%的质保金），质保期为3年。（所有款项在中标单位提供发票后，发包人在30日内付清。）</w:t>
      </w:r>
      <w:r>
        <w:rPr>
          <w:rFonts w:hint="eastAsia" w:ascii="宋体" w:hAnsi="宋体" w:eastAsia="宋体" w:cs="宋体"/>
          <w:color w:val="auto"/>
          <w:highlight w:val="none"/>
          <w:u w:val="single"/>
        </w:rPr>
        <w:t xml:space="preserve"> </w:t>
      </w:r>
    </w:p>
    <w:p w14:paraId="0F99973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12.4.2进度付款申请单的编制</w:t>
      </w:r>
    </w:p>
    <w:p w14:paraId="19E5356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关于进度付款申请单编制的约定：</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5701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4C39B5A8">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12.4.3进度付款申请单的提交</w:t>
      </w:r>
    </w:p>
    <w:p w14:paraId="3979695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（1）单价合同进度付款申请单提交的约定：</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按通用条款执行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8D2743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（2）总价合同进度付款申请单提交的约定：</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216CA0FB">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（3）其他价格形式合同进度付款申请单提交的约定：</w:t>
      </w:r>
      <w:r>
        <w:rPr>
          <w:rFonts w:hint="eastAsia" w:ascii="宋体" w:hAnsi="宋体" w:eastAsia="宋体" w:cs="宋体"/>
          <w:color w:val="auto"/>
          <w:highlight w:val="none"/>
          <w:u w:val="single"/>
        </w:rPr>
        <w:t xml:space="preserve"> / </w:t>
      </w:r>
    </w:p>
    <w:p w14:paraId="4C86C597">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12.4.4 进度款审核和支付</w:t>
      </w:r>
    </w:p>
    <w:p w14:paraId="7A3B93F4">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（1）监理人审查并报送发包人的期限：</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49DE41F4">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发包人完成审批并签发进度款支付证书的期限：</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53B0D8B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（2）发包人支付进度款的期限：</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53E40DE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发包人逾期支付进度款的违约金的计算方式：</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6FEB51E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12.4.5 支付分解表的编制</w:t>
      </w:r>
    </w:p>
    <w:p w14:paraId="741D0DD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1、总价合同支付分解表的编制与审批：</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37928EA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2、单价合同的总价项目支付分解表的编制与审批：</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0501480E">
      <w:pPr>
        <w:pStyle w:val="239"/>
        <w:pageBreakBefore w:val="0"/>
        <w:widowControl w:val="0"/>
        <w:spacing w:line="360" w:lineRule="auto"/>
        <w:rPr>
          <w:rFonts w:hint="eastAsia" w:ascii="宋体" w:hAnsi="宋体" w:eastAsia="宋体" w:cs="宋体"/>
          <w:bCs w:val="0"/>
          <w:color w:val="auto"/>
          <w:sz w:val="24"/>
          <w:szCs w:val="20"/>
          <w:highlight w:val="none"/>
        </w:rPr>
      </w:pPr>
      <w:bookmarkStart w:id="151" w:name="_Toc14470207"/>
      <w:r>
        <w:rPr>
          <w:rFonts w:hint="eastAsia" w:ascii="宋体" w:hAnsi="宋体" w:eastAsia="宋体" w:cs="宋体"/>
          <w:bCs w:val="0"/>
          <w:color w:val="auto"/>
          <w:sz w:val="24"/>
          <w:szCs w:val="20"/>
          <w:highlight w:val="none"/>
        </w:rPr>
        <w:t>12.5支付账户</w:t>
      </w:r>
      <w:bookmarkEnd w:id="151"/>
    </w:p>
    <w:p w14:paraId="67609E73">
      <w:pPr>
        <w:pStyle w:val="240"/>
        <w:pageBreakBefore w:val="0"/>
        <w:widowControl w:val="0"/>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发包人应将合同价款支付至合同协议书中约定的承包人账户。</w:t>
      </w:r>
    </w:p>
    <w:p w14:paraId="08764299">
      <w:pPr>
        <w:pStyle w:val="237"/>
        <w:pageBreakBefore w:val="0"/>
        <w:widowControl w:val="0"/>
        <w:spacing w:line="360" w:lineRule="auto"/>
        <w:rPr>
          <w:rFonts w:hint="eastAsia" w:ascii="宋体" w:hAnsi="宋体" w:eastAsia="宋体" w:cs="宋体"/>
          <w:color w:val="auto"/>
          <w:sz w:val="24"/>
          <w:highlight w:val="none"/>
        </w:rPr>
      </w:pPr>
      <w:bookmarkStart w:id="152" w:name="_Toc14470208"/>
      <w:bookmarkStart w:id="153" w:name="_Toc71558883"/>
      <w:r>
        <w:rPr>
          <w:rFonts w:hint="eastAsia" w:ascii="宋体" w:hAnsi="宋体" w:eastAsia="宋体" w:cs="宋体"/>
          <w:color w:val="auto"/>
          <w:sz w:val="24"/>
          <w:highlight w:val="none"/>
        </w:rPr>
        <w:t>13.验收</w:t>
      </w:r>
      <w:bookmarkEnd w:id="152"/>
      <w:bookmarkEnd w:id="153"/>
    </w:p>
    <w:p w14:paraId="2A00C91F">
      <w:pPr>
        <w:pStyle w:val="239"/>
        <w:pageBreakBefore w:val="0"/>
        <w:widowControl w:val="0"/>
        <w:spacing w:line="360" w:lineRule="auto"/>
        <w:rPr>
          <w:rFonts w:hint="eastAsia" w:ascii="宋体" w:hAnsi="宋体" w:eastAsia="宋体" w:cs="宋体"/>
          <w:bCs w:val="0"/>
          <w:color w:val="auto"/>
          <w:sz w:val="24"/>
          <w:szCs w:val="20"/>
          <w:highlight w:val="none"/>
        </w:rPr>
      </w:pPr>
      <w:bookmarkStart w:id="154" w:name="_Toc14470209"/>
      <w:r>
        <w:rPr>
          <w:rFonts w:hint="eastAsia" w:ascii="宋体" w:hAnsi="宋体" w:eastAsia="宋体" w:cs="宋体"/>
          <w:bCs w:val="0"/>
          <w:color w:val="auto"/>
          <w:sz w:val="24"/>
          <w:szCs w:val="20"/>
          <w:highlight w:val="none"/>
        </w:rPr>
        <w:t>13.1分部分项工程验收</w:t>
      </w:r>
      <w:bookmarkEnd w:id="154"/>
    </w:p>
    <w:p w14:paraId="58C7BE58">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监理人不能按时进行验收时，应提前</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5711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24</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小时提交书面延期要求。</w:t>
      </w:r>
    </w:p>
    <w:p w14:paraId="17A6993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关于延期最长不得超过：</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5712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48</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小时。</w:t>
      </w:r>
    </w:p>
    <w:p w14:paraId="06DBBB5C">
      <w:pPr>
        <w:pStyle w:val="239"/>
        <w:pageBreakBefore w:val="0"/>
        <w:widowControl w:val="0"/>
        <w:spacing w:line="360" w:lineRule="auto"/>
        <w:rPr>
          <w:rFonts w:hint="eastAsia" w:ascii="宋体" w:hAnsi="宋体" w:eastAsia="宋体" w:cs="宋体"/>
          <w:bCs w:val="0"/>
          <w:color w:val="auto"/>
          <w:sz w:val="24"/>
          <w:szCs w:val="20"/>
          <w:highlight w:val="none"/>
        </w:rPr>
      </w:pPr>
      <w:bookmarkStart w:id="155" w:name="_Toc14470210"/>
      <w:r>
        <w:rPr>
          <w:rFonts w:hint="eastAsia" w:ascii="宋体" w:hAnsi="宋体" w:eastAsia="宋体" w:cs="宋体"/>
          <w:bCs w:val="0"/>
          <w:color w:val="auto"/>
          <w:sz w:val="24"/>
          <w:szCs w:val="20"/>
          <w:highlight w:val="none"/>
        </w:rPr>
        <w:t>13.2竣工验收</w:t>
      </w:r>
      <w:bookmarkEnd w:id="155"/>
    </w:p>
    <w:p w14:paraId="2A660129">
      <w:pPr>
        <w:pageBreakBefore w:val="0"/>
        <w:widowControl w:val="0"/>
        <w:spacing w:line="360" w:lineRule="auto"/>
        <w:ind w:firstLine="420"/>
        <w:jc w:val="left"/>
        <w:rPr>
          <w:rFonts w:hint="eastAsia" w:ascii="宋体" w:hAnsi="宋体" w:eastAsia="宋体" w:cs="宋体"/>
          <w:color w:val="auto"/>
          <w:highlight w:val="none"/>
        </w:rPr>
      </w:pPr>
      <w:bookmarkStart w:id="156" w:name="_Toc280868704"/>
      <w:bookmarkStart w:id="157" w:name="_Toc280868705"/>
      <w:r>
        <w:rPr>
          <w:rFonts w:hint="eastAsia" w:ascii="宋体" w:hAnsi="宋体" w:eastAsia="宋体" w:cs="宋体"/>
          <w:color w:val="auto"/>
          <w:highlight w:val="none"/>
        </w:rPr>
        <w:t>13.2.1竣工验收程序</w:t>
      </w:r>
      <w:bookmarkEnd w:id="156"/>
    </w:p>
    <w:p w14:paraId="54F9C60E">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color w:val="auto"/>
          <w:highlight w:val="none"/>
        </w:rPr>
        <w:t>关于竣工验收程序的约定：</w:t>
      </w:r>
      <w:r>
        <w:rPr>
          <w:rFonts w:hint="eastAsia" w:ascii="宋体" w:hAnsi="宋体" w:eastAsia="宋体" w:cs="宋体"/>
          <w:bCs/>
          <w:color w:val="auto"/>
          <w:highlight w:val="none"/>
          <w:u w:val="single"/>
        </w:rPr>
        <w:t>按通用条款执行，并符合下列要求：</w:t>
      </w:r>
    </w:p>
    <w:p w14:paraId="2C0A31E6">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1、竣工验收按照承包人自评、设计单位认可、监理核定、发包人验收的流程进行。工程完工后，承包人通过自检认为达到竣工验收条件时，应按国家关于工程竣工有关规定，向发包人提供完整的竣工档案资料、竣工验收报告等满足竣工验收的资料。</w:t>
      </w:r>
    </w:p>
    <w:p w14:paraId="0BE010C6">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2、发包人收到上述资料后及时组织有关部门进行全面验收。若承包人提供的验收资料不全或不符合规定要求，则验收顺延，责任由承包人承担。发包人组织验收后，在一周内给予批准或提出修改意见。若初次验收未通过，承包人应按发包人所提修改意见进行整改并承担整改费用，完成后再次申报。</w:t>
      </w:r>
    </w:p>
    <w:p w14:paraId="4EED13B4">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3、承包人提供竣工图的约定：此项目无需提供竣工图。竣工验收日期为实际竣工验收合格之日。</w:t>
      </w:r>
    </w:p>
    <w:p w14:paraId="2D496BAD">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4、竣工交付使用的过程必须符合下列要求：</w:t>
      </w:r>
    </w:p>
    <w:p w14:paraId="4DCBD211">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A.完成设计图和施工合同规定的工作内容，达到国家规定的竣工验收条件。工程质量应符合国家现行的有关法律法规、技术标准、设计文件及合同规定的要求，并经质量监督机构核定为合格工程。</w:t>
      </w:r>
    </w:p>
    <w:p w14:paraId="6446F487">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B.工程所用的设备和主材料、构配件具有产品质量出厂检验合格证明、技术标准、必要的进场试验报告，并达到相应的验收标准。</w:t>
      </w:r>
    </w:p>
    <w:p w14:paraId="63474917">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C.具有完整的工程技术档案，已办理工程竣工交付使用的有关手续。</w:t>
      </w:r>
    </w:p>
    <w:p w14:paraId="71BD9AB6">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D.已签署工程保修书。</w:t>
      </w:r>
    </w:p>
    <w:p w14:paraId="28310AFB">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5、工程竣工验收一次性通过，承包人送交竣工验收报告的日期为实际竣工日期。工程首次验收未通过，实际竣工日期为承包人整改后再次验收合格之日。</w:t>
      </w:r>
    </w:p>
    <w:p w14:paraId="7935B1B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发包人不按照本项约定组织竣工验收、颁发工程接收证书的违约金的计算方法：</w:t>
      </w:r>
      <w:r>
        <w:rPr>
          <w:rFonts w:hint="eastAsia" w:ascii="宋体" w:hAnsi="宋体" w:eastAsia="宋体" w:cs="宋体"/>
          <w:bCs/>
          <w:color w:val="auto"/>
          <w:highlight w:val="none"/>
          <w:u w:val="single"/>
        </w:rPr>
        <w:t>按通用条款执行。</w:t>
      </w:r>
      <w:bookmarkEnd w:id="157"/>
    </w:p>
    <w:p w14:paraId="156521B6">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13.2.2移交、接收全部与部分工程</w:t>
      </w:r>
    </w:p>
    <w:p w14:paraId="007F057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承包人向发包人移交工程的期限：</w:t>
      </w:r>
      <w:r>
        <w:rPr>
          <w:rFonts w:hint="eastAsia" w:ascii="宋体" w:hAnsi="宋体" w:eastAsia="宋体" w:cs="宋体"/>
          <w:color w:val="auto"/>
          <w:highlight w:val="none"/>
          <w:u w:val="single"/>
        </w:rPr>
        <w:t>施工完成后</w:t>
      </w:r>
      <w:r>
        <w:rPr>
          <w:rFonts w:hint="eastAsia" w:ascii="宋体" w:hAnsi="宋体" w:eastAsia="宋体" w:cs="宋体"/>
          <w:bCs/>
          <w:color w:val="auto"/>
          <w:highlight w:val="none"/>
          <w:u w:val="single"/>
        </w:rPr>
        <w:t>按照发包人要求执行</w:t>
      </w:r>
      <w:r>
        <w:rPr>
          <w:rFonts w:hint="eastAsia" w:ascii="宋体" w:hAnsi="宋体" w:eastAsia="宋体" w:cs="宋体"/>
          <w:color w:val="auto"/>
          <w:highlight w:val="none"/>
        </w:rPr>
        <w:t>。</w:t>
      </w:r>
    </w:p>
    <w:p w14:paraId="472EC8D1">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发包人未按本合同约定接收全部或部分工程的，违约金的计算方法为：</w:t>
      </w:r>
      <w:r>
        <w:rPr>
          <w:rFonts w:hint="eastAsia" w:ascii="宋体" w:hAnsi="宋体" w:eastAsia="宋体" w:cs="宋体"/>
          <w:bCs/>
          <w:color w:val="auto"/>
          <w:highlight w:val="none"/>
          <w:u w:val="single"/>
        </w:rPr>
        <w:t>按通用条款执行</w:t>
      </w:r>
      <w:r>
        <w:rPr>
          <w:rFonts w:hint="eastAsia" w:ascii="宋体" w:hAnsi="宋体" w:eastAsia="宋体" w:cs="宋体"/>
          <w:color w:val="auto"/>
          <w:highlight w:val="none"/>
        </w:rPr>
        <w:t>。</w:t>
      </w:r>
    </w:p>
    <w:p w14:paraId="6E98687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承包人未按时移交工程的，违约金的计算方法为：</w:t>
      </w:r>
      <w:r>
        <w:rPr>
          <w:rFonts w:hint="eastAsia" w:ascii="宋体" w:hAnsi="宋体" w:eastAsia="宋体" w:cs="宋体"/>
          <w:bCs/>
          <w:color w:val="auto"/>
          <w:highlight w:val="none"/>
          <w:u w:val="single"/>
        </w:rPr>
        <w:t>按 2000元/天支付违约金</w:t>
      </w:r>
      <w:r>
        <w:rPr>
          <w:rFonts w:hint="eastAsia" w:ascii="宋体" w:hAnsi="宋体" w:eastAsia="宋体" w:cs="宋体"/>
          <w:color w:val="auto"/>
          <w:highlight w:val="none"/>
        </w:rPr>
        <w:t>。</w:t>
      </w:r>
    </w:p>
    <w:p w14:paraId="3E3971E0">
      <w:pPr>
        <w:pStyle w:val="239"/>
        <w:pageBreakBefore w:val="0"/>
        <w:widowControl w:val="0"/>
        <w:spacing w:line="360" w:lineRule="auto"/>
        <w:rPr>
          <w:rFonts w:hint="eastAsia" w:ascii="宋体" w:hAnsi="宋体" w:eastAsia="宋体" w:cs="宋体"/>
          <w:bCs w:val="0"/>
          <w:color w:val="auto"/>
          <w:sz w:val="24"/>
          <w:szCs w:val="20"/>
          <w:highlight w:val="none"/>
        </w:rPr>
      </w:pPr>
      <w:bookmarkStart w:id="158" w:name="_Toc14470211"/>
      <w:r>
        <w:rPr>
          <w:rFonts w:hint="eastAsia" w:ascii="宋体" w:hAnsi="宋体" w:eastAsia="宋体" w:cs="宋体"/>
          <w:bCs w:val="0"/>
          <w:color w:val="auto"/>
          <w:sz w:val="24"/>
          <w:szCs w:val="20"/>
          <w:highlight w:val="none"/>
        </w:rPr>
        <w:t>13.3 竣工退场</w:t>
      </w:r>
      <w:bookmarkEnd w:id="158"/>
    </w:p>
    <w:p w14:paraId="375E9137">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13.3.1 竣工退场</w:t>
      </w:r>
    </w:p>
    <w:p w14:paraId="77475D66">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承包人完成竣工退场的期限：</w:t>
      </w:r>
      <w:r>
        <w:rPr>
          <w:rFonts w:hint="eastAsia" w:ascii="宋体" w:hAnsi="宋体" w:eastAsia="宋体" w:cs="宋体"/>
          <w:color w:val="auto"/>
          <w:highlight w:val="none"/>
          <w:u w:val="single"/>
        </w:rPr>
        <w:t xml:space="preserve">       施工结束后3日内      </w:t>
      </w:r>
      <w:r>
        <w:rPr>
          <w:rFonts w:hint="eastAsia" w:ascii="宋体" w:hAnsi="宋体" w:eastAsia="宋体" w:cs="宋体"/>
          <w:color w:val="auto"/>
          <w:highlight w:val="none"/>
        </w:rPr>
        <w:t>。</w:t>
      </w:r>
    </w:p>
    <w:p w14:paraId="0E65751C">
      <w:pPr>
        <w:pStyle w:val="237"/>
        <w:pageBreakBefore w:val="0"/>
        <w:widowControl w:val="0"/>
        <w:spacing w:line="360" w:lineRule="auto"/>
        <w:rPr>
          <w:rFonts w:hint="eastAsia" w:ascii="宋体" w:hAnsi="宋体" w:eastAsia="宋体" w:cs="宋体"/>
          <w:color w:val="auto"/>
          <w:sz w:val="24"/>
          <w:highlight w:val="none"/>
        </w:rPr>
      </w:pPr>
      <w:bookmarkStart w:id="159" w:name="_Toc71558884"/>
      <w:bookmarkStart w:id="160" w:name="_Toc14470212"/>
      <w:r>
        <w:rPr>
          <w:rFonts w:hint="eastAsia" w:ascii="宋体" w:hAnsi="宋体" w:eastAsia="宋体" w:cs="宋体"/>
          <w:color w:val="auto"/>
          <w:sz w:val="24"/>
          <w:highlight w:val="none"/>
        </w:rPr>
        <w:t>14.竣工结算</w:t>
      </w:r>
      <w:bookmarkEnd w:id="159"/>
      <w:bookmarkEnd w:id="160"/>
    </w:p>
    <w:p w14:paraId="52A836CA">
      <w:pPr>
        <w:pStyle w:val="239"/>
        <w:pageBreakBefore w:val="0"/>
        <w:widowControl w:val="0"/>
        <w:spacing w:line="360" w:lineRule="auto"/>
        <w:rPr>
          <w:rFonts w:hint="eastAsia" w:ascii="宋体" w:hAnsi="宋体" w:eastAsia="宋体" w:cs="宋体"/>
          <w:bCs w:val="0"/>
          <w:color w:val="auto"/>
          <w:sz w:val="24"/>
          <w:szCs w:val="20"/>
          <w:highlight w:val="none"/>
        </w:rPr>
      </w:pPr>
      <w:bookmarkStart w:id="161" w:name="_Toc14470213"/>
      <w:r>
        <w:rPr>
          <w:rFonts w:hint="eastAsia" w:ascii="宋体" w:hAnsi="宋体" w:eastAsia="宋体" w:cs="宋体"/>
          <w:bCs w:val="0"/>
          <w:color w:val="auto"/>
          <w:sz w:val="24"/>
          <w:szCs w:val="20"/>
          <w:highlight w:val="none"/>
        </w:rPr>
        <w:t>14.1竣工结算申请</w:t>
      </w:r>
      <w:bookmarkEnd w:id="161"/>
    </w:p>
    <w:p w14:paraId="0ACBA582">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承包人提交竣工付款申请单的期限：</w:t>
      </w:r>
      <w:r>
        <w:rPr>
          <w:rFonts w:hint="eastAsia" w:ascii="宋体" w:hAnsi="宋体" w:eastAsia="宋体" w:cs="宋体"/>
          <w:color w:val="auto"/>
          <w:highlight w:val="none"/>
          <w:u w:val="single"/>
        </w:rPr>
        <w:t xml:space="preserve"> 验收合格后，</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5723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在工程完工后一个月内将竣工结算报监理人进行初审，监理人初审后由发包人跟踪审计部门进行审计，在审计过程中发包人不接受承包人提交的任何补充资料（除非这些补充资料的内容被证实是发生在工程完工以后的），所有遗漏的结算资料发包人将视为承包人做出的优惠</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0B26E33">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color w:val="auto"/>
          <w:highlight w:val="none"/>
        </w:rPr>
        <w:t>竣工付款申请单应包括的内容：</w:t>
      </w:r>
      <w:r>
        <w:rPr>
          <w:rFonts w:hint="eastAsia" w:ascii="宋体" w:hAnsi="宋体" w:eastAsia="宋体" w:cs="宋体"/>
          <w:bCs/>
          <w:color w:val="auto"/>
          <w:highlight w:val="none"/>
          <w:u w:val="single"/>
        </w:rPr>
        <w:t>（1）竣工结算书原件、工程量计算书。</w:t>
      </w:r>
    </w:p>
    <w:p w14:paraId="3F00C074">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（2）施工合同、中标通知书复印件。</w:t>
      </w:r>
    </w:p>
    <w:p w14:paraId="42A331EC">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（3）招标文件、招标答疑、</w:t>
      </w:r>
      <w:r>
        <w:rPr>
          <w:rFonts w:hint="eastAsia" w:ascii="宋体" w:hAnsi="宋体" w:cs="宋体"/>
          <w:bCs/>
          <w:color w:val="auto"/>
          <w:highlight w:val="none"/>
          <w:u w:val="single"/>
          <w:lang w:eastAsia="zh-CN"/>
        </w:rPr>
        <w:t>响应文件</w:t>
      </w:r>
      <w:r>
        <w:rPr>
          <w:rFonts w:hint="eastAsia" w:ascii="宋体" w:hAnsi="宋体" w:eastAsia="宋体" w:cs="宋体"/>
          <w:bCs/>
          <w:color w:val="auto"/>
          <w:highlight w:val="none"/>
          <w:u w:val="single"/>
        </w:rPr>
        <w:t>。</w:t>
      </w:r>
    </w:p>
    <w:p w14:paraId="01C256C4">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（4）竣工资料原件（包括开竣工报告、分部分项工程验收记录以及材料检测等资料，经监理核查装订成册，拟报档案馆存档的资料）；</w:t>
      </w:r>
    </w:p>
    <w:p w14:paraId="31AD0D85">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（5）设计变更、工程签证、图纸会审、会议纪要等结算资料；</w:t>
      </w:r>
    </w:p>
    <w:p w14:paraId="728DA5FB">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（6）电子文件（包括投标报价、竣工结算书、施工图纸等）；</w:t>
      </w:r>
    </w:p>
    <w:p w14:paraId="139A5A88">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bCs/>
          <w:color w:val="auto"/>
          <w:highlight w:val="none"/>
          <w:u w:val="single"/>
        </w:rPr>
        <w:t>（7）甲供材料结算单、水电费结算单（如有）</w:t>
      </w:r>
      <w:r>
        <w:rPr>
          <w:rFonts w:hint="eastAsia" w:ascii="宋体" w:hAnsi="宋体" w:eastAsia="宋体" w:cs="宋体"/>
          <w:color w:val="auto"/>
          <w:highlight w:val="none"/>
        </w:rPr>
        <w:t>。</w:t>
      </w:r>
    </w:p>
    <w:p w14:paraId="7971CDCF">
      <w:pPr>
        <w:pStyle w:val="239"/>
        <w:pageBreakBefore w:val="0"/>
        <w:widowControl w:val="0"/>
        <w:spacing w:line="360" w:lineRule="auto"/>
        <w:rPr>
          <w:rFonts w:hint="eastAsia" w:ascii="宋体" w:hAnsi="宋体" w:eastAsia="宋体" w:cs="宋体"/>
          <w:bCs w:val="0"/>
          <w:color w:val="auto"/>
          <w:sz w:val="24"/>
          <w:szCs w:val="20"/>
          <w:highlight w:val="none"/>
        </w:rPr>
      </w:pPr>
      <w:bookmarkStart w:id="162" w:name="_Toc14470215"/>
      <w:r>
        <w:rPr>
          <w:rFonts w:hint="eastAsia" w:ascii="宋体" w:hAnsi="宋体" w:eastAsia="宋体" w:cs="宋体"/>
          <w:bCs w:val="0"/>
          <w:color w:val="auto"/>
          <w:sz w:val="24"/>
          <w:szCs w:val="20"/>
          <w:highlight w:val="none"/>
        </w:rPr>
        <w:t>14.2最终结清</w:t>
      </w:r>
      <w:bookmarkEnd w:id="162"/>
    </w:p>
    <w:p w14:paraId="1E62E006">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14.3.1最终结清申请单</w:t>
      </w:r>
    </w:p>
    <w:p w14:paraId="6D31A078">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承包人提交最终结清申请单的份数：</w:t>
      </w:r>
      <w:r>
        <w:rPr>
          <w:rFonts w:hint="eastAsia" w:ascii="宋体" w:hAnsi="宋体" w:eastAsia="宋体" w:cs="宋体"/>
          <w:bCs/>
          <w:color w:val="auto"/>
          <w:highlight w:val="none"/>
          <w:u w:val="single"/>
        </w:rPr>
        <w:t>3</w:t>
      </w:r>
      <w:r>
        <w:rPr>
          <w:rFonts w:hint="eastAsia" w:ascii="宋体" w:hAnsi="宋体" w:eastAsia="宋体" w:cs="宋体"/>
          <w:color w:val="auto"/>
          <w:highlight w:val="none"/>
        </w:rPr>
        <w:t>。</w:t>
      </w:r>
    </w:p>
    <w:p w14:paraId="5CB4285B">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承包人提交最终结算申请单的期限：</w:t>
      </w:r>
      <w:r>
        <w:rPr>
          <w:rFonts w:hint="eastAsia" w:ascii="宋体" w:hAnsi="宋体" w:eastAsia="宋体" w:cs="宋体"/>
          <w:bCs/>
          <w:color w:val="auto"/>
          <w:highlight w:val="none"/>
          <w:u w:val="single"/>
        </w:rPr>
        <w:t>质量缺陷期满后56天内</w:t>
      </w:r>
      <w:r>
        <w:rPr>
          <w:rFonts w:hint="eastAsia" w:ascii="宋体" w:hAnsi="宋体" w:eastAsia="宋体" w:cs="宋体"/>
          <w:color w:val="auto"/>
          <w:highlight w:val="none"/>
        </w:rPr>
        <w:t xml:space="preserve">。 </w:t>
      </w:r>
    </w:p>
    <w:p w14:paraId="588ABB00">
      <w:pPr>
        <w:pStyle w:val="237"/>
        <w:pageBreakBefore w:val="0"/>
        <w:widowControl w:val="0"/>
        <w:spacing w:line="360" w:lineRule="auto"/>
        <w:rPr>
          <w:rFonts w:hint="eastAsia" w:ascii="宋体" w:hAnsi="宋体" w:eastAsia="宋体" w:cs="宋体"/>
          <w:color w:val="auto"/>
          <w:sz w:val="24"/>
          <w:highlight w:val="none"/>
        </w:rPr>
      </w:pPr>
      <w:bookmarkStart w:id="163" w:name="_Toc71558885"/>
      <w:bookmarkStart w:id="164" w:name="_Toc14470216"/>
      <w:r>
        <w:rPr>
          <w:rFonts w:hint="eastAsia" w:ascii="宋体" w:hAnsi="宋体" w:eastAsia="宋体" w:cs="宋体"/>
          <w:color w:val="auto"/>
          <w:sz w:val="24"/>
          <w:highlight w:val="none"/>
        </w:rPr>
        <w:t>15.缺陷责任期与保修</w:t>
      </w:r>
      <w:bookmarkEnd w:id="163"/>
      <w:bookmarkEnd w:id="164"/>
    </w:p>
    <w:p w14:paraId="339835C1">
      <w:pPr>
        <w:pStyle w:val="239"/>
        <w:pageBreakBefore w:val="0"/>
        <w:widowControl w:val="0"/>
        <w:spacing w:line="360" w:lineRule="auto"/>
        <w:rPr>
          <w:rFonts w:hint="eastAsia" w:ascii="宋体" w:hAnsi="宋体" w:eastAsia="宋体" w:cs="宋体"/>
          <w:bCs w:val="0"/>
          <w:color w:val="auto"/>
          <w:sz w:val="24"/>
          <w:szCs w:val="20"/>
          <w:highlight w:val="none"/>
        </w:rPr>
      </w:pPr>
      <w:bookmarkStart w:id="165" w:name="_Toc14470217"/>
      <w:r>
        <w:rPr>
          <w:rFonts w:hint="eastAsia" w:ascii="宋体" w:hAnsi="宋体" w:eastAsia="宋体" w:cs="宋体"/>
          <w:bCs w:val="0"/>
          <w:color w:val="auto"/>
          <w:sz w:val="24"/>
          <w:szCs w:val="20"/>
          <w:highlight w:val="none"/>
        </w:rPr>
        <w:t>15.1缺陷责任期</w:t>
      </w:r>
      <w:bookmarkEnd w:id="165"/>
    </w:p>
    <w:p w14:paraId="08F38902">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缺陷责任期的具体期限：</w:t>
      </w:r>
      <w:r>
        <w:rPr>
          <w:rFonts w:hint="eastAsia" w:ascii="宋体" w:hAnsi="宋体" w:eastAsia="宋体" w:cs="宋体"/>
          <w:bCs/>
          <w:color w:val="auto"/>
          <w:highlight w:val="none"/>
          <w:u w:val="single"/>
        </w:rPr>
        <w:t>缺陷责任期自验收合格之日起24个月</w:t>
      </w:r>
      <w:r>
        <w:rPr>
          <w:rFonts w:hint="eastAsia" w:ascii="宋体" w:hAnsi="宋体" w:eastAsia="宋体" w:cs="宋体"/>
          <w:color w:val="auto"/>
          <w:highlight w:val="none"/>
        </w:rPr>
        <w:t>。</w:t>
      </w:r>
    </w:p>
    <w:p w14:paraId="1C9C9E35">
      <w:pPr>
        <w:pStyle w:val="239"/>
        <w:pageBreakBefore w:val="0"/>
        <w:widowControl w:val="0"/>
        <w:spacing w:line="360" w:lineRule="auto"/>
        <w:rPr>
          <w:rFonts w:hint="eastAsia" w:ascii="宋体" w:hAnsi="宋体" w:eastAsia="宋体" w:cs="宋体"/>
          <w:bCs w:val="0"/>
          <w:color w:val="auto"/>
          <w:sz w:val="24"/>
          <w:szCs w:val="20"/>
          <w:highlight w:val="none"/>
        </w:rPr>
      </w:pPr>
      <w:bookmarkStart w:id="166" w:name="_Toc14470218"/>
      <w:r>
        <w:rPr>
          <w:rFonts w:hint="eastAsia" w:ascii="宋体" w:hAnsi="宋体" w:eastAsia="宋体" w:cs="宋体"/>
          <w:bCs w:val="0"/>
          <w:color w:val="auto"/>
          <w:sz w:val="24"/>
          <w:szCs w:val="20"/>
          <w:highlight w:val="none"/>
        </w:rPr>
        <w:t>15.2质量保证金</w:t>
      </w:r>
      <w:bookmarkEnd w:id="166"/>
    </w:p>
    <w:p w14:paraId="36C3D6C1">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关于是否扣留质量保证金的约定：</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5733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扣留审定总价的3%作为质量保修金。</w:t>
      </w:r>
      <w:r>
        <w:rPr>
          <w:rFonts w:hint="eastAsia" w:ascii="宋体" w:hAnsi="宋体" w:eastAsia="宋体" w:cs="宋体"/>
          <w:color w:val="auto"/>
          <w:highlight w:val="none"/>
          <w:u w:val="single"/>
        </w:rPr>
        <w:fldChar w:fldCharType="end"/>
      </w:r>
    </w:p>
    <w:p w14:paraId="16E79C8D">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15.2.1 承包人提供质量保证金的方式</w:t>
      </w:r>
    </w:p>
    <w:p w14:paraId="54444C82">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质量保证金采用以下第</w:t>
      </w:r>
      <w:r>
        <w:rPr>
          <w:rFonts w:hint="eastAsia" w:ascii="宋体" w:hAnsi="宋体" w:eastAsia="宋体" w:cs="宋体"/>
          <w:bCs/>
          <w:color w:val="auto"/>
          <w:highlight w:val="none"/>
          <w:u w:val="single"/>
        </w:rPr>
        <w:t>（2）</w:t>
      </w:r>
      <w:r>
        <w:rPr>
          <w:rFonts w:hint="eastAsia" w:ascii="宋体" w:hAnsi="宋体" w:eastAsia="宋体" w:cs="宋体"/>
          <w:color w:val="auto"/>
          <w:highlight w:val="none"/>
        </w:rPr>
        <w:t>种方式：</w:t>
      </w:r>
    </w:p>
    <w:p w14:paraId="7C6C089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（1）质量保证金保函，保证金额为：</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 xml:space="preserve">； </w:t>
      </w:r>
    </w:p>
    <w:p w14:paraId="209FDC6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cs="宋体"/>
          <w:color w:val="auto"/>
          <w:highlight w:val="none"/>
          <w:u w:val="single"/>
          <w:lang w:val="en-US" w:eastAsia="zh-CN"/>
        </w:rPr>
        <w:t xml:space="preserve"> </w:t>
      </w:r>
      <w:r>
        <w:rPr>
          <w:rFonts w:hint="eastAsia" w:ascii="宋体" w:hAnsi="宋体" w:eastAsia="宋体" w:cs="宋体"/>
          <w:bCs/>
          <w:color w:val="auto"/>
          <w:highlight w:val="none"/>
          <w:u w:val="single"/>
        </w:rPr>
        <w:t>3</w:t>
      </w:r>
      <w:r>
        <w:rPr>
          <w:rFonts w:hint="eastAsia" w:ascii="宋体" w:hAnsi="宋体" w:cs="宋体"/>
          <w:bCs/>
          <w:color w:val="auto"/>
          <w:highlight w:val="none"/>
          <w:u w:val="single"/>
          <w:lang w:val="en-US" w:eastAsia="zh-CN"/>
        </w:rPr>
        <w:t xml:space="preserve"> </w:t>
      </w:r>
      <w:r>
        <w:rPr>
          <w:rFonts w:hint="eastAsia" w:ascii="宋体" w:hAnsi="宋体" w:eastAsia="宋体" w:cs="宋体"/>
          <w:color w:val="auto"/>
          <w:highlight w:val="none"/>
        </w:rPr>
        <w:t>%的工程款；</w:t>
      </w:r>
    </w:p>
    <w:p w14:paraId="5EFFAAF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（3）其他方式：</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61AEB01F">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15.2.2 质量保证金的扣留 </w:t>
      </w:r>
    </w:p>
    <w:p w14:paraId="54A615FB">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质量保证金的扣留采取以下第</w:t>
      </w:r>
      <w:r>
        <w:rPr>
          <w:rFonts w:hint="eastAsia" w:ascii="宋体" w:hAnsi="宋体" w:eastAsia="宋体" w:cs="宋体"/>
          <w:bCs/>
          <w:color w:val="auto"/>
          <w:highlight w:val="none"/>
          <w:u w:val="single"/>
        </w:rPr>
        <w:t>2</w:t>
      </w:r>
      <w:r>
        <w:rPr>
          <w:rFonts w:hint="eastAsia" w:ascii="宋体" w:hAnsi="宋体" w:eastAsia="宋体" w:cs="宋体"/>
          <w:color w:val="auto"/>
          <w:highlight w:val="none"/>
        </w:rPr>
        <w:t>种方式：</w:t>
      </w:r>
    </w:p>
    <w:p w14:paraId="2C298BB6">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（1）在支付工程进度款时逐次扣留，在此情形下，质量保证金的计算基数不包括预付款的支付、扣回以及价格调整的金额；</w:t>
      </w:r>
    </w:p>
    <w:p w14:paraId="73DCDBC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（2）工程竣工结算时一次性扣留质量保证金；</w:t>
      </w:r>
    </w:p>
    <w:p w14:paraId="77D1C62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（3）其他扣留方式：</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7850617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关于质量保证金的补充约定：</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5D0C473B">
      <w:pPr>
        <w:pStyle w:val="239"/>
        <w:pageBreakBefore w:val="0"/>
        <w:widowControl w:val="0"/>
        <w:spacing w:line="360" w:lineRule="auto"/>
        <w:rPr>
          <w:rFonts w:hint="eastAsia" w:ascii="宋体" w:hAnsi="宋体" w:eastAsia="宋体" w:cs="宋体"/>
          <w:bCs w:val="0"/>
          <w:color w:val="auto"/>
          <w:sz w:val="24"/>
          <w:szCs w:val="20"/>
          <w:highlight w:val="none"/>
        </w:rPr>
      </w:pPr>
      <w:bookmarkStart w:id="167" w:name="_Toc14470219"/>
      <w:r>
        <w:rPr>
          <w:rFonts w:hint="eastAsia" w:ascii="宋体" w:hAnsi="宋体" w:eastAsia="宋体" w:cs="宋体"/>
          <w:bCs w:val="0"/>
          <w:color w:val="auto"/>
          <w:sz w:val="24"/>
          <w:szCs w:val="20"/>
          <w:highlight w:val="none"/>
        </w:rPr>
        <w:t>15.3保修</w:t>
      </w:r>
      <w:bookmarkEnd w:id="167"/>
    </w:p>
    <w:p w14:paraId="7C26C70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15.3.1 保修责任</w:t>
      </w:r>
    </w:p>
    <w:p w14:paraId="400A1658">
      <w:pPr>
        <w:pageBreakBefore w:val="0"/>
        <w:widowControl w:val="0"/>
        <w:spacing w:line="360" w:lineRule="auto"/>
        <w:ind w:firstLine="422"/>
        <w:jc w:val="left"/>
        <w:rPr>
          <w:rFonts w:hint="eastAsia" w:ascii="宋体" w:hAnsi="宋体" w:eastAsia="宋体" w:cs="宋体"/>
          <w:color w:val="auto"/>
          <w:highlight w:val="none"/>
        </w:rPr>
      </w:pPr>
      <w:r>
        <w:rPr>
          <w:rFonts w:hint="eastAsia" w:ascii="宋体" w:hAnsi="宋体" w:eastAsia="宋体" w:cs="宋体"/>
          <w:b/>
          <w:color w:val="auto"/>
          <w:highlight w:val="none"/>
        </w:rPr>
        <w:t>工程免费保修期为：</w:t>
      </w:r>
      <w:r>
        <w:rPr>
          <w:rFonts w:hint="eastAsia" w:ascii="宋体" w:hAnsi="宋体" w:eastAsia="宋体" w:cs="宋体"/>
          <w:b/>
          <w:bCs/>
          <w:color w:val="auto"/>
          <w:highlight w:val="none"/>
          <w:u w:val="single"/>
        </w:rPr>
        <w:t>2年</w:t>
      </w:r>
      <w:r>
        <w:rPr>
          <w:rFonts w:hint="eastAsia" w:ascii="宋体" w:hAnsi="宋体" w:eastAsia="宋体" w:cs="宋体"/>
          <w:color w:val="auto"/>
          <w:highlight w:val="none"/>
          <w:u w:val="single"/>
        </w:rPr>
        <w:t>。</w:t>
      </w:r>
    </w:p>
    <w:p w14:paraId="53E60C7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15.3.2 修复通知</w:t>
      </w:r>
    </w:p>
    <w:p w14:paraId="01016BF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承包人收到保修通知并到达工程现场的合理时间：</w:t>
      </w:r>
      <w:r>
        <w:rPr>
          <w:rFonts w:hint="eastAsia" w:ascii="宋体" w:hAnsi="宋体" w:eastAsia="宋体" w:cs="宋体"/>
          <w:bCs/>
          <w:color w:val="auto"/>
          <w:highlight w:val="none"/>
          <w:u w:val="single"/>
        </w:rPr>
        <w:t>48小时内</w:t>
      </w:r>
      <w:r>
        <w:rPr>
          <w:rFonts w:hint="eastAsia" w:ascii="宋体" w:hAnsi="宋体" w:eastAsia="宋体" w:cs="宋体"/>
          <w:color w:val="auto"/>
          <w:highlight w:val="none"/>
        </w:rPr>
        <w:t>。</w:t>
      </w:r>
    </w:p>
    <w:p w14:paraId="695C3B0D">
      <w:pPr>
        <w:pStyle w:val="237"/>
        <w:pageBreakBefore w:val="0"/>
        <w:widowControl w:val="0"/>
        <w:spacing w:line="360" w:lineRule="auto"/>
        <w:rPr>
          <w:rFonts w:hint="eastAsia" w:ascii="宋体" w:hAnsi="宋体" w:eastAsia="宋体" w:cs="宋体"/>
          <w:bCs w:val="0"/>
          <w:color w:val="auto"/>
          <w:sz w:val="24"/>
          <w:szCs w:val="20"/>
          <w:highlight w:val="none"/>
        </w:rPr>
      </w:pPr>
      <w:bookmarkStart w:id="168" w:name="_Toc14470220"/>
      <w:bookmarkStart w:id="169" w:name="_Toc71558886"/>
      <w:r>
        <w:rPr>
          <w:rFonts w:hint="eastAsia" w:ascii="宋体" w:hAnsi="宋体" w:eastAsia="宋体" w:cs="宋体"/>
          <w:bCs w:val="0"/>
          <w:color w:val="auto"/>
          <w:sz w:val="24"/>
          <w:szCs w:val="20"/>
          <w:highlight w:val="none"/>
        </w:rPr>
        <w:t>16.违约</w:t>
      </w:r>
      <w:bookmarkEnd w:id="168"/>
      <w:bookmarkEnd w:id="169"/>
    </w:p>
    <w:p w14:paraId="784C9948">
      <w:pPr>
        <w:pStyle w:val="239"/>
        <w:pageBreakBefore w:val="0"/>
        <w:widowControl w:val="0"/>
        <w:spacing w:line="360" w:lineRule="auto"/>
        <w:rPr>
          <w:rFonts w:hint="eastAsia" w:ascii="宋体" w:hAnsi="宋体" w:eastAsia="宋体" w:cs="宋体"/>
          <w:bCs w:val="0"/>
          <w:color w:val="auto"/>
          <w:sz w:val="24"/>
          <w:szCs w:val="20"/>
          <w:highlight w:val="none"/>
        </w:rPr>
      </w:pPr>
      <w:bookmarkStart w:id="170" w:name="_Toc14470221"/>
      <w:r>
        <w:rPr>
          <w:rFonts w:hint="eastAsia" w:ascii="宋体" w:hAnsi="宋体" w:eastAsia="宋体" w:cs="宋体"/>
          <w:bCs w:val="0"/>
          <w:color w:val="auto"/>
          <w:sz w:val="24"/>
          <w:szCs w:val="20"/>
          <w:highlight w:val="none"/>
        </w:rPr>
        <w:t>16.1发包人违约</w:t>
      </w:r>
      <w:bookmarkEnd w:id="170"/>
    </w:p>
    <w:p w14:paraId="676667E2">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16.1.1发包人违约的情形</w:t>
      </w:r>
    </w:p>
    <w:p w14:paraId="336E76F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发包人违约的其他情形：</w:t>
      </w:r>
      <w:r>
        <w:rPr>
          <w:rFonts w:hint="eastAsia" w:ascii="宋体" w:hAnsi="宋体" w:eastAsia="宋体" w:cs="宋体"/>
          <w:bCs/>
          <w:color w:val="auto"/>
          <w:highlight w:val="none"/>
          <w:u w:val="single"/>
        </w:rPr>
        <w:t>按通用条款执行</w:t>
      </w:r>
      <w:r>
        <w:rPr>
          <w:rFonts w:hint="eastAsia" w:ascii="宋体" w:hAnsi="宋体" w:eastAsia="宋体" w:cs="宋体"/>
          <w:color w:val="auto"/>
          <w:highlight w:val="none"/>
        </w:rPr>
        <w:t>。</w:t>
      </w:r>
    </w:p>
    <w:p w14:paraId="6B921829">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16.1.2发包人违约的责任</w:t>
      </w:r>
    </w:p>
    <w:p w14:paraId="2CD307E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发包人违约责任的承担方式和计算方法：</w:t>
      </w:r>
    </w:p>
    <w:p w14:paraId="7F7EE218">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（1）因发包人原因未能在计划开工日期前7天内下达开工通知的违约责任：</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5744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2A0DD8CA">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（2）因发包人原因未能按合同约定支付合同价款的违约责任：</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5745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5D19B7F2">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（3）发包人违反第10.1款〔变更的范围〕第（2）项约定，自行实施被取消的工作或转由他人实施的违约责任：</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5746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57D4BAC1">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（4）发包人提供的材料、工程设备的规格、数量或质量不符合合同约定，或因发包人的原因导致交货日期延误或交货地点变更等情况的违约责任：</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5747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04510FB">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（5）因发包人违反合同约定造成暂停施工的违约责任：</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5748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3DC1022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（6）发包人无正当理由没有在约定期限内发出复工指示，导致承包人无法复工的违约责任：</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5749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28AFBC0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（7）其他：</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5750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另行协商</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78491A4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16.1.3因发包人违约解除合同</w:t>
      </w:r>
    </w:p>
    <w:p w14:paraId="42551DB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承包人按16.1.1项〔发包人违约的情形〕约定暂停施工满</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5751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天后发包人仍不纠正其违约行为并致使合同目的不能实现的，承包人有权解除合同。</w:t>
      </w:r>
    </w:p>
    <w:p w14:paraId="021D46C6">
      <w:pPr>
        <w:pStyle w:val="239"/>
        <w:pageBreakBefore w:val="0"/>
        <w:widowControl w:val="0"/>
        <w:spacing w:line="360" w:lineRule="auto"/>
        <w:rPr>
          <w:rFonts w:hint="eastAsia" w:ascii="宋体" w:hAnsi="宋体" w:eastAsia="宋体" w:cs="宋体"/>
          <w:bCs w:val="0"/>
          <w:color w:val="auto"/>
          <w:sz w:val="24"/>
          <w:szCs w:val="20"/>
          <w:highlight w:val="none"/>
        </w:rPr>
      </w:pPr>
      <w:bookmarkStart w:id="171" w:name="_Toc14470222"/>
      <w:r>
        <w:rPr>
          <w:rFonts w:hint="eastAsia" w:ascii="宋体" w:hAnsi="宋体" w:eastAsia="宋体" w:cs="宋体"/>
          <w:bCs w:val="0"/>
          <w:color w:val="auto"/>
          <w:sz w:val="24"/>
          <w:szCs w:val="20"/>
          <w:highlight w:val="none"/>
        </w:rPr>
        <w:t>16.2承包人违约</w:t>
      </w:r>
      <w:bookmarkEnd w:id="171"/>
    </w:p>
    <w:p w14:paraId="0DAC9FC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16.2.1承包人违约的情形</w:t>
      </w:r>
    </w:p>
    <w:p w14:paraId="7E0C96AD">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承包人违约的其他情形：</w:t>
      </w:r>
    </w:p>
    <w:p w14:paraId="0E8B8C97">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u w:val="single"/>
        </w:rPr>
        <w:t>（1）接到监理人开工令后，承包人无正当理由推迟开工，每拖延1日历天须向发包人支付10000元的违约金；</w:t>
      </w:r>
    </w:p>
    <w:p w14:paraId="6D571099">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（2）若发现承包人有违反施工图纸及相应技术规范或偷工减料的行为，发包人有权对承包人处以每次1万元以下的罚款，承包人需无条件返工至设计图纸及相关现行规范要求；</w:t>
      </w:r>
    </w:p>
    <w:p w14:paraId="76CEC600">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（3）若承包人延误提交竣工结算申请单，承包人按照1000元/天支付违约金；</w:t>
      </w:r>
    </w:p>
    <w:p w14:paraId="6B822855">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（4）合同工期按承包人</w:t>
      </w:r>
      <w:r>
        <w:rPr>
          <w:rFonts w:hint="eastAsia" w:ascii="宋体" w:hAnsi="宋体" w:cs="宋体"/>
          <w:bCs/>
          <w:color w:val="auto"/>
          <w:highlight w:val="none"/>
          <w:u w:val="single"/>
          <w:lang w:eastAsia="zh-CN"/>
        </w:rPr>
        <w:t>响应文件</w:t>
      </w:r>
      <w:r>
        <w:rPr>
          <w:rFonts w:hint="eastAsia" w:ascii="宋体" w:hAnsi="宋体" w:eastAsia="宋体" w:cs="宋体"/>
          <w:bCs/>
          <w:color w:val="auto"/>
          <w:highlight w:val="none"/>
          <w:u w:val="single"/>
        </w:rPr>
        <w:t>中的自报工期，如承包人原因延误工期，承包人应承担违约责任并向发包人支付赔偿费，赔偿费支付办法按合同工期延误一天赔偿2000元，并以合同总价的5%为限，支付赔偿费不能解除承包人应完成本工程的责任以及合同规定的其他相关责任；</w:t>
      </w:r>
    </w:p>
    <w:p w14:paraId="2F13E9F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bCs/>
          <w:color w:val="auto"/>
          <w:highlight w:val="none"/>
          <w:u w:val="single"/>
        </w:rPr>
        <w:t>（5）若工程首次竣工验收未通过，承包人必须按照发包人要求及相关规范、标准整改到位并承担合同总价的0.1%的罚款，从工程竣工结算款中直接扣除</w:t>
      </w:r>
      <w:r>
        <w:rPr>
          <w:rFonts w:hint="eastAsia" w:ascii="宋体" w:hAnsi="宋体" w:eastAsia="宋体" w:cs="宋体"/>
          <w:color w:val="auto"/>
          <w:highlight w:val="none"/>
        </w:rPr>
        <w:t>。</w:t>
      </w:r>
    </w:p>
    <w:p w14:paraId="35916D0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16.2.2承包人违约的责任</w:t>
      </w:r>
    </w:p>
    <w:p w14:paraId="07598E6A">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承包人违约责任的承担方式和计算方法：</w:t>
      </w:r>
      <w:r>
        <w:rPr>
          <w:rFonts w:hint="eastAsia" w:ascii="宋体" w:hAnsi="宋体" w:eastAsia="宋体" w:cs="宋体"/>
          <w:color w:val="auto"/>
          <w:highlight w:val="none"/>
          <w:u w:val="single"/>
        </w:rPr>
        <w:t>因承包人原因造成工期延误，逾期竣工违约金上限为竣工结算价的5%，承包人支付逾期竣工违约金后，不免除承包人继续完成工程及修补缺陷的义务。</w:t>
      </w:r>
    </w:p>
    <w:p w14:paraId="4B4F0C37">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16.2.3因承包人违约解除合同</w:t>
      </w:r>
    </w:p>
    <w:p w14:paraId="627F15FD">
      <w:pPr>
        <w:pageBreakBefore w:val="0"/>
        <w:widowControl w:val="0"/>
        <w:spacing w:before="120" w:after="120"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关于承包人违约解除合同的特别约定：</w:t>
      </w:r>
      <w:r>
        <w:rPr>
          <w:rFonts w:hint="eastAsia" w:ascii="宋体" w:hAnsi="宋体" w:eastAsia="宋体" w:cs="宋体"/>
          <w:bCs/>
          <w:color w:val="auto"/>
          <w:highlight w:val="none"/>
          <w:u w:val="single"/>
        </w:rPr>
        <w:t>按通用条款执行</w:t>
      </w:r>
      <w:r>
        <w:rPr>
          <w:rFonts w:hint="eastAsia" w:ascii="宋体" w:hAnsi="宋体" w:eastAsia="宋体" w:cs="宋体"/>
          <w:color w:val="auto"/>
          <w:highlight w:val="none"/>
        </w:rPr>
        <w:t>。</w:t>
      </w:r>
    </w:p>
    <w:p w14:paraId="5AC1BD41">
      <w:pPr>
        <w:pageBreakBefore w:val="0"/>
        <w:widowControl w:val="0"/>
        <w:spacing w:before="120" w:after="120"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发包人继续使用承包人在施工现场的材料、设备、临时工程、承包人文件和由承包人或以其名义编制的其他文件的费用承担方式：</w:t>
      </w:r>
      <w:r>
        <w:rPr>
          <w:rFonts w:hint="eastAsia" w:ascii="宋体" w:hAnsi="宋体" w:eastAsia="宋体" w:cs="宋体"/>
          <w:bCs/>
          <w:color w:val="auto"/>
          <w:highlight w:val="none"/>
          <w:u w:val="single"/>
        </w:rPr>
        <w:t>费用不另外支付</w:t>
      </w:r>
      <w:r>
        <w:rPr>
          <w:rFonts w:hint="eastAsia" w:ascii="宋体" w:hAnsi="宋体" w:eastAsia="宋体" w:cs="宋体"/>
          <w:color w:val="auto"/>
          <w:highlight w:val="none"/>
        </w:rPr>
        <w:t>。</w:t>
      </w:r>
    </w:p>
    <w:p w14:paraId="03DF67C2">
      <w:pPr>
        <w:pStyle w:val="237"/>
        <w:pageBreakBefore w:val="0"/>
        <w:widowControl w:val="0"/>
        <w:spacing w:line="360" w:lineRule="auto"/>
        <w:rPr>
          <w:rFonts w:hint="eastAsia" w:ascii="宋体" w:hAnsi="宋体" w:eastAsia="宋体" w:cs="宋体"/>
          <w:bCs w:val="0"/>
          <w:color w:val="auto"/>
          <w:sz w:val="24"/>
          <w:szCs w:val="20"/>
          <w:highlight w:val="none"/>
        </w:rPr>
      </w:pPr>
      <w:bookmarkStart w:id="172" w:name="_Toc71558887"/>
      <w:bookmarkStart w:id="173" w:name="_Toc14470223"/>
      <w:r>
        <w:rPr>
          <w:rFonts w:hint="eastAsia" w:ascii="宋体" w:hAnsi="宋体" w:eastAsia="宋体" w:cs="宋体"/>
          <w:bCs w:val="0"/>
          <w:color w:val="auto"/>
          <w:sz w:val="24"/>
          <w:szCs w:val="20"/>
          <w:highlight w:val="none"/>
        </w:rPr>
        <w:t>17.不可抗力</w:t>
      </w:r>
      <w:bookmarkEnd w:id="172"/>
      <w:bookmarkEnd w:id="173"/>
    </w:p>
    <w:p w14:paraId="1C1E408E">
      <w:pPr>
        <w:pStyle w:val="239"/>
        <w:pageBreakBefore w:val="0"/>
        <w:widowControl w:val="0"/>
        <w:spacing w:line="360" w:lineRule="auto"/>
        <w:rPr>
          <w:rFonts w:hint="eastAsia" w:ascii="宋体" w:hAnsi="宋体" w:eastAsia="宋体" w:cs="宋体"/>
          <w:bCs w:val="0"/>
          <w:color w:val="auto"/>
          <w:sz w:val="24"/>
          <w:szCs w:val="20"/>
          <w:highlight w:val="none"/>
        </w:rPr>
      </w:pPr>
      <w:bookmarkStart w:id="174" w:name="_Toc14470224"/>
      <w:r>
        <w:rPr>
          <w:rFonts w:hint="eastAsia" w:ascii="宋体" w:hAnsi="宋体" w:eastAsia="宋体" w:cs="宋体"/>
          <w:bCs w:val="0"/>
          <w:color w:val="auto"/>
          <w:sz w:val="24"/>
          <w:szCs w:val="20"/>
          <w:highlight w:val="none"/>
        </w:rPr>
        <w:t>17.1 不可抗力的确认</w:t>
      </w:r>
      <w:bookmarkEnd w:id="174"/>
    </w:p>
    <w:p w14:paraId="0704532D">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除通用合同条款约定的不可抗力事件之外，视为不可抗力的其他情形：</w:t>
      </w:r>
      <w:r>
        <w:rPr>
          <w:rFonts w:hint="eastAsia" w:ascii="宋体" w:hAnsi="宋体" w:eastAsia="宋体" w:cs="宋体"/>
          <w:bCs/>
          <w:color w:val="auto"/>
          <w:highlight w:val="none"/>
          <w:u w:val="single"/>
        </w:rPr>
        <w:t>空中飞行物体坠落或其他非发包人、承包人责任造成的爆炸、火灾，以及当地气象部门认定的50年一遇风、雨、雪、洪、震等自然灾害</w:t>
      </w:r>
      <w:r>
        <w:rPr>
          <w:rFonts w:hint="eastAsia" w:ascii="宋体" w:hAnsi="宋体" w:eastAsia="宋体" w:cs="宋体"/>
          <w:color w:val="auto"/>
          <w:highlight w:val="none"/>
        </w:rPr>
        <w:t>。</w:t>
      </w:r>
    </w:p>
    <w:p w14:paraId="1E976E0E">
      <w:pPr>
        <w:pStyle w:val="239"/>
        <w:pageBreakBefore w:val="0"/>
        <w:widowControl w:val="0"/>
        <w:spacing w:line="360" w:lineRule="auto"/>
        <w:rPr>
          <w:rFonts w:hint="eastAsia" w:ascii="宋体" w:hAnsi="宋体" w:eastAsia="宋体" w:cs="宋体"/>
          <w:bCs w:val="0"/>
          <w:color w:val="auto"/>
          <w:sz w:val="24"/>
          <w:szCs w:val="20"/>
          <w:highlight w:val="none"/>
        </w:rPr>
      </w:pPr>
      <w:bookmarkStart w:id="175" w:name="_Toc14470225"/>
      <w:r>
        <w:rPr>
          <w:rFonts w:hint="eastAsia" w:ascii="宋体" w:hAnsi="宋体" w:eastAsia="宋体" w:cs="宋体"/>
          <w:bCs w:val="0"/>
          <w:color w:val="auto"/>
          <w:sz w:val="24"/>
          <w:szCs w:val="20"/>
          <w:highlight w:val="none"/>
        </w:rPr>
        <w:t>17.2因不可抗力解除合同</w:t>
      </w:r>
      <w:bookmarkEnd w:id="175"/>
    </w:p>
    <w:p w14:paraId="25CA28F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合同解除后，发包人应在商定或确定发包人应支付款项后</w:t>
      </w:r>
      <w:r>
        <w:rPr>
          <w:rFonts w:hint="eastAsia" w:ascii="宋体" w:hAnsi="宋体" w:eastAsia="宋体" w:cs="宋体"/>
          <w:color w:val="auto"/>
          <w:highlight w:val="none"/>
          <w:u w:val="single"/>
        </w:rPr>
        <w:t>/</w:t>
      </w:r>
      <w:r>
        <w:rPr>
          <w:rFonts w:hint="eastAsia" w:ascii="宋体" w:hAnsi="宋体" w:eastAsia="宋体" w:cs="宋体"/>
          <w:color w:val="auto"/>
          <w:highlight w:val="none"/>
        </w:rPr>
        <w:t>天内完成款项的支付。</w:t>
      </w:r>
    </w:p>
    <w:p w14:paraId="4B4B7843">
      <w:pPr>
        <w:pStyle w:val="237"/>
        <w:pageBreakBefore w:val="0"/>
        <w:widowControl w:val="0"/>
        <w:spacing w:line="360" w:lineRule="auto"/>
        <w:rPr>
          <w:rFonts w:hint="eastAsia" w:ascii="宋体" w:hAnsi="宋体" w:eastAsia="宋体" w:cs="宋体"/>
          <w:bCs w:val="0"/>
          <w:color w:val="auto"/>
          <w:sz w:val="24"/>
          <w:szCs w:val="20"/>
          <w:highlight w:val="none"/>
        </w:rPr>
      </w:pPr>
      <w:bookmarkStart w:id="176" w:name="_Toc71558888"/>
      <w:bookmarkStart w:id="177" w:name="_Toc14470226"/>
      <w:r>
        <w:rPr>
          <w:rFonts w:hint="eastAsia" w:ascii="宋体" w:hAnsi="宋体" w:eastAsia="宋体" w:cs="宋体"/>
          <w:bCs w:val="0"/>
          <w:color w:val="auto"/>
          <w:sz w:val="24"/>
          <w:szCs w:val="20"/>
          <w:highlight w:val="none"/>
        </w:rPr>
        <w:t>18.保险</w:t>
      </w:r>
      <w:bookmarkEnd w:id="176"/>
      <w:bookmarkEnd w:id="177"/>
    </w:p>
    <w:p w14:paraId="55B56F9E">
      <w:pPr>
        <w:pStyle w:val="239"/>
        <w:pageBreakBefore w:val="0"/>
        <w:widowControl w:val="0"/>
        <w:spacing w:line="360" w:lineRule="auto"/>
        <w:rPr>
          <w:rFonts w:hint="eastAsia" w:ascii="宋体" w:hAnsi="宋体" w:eastAsia="宋体" w:cs="宋体"/>
          <w:bCs w:val="0"/>
          <w:color w:val="auto"/>
          <w:sz w:val="24"/>
          <w:szCs w:val="20"/>
          <w:highlight w:val="none"/>
        </w:rPr>
      </w:pPr>
      <w:bookmarkStart w:id="178" w:name="_Toc14470227"/>
      <w:r>
        <w:rPr>
          <w:rFonts w:hint="eastAsia" w:ascii="宋体" w:hAnsi="宋体" w:eastAsia="宋体" w:cs="宋体"/>
          <w:bCs w:val="0"/>
          <w:color w:val="auto"/>
          <w:sz w:val="24"/>
          <w:szCs w:val="20"/>
          <w:highlight w:val="none"/>
        </w:rPr>
        <w:t>18.1工程保险</w:t>
      </w:r>
      <w:bookmarkEnd w:id="178"/>
    </w:p>
    <w:p w14:paraId="58DD622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关于工程保险的特别约定：</w:t>
      </w:r>
      <w:r>
        <w:rPr>
          <w:rFonts w:hint="eastAsia" w:ascii="宋体" w:hAnsi="宋体" w:eastAsia="宋体" w:cs="宋体"/>
          <w:bCs/>
          <w:color w:val="auto"/>
          <w:highlight w:val="none"/>
          <w:u w:val="single"/>
        </w:rPr>
        <w:t>由承包人办理工程一切险和第三者责任险，并承担相应保费</w:t>
      </w:r>
      <w:r>
        <w:rPr>
          <w:rFonts w:hint="eastAsia" w:ascii="宋体" w:hAnsi="宋体" w:eastAsia="宋体" w:cs="宋体"/>
          <w:color w:val="auto"/>
          <w:highlight w:val="none"/>
        </w:rPr>
        <w:t>。</w:t>
      </w:r>
    </w:p>
    <w:p w14:paraId="5D103A24">
      <w:pPr>
        <w:pStyle w:val="239"/>
        <w:pageBreakBefore w:val="0"/>
        <w:widowControl w:val="0"/>
        <w:spacing w:line="360" w:lineRule="auto"/>
        <w:rPr>
          <w:rFonts w:hint="eastAsia" w:ascii="宋体" w:hAnsi="宋体" w:eastAsia="宋体" w:cs="宋体"/>
          <w:bCs w:val="0"/>
          <w:color w:val="auto"/>
          <w:sz w:val="24"/>
          <w:szCs w:val="20"/>
          <w:highlight w:val="none"/>
        </w:rPr>
      </w:pPr>
      <w:bookmarkStart w:id="179" w:name="_Toc14470228"/>
      <w:r>
        <w:rPr>
          <w:rFonts w:hint="eastAsia" w:ascii="宋体" w:hAnsi="宋体" w:eastAsia="宋体" w:cs="宋体"/>
          <w:bCs w:val="0"/>
          <w:color w:val="auto"/>
          <w:sz w:val="24"/>
          <w:szCs w:val="20"/>
          <w:highlight w:val="none"/>
        </w:rPr>
        <w:t>18.2其他保险</w:t>
      </w:r>
      <w:bookmarkEnd w:id="179"/>
    </w:p>
    <w:p w14:paraId="52555C91">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color w:val="auto"/>
          <w:highlight w:val="none"/>
        </w:rPr>
        <w:t>关于其他保险的约定：</w:t>
      </w:r>
      <w:r>
        <w:rPr>
          <w:rFonts w:hint="eastAsia" w:ascii="宋体" w:hAnsi="宋体" w:eastAsia="宋体" w:cs="宋体"/>
          <w:bCs/>
          <w:color w:val="auto"/>
          <w:highlight w:val="none"/>
          <w:u w:val="single"/>
        </w:rPr>
        <w:t>（1）承包人须依法对其应投保的人身、财产（包括但不限于对本工程施工作业人员的生命财产和施工机械设备）办理保险，并支付保险费用。</w:t>
      </w:r>
    </w:p>
    <w:p w14:paraId="0EC0D45B">
      <w:pPr>
        <w:pageBreakBefore w:val="0"/>
        <w:widowControl w:val="0"/>
        <w:spacing w:line="360" w:lineRule="auto"/>
        <w:ind w:firstLine="420"/>
        <w:jc w:val="left"/>
        <w:rPr>
          <w:rFonts w:hint="eastAsia" w:ascii="宋体" w:hAnsi="宋体" w:eastAsia="宋体" w:cs="宋体"/>
          <w:bCs/>
          <w:color w:val="auto"/>
          <w:highlight w:val="none"/>
          <w:u w:val="single"/>
        </w:rPr>
      </w:pPr>
      <w:r>
        <w:rPr>
          <w:rFonts w:hint="eastAsia" w:ascii="宋体" w:hAnsi="宋体" w:eastAsia="宋体" w:cs="宋体"/>
          <w:bCs/>
          <w:color w:val="auto"/>
          <w:highlight w:val="none"/>
          <w:u w:val="single"/>
        </w:rPr>
        <w:t>（2）承包人须对进入施工现场人员的意外或伤亡负全部责任。发包人对包括但不限于任何雇员的意外或伤亡，不论该人是受雇于承包人或其分包人，皆不负任何法律上的赔偿责任，承包人须保障发包人免负任何有关的索偿、要求、诉讼、成本、费用和支出。</w:t>
      </w:r>
    </w:p>
    <w:p w14:paraId="64D825C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bCs/>
          <w:color w:val="auto"/>
          <w:highlight w:val="none"/>
          <w:u w:val="single"/>
        </w:rPr>
        <w:t>（3）承包人须对本工程进行期间发生的与本工程有关的人身伤亡及财产损毁负费用、损失、索偿或诉讼等法律责任，并保障发包人免负该等责任，除非有关伤亡是发包人所引致的</w:t>
      </w:r>
      <w:r>
        <w:rPr>
          <w:rFonts w:hint="eastAsia" w:ascii="宋体" w:hAnsi="宋体" w:eastAsia="宋体" w:cs="宋体"/>
          <w:color w:val="auto"/>
          <w:highlight w:val="none"/>
        </w:rPr>
        <w:t>。</w:t>
      </w:r>
    </w:p>
    <w:p w14:paraId="6DE0F88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承包人是否应为其施工设备等办理财产保险：</w:t>
      </w:r>
      <w:r>
        <w:rPr>
          <w:rFonts w:hint="eastAsia" w:ascii="宋体" w:hAnsi="宋体" w:eastAsia="宋体" w:cs="宋体"/>
          <w:bCs/>
          <w:color w:val="auto"/>
          <w:highlight w:val="none"/>
          <w:u w:val="single"/>
        </w:rPr>
        <w:t>由承包人承担</w:t>
      </w:r>
      <w:r>
        <w:rPr>
          <w:rFonts w:hint="eastAsia" w:ascii="宋体" w:hAnsi="宋体" w:eastAsia="宋体" w:cs="宋体"/>
          <w:color w:val="auto"/>
          <w:highlight w:val="none"/>
        </w:rPr>
        <w:t>。</w:t>
      </w:r>
    </w:p>
    <w:p w14:paraId="03EC69BD">
      <w:pPr>
        <w:pStyle w:val="239"/>
        <w:pageBreakBefore w:val="0"/>
        <w:widowControl w:val="0"/>
        <w:spacing w:line="360" w:lineRule="auto"/>
        <w:rPr>
          <w:rFonts w:hint="eastAsia" w:ascii="宋体" w:hAnsi="宋体" w:eastAsia="宋体" w:cs="宋体"/>
          <w:bCs w:val="0"/>
          <w:color w:val="auto"/>
          <w:sz w:val="24"/>
          <w:szCs w:val="20"/>
          <w:highlight w:val="none"/>
        </w:rPr>
      </w:pPr>
      <w:bookmarkStart w:id="180" w:name="_Toc14470229"/>
      <w:r>
        <w:rPr>
          <w:rFonts w:hint="eastAsia" w:ascii="宋体" w:hAnsi="宋体" w:eastAsia="宋体" w:cs="宋体"/>
          <w:bCs w:val="0"/>
          <w:color w:val="auto"/>
          <w:sz w:val="24"/>
          <w:szCs w:val="20"/>
          <w:highlight w:val="none"/>
        </w:rPr>
        <w:t>18.3通知义务</w:t>
      </w:r>
      <w:bookmarkEnd w:id="180"/>
    </w:p>
    <w:p w14:paraId="09D6FB32">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关于变更保险合同时的通知义务的约定：</w:t>
      </w:r>
      <w:r>
        <w:rPr>
          <w:rFonts w:hint="eastAsia" w:ascii="宋体" w:hAnsi="宋体" w:eastAsia="宋体" w:cs="宋体"/>
          <w:color w:val="auto"/>
          <w:highlight w:val="none"/>
          <w:u w:val="single"/>
        </w:rPr>
        <w:fldChar w:fldCharType="begin"/>
      </w:r>
      <w:r>
        <w:rPr>
          <w:rFonts w:hint="eastAsia" w:ascii="宋体" w:hAnsi="宋体" w:eastAsia="宋体" w:cs="宋体"/>
          <w:color w:val="auto"/>
          <w:highlight w:val="none"/>
          <w:u w:val="single"/>
        </w:rPr>
        <w:instrText xml:space="preserve"> AUTOTEXT  5761 \* MERGEFORMAT </w:instrText>
      </w:r>
      <w:r>
        <w:rPr>
          <w:rFonts w:hint="eastAsia" w:ascii="宋体" w:hAnsi="宋体" w:eastAsia="宋体" w:cs="宋体"/>
          <w:color w:val="auto"/>
          <w:highlight w:val="none"/>
          <w:u w:val="single"/>
        </w:rPr>
        <w:fldChar w:fldCharType="separate"/>
      </w:r>
      <w:r>
        <w:rPr>
          <w:rFonts w:hint="eastAsia" w:ascii="宋体" w:hAnsi="宋体" w:eastAsia="宋体" w:cs="宋体"/>
          <w:color w:val="auto"/>
          <w:highlight w:val="none"/>
          <w:u w:val="single"/>
        </w:rPr>
        <w:t>按通用条款有关规定执行</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u w:val="single"/>
        </w:rPr>
        <w:t xml:space="preserve"> </w:t>
      </w:r>
    </w:p>
    <w:p w14:paraId="6968E88C">
      <w:pPr>
        <w:pStyle w:val="237"/>
        <w:pageBreakBefore w:val="0"/>
        <w:widowControl w:val="0"/>
        <w:spacing w:line="360" w:lineRule="auto"/>
        <w:rPr>
          <w:rFonts w:hint="eastAsia" w:ascii="宋体" w:hAnsi="宋体" w:eastAsia="宋体" w:cs="宋体"/>
          <w:bCs w:val="0"/>
          <w:color w:val="auto"/>
          <w:sz w:val="24"/>
          <w:szCs w:val="20"/>
          <w:highlight w:val="none"/>
        </w:rPr>
      </w:pPr>
      <w:bookmarkStart w:id="181" w:name="_Toc71558889"/>
      <w:bookmarkStart w:id="182" w:name="_Toc14470230"/>
      <w:r>
        <w:rPr>
          <w:rFonts w:hint="eastAsia" w:ascii="宋体" w:hAnsi="宋体" w:eastAsia="宋体" w:cs="宋体"/>
          <w:bCs w:val="0"/>
          <w:color w:val="auto"/>
          <w:sz w:val="24"/>
          <w:szCs w:val="20"/>
          <w:highlight w:val="none"/>
        </w:rPr>
        <w:t>19.争议解决</w:t>
      </w:r>
      <w:bookmarkEnd w:id="181"/>
      <w:bookmarkEnd w:id="182"/>
    </w:p>
    <w:p w14:paraId="5275C88A">
      <w:pPr>
        <w:pStyle w:val="239"/>
        <w:pageBreakBefore w:val="0"/>
        <w:widowControl w:val="0"/>
        <w:spacing w:line="360" w:lineRule="auto"/>
        <w:rPr>
          <w:rFonts w:hint="eastAsia" w:ascii="宋体" w:hAnsi="宋体" w:eastAsia="宋体" w:cs="宋体"/>
          <w:bCs w:val="0"/>
          <w:color w:val="auto"/>
          <w:sz w:val="24"/>
          <w:szCs w:val="20"/>
          <w:highlight w:val="none"/>
        </w:rPr>
      </w:pPr>
      <w:bookmarkStart w:id="183" w:name="_Toc14470231"/>
      <w:r>
        <w:rPr>
          <w:rFonts w:hint="eastAsia" w:ascii="宋体" w:hAnsi="宋体" w:eastAsia="宋体" w:cs="宋体"/>
          <w:bCs w:val="0"/>
          <w:color w:val="auto"/>
          <w:sz w:val="24"/>
          <w:szCs w:val="20"/>
          <w:highlight w:val="none"/>
        </w:rPr>
        <w:t>19.1争议评审</w:t>
      </w:r>
      <w:bookmarkEnd w:id="183"/>
    </w:p>
    <w:p w14:paraId="1FED71FB">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合同当事人是否同意将工程争议提交争议</w:t>
      </w:r>
      <w:r>
        <w:rPr>
          <w:rFonts w:hint="eastAsia" w:ascii="宋体" w:hAnsi="宋体" w:eastAsia="宋体" w:cs="宋体"/>
          <w:color w:val="auto"/>
          <w:highlight w:val="none"/>
          <w:lang w:eastAsia="zh-CN"/>
        </w:rPr>
        <w:t>磋商小组</w:t>
      </w:r>
      <w:r>
        <w:rPr>
          <w:rFonts w:hint="eastAsia" w:ascii="宋体" w:hAnsi="宋体" w:eastAsia="宋体" w:cs="宋体"/>
          <w:color w:val="auto"/>
          <w:highlight w:val="none"/>
        </w:rPr>
        <w:t>决定：</w:t>
      </w:r>
      <w:r>
        <w:rPr>
          <w:rFonts w:hint="eastAsia" w:ascii="宋体" w:hAnsi="宋体" w:eastAsia="宋体" w:cs="宋体"/>
          <w:bCs/>
          <w:color w:val="auto"/>
          <w:highlight w:val="none"/>
          <w:u w:val="single"/>
        </w:rPr>
        <w:t>不采用</w:t>
      </w:r>
      <w:r>
        <w:rPr>
          <w:rFonts w:hint="eastAsia" w:ascii="宋体" w:hAnsi="宋体" w:eastAsia="宋体" w:cs="宋体"/>
          <w:color w:val="auto"/>
          <w:highlight w:val="none"/>
        </w:rPr>
        <w:t xml:space="preserve">。  </w:t>
      </w:r>
    </w:p>
    <w:p w14:paraId="2AB81DF3">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19.1.1 争议</w:t>
      </w:r>
      <w:r>
        <w:rPr>
          <w:rFonts w:hint="eastAsia" w:ascii="宋体" w:hAnsi="宋体" w:eastAsia="宋体" w:cs="宋体"/>
          <w:color w:val="auto"/>
          <w:highlight w:val="none"/>
          <w:lang w:eastAsia="zh-CN"/>
        </w:rPr>
        <w:t>磋商小组</w:t>
      </w:r>
      <w:r>
        <w:rPr>
          <w:rFonts w:hint="eastAsia" w:ascii="宋体" w:hAnsi="宋体" w:eastAsia="宋体" w:cs="宋体"/>
          <w:color w:val="auto"/>
          <w:highlight w:val="none"/>
        </w:rPr>
        <w:t>的确定</w:t>
      </w:r>
    </w:p>
    <w:p w14:paraId="6BF80249">
      <w:pPr>
        <w:pageBreakBefore w:val="0"/>
        <w:widowControl w:val="0"/>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争议</w:t>
      </w:r>
      <w:r>
        <w:rPr>
          <w:rFonts w:hint="eastAsia" w:ascii="宋体" w:hAnsi="宋体" w:eastAsia="宋体" w:cs="宋体"/>
          <w:color w:val="auto"/>
          <w:highlight w:val="none"/>
          <w:lang w:eastAsia="zh-CN"/>
        </w:rPr>
        <w:t>磋商小组</w:t>
      </w:r>
      <w:r>
        <w:rPr>
          <w:rFonts w:hint="eastAsia" w:ascii="宋体" w:hAnsi="宋体" w:eastAsia="宋体" w:cs="宋体"/>
          <w:color w:val="auto"/>
          <w:highlight w:val="none"/>
        </w:rPr>
        <w:t>成员的确定：</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1AEF57CF">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选定争议评审员的期限：</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1BE40BAD">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争议</w:t>
      </w:r>
      <w:r>
        <w:rPr>
          <w:rFonts w:hint="eastAsia" w:ascii="宋体" w:hAnsi="宋体" w:eastAsia="宋体" w:cs="宋体"/>
          <w:color w:val="auto"/>
          <w:highlight w:val="none"/>
          <w:lang w:eastAsia="zh-CN"/>
        </w:rPr>
        <w:t>磋商小组</w:t>
      </w:r>
      <w:r>
        <w:rPr>
          <w:rFonts w:hint="eastAsia" w:ascii="宋体" w:hAnsi="宋体" w:eastAsia="宋体" w:cs="宋体"/>
          <w:color w:val="auto"/>
          <w:highlight w:val="none"/>
        </w:rPr>
        <w:t>成员的报酬承担方式：</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77406A6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其他事项的约定：</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343144AE">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19.1.2 争议</w:t>
      </w:r>
      <w:r>
        <w:rPr>
          <w:rFonts w:hint="eastAsia" w:ascii="宋体" w:hAnsi="宋体" w:eastAsia="宋体" w:cs="宋体"/>
          <w:color w:val="auto"/>
          <w:highlight w:val="none"/>
          <w:lang w:eastAsia="zh-CN"/>
        </w:rPr>
        <w:t>磋商小组</w:t>
      </w:r>
      <w:r>
        <w:rPr>
          <w:rFonts w:hint="eastAsia" w:ascii="宋体" w:hAnsi="宋体" w:eastAsia="宋体" w:cs="宋体"/>
          <w:color w:val="auto"/>
          <w:highlight w:val="none"/>
        </w:rPr>
        <w:t>的决定</w:t>
      </w:r>
    </w:p>
    <w:p w14:paraId="4CE96345">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合同当事人关于本项的约定：</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r>
        <w:rPr>
          <w:rFonts w:hint="eastAsia" w:ascii="宋体" w:hAnsi="宋体" w:eastAsia="宋体" w:cs="宋体"/>
          <w:color w:val="auto"/>
          <w:highlight w:val="none"/>
        </w:rPr>
        <w:t>。</w:t>
      </w:r>
    </w:p>
    <w:p w14:paraId="7D4CC570">
      <w:pPr>
        <w:pStyle w:val="239"/>
        <w:pageBreakBefore w:val="0"/>
        <w:widowControl w:val="0"/>
        <w:spacing w:line="360" w:lineRule="auto"/>
        <w:rPr>
          <w:rFonts w:hint="eastAsia" w:ascii="宋体" w:hAnsi="宋体" w:eastAsia="宋体" w:cs="宋体"/>
          <w:bCs w:val="0"/>
          <w:color w:val="auto"/>
          <w:sz w:val="24"/>
          <w:szCs w:val="20"/>
          <w:highlight w:val="none"/>
        </w:rPr>
      </w:pPr>
      <w:bookmarkStart w:id="184" w:name="_Toc14470232"/>
      <w:r>
        <w:rPr>
          <w:rFonts w:hint="eastAsia" w:ascii="宋体" w:hAnsi="宋体" w:eastAsia="宋体" w:cs="宋体"/>
          <w:bCs w:val="0"/>
          <w:color w:val="auto"/>
          <w:sz w:val="24"/>
          <w:szCs w:val="20"/>
          <w:highlight w:val="none"/>
        </w:rPr>
        <w:t>19.2仲裁或诉讼</w:t>
      </w:r>
      <w:bookmarkEnd w:id="184"/>
    </w:p>
    <w:p w14:paraId="697EB57C">
      <w:pPr>
        <w:pageBreakBefore w:val="0"/>
        <w:widowControl w:val="0"/>
        <w:spacing w:after="120"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因合同及合同有关事项发生的争议，按下列第</w:t>
      </w:r>
      <w:r>
        <w:rPr>
          <w:rFonts w:hint="eastAsia" w:ascii="宋体" w:hAnsi="宋体" w:eastAsia="宋体" w:cs="宋体"/>
          <w:bCs/>
          <w:color w:val="auto"/>
          <w:highlight w:val="none"/>
          <w:u w:val="single"/>
        </w:rPr>
        <w:t>2</w:t>
      </w:r>
      <w:r>
        <w:rPr>
          <w:rFonts w:hint="eastAsia" w:ascii="宋体" w:hAnsi="宋体" w:eastAsia="宋体" w:cs="宋体"/>
          <w:color w:val="auto"/>
          <w:highlight w:val="none"/>
        </w:rPr>
        <w:t>种方式解决：</w:t>
      </w:r>
    </w:p>
    <w:p w14:paraId="65A9F470">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（1）向</w:t>
      </w:r>
      <w:r>
        <w:rPr>
          <w:rFonts w:hint="eastAsia" w:ascii="宋体" w:hAnsi="宋体" w:eastAsia="宋体" w:cs="宋体"/>
          <w:color w:val="auto"/>
          <w:highlight w:val="none"/>
          <w:u w:val="single"/>
        </w:rPr>
        <w:t>无锡市仲裁委员会</w:t>
      </w:r>
      <w:r>
        <w:rPr>
          <w:rFonts w:hint="eastAsia" w:ascii="宋体" w:hAnsi="宋体" w:eastAsia="宋体" w:cs="宋体"/>
          <w:color w:val="auto"/>
          <w:highlight w:val="none"/>
        </w:rPr>
        <w:t>申请仲裁；</w:t>
      </w:r>
    </w:p>
    <w:p w14:paraId="0172151C">
      <w:pPr>
        <w:pageBreakBefore w:val="0"/>
        <w:widowControl w:val="0"/>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（2）向</w:t>
      </w:r>
      <w:r>
        <w:rPr>
          <w:rFonts w:hint="eastAsia" w:ascii="宋体" w:hAnsi="宋体" w:eastAsia="宋体" w:cs="宋体"/>
          <w:color w:val="auto"/>
          <w:highlight w:val="none"/>
          <w:u w:val="single"/>
        </w:rPr>
        <w:t>本工程所在地</w:t>
      </w:r>
      <w:r>
        <w:rPr>
          <w:rFonts w:hint="eastAsia" w:ascii="宋体" w:hAnsi="宋体" w:eastAsia="宋体" w:cs="宋体"/>
          <w:color w:val="auto"/>
          <w:highlight w:val="none"/>
        </w:rPr>
        <w:t>人民法院起诉。</w:t>
      </w:r>
    </w:p>
    <w:p w14:paraId="6F8D323F">
      <w:pPr>
        <w:pStyle w:val="237"/>
        <w:pageBreakBefore w:val="0"/>
        <w:widowControl w:val="0"/>
        <w:spacing w:line="360" w:lineRule="auto"/>
        <w:rPr>
          <w:rFonts w:hint="eastAsia" w:ascii="宋体" w:hAnsi="宋体" w:eastAsia="宋体" w:cs="宋体"/>
          <w:bCs w:val="0"/>
          <w:color w:val="auto"/>
          <w:sz w:val="24"/>
          <w:szCs w:val="20"/>
          <w:highlight w:val="none"/>
        </w:rPr>
      </w:pPr>
      <w:r>
        <w:rPr>
          <w:rFonts w:hint="eastAsia" w:ascii="宋体" w:hAnsi="宋体" w:eastAsia="宋体" w:cs="宋体"/>
          <w:bCs w:val="0"/>
          <w:color w:val="auto"/>
          <w:sz w:val="24"/>
          <w:szCs w:val="20"/>
          <w:highlight w:val="none"/>
        </w:rPr>
        <w:t>20.合同附件</w:t>
      </w:r>
    </w:p>
    <w:p w14:paraId="1B417F7A">
      <w:pPr>
        <w:pageBreakBefore w:val="0"/>
        <w:widowControl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附件1：工程量清单及报价单</w:t>
      </w:r>
    </w:p>
    <w:p w14:paraId="48DD3252">
      <w:pPr>
        <w:pageBreakBefore w:val="0"/>
        <w:widowControl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附件2：工程质量保修书</w:t>
      </w:r>
    </w:p>
    <w:p w14:paraId="57045194">
      <w:pPr>
        <w:pageBreakBefore w:val="0"/>
        <w:widowControl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附件3：施工安全协议书</w:t>
      </w:r>
    </w:p>
    <w:p w14:paraId="45C3AD36">
      <w:pPr>
        <w:pageBreakBefore w:val="0"/>
        <w:widowControl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附件4：江苏省梅村高级中学校园安全文明施工承诺书</w:t>
      </w:r>
    </w:p>
    <w:p w14:paraId="418DD70A">
      <w:pPr>
        <w:pageBreakBefore w:val="0"/>
        <w:widowControl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附件5：江苏省梅村高级中学建设工程廉政建设责任状</w:t>
      </w:r>
    </w:p>
    <w:p w14:paraId="7AC1FE2A">
      <w:pPr>
        <w:pStyle w:val="2"/>
        <w:numPr>
          <w:ilvl w:val="0"/>
          <w:numId w:val="0"/>
        </w:numPr>
        <w:ind w:leftChars="0"/>
        <w:jc w:val="both"/>
        <w:rPr>
          <w:rFonts w:hint="eastAsia" w:ascii="宋体" w:hAnsi="宋体" w:eastAsia="宋体" w:cs="宋体"/>
          <w:color w:val="auto"/>
          <w:highlight w:val="none"/>
        </w:rPr>
      </w:pPr>
    </w:p>
    <w:p w14:paraId="4564F82C">
      <w:pPr>
        <w:rPr>
          <w:rFonts w:hint="eastAsia" w:ascii="宋体" w:hAnsi="宋体" w:eastAsia="宋体" w:cs="宋体"/>
          <w:color w:val="auto"/>
          <w:highlight w:val="none"/>
        </w:rPr>
      </w:pPr>
    </w:p>
    <w:p w14:paraId="69B3A31E">
      <w:pPr>
        <w:pStyle w:val="2"/>
        <w:numPr>
          <w:ilvl w:val="0"/>
          <w:numId w:val="0"/>
        </w:numPr>
        <w:ind w:leftChars="0"/>
        <w:jc w:val="both"/>
        <w:rPr>
          <w:rFonts w:hint="eastAsia"/>
        </w:rPr>
      </w:pPr>
    </w:p>
    <w:p w14:paraId="4D0CF909">
      <w:pPr>
        <w:rPr>
          <w:rFonts w:hint="eastAsia" w:ascii="宋体" w:hAnsi="宋体" w:eastAsia="宋体" w:cs="宋体"/>
          <w:color w:val="auto"/>
          <w:highlight w:val="none"/>
        </w:rPr>
      </w:pPr>
    </w:p>
    <w:p w14:paraId="76C3FA40">
      <w:pPr>
        <w:pStyle w:val="2"/>
        <w:numPr>
          <w:ilvl w:val="0"/>
          <w:numId w:val="0"/>
        </w:numPr>
        <w:ind w:leftChars="0"/>
        <w:jc w:val="both"/>
        <w:rPr>
          <w:rFonts w:hint="eastAsia"/>
        </w:rPr>
      </w:pPr>
    </w:p>
    <w:p w14:paraId="3E1320B4">
      <w:pPr>
        <w:rPr>
          <w:rFonts w:hint="eastAsia" w:ascii="宋体" w:hAnsi="宋体" w:eastAsia="宋体" w:cs="宋体"/>
          <w:color w:val="auto"/>
          <w:highlight w:val="none"/>
        </w:rPr>
      </w:pPr>
    </w:p>
    <w:p w14:paraId="392F4DDA">
      <w:pPr>
        <w:pStyle w:val="2"/>
        <w:numPr>
          <w:ilvl w:val="0"/>
          <w:numId w:val="0"/>
        </w:numPr>
        <w:ind w:leftChars="0"/>
        <w:jc w:val="both"/>
        <w:rPr>
          <w:rFonts w:hint="eastAsia"/>
        </w:rPr>
      </w:pPr>
    </w:p>
    <w:p w14:paraId="459ABEF0">
      <w:pPr>
        <w:rPr>
          <w:rFonts w:hint="eastAsia"/>
        </w:rPr>
      </w:pPr>
    </w:p>
    <w:p w14:paraId="215B3C27">
      <w:pPr>
        <w:rPr>
          <w:rFonts w:hint="eastAsia"/>
        </w:rPr>
      </w:pPr>
    </w:p>
    <w:p w14:paraId="5740781F">
      <w:pPr>
        <w:rPr>
          <w:rFonts w:hint="eastAsia"/>
        </w:rPr>
      </w:pPr>
    </w:p>
    <w:p w14:paraId="34F76E8C">
      <w:pPr>
        <w:rPr>
          <w:rFonts w:hint="eastAsia"/>
        </w:rPr>
      </w:pPr>
    </w:p>
    <w:p w14:paraId="799467B5">
      <w:pPr>
        <w:pStyle w:val="237"/>
        <w:rPr>
          <w:rFonts w:hint="eastAsia" w:ascii="宋体" w:hAnsi="宋体" w:eastAsia="宋体" w:cs="宋体"/>
          <w:color w:val="auto"/>
          <w:highlight w:val="none"/>
        </w:rPr>
      </w:pPr>
      <w:bookmarkStart w:id="185" w:name="_Toc71558891"/>
      <w:r>
        <w:rPr>
          <w:rFonts w:hint="eastAsia" w:ascii="宋体" w:hAnsi="宋体" w:eastAsia="宋体" w:cs="宋体"/>
          <w:color w:val="auto"/>
          <w:highlight w:val="none"/>
        </w:rPr>
        <w:t>附件1：</w:t>
      </w:r>
      <w:bookmarkEnd w:id="185"/>
    </w:p>
    <w:p w14:paraId="1C11972B">
      <w:pPr>
        <w:pStyle w:val="239"/>
        <w:jc w:val="center"/>
        <w:rPr>
          <w:rFonts w:hint="eastAsia" w:ascii="宋体" w:hAnsi="宋体" w:eastAsia="宋体" w:cs="宋体"/>
          <w:color w:val="auto"/>
          <w:sz w:val="28"/>
          <w:highlight w:val="none"/>
        </w:rPr>
      </w:pPr>
      <w:r>
        <w:rPr>
          <w:rFonts w:hint="eastAsia" w:ascii="宋体" w:hAnsi="宋体" w:eastAsia="宋体" w:cs="宋体"/>
          <w:color w:val="auto"/>
          <w:sz w:val="28"/>
          <w:highlight w:val="none"/>
        </w:rPr>
        <w:t>工程量清单和计价表</w:t>
      </w:r>
    </w:p>
    <w:p w14:paraId="007CCAD3">
      <w:pPr>
        <w:pStyle w:val="237"/>
        <w:rPr>
          <w:rFonts w:hint="eastAsia" w:ascii="宋体" w:hAnsi="宋体" w:eastAsia="宋体" w:cs="宋体"/>
          <w:color w:val="auto"/>
          <w:highlight w:val="none"/>
        </w:rPr>
      </w:pPr>
      <w:r>
        <w:rPr>
          <w:rFonts w:hint="eastAsia" w:ascii="宋体" w:hAnsi="宋体" w:eastAsia="宋体" w:cs="宋体"/>
          <w:color w:val="auto"/>
          <w:szCs w:val="21"/>
          <w:highlight w:val="none"/>
        </w:rPr>
        <w:br w:type="page" w:clear="all"/>
      </w:r>
      <w:bookmarkStart w:id="186" w:name="_Toc71558892"/>
      <w:r>
        <w:rPr>
          <w:rFonts w:hint="eastAsia" w:ascii="宋体" w:hAnsi="宋体" w:eastAsia="宋体" w:cs="宋体"/>
          <w:color w:val="auto"/>
          <w:highlight w:val="none"/>
        </w:rPr>
        <w:t>附件2：</w:t>
      </w:r>
      <w:bookmarkEnd w:id="186"/>
      <w:r>
        <w:rPr>
          <w:rFonts w:hint="eastAsia" w:ascii="宋体" w:hAnsi="宋体" w:eastAsia="宋体" w:cs="宋体"/>
          <w:color w:val="auto"/>
          <w:highlight w:val="none"/>
        </w:rPr>
        <w:t xml:space="preserve">   </w:t>
      </w:r>
    </w:p>
    <w:p w14:paraId="2A2F23BF">
      <w:pPr>
        <w:pStyle w:val="239"/>
        <w:jc w:val="center"/>
        <w:rPr>
          <w:rFonts w:hint="eastAsia" w:ascii="宋体" w:hAnsi="宋体" w:eastAsia="宋体" w:cs="宋体"/>
          <w:color w:val="auto"/>
          <w:sz w:val="28"/>
          <w:highlight w:val="none"/>
        </w:rPr>
      </w:pPr>
      <w:r>
        <w:rPr>
          <w:rFonts w:hint="eastAsia" w:ascii="宋体" w:hAnsi="宋体" w:eastAsia="宋体" w:cs="宋体"/>
          <w:color w:val="auto"/>
          <w:sz w:val="28"/>
          <w:highlight w:val="none"/>
        </w:rPr>
        <w:t>工程质量保修书</w:t>
      </w:r>
    </w:p>
    <w:p w14:paraId="323E7B8C">
      <w:pPr>
        <w:spacing w:line="440" w:lineRule="exact"/>
        <w:rPr>
          <w:rFonts w:hint="eastAsia" w:ascii="宋体" w:hAnsi="宋体" w:eastAsia="宋体" w:cs="宋体"/>
          <w:color w:val="auto"/>
          <w:highlight w:val="none"/>
        </w:rPr>
      </w:pPr>
      <w:r>
        <w:rPr>
          <w:rFonts w:hint="eastAsia" w:ascii="宋体" w:hAnsi="宋体" w:eastAsia="宋体" w:cs="宋体"/>
          <w:color w:val="auto"/>
          <w:highlight w:val="none"/>
        </w:rPr>
        <w:t>发包人（全称）：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6606ACF2">
      <w:pPr>
        <w:spacing w:line="440" w:lineRule="exact"/>
        <w:rPr>
          <w:rFonts w:hint="eastAsia" w:ascii="宋体" w:hAnsi="宋体" w:eastAsia="宋体" w:cs="宋体"/>
          <w:color w:val="auto"/>
          <w:highlight w:val="none"/>
        </w:rPr>
      </w:pPr>
      <w:r>
        <w:rPr>
          <w:rFonts w:hint="eastAsia" w:ascii="宋体" w:hAnsi="宋体" w:eastAsia="宋体" w:cs="宋体"/>
          <w:color w:val="auto"/>
          <w:highlight w:val="none"/>
        </w:rPr>
        <w:t>承包人（全称）：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38AC6FCB">
      <w:pPr>
        <w:spacing w:line="440" w:lineRule="exact"/>
        <w:rPr>
          <w:rFonts w:hint="eastAsia" w:ascii="宋体" w:hAnsi="宋体" w:eastAsia="宋体" w:cs="宋体"/>
          <w:color w:val="auto"/>
          <w:highlight w:val="none"/>
        </w:rPr>
      </w:pPr>
    </w:p>
    <w:p w14:paraId="28317B24">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发包人和承包人根据《中华人民共和国建筑法》和《建设工程质量管理条例》，经协商一致就</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签订工程质量保修书。</w:t>
      </w:r>
    </w:p>
    <w:p w14:paraId="374BEFD2">
      <w:pPr>
        <w:pageBreakBefore w:val="0"/>
        <w:widowControl w:val="0"/>
        <w:spacing w:line="360" w:lineRule="auto"/>
        <w:ind w:left="0" w:firstLine="420"/>
        <w:rPr>
          <w:rFonts w:hint="eastAsia" w:ascii="宋体" w:hAnsi="宋体" w:eastAsia="宋体" w:cs="宋体"/>
          <w:color w:val="auto"/>
          <w:highlight w:val="none"/>
        </w:rPr>
      </w:pPr>
      <w:bookmarkStart w:id="187" w:name="_Toc14514948"/>
      <w:r>
        <w:rPr>
          <w:rFonts w:hint="eastAsia" w:ascii="宋体" w:hAnsi="宋体" w:eastAsia="宋体" w:cs="宋体"/>
          <w:color w:val="auto"/>
          <w:highlight w:val="none"/>
        </w:rPr>
        <w:t>一、工程质量保修范围和内容</w:t>
      </w:r>
      <w:bookmarkEnd w:id="187"/>
    </w:p>
    <w:p w14:paraId="15FD7E25">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承包人在质量保修期内，按照有关法律规定和合同约定，承担工程质量保修责任。</w:t>
      </w:r>
    </w:p>
    <w:p w14:paraId="36E5E93B">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eastAsia="宋体" w:cs="宋体"/>
          <w:color w:val="auto"/>
          <w:highlight w:val="none"/>
          <w:u w:val="single"/>
        </w:rPr>
        <w:t>工程量清单中所有项目均在保修范围内</w:t>
      </w:r>
      <w:r>
        <w:rPr>
          <w:rFonts w:hint="eastAsia" w:ascii="宋体" w:hAnsi="宋体" w:eastAsia="宋体" w:cs="宋体"/>
          <w:color w:val="auto"/>
          <w:highlight w:val="none"/>
        </w:rPr>
        <w:t>。</w:t>
      </w:r>
    </w:p>
    <w:p w14:paraId="1C664FD1">
      <w:pPr>
        <w:pageBreakBefore w:val="0"/>
        <w:widowControl w:val="0"/>
        <w:spacing w:line="360" w:lineRule="auto"/>
        <w:ind w:left="0" w:firstLine="420"/>
        <w:rPr>
          <w:rFonts w:hint="eastAsia" w:ascii="宋体" w:hAnsi="宋体" w:eastAsia="宋体" w:cs="宋体"/>
          <w:color w:val="auto"/>
          <w:highlight w:val="none"/>
        </w:rPr>
      </w:pPr>
      <w:bookmarkStart w:id="188" w:name="_Toc14514949"/>
      <w:r>
        <w:rPr>
          <w:rFonts w:hint="eastAsia" w:ascii="宋体" w:hAnsi="宋体" w:eastAsia="宋体" w:cs="宋体"/>
          <w:color w:val="auto"/>
          <w:highlight w:val="none"/>
        </w:rPr>
        <w:t>二、质量保修期</w:t>
      </w:r>
      <w:bookmarkEnd w:id="188"/>
    </w:p>
    <w:p w14:paraId="58826474">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根据《建设工程质量管理条例》及有关规定，工程的质量保修期如下：</w:t>
      </w:r>
    </w:p>
    <w:p w14:paraId="4EFA7F73">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1．地基基础工程和主体结构工程为设计文件规定的工程合理使用年限；</w:t>
      </w:r>
    </w:p>
    <w:p w14:paraId="48DC98CE">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2．屋面防水工程、有防水要求的卫生间、房间和外墙面的防渗为 5 年；</w:t>
      </w:r>
    </w:p>
    <w:p w14:paraId="53AE4AF5">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3．装修工程为 2 年；</w:t>
      </w:r>
    </w:p>
    <w:p w14:paraId="679ACE56">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4．电气管线、给排水管道、设备安装工程为 2 年；</w:t>
      </w:r>
    </w:p>
    <w:p w14:paraId="00FBB056">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5．供热与供冷系统为 2 个采暖期、供冷期；</w:t>
      </w:r>
    </w:p>
    <w:p w14:paraId="76041286">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6．住宅小区内的给排水设施、道路等配套工程为2年；</w:t>
      </w:r>
    </w:p>
    <w:p w14:paraId="177BD092">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7．其他项目保修期限约定如下：</w:t>
      </w:r>
    </w:p>
    <w:p w14:paraId="0D85D180">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质量保修期自工程竣工验收合格之日起计算。</w:t>
      </w:r>
    </w:p>
    <w:p w14:paraId="03F16C5C">
      <w:pPr>
        <w:pageBreakBefore w:val="0"/>
        <w:widowControl w:val="0"/>
        <w:spacing w:line="360" w:lineRule="auto"/>
        <w:ind w:left="0" w:firstLine="422"/>
        <w:jc w:val="left"/>
        <w:rPr>
          <w:rFonts w:hint="eastAsia" w:ascii="宋体" w:hAnsi="宋体" w:eastAsia="宋体" w:cs="宋体"/>
          <w:b/>
          <w:color w:val="auto"/>
          <w:highlight w:val="none"/>
        </w:rPr>
      </w:pPr>
      <w:r>
        <w:rPr>
          <w:rFonts w:hint="eastAsia" w:ascii="宋体" w:hAnsi="宋体" w:eastAsia="宋体" w:cs="宋体"/>
          <w:b/>
          <w:color w:val="auto"/>
          <w:highlight w:val="none"/>
        </w:rPr>
        <w:t>工程免费保修期为：</w:t>
      </w:r>
      <w:r>
        <w:rPr>
          <w:rFonts w:hint="eastAsia" w:ascii="宋体" w:hAnsi="宋体" w:eastAsia="宋体" w:cs="宋体"/>
          <w:b/>
          <w:bCs/>
          <w:color w:val="auto"/>
          <w:highlight w:val="none"/>
          <w:u w:val="single"/>
        </w:rPr>
        <w:t xml:space="preserve">             </w:t>
      </w:r>
      <w:r>
        <w:rPr>
          <w:rFonts w:hint="eastAsia" w:ascii="宋体" w:hAnsi="宋体" w:eastAsia="宋体" w:cs="宋体"/>
          <w:b/>
          <w:color w:val="auto"/>
          <w:highlight w:val="none"/>
        </w:rPr>
        <w:t>。</w:t>
      </w:r>
    </w:p>
    <w:p w14:paraId="523DF53A">
      <w:pPr>
        <w:pageBreakBefore w:val="0"/>
        <w:widowControl w:val="0"/>
        <w:spacing w:line="360" w:lineRule="auto"/>
        <w:ind w:left="0" w:firstLine="420"/>
        <w:rPr>
          <w:rFonts w:hint="eastAsia" w:ascii="宋体" w:hAnsi="宋体" w:eastAsia="宋体" w:cs="宋体"/>
          <w:color w:val="auto"/>
          <w:highlight w:val="none"/>
        </w:rPr>
      </w:pPr>
      <w:bookmarkStart w:id="189" w:name="_Toc14514950"/>
      <w:r>
        <w:rPr>
          <w:rFonts w:hint="eastAsia" w:ascii="宋体" w:hAnsi="宋体" w:eastAsia="宋体" w:cs="宋体"/>
          <w:color w:val="auto"/>
          <w:highlight w:val="none"/>
        </w:rPr>
        <w:t>三、缺陷责任期</w:t>
      </w:r>
      <w:bookmarkEnd w:id="189"/>
    </w:p>
    <w:p w14:paraId="342FA5B3">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工程缺陷责任期为</w:t>
      </w:r>
      <w:r>
        <w:rPr>
          <w:rFonts w:hint="eastAsia" w:ascii="宋体" w:hAnsi="宋体" w:eastAsia="宋体" w:cs="宋体"/>
          <w:color w:val="auto"/>
          <w:highlight w:val="none"/>
          <w:u w:val="single"/>
        </w:rPr>
        <w:t>24</w:t>
      </w:r>
      <w:r>
        <w:rPr>
          <w:rFonts w:hint="eastAsia" w:ascii="宋体" w:hAnsi="宋体" w:eastAsia="宋体" w:cs="宋体"/>
          <w:color w:val="auto"/>
          <w:highlight w:val="none"/>
        </w:rPr>
        <w:t>个月，缺陷责任期自工程通过竣工验收之日起计算。单位工程先于全部工程进行验收，单位工程缺陷责任期自单位工程验收合格之日起算。</w:t>
      </w:r>
    </w:p>
    <w:p w14:paraId="3602F17A">
      <w:pPr>
        <w:pageBreakBefore w:val="0"/>
        <w:widowControl w:val="0"/>
        <w:spacing w:line="360" w:lineRule="auto"/>
        <w:ind w:left="0" w:firstLine="420"/>
        <w:rPr>
          <w:rFonts w:hint="eastAsia" w:ascii="宋体" w:hAnsi="宋体" w:eastAsia="宋体" w:cs="宋体"/>
          <w:color w:val="auto"/>
          <w:highlight w:val="none"/>
        </w:rPr>
      </w:pPr>
      <w:bookmarkStart w:id="190" w:name="_Toc14514951"/>
      <w:r>
        <w:rPr>
          <w:rFonts w:hint="eastAsia" w:ascii="宋体" w:hAnsi="宋体" w:eastAsia="宋体" w:cs="宋体"/>
          <w:color w:val="auto"/>
          <w:highlight w:val="none"/>
        </w:rPr>
        <w:t>四、质量保修责任</w:t>
      </w:r>
      <w:bookmarkEnd w:id="190"/>
    </w:p>
    <w:p w14:paraId="0D88D216">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1．属于保修范围、内容的项目，承包人应当在接到保修通知之日起7天内派人保修。承包人不在约定期限内派人保修的，发包人可以委托他人修理。</w:t>
      </w:r>
    </w:p>
    <w:p w14:paraId="519EB0BD">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2．发生紧急事故需抢修的，承包人在接到事故通知后，应当立即到达事故现场抢修。</w:t>
      </w:r>
    </w:p>
    <w:p w14:paraId="45DAFC45">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7D1818E7">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4．质量保修完成后，由发包人组织验收。</w:t>
      </w:r>
    </w:p>
    <w:p w14:paraId="5E694266">
      <w:pPr>
        <w:pageBreakBefore w:val="0"/>
        <w:widowControl w:val="0"/>
        <w:spacing w:line="360" w:lineRule="auto"/>
        <w:ind w:left="0" w:firstLine="420"/>
        <w:rPr>
          <w:rFonts w:hint="eastAsia" w:ascii="宋体" w:hAnsi="宋体" w:eastAsia="宋体" w:cs="宋体"/>
          <w:color w:val="auto"/>
          <w:highlight w:val="none"/>
        </w:rPr>
      </w:pPr>
      <w:bookmarkStart w:id="191" w:name="_Toc14514952"/>
      <w:r>
        <w:rPr>
          <w:rFonts w:hint="eastAsia" w:ascii="宋体" w:hAnsi="宋体" w:eastAsia="宋体" w:cs="宋体"/>
          <w:color w:val="auto"/>
          <w:highlight w:val="none"/>
        </w:rPr>
        <w:t>五、保修费用</w:t>
      </w:r>
      <w:bookmarkEnd w:id="191"/>
    </w:p>
    <w:p w14:paraId="3AF84EB0">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保修费用由造成质量缺陷的责任方承担。</w:t>
      </w:r>
    </w:p>
    <w:p w14:paraId="566D70D8">
      <w:pPr>
        <w:pageBreakBefore w:val="0"/>
        <w:widowControl w:val="0"/>
        <w:spacing w:line="360" w:lineRule="auto"/>
        <w:ind w:left="0" w:firstLine="422"/>
        <w:jc w:val="left"/>
        <w:rPr>
          <w:rFonts w:hint="eastAsia" w:ascii="宋体" w:hAnsi="宋体" w:eastAsia="宋体" w:cs="宋体"/>
          <w:color w:val="auto"/>
          <w:highlight w:val="none"/>
        </w:rPr>
      </w:pPr>
      <w:bookmarkStart w:id="192" w:name="_Toc14514953"/>
      <w:r>
        <w:rPr>
          <w:rFonts w:hint="eastAsia" w:ascii="宋体" w:hAnsi="宋体" w:eastAsia="宋体" w:cs="宋体"/>
          <w:b/>
          <w:color w:val="auto"/>
          <w:highlight w:val="none"/>
        </w:rPr>
        <w:t>六</w:t>
      </w:r>
      <w:r>
        <w:rPr>
          <w:rFonts w:hint="eastAsia" w:ascii="宋体" w:hAnsi="宋体" w:eastAsia="宋体" w:cs="宋体"/>
          <w:color w:val="auto"/>
          <w:highlight w:val="none"/>
        </w:rPr>
        <w:t>、双方约定的其他工程质量保修事项：</w:t>
      </w:r>
      <w:bookmarkEnd w:id="192"/>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1DF94055">
      <w:pPr>
        <w:pageBreakBefore w:val="0"/>
        <w:widowControl w:val="0"/>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工程质量保修书作为施工合同附件，其有效期限至保修期满。</w:t>
      </w:r>
      <w:bookmarkStart w:id="193" w:name="_Toc71558893"/>
    </w:p>
    <w:p w14:paraId="5AA99F1E">
      <w:pPr>
        <w:pStyle w:val="237"/>
        <w:pageBreakBefore w:val="0"/>
        <w:widowControl w:val="0"/>
        <w:spacing w:before="0" w:after="0" w:line="360" w:lineRule="auto"/>
        <w:ind w:left="0" w:firstLine="643"/>
        <w:jc w:val="left"/>
        <w:rPr>
          <w:rFonts w:hint="eastAsia" w:ascii="宋体" w:hAnsi="宋体" w:eastAsia="宋体" w:cs="宋体"/>
          <w:color w:val="auto"/>
          <w:highlight w:val="none"/>
        </w:rPr>
      </w:pPr>
    </w:p>
    <w:p w14:paraId="6767AA75">
      <w:pPr>
        <w:pStyle w:val="237"/>
        <w:ind w:left="0" w:firstLine="0"/>
        <w:jc w:val="left"/>
        <w:rPr>
          <w:rFonts w:hint="eastAsia" w:ascii="宋体" w:hAnsi="宋体" w:eastAsia="宋体" w:cs="宋体"/>
          <w:color w:val="auto"/>
          <w:highlight w:val="none"/>
        </w:rPr>
      </w:pPr>
    </w:p>
    <w:p w14:paraId="5DAAFB2A">
      <w:pPr>
        <w:pStyle w:val="237"/>
        <w:ind w:left="0" w:firstLine="0"/>
        <w:jc w:val="left"/>
        <w:rPr>
          <w:rFonts w:hint="eastAsia" w:ascii="宋体" w:hAnsi="宋体" w:eastAsia="宋体" w:cs="宋体"/>
          <w:color w:val="auto"/>
          <w:highlight w:val="none"/>
        </w:rPr>
      </w:pPr>
    </w:p>
    <w:p w14:paraId="0890BD7D">
      <w:pPr>
        <w:pStyle w:val="237"/>
        <w:ind w:left="0" w:firstLine="0"/>
        <w:jc w:val="left"/>
        <w:rPr>
          <w:rFonts w:hint="eastAsia" w:ascii="宋体" w:hAnsi="宋体" w:eastAsia="宋体" w:cs="宋体"/>
          <w:color w:val="auto"/>
          <w:highlight w:val="none"/>
        </w:rPr>
      </w:pPr>
    </w:p>
    <w:p w14:paraId="7DD80A17">
      <w:pPr>
        <w:pStyle w:val="237"/>
        <w:ind w:left="0" w:firstLine="0"/>
        <w:jc w:val="left"/>
        <w:rPr>
          <w:rFonts w:hint="eastAsia" w:ascii="宋体" w:hAnsi="宋体" w:eastAsia="宋体" w:cs="宋体"/>
          <w:color w:val="auto"/>
          <w:highlight w:val="none"/>
        </w:rPr>
      </w:pPr>
    </w:p>
    <w:p w14:paraId="0B32D8EF">
      <w:pPr>
        <w:pStyle w:val="237"/>
        <w:ind w:left="0" w:firstLine="0"/>
        <w:jc w:val="left"/>
        <w:rPr>
          <w:rFonts w:hint="eastAsia" w:ascii="宋体" w:hAnsi="宋体" w:eastAsia="宋体" w:cs="宋体"/>
          <w:color w:val="auto"/>
          <w:highlight w:val="none"/>
        </w:rPr>
      </w:pPr>
    </w:p>
    <w:p w14:paraId="7A03EAB8">
      <w:pPr>
        <w:pStyle w:val="237"/>
        <w:ind w:left="0" w:firstLine="0"/>
        <w:jc w:val="left"/>
        <w:rPr>
          <w:rFonts w:hint="eastAsia" w:ascii="宋体" w:hAnsi="宋体" w:eastAsia="宋体" w:cs="宋体"/>
          <w:color w:val="auto"/>
          <w:highlight w:val="none"/>
        </w:rPr>
      </w:pPr>
    </w:p>
    <w:p w14:paraId="3A2463E7">
      <w:pPr>
        <w:rPr>
          <w:rFonts w:hint="eastAsia" w:ascii="宋体" w:hAnsi="宋体" w:eastAsia="宋体" w:cs="宋体"/>
          <w:color w:val="auto"/>
          <w:highlight w:val="none"/>
        </w:rPr>
      </w:pPr>
    </w:p>
    <w:p w14:paraId="721B7918">
      <w:pPr>
        <w:rPr>
          <w:rFonts w:hint="eastAsia" w:ascii="宋体" w:hAnsi="宋体" w:eastAsia="宋体" w:cs="宋体"/>
          <w:color w:val="auto"/>
          <w:highlight w:val="none"/>
        </w:rPr>
      </w:pPr>
      <w:r>
        <w:rPr>
          <w:rFonts w:hint="eastAsia" w:ascii="宋体" w:hAnsi="宋体" w:eastAsia="宋体" w:cs="宋体"/>
          <w:color w:val="auto"/>
          <w:highlight w:val="none"/>
        </w:rPr>
        <w:br w:type="page" w:clear="all"/>
      </w:r>
    </w:p>
    <w:p w14:paraId="59C0807D">
      <w:pPr>
        <w:pStyle w:val="237"/>
        <w:ind w:left="0" w:firstLine="0"/>
        <w:jc w:val="left"/>
        <w:rPr>
          <w:rFonts w:hint="eastAsia" w:ascii="宋体" w:hAnsi="宋体" w:eastAsia="宋体" w:cs="宋体"/>
          <w:color w:val="auto"/>
          <w:highlight w:val="none"/>
        </w:rPr>
      </w:pPr>
      <w:r>
        <w:rPr>
          <w:rFonts w:hint="eastAsia" w:ascii="宋体" w:hAnsi="宋体" w:eastAsia="宋体" w:cs="宋体"/>
          <w:color w:val="auto"/>
          <w:highlight w:val="none"/>
        </w:rPr>
        <w:t>附件3：</w:t>
      </w:r>
      <w:bookmarkEnd w:id="193"/>
    </w:p>
    <w:p w14:paraId="64E828EA">
      <w:pPr>
        <w:pStyle w:val="237"/>
        <w:ind w:firstLine="2715"/>
        <w:rPr>
          <w:rFonts w:hint="eastAsia" w:ascii="宋体" w:hAnsi="宋体" w:eastAsia="宋体" w:cs="宋体"/>
          <w:color w:val="auto"/>
          <w:highlight w:val="none"/>
        </w:rPr>
      </w:pPr>
      <w:bookmarkStart w:id="194" w:name="_Toc71558894"/>
      <w:bookmarkStart w:id="195" w:name="_Toc71558554"/>
      <w:r>
        <w:rPr>
          <w:rFonts w:hint="eastAsia" w:ascii="宋体" w:hAnsi="宋体" w:eastAsia="宋体" w:cs="宋体"/>
          <w:color w:val="auto"/>
          <w:highlight w:val="none"/>
        </w:rPr>
        <w:t>施工安全协议书</w:t>
      </w:r>
      <w:bookmarkEnd w:id="194"/>
      <w:bookmarkEnd w:id="195"/>
    </w:p>
    <w:p w14:paraId="5BB44C39">
      <w:pPr>
        <w:spacing w:line="360" w:lineRule="auto"/>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发包人（全称）：</w:t>
      </w:r>
      <w:r>
        <w:rPr>
          <w:rFonts w:hint="eastAsia" w:ascii="宋体" w:hAnsi="宋体" w:eastAsia="宋体" w:cs="宋体"/>
          <w:b/>
          <w:color w:val="auto"/>
          <w:sz w:val="24"/>
          <w:szCs w:val="24"/>
          <w:highlight w:val="none"/>
          <w:u w:val="single"/>
        </w:rPr>
        <w:t xml:space="preserve">    江苏省梅村高级中学           </w:t>
      </w:r>
    </w:p>
    <w:p w14:paraId="17D3BB14">
      <w:pPr>
        <w:spacing w:after="156" w:line="360" w:lineRule="auto"/>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承包人（全称）：</w:t>
      </w:r>
      <w:r>
        <w:rPr>
          <w:rFonts w:hint="eastAsia" w:ascii="宋体" w:hAnsi="宋体" w:eastAsia="宋体" w:cs="宋体"/>
          <w:b/>
          <w:color w:val="auto"/>
          <w:sz w:val="24"/>
          <w:szCs w:val="24"/>
          <w:highlight w:val="none"/>
          <w:u w:val="single"/>
        </w:rPr>
        <w:t xml:space="preserve">                                 </w:t>
      </w:r>
    </w:p>
    <w:p w14:paraId="290DB635">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为确保校园内工程施工安全，维护学校正常秩序。依照《中华人民共和国安全生产法》《中华人民共和国建筑法》《中华人民共和国民法典》以及《建设工程安全生产管理条例》《江苏省高等学校安全管理规定》、建设部《施工现场临时用电安全技术规范》（JGJ46-88）、《建筑施工安全检查标准》（JGJ59-99）等法律法规，明确甲、乙双方安全责任，保证施工人员和其他所有雇员在工程建设过程中人身健康安全，预防发生各类施工安全事故，经双方协商，甲乙双方自愿签订本协议。</w:t>
      </w:r>
    </w:p>
    <w:p w14:paraId="12D1FC82">
      <w:pPr>
        <w:widowControl/>
        <w:spacing w:line="360" w:lineRule="auto"/>
        <w:ind w:firstLine="422"/>
        <w:jc w:val="left"/>
        <w:rPr>
          <w:rFonts w:hint="eastAsia" w:ascii="宋体" w:hAnsi="宋体" w:eastAsia="宋体" w:cs="宋体"/>
          <w:b/>
          <w:color w:val="auto"/>
          <w:highlight w:val="none"/>
        </w:rPr>
      </w:pPr>
      <w:r>
        <w:rPr>
          <w:rFonts w:hint="eastAsia" w:ascii="宋体" w:hAnsi="宋体" w:eastAsia="宋体" w:cs="宋体"/>
          <w:b/>
          <w:color w:val="auto"/>
          <w:highlight w:val="none"/>
        </w:rPr>
        <w:t>一、工程项目概况</w:t>
      </w:r>
    </w:p>
    <w:p w14:paraId="50E8465D">
      <w:pPr>
        <w:spacing w:line="360" w:lineRule="auto"/>
        <w:ind w:firstLine="420"/>
        <w:rPr>
          <w:rFonts w:hint="eastAsia" w:ascii="宋体" w:hAnsi="宋体" w:eastAsia="宋体" w:cs="宋体"/>
          <w:b/>
          <w:color w:val="auto"/>
          <w:highlight w:val="none"/>
          <w:u w:val="single"/>
        </w:rPr>
      </w:pPr>
      <w:r>
        <w:rPr>
          <w:rFonts w:hint="eastAsia" w:ascii="宋体" w:hAnsi="宋体" w:eastAsia="宋体" w:cs="宋体"/>
          <w:color w:val="auto"/>
          <w:highlight w:val="none"/>
        </w:rPr>
        <w:t>1、工程名称：</w:t>
      </w:r>
      <w:r>
        <w:rPr>
          <w:rFonts w:hint="eastAsia" w:ascii="宋体" w:hAnsi="宋体" w:eastAsia="宋体" w:cs="宋体"/>
          <w:b/>
          <w:color w:val="auto"/>
          <w:highlight w:val="none"/>
          <w:u w:val="single"/>
        </w:rPr>
        <w:t xml:space="preserve">                </w:t>
      </w:r>
    </w:p>
    <w:p w14:paraId="1F62E99A">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2、工程地点：</w:t>
      </w:r>
      <w:r>
        <w:rPr>
          <w:rFonts w:hint="eastAsia" w:ascii="宋体" w:hAnsi="宋体" w:eastAsia="宋体" w:cs="宋体"/>
          <w:color w:val="auto"/>
          <w:highlight w:val="none"/>
          <w:u w:val="single"/>
        </w:rPr>
        <w:t>无锡市新区梅村街道梅育路63号</w:t>
      </w:r>
    </w:p>
    <w:p w14:paraId="0271CEF5">
      <w:pPr>
        <w:spacing w:line="360" w:lineRule="auto"/>
        <w:ind w:firstLine="420"/>
        <w:rPr>
          <w:rFonts w:hint="eastAsia" w:ascii="宋体" w:hAnsi="宋体" w:eastAsia="宋体" w:cs="宋体"/>
          <w:b/>
          <w:color w:val="auto"/>
          <w:highlight w:val="none"/>
          <w:u w:val="single"/>
        </w:rPr>
      </w:pPr>
      <w:r>
        <w:rPr>
          <w:rFonts w:hint="eastAsia" w:ascii="宋体" w:hAnsi="宋体" w:eastAsia="宋体" w:cs="宋体"/>
          <w:color w:val="auto"/>
          <w:highlight w:val="none"/>
        </w:rPr>
        <w:t>3、工程施工范围及主要内容：</w:t>
      </w:r>
      <w:r>
        <w:rPr>
          <w:rFonts w:hint="eastAsia" w:ascii="宋体" w:hAnsi="宋体" w:eastAsia="宋体" w:cs="宋体"/>
          <w:color w:val="auto"/>
          <w:highlight w:val="none"/>
          <w:u w:val="single"/>
        </w:rPr>
        <w:t xml:space="preserve">详见图纸及工程量清单。 </w:t>
      </w:r>
    </w:p>
    <w:p w14:paraId="7B34B6E3">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4、工程施工起止日期：</w:t>
      </w:r>
      <w:r>
        <w:rPr>
          <w:rFonts w:hint="eastAsia" w:ascii="宋体" w:hAnsi="宋体" w:eastAsia="宋体" w:cs="宋体"/>
          <w:b/>
          <w:color w:val="auto"/>
          <w:highlight w:val="none"/>
          <w:u w:val="single"/>
        </w:rPr>
        <w:t xml:space="preserve">              </w:t>
      </w:r>
      <w:r>
        <w:rPr>
          <w:rFonts w:hint="eastAsia" w:ascii="宋体" w:hAnsi="宋体" w:eastAsia="宋体" w:cs="宋体"/>
          <w:color w:val="auto"/>
          <w:highlight w:val="none"/>
        </w:rPr>
        <w:t xml:space="preserve">至 </w:t>
      </w:r>
      <w:r>
        <w:rPr>
          <w:rFonts w:hint="eastAsia" w:ascii="宋体" w:hAnsi="宋体" w:eastAsia="宋体" w:cs="宋体"/>
          <w:b/>
          <w:color w:val="auto"/>
          <w:highlight w:val="none"/>
          <w:u w:val="single"/>
        </w:rPr>
        <w:t xml:space="preserve">              </w:t>
      </w:r>
    </w:p>
    <w:p w14:paraId="5A0BE4C8">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5、甲方项目负责人：</w:t>
      </w:r>
      <w:r>
        <w:rPr>
          <w:rFonts w:hint="eastAsia" w:ascii="宋体" w:hAnsi="宋体" w:eastAsia="宋体" w:cs="宋体"/>
          <w:b/>
          <w:color w:val="auto"/>
          <w:highlight w:val="none"/>
          <w:u w:val="single"/>
        </w:rPr>
        <w:t xml:space="preserve">                </w:t>
      </w:r>
    </w:p>
    <w:p w14:paraId="2F43EA34">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6、乙方项目责任人：</w:t>
      </w:r>
      <w:r>
        <w:rPr>
          <w:rFonts w:hint="eastAsia" w:ascii="宋体" w:hAnsi="宋体" w:eastAsia="宋体" w:cs="宋体"/>
          <w:b/>
          <w:color w:val="auto"/>
          <w:highlight w:val="none"/>
          <w:u w:val="single"/>
        </w:rPr>
        <w:t xml:space="preserve">                </w:t>
      </w:r>
    </w:p>
    <w:p w14:paraId="5CFF19D6">
      <w:pPr>
        <w:widowControl/>
        <w:spacing w:line="360" w:lineRule="auto"/>
        <w:ind w:firstLine="422"/>
        <w:jc w:val="left"/>
        <w:rPr>
          <w:rFonts w:hint="eastAsia" w:ascii="宋体" w:hAnsi="宋体" w:eastAsia="宋体" w:cs="宋体"/>
          <w:b/>
          <w:color w:val="auto"/>
          <w:highlight w:val="none"/>
        </w:rPr>
      </w:pPr>
      <w:r>
        <w:rPr>
          <w:rFonts w:hint="eastAsia" w:ascii="宋体" w:hAnsi="宋体" w:eastAsia="宋体" w:cs="宋体"/>
          <w:b/>
          <w:color w:val="auto"/>
          <w:highlight w:val="none"/>
        </w:rPr>
        <w:t>二、甲方的权利、责任和义务：</w:t>
      </w:r>
    </w:p>
    <w:p w14:paraId="0934F45B">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1、贯彻落实国家及地方的有关施工现场安全生产、文明施工的法规和管理规定，配合国家建设施工管理部门及监理公司对施工现场进行全面的安全生产管理和监督。</w:t>
      </w:r>
    </w:p>
    <w:p w14:paraId="713641BC">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2、项目开工前，甲方项目负责人应组织开展安全交底与教育。</w:t>
      </w:r>
    </w:p>
    <w:p w14:paraId="6732765F">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对乙方施工区域进行安全生产和文明施工检查；及时纠正乙方施工人员违章指挥和违章作业行为，并按照有关规定予以查处。对乙方施工区域内的重大安全事故隐患，应开具隐患通知单。发现乙方人员有严重违章的行为立即勒令其停止工作。</w:t>
      </w:r>
    </w:p>
    <w:p w14:paraId="6657052B">
      <w:pPr>
        <w:widowControl/>
        <w:spacing w:line="360" w:lineRule="auto"/>
        <w:ind w:firstLine="420"/>
        <w:jc w:val="left"/>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rPr>
        <w:t>4、</w:t>
      </w:r>
      <w:r>
        <w:rPr>
          <w:rFonts w:hint="eastAsia" w:ascii="宋体" w:hAnsi="宋体" w:eastAsia="宋体" w:cs="宋体"/>
          <w:color w:val="auto"/>
          <w:highlight w:val="none"/>
          <w:shd w:val="clear" w:color="auto" w:fill="FFFFFF"/>
        </w:rPr>
        <w:t>甲方不得以任何理由，要求</w:t>
      </w:r>
      <w:r>
        <w:rPr>
          <w:rFonts w:hint="eastAsia" w:ascii="宋体" w:hAnsi="宋体" w:eastAsia="宋体" w:cs="宋体"/>
          <w:color w:val="auto"/>
          <w:highlight w:val="none"/>
        </w:rPr>
        <w:t>乙方</w:t>
      </w:r>
      <w:r>
        <w:rPr>
          <w:rFonts w:hint="eastAsia" w:ascii="宋体" w:hAnsi="宋体" w:eastAsia="宋体" w:cs="宋体"/>
          <w:color w:val="auto"/>
          <w:highlight w:val="none"/>
          <w:shd w:val="clear" w:color="auto" w:fill="FFFFFF"/>
        </w:rPr>
        <w:t>在工程设计或者施工作业中，违反法律、行政法规和</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"https://www.baidu.com/s?wd=%E5%BB%BA%E7%AD%91%E5%B7%A5%E7%A8%8B%E8%B4%A8%E9%87%8F&amp;tn=SE_PcZhidaonwhc_ngpagmjz&amp;rsv_dl=gh_pc_zhidao" \t "_blank"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建筑工程质量</w:t>
      </w:r>
      <w:r>
        <w:rPr>
          <w:rFonts w:hint="eastAsia" w:ascii="宋体" w:hAnsi="宋体" w:eastAsia="宋体" w:cs="宋体"/>
          <w:color w:val="auto"/>
          <w:highlight w:val="none"/>
        </w:rPr>
        <w:fldChar w:fldCharType="end"/>
      </w:r>
      <w:r>
        <w:rPr>
          <w:rFonts w:hint="eastAsia" w:ascii="宋体" w:hAnsi="宋体" w:eastAsia="宋体" w:cs="宋体"/>
          <w:color w:val="auto"/>
          <w:highlight w:val="none"/>
          <w:shd w:val="clear" w:color="auto" w:fill="FFFFFF"/>
        </w:rPr>
        <w:t>、安全标准，降低工程质量。</w:t>
      </w:r>
    </w:p>
    <w:p w14:paraId="3EB62DD4">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5、督促乙方建立健全施工现场各项安全生产管理制度。</w:t>
      </w:r>
    </w:p>
    <w:p w14:paraId="0D266842">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6、对乙方的安全生产培训、劳动保护用品的使用和危险预知工作提出指导意见，并监督落实情况。</w:t>
      </w:r>
    </w:p>
    <w:p w14:paraId="6006A5AA">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7、对乙方提出的安全生产要求积极提供帮助。</w:t>
      </w:r>
    </w:p>
    <w:p w14:paraId="4280A6C6">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8、按照有关临时用电标准对乙方的临时用电设备设施进行监督和检查。发现乙方在临时用电中存在隐患必须责成乙方以整改。并监督整改落实情况。</w:t>
      </w:r>
    </w:p>
    <w:p w14:paraId="4887FE73">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9、甲方有义务根据工程项目规模及施工难易程度委托有资质的工程监理机构全过程进行监理，确保工程的安全和质量。</w:t>
      </w:r>
    </w:p>
    <w:p w14:paraId="4CEFC4BD">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10、乙方在施工中发生的各类安全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14:paraId="323B4E94">
      <w:pPr>
        <w:widowControl/>
        <w:spacing w:line="360" w:lineRule="auto"/>
        <w:ind w:firstLine="422"/>
        <w:jc w:val="left"/>
        <w:rPr>
          <w:rFonts w:hint="eastAsia" w:ascii="宋体" w:hAnsi="宋体" w:eastAsia="宋体" w:cs="宋体"/>
          <w:b/>
          <w:color w:val="auto"/>
          <w:highlight w:val="none"/>
        </w:rPr>
      </w:pPr>
      <w:r>
        <w:rPr>
          <w:rFonts w:hint="eastAsia" w:ascii="宋体" w:hAnsi="宋体" w:eastAsia="宋体" w:cs="宋体"/>
          <w:b/>
          <w:color w:val="auto"/>
          <w:highlight w:val="none"/>
        </w:rPr>
        <w:t>三、乙方的权利、责任和义务：</w:t>
      </w:r>
    </w:p>
    <w:p w14:paraId="459B2E22">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1、乙方对所承担的施工项目，必须制订施工方案，并结合工程实际制定好保证安全的“三大措施” （组织、技术、安全措施），经甲方项目责任人确认后实施，若是大型基建工程需经市安监和甲方委托的监理单位审查合格后监督实施。 </w:t>
      </w:r>
    </w:p>
    <w:p w14:paraId="7E7D2DD5">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2、乙方必须贯彻执行国家有关安全生产的方针、政策、法令、法规，遵守国家、行业有关安全施工、文明施工的规定。遵守现场的各项规章制度。</w:t>
      </w:r>
    </w:p>
    <w:p w14:paraId="64985971">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乙方应按《中华人民共和国劳动法》等法律法规、规定用工，严禁使用未成年工和有职业禁忌的人员进行施工作业。乙方必须为施工作业人员参加人身意外保险。乙方施工人员必须无妨碍工作的病症，否则不得参与工作。凡已注册的工程施工人员不得随意更换，不得冒名顶替。</w:t>
      </w:r>
    </w:p>
    <w:p w14:paraId="229EA452">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4、工程开工前，必须由乙方项目责任人组织施工人员进行安全技术教育，让全体施工人员掌握工程特点及施工安全措施，未经安全生产教育培训和无证人员，不得上岗作业。</w:t>
      </w:r>
    </w:p>
    <w:p w14:paraId="4C72E37B">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5、乙方应向甲方提供施工现场《生产安全事故应急救援预案》。</w:t>
      </w:r>
    </w:p>
    <w:p w14:paraId="669B1324">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6、乙方应自觉接受甲方、监理、市安监部门的监督和指导。对甲方检查提出的安全隐患整改通知，必须及时整改。施工中一旦发生人身事故或危及生产运行的不安全情况，必须立即报告甲方项目负责人。</w:t>
      </w:r>
    </w:p>
    <w:p w14:paraId="59C2C1CD">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7、乙方必须按国家有关规定，为施工人员配备合格的劳动防护用品及安全用具，并保证施工工具、器械使用安全。 </w:t>
      </w:r>
    </w:p>
    <w:p w14:paraId="3DAF3489">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8、开工前乙方应对施工机械、工器具及安全防护设施进行一次检查，确保符合安全规定并不超过检验周期。乙方施工人员应对所在的施工区域、作业环境、操作设施、设备、工器具等进行认真检查，发现隐患立即停止施工，并经落实整改后方准继续施工。在施工期间所使用的各种设备及工用具等均应符合施工要求。对施工现场脚手架每天开工前须派专人进行检查，发现隐患应及时整改。各类安全防护设施、遮栏、安全标志牌、警告牌和接地线等乙方不得擅自拆除、更改。</w:t>
      </w:r>
    </w:p>
    <w:p w14:paraId="42AFBBDC">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9、乙方承建的项目，禁止再行转包。总包方必须对分包方进行安全管理与监督，分包工程发生安全事故时，总包单位与分包单位承担连带责任。</w:t>
      </w:r>
    </w:p>
    <w:p w14:paraId="3B863320">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10、乙方应对工作地段采取的安全技术措施、作业人员状态以及施工中的安全责任负责；如因乙方采取的安全措施不当、违反有关安全规程、规定及本协议所列安全事项而造成的一切事故或对第三方造成损失的，均由乙方承担所造成的经济损失及法律责任。</w:t>
      </w:r>
    </w:p>
    <w:p w14:paraId="019C4842">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11、因乙方责任造成的甲方设备事故，由甲方按事故调查规程处理，乙方安全监察机构参与调查。根据《中华人民共和国建筑法》第四十五条的规定：“施工现场安全由建筑施工企业负责”，因乙方的责任造成的人身伤亡、设备损坏事故及其造成的经济损失，一切责任由乙方承担，并通知有关政府部门调查处理、统计上报。</w:t>
      </w:r>
    </w:p>
    <w:p w14:paraId="38BF3E82">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12、乙方有义务接受学校安全管理部门的监督检查与安全教育，并签订与严格执行学校安全管理部门根据学校实际情况制定《校园安全文明施工承诺书》。</w:t>
      </w:r>
    </w:p>
    <w:p w14:paraId="41173933">
      <w:pPr>
        <w:pStyle w:val="241"/>
        <w:widowControl/>
        <w:spacing w:line="360" w:lineRule="auto"/>
        <w:ind w:firstLine="422"/>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四、工程施工安全注意要点</w:t>
      </w:r>
    </w:p>
    <w:p w14:paraId="0AE232B2">
      <w:pPr>
        <w:widowControl/>
        <w:spacing w:line="360" w:lineRule="auto"/>
        <w:ind w:firstLine="422"/>
        <w:jc w:val="left"/>
        <w:rPr>
          <w:rFonts w:hint="eastAsia" w:ascii="宋体" w:hAnsi="宋体" w:eastAsia="宋体" w:cs="宋体"/>
          <w:b/>
          <w:color w:val="auto"/>
          <w:highlight w:val="none"/>
        </w:rPr>
      </w:pPr>
      <w:r>
        <w:rPr>
          <w:rFonts w:hint="eastAsia" w:ascii="宋体" w:hAnsi="宋体" w:eastAsia="宋体" w:cs="宋体"/>
          <w:b/>
          <w:color w:val="auto"/>
          <w:highlight w:val="none"/>
        </w:rPr>
        <w:t>安全用电</w:t>
      </w:r>
    </w:p>
    <w:p w14:paraId="0671478B">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1、向甲方提供书面的临时用电申请。设备设施需要增容时，必须重新办理用电申请手续。</w:t>
      </w:r>
    </w:p>
    <w:p w14:paraId="37F54E79">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14:paraId="3E2233B9">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3、执行临时用电安全技术交底制度，对施工区域内自行管辖的操作人员进行临时用电安全技术交底，避免违章指挥、违章操作和误操作，确保安全用电。</w:t>
      </w:r>
    </w:p>
    <w:p w14:paraId="2491FBD6">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4、在使用甲方提供临时电源时，对不符合临时用电标准的电源，向甲方提出整改意见。有权拒绝在不符合临时用电标准的电源上拉接电源。对甲方在安全检查中提出的关于临时用电方面存在的问题或隐患，必须按要求认真落实整改。</w:t>
      </w:r>
    </w:p>
    <w:p w14:paraId="595367D0">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5、对特种作业人员进行上岗前的职业技能、安全生产等方面的培训，未经安全生产教育培训及培训不合格和无证人员，不得上岗作业。特种作业人员必须依照有关规定持证上岗。向甲方提供特种作业人员花名册、操作证复印件和培训记录。</w:t>
      </w:r>
    </w:p>
    <w:p w14:paraId="404A2F64">
      <w:pPr>
        <w:widowControl/>
        <w:spacing w:line="360" w:lineRule="auto"/>
        <w:ind w:firstLine="422"/>
        <w:jc w:val="left"/>
        <w:rPr>
          <w:rFonts w:hint="eastAsia" w:ascii="宋体" w:hAnsi="宋体" w:eastAsia="宋体" w:cs="宋体"/>
          <w:b/>
          <w:color w:val="auto"/>
          <w:highlight w:val="none"/>
        </w:rPr>
      </w:pPr>
      <w:r>
        <w:rPr>
          <w:rFonts w:hint="eastAsia" w:ascii="宋体" w:hAnsi="宋体" w:eastAsia="宋体" w:cs="宋体"/>
          <w:b/>
          <w:color w:val="auto"/>
          <w:highlight w:val="none"/>
        </w:rPr>
        <w:t>机电设备使用</w:t>
      </w:r>
    </w:p>
    <w:p w14:paraId="1FD99B47">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1、乙方应向甲方提供机械设备相关的技术文件和出厂说明书，还必须提供具有专业资质的检测、检验单位出具的安全技术检测证明，否则，不得投入使用。</w:t>
      </w:r>
    </w:p>
    <w:p w14:paraId="753C587A">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2、起重机械设备的安装和拆卸必须由有资格的单位和专业人员进行，并应有专人定期进行维修和保养，对达不到安全要求又不能修复的机械设备，必须立即停用，撤离施工现场。</w:t>
      </w:r>
    </w:p>
    <w:p w14:paraId="254EE758">
      <w:pPr>
        <w:widowControl/>
        <w:spacing w:line="360" w:lineRule="auto"/>
        <w:ind w:firstLine="422"/>
        <w:jc w:val="left"/>
        <w:rPr>
          <w:rFonts w:hint="eastAsia" w:ascii="宋体" w:hAnsi="宋体" w:eastAsia="宋体" w:cs="宋体"/>
          <w:b/>
          <w:color w:val="auto"/>
          <w:highlight w:val="none"/>
        </w:rPr>
      </w:pPr>
      <w:r>
        <w:rPr>
          <w:rFonts w:hint="eastAsia" w:ascii="宋体" w:hAnsi="宋体" w:eastAsia="宋体" w:cs="宋体"/>
          <w:b/>
          <w:color w:val="auto"/>
          <w:highlight w:val="none"/>
        </w:rPr>
        <w:t>人员安全</w:t>
      </w:r>
    </w:p>
    <w:p w14:paraId="32A2D8F7">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参加施工作业的一切人员，必须遵守安全生产纪律，必须佩戴工作证（卡）并戴好安全帽进入施工现场，在作业中严格遵守本安全技术操作规程的有关规定，安全上岗，不违章作业，不擅离工作岗位，不乱窜工作岗位，严禁酒后作业，并按规定穿衣着鞋，正确使用、保管个人安全防护用品。</w:t>
      </w:r>
    </w:p>
    <w:p w14:paraId="7818EF6D">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2、必须按规定使用安全带，安全带必须高挂低用，挂设点必须安全、可靠。</w:t>
      </w:r>
    </w:p>
    <w:p w14:paraId="49814723">
      <w:pPr>
        <w:widowControl/>
        <w:spacing w:line="360" w:lineRule="auto"/>
        <w:ind w:firstLine="422"/>
        <w:jc w:val="left"/>
        <w:rPr>
          <w:rFonts w:hint="eastAsia" w:ascii="宋体" w:hAnsi="宋体" w:eastAsia="宋体" w:cs="宋体"/>
          <w:b/>
          <w:color w:val="auto"/>
          <w:highlight w:val="none"/>
        </w:rPr>
      </w:pPr>
      <w:r>
        <w:rPr>
          <w:rFonts w:hint="eastAsia" w:ascii="宋体" w:hAnsi="宋体" w:eastAsia="宋体" w:cs="宋体"/>
          <w:b/>
          <w:color w:val="auto"/>
          <w:highlight w:val="none"/>
        </w:rPr>
        <w:t>五、违约责任　　</w:t>
      </w:r>
    </w:p>
    <w:p w14:paraId="303A3523">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1、由于甲方或乙方责任造成对方或第三方的人身伤害、设备损坏等财产损失，由责任方承担相应责任，并赔偿对方或第三方因此造成的全部损失。　</w:t>
      </w:r>
    </w:p>
    <w:p w14:paraId="52403DBB">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2、施工主体合同履行中，发现乙方提供的有关资质材料无效，甲方有权解除合同，并由乙方承担由此造成的一切损失。</w:t>
      </w:r>
    </w:p>
    <w:p w14:paraId="6296C335">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3、发现乙方现场作业人员有违章行为的，比照甲方有关安全生产奖惩规定中对甲方职工相类似的违章行为应扣款数额，承担相应的违约金。　　</w:t>
      </w:r>
    </w:p>
    <w:p w14:paraId="6EDF888A">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14:paraId="466FB4EC">
      <w:pPr>
        <w:widowControl/>
        <w:spacing w:line="360" w:lineRule="auto"/>
        <w:ind w:firstLine="422"/>
        <w:jc w:val="left"/>
        <w:rPr>
          <w:rFonts w:hint="eastAsia" w:ascii="宋体" w:hAnsi="宋体" w:eastAsia="宋体" w:cs="宋体"/>
          <w:b/>
          <w:color w:val="auto"/>
          <w:highlight w:val="none"/>
        </w:rPr>
      </w:pPr>
      <w:r>
        <w:rPr>
          <w:rFonts w:hint="eastAsia" w:ascii="宋体" w:hAnsi="宋体" w:eastAsia="宋体" w:cs="宋体"/>
          <w:b/>
          <w:color w:val="auto"/>
          <w:highlight w:val="none"/>
        </w:rPr>
        <w:t>六、安全施工保证金：</w:t>
      </w:r>
    </w:p>
    <w:p w14:paraId="4BDEE173">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经双方单位协商一致，本工程施工合同金额的</w:t>
      </w:r>
      <w:r>
        <w:rPr>
          <w:rFonts w:hint="eastAsia" w:ascii="宋体" w:hAnsi="宋体" w:eastAsia="宋体" w:cs="宋体"/>
          <w:color w:val="auto"/>
          <w:highlight w:val="none"/>
          <w:u w:val="single"/>
        </w:rPr>
        <w:t>5</w:t>
      </w:r>
      <w:r>
        <w:rPr>
          <w:rFonts w:hint="eastAsia" w:ascii="宋体" w:hAnsi="宋体" w:eastAsia="宋体" w:cs="宋体"/>
          <w:color w:val="auto"/>
          <w:highlight w:val="none"/>
        </w:rPr>
        <w:t>%作为施工安全保证金，乙方在施工过程中未发生人身伤亡、建筑和设备事故及以上责任事故，于工程竣工验收后该保证金不予扣除；若施工过程中发生下列有乙方责任的安全事故，则扣除相应数额的安全保证金：</w:t>
      </w:r>
    </w:p>
    <w:p w14:paraId="0DC6E35B">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u w:val="single"/>
        </w:rPr>
        <w:t xml:space="preserve">1、施工期间发生人身死亡事故、设备事故，扣除50%～100%保证金； </w:t>
      </w:r>
    </w:p>
    <w:p w14:paraId="537115C9">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u w:val="single"/>
        </w:rPr>
        <w:t xml:space="preserve">2、施工期间发生人身重伤事故，扣除50%～80%保证金； </w:t>
      </w:r>
    </w:p>
    <w:p w14:paraId="53F5DBCA">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u w:val="single"/>
        </w:rPr>
        <w:t xml:space="preserve">3、施工期间发生人身轻伤或严重未遂事故，扣除30%～50%保证金； </w:t>
      </w:r>
    </w:p>
    <w:p w14:paraId="1682EC11">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u w:val="single"/>
        </w:rPr>
        <w:t>4、现场违章指挥、违章作业，或擅自调换人员，又未经安全教育的，每人次扣除10%～30%保证金。</w:t>
      </w:r>
    </w:p>
    <w:p w14:paraId="481E89DB">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u w:val="single"/>
        </w:rPr>
        <w:t>5、特种人员无证上岗的，每人次扣除5%～10%保证金。</w:t>
      </w:r>
    </w:p>
    <w:p w14:paraId="34D98BB2">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u w:val="single"/>
        </w:rPr>
        <w:t>6、乙方人员无故到其他生产区域或擅自动用甲方的设施设备等，每人次扣除5%保证金。</w:t>
      </w:r>
    </w:p>
    <w:p w14:paraId="7473B5F2">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u w:val="single"/>
        </w:rPr>
        <w:t>7、乙方对甲方提出的安全整改意见不及时整改的，每逾期一天，扣除2%保证金。</w:t>
      </w:r>
    </w:p>
    <w:p w14:paraId="1437B81B">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u w:val="single"/>
        </w:rPr>
        <w:t>8、违反《校园安全文明施工承诺书》内容的事项，每次扣除1%～5%保证金。</w:t>
      </w:r>
    </w:p>
    <w:p w14:paraId="4F7C3D53">
      <w:pPr>
        <w:widowControl/>
        <w:spacing w:line="360" w:lineRule="auto"/>
        <w:ind w:left="1"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rPr>
        <w:t>安全施工保证金的扣除需经</w:t>
      </w:r>
      <w:r>
        <w:rPr>
          <w:rFonts w:hint="eastAsia" w:ascii="宋体" w:hAnsi="宋体" w:eastAsia="宋体" w:cs="宋体"/>
          <w:color w:val="auto"/>
          <w:highlight w:val="none"/>
          <w:u w:val="single"/>
        </w:rPr>
        <w:t>甲方项目负责人</w:t>
      </w:r>
      <w:r>
        <w:rPr>
          <w:rFonts w:hint="eastAsia" w:ascii="宋体" w:hAnsi="宋体" w:eastAsia="宋体" w:cs="宋体"/>
          <w:color w:val="auto"/>
          <w:highlight w:val="none"/>
        </w:rPr>
        <w:t>及</w:t>
      </w:r>
      <w:r>
        <w:rPr>
          <w:rFonts w:hint="eastAsia" w:ascii="宋体" w:hAnsi="宋体" w:eastAsia="宋体" w:cs="宋体"/>
          <w:color w:val="auto"/>
          <w:highlight w:val="none"/>
          <w:u w:val="single"/>
        </w:rPr>
        <w:t>甲方安全管理部门</w:t>
      </w:r>
      <w:r>
        <w:rPr>
          <w:rFonts w:hint="eastAsia" w:ascii="宋体" w:hAnsi="宋体" w:eastAsia="宋体" w:cs="宋体"/>
          <w:color w:val="auto"/>
          <w:highlight w:val="none"/>
        </w:rPr>
        <w:t>签字盖章确认后提交本项目决算审计单位在工程决算审计中进行扣款。</w:t>
      </w:r>
    </w:p>
    <w:p w14:paraId="552CEF21">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按上述条款执行后，仍追究其他责任。</w:t>
      </w:r>
    </w:p>
    <w:p w14:paraId="766C6910">
      <w:pPr>
        <w:widowControl/>
        <w:spacing w:line="360" w:lineRule="auto"/>
        <w:ind w:left="960" w:hanging="480"/>
        <w:jc w:val="left"/>
        <w:rPr>
          <w:rFonts w:hint="eastAsia" w:ascii="宋体" w:hAnsi="宋体" w:eastAsia="宋体" w:cs="宋体"/>
          <w:b/>
          <w:color w:val="auto"/>
          <w:highlight w:val="none"/>
        </w:rPr>
      </w:pPr>
      <w:r>
        <w:rPr>
          <w:rFonts w:hint="eastAsia" w:ascii="宋体" w:hAnsi="宋体" w:eastAsia="宋体" w:cs="宋体"/>
          <w:b/>
          <w:color w:val="auto"/>
          <w:highlight w:val="none"/>
        </w:rPr>
        <w:t>七、甲乙双方约定的其他事项：</w:t>
      </w:r>
    </w:p>
    <w:p w14:paraId="7149B8D2">
      <w:pPr>
        <w:widowControl/>
        <w:spacing w:line="360" w:lineRule="auto"/>
        <w:ind w:firstLine="420"/>
        <w:jc w:val="left"/>
        <w:rPr>
          <w:rFonts w:hint="eastAsia" w:ascii="宋体" w:hAnsi="宋体" w:eastAsia="宋体" w:cs="宋体"/>
          <w:color w:val="auto"/>
          <w:highlight w:val="none"/>
          <w:u w:val="single"/>
        </w:rPr>
      </w:pPr>
      <w:r>
        <w:rPr>
          <w:rFonts w:hint="eastAsia" w:ascii="宋体" w:hAnsi="宋体" w:eastAsia="宋体" w:cs="宋体"/>
          <w:color w:val="auto"/>
          <w:highlight w:val="none"/>
          <w:u w:val="single"/>
        </w:rPr>
        <w:t>为切实维护校园的安全稳定，确保正常的教学秩序，乙方人员在施工过程中需严格遵守学校各项规章制度，并与学校安全管理部门签订《校园安全文明施工承诺书》，承诺严格按承诺书要求开展施工活动。</w:t>
      </w:r>
    </w:p>
    <w:p w14:paraId="7B01D30D">
      <w:pPr>
        <w:widowControl/>
        <w:spacing w:line="360" w:lineRule="auto"/>
        <w:ind w:firstLine="422"/>
        <w:jc w:val="left"/>
        <w:rPr>
          <w:rFonts w:hint="eastAsia" w:ascii="宋体" w:hAnsi="宋体" w:eastAsia="宋体" w:cs="宋体"/>
          <w:b/>
          <w:color w:val="auto"/>
          <w:highlight w:val="none"/>
        </w:rPr>
      </w:pPr>
      <w:r>
        <w:rPr>
          <w:rFonts w:hint="eastAsia" w:ascii="宋体" w:hAnsi="宋体" w:eastAsia="宋体" w:cs="宋体"/>
          <w:b/>
          <w:color w:val="auto"/>
          <w:highlight w:val="none"/>
        </w:rPr>
        <w:t>八、争议与仲裁</w:t>
      </w:r>
    </w:p>
    <w:p w14:paraId="5245A132">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本协议执行过程中，如发生争议，由双方协商、调解解决；若经协商、调解不能解决争议的，按施工主体合同中相关条款执行。</w:t>
      </w:r>
    </w:p>
    <w:p w14:paraId="4258E02C">
      <w:pPr>
        <w:widowControl/>
        <w:spacing w:line="360" w:lineRule="auto"/>
        <w:ind w:left="960" w:hanging="480"/>
        <w:jc w:val="left"/>
        <w:rPr>
          <w:rFonts w:hint="eastAsia" w:ascii="宋体" w:hAnsi="宋体" w:eastAsia="宋体" w:cs="宋体"/>
          <w:b/>
          <w:color w:val="auto"/>
          <w:highlight w:val="none"/>
        </w:rPr>
      </w:pPr>
      <w:r>
        <w:rPr>
          <w:rFonts w:hint="eastAsia" w:ascii="宋体" w:hAnsi="宋体" w:eastAsia="宋体" w:cs="宋体"/>
          <w:b/>
          <w:color w:val="auto"/>
          <w:highlight w:val="none"/>
        </w:rPr>
        <w:t>九、协议的生效与有效期</w:t>
      </w:r>
    </w:p>
    <w:p w14:paraId="21979099">
      <w:pPr>
        <w:widowControl/>
        <w:spacing w:line="360" w:lineRule="auto"/>
        <w:ind w:firstLine="420"/>
        <w:jc w:val="left"/>
        <w:rPr>
          <w:rFonts w:hint="eastAsia" w:ascii="宋体" w:hAnsi="宋体" w:eastAsia="宋体" w:cs="宋体"/>
          <w:color w:val="auto"/>
          <w:highlight w:val="none"/>
        </w:rPr>
      </w:pPr>
      <w:r>
        <w:rPr>
          <w:rFonts w:hint="eastAsia" w:ascii="宋体" w:hAnsi="宋体" w:eastAsia="宋体" w:cs="宋体"/>
          <w:color w:val="auto"/>
          <w:highlight w:val="none"/>
        </w:rPr>
        <w:t>本协议与工程施工主体合同同步有效。</w:t>
      </w:r>
      <w:bookmarkStart w:id="196" w:name="_Toc71558895"/>
      <w:r>
        <w:rPr>
          <w:rFonts w:hint="eastAsia" w:ascii="宋体" w:hAnsi="宋体" w:eastAsia="宋体" w:cs="宋体"/>
          <w:color w:val="auto"/>
          <w:highlight w:val="none"/>
        </w:rPr>
        <w:br w:type="page" w:clear="all"/>
      </w:r>
      <w:r>
        <w:rPr>
          <w:rFonts w:hint="eastAsia" w:ascii="宋体" w:hAnsi="宋体" w:eastAsia="宋体" w:cs="宋体"/>
          <w:b/>
          <w:bCs/>
          <w:color w:val="auto"/>
          <w:sz w:val="32"/>
          <w:szCs w:val="32"/>
          <w:highlight w:val="none"/>
        </w:rPr>
        <w:t>附件4：</w:t>
      </w:r>
      <w:bookmarkEnd w:id="196"/>
    </w:p>
    <w:p w14:paraId="543FC17F">
      <w:pPr>
        <w:pStyle w:val="237"/>
        <w:ind w:firstLine="790"/>
        <w:rPr>
          <w:rFonts w:hint="eastAsia" w:ascii="宋体" w:hAnsi="宋体" w:eastAsia="宋体" w:cs="宋体"/>
          <w:color w:val="auto"/>
          <w:highlight w:val="none"/>
        </w:rPr>
      </w:pPr>
      <w:bookmarkStart w:id="197" w:name="_Toc71558896"/>
      <w:bookmarkStart w:id="198" w:name="_Toc71558556"/>
      <w:r>
        <w:rPr>
          <w:rFonts w:hint="eastAsia" w:ascii="宋体" w:hAnsi="宋体" w:eastAsia="宋体" w:cs="宋体"/>
          <w:color w:val="auto"/>
          <w:highlight w:val="none"/>
        </w:rPr>
        <w:t>江苏省梅村高级中学校园安全文明施工承诺书</w:t>
      </w:r>
      <w:bookmarkEnd w:id="197"/>
      <w:bookmarkEnd w:id="198"/>
    </w:p>
    <w:p w14:paraId="10985321">
      <w:pPr>
        <w:spacing w:line="400" w:lineRule="exact"/>
        <w:ind w:firstLine="470"/>
        <w:rPr>
          <w:rFonts w:hint="eastAsia" w:ascii="宋体" w:hAnsi="宋体" w:eastAsia="宋体" w:cs="宋体"/>
          <w:color w:val="auto"/>
          <w:sz w:val="24"/>
          <w:highlight w:val="none"/>
        </w:rPr>
      </w:pPr>
    </w:p>
    <w:p w14:paraId="0FDE960C">
      <w:pPr>
        <w:spacing w:line="400" w:lineRule="exact"/>
        <w:ind w:firstLine="420"/>
        <w:rPr>
          <w:rFonts w:hint="eastAsia" w:ascii="宋体" w:hAnsi="宋体" w:eastAsia="宋体" w:cs="宋体"/>
          <w:color w:val="auto"/>
          <w:highlight w:val="none"/>
        </w:rPr>
      </w:pPr>
      <w:r>
        <w:rPr>
          <w:rFonts w:hint="eastAsia" w:ascii="宋体" w:hAnsi="宋体" w:eastAsia="宋体" w:cs="宋体"/>
          <w:color w:val="auto"/>
          <w:highlight w:val="none"/>
        </w:rPr>
        <w:t>为保证本公司承揽的项目顺利完成，切实维护施工期间的校园安全稳定、确保校园正常的教学生活秩序，特承诺如下： </w:t>
      </w:r>
    </w:p>
    <w:p w14:paraId="2A7B3F5A">
      <w:pPr>
        <w:spacing w:line="400" w:lineRule="exact"/>
        <w:jc w:val="left"/>
        <w:rPr>
          <w:rFonts w:hint="eastAsia" w:ascii="宋体" w:hAnsi="宋体" w:eastAsia="宋体" w:cs="宋体"/>
          <w:color w:val="auto"/>
          <w:highlight w:val="none"/>
        </w:rPr>
      </w:pPr>
    </w:p>
    <w:p w14:paraId="5340327A">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施工现场安全范围需设临时围挡，拉警戒线并挂牌告示，告示牌中需明示工程名称、施工单位名称、项目负责人、联系电话。</w:t>
      </w:r>
    </w:p>
    <w:p w14:paraId="36081CF2">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施工现场内应保持整洁，无杂物、积水、异味，场内道路必须保证畅通； 各种材料应堆放整齐，施工垃圾须定点堆放，及时清运，严禁在施工现场以外堆放材料、垃圾。 </w:t>
      </w:r>
    </w:p>
    <w:p w14:paraId="1C8E964A">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施工工序安排应考虑噪声、照明对学校秩序的影响，严格按照无锡市有关规定执行，避免扰民；施工现场严禁随意大小便；生活、生产废水及施工废水未处理合格，不得排入学校下水道及河道。</w:t>
      </w:r>
    </w:p>
    <w:p w14:paraId="4ABD147B">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施工过程中不得破坏校园里的树木、绿地、景观；不得损坏教学仪器、设备、家具；不得随意改动现有给排水、强弱电、消防、暖通设施；</w:t>
      </w:r>
    </w:p>
    <w:p w14:paraId="4C83E8F4">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土石方及建筑垃圾外运过程，严格按程序操作，不得在校内外随意遗洒，同时应有避免扬尘的措施。</w:t>
      </w:r>
    </w:p>
    <w:p w14:paraId="0E6CCBF4">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外来施工人员必须到学校安全管理部门登记并按规定要求自行办理相关入场施工证件（胸卡），施工证件（胸卡）上需印制1寸照片、姓名、身份证号、工种、施工单位名称、项目名称等信息。现场施工人员须统一佩戴胸卡，严禁闲杂人员进入施工现场。</w:t>
      </w:r>
    </w:p>
    <w:p w14:paraId="71796B6D">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未经建设单位项目责任部门及学校安全管理部门许可，施工单位人员不得校内留宿。施工现场禁止聚众打牌、饮酒闹事、传播淫秽物品；禁止施工人员在非施工区随意活动，严禁和学生、教职工发生冲突。</w:t>
      </w:r>
    </w:p>
    <w:p w14:paraId="473A7A5F">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单位车辆进出校园时应注意校园交通安全，必须按校内道路交通限速指示牌缓速行驶，必须按学校安全管理部门要求有序停放；大型机械进出场应提前和建设单位项目责任部门协商，并经学校安全管理部门同意后方可通行。通行时应避开校园交通高峰期，必须封路施工时，应在路口设置明显的提示标志。</w:t>
      </w:r>
    </w:p>
    <w:p w14:paraId="420DF74F">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施工现场临时用电必须符合《施工现场临时用电安全技术规范》，严禁非专业人员接拆电线，防止发生触电事故，严禁使用电炉等妨碍现场安全的用电设备。</w:t>
      </w:r>
    </w:p>
    <w:p w14:paraId="2A207624">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现场消防器材配备齐全、位置合理，保证消防道路畅通；施工现场严禁吸烟，剧毒、易燃易爆物品及施工动火必须有专人负责管理。</w:t>
      </w:r>
    </w:p>
    <w:p w14:paraId="6A63E580">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进入施工现场需按规定戴好安全帽，高空作业必须系好安全带，严禁工人酒后上岗，严禁攀爬脚手架，高处作业严禁向下抛掷物品。</w:t>
      </w:r>
    </w:p>
    <w:p w14:paraId="67013C41">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脚手架搭设、基坑支护及塔吊、升降梯等大型机械安装必须有上级主管安全部门审批的施工方案，各种施工机械的合格证、检测证及安全防护装置齐全，杜绝发生高空坠物、土方坍塌等一切施工安全事故。</w:t>
      </w:r>
    </w:p>
    <w:p w14:paraId="316EF52A">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建设单位同意设置施工人员生活区的项目，必须严格按照无锡市安监站的规定进行临时用房的搭建及配置，并做好生活区的文明卫生及安全管理，严禁在生活区宿舍内部使用大功率电器等设备，严禁随意拉扯电线，冬季取暖严防工人煤气中毒。 </w:t>
      </w:r>
    </w:p>
    <w:p w14:paraId="16AF72C1">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施工单位现场应有专门负责安全、文明施工的管理人员，定期检查，发现问题及时整改；对建设单位项目负责人及学校安全管理部门提出的其他有关安全、文明施工等方面的问题必须积极配合，认真履行。 </w:t>
      </w:r>
    </w:p>
    <w:p w14:paraId="614C3EDB">
      <w:pPr>
        <w:pStyle w:val="241"/>
        <w:numPr>
          <w:ilvl w:val="0"/>
          <w:numId w:val="11"/>
        </w:num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以上条款如有违反，我单位自愿接受建设单位对本单位的任何处罚，并且承担由此引起的相关责任。</w:t>
      </w:r>
    </w:p>
    <w:p w14:paraId="0F1EC912">
      <w:pPr>
        <w:spacing w:line="400" w:lineRule="exact"/>
        <w:jc w:val="left"/>
        <w:rPr>
          <w:rFonts w:hint="eastAsia" w:ascii="宋体" w:hAnsi="宋体" w:eastAsia="宋体" w:cs="宋体"/>
          <w:color w:val="auto"/>
          <w:highlight w:val="none"/>
        </w:rPr>
      </w:pPr>
    </w:p>
    <w:p w14:paraId="25608DEB">
      <w:pPr>
        <w:spacing w:line="400" w:lineRule="exact"/>
        <w:ind w:firstLine="3990"/>
        <w:jc w:val="left"/>
        <w:rPr>
          <w:rFonts w:hint="eastAsia" w:ascii="宋体" w:hAnsi="宋体" w:eastAsia="宋体" w:cs="宋体"/>
          <w:color w:val="auto"/>
          <w:highlight w:val="none"/>
        </w:rPr>
      </w:pPr>
    </w:p>
    <w:p w14:paraId="7A2DDF8F">
      <w:pPr>
        <w:spacing w:line="400" w:lineRule="exact"/>
        <w:ind w:firstLine="3990"/>
        <w:jc w:val="left"/>
        <w:rPr>
          <w:rFonts w:hint="eastAsia" w:ascii="宋体" w:hAnsi="宋体" w:eastAsia="宋体" w:cs="宋体"/>
          <w:color w:val="auto"/>
          <w:highlight w:val="none"/>
        </w:rPr>
      </w:pPr>
    </w:p>
    <w:p w14:paraId="035DBB4F">
      <w:pPr>
        <w:spacing w:line="400" w:lineRule="exact"/>
        <w:ind w:firstLine="3990"/>
        <w:jc w:val="left"/>
        <w:rPr>
          <w:rFonts w:hint="eastAsia" w:ascii="宋体" w:hAnsi="宋体" w:eastAsia="宋体" w:cs="宋体"/>
          <w:color w:val="auto"/>
          <w:highlight w:val="none"/>
        </w:rPr>
      </w:pPr>
    </w:p>
    <w:p w14:paraId="40935792">
      <w:pPr>
        <w:spacing w:line="400" w:lineRule="exact"/>
        <w:ind w:firstLine="3990"/>
        <w:jc w:val="left"/>
        <w:rPr>
          <w:rFonts w:hint="eastAsia" w:ascii="宋体" w:hAnsi="宋体" w:eastAsia="宋体" w:cs="宋体"/>
          <w:color w:val="auto"/>
          <w:highlight w:val="none"/>
        </w:rPr>
      </w:pPr>
    </w:p>
    <w:p w14:paraId="4A7C3CD8">
      <w:pPr>
        <w:spacing w:line="400" w:lineRule="exact"/>
        <w:ind w:firstLine="3990"/>
        <w:rPr>
          <w:rFonts w:hint="eastAsia" w:ascii="宋体" w:hAnsi="宋体" w:eastAsia="宋体" w:cs="宋体"/>
          <w:color w:val="auto"/>
          <w:highlight w:val="none"/>
        </w:rPr>
      </w:pPr>
    </w:p>
    <w:p w14:paraId="2DBBF846">
      <w:pPr>
        <w:spacing w:line="400" w:lineRule="exact"/>
        <w:ind w:firstLine="3990"/>
        <w:rPr>
          <w:rFonts w:hint="eastAsia" w:ascii="宋体" w:hAnsi="宋体" w:eastAsia="宋体" w:cs="宋体"/>
          <w:color w:val="auto"/>
          <w:highlight w:val="none"/>
        </w:rPr>
      </w:pPr>
      <w:r>
        <w:rPr>
          <w:rFonts w:hint="eastAsia" w:ascii="宋体" w:hAnsi="宋体" w:eastAsia="宋体" w:cs="宋体"/>
          <w:color w:val="auto"/>
          <w:highlight w:val="none"/>
        </w:rPr>
        <w:t>承诺单位（公章）：   </w:t>
      </w:r>
    </w:p>
    <w:p w14:paraId="2BDD5569">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48618F9E">
      <w:pPr>
        <w:spacing w:line="400" w:lineRule="exact"/>
        <w:ind w:firstLine="3990"/>
        <w:rPr>
          <w:rFonts w:hint="eastAsia" w:ascii="宋体" w:hAnsi="宋体" w:eastAsia="宋体" w:cs="宋体"/>
          <w:color w:val="auto"/>
          <w:highlight w:val="none"/>
        </w:rPr>
      </w:pPr>
      <w:r>
        <w:rPr>
          <w:rFonts w:hint="eastAsia" w:ascii="宋体" w:hAnsi="宋体" w:eastAsia="宋体" w:cs="宋体"/>
          <w:bCs/>
          <w:color w:val="auto"/>
          <w:highlight w:val="none"/>
        </w:rPr>
        <w:t>法定代表人（或其委托代理人）：</w:t>
      </w:r>
      <w:r>
        <w:rPr>
          <w:rFonts w:hint="eastAsia" w:ascii="宋体" w:hAnsi="宋体" w:eastAsia="宋体" w:cs="宋体"/>
          <w:color w:val="auto"/>
          <w:highlight w:val="none"/>
        </w:rPr>
        <w:t xml:space="preserve">  </w:t>
      </w:r>
    </w:p>
    <w:p w14:paraId="7D729418">
      <w:pPr>
        <w:spacing w:line="400" w:lineRule="exact"/>
        <w:ind w:firstLine="3570"/>
        <w:rPr>
          <w:rFonts w:hint="eastAsia" w:ascii="宋体" w:hAnsi="宋体" w:eastAsia="宋体" w:cs="宋体"/>
          <w:color w:val="auto"/>
          <w:highlight w:val="none"/>
        </w:rPr>
      </w:pPr>
    </w:p>
    <w:p w14:paraId="6DC61AAA">
      <w:pPr>
        <w:spacing w:line="400" w:lineRule="exact"/>
        <w:ind w:firstLine="3990"/>
        <w:rPr>
          <w:rFonts w:hint="eastAsia" w:ascii="宋体" w:hAnsi="宋体" w:eastAsia="宋体" w:cs="宋体"/>
          <w:color w:val="auto"/>
          <w:highlight w:val="none"/>
        </w:rPr>
      </w:pPr>
      <w:r>
        <w:rPr>
          <w:rFonts w:hint="eastAsia" w:ascii="宋体" w:hAnsi="宋体" w:eastAsia="宋体" w:cs="宋体"/>
          <w:color w:val="auto"/>
          <w:highlight w:val="none"/>
        </w:rPr>
        <w:t>日    期：</w:t>
      </w:r>
      <w:bookmarkStart w:id="199" w:name="_Toc71558897"/>
    </w:p>
    <w:p w14:paraId="75B4651C">
      <w:pPr>
        <w:pStyle w:val="237"/>
        <w:jc w:val="left"/>
        <w:rPr>
          <w:rFonts w:hint="eastAsia" w:ascii="宋体" w:hAnsi="宋体" w:eastAsia="宋体" w:cs="宋体"/>
          <w:color w:val="auto"/>
          <w:highlight w:val="none"/>
        </w:rPr>
      </w:pPr>
    </w:p>
    <w:p w14:paraId="2C6C65FE">
      <w:pPr>
        <w:pStyle w:val="237"/>
        <w:jc w:val="left"/>
        <w:rPr>
          <w:rFonts w:hint="eastAsia" w:ascii="宋体" w:hAnsi="宋体" w:eastAsia="宋体" w:cs="宋体"/>
          <w:color w:val="auto"/>
          <w:highlight w:val="none"/>
        </w:rPr>
      </w:pPr>
    </w:p>
    <w:p w14:paraId="1E8DB731">
      <w:pPr>
        <w:rPr>
          <w:rFonts w:hint="eastAsia" w:ascii="宋体" w:hAnsi="宋体" w:eastAsia="宋体" w:cs="宋体"/>
          <w:color w:val="auto"/>
          <w:highlight w:val="none"/>
        </w:rPr>
      </w:pPr>
    </w:p>
    <w:p w14:paraId="55768F15">
      <w:pPr>
        <w:pStyle w:val="237"/>
        <w:jc w:val="left"/>
        <w:rPr>
          <w:rFonts w:hint="eastAsia" w:ascii="宋体" w:hAnsi="宋体" w:eastAsia="宋体" w:cs="宋体"/>
          <w:color w:val="auto"/>
          <w:highlight w:val="none"/>
        </w:rPr>
      </w:pPr>
      <w:r>
        <w:rPr>
          <w:rFonts w:hint="eastAsia" w:ascii="宋体" w:hAnsi="宋体" w:eastAsia="宋体" w:cs="宋体"/>
          <w:color w:val="auto"/>
          <w:highlight w:val="none"/>
        </w:rPr>
        <w:t>附件5：</w:t>
      </w:r>
      <w:bookmarkEnd w:id="199"/>
    </w:p>
    <w:p w14:paraId="6B95A9E8">
      <w:pPr>
        <w:pStyle w:val="237"/>
        <w:ind w:firstLine="790"/>
        <w:rPr>
          <w:rFonts w:hint="eastAsia" w:ascii="宋体" w:hAnsi="宋体" w:eastAsia="宋体" w:cs="宋体"/>
          <w:color w:val="auto"/>
          <w:highlight w:val="none"/>
        </w:rPr>
      </w:pPr>
      <w:bookmarkStart w:id="200" w:name="_Toc71558558"/>
      <w:bookmarkStart w:id="201" w:name="_Toc71558898"/>
      <w:r>
        <w:rPr>
          <w:rFonts w:hint="eastAsia" w:ascii="宋体" w:hAnsi="宋体" w:eastAsia="宋体" w:cs="宋体"/>
          <w:color w:val="auto"/>
          <w:highlight w:val="none"/>
        </w:rPr>
        <w:t>江苏省梅村高级中学建设工程廉政建设责任状</w:t>
      </w:r>
      <w:bookmarkEnd w:id="200"/>
      <w:bookmarkEnd w:id="201"/>
    </w:p>
    <w:p w14:paraId="68B9E222">
      <w:pPr>
        <w:widowControl/>
        <w:rPr>
          <w:rFonts w:hint="eastAsia" w:ascii="宋体" w:hAnsi="宋体" w:eastAsia="宋体" w:cs="宋体"/>
          <w:color w:val="auto"/>
          <w:sz w:val="24"/>
          <w:szCs w:val="24"/>
          <w:highlight w:val="none"/>
          <w:u w:val="single"/>
        </w:rPr>
      </w:pPr>
      <w:r>
        <w:rPr>
          <w:rFonts w:hint="eastAsia" w:ascii="宋体" w:hAnsi="宋体" w:eastAsia="宋体" w:cs="宋体"/>
          <w:b/>
          <w:bCs/>
          <w:color w:val="auto"/>
          <w:sz w:val="24"/>
          <w:szCs w:val="24"/>
          <w:highlight w:val="none"/>
        </w:rPr>
        <w:t>工程名称：</w:t>
      </w:r>
      <w:r>
        <w:rPr>
          <w:rFonts w:hint="eastAsia" w:ascii="宋体" w:hAnsi="宋体" w:eastAsia="宋体" w:cs="宋体"/>
          <w:color w:val="auto"/>
          <w:sz w:val="24"/>
          <w:szCs w:val="24"/>
          <w:highlight w:val="none"/>
          <w:u w:val="single"/>
        </w:rPr>
        <w:t xml:space="preserve">                            </w:t>
      </w:r>
    </w:p>
    <w:p w14:paraId="593F9A60">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发包单位：（甲方）</w:t>
      </w:r>
      <w:r>
        <w:rPr>
          <w:rFonts w:hint="eastAsia" w:ascii="宋体" w:hAnsi="宋体" w:eastAsia="宋体" w:cs="宋体"/>
          <w:color w:val="auto"/>
          <w:sz w:val="24"/>
          <w:szCs w:val="24"/>
          <w:highlight w:val="none"/>
          <w:u w:val="single"/>
        </w:rPr>
        <w:t xml:space="preserve">江苏省梅村高级中学     </w:t>
      </w:r>
    </w:p>
    <w:p w14:paraId="2436CE50">
      <w:pPr>
        <w:widowControl/>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rPr>
        <w:t>承包单位：（乙方）</w:t>
      </w:r>
      <w:r>
        <w:rPr>
          <w:rFonts w:hint="eastAsia" w:ascii="宋体" w:hAnsi="宋体" w:eastAsia="宋体" w:cs="宋体"/>
          <w:color w:val="auto"/>
          <w:sz w:val="24"/>
          <w:szCs w:val="24"/>
          <w:highlight w:val="none"/>
          <w:u w:val="single"/>
        </w:rPr>
        <w:t xml:space="preserve">                     </w:t>
      </w:r>
    </w:p>
    <w:p w14:paraId="1B0BBF09">
      <w:pPr>
        <w:spacing w:line="360" w:lineRule="auto"/>
        <w:ind w:firstLine="420"/>
        <w:rPr>
          <w:rFonts w:hint="eastAsia" w:ascii="宋体" w:hAnsi="宋体" w:eastAsia="宋体" w:cs="宋体"/>
          <w:color w:val="auto"/>
          <w:highlight w:val="none"/>
        </w:rPr>
      </w:pPr>
    </w:p>
    <w:p w14:paraId="7BCF04DA">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为加强活动中的廉政建设工作，规范各方行为，防止和克服各种不廉洁现象的发生，增强各方管理和工作人员自我约束、自我监督的意识，保护当事人的合法权益，确保项目顺利完成，根据国家、省、市有关招标法律法规和廉政建设的各项规定，经双方商榷一致，特订立本廉政责任状。</w:t>
      </w:r>
    </w:p>
    <w:p w14:paraId="53C45BCB">
      <w:pPr>
        <w:numPr>
          <w:ilvl w:val="0"/>
          <w:numId w:val="12"/>
        </w:num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各方共同责任</w:t>
      </w:r>
    </w:p>
    <w:p w14:paraId="65D1BC93">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1、严格遵守国家关于市场准入、项目招标投标和市场活动等有关法律法规以及廉政建设的各项规定。</w:t>
      </w:r>
    </w:p>
    <w:p w14:paraId="0444569B">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2、完善自我监督约束机制。各项业务活动必须坚持公开、公平、公正、诚信的原则，经常开展对相关工作人员的勤政廉政教育，制定切实有效的廉政建设规定和制度。</w:t>
      </w:r>
    </w:p>
    <w:p w14:paraId="102725A3">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3、严格执行合同，自觉按合同办事，不得为获取不正当利益而损害对方的利益。</w:t>
      </w:r>
    </w:p>
    <w:p w14:paraId="6CC1FA11">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4、在业务进行过程中双方应以推动本次工程顺利完成为中心，密切合作，互为促进。发现对方在业务活动中有违规、违纪行为，应及时提醒对方，情节严重的，应向其上级主管部门或纪检监察、司法等有关机关举报。</w:t>
      </w:r>
    </w:p>
    <w:p w14:paraId="14A70E22">
      <w:pPr>
        <w:numPr>
          <w:ilvl w:val="0"/>
          <w:numId w:val="12"/>
        </w:num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江苏省梅村高级中学责任</w:t>
      </w:r>
    </w:p>
    <w:p w14:paraId="4FE1AAFC">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江苏省梅村高级中学领导和相关工作人员，在项目业务的事前、事中、事后应遵守以下规定：</w:t>
      </w:r>
    </w:p>
    <w:p w14:paraId="19E30AF1">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（一）不准向对方单位和相关单位索要或接受回扣、礼金、有价证券、贵重物品和好处费、感谢费等。</w:t>
      </w:r>
    </w:p>
    <w:p w14:paraId="72E4817D">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（二）不准在对方单位和相关单位报销任何由本单位承担或个人支付的费用。</w:t>
      </w:r>
    </w:p>
    <w:p w14:paraId="05604139">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（三）不准要求、暗示和接受对方和相关单位为个人装修住房、婚丧嫁娶、配偶子女的工作安排以及出国（境）、旅游等提供方便。</w:t>
      </w:r>
    </w:p>
    <w:p w14:paraId="3D28F387">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（四）不准参加有可能影响公正执行公务的宴请、健身、娱乐等活动。</w:t>
      </w:r>
    </w:p>
    <w:p w14:paraId="73884D5F">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五）不准向对方单位介绍或为配偶、子女、亲属参与同本单位项目有关的设备、材料、劳务等经济活动。不得以任何理由向对方单位和相关单位推荐分包单位或要求对方单位购买项目合同规定以外的材料、设备等。</w:t>
      </w:r>
    </w:p>
    <w:p w14:paraId="2BDD9BA6">
      <w:pPr>
        <w:spacing w:line="360" w:lineRule="auto"/>
        <w:ind w:firstLine="422"/>
        <w:rPr>
          <w:rFonts w:hint="eastAsia" w:ascii="宋体" w:hAnsi="宋体" w:eastAsia="宋体" w:cs="宋体"/>
          <w:b/>
          <w:bCs/>
          <w:color w:val="auto"/>
          <w:highlight w:val="none"/>
        </w:rPr>
      </w:pPr>
      <w:r>
        <w:rPr>
          <w:rFonts w:hint="eastAsia" w:ascii="宋体" w:hAnsi="宋体" w:eastAsia="宋体" w:cs="宋体"/>
          <w:b/>
          <w:bCs/>
          <w:color w:val="auto"/>
          <w:highlight w:val="none"/>
        </w:rPr>
        <w:t>第三条 中标单位责任</w:t>
      </w:r>
    </w:p>
    <w:p w14:paraId="7CB8D0DA">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严格按照中标合同约定的事项履行职责，与学院的相关人员保持正常的业务关系，确保中标项目质量，如期完成。并遵守以下规定：</w:t>
      </w:r>
    </w:p>
    <w:p w14:paraId="4AB3991A">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（一）不准以任何理由向学院相关工作人员赠送礼金、有价证券、贵重物品和回扣、好处费、感谢费等。</w:t>
      </w:r>
    </w:p>
    <w:p w14:paraId="11D0A4C5">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（二）不准以任何理由为对方单位、个人承担或支付与本次经济活动无关的费用。</w:t>
      </w:r>
    </w:p>
    <w:p w14:paraId="059B7CC6">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（三）不准为学院相关人员装修住房、婚丧嫁娶、配偶子女的工作安排以及出国（境）、旅游等提供方便。</w:t>
      </w:r>
    </w:p>
    <w:p w14:paraId="1105E00A">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（四）不准以任何理由为学院相关部门、人员组织有可能影响公正执行公务的宴请、健身、娱乐等活动。</w:t>
      </w:r>
    </w:p>
    <w:p w14:paraId="7F6E0F2F">
      <w:pPr>
        <w:numPr>
          <w:ilvl w:val="0"/>
          <w:numId w:val="13"/>
        </w:num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违约责任</w:t>
      </w:r>
    </w:p>
    <w:p w14:paraId="77906ECC">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一）学院相关工作人员有违反本责任书第一条、第二条规定的，按照管理权限，依据有关法律法规和规定给予党纪、政纪处分或组织处理，涉嫌犯罪的，移送司法机关追究刑事责任；造成经济损失的，应予以赔偿。</w:t>
      </w:r>
    </w:p>
    <w:p w14:paraId="617B64B6">
      <w:pPr>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二）中标单位工作人员有违反本责任书第一、三条规定的，按照管理权限，依据有关法律法规和规定给予党纪、政纪处分或组织处理；涉嫌犯罪的，移送司法机关追究刑事责任；给学院造成经济损失的，应给予赔偿。</w:t>
      </w:r>
    </w:p>
    <w:p w14:paraId="48082F77">
      <w:pPr>
        <w:numPr>
          <w:ilvl w:val="0"/>
          <w:numId w:val="13"/>
        </w:num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本责任状作为合同的附件，具有同等法律效力。</w:t>
      </w:r>
    </w:p>
    <w:p w14:paraId="349F810E">
      <w:pPr>
        <w:numPr>
          <w:ilvl w:val="0"/>
          <w:numId w:val="13"/>
        </w:numPr>
        <w:tabs>
          <w:tab w:val="left" w:pos="0"/>
        </w:tabs>
        <w:spacing w:line="360" w:lineRule="auto"/>
        <w:ind w:left="0" w:firstLine="420"/>
        <w:rPr>
          <w:rFonts w:hint="eastAsia" w:ascii="宋体" w:hAnsi="宋体" w:eastAsia="宋体" w:cs="宋体"/>
          <w:color w:val="auto"/>
          <w:highlight w:val="none"/>
        </w:rPr>
      </w:pPr>
      <w:r>
        <w:rPr>
          <w:rFonts w:hint="eastAsia" w:ascii="宋体" w:hAnsi="宋体" w:eastAsia="宋体" w:cs="宋体"/>
          <w:color w:val="auto"/>
          <w:highlight w:val="none"/>
        </w:rPr>
        <w:t>本责任状的有效期限为双方签署之日起至工程验收合格后保修期满为止。</w:t>
      </w:r>
    </w:p>
    <w:p w14:paraId="3662CA27">
      <w:pPr>
        <w:jc w:val="center"/>
        <w:rPr>
          <w:rFonts w:hint="eastAsia" w:ascii="宋体" w:hAnsi="宋体" w:eastAsia="宋体" w:cs="宋体"/>
          <w:b/>
          <w:color w:val="auto"/>
          <w:sz w:val="24"/>
          <w:szCs w:val="24"/>
          <w:highlight w:val="none"/>
        </w:rPr>
      </w:pPr>
    </w:p>
    <w:p w14:paraId="6D5DBB7D">
      <w:pPr>
        <w:jc w:val="center"/>
        <w:rPr>
          <w:rFonts w:hint="eastAsia" w:ascii="宋体" w:hAnsi="宋体" w:eastAsia="宋体" w:cs="宋体"/>
          <w:b/>
          <w:color w:val="auto"/>
          <w:sz w:val="28"/>
          <w:szCs w:val="28"/>
          <w:highlight w:val="none"/>
        </w:rPr>
      </w:pPr>
    </w:p>
    <w:p w14:paraId="06281F8E">
      <w:pPr>
        <w:spacing w:line="360" w:lineRule="auto"/>
        <w:jc w:val="left"/>
        <w:rPr>
          <w:rFonts w:hint="eastAsia" w:ascii="宋体" w:hAnsi="宋体" w:eastAsia="宋体" w:cs="宋体"/>
          <w:b/>
          <w:bCs/>
          <w:color w:val="auto"/>
          <w:sz w:val="28"/>
          <w:szCs w:val="28"/>
          <w:highlight w:val="none"/>
        </w:rPr>
      </w:pPr>
    </w:p>
    <w:p w14:paraId="01B77773">
      <w:pPr>
        <w:rPr>
          <w:rFonts w:hint="eastAsia" w:ascii="宋体" w:hAnsi="宋体" w:eastAsia="宋体" w:cs="宋体"/>
          <w:b/>
          <w:color w:val="auto"/>
          <w:sz w:val="44"/>
          <w:szCs w:val="44"/>
          <w:highlight w:val="none"/>
        </w:rPr>
      </w:pPr>
      <w:bookmarkStart w:id="202" w:name="一．报价函（格式）"/>
      <w:bookmarkEnd w:id="202"/>
      <w:r>
        <w:rPr>
          <w:rFonts w:hint="eastAsia" w:ascii="宋体" w:hAnsi="宋体" w:eastAsia="宋体" w:cs="宋体"/>
          <w:b/>
          <w:color w:val="auto"/>
          <w:sz w:val="44"/>
          <w:szCs w:val="44"/>
          <w:highlight w:val="none"/>
        </w:rPr>
        <w:br w:type="page" w:clear="all"/>
      </w:r>
    </w:p>
    <w:p w14:paraId="3AD6A9F2">
      <w:pPr>
        <w:spacing w:line="360" w:lineRule="auto"/>
        <w:jc w:val="center"/>
        <w:outlineLvl w:val="0"/>
        <w:rPr>
          <w:rFonts w:hint="eastAsia" w:ascii="宋体" w:hAnsi="宋体" w:eastAsia="宋体" w:cs="宋体"/>
          <w:b/>
          <w:color w:val="auto"/>
          <w:sz w:val="44"/>
          <w:szCs w:val="44"/>
          <w:highlight w:val="none"/>
        </w:rPr>
      </w:pPr>
    </w:p>
    <w:p w14:paraId="7AFBC7A1">
      <w:pPr>
        <w:spacing w:line="360" w:lineRule="auto"/>
        <w:jc w:val="center"/>
        <w:outlineLvl w:val="0"/>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第五部分．附件（响应文件格式）</w:t>
      </w:r>
    </w:p>
    <w:p w14:paraId="513F2976">
      <w:pPr>
        <w:spacing w:line="360" w:lineRule="auto"/>
        <w:jc w:val="center"/>
        <w:rPr>
          <w:rFonts w:hint="eastAsia" w:ascii="宋体" w:hAnsi="宋体" w:eastAsia="宋体" w:cs="宋体"/>
          <w:b/>
          <w:color w:val="auto"/>
          <w:sz w:val="44"/>
          <w:szCs w:val="44"/>
          <w:highlight w:val="none"/>
        </w:rPr>
      </w:pPr>
    </w:p>
    <w:p w14:paraId="23F9BD61">
      <w:pPr>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一、封面格式：</w:t>
      </w:r>
    </w:p>
    <w:p w14:paraId="63CE30C8">
      <w:pPr>
        <w:spacing w:line="360" w:lineRule="auto"/>
        <w:jc w:val="center"/>
        <w:rPr>
          <w:rFonts w:hint="eastAsia" w:ascii="宋体" w:hAnsi="宋体" w:eastAsia="宋体" w:cs="宋体"/>
          <w:b/>
          <w:bCs/>
          <w:color w:val="auto"/>
          <w:sz w:val="28"/>
          <w:szCs w:val="28"/>
          <w:highlight w:val="none"/>
        </w:rPr>
      </w:pPr>
    </w:p>
    <w:p w14:paraId="663A2EE3">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 响应文件</w:t>
      </w:r>
    </w:p>
    <w:p w14:paraId="0141A333">
      <w:pPr>
        <w:spacing w:line="360" w:lineRule="auto"/>
        <w:jc w:val="center"/>
        <w:rPr>
          <w:rFonts w:hint="eastAsia" w:ascii="宋体" w:hAnsi="宋体" w:eastAsia="宋体" w:cs="宋体"/>
          <w:b/>
          <w:color w:val="auto"/>
          <w:sz w:val="28"/>
          <w:szCs w:val="28"/>
          <w:highlight w:val="none"/>
        </w:rPr>
      </w:pPr>
    </w:p>
    <w:p w14:paraId="2319C6BC">
      <w:pPr>
        <w:spacing w:line="360" w:lineRule="auto"/>
        <w:rPr>
          <w:rFonts w:hint="eastAsia" w:ascii="宋体" w:hAnsi="宋体" w:eastAsia="宋体" w:cs="宋体"/>
          <w:b/>
          <w:color w:val="auto"/>
          <w:sz w:val="28"/>
          <w:szCs w:val="28"/>
          <w:highlight w:val="none"/>
        </w:rPr>
      </w:pPr>
    </w:p>
    <w:p w14:paraId="40266A3A">
      <w:pPr>
        <w:spacing w:line="360" w:lineRule="auto"/>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项目编号</w:t>
      </w:r>
    </w:p>
    <w:p w14:paraId="47F36890">
      <w:pPr>
        <w:spacing w:line="360" w:lineRule="auto"/>
        <w:rPr>
          <w:rFonts w:hint="eastAsia" w:ascii="宋体" w:hAnsi="宋体" w:eastAsia="宋体" w:cs="宋体"/>
          <w:b/>
          <w:color w:val="auto"/>
          <w:sz w:val="28"/>
          <w:szCs w:val="28"/>
          <w:highlight w:val="none"/>
        </w:rPr>
      </w:pPr>
    </w:p>
    <w:p w14:paraId="5F06695B">
      <w:pPr>
        <w:spacing w:line="360" w:lineRule="auto"/>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项目名称：</w:t>
      </w:r>
      <w:r>
        <w:rPr>
          <w:rFonts w:hint="eastAsia" w:ascii="宋体" w:hAnsi="宋体" w:eastAsia="宋体" w:cs="宋体"/>
          <w:b/>
          <w:color w:val="auto"/>
          <w:sz w:val="28"/>
          <w:szCs w:val="28"/>
          <w:highlight w:val="none"/>
          <w:u w:val="single"/>
        </w:rPr>
        <w:tab/>
      </w:r>
      <w:r>
        <w:rPr>
          <w:rFonts w:hint="eastAsia" w:ascii="宋体" w:hAnsi="宋体" w:eastAsia="宋体" w:cs="宋体"/>
          <w:b/>
          <w:color w:val="auto"/>
          <w:sz w:val="28"/>
          <w:szCs w:val="28"/>
          <w:highlight w:val="none"/>
          <w:u w:val="single"/>
        </w:rPr>
        <w:tab/>
      </w:r>
      <w:r>
        <w:rPr>
          <w:rFonts w:hint="eastAsia" w:ascii="宋体" w:hAnsi="宋体" w:eastAsia="宋体" w:cs="宋体"/>
          <w:b/>
          <w:color w:val="auto"/>
          <w:sz w:val="28"/>
          <w:szCs w:val="28"/>
          <w:highlight w:val="none"/>
          <w:u w:val="single"/>
        </w:rPr>
        <w:tab/>
      </w:r>
    </w:p>
    <w:p w14:paraId="08607622">
      <w:pPr>
        <w:spacing w:line="360" w:lineRule="auto"/>
        <w:rPr>
          <w:rFonts w:hint="eastAsia" w:ascii="宋体" w:hAnsi="宋体" w:eastAsia="宋体" w:cs="宋体"/>
          <w:b/>
          <w:color w:val="auto"/>
          <w:sz w:val="28"/>
          <w:szCs w:val="28"/>
          <w:highlight w:val="none"/>
          <w:u w:val="single"/>
        </w:rPr>
      </w:pPr>
    </w:p>
    <w:p w14:paraId="3AFCCFCE">
      <w:pPr>
        <w:spacing w:line="360" w:lineRule="auto"/>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报价供应商：</w:t>
      </w:r>
      <w:r>
        <w:rPr>
          <w:rFonts w:hint="eastAsia" w:ascii="宋体" w:hAnsi="宋体" w:eastAsia="宋体" w:cs="宋体"/>
          <w:b/>
          <w:color w:val="auto"/>
          <w:sz w:val="28"/>
          <w:szCs w:val="28"/>
          <w:highlight w:val="none"/>
          <w:u w:val="single"/>
        </w:rPr>
        <w:tab/>
      </w:r>
      <w:r>
        <w:rPr>
          <w:rFonts w:hint="eastAsia" w:ascii="宋体" w:hAnsi="宋体" w:eastAsia="宋体" w:cs="宋体"/>
          <w:b/>
          <w:color w:val="auto"/>
          <w:sz w:val="28"/>
          <w:szCs w:val="28"/>
          <w:highlight w:val="none"/>
          <w:u w:val="single"/>
        </w:rPr>
        <w:t xml:space="preserve">                   （盖公章）</w:t>
      </w:r>
    </w:p>
    <w:p w14:paraId="7589B36C">
      <w:pPr>
        <w:spacing w:line="360" w:lineRule="auto"/>
        <w:rPr>
          <w:rFonts w:hint="eastAsia" w:ascii="宋体" w:hAnsi="宋体" w:eastAsia="宋体" w:cs="宋体"/>
          <w:b/>
          <w:color w:val="auto"/>
          <w:sz w:val="28"/>
          <w:szCs w:val="28"/>
          <w:highlight w:val="none"/>
          <w:u w:val="single"/>
        </w:rPr>
      </w:pPr>
    </w:p>
    <w:p w14:paraId="181DAC14">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w:t>
      </w:r>
    </w:p>
    <w:p w14:paraId="13DE362D">
      <w:pPr>
        <w:spacing w:line="360" w:lineRule="auto"/>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其委托代理人：</w:t>
      </w:r>
      <w:r>
        <w:rPr>
          <w:rFonts w:hint="eastAsia" w:ascii="宋体" w:hAnsi="宋体" w:eastAsia="宋体" w:cs="宋体"/>
          <w:b/>
          <w:color w:val="auto"/>
          <w:sz w:val="28"/>
          <w:szCs w:val="28"/>
          <w:highlight w:val="none"/>
          <w:u w:val="single"/>
        </w:rPr>
        <w:tab/>
      </w:r>
      <w:r>
        <w:rPr>
          <w:rFonts w:hint="eastAsia" w:ascii="宋体" w:hAnsi="宋体" w:eastAsia="宋体" w:cs="宋体"/>
          <w:b/>
          <w:color w:val="auto"/>
          <w:sz w:val="28"/>
          <w:szCs w:val="28"/>
          <w:highlight w:val="none"/>
          <w:u w:val="single"/>
        </w:rPr>
        <w:t xml:space="preserve">          （签字或盖章）</w:t>
      </w:r>
    </w:p>
    <w:p w14:paraId="30DC97D4">
      <w:pPr>
        <w:spacing w:line="360" w:lineRule="auto"/>
        <w:rPr>
          <w:rFonts w:hint="eastAsia" w:ascii="宋体" w:hAnsi="宋体" w:eastAsia="宋体" w:cs="宋体"/>
          <w:b/>
          <w:color w:val="auto"/>
          <w:sz w:val="28"/>
          <w:szCs w:val="28"/>
          <w:highlight w:val="none"/>
          <w:u w:val="single"/>
        </w:rPr>
      </w:pPr>
    </w:p>
    <w:p w14:paraId="021C1EBF">
      <w:pPr>
        <w:spacing w:line="360" w:lineRule="auto"/>
        <w:rPr>
          <w:rFonts w:hint="eastAsia" w:ascii="宋体" w:hAnsi="宋体" w:eastAsia="宋体" w:cs="宋体"/>
          <w:b/>
          <w:color w:val="auto"/>
          <w:sz w:val="28"/>
          <w:szCs w:val="28"/>
          <w:highlight w:val="none"/>
        </w:rPr>
      </w:pPr>
    </w:p>
    <w:p w14:paraId="73E8A687">
      <w:pPr>
        <w:spacing w:line="360" w:lineRule="auto"/>
        <w:rPr>
          <w:rFonts w:hint="eastAsia" w:ascii="宋体" w:hAnsi="宋体" w:eastAsia="宋体" w:cs="宋体"/>
          <w:color w:val="auto"/>
          <w:sz w:val="24"/>
          <w:szCs w:val="24"/>
          <w:highlight w:val="none"/>
        </w:rPr>
      </w:pPr>
      <w:r>
        <w:rPr>
          <w:rFonts w:hint="eastAsia" w:ascii="宋体" w:hAnsi="宋体" w:eastAsia="宋体" w:cs="宋体"/>
          <w:b/>
          <w:color w:val="auto"/>
          <w:sz w:val="28"/>
          <w:szCs w:val="28"/>
          <w:highlight w:val="none"/>
        </w:rPr>
        <w:t xml:space="preserve">日  期： 年 </w:t>
      </w:r>
      <w:r>
        <w:rPr>
          <w:rFonts w:hint="eastAsia" w:ascii="宋体" w:hAnsi="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月</w:t>
      </w:r>
      <w:r>
        <w:rPr>
          <w:rFonts w:hint="eastAsia" w:ascii="宋体" w:hAnsi="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日</w:t>
      </w:r>
    </w:p>
    <w:p w14:paraId="2CCE8325">
      <w:pP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br w:type="page" w:clear="all"/>
      </w:r>
    </w:p>
    <w:p w14:paraId="5895E8AC">
      <w:pPr>
        <w:outlineLvl w:val="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（一）响应函（格式）</w:t>
      </w:r>
    </w:p>
    <w:p w14:paraId="4563E75D">
      <w:pPr>
        <w:jc w:val="center"/>
        <w:outlineLvl w:val="0"/>
        <w:rPr>
          <w:rFonts w:hint="eastAsia" w:ascii="宋体" w:hAnsi="宋体" w:eastAsia="宋体" w:cs="宋体"/>
          <w:bCs/>
          <w:color w:val="auto"/>
          <w:sz w:val="32"/>
          <w:szCs w:val="32"/>
          <w:highlight w:val="none"/>
        </w:rPr>
      </w:pPr>
    </w:p>
    <w:p w14:paraId="6393AA14">
      <w:pPr>
        <w:jc w:val="center"/>
        <w:outlineLvl w:val="0"/>
        <w:rPr>
          <w:rFonts w:hint="eastAsia" w:ascii="宋体" w:hAnsi="宋体" w:eastAsia="宋体" w:cs="宋体"/>
          <w:color w:val="auto"/>
          <w:sz w:val="24"/>
          <w:highlight w:val="none"/>
        </w:rPr>
      </w:pPr>
      <w:r>
        <w:rPr>
          <w:rFonts w:hint="eastAsia" w:ascii="宋体" w:hAnsi="宋体" w:eastAsia="宋体" w:cs="宋体"/>
          <w:b/>
          <w:bCs/>
          <w:color w:val="auto"/>
          <w:sz w:val="32"/>
          <w:szCs w:val="24"/>
          <w:highlight w:val="none"/>
        </w:rPr>
        <w:t>响应函</w:t>
      </w:r>
    </w:p>
    <w:p w14:paraId="4BBFD6EB">
      <w:pPr>
        <w:widowControl/>
        <w:spacing w:before="4" w:line="460" w:lineRule="exact"/>
        <w:rPr>
          <w:rFonts w:hint="eastAsia" w:ascii="宋体" w:hAnsi="宋体" w:eastAsia="宋体" w:cs="宋体"/>
          <w:color w:val="auto"/>
          <w:sz w:val="24"/>
          <w:szCs w:val="22"/>
          <w:highlight w:val="none"/>
        </w:rPr>
      </w:pPr>
    </w:p>
    <w:p w14:paraId="1A5E4A50">
      <w:pPr>
        <w:widowControl/>
        <w:spacing w:before="4" w:line="460" w:lineRule="exact"/>
        <w:rPr>
          <w:rFonts w:hint="eastAsia" w:ascii="宋体" w:hAnsi="宋体" w:eastAsia="宋体" w:cs="宋体"/>
          <w:color w:val="auto"/>
          <w:sz w:val="24"/>
          <w:szCs w:val="22"/>
          <w:highlight w:val="none"/>
          <w:lang w:eastAsia="zh-CN"/>
        </w:rPr>
      </w:pPr>
      <w:r>
        <w:rPr>
          <w:rFonts w:hint="eastAsia" w:ascii="宋体" w:hAnsi="宋体" w:eastAsia="宋体" w:cs="宋体"/>
          <w:color w:val="auto"/>
          <w:sz w:val="24"/>
          <w:szCs w:val="22"/>
          <w:highlight w:val="none"/>
        </w:rPr>
        <w:t>致：</w:t>
      </w:r>
      <w:r>
        <w:rPr>
          <w:rFonts w:hint="eastAsia" w:ascii="宋体" w:hAnsi="宋体" w:cs="宋体"/>
          <w:color w:val="auto"/>
          <w:sz w:val="24"/>
          <w:szCs w:val="22"/>
          <w:highlight w:val="none"/>
          <w:lang w:eastAsia="zh-CN"/>
        </w:rPr>
        <w:t>江苏新鑫工程咨询有限公司</w:t>
      </w:r>
    </w:p>
    <w:p w14:paraId="2DD770B3">
      <w:pPr>
        <w:widowControl/>
        <w:spacing w:before="4" w:line="460" w:lineRule="exact"/>
        <w:ind w:firstLine="48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一、我们收到贵方采购编号</w:t>
      </w:r>
      <w:r>
        <w:rPr>
          <w:rFonts w:hint="eastAsia" w:ascii="宋体" w:hAnsi="宋体" w:cs="宋体"/>
          <w:color w:val="auto"/>
          <w:sz w:val="24"/>
          <w:szCs w:val="22"/>
          <w:highlight w:val="none"/>
          <w:u w:val="single"/>
          <w:lang w:val="en-US" w:eastAsia="zh-CN"/>
        </w:rPr>
        <w:t xml:space="preserve">          </w:t>
      </w:r>
      <w:r>
        <w:rPr>
          <w:rFonts w:hint="eastAsia" w:ascii="宋体" w:hAnsi="宋体" w:eastAsia="宋体" w:cs="宋体"/>
          <w:color w:val="auto"/>
          <w:sz w:val="24"/>
          <w:szCs w:val="22"/>
          <w:highlight w:val="none"/>
        </w:rPr>
        <w:t>磋商文件，经仔细阅读和研究，我们决定参加此次</w:t>
      </w:r>
      <w:r>
        <w:rPr>
          <w:rFonts w:hint="eastAsia" w:ascii="宋体" w:hAnsi="宋体" w:cs="宋体"/>
          <w:color w:val="auto"/>
          <w:sz w:val="24"/>
          <w:szCs w:val="22"/>
          <w:highlight w:val="none"/>
          <w:lang w:eastAsia="zh-CN"/>
        </w:rPr>
        <w:t>江苏省梅村高级中学2026年艺体楼、图书馆及心理健康发展中心建设项目</w:t>
      </w:r>
      <w:r>
        <w:rPr>
          <w:rFonts w:hint="eastAsia" w:ascii="宋体" w:hAnsi="宋体" w:eastAsia="宋体" w:cs="宋体"/>
          <w:color w:val="auto"/>
          <w:sz w:val="24"/>
          <w:szCs w:val="22"/>
          <w:highlight w:val="none"/>
        </w:rPr>
        <w:t>的投标。</w:t>
      </w:r>
    </w:p>
    <w:p w14:paraId="6A7AB224">
      <w:pPr>
        <w:widowControl/>
        <w:spacing w:before="4" w:line="460" w:lineRule="exact"/>
        <w:ind w:firstLine="48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二、我方愿意提供</w:t>
      </w:r>
      <w:r>
        <w:rPr>
          <w:rFonts w:hint="eastAsia" w:ascii="宋体" w:hAnsi="宋体" w:cs="宋体"/>
          <w:color w:val="auto"/>
          <w:sz w:val="24"/>
          <w:szCs w:val="22"/>
          <w:highlight w:val="none"/>
          <w:lang w:eastAsia="zh-CN"/>
        </w:rPr>
        <w:t>江苏新鑫工程咨询有限公司</w:t>
      </w:r>
      <w:r>
        <w:rPr>
          <w:rFonts w:hint="eastAsia" w:ascii="宋体" w:hAnsi="宋体" w:eastAsia="宋体" w:cs="宋体"/>
          <w:color w:val="auto"/>
          <w:sz w:val="24"/>
          <w:szCs w:val="22"/>
          <w:highlight w:val="none"/>
        </w:rPr>
        <w:t>在磋商文件中要求的文件、资料。</w:t>
      </w:r>
    </w:p>
    <w:p w14:paraId="06D68F57">
      <w:pPr>
        <w:tabs>
          <w:tab w:val="left" w:pos="525"/>
          <w:tab w:val="left" w:pos="552"/>
          <w:tab w:val="left" w:pos="630"/>
          <w:tab w:val="left" w:pos="945"/>
        </w:tabs>
        <w:spacing w:line="460" w:lineRule="exact"/>
        <w:ind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三、我们同意按照磋商文件中的规定，本响应文件报价的有效期限为成交通知书发出之日起90天。</w:t>
      </w:r>
    </w:p>
    <w:p w14:paraId="1D7DB251">
      <w:pPr>
        <w:tabs>
          <w:tab w:val="left" w:pos="525"/>
          <w:tab w:val="left" w:pos="552"/>
          <w:tab w:val="left" w:pos="630"/>
          <w:tab w:val="left" w:pos="945"/>
        </w:tabs>
        <w:spacing w:line="460" w:lineRule="exact"/>
        <w:ind w:firstLine="480"/>
        <w:rPr>
          <w:rFonts w:hint="eastAsia" w:ascii="宋体" w:hAnsi="宋体" w:eastAsia="宋体" w:cs="宋体"/>
          <w:bCs/>
          <w:color w:val="auto"/>
          <w:sz w:val="24"/>
          <w:highlight w:val="none"/>
        </w:rPr>
      </w:pPr>
      <w:r>
        <w:rPr>
          <w:rFonts w:hint="eastAsia" w:ascii="宋体" w:hAnsi="宋体" w:eastAsia="宋体" w:cs="宋体"/>
          <w:color w:val="auto"/>
          <w:sz w:val="24"/>
          <w:highlight w:val="none"/>
        </w:rPr>
        <w:t>四、我方同意按磋商文件中的规定期限内完成全部工作。</w:t>
      </w:r>
    </w:p>
    <w:p w14:paraId="04A37494">
      <w:pPr>
        <w:tabs>
          <w:tab w:val="left" w:pos="525"/>
          <w:tab w:val="left" w:pos="552"/>
          <w:tab w:val="left" w:pos="945"/>
        </w:tabs>
        <w:spacing w:line="460" w:lineRule="exact"/>
        <w:ind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五、如果我们的响应文件被接受，我们将履行磋商文件中规定的每一项要求，按期、按质、按量，完成任务。</w:t>
      </w:r>
    </w:p>
    <w:p w14:paraId="434AE575">
      <w:pPr>
        <w:tabs>
          <w:tab w:val="left" w:pos="525"/>
          <w:tab w:val="left" w:pos="552"/>
          <w:tab w:val="left" w:pos="945"/>
        </w:tabs>
        <w:spacing w:line="460" w:lineRule="exact"/>
        <w:ind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六、我们认为你们有权决定成交者。</w:t>
      </w:r>
    </w:p>
    <w:p w14:paraId="7A9BF082">
      <w:pPr>
        <w:tabs>
          <w:tab w:val="left" w:pos="525"/>
          <w:tab w:val="left" w:pos="552"/>
          <w:tab w:val="left" w:pos="945"/>
        </w:tabs>
        <w:spacing w:line="460" w:lineRule="exact"/>
        <w:ind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七、我们认可并保证遵守磋商文件的所有规定，放弃对磋商文件提出质疑的权利。</w:t>
      </w:r>
    </w:p>
    <w:p w14:paraId="4D2D7D56">
      <w:pPr>
        <w:tabs>
          <w:tab w:val="left" w:pos="525"/>
          <w:tab w:val="left" w:pos="552"/>
          <w:tab w:val="left" w:pos="945"/>
        </w:tabs>
        <w:spacing w:line="460" w:lineRule="exact"/>
        <w:ind w:firstLine="48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八、如果我方被确定为成交供应商，我方如无不可抗力，又未履行磋商文件、响应文件和合同条款的，一经查实，我方愿意赔偿由此而造成的一切损失，并同意接受按磋商文件的相关要求对我方进行的处理。</w:t>
      </w:r>
    </w:p>
    <w:p w14:paraId="0985E041">
      <w:pPr>
        <w:spacing w:line="400" w:lineRule="exact"/>
        <w:ind w:firstLine="480"/>
        <w:rPr>
          <w:rFonts w:hint="eastAsia" w:ascii="宋体" w:hAnsi="宋体" w:eastAsia="宋体" w:cs="宋体"/>
          <w:bCs/>
          <w:color w:val="auto"/>
          <w:sz w:val="24"/>
          <w:highlight w:val="none"/>
        </w:rPr>
      </w:pPr>
    </w:p>
    <w:p w14:paraId="675A70A9">
      <w:pPr>
        <w:spacing w:line="360" w:lineRule="auto"/>
        <w:ind w:firstLine="480"/>
        <w:rPr>
          <w:rFonts w:hint="eastAsia" w:ascii="宋体" w:hAnsi="宋体" w:eastAsia="宋体" w:cs="宋体"/>
          <w:bCs/>
          <w:color w:val="auto"/>
          <w:sz w:val="24"/>
          <w:szCs w:val="22"/>
          <w:highlight w:val="none"/>
        </w:rPr>
      </w:pPr>
    </w:p>
    <w:p w14:paraId="47B1E6BB">
      <w:pPr>
        <w:spacing w:line="360" w:lineRule="auto"/>
        <w:ind w:firstLine="48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 xml:space="preserve">报价供应商（盖章）：     </w:t>
      </w:r>
    </w:p>
    <w:p w14:paraId="56D252C3">
      <w:pPr>
        <w:spacing w:line="360" w:lineRule="auto"/>
        <w:ind w:firstLine="48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法定代表人或法定代表人授权代表签字或盖章：</w:t>
      </w:r>
    </w:p>
    <w:p w14:paraId="3DAC8571">
      <w:pPr>
        <w:spacing w:line="360" w:lineRule="auto"/>
        <w:ind w:firstLine="48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电话：                              传真：</w:t>
      </w:r>
    </w:p>
    <w:p w14:paraId="253A5B39">
      <w:pPr>
        <w:spacing w:line="360" w:lineRule="auto"/>
        <w:ind w:firstLine="48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 xml:space="preserve">地址：                              邮编：                             </w:t>
      </w:r>
    </w:p>
    <w:p w14:paraId="5C042E3C">
      <w:pPr>
        <w:spacing w:line="360" w:lineRule="auto"/>
        <w:ind w:firstLine="48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开户名称：</w:t>
      </w:r>
    </w:p>
    <w:p w14:paraId="3B9E07EF">
      <w:pPr>
        <w:spacing w:line="360" w:lineRule="auto"/>
        <w:ind w:firstLine="48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 xml:space="preserve">开户银行：                   </w:t>
      </w:r>
    </w:p>
    <w:p w14:paraId="7CEDBC54">
      <w:pPr>
        <w:spacing w:line="360" w:lineRule="auto"/>
        <w:ind w:firstLine="480"/>
        <w:outlineLvl w:val="0"/>
        <w:rPr>
          <w:rFonts w:hint="eastAsia" w:ascii="宋体" w:hAnsi="宋体" w:eastAsia="宋体" w:cs="宋体"/>
          <w:color w:val="auto"/>
          <w:sz w:val="24"/>
          <w:szCs w:val="24"/>
          <w:highlight w:val="none"/>
        </w:rPr>
      </w:pPr>
      <w:r>
        <w:rPr>
          <w:rFonts w:hint="eastAsia" w:ascii="宋体" w:hAnsi="宋体" w:eastAsia="宋体" w:cs="宋体"/>
          <w:bCs/>
          <w:color w:val="auto"/>
          <w:sz w:val="24"/>
          <w:szCs w:val="22"/>
          <w:highlight w:val="none"/>
        </w:rPr>
        <w:t>开户账号：</w:t>
      </w:r>
    </w:p>
    <w:p w14:paraId="49B5B39C">
      <w:pPr>
        <w:outlineLvl w:val="0"/>
        <w:rPr>
          <w:rFonts w:hint="eastAsia" w:ascii="宋体" w:hAnsi="宋体" w:eastAsia="宋体" w:cs="宋体"/>
          <w:color w:val="auto"/>
          <w:sz w:val="24"/>
          <w:szCs w:val="24"/>
          <w:highlight w:val="none"/>
        </w:rPr>
      </w:pPr>
    </w:p>
    <w:p w14:paraId="23EED8D1">
      <w:pPr>
        <w:outlineLvl w:val="0"/>
        <w:rPr>
          <w:rFonts w:hint="eastAsia" w:ascii="宋体" w:hAnsi="宋体" w:eastAsia="宋体" w:cs="宋体"/>
          <w:color w:val="auto"/>
          <w:sz w:val="24"/>
          <w:szCs w:val="24"/>
          <w:highlight w:val="none"/>
        </w:rPr>
      </w:pPr>
    </w:p>
    <w:p w14:paraId="63F5F0E9">
      <w:pPr>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（二）报价一览表（格式）</w:t>
      </w:r>
    </w:p>
    <w:p w14:paraId="722574CB">
      <w:pPr>
        <w:jc w:val="center"/>
        <w:outlineLvl w:val="0"/>
        <w:rPr>
          <w:rFonts w:hint="eastAsia" w:ascii="宋体" w:hAnsi="宋体" w:eastAsia="宋体" w:cs="宋体"/>
          <w:color w:val="auto"/>
          <w:sz w:val="28"/>
          <w:szCs w:val="28"/>
          <w:highlight w:val="none"/>
        </w:rPr>
      </w:pPr>
    </w:p>
    <w:p w14:paraId="75A2B8EF">
      <w:pPr>
        <w:jc w:val="center"/>
        <w:outlineLvl w:val="0"/>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lang w:val="en-US" w:eastAsia="zh-CN"/>
        </w:rPr>
        <w:t>磋商</w:t>
      </w:r>
      <w:r>
        <w:rPr>
          <w:rFonts w:hint="eastAsia" w:ascii="宋体" w:hAnsi="宋体" w:eastAsia="宋体" w:cs="宋体"/>
          <w:color w:val="auto"/>
          <w:sz w:val="36"/>
          <w:szCs w:val="36"/>
          <w:highlight w:val="none"/>
        </w:rPr>
        <w:t>报价一览表</w:t>
      </w:r>
    </w:p>
    <w:p w14:paraId="66D94A67">
      <w:pPr>
        <w:spacing w:line="300" w:lineRule="auto"/>
        <w:rPr>
          <w:rFonts w:hint="eastAsia" w:ascii="宋体" w:hAnsi="宋体" w:eastAsia="宋体" w:cs="宋体"/>
          <w:color w:val="auto"/>
          <w:sz w:val="24"/>
          <w:szCs w:val="24"/>
          <w:highlight w:val="none"/>
        </w:rPr>
      </w:pPr>
    </w:p>
    <w:p w14:paraId="2DB81DEA">
      <w:pPr>
        <w:spacing w:line="300" w:lineRule="auto"/>
        <w:rPr>
          <w:rFonts w:hint="eastAsia" w:ascii="宋体" w:hAnsi="宋体" w:eastAsia="宋体" w:cs="宋体"/>
          <w:color w:val="auto"/>
          <w:highlight w:val="none"/>
        </w:rPr>
      </w:pPr>
      <w:r>
        <w:rPr>
          <w:rFonts w:hint="eastAsia" w:ascii="宋体" w:hAnsi="宋体" w:eastAsia="宋体" w:cs="宋体"/>
          <w:color w:val="auto"/>
          <w:sz w:val="24"/>
          <w:szCs w:val="24"/>
          <w:highlight w:val="none"/>
        </w:rPr>
        <w:t>报价供应商全称（加盖公章）：</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采购编号：</w:t>
      </w:r>
    </w:p>
    <w:tbl>
      <w:tblPr>
        <w:tblStyle w:val="4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6"/>
        <w:gridCol w:w="6788"/>
      </w:tblGrid>
      <w:tr w14:paraId="748F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3" w:hRule="atLeast"/>
        </w:trPr>
        <w:tc>
          <w:tcPr>
            <w:tcW w:w="1243" w:type="pct"/>
            <w:noWrap w:val="0"/>
            <w:vAlign w:val="center"/>
          </w:tcPr>
          <w:p w14:paraId="3B03E69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报价（元）</w:t>
            </w:r>
          </w:p>
        </w:tc>
        <w:tc>
          <w:tcPr>
            <w:tcW w:w="3756" w:type="pct"/>
            <w:noWrap w:val="0"/>
            <w:vAlign w:val="center"/>
          </w:tcPr>
          <w:p w14:paraId="7584F6A2">
            <w:pPr>
              <w:pStyle w:val="17"/>
              <w:spacing w:line="3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小写：</w:t>
            </w:r>
          </w:p>
          <w:p w14:paraId="77E7677A">
            <w:pPr>
              <w:pStyle w:val="17"/>
              <w:spacing w:line="3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p>
        </w:tc>
      </w:tr>
      <w:tr w14:paraId="42FA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1" w:hRule="atLeast"/>
        </w:trPr>
        <w:tc>
          <w:tcPr>
            <w:tcW w:w="1243" w:type="pct"/>
            <w:noWrap w:val="0"/>
            <w:vAlign w:val="center"/>
          </w:tcPr>
          <w:p w14:paraId="3A9462D0">
            <w:pPr>
              <w:spacing w:line="300" w:lineRule="auto"/>
              <w:jc w:val="center"/>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 xml:space="preserve"> 工期</w:t>
            </w:r>
          </w:p>
        </w:tc>
        <w:tc>
          <w:tcPr>
            <w:tcW w:w="3756" w:type="pct"/>
            <w:noWrap w:val="0"/>
            <w:vAlign w:val="center"/>
          </w:tcPr>
          <w:p w14:paraId="446819F1">
            <w:pPr>
              <w:spacing w:line="300" w:lineRule="auto"/>
              <w:rPr>
                <w:rFonts w:hint="eastAsia" w:ascii="宋体" w:hAnsi="宋体" w:eastAsia="宋体" w:cs="宋体"/>
                <w:color w:val="auto"/>
                <w:sz w:val="24"/>
                <w:szCs w:val="24"/>
                <w:highlight w:val="none"/>
              </w:rPr>
            </w:pPr>
          </w:p>
        </w:tc>
      </w:tr>
      <w:tr w14:paraId="7A7B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1" w:hRule="atLeast"/>
        </w:trPr>
        <w:tc>
          <w:tcPr>
            <w:tcW w:w="1243" w:type="pct"/>
            <w:noWrap w:val="0"/>
            <w:vAlign w:val="center"/>
          </w:tcPr>
          <w:p w14:paraId="3A840DCE">
            <w:pPr>
              <w:widowControl/>
              <w:spacing w:line="360" w:lineRule="auto"/>
              <w:jc w:val="center"/>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误期违约金</w:t>
            </w:r>
          </w:p>
        </w:tc>
        <w:tc>
          <w:tcPr>
            <w:tcW w:w="3756" w:type="pct"/>
            <w:noWrap w:val="0"/>
            <w:vAlign w:val="center"/>
          </w:tcPr>
          <w:p w14:paraId="53B49D50">
            <w:pPr>
              <w:spacing w:line="300" w:lineRule="auto"/>
              <w:rPr>
                <w:rFonts w:hint="eastAsia" w:ascii="宋体" w:hAnsi="宋体" w:eastAsia="宋体" w:cs="宋体"/>
                <w:color w:val="auto"/>
                <w:sz w:val="24"/>
                <w:szCs w:val="24"/>
                <w:highlight w:val="none"/>
              </w:rPr>
            </w:pPr>
          </w:p>
        </w:tc>
      </w:tr>
      <w:tr w14:paraId="14AA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1" w:hRule="atLeast"/>
        </w:trPr>
        <w:tc>
          <w:tcPr>
            <w:tcW w:w="1243" w:type="pct"/>
            <w:noWrap w:val="0"/>
            <w:vAlign w:val="center"/>
          </w:tcPr>
          <w:p w14:paraId="375B0F5B">
            <w:pPr>
              <w:spacing w:line="300" w:lineRule="auto"/>
              <w:jc w:val="center"/>
              <w:rPr>
                <w:rFonts w:hint="eastAsia" w:ascii="宋体" w:hAnsi="宋体" w:eastAsia="宋体" w:cs="宋体"/>
                <w:color w:val="auto"/>
                <w:sz w:val="24"/>
                <w:szCs w:val="22"/>
                <w:highlight w:val="none"/>
              </w:rPr>
            </w:pPr>
            <w:r>
              <w:rPr>
                <w:rFonts w:hint="eastAsia" w:ascii="宋体" w:hAnsi="宋体" w:eastAsia="宋体" w:cs="宋体"/>
                <w:color w:val="auto"/>
                <w:sz w:val="24"/>
                <w:szCs w:val="24"/>
                <w:highlight w:val="none"/>
              </w:rPr>
              <w:t>质量要求</w:t>
            </w:r>
          </w:p>
        </w:tc>
        <w:tc>
          <w:tcPr>
            <w:tcW w:w="3756" w:type="pct"/>
            <w:noWrap w:val="0"/>
            <w:vAlign w:val="center"/>
          </w:tcPr>
          <w:p w14:paraId="3ACEE9AD">
            <w:pPr>
              <w:spacing w:line="300" w:lineRule="auto"/>
              <w:rPr>
                <w:rFonts w:hint="eastAsia" w:ascii="宋体" w:hAnsi="宋体" w:eastAsia="宋体" w:cs="宋体"/>
                <w:color w:val="auto"/>
                <w:sz w:val="24"/>
                <w:szCs w:val="24"/>
                <w:highlight w:val="none"/>
              </w:rPr>
            </w:pPr>
          </w:p>
        </w:tc>
      </w:tr>
      <w:tr w14:paraId="6BC4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1" w:hRule="atLeast"/>
        </w:trPr>
        <w:tc>
          <w:tcPr>
            <w:tcW w:w="1243" w:type="pct"/>
            <w:noWrap w:val="0"/>
            <w:vAlign w:val="center"/>
          </w:tcPr>
          <w:p w14:paraId="79795454">
            <w:pPr>
              <w:spacing w:line="30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质量违约金</w:t>
            </w:r>
          </w:p>
        </w:tc>
        <w:tc>
          <w:tcPr>
            <w:tcW w:w="3756" w:type="pct"/>
            <w:noWrap w:val="0"/>
            <w:vAlign w:val="center"/>
          </w:tcPr>
          <w:p w14:paraId="678B018E">
            <w:pPr>
              <w:spacing w:line="300" w:lineRule="auto"/>
              <w:rPr>
                <w:rFonts w:hint="eastAsia" w:ascii="宋体" w:hAnsi="宋体" w:eastAsia="宋体" w:cs="宋体"/>
                <w:color w:val="auto"/>
                <w:sz w:val="24"/>
                <w:szCs w:val="24"/>
                <w:highlight w:val="none"/>
              </w:rPr>
            </w:pPr>
          </w:p>
        </w:tc>
      </w:tr>
      <w:tr w14:paraId="6965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1" w:hRule="atLeast"/>
        </w:trPr>
        <w:tc>
          <w:tcPr>
            <w:tcW w:w="1243" w:type="pct"/>
            <w:noWrap w:val="0"/>
            <w:vAlign w:val="center"/>
          </w:tcPr>
          <w:p w14:paraId="5B1CEB6E">
            <w:pPr>
              <w:spacing w:line="30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w:t>
            </w:r>
          </w:p>
        </w:tc>
        <w:tc>
          <w:tcPr>
            <w:tcW w:w="3756" w:type="pct"/>
            <w:noWrap w:val="0"/>
            <w:vAlign w:val="center"/>
          </w:tcPr>
          <w:p w14:paraId="731D8491">
            <w:pPr>
              <w:spacing w:line="300" w:lineRule="auto"/>
              <w:rPr>
                <w:rFonts w:hint="eastAsia" w:ascii="宋体" w:hAnsi="宋体" w:eastAsia="宋体" w:cs="宋体"/>
                <w:color w:val="auto"/>
                <w:sz w:val="24"/>
                <w:szCs w:val="24"/>
                <w:highlight w:val="none"/>
              </w:rPr>
            </w:pPr>
          </w:p>
        </w:tc>
      </w:tr>
    </w:tbl>
    <w:p w14:paraId="7852843C">
      <w:pPr>
        <w:spacing w:line="300" w:lineRule="auto"/>
        <w:rPr>
          <w:rFonts w:hint="eastAsia" w:ascii="宋体" w:hAnsi="宋体" w:eastAsia="宋体" w:cs="宋体"/>
          <w:color w:val="auto"/>
          <w:sz w:val="24"/>
          <w:szCs w:val="24"/>
          <w:highlight w:val="none"/>
        </w:rPr>
      </w:pPr>
    </w:p>
    <w:p w14:paraId="68049A9E">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法定代表人或授权代表签字：日期：</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064AF87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填写说明：</w:t>
      </w:r>
    </w:p>
    <w:p w14:paraId="1B6DB37B">
      <w:pPr>
        <w:spacing w:line="500" w:lineRule="exact"/>
        <w:ind w:firstLine="48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报价一览表中的内容应与响应函内容一致，否则评标时一律按报价一览表中的内容为准，报价一览表中必须盖章或签字。</w:t>
      </w:r>
    </w:p>
    <w:p w14:paraId="77579FF8">
      <w:pPr>
        <w:spacing w:line="400" w:lineRule="exact"/>
        <w:jc w:val="center"/>
        <w:rPr>
          <w:rFonts w:hint="eastAsia" w:ascii="宋体" w:hAnsi="宋体" w:eastAsia="宋体" w:cs="宋体"/>
          <w:color w:val="auto"/>
          <w:sz w:val="24"/>
          <w:szCs w:val="24"/>
          <w:highlight w:val="none"/>
        </w:rPr>
      </w:pPr>
    </w:p>
    <w:p w14:paraId="160AE979">
      <w:pPr>
        <w:spacing w:line="400" w:lineRule="exact"/>
        <w:jc w:val="center"/>
        <w:rPr>
          <w:rFonts w:hint="eastAsia" w:ascii="宋体" w:hAnsi="宋体" w:eastAsia="宋体" w:cs="宋体"/>
          <w:color w:val="auto"/>
          <w:sz w:val="24"/>
          <w:szCs w:val="24"/>
          <w:highlight w:val="none"/>
        </w:rPr>
      </w:pPr>
    </w:p>
    <w:p w14:paraId="130052D0">
      <w:pPr>
        <w:spacing w:line="360" w:lineRule="auto"/>
        <w:rPr>
          <w:rFonts w:hint="eastAsia" w:ascii="宋体" w:hAnsi="宋体" w:eastAsia="宋体" w:cs="宋体"/>
          <w:color w:val="auto"/>
          <w:sz w:val="24"/>
          <w:szCs w:val="24"/>
          <w:highlight w:val="none"/>
        </w:rPr>
      </w:pPr>
    </w:p>
    <w:p w14:paraId="3683E492">
      <w:pPr>
        <w:spacing w:line="360" w:lineRule="auto"/>
        <w:rPr>
          <w:rFonts w:hint="eastAsia" w:ascii="宋体" w:hAnsi="宋体" w:eastAsia="宋体" w:cs="宋体"/>
          <w:color w:val="auto"/>
          <w:sz w:val="24"/>
          <w:szCs w:val="24"/>
          <w:highlight w:val="none"/>
        </w:rPr>
      </w:pPr>
    </w:p>
    <w:p w14:paraId="03F5CF3E">
      <w:pPr>
        <w:spacing w:line="360" w:lineRule="auto"/>
        <w:rPr>
          <w:rFonts w:hint="eastAsia" w:ascii="宋体" w:hAnsi="宋体" w:eastAsia="宋体" w:cs="宋体"/>
          <w:color w:val="auto"/>
          <w:sz w:val="24"/>
          <w:szCs w:val="24"/>
          <w:highlight w:val="none"/>
        </w:rPr>
      </w:pPr>
    </w:p>
    <w:p w14:paraId="4E83A185">
      <w:pPr>
        <w:spacing w:line="360" w:lineRule="auto"/>
        <w:rPr>
          <w:rFonts w:hint="eastAsia" w:ascii="宋体" w:hAnsi="宋体" w:eastAsia="宋体" w:cs="宋体"/>
          <w:color w:val="auto"/>
          <w:sz w:val="24"/>
          <w:szCs w:val="24"/>
          <w:highlight w:val="none"/>
        </w:rPr>
      </w:pPr>
    </w:p>
    <w:p w14:paraId="0E6A8FA8">
      <w:pPr>
        <w:spacing w:line="360" w:lineRule="auto"/>
        <w:rPr>
          <w:rFonts w:hint="eastAsia" w:ascii="宋体" w:hAnsi="宋体" w:eastAsia="宋体" w:cs="宋体"/>
          <w:color w:val="auto"/>
          <w:sz w:val="24"/>
          <w:szCs w:val="24"/>
          <w:highlight w:val="none"/>
        </w:rPr>
      </w:pPr>
    </w:p>
    <w:p w14:paraId="6B0C32DF">
      <w:pPr>
        <w:spacing w:line="360" w:lineRule="auto"/>
        <w:rPr>
          <w:rFonts w:hint="eastAsia" w:ascii="宋体" w:hAnsi="宋体" w:eastAsia="宋体" w:cs="宋体"/>
          <w:color w:val="auto"/>
          <w:sz w:val="24"/>
          <w:szCs w:val="24"/>
          <w:highlight w:val="none"/>
        </w:rPr>
      </w:pPr>
    </w:p>
    <w:p w14:paraId="3F2ED029">
      <w:pPr>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（三）承诺书（格式）</w:t>
      </w:r>
    </w:p>
    <w:p w14:paraId="0E268FE9">
      <w:pPr>
        <w:ind w:left="420"/>
        <w:jc w:val="center"/>
        <w:outlineLvl w:val="0"/>
        <w:rPr>
          <w:rFonts w:hint="eastAsia" w:ascii="宋体" w:hAnsi="宋体" w:eastAsia="宋体" w:cs="宋体"/>
          <w:bCs/>
          <w:color w:val="auto"/>
          <w:sz w:val="32"/>
          <w:szCs w:val="32"/>
          <w:highlight w:val="none"/>
        </w:rPr>
      </w:pPr>
    </w:p>
    <w:p w14:paraId="3A065AE5">
      <w:pPr>
        <w:keepNext/>
        <w:jc w:val="center"/>
        <w:outlineLvl w:val="2"/>
        <w:rPr>
          <w:rFonts w:hint="eastAsia" w:ascii="宋体" w:hAnsi="宋体" w:eastAsia="宋体" w:cs="宋体"/>
          <w:bCs/>
          <w:color w:val="auto"/>
          <w:sz w:val="28"/>
          <w:szCs w:val="28"/>
          <w:highlight w:val="none"/>
        </w:rPr>
      </w:pPr>
      <w:r>
        <w:rPr>
          <w:rFonts w:hint="eastAsia" w:ascii="宋体" w:hAnsi="宋体" w:eastAsia="宋体" w:cs="宋体"/>
          <w:b/>
          <w:color w:val="auto"/>
          <w:sz w:val="28"/>
          <w:szCs w:val="22"/>
          <w:highlight w:val="none"/>
        </w:rPr>
        <w:t>承诺书一</w:t>
      </w:r>
    </w:p>
    <w:p w14:paraId="4419720B">
      <w:pPr>
        <w:spacing w:line="360" w:lineRule="auto"/>
        <w:ind w:firstLine="36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（报价供应商名称）在此承诺：</w:t>
      </w:r>
    </w:p>
    <w:p w14:paraId="35C19318">
      <w:pPr>
        <w:spacing w:line="360" w:lineRule="auto"/>
        <w:ind w:firstLine="360"/>
        <w:outlineLvl w:val="0"/>
        <w:rPr>
          <w:rFonts w:hint="eastAsia" w:ascii="宋体" w:hAnsi="宋体" w:eastAsia="宋体" w:cs="宋体"/>
          <w:bCs/>
          <w:color w:val="auto"/>
          <w:sz w:val="24"/>
          <w:szCs w:val="22"/>
          <w:highlight w:val="none"/>
        </w:rPr>
      </w:pPr>
    </w:p>
    <w:p w14:paraId="0D542871">
      <w:pPr>
        <w:spacing w:line="360" w:lineRule="auto"/>
        <w:ind w:firstLine="60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我公司（单位）愿针对此次</w:t>
      </w:r>
      <w:r>
        <w:rPr>
          <w:rFonts w:hint="eastAsia" w:ascii="宋体" w:hAnsi="宋体" w:eastAsia="宋体" w:cs="宋体"/>
          <w:bCs/>
          <w:color w:val="auto"/>
          <w:sz w:val="24"/>
          <w:szCs w:val="22"/>
          <w:highlight w:val="none"/>
          <w:u w:val="single"/>
        </w:rPr>
        <w:t xml:space="preserve">              （项目名称）</w:t>
      </w:r>
      <w:r>
        <w:rPr>
          <w:rFonts w:hint="eastAsia" w:ascii="宋体" w:hAnsi="宋体" w:eastAsia="宋体" w:cs="宋体"/>
          <w:bCs/>
          <w:color w:val="auto"/>
          <w:sz w:val="24"/>
          <w:szCs w:val="22"/>
          <w:highlight w:val="none"/>
        </w:rPr>
        <w:t>进行投标。</w:t>
      </w:r>
    </w:p>
    <w:p w14:paraId="58635BBB">
      <w:pPr>
        <w:spacing w:line="360" w:lineRule="auto"/>
        <w:ind w:firstLine="60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我公司符合《中华人民共和国政府采购法》第二十二条的规定，在此郑重承诺具备以下条件：</w:t>
      </w:r>
    </w:p>
    <w:p w14:paraId="798849E2">
      <w:pPr>
        <w:spacing w:line="360" w:lineRule="auto"/>
        <w:ind w:firstLine="60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（一）具有独立承担民事责任的能力；</w:t>
      </w:r>
    </w:p>
    <w:p w14:paraId="59D4D988">
      <w:pPr>
        <w:spacing w:line="360" w:lineRule="auto"/>
        <w:ind w:firstLine="60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（二）具有良好的商业信誉和健全的财务会计制度；</w:t>
      </w:r>
    </w:p>
    <w:p w14:paraId="19B7A96D">
      <w:pPr>
        <w:spacing w:line="360" w:lineRule="auto"/>
        <w:ind w:firstLine="60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（三）具有履行合同所必需的设备和专业技术能力；</w:t>
      </w:r>
    </w:p>
    <w:p w14:paraId="6C87D013">
      <w:pPr>
        <w:spacing w:line="360" w:lineRule="auto"/>
        <w:ind w:firstLine="60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（四）有依法缴纳税收和社会保障资金的良好记录；</w:t>
      </w:r>
    </w:p>
    <w:p w14:paraId="49A5D05A">
      <w:pPr>
        <w:spacing w:line="360" w:lineRule="auto"/>
        <w:ind w:firstLine="60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（五）近三年内，在经营活动中没有重大违法记录；</w:t>
      </w:r>
    </w:p>
    <w:p w14:paraId="0E396BC0">
      <w:pPr>
        <w:spacing w:line="360" w:lineRule="auto"/>
        <w:ind w:firstLine="60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（六）响应文件中所有关于投标资格的文件、证明、陈述均是真实的、准确的。</w:t>
      </w:r>
    </w:p>
    <w:p w14:paraId="790F32BD">
      <w:pPr>
        <w:spacing w:line="360" w:lineRule="auto"/>
        <w:ind w:firstLine="60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若有违背，我公司（单位）愿意承担由此而产生的一切后果。</w:t>
      </w:r>
    </w:p>
    <w:p w14:paraId="579242E2">
      <w:pPr>
        <w:spacing w:line="360" w:lineRule="auto"/>
        <w:ind w:firstLine="360"/>
        <w:outlineLvl w:val="0"/>
        <w:rPr>
          <w:rFonts w:hint="eastAsia" w:ascii="宋体" w:hAnsi="宋体" w:eastAsia="宋体" w:cs="宋体"/>
          <w:bCs/>
          <w:color w:val="auto"/>
          <w:sz w:val="24"/>
          <w:szCs w:val="22"/>
          <w:highlight w:val="none"/>
        </w:rPr>
      </w:pPr>
    </w:p>
    <w:p w14:paraId="08AC22DA">
      <w:pPr>
        <w:spacing w:line="360" w:lineRule="auto"/>
        <w:ind w:firstLine="360"/>
        <w:outlineLvl w:val="0"/>
        <w:rPr>
          <w:rFonts w:hint="eastAsia" w:ascii="宋体" w:hAnsi="宋体" w:eastAsia="宋体" w:cs="宋体"/>
          <w:bCs/>
          <w:color w:val="auto"/>
          <w:sz w:val="24"/>
          <w:szCs w:val="22"/>
          <w:highlight w:val="none"/>
        </w:rPr>
      </w:pPr>
    </w:p>
    <w:p w14:paraId="6EB0E34A">
      <w:pPr>
        <w:spacing w:line="360" w:lineRule="auto"/>
        <w:ind w:firstLine="36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报价供应商（盖章）：</w:t>
      </w:r>
    </w:p>
    <w:p w14:paraId="7553C582">
      <w:pPr>
        <w:spacing w:line="360" w:lineRule="auto"/>
        <w:ind w:firstLine="36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法定代表人或法定代表人授权代表签字或盖章：</w:t>
      </w:r>
    </w:p>
    <w:p w14:paraId="36D31298">
      <w:pPr>
        <w:keepNext/>
        <w:jc w:val="center"/>
        <w:outlineLvl w:val="2"/>
        <w:rPr>
          <w:rFonts w:hint="eastAsia" w:ascii="宋体" w:hAnsi="宋体" w:eastAsia="宋体" w:cs="宋体"/>
          <w:b/>
          <w:color w:val="auto"/>
          <w:sz w:val="32"/>
          <w:szCs w:val="32"/>
          <w:highlight w:val="none"/>
        </w:rPr>
      </w:pPr>
      <w:r>
        <w:rPr>
          <w:rFonts w:hint="eastAsia" w:ascii="宋体" w:hAnsi="宋体" w:eastAsia="宋体" w:cs="宋体"/>
          <w:bCs/>
          <w:color w:val="auto"/>
          <w:sz w:val="24"/>
          <w:highlight w:val="none"/>
        </w:rPr>
        <w:br w:type="page" w:clear="all"/>
      </w:r>
      <w:r>
        <w:rPr>
          <w:rFonts w:hint="eastAsia" w:ascii="宋体" w:hAnsi="宋体" w:eastAsia="宋体" w:cs="宋体"/>
          <w:b/>
          <w:color w:val="auto"/>
          <w:sz w:val="28"/>
          <w:szCs w:val="22"/>
          <w:highlight w:val="none"/>
        </w:rPr>
        <w:t>承诺书二</w:t>
      </w:r>
    </w:p>
    <w:p w14:paraId="04C81A1E">
      <w:pPr>
        <w:spacing w:line="360" w:lineRule="auto"/>
        <w:rPr>
          <w:rFonts w:hint="eastAsia" w:ascii="宋体" w:hAnsi="宋体" w:eastAsia="宋体" w:cs="宋体"/>
          <w:color w:val="auto"/>
          <w:sz w:val="24"/>
          <w:highlight w:val="none"/>
        </w:rPr>
      </w:pPr>
    </w:p>
    <w:p w14:paraId="6441B736">
      <w:pPr>
        <w:spacing w:line="360" w:lineRule="auto"/>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致：                       （采购人名称）</w:t>
      </w:r>
    </w:p>
    <w:p w14:paraId="360555B8">
      <w:pPr>
        <w:spacing w:line="360" w:lineRule="auto"/>
        <w:ind w:firstLine="480"/>
        <w:outlineLvl w:val="0"/>
        <w:rPr>
          <w:rFonts w:hint="eastAsia" w:ascii="宋体" w:hAnsi="宋体" w:eastAsia="宋体" w:cs="宋体"/>
          <w:bCs/>
          <w:color w:val="auto"/>
          <w:sz w:val="24"/>
          <w:szCs w:val="22"/>
          <w:highlight w:val="none"/>
        </w:rPr>
      </w:pPr>
      <w:r>
        <w:rPr>
          <w:rFonts w:hint="eastAsia" w:ascii="宋体" w:hAnsi="宋体" w:eastAsia="宋体" w:cs="宋体"/>
          <w:bCs/>
          <w:color w:val="auto"/>
          <w:sz w:val="24"/>
          <w:szCs w:val="22"/>
          <w:highlight w:val="none"/>
        </w:rPr>
        <w:t>我公司自愿参加贵单位（公司）项目的投标，并接受对我公司的资格审查，我公司承诺：本公司参加政府采购活动前3年内在经营活动中没有重大违法记录；我公司未处于被责令停业、投标资格被取消或者财产被接管、冻结和破产状态，企业没有因骗取中标或者严重违约以及发生重大工程质量事故等问题，被有关部门暂停投标资格并在暂停期内的。根据贵单位（公司）提出的竞争性磋商文件要求，本公司递交的响应文件中的内容没有隐瞒、虚假、伪造等弄虚作假行为。若发现该行为，贵公司可以拒绝我公司报价，如已中标，可取消我公司中标资格，并接受政府采购主管部门对我公司弄虚作假、违反公平和诚实信用原则</w:t>
      </w:r>
      <w:r>
        <w:rPr>
          <w:rFonts w:hint="eastAsia" w:ascii="宋体" w:hAnsi="宋体" w:cs="宋体"/>
          <w:bCs/>
          <w:color w:val="auto"/>
          <w:sz w:val="24"/>
          <w:szCs w:val="22"/>
          <w:highlight w:val="none"/>
          <w:lang w:eastAsia="zh-CN"/>
        </w:rPr>
        <w:t>作出</w:t>
      </w:r>
      <w:r>
        <w:rPr>
          <w:rFonts w:hint="eastAsia" w:ascii="宋体" w:hAnsi="宋体" w:eastAsia="宋体" w:cs="宋体"/>
          <w:bCs/>
          <w:color w:val="auto"/>
          <w:sz w:val="24"/>
          <w:szCs w:val="22"/>
          <w:highlight w:val="none"/>
        </w:rPr>
        <w:t>的任何处理。</w:t>
      </w:r>
    </w:p>
    <w:p w14:paraId="22DF8941">
      <w:pPr>
        <w:spacing w:before="240" w:line="360" w:lineRule="auto"/>
        <w:ind w:firstLine="480"/>
        <w:rPr>
          <w:rFonts w:hint="eastAsia" w:ascii="宋体" w:hAnsi="宋体" w:eastAsia="宋体" w:cs="宋体"/>
          <w:color w:val="auto"/>
          <w:sz w:val="24"/>
          <w:highlight w:val="none"/>
        </w:rPr>
      </w:pPr>
    </w:p>
    <w:p w14:paraId="4EF98F36">
      <w:pPr>
        <w:spacing w:before="240" w:line="360" w:lineRule="auto"/>
        <w:ind w:firstLine="480"/>
        <w:rPr>
          <w:rFonts w:hint="eastAsia" w:ascii="宋体" w:hAnsi="宋体" w:eastAsia="宋体" w:cs="宋体"/>
          <w:color w:val="auto"/>
          <w:sz w:val="24"/>
          <w:highlight w:val="none"/>
        </w:rPr>
      </w:pPr>
    </w:p>
    <w:p w14:paraId="3415BCD5">
      <w:pPr>
        <w:spacing w:before="240" w:line="360" w:lineRule="auto"/>
        <w:ind w:firstLine="480"/>
        <w:rPr>
          <w:rFonts w:hint="eastAsia" w:ascii="宋体" w:hAnsi="宋体" w:eastAsia="宋体" w:cs="宋体"/>
          <w:color w:val="auto"/>
          <w:sz w:val="24"/>
          <w:highlight w:val="none"/>
        </w:rPr>
      </w:pPr>
    </w:p>
    <w:p w14:paraId="10E92EFB">
      <w:pPr>
        <w:spacing w:before="240" w:line="360" w:lineRule="auto"/>
        <w:ind w:right="480" w:firstLine="456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报价供应商：（盖章）  </w:t>
      </w:r>
    </w:p>
    <w:p w14:paraId="3922EDDC">
      <w:pPr>
        <w:spacing w:before="240" w:line="360" w:lineRule="auto"/>
        <w:ind w:right="480" w:firstLine="456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法定代表人签名或盖章：          </w:t>
      </w:r>
    </w:p>
    <w:p w14:paraId="114065F4">
      <w:pPr>
        <w:spacing w:before="240" w:line="360" w:lineRule="auto"/>
        <w:ind w:firstLine="48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年    月    日</w:t>
      </w:r>
    </w:p>
    <w:p w14:paraId="12CDD735">
      <w:pPr>
        <w:pStyle w:val="6"/>
        <w:numPr>
          <w:ilvl w:val="4"/>
          <w:numId w:val="0"/>
        </w:numPr>
        <w:rPr>
          <w:rFonts w:hint="eastAsia" w:ascii="宋体" w:hAnsi="宋体" w:eastAsia="宋体" w:cs="宋体"/>
          <w:color w:val="auto"/>
          <w:sz w:val="24"/>
          <w:highlight w:val="none"/>
        </w:rPr>
      </w:pPr>
    </w:p>
    <w:p w14:paraId="227BA33C">
      <w:pPr>
        <w:rPr>
          <w:rFonts w:hint="eastAsia" w:ascii="宋体" w:hAnsi="宋体" w:eastAsia="宋体" w:cs="宋体"/>
          <w:color w:val="auto"/>
          <w:sz w:val="24"/>
          <w:highlight w:val="none"/>
        </w:rPr>
      </w:pPr>
    </w:p>
    <w:p w14:paraId="76938E9A">
      <w:pPr>
        <w:rPr>
          <w:rFonts w:hint="eastAsia" w:ascii="宋体" w:hAnsi="宋体" w:eastAsia="宋体" w:cs="宋体"/>
          <w:color w:val="auto"/>
          <w:highlight w:val="none"/>
        </w:rPr>
      </w:pPr>
    </w:p>
    <w:p w14:paraId="77AFBF8B">
      <w:pPr>
        <w:pStyle w:val="6"/>
        <w:numPr>
          <w:ilvl w:val="0"/>
          <w:numId w:val="0"/>
        </w:numPr>
        <w:tabs>
          <w:tab w:val="left" w:pos="1080"/>
        </w:tabs>
        <w:rPr>
          <w:rFonts w:hint="eastAsia" w:ascii="宋体" w:hAnsi="宋体" w:eastAsia="宋体" w:cs="宋体"/>
          <w:color w:val="auto"/>
          <w:highlight w:val="none"/>
        </w:rPr>
      </w:pPr>
    </w:p>
    <w:p w14:paraId="2DB0CF9C">
      <w:pPr>
        <w:pStyle w:val="6"/>
        <w:numPr>
          <w:ilvl w:val="0"/>
          <w:numId w:val="0"/>
        </w:numPr>
        <w:tabs>
          <w:tab w:val="left" w:pos="1080"/>
        </w:tabs>
        <w:rPr>
          <w:rFonts w:hint="eastAsia" w:ascii="宋体" w:hAnsi="宋体" w:eastAsia="宋体" w:cs="宋体"/>
          <w:color w:val="auto"/>
          <w:highlight w:val="none"/>
        </w:rPr>
      </w:pPr>
    </w:p>
    <w:p w14:paraId="20482682">
      <w:pPr>
        <w:rPr>
          <w:rFonts w:hint="eastAsia" w:ascii="宋体" w:hAnsi="宋体" w:eastAsia="宋体" w:cs="宋体"/>
          <w:color w:val="auto"/>
          <w:highlight w:val="none"/>
        </w:rPr>
      </w:pPr>
    </w:p>
    <w:p w14:paraId="3312E5BA">
      <w:pPr>
        <w:rPr>
          <w:rFonts w:hint="eastAsia" w:ascii="宋体" w:hAnsi="宋体" w:eastAsia="宋体" w:cs="宋体"/>
          <w:b/>
          <w:color w:val="auto"/>
          <w:sz w:val="28"/>
          <w:szCs w:val="22"/>
          <w:highlight w:val="none"/>
        </w:rPr>
      </w:pPr>
      <w:r>
        <w:rPr>
          <w:rFonts w:hint="eastAsia" w:ascii="宋体" w:hAnsi="宋体" w:eastAsia="宋体" w:cs="宋体"/>
          <w:b/>
          <w:color w:val="auto"/>
          <w:sz w:val="28"/>
          <w:szCs w:val="22"/>
          <w:highlight w:val="none"/>
        </w:rPr>
        <w:br w:type="page" w:clear="all"/>
      </w:r>
    </w:p>
    <w:p w14:paraId="6136874D">
      <w:pPr>
        <w:keepNext/>
        <w:jc w:val="center"/>
        <w:outlineLvl w:val="2"/>
        <w:rPr>
          <w:rFonts w:hint="eastAsia" w:ascii="宋体" w:hAnsi="宋体" w:eastAsia="宋体" w:cs="宋体"/>
          <w:b/>
          <w:color w:val="auto"/>
          <w:sz w:val="28"/>
          <w:szCs w:val="22"/>
          <w:highlight w:val="none"/>
        </w:rPr>
      </w:pPr>
    </w:p>
    <w:p w14:paraId="0C8AEA1F">
      <w:pPr>
        <w:keepNext/>
        <w:jc w:val="center"/>
        <w:outlineLvl w:val="2"/>
        <w:rPr>
          <w:rFonts w:hint="eastAsia" w:ascii="宋体" w:hAnsi="宋体" w:eastAsia="宋体" w:cs="宋体"/>
          <w:b/>
          <w:color w:val="auto"/>
          <w:sz w:val="28"/>
          <w:szCs w:val="22"/>
          <w:highlight w:val="none"/>
        </w:rPr>
      </w:pPr>
      <w:r>
        <w:rPr>
          <w:rFonts w:hint="eastAsia" w:ascii="宋体" w:hAnsi="宋体" w:eastAsia="宋体" w:cs="宋体"/>
          <w:b/>
          <w:color w:val="auto"/>
          <w:sz w:val="28"/>
          <w:szCs w:val="22"/>
          <w:highlight w:val="none"/>
        </w:rPr>
        <w:t>承诺书三（廉洁承诺书格式）</w:t>
      </w:r>
    </w:p>
    <w:p w14:paraId="79295695">
      <w:pPr>
        <w:keepNext/>
        <w:jc w:val="center"/>
        <w:outlineLvl w:val="2"/>
        <w:rPr>
          <w:rFonts w:hint="eastAsia" w:ascii="宋体" w:hAnsi="宋体" w:eastAsia="宋体" w:cs="宋体"/>
          <w:b/>
          <w:color w:val="auto"/>
          <w:sz w:val="28"/>
          <w:szCs w:val="22"/>
          <w:highlight w:val="none"/>
        </w:rPr>
      </w:pPr>
    </w:p>
    <w:p w14:paraId="3231B3FB">
      <w:pPr>
        <w:spacing w:line="52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为了积极配合贵单位的招标工作，有效遏制不公平竞争和违规违纪问题的发生，确保招标工作的公平、公正、公开，我们保证认真贯彻《中华人民共和国招标投标法》等相关规定以及相关廉洁要求，特向贵单位承诺如下事项：</w:t>
      </w:r>
    </w:p>
    <w:p w14:paraId="745C8FD7">
      <w:pPr>
        <w:spacing w:line="52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1、自觉遵守国家法律法规及有关廉政建设制度。</w:t>
      </w:r>
    </w:p>
    <w:p w14:paraId="07A876B8">
      <w:pPr>
        <w:spacing w:line="52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2、主动了解贵局招投标纪律，积极配合贵局执行招投标廉政建设的有关规定。</w:t>
      </w:r>
    </w:p>
    <w:p w14:paraId="1495B068">
      <w:pPr>
        <w:spacing w:line="52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3、不使用不正当手段妨碍、排挤其他投标单位或串通投标。</w:t>
      </w:r>
    </w:p>
    <w:p w14:paraId="1AE83D70">
      <w:pPr>
        <w:spacing w:line="52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4、按照竞争性磋商文件规定的方式进行投标，不隐瞒本单位投标资质的真实情况，投标资质符合规定。</w:t>
      </w:r>
    </w:p>
    <w:p w14:paraId="246F5D0C">
      <w:pPr>
        <w:spacing w:line="52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5、不以任何方式向招标人员赠送礼品、礼金及有价证券；不宴请或邀请招标方的任何人参加高档娱乐消费、旅游、考察、参观等活动；不以任何形式报销招标方的任何人以及亲友的各种票据及费用；不进行可能影响招投标公平、公正的任何活动。</w:t>
      </w:r>
    </w:p>
    <w:p w14:paraId="20CD9CC4">
      <w:pPr>
        <w:spacing w:line="52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6、不向设计招标的单位及个人购置或提供通信工具、交通工具和高档办公用品等。</w:t>
      </w:r>
    </w:p>
    <w:p w14:paraId="1405921B">
      <w:pPr>
        <w:spacing w:line="52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7、不向涉及招标的单位及个人的配偶、子女、亲属分包此次招标项目。</w:t>
      </w:r>
    </w:p>
    <w:p w14:paraId="11FDA9C0">
      <w:pPr>
        <w:spacing w:line="52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8、不向涉及招标的单位及个人支付好处费、介绍费。</w:t>
      </w:r>
    </w:p>
    <w:p w14:paraId="36631564">
      <w:pPr>
        <w:spacing w:line="52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9、一旦发现相关人员在招标过程中有索要财物等不廉洁行为，坚决予以抵制，并及时向贵局纪检监察室举报。</w:t>
      </w:r>
    </w:p>
    <w:p w14:paraId="3B1E1BCD">
      <w:pPr>
        <w:spacing w:line="520" w:lineRule="exact"/>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我们若违反上述承诺，愿接受取消投标资格及其他任何形式的处理。</w:t>
      </w:r>
    </w:p>
    <w:p w14:paraId="32F2E61B">
      <w:pPr>
        <w:spacing w:line="520" w:lineRule="exact"/>
        <w:ind w:firstLine="480"/>
        <w:rPr>
          <w:rFonts w:hint="eastAsia" w:ascii="宋体" w:hAnsi="宋体" w:eastAsia="宋体" w:cs="宋体"/>
          <w:color w:val="auto"/>
          <w:sz w:val="24"/>
          <w:highlight w:val="none"/>
        </w:rPr>
      </w:pPr>
    </w:p>
    <w:p w14:paraId="6B31E42B">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报价供应商（公章）：             </w:t>
      </w:r>
    </w:p>
    <w:p w14:paraId="1F6542E0">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法定代表人或授权代理人：          （签字或盖章）</w:t>
      </w:r>
    </w:p>
    <w:p w14:paraId="528BE7A8">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年    月     日</w:t>
      </w:r>
    </w:p>
    <w:p w14:paraId="73C6B03D">
      <w:pPr>
        <w:spacing w:line="360" w:lineRule="auto"/>
        <w:ind w:firstLine="480"/>
        <w:rPr>
          <w:rFonts w:hint="eastAsia" w:ascii="宋体" w:hAnsi="宋体" w:eastAsia="宋体" w:cs="宋体"/>
          <w:color w:val="auto"/>
          <w:sz w:val="24"/>
          <w:highlight w:val="none"/>
        </w:rPr>
      </w:pPr>
    </w:p>
    <w:p w14:paraId="6B6B3313">
      <w:pPr>
        <w:spacing w:line="360" w:lineRule="auto"/>
        <w:ind w:firstLine="480"/>
        <w:rPr>
          <w:rFonts w:hint="eastAsia" w:ascii="宋体" w:hAnsi="宋体" w:eastAsia="宋体" w:cs="宋体"/>
          <w:color w:val="auto"/>
          <w:sz w:val="24"/>
          <w:highlight w:val="none"/>
        </w:rPr>
      </w:pPr>
    </w:p>
    <w:p w14:paraId="6362FE04">
      <w:pPr>
        <w:keepNext/>
        <w:jc w:val="center"/>
        <w:outlineLvl w:val="2"/>
        <w:rPr>
          <w:rFonts w:hint="eastAsia" w:ascii="宋体" w:hAnsi="宋体" w:eastAsia="宋体" w:cs="宋体"/>
          <w:b/>
          <w:color w:val="auto"/>
          <w:sz w:val="28"/>
          <w:szCs w:val="22"/>
          <w:highlight w:val="none"/>
        </w:rPr>
      </w:pPr>
      <w:r>
        <w:rPr>
          <w:rFonts w:hint="eastAsia" w:ascii="宋体" w:hAnsi="宋体" w:eastAsia="宋体" w:cs="宋体"/>
          <w:b/>
          <w:color w:val="auto"/>
          <w:sz w:val="28"/>
          <w:szCs w:val="22"/>
          <w:highlight w:val="none"/>
        </w:rPr>
        <w:t>承诺书四 不拖欠农民工工资承诺书</w:t>
      </w:r>
    </w:p>
    <w:p w14:paraId="21824DA8">
      <w:pPr>
        <w:keepNext/>
        <w:jc w:val="center"/>
        <w:outlineLvl w:val="2"/>
        <w:rPr>
          <w:rFonts w:hint="eastAsia" w:ascii="宋体" w:hAnsi="宋体" w:eastAsia="宋体" w:cs="宋体"/>
          <w:b/>
          <w:color w:val="auto"/>
          <w:sz w:val="28"/>
          <w:szCs w:val="22"/>
          <w:highlight w:val="none"/>
        </w:rPr>
      </w:pPr>
    </w:p>
    <w:p w14:paraId="22D7B66C">
      <w:pPr>
        <w:rPr>
          <w:rFonts w:hint="eastAsia" w:ascii="宋体" w:hAnsi="宋体" w:eastAsia="宋体" w:cs="宋体"/>
          <w:color w:val="auto"/>
          <w:highlight w:val="none"/>
        </w:rPr>
      </w:pPr>
    </w:p>
    <w:p w14:paraId="252BF7A6">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 xml:space="preserve">   （采购人名称）    </w:t>
      </w:r>
    </w:p>
    <w:p w14:paraId="49CDBB73">
      <w:pPr>
        <w:spacing w:line="360" w:lineRule="auto"/>
        <w:ind w:firstLine="513"/>
        <w:rPr>
          <w:rFonts w:hint="eastAsia" w:ascii="宋体" w:hAnsi="宋体" w:eastAsia="宋体" w:cs="宋体"/>
          <w:color w:val="auto"/>
          <w:sz w:val="24"/>
          <w:highlight w:val="none"/>
        </w:rPr>
      </w:pPr>
      <w:r>
        <w:rPr>
          <w:rFonts w:hint="eastAsia" w:ascii="宋体" w:hAnsi="宋体" w:eastAsia="宋体" w:cs="宋体"/>
          <w:color w:val="auto"/>
          <w:sz w:val="24"/>
          <w:highlight w:val="none"/>
        </w:rPr>
        <w:t>为保护农民工的合法权益，不拖欠农民工工资，本签名人郑重承诺：</w:t>
      </w:r>
    </w:p>
    <w:p w14:paraId="4EE19EC6">
      <w:pPr>
        <w:spacing w:line="360" w:lineRule="auto"/>
        <w:ind w:firstLine="513"/>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本企业如果中标承建</w:t>
      </w:r>
      <w:r>
        <w:rPr>
          <w:rFonts w:hint="eastAsia" w:ascii="宋体" w:hAnsi="宋体" w:eastAsia="宋体" w:cs="宋体"/>
          <w:color w:val="auto"/>
          <w:sz w:val="24"/>
          <w:highlight w:val="none"/>
          <w:u w:val="single"/>
        </w:rPr>
        <w:t xml:space="preserve">                       工程</w:t>
      </w:r>
      <w:r>
        <w:rPr>
          <w:rFonts w:hint="eastAsia" w:ascii="宋体" w:hAnsi="宋体" w:eastAsia="宋体" w:cs="宋体"/>
          <w:color w:val="auto"/>
          <w:sz w:val="24"/>
          <w:highlight w:val="none"/>
        </w:rPr>
        <w:t>项目，需要使用农民工时，将保证做到：</w:t>
      </w:r>
    </w:p>
    <w:p w14:paraId="396BDFF8">
      <w:pPr>
        <w:spacing w:line="360" w:lineRule="auto"/>
        <w:ind w:firstLine="513"/>
        <w:rPr>
          <w:rFonts w:hint="eastAsia" w:ascii="宋体" w:hAnsi="宋体" w:eastAsia="宋体" w:cs="宋体"/>
          <w:color w:val="auto"/>
          <w:sz w:val="24"/>
          <w:highlight w:val="none"/>
        </w:rPr>
      </w:pPr>
      <w:r>
        <w:rPr>
          <w:rFonts w:hint="eastAsia" w:ascii="宋体" w:hAnsi="宋体" w:eastAsia="宋体" w:cs="宋体"/>
          <w:color w:val="auto"/>
          <w:sz w:val="24"/>
          <w:highlight w:val="none"/>
        </w:rPr>
        <w:t>1、按照《中华人民共和国劳动法》规定雇佣和使用农民工，工资将直接发放给农民工本人，严禁发放给“包工头”。</w:t>
      </w:r>
    </w:p>
    <w:p w14:paraId="20662134">
      <w:pPr>
        <w:spacing w:line="360" w:lineRule="auto"/>
        <w:ind w:firstLine="513"/>
        <w:rPr>
          <w:rFonts w:hint="eastAsia" w:ascii="宋体" w:hAnsi="宋体" w:eastAsia="宋体" w:cs="宋体"/>
          <w:color w:val="auto"/>
          <w:sz w:val="24"/>
          <w:highlight w:val="none"/>
        </w:rPr>
      </w:pPr>
      <w:r>
        <w:rPr>
          <w:rFonts w:hint="eastAsia" w:ascii="宋体" w:hAnsi="宋体" w:eastAsia="宋体" w:cs="宋体"/>
          <w:color w:val="auto"/>
          <w:sz w:val="24"/>
          <w:highlight w:val="none"/>
        </w:rPr>
        <w:t>2、我公司分包单位雇佣农民工的，将要求分包单位按照第一条规定签订劳动合同，并负责督促其按照合同规定及时支付农民工工资。如因我公司未按合同约定与分包单位结清工程款，致使后者拖欠农民工工资的，将由我公司先行垫付欠款。本公司对分包单位清偿欠农民工工资负总责。</w:t>
      </w:r>
    </w:p>
    <w:p w14:paraId="4DC2CE1F">
      <w:pPr>
        <w:spacing w:line="360" w:lineRule="auto"/>
        <w:ind w:firstLine="513"/>
        <w:rPr>
          <w:rFonts w:hint="eastAsia" w:ascii="宋体" w:hAnsi="宋体" w:eastAsia="宋体" w:cs="宋体"/>
          <w:color w:val="auto"/>
          <w:sz w:val="24"/>
          <w:highlight w:val="none"/>
        </w:rPr>
      </w:pPr>
      <w:r>
        <w:rPr>
          <w:rFonts w:hint="eastAsia" w:ascii="宋体" w:hAnsi="宋体" w:eastAsia="宋体" w:cs="宋体"/>
          <w:color w:val="auto"/>
          <w:sz w:val="24"/>
          <w:highlight w:val="none"/>
        </w:rPr>
        <w:t>3、如果发生违反规定拖欠或克扣农民工工资行为，造成农民工上访，本公司愿意接受业主暂停我公司1年期间参加业主招标项目投标资格的处罚，同时愿意接受交通行政主管部门依照有关规定作出的其他处罚决定。</w:t>
      </w:r>
    </w:p>
    <w:p w14:paraId="401EFE89">
      <w:pPr>
        <w:spacing w:line="360" w:lineRule="auto"/>
        <w:ind w:firstLine="513"/>
        <w:rPr>
          <w:rFonts w:hint="eastAsia" w:ascii="宋体" w:hAnsi="宋体" w:eastAsia="宋体" w:cs="宋体"/>
          <w:color w:val="auto"/>
          <w:sz w:val="24"/>
          <w:highlight w:val="none"/>
        </w:rPr>
      </w:pPr>
      <w:r>
        <w:rPr>
          <w:rFonts w:hint="eastAsia" w:ascii="宋体" w:hAnsi="宋体" w:eastAsia="宋体" w:cs="宋体"/>
          <w:color w:val="auto"/>
          <w:sz w:val="24"/>
          <w:highlight w:val="none"/>
        </w:rPr>
        <w:t>4、本公司同意：在合同执行期间由业主按规定每月扣留工程计量款的1%作为农民工工资保障金：工程结束后，业主代表视承包人对农民工工资支付情况，据实结算返还剩余的保障金。</w:t>
      </w:r>
    </w:p>
    <w:p w14:paraId="676D5740">
      <w:pPr>
        <w:spacing w:line="360" w:lineRule="auto"/>
        <w:ind w:firstLine="513"/>
        <w:rPr>
          <w:rFonts w:hint="eastAsia" w:ascii="宋体" w:hAnsi="宋体" w:eastAsia="宋体" w:cs="宋体"/>
          <w:color w:val="auto"/>
          <w:sz w:val="24"/>
          <w:highlight w:val="none"/>
        </w:rPr>
      </w:pPr>
    </w:p>
    <w:p w14:paraId="74BBE962">
      <w:pPr>
        <w:spacing w:before="240" w:line="360" w:lineRule="auto"/>
        <w:ind w:right="480" w:firstLine="276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报价供应商：（公章）</w:t>
      </w:r>
    </w:p>
    <w:p w14:paraId="3086B5D6">
      <w:pPr>
        <w:spacing w:before="240" w:line="360" w:lineRule="auto"/>
        <w:ind w:firstLine="48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法定代表人或其被授权代表：   （签字和盖章）</w:t>
      </w:r>
    </w:p>
    <w:p w14:paraId="5D6BAFA3">
      <w:pPr>
        <w:pStyle w:val="17"/>
        <w:rPr>
          <w:rFonts w:hint="eastAsia" w:ascii="宋体" w:hAnsi="宋体" w:eastAsia="宋体" w:cs="宋体"/>
          <w:color w:val="auto"/>
          <w:highlight w:val="none"/>
        </w:rPr>
      </w:pPr>
    </w:p>
    <w:p w14:paraId="12E99E28">
      <w:pPr>
        <w:spacing w:before="240" w:line="360" w:lineRule="auto"/>
        <w:ind w:firstLine="48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年    月    日</w:t>
      </w:r>
    </w:p>
    <w:p w14:paraId="1940FCF8">
      <w:pPr>
        <w:pStyle w:val="6"/>
        <w:numPr>
          <w:ilvl w:val="0"/>
          <w:numId w:val="0"/>
        </w:numPr>
        <w:tabs>
          <w:tab w:val="left" w:pos="1080"/>
        </w:tabs>
        <w:rPr>
          <w:rFonts w:hint="eastAsia" w:ascii="宋体" w:hAnsi="宋体" w:eastAsia="宋体" w:cs="宋体"/>
          <w:color w:val="auto"/>
          <w:highlight w:val="none"/>
        </w:rPr>
      </w:pPr>
    </w:p>
    <w:p w14:paraId="486AFBA1">
      <w:pPr>
        <w:rPr>
          <w:rFonts w:hint="eastAsia" w:ascii="宋体" w:hAnsi="宋体" w:eastAsia="宋体" w:cs="宋体"/>
          <w:color w:val="auto"/>
          <w:highlight w:val="none"/>
        </w:rPr>
      </w:pPr>
    </w:p>
    <w:p w14:paraId="0EBFCF31">
      <w:pPr>
        <w:pStyle w:val="17"/>
        <w:rPr>
          <w:rFonts w:hint="eastAsia" w:ascii="宋体" w:hAnsi="宋体" w:eastAsia="宋体" w:cs="宋体"/>
          <w:color w:val="auto"/>
          <w:highlight w:val="none"/>
        </w:rPr>
      </w:pPr>
    </w:p>
    <w:p w14:paraId="63655613">
      <w:pPr>
        <w:pStyle w:val="17"/>
        <w:rPr>
          <w:rFonts w:hint="eastAsia" w:ascii="宋体" w:hAnsi="宋体" w:eastAsia="宋体" w:cs="宋体"/>
          <w:color w:val="auto"/>
          <w:highlight w:val="none"/>
        </w:rPr>
      </w:pPr>
    </w:p>
    <w:p w14:paraId="6447AE2F">
      <w:pPr>
        <w:keepNext/>
        <w:jc w:val="center"/>
        <w:outlineLvl w:val="2"/>
        <w:rPr>
          <w:rFonts w:hint="eastAsia" w:ascii="宋体" w:hAnsi="宋体" w:eastAsia="宋体" w:cs="宋体"/>
          <w:b/>
          <w:color w:val="auto"/>
          <w:sz w:val="28"/>
          <w:szCs w:val="22"/>
          <w:highlight w:val="none"/>
        </w:rPr>
      </w:pPr>
    </w:p>
    <w:p w14:paraId="01D126E2">
      <w:pPr>
        <w:keepNext/>
        <w:jc w:val="center"/>
        <w:outlineLvl w:val="2"/>
        <w:rPr>
          <w:rFonts w:hint="eastAsia" w:ascii="宋体" w:hAnsi="宋体" w:eastAsia="宋体" w:cs="宋体"/>
          <w:b/>
          <w:color w:val="auto"/>
          <w:sz w:val="28"/>
          <w:szCs w:val="22"/>
          <w:highlight w:val="none"/>
        </w:rPr>
      </w:pPr>
    </w:p>
    <w:p w14:paraId="350651EF">
      <w:pPr>
        <w:rPr>
          <w:rFonts w:hint="eastAsia" w:ascii="宋体" w:hAnsi="宋体" w:eastAsia="宋体" w:cs="宋体"/>
          <w:b/>
          <w:color w:val="auto"/>
          <w:sz w:val="28"/>
          <w:szCs w:val="22"/>
          <w:highlight w:val="none"/>
        </w:rPr>
      </w:pPr>
      <w:r>
        <w:rPr>
          <w:rFonts w:hint="eastAsia" w:ascii="宋体" w:hAnsi="宋体" w:eastAsia="宋体" w:cs="宋体"/>
          <w:b/>
          <w:color w:val="auto"/>
          <w:sz w:val="28"/>
          <w:szCs w:val="22"/>
          <w:highlight w:val="none"/>
        </w:rPr>
        <w:br w:type="page" w:clear="all"/>
      </w:r>
    </w:p>
    <w:p w14:paraId="5AB74D21">
      <w:pPr>
        <w:keepNext/>
        <w:jc w:val="center"/>
        <w:outlineLvl w:val="2"/>
        <w:rPr>
          <w:rFonts w:hint="eastAsia" w:ascii="宋体" w:hAnsi="宋体" w:eastAsia="宋体" w:cs="宋体"/>
          <w:b/>
          <w:color w:val="auto"/>
          <w:sz w:val="28"/>
          <w:szCs w:val="22"/>
          <w:highlight w:val="none"/>
        </w:rPr>
      </w:pPr>
    </w:p>
    <w:p w14:paraId="6EFA4B8D">
      <w:pPr>
        <w:keepNext/>
        <w:jc w:val="center"/>
        <w:outlineLvl w:val="2"/>
        <w:rPr>
          <w:rFonts w:hint="eastAsia" w:ascii="宋体" w:hAnsi="宋体" w:eastAsia="宋体" w:cs="宋体"/>
          <w:b/>
          <w:color w:val="auto"/>
          <w:sz w:val="28"/>
          <w:szCs w:val="22"/>
          <w:highlight w:val="none"/>
        </w:rPr>
      </w:pPr>
      <w:r>
        <w:rPr>
          <w:rFonts w:hint="eastAsia" w:ascii="宋体" w:hAnsi="宋体" w:eastAsia="宋体" w:cs="宋体"/>
          <w:b/>
          <w:color w:val="auto"/>
          <w:sz w:val="28"/>
          <w:szCs w:val="22"/>
          <w:highlight w:val="none"/>
        </w:rPr>
        <w:t>承诺书五</w:t>
      </w:r>
    </w:p>
    <w:p w14:paraId="746BA37F">
      <w:pPr>
        <w:rPr>
          <w:rFonts w:hint="eastAsia" w:ascii="宋体" w:hAnsi="宋体" w:eastAsia="宋体" w:cs="宋体"/>
          <w:color w:val="auto"/>
          <w:sz w:val="24"/>
          <w:szCs w:val="24"/>
          <w:highlight w:val="none"/>
        </w:rPr>
      </w:pPr>
    </w:p>
    <w:p w14:paraId="1B24AAD2">
      <w:pPr>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（采购人名称）：</w:t>
      </w:r>
    </w:p>
    <w:p w14:paraId="029EC18D">
      <w:pPr>
        <w:rPr>
          <w:rFonts w:hint="eastAsia" w:ascii="宋体" w:hAnsi="宋体" w:eastAsia="宋体" w:cs="宋体"/>
          <w:color w:val="auto"/>
          <w:sz w:val="24"/>
          <w:szCs w:val="24"/>
          <w:highlight w:val="none"/>
          <w:u w:val="single"/>
        </w:rPr>
      </w:pPr>
    </w:p>
    <w:p w14:paraId="40B82C96">
      <w:pPr>
        <w:spacing w:line="56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理解并支持公司，关于______________（项目名称）标段（以下简称“本工程”）加强监管的初衷和做法。郑重承诺：在本工程中标后，严格执行采购人关于质量、安全、文明施工、进度工期、工程款支付、结算审计等规章制度。不更换投标项目经理且项目组成员悉数到场参与项目管理。不违法转包、分包。如若在本工程建设过程中，有违反</w:t>
      </w:r>
      <w:r>
        <w:rPr>
          <w:rFonts w:hint="eastAsia" w:ascii="宋体" w:hAnsi="宋体" w:cs="宋体"/>
          <w:color w:val="auto"/>
          <w:sz w:val="24"/>
          <w:szCs w:val="24"/>
          <w:highlight w:val="none"/>
          <w:lang w:eastAsia="zh-CN"/>
        </w:rPr>
        <w:t>上述</w:t>
      </w:r>
      <w:r>
        <w:rPr>
          <w:rFonts w:hint="eastAsia" w:ascii="宋体" w:hAnsi="宋体" w:eastAsia="宋体" w:cs="宋体"/>
          <w:color w:val="auto"/>
          <w:sz w:val="24"/>
          <w:szCs w:val="24"/>
          <w:highlight w:val="none"/>
        </w:rPr>
        <w:t>情况或被行政主管部门通报的，则立即清退出场。工程完工后，如若因质量、工期、文明施工方面的问题被主管部门督办或举报、投诉，则接受罚款、暂缓支付工程款等处罚，并承担一切因上述引发的后果。</w:t>
      </w:r>
    </w:p>
    <w:p w14:paraId="742651E9">
      <w:pPr>
        <w:ind w:firstLine="420"/>
        <w:rPr>
          <w:rFonts w:hint="eastAsia" w:ascii="宋体" w:hAnsi="宋体" w:eastAsia="宋体" w:cs="宋体"/>
          <w:color w:val="auto"/>
          <w:sz w:val="24"/>
          <w:szCs w:val="24"/>
          <w:highlight w:val="none"/>
        </w:rPr>
      </w:pPr>
    </w:p>
    <w:p w14:paraId="5CD63DA6">
      <w:pPr>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0BFF2877">
      <w:pPr>
        <w:ind w:firstLine="420"/>
        <w:rPr>
          <w:rFonts w:hint="eastAsia" w:ascii="宋体" w:hAnsi="宋体" w:eastAsia="宋体" w:cs="宋体"/>
          <w:color w:val="auto"/>
          <w:sz w:val="24"/>
          <w:szCs w:val="24"/>
          <w:highlight w:val="none"/>
        </w:rPr>
      </w:pPr>
    </w:p>
    <w:p w14:paraId="7C71FA1E">
      <w:pPr>
        <w:rPr>
          <w:rFonts w:hint="eastAsia" w:ascii="宋体" w:hAnsi="宋体" w:eastAsia="宋体" w:cs="宋体"/>
          <w:color w:val="auto"/>
          <w:sz w:val="24"/>
          <w:szCs w:val="24"/>
          <w:highlight w:val="none"/>
        </w:rPr>
      </w:pPr>
    </w:p>
    <w:p w14:paraId="0016991A">
      <w:pPr>
        <w:spacing w:line="360" w:lineRule="auto"/>
        <w:ind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申请人：（盖单位章）</w:t>
      </w:r>
    </w:p>
    <w:p w14:paraId="79F4A836">
      <w:pPr>
        <w:spacing w:line="360" w:lineRule="auto"/>
        <w:ind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p>
    <w:p w14:paraId="48F450F2">
      <w:pPr>
        <w:pStyle w:val="19"/>
        <w:spacing w:line="360" w:lineRule="auto"/>
        <w:ind w:left="0" w:right="34"/>
        <w:jc w:val="right"/>
        <w:rPr>
          <w:rFonts w:hint="eastAsia" w:ascii="宋体" w:hAnsi="宋体" w:eastAsia="宋体" w:cs="宋体"/>
          <w:color w:val="auto"/>
          <w:highlight w:val="none"/>
        </w:rPr>
      </w:pPr>
      <w:r>
        <w:rPr>
          <w:rFonts w:hint="eastAsia" w:ascii="宋体" w:hAnsi="宋体" w:eastAsia="宋体" w:cs="宋体"/>
          <w:color w:val="auto"/>
          <w:highlight w:val="none"/>
        </w:rPr>
        <w:t>年      月</w:t>
      </w:r>
    </w:p>
    <w:p w14:paraId="4E4BDAC5">
      <w:pPr>
        <w:spacing w:line="360" w:lineRule="auto"/>
        <w:jc w:val="center"/>
        <w:outlineLvl w:val="0"/>
        <w:rPr>
          <w:rFonts w:hint="eastAsia" w:ascii="宋体" w:hAnsi="宋体" w:eastAsia="宋体" w:cs="宋体"/>
          <w:bCs/>
          <w:color w:val="auto"/>
          <w:sz w:val="24"/>
          <w:highlight w:val="none"/>
          <w:shd w:val="clear" w:color="auto" w:fill="FFFFFF"/>
        </w:rPr>
      </w:pPr>
    </w:p>
    <w:p w14:paraId="6881009B">
      <w:pPr>
        <w:jc w:val="left"/>
        <w:outlineLvl w:val="0"/>
        <w:rPr>
          <w:rFonts w:hint="eastAsia" w:ascii="宋体" w:hAnsi="宋体" w:eastAsia="宋体" w:cs="宋体"/>
          <w:color w:val="auto"/>
          <w:sz w:val="24"/>
          <w:szCs w:val="24"/>
          <w:highlight w:val="none"/>
        </w:rPr>
      </w:pPr>
    </w:p>
    <w:p w14:paraId="6CF8012E">
      <w:pPr>
        <w:jc w:val="left"/>
        <w:outlineLvl w:val="0"/>
        <w:rPr>
          <w:rFonts w:hint="eastAsia" w:ascii="宋体" w:hAnsi="宋体" w:eastAsia="宋体" w:cs="宋体"/>
          <w:color w:val="auto"/>
          <w:sz w:val="24"/>
          <w:szCs w:val="24"/>
          <w:highlight w:val="none"/>
        </w:rPr>
      </w:pPr>
    </w:p>
    <w:p w14:paraId="1A95787D">
      <w:pPr>
        <w:jc w:val="left"/>
        <w:outlineLvl w:val="0"/>
        <w:rPr>
          <w:rFonts w:hint="eastAsia" w:ascii="宋体" w:hAnsi="宋体" w:eastAsia="宋体" w:cs="宋体"/>
          <w:color w:val="auto"/>
          <w:sz w:val="24"/>
          <w:szCs w:val="24"/>
          <w:highlight w:val="none"/>
        </w:rPr>
      </w:pPr>
    </w:p>
    <w:p w14:paraId="176F37A4">
      <w:pPr>
        <w:jc w:val="left"/>
        <w:outlineLvl w:val="0"/>
        <w:rPr>
          <w:rFonts w:hint="eastAsia" w:ascii="宋体" w:hAnsi="宋体" w:eastAsia="宋体" w:cs="宋体"/>
          <w:color w:val="auto"/>
          <w:sz w:val="24"/>
          <w:szCs w:val="24"/>
          <w:highlight w:val="none"/>
        </w:rPr>
      </w:pPr>
    </w:p>
    <w:p w14:paraId="4E129609">
      <w:pPr>
        <w:jc w:val="left"/>
        <w:outlineLvl w:val="0"/>
        <w:rPr>
          <w:rFonts w:hint="eastAsia" w:ascii="宋体" w:hAnsi="宋体" w:eastAsia="宋体" w:cs="宋体"/>
          <w:color w:val="auto"/>
          <w:sz w:val="24"/>
          <w:szCs w:val="24"/>
          <w:highlight w:val="none"/>
        </w:rPr>
      </w:pPr>
    </w:p>
    <w:p w14:paraId="6772872E">
      <w:pPr>
        <w:jc w:val="left"/>
        <w:outlineLvl w:val="0"/>
        <w:rPr>
          <w:rFonts w:hint="eastAsia" w:ascii="宋体" w:hAnsi="宋体" w:eastAsia="宋体" w:cs="宋体"/>
          <w:color w:val="auto"/>
          <w:sz w:val="24"/>
          <w:szCs w:val="24"/>
          <w:highlight w:val="none"/>
        </w:rPr>
      </w:pPr>
    </w:p>
    <w:p w14:paraId="03D0B0FF">
      <w:pPr>
        <w:jc w:val="left"/>
        <w:outlineLvl w:val="0"/>
        <w:rPr>
          <w:rFonts w:hint="eastAsia" w:ascii="宋体" w:hAnsi="宋体" w:eastAsia="宋体" w:cs="宋体"/>
          <w:color w:val="auto"/>
          <w:sz w:val="24"/>
          <w:szCs w:val="24"/>
          <w:highlight w:val="none"/>
        </w:rPr>
      </w:pPr>
    </w:p>
    <w:p w14:paraId="761E6389">
      <w:pPr>
        <w:jc w:val="left"/>
        <w:outlineLvl w:val="0"/>
        <w:rPr>
          <w:rFonts w:hint="eastAsia" w:ascii="宋体" w:hAnsi="宋体" w:eastAsia="宋体" w:cs="宋体"/>
          <w:color w:val="auto"/>
          <w:sz w:val="24"/>
          <w:szCs w:val="24"/>
          <w:highlight w:val="none"/>
        </w:rPr>
      </w:pPr>
    </w:p>
    <w:p w14:paraId="267243FF">
      <w:pPr>
        <w:jc w:val="left"/>
        <w:outlineLvl w:val="0"/>
        <w:rPr>
          <w:rFonts w:hint="eastAsia" w:ascii="宋体" w:hAnsi="宋体" w:eastAsia="宋体" w:cs="宋体"/>
          <w:color w:val="auto"/>
          <w:sz w:val="24"/>
          <w:szCs w:val="24"/>
          <w:highlight w:val="none"/>
        </w:rPr>
      </w:pPr>
    </w:p>
    <w:p w14:paraId="0C422A58">
      <w:pPr>
        <w:jc w:val="left"/>
        <w:outlineLvl w:val="0"/>
        <w:rPr>
          <w:rFonts w:hint="eastAsia" w:ascii="宋体" w:hAnsi="宋体" w:eastAsia="宋体" w:cs="宋体"/>
          <w:color w:val="auto"/>
          <w:sz w:val="24"/>
          <w:szCs w:val="24"/>
          <w:highlight w:val="none"/>
        </w:rPr>
      </w:pPr>
    </w:p>
    <w:p w14:paraId="06736A27">
      <w:pPr>
        <w:rPr>
          <w:rFonts w:hint="eastAsia" w:ascii="宋体" w:hAnsi="宋体" w:eastAsia="宋体" w:cs="宋体"/>
          <w:color w:val="auto"/>
          <w:highlight w:val="none"/>
        </w:rPr>
      </w:pPr>
    </w:p>
    <w:p w14:paraId="3E7275B9">
      <w:pPr>
        <w:jc w:val="left"/>
        <w:outlineLvl w:val="0"/>
        <w:rPr>
          <w:rFonts w:hint="eastAsia" w:ascii="宋体" w:hAnsi="宋体" w:eastAsia="宋体" w:cs="宋体"/>
          <w:color w:val="auto"/>
          <w:sz w:val="24"/>
          <w:szCs w:val="24"/>
          <w:highlight w:val="none"/>
        </w:rPr>
      </w:pPr>
    </w:p>
    <w:p w14:paraId="1DD54192">
      <w:pPr>
        <w:pStyle w:val="6"/>
        <w:numPr>
          <w:ilvl w:val="4"/>
          <w:numId w:val="0"/>
        </w:numPr>
        <w:rPr>
          <w:rFonts w:hint="eastAsia" w:ascii="宋体" w:hAnsi="宋体" w:eastAsia="宋体" w:cs="宋体"/>
          <w:color w:val="auto"/>
          <w:highlight w:val="none"/>
        </w:rPr>
      </w:pPr>
    </w:p>
    <w:p w14:paraId="39BA3B2B">
      <w:pPr>
        <w:rPr>
          <w:rFonts w:hint="eastAsia" w:ascii="宋体" w:hAnsi="宋体" w:eastAsia="宋体" w:cs="宋体"/>
          <w:color w:val="auto"/>
          <w:highlight w:val="none"/>
        </w:rPr>
      </w:pPr>
    </w:p>
    <w:p w14:paraId="70F26522">
      <w:pPr>
        <w:jc w:val="left"/>
        <w:outlineLvl w:val="0"/>
        <w:rPr>
          <w:rFonts w:hint="eastAsia" w:ascii="宋体" w:hAnsi="宋体" w:eastAsia="宋体" w:cs="宋体"/>
          <w:color w:val="auto"/>
          <w:sz w:val="24"/>
          <w:szCs w:val="24"/>
          <w:highlight w:val="none"/>
        </w:rPr>
      </w:pPr>
    </w:p>
    <w:p w14:paraId="2F923C9F">
      <w:pPr>
        <w:jc w:val="left"/>
        <w:outlineLvl w:val="0"/>
        <w:rPr>
          <w:rFonts w:hint="eastAsia" w:ascii="宋体" w:hAnsi="宋体" w:eastAsia="宋体" w:cs="宋体"/>
          <w:color w:val="auto"/>
          <w:sz w:val="24"/>
          <w:szCs w:val="24"/>
          <w:highlight w:val="none"/>
        </w:rPr>
      </w:pPr>
    </w:p>
    <w:p w14:paraId="1A8E2A14">
      <w:pPr>
        <w:jc w:val="left"/>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（四）法定代表人授权委托书（格式）</w:t>
      </w:r>
    </w:p>
    <w:p w14:paraId="52314F41">
      <w:pPr>
        <w:jc w:val="center"/>
        <w:outlineLvl w:val="0"/>
        <w:rPr>
          <w:rFonts w:hint="eastAsia" w:ascii="宋体" w:hAnsi="宋体" w:eastAsia="宋体" w:cs="宋体"/>
          <w:b/>
          <w:bCs/>
          <w:color w:val="auto"/>
          <w:sz w:val="30"/>
          <w:szCs w:val="30"/>
          <w:highlight w:val="none"/>
        </w:rPr>
      </w:pPr>
    </w:p>
    <w:p w14:paraId="398D8643">
      <w:pPr>
        <w:jc w:val="center"/>
        <w:outlineLvl w:val="0"/>
        <w:rPr>
          <w:rFonts w:hint="eastAsia" w:ascii="宋体" w:hAnsi="宋体" w:eastAsia="宋体" w:cs="宋体"/>
          <w:b/>
          <w:bCs/>
          <w:color w:val="auto"/>
          <w:sz w:val="30"/>
          <w:szCs w:val="30"/>
          <w:highlight w:val="none"/>
        </w:rPr>
      </w:pPr>
    </w:p>
    <w:p w14:paraId="2FEE3335">
      <w:pPr>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法定代表人授权委托书</w:t>
      </w:r>
    </w:p>
    <w:p w14:paraId="17B39101">
      <w:pPr>
        <w:jc w:val="left"/>
        <w:outlineLvl w:val="0"/>
        <w:rPr>
          <w:rFonts w:hint="eastAsia" w:ascii="宋体" w:hAnsi="宋体" w:eastAsia="宋体" w:cs="宋体"/>
          <w:color w:val="auto"/>
          <w:sz w:val="24"/>
          <w:szCs w:val="24"/>
          <w:highlight w:val="none"/>
        </w:rPr>
      </w:pPr>
    </w:p>
    <w:p w14:paraId="4D5F8768">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采购编号：</w:t>
      </w:r>
    </w:p>
    <w:p w14:paraId="513E92A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61F58711">
      <w:pPr>
        <w:spacing w:line="360" w:lineRule="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eastAsia="zh-CN"/>
        </w:rPr>
        <w:t>江苏新鑫工程咨询有限公司</w:t>
      </w:r>
      <w:r>
        <w:rPr>
          <w:rFonts w:hint="eastAsia" w:ascii="宋体" w:hAnsi="宋体" w:eastAsia="宋体" w:cs="宋体"/>
          <w:color w:val="auto"/>
          <w:sz w:val="24"/>
          <w:szCs w:val="24"/>
          <w:highlight w:val="none"/>
          <w:u w:val="single"/>
        </w:rPr>
        <w:t>：</w:t>
      </w:r>
    </w:p>
    <w:p w14:paraId="0DB9F62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（报价供应商名称）</w:t>
      </w:r>
      <w:r>
        <w:rPr>
          <w:rFonts w:hint="eastAsia" w:ascii="宋体" w:hAnsi="宋体" w:eastAsia="宋体" w:cs="宋体"/>
          <w:color w:val="auto"/>
          <w:sz w:val="24"/>
          <w:szCs w:val="24"/>
          <w:highlight w:val="none"/>
        </w:rPr>
        <w:t>系中华人民共和国的合法企业</w:t>
      </w:r>
    </w:p>
    <w:p w14:paraId="4F300CA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法定地址：特授权代表我公司（单位）全权办理针对本项目（采购编号：  ）的报价等具体工作，并签署全部有关文件、协议及合同。</w:t>
      </w:r>
    </w:p>
    <w:p w14:paraId="2F32ADF0">
      <w:p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我公司（单位）对被授权人的签名负全部责任。</w:t>
      </w:r>
    </w:p>
    <w:p w14:paraId="1D687A6E">
      <w:p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在撤销授权的书面通知送达你处以前，本授权书一直有效，被授权人签署的所有文件（在授权书有效期内签署的）不因授权的撤销而失效。被授权人无转委托权。</w:t>
      </w:r>
    </w:p>
    <w:p w14:paraId="51FBAE77">
      <w:p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被授权人情况：</w:t>
      </w:r>
    </w:p>
    <w:p w14:paraId="2A131596">
      <w:p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姓名：性别：年龄：职务：</w:t>
      </w:r>
    </w:p>
    <w:p w14:paraId="66E297FB">
      <w:p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身份证号码：电话：</w:t>
      </w:r>
    </w:p>
    <w:p w14:paraId="6A92D470">
      <w:p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通讯地址：</w:t>
      </w:r>
    </w:p>
    <w:p w14:paraId="12A184BF">
      <w:pPr>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被授权人签名：报价供应商（盖章）：</w:t>
      </w:r>
    </w:p>
    <w:p w14:paraId="4DAADFB5">
      <w:pPr>
        <w:spacing w:line="360" w:lineRule="auto"/>
        <w:ind w:firstLine="43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法定代表人（签字或盖章）：</w:t>
      </w:r>
    </w:p>
    <w:p w14:paraId="76CEBE18">
      <w:pPr>
        <w:spacing w:line="360" w:lineRule="auto"/>
        <w:ind w:firstLine="5414" w:firstLineChars="225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1A7EF0C6">
      <w:pPr>
        <w:spacing w:line="360" w:lineRule="auto"/>
        <w:ind w:firstLine="5760"/>
        <w:rPr>
          <w:rFonts w:hint="eastAsia" w:ascii="宋体" w:hAnsi="宋体" w:eastAsia="宋体" w:cs="宋体"/>
          <w:color w:val="auto"/>
          <w:sz w:val="24"/>
          <w:szCs w:val="24"/>
          <w:highlight w:val="none"/>
        </w:rPr>
      </w:pPr>
    </w:p>
    <w:tbl>
      <w:tblPr>
        <w:tblStyle w:val="40"/>
        <w:tblW w:w="101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0"/>
        <w:gridCol w:w="720"/>
        <w:gridCol w:w="4792"/>
      </w:tblGrid>
      <w:tr w14:paraId="2789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0" w:hRule="atLeast"/>
          <w:jc w:val="center"/>
        </w:trPr>
        <w:tc>
          <w:tcPr>
            <w:tcW w:w="4680" w:type="dxa"/>
            <w:noWrap w:val="0"/>
          </w:tcPr>
          <w:p w14:paraId="16891778">
            <w:pPr>
              <w:widowControl/>
              <w:spacing w:before="4" w:line="360" w:lineRule="auto"/>
              <w:jc w:val="center"/>
              <w:rPr>
                <w:rFonts w:hint="eastAsia" w:ascii="宋体" w:hAnsi="宋体" w:eastAsia="宋体" w:cs="宋体"/>
                <w:color w:val="auto"/>
                <w:sz w:val="24"/>
                <w:szCs w:val="24"/>
                <w:highlight w:val="none"/>
              </w:rPr>
            </w:pPr>
          </w:p>
          <w:p w14:paraId="5F3D9CE5">
            <w:pPr>
              <w:widowControl/>
              <w:spacing w:before="4" w:line="360" w:lineRule="auto"/>
              <w:rPr>
                <w:rFonts w:hint="eastAsia" w:ascii="宋体" w:hAnsi="宋体" w:eastAsia="宋体" w:cs="宋体"/>
                <w:color w:val="auto"/>
                <w:sz w:val="24"/>
                <w:szCs w:val="24"/>
                <w:highlight w:val="none"/>
              </w:rPr>
            </w:pPr>
          </w:p>
          <w:p w14:paraId="7A25290A">
            <w:pPr>
              <w:widowControl/>
              <w:spacing w:before="4"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法定代表人身份证复印件</w:t>
            </w:r>
          </w:p>
        </w:tc>
        <w:tc>
          <w:tcPr>
            <w:tcW w:w="720" w:type="dxa"/>
            <w:tcBorders>
              <w:top w:val="nil"/>
              <w:bottom w:val="nil"/>
            </w:tcBorders>
            <w:noWrap w:val="0"/>
          </w:tcPr>
          <w:p w14:paraId="0156CD49">
            <w:pPr>
              <w:widowControl/>
              <w:jc w:val="left"/>
              <w:rPr>
                <w:rFonts w:hint="eastAsia" w:ascii="宋体" w:hAnsi="宋体" w:eastAsia="宋体" w:cs="宋体"/>
                <w:color w:val="auto"/>
                <w:sz w:val="24"/>
                <w:szCs w:val="24"/>
                <w:highlight w:val="none"/>
              </w:rPr>
            </w:pPr>
          </w:p>
        </w:tc>
        <w:tc>
          <w:tcPr>
            <w:tcW w:w="4792" w:type="dxa"/>
            <w:noWrap w:val="0"/>
          </w:tcPr>
          <w:p w14:paraId="5431BDC6">
            <w:pPr>
              <w:widowControl/>
              <w:spacing w:before="4" w:line="360" w:lineRule="auto"/>
              <w:rPr>
                <w:rFonts w:hint="eastAsia" w:ascii="宋体" w:hAnsi="宋体" w:eastAsia="宋体" w:cs="宋体"/>
                <w:color w:val="auto"/>
                <w:sz w:val="24"/>
                <w:szCs w:val="24"/>
                <w:highlight w:val="none"/>
              </w:rPr>
            </w:pPr>
          </w:p>
          <w:p w14:paraId="42A4338A">
            <w:pPr>
              <w:widowControl/>
              <w:spacing w:before="4" w:line="360" w:lineRule="auto"/>
              <w:rPr>
                <w:rFonts w:hint="eastAsia" w:ascii="宋体" w:hAnsi="宋体" w:eastAsia="宋体" w:cs="宋体"/>
                <w:color w:val="auto"/>
                <w:sz w:val="24"/>
                <w:szCs w:val="24"/>
                <w:highlight w:val="none"/>
              </w:rPr>
            </w:pPr>
          </w:p>
          <w:p w14:paraId="2616BD05">
            <w:pPr>
              <w:widowControl/>
              <w:spacing w:before="4"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授权代表身份证复印件</w:t>
            </w:r>
          </w:p>
        </w:tc>
      </w:tr>
    </w:tbl>
    <w:p w14:paraId="17D22585">
      <w:pPr>
        <w:jc w:val="left"/>
        <w:outlineLvl w:val="0"/>
        <w:rPr>
          <w:rFonts w:hint="eastAsia" w:ascii="宋体" w:hAnsi="宋体" w:eastAsia="宋体" w:cs="宋体"/>
          <w:color w:val="auto"/>
          <w:sz w:val="24"/>
          <w:szCs w:val="24"/>
          <w:highlight w:val="none"/>
        </w:rPr>
      </w:pPr>
    </w:p>
    <w:p w14:paraId="546C27BA">
      <w:pPr>
        <w:rPr>
          <w:rFonts w:hint="eastAsia" w:ascii="宋体" w:hAnsi="宋体" w:eastAsia="宋体" w:cs="宋体"/>
          <w:color w:val="auto"/>
          <w:highlight w:val="none"/>
        </w:rPr>
      </w:pPr>
    </w:p>
    <w:p w14:paraId="5F9E1579">
      <w:pPr>
        <w:jc w:val="left"/>
        <w:outlineLvl w:val="0"/>
        <w:rPr>
          <w:rFonts w:hint="eastAsia" w:ascii="宋体" w:hAnsi="宋体" w:eastAsia="宋体" w:cs="宋体"/>
          <w:color w:val="auto"/>
          <w:sz w:val="24"/>
          <w:szCs w:val="24"/>
          <w:highlight w:val="none"/>
        </w:rPr>
      </w:pPr>
    </w:p>
    <w:p w14:paraId="3E25CE61">
      <w:pPr>
        <w:jc w:val="left"/>
        <w:outlineLvl w:val="0"/>
        <w:rPr>
          <w:rFonts w:hint="eastAsia" w:ascii="宋体" w:hAnsi="宋体" w:eastAsia="宋体" w:cs="宋体"/>
          <w:color w:val="auto"/>
          <w:sz w:val="24"/>
          <w:szCs w:val="24"/>
          <w:highlight w:val="none"/>
        </w:rPr>
      </w:pPr>
    </w:p>
    <w:p w14:paraId="6DBAFBDE">
      <w:pPr>
        <w:jc w:val="left"/>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（五）关于资格的声明函（格式）</w:t>
      </w:r>
    </w:p>
    <w:p w14:paraId="24BE8AEE">
      <w:pPr>
        <w:spacing w:line="360" w:lineRule="auto"/>
        <w:jc w:val="center"/>
        <w:rPr>
          <w:rFonts w:hint="eastAsia" w:ascii="宋体" w:hAnsi="宋体" w:eastAsia="宋体" w:cs="宋体"/>
          <w:color w:val="auto"/>
          <w:sz w:val="24"/>
          <w:szCs w:val="24"/>
          <w:highlight w:val="none"/>
        </w:rPr>
      </w:pPr>
    </w:p>
    <w:p w14:paraId="46B9C826">
      <w:pPr>
        <w:spacing w:line="360" w:lineRule="auto"/>
        <w:jc w:val="center"/>
        <w:rPr>
          <w:rFonts w:hint="eastAsia" w:ascii="宋体" w:hAnsi="宋体" w:eastAsia="宋体" w:cs="宋体"/>
          <w:color w:val="auto"/>
          <w:sz w:val="24"/>
          <w:szCs w:val="24"/>
          <w:highlight w:val="none"/>
        </w:rPr>
      </w:pPr>
    </w:p>
    <w:p w14:paraId="0FB305AD">
      <w:pPr>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关于资格的声明函</w:t>
      </w:r>
    </w:p>
    <w:p w14:paraId="31D0BAF6">
      <w:pPr>
        <w:spacing w:line="360" w:lineRule="auto"/>
        <w:jc w:val="center"/>
        <w:rPr>
          <w:rFonts w:hint="eastAsia" w:ascii="宋体" w:hAnsi="宋体" w:eastAsia="宋体" w:cs="宋体"/>
          <w:color w:val="auto"/>
          <w:sz w:val="24"/>
          <w:szCs w:val="24"/>
          <w:highlight w:val="none"/>
        </w:rPr>
      </w:pPr>
    </w:p>
    <w:p w14:paraId="031D490A">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采购编号：</w:t>
      </w:r>
    </w:p>
    <w:p w14:paraId="5B2701D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6105FF86">
      <w:pPr>
        <w:spacing w:line="360" w:lineRule="auto"/>
        <w:jc w:val="center"/>
        <w:rPr>
          <w:rFonts w:hint="eastAsia" w:ascii="宋体" w:hAnsi="宋体" w:eastAsia="宋体" w:cs="宋体"/>
          <w:color w:val="auto"/>
          <w:sz w:val="24"/>
          <w:szCs w:val="24"/>
          <w:highlight w:val="none"/>
        </w:rPr>
      </w:pPr>
    </w:p>
    <w:p w14:paraId="16B5AEC8">
      <w:pPr>
        <w:jc w:val="center"/>
        <w:rPr>
          <w:rFonts w:hint="eastAsia" w:ascii="宋体" w:hAnsi="宋体" w:eastAsia="宋体" w:cs="宋体"/>
          <w:color w:val="auto"/>
          <w:highlight w:val="none"/>
        </w:rPr>
      </w:pPr>
    </w:p>
    <w:p w14:paraId="0510CAEA">
      <w:pPr>
        <w:spacing w:line="360" w:lineRule="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eastAsia="zh-CN"/>
        </w:rPr>
        <w:t>江苏新鑫工程咨询有限公司</w:t>
      </w:r>
      <w:r>
        <w:rPr>
          <w:rFonts w:hint="eastAsia" w:ascii="宋体" w:hAnsi="宋体" w:eastAsia="宋体" w:cs="宋体"/>
          <w:color w:val="auto"/>
          <w:sz w:val="24"/>
          <w:szCs w:val="24"/>
          <w:highlight w:val="none"/>
          <w:u w:val="single"/>
        </w:rPr>
        <w:t>：</w:t>
      </w:r>
    </w:p>
    <w:p w14:paraId="3D600DBF">
      <w:pPr>
        <w:pStyle w:val="19"/>
        <w:spacing w:line="360" w:lineRule="auto"/>
        <w:ind w:left="0" w:right="34" w:firstLine="403"/>
        <w:rPr>
          <w:rFonts w:hint="eastAsia" w:ascii="宋体" w:hAnsi="宋体" w:eastAsia="宋体" w:cs="宋体"/>
          <w:color w:val="auto"/>
          <w:highlight w:val="none"/>
        </w:rPr>
      </w:pPr>
      <w:r>
        <w:rPr>
          <w:rFonts w:hint="eastAsia" w:ascii="宋体" w:hAnsi="宋体" w:eastAsia="宋体" w:cs="宋体"/>
          <w:color w:val="auto"/>
          <w:highlight w:val="none"/>
        </w:rPr>
        <w:t>我公司（单位）在参加本次政府采购活动前三年内，在经营活动中没有重大违法记录。</w:t>
      </w:r>
    </w:p>
    <w:p w14:paraId="36E398CA">
      <w:pPr>
        <w:pStyle w:val="19"/>
        <w:spacing w:line="360" w:lineRule="auto"/>
        <w:ind w:left="0" w:right="34" w:firstLine="403"/>
        <w:rPr>
          <w:rFonts w:hint="eastAsia" w:ascii="宋体" w:hAnsi="宋体" w:eastAsia="宋体" w:cs="宋体"/>
          <w:color w:val="auto"/>
          <w:highlight w:val="none"/>
        </w:rPr>
      </w:pPr>
      <w:r>
        <w:rPr>
          <w:rFonts w:hint="eastAsia" w:ascii="宋体" w:hAnsi="宋体" w:eastAsia="宋体" w:cs="宋体"/>
          <w:color w:val="auto"/>
          <w:highlight w:val="none"/>
        </w:rPr>
        <w:t>我公司愿针对本项目（采购编号：　　　　）进行报价，响应文件中所有关于报价资格的文件、证明、陈述均是真实的、准确的。若有违背，我公司（单位）愿意承担由此而产生的一切后果。</w:t>
      </w:r>
    </w:p>
    <w:p w14:paraId="7D3EB23D">
      <w:pPr>
        <w:pStyle w:val="19"/>
        <w:ind w:left="0" w:right="34" w:firstLine="403"/>
        <w:rPr>
          <w:rFonts w:hint="eastAsia" w:ascii="宋体" w:hAnsi="宋体" w:eastAsia="宋体" w:cs="宋体"/>
          <w:color w:val="auto"/>
          <w:highlight w:val="none"/>
        </w:rPr>
      </w:pPr>
    </w:p>
    <w:p w14:paraId="34B82343">
      <w:pPr>
        <w:pStyle w:val="19"/>
        <w:ind w:left="0" w:right="34" w:firstLine="403"/>
        <w:rPr>
          <w:rFonts w:hint="eastAsia" w:ascii="宋体" w:hAnsi="宋体" w:eastAsia="宋体" w:cs="宋体"/>
          <w:color w:val="auto"/>
          <w:sz w:val="21"/>
          <w:szCs w:val="21"/>
          <w:highlight w:val="none"/>
        </w:rPr>
      </w:pPr>
    </w:p>
    <w:p w14:paraId="4F5B4B27">
      <w:pPr>
        <w:pStyle w:val="19"/>
        <w:ind w:left="0" w:right="34" w:firstLine="403"/>
        <w:rPr>
          <w:rFonts w:hint="eastAsia" w:ascii="宋体" w:hAnsi="宋体" w:eastAsia="宋体" w:cs="宋体"/>
          <w:color w:val="auto"/>
          <w:sz w:val="21"/>
          <w:szCs w:val="21"/>
          <w:highlight w:val="none"/>
        </w:rPr>
      </w:pPr>
    </w:p>
    <w:p w14:paraId="0F606593">
      <w:pPr>
        <w:spacing w:line="360" w:lineRule="auto"/>
        <w:outlineLvl w:val="0"/>
        <w:rPr>
          <w:rFonts w:hint="eastAsia" w:ascii="宋体" w:hAnsi="宋体" w:eastAsia="宋体" w:cs="宋体"/>
          <w:b/>
          <w:bCs/>
          <w:color w:val="auto"/>
          <w:sz w:val="24"/>
          <w:szCs w:val="24"/>
          <w:highlight w:val="none"/>
        </w:rPr>
      </w:pPr>
    </w:p>
    <w:p w14:paraId="31674BD2">
      <w:pPr>
        <w:spacing w:line="360" w:lineRule="auto"/>
        <w:ind w:firstLine="3373"/>
        <w:jc w:val="left"/>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报价供应商（盖章）：</w:t>
      </w:r>
    </w:p>
    <w:p w14:paraId="79E9F0E8">
      <w:pPr>
        <w:spacing w:line="360" w:lineRule="auto"/>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法定代表人或法定代表人授权代表签字或盖章：</w:t>
      </w:r>
    </w:p>
    <w:p w14:paraId="3E8A3B73">
      <w:pPr>
        <w:spacing w:line="360" w:lineRule="auto"/>
        <w:ind w:firstLine="4662" w:firstLineChars="1935"/>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年</w:t>
      </w:r>
      <w:r>
        <w:rPr>
          <w:rFonts w:hint="eastAsia" w:ascii="宋体" w:hAnsi="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月</w:t>
      </w:r>
      <w:r>
        <w:rPr>
          <w:rFonts w:hint="eastAsia" w:ascii="宋体" w:hAnsi="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日</w:t>
      </w:r>
    </w:p>
    <w:p w14:paraId="1B01EAA5">
      <w:pPr>
        <w:spacing w:line="360" w:lineRule="auto"/>
        <w:outlineLvl w:val="0"/>
        <w:rPr>
          <w:rFonts w:hint="eastAsia" w:ascii="宋体" w:hAnsi="宋体" w:eastAsia="宋体" w:cs="宋体"/>
          <w:b/>
          <w:bCs/>
          <w:color w:val="auto"/>
          <w:sz w:val="32"/>
          <w:szCs w:val="32"/>
          <w:highlight w:val="none"/>
        </w:rPr>
      </w:pPr>
    </w:p>
    <w:p w14:paraId="740BF95F">
      <w:pPr>
        <w:widowControl/>
        <w:spacing w:line="360" w:lineRule="auto"/>
        <w:rPr>
          <w:rFonts w:hint="eastAsia" w:ascii="宋体" w:hAnsi="宋体" w:eastAsia="宋体" w:cs="宋体"/>
          <w:b/>
          <w:bCs/>
          <w:color w:val="auto"/>
          <w:sz w:val="30"/>
          <w:szCs w:val="30"/>
          <w:highlight w:val="none"/>
        </w:rPr>
      </w:pPr>
    </w:p>
    <w:p w14:paraId="4426DF5D">
      <w:pPr>
        <w:widowControl/>
        <w:spacing w:line="360" w:lineRule="auto"/>
        <w:rPr>
          <w:rFonts w:hint="eastAsia" w:ascii="宋体" w:hAnsi="宋体" w:eastAsia="宋体" w:cs="宋体"/>
          <w:b/>
          <w:bCs/>
          <w:color w:val="auto"/>
          <w:sz w:val="30"/>
          <w:szCs w:val="30"/>
          <w:highlight w:val="none"/>
        </w:rPr>
      </w:pPr>
    </w:p>
    <w:p w14:paraId="52302ED0">
      <w:pPr>
        <w:pStyle w:val="6"/>
        <w:numPr>
          <w:ilvl w:val="4"/>
          <w:numId w:val="0"/>
        </w:numPr>
        <w:rPr>
          <w:rFonts w:hint="eastAsia" w:ascii="宋体" w:hAnsi="宋体" w:eastAsia="宋体" w:cs="宋体"/>
          <w:color w:val="auto"/>
          <w:highlight w:val="none"/>
        </w:rPr>
      </w:pPr>
    </w:p>
    <w:p w14:paraId="36BCB03F">
      <w:pPr>
        <w:rPr>
          <w:rFonts w:hint="eastAsia" w:ascii="宋体" w:hAnsi="宋体" w:eastAsia="宋体" w:cs="宋体"/>
          <w:color w:val="auto"/>
          <w:highlight w:val="none"/>
        </w:rPr>
      </w:pPr>
    </w:p>
    <w:p w14:paraId="7493DCC0">
      <w:pPr>
        <w:pStyle w:val="6"/>
        <w:numPr>
          <w:ilvl w:val="4"/>
          <w:numId w:val="0"/>
        </w:numPr>
        <w:rPr>
          <w:rFonts w:hint="eastAsia" w:ascii="宋体" w:hAnsi="宋体" w:eastAsia="宋体" w:cs="宋体"/>
          <w:color w:val="auto"/>
          <w:highlight w:val="none"/>
        </w:rPr>
      </w:pPr>
    </w:p>
    <w:p w14:paraId="27B15DAC">
      <w:pPr>
        <w:rPr>
          <w:rFonts w:hint="eastAsia" w:ascii="宋体" w:hAnsi="宋体" w:eastAsia="宋体" w:cs="宋体"/>
          <w:color w:val="auto"/>
          <w:highlight w:val="none"/>
        </w:rPr>
      </w:pPr>
    </w:p>
    <w:p w14:paraId="78412F84">
      <w:pPr>
        <w:pStyle w:val="6"/>
        <w:numPr>
          <w:ilvl w:val="4"/>
          <w:numId w:val="0"/>
        </w:numPr>
        <w:rPr>
          <w:rFonts w:hint="eastAsia" w:ascii="宋体" w:hAnsi="宋体" w:eastAsia="宋体" w:cs="宋体"/>
          <w:color w:val="auto"/>
          <w:highlight w:val="none"/>
        </w:rPr>
      </w:pPr>
    </w:p>
    <w:p w14:paraId="4702B074">
      <w:pPr>
        <w:jc w:val="left"/>
        <w:outlineLvl w:val="0"/>
        <w:rPr>
          <w:rFonts w:hint="eastAsia" w:ascii="宋体" w:hAnsi="宋体" w:eastAsia="宋体" w:cs="宋体"/>
          <w:color w:val="auto"/>
          <w:sz w:val="24"/>
          <w:szCs w:val="24"/>
          <w:highlight w:val="none"/>
        </w:rPr>
      </w:pPr>
    </w:p>
    <w:p w14:paraId="566E5127">
      <w:pPr>
        <w:jc w:val="left"/>
        <w:outlineLvl w:val="0"/>
        <w:rPr>
          <w:rFonts w:hint="eastAsia" w:ascii="宋体" w:hAnsi="宋体" w:eastAsia="宋体" w:cs="宋体"/>
          <w:color w:val="auto"/>
          <w:sz w:val="24"/>
          <w:szCs w:val="24"/>
          <w:highlight w:val="none"/>
        </w:rPr>
      </w:pPr>
    </w:p>
    <w:p w14:paraId="522153BC">
      <w:pPr>
        <w:jc w:val="left"/>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（六）实施项目管理机构配备情况（格式）</w:t>
      </w:r>
    </w:p>
    <w:p w14:paraId="27368D56">
      <w:pPr>
        <w:spacing w:line="360" w:lineRule="auto"/>
        <w:outlineLvl w:val="0"/>
        <w:rPr>
          <w:rFonts w:hint="eastAsia" w:ascii="宋体" w:hAnsi="宋体" w:eastAsia="宋体" w:cs="宋体"/>
          <w:bCs/>
          <w:color w:val="auto"/>
          <w:sz w:val="24"/>
          <w:highlight w:val="none"/>
        </w:rPr>
      </w:pPr>
    </w:p>
    <w:p w14:paraId="2F059D8C">
      <w:pPr>
        <w:numPr>
          <w:ilvl w:val="0"/>
          <w:numId w:val="14"/>
        </w:numPr>
        <w:jc w:val="center"/>
        <w:outlineLvl w:val="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项目管理机构配备情况表</w:t>
      </w:r>
    </w:p>
    <w:p w14:paraId="58D66466">
      <w:pPr>
        <w:spacing w:after="120" w:line="360" w:lineRule="auto"/>
        <w:rPr>
          <w:rFonts w:hint="eastAsia" w:ascii="宋体" w:hAnsi="宋体" w:eastAsia="宋体" w:cs="宋体"/>
          <w:color w:val="auto"/>
          <w:sz w:val="24"/>
          <w:highlight w:val="none"/>
        </w:rPr>
      </w:pPr>
    </w:p>
    <w:p w14:paraId="2932A50D">
      <w:pPr>
        <w:spacing w:after="12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工程名称：</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Cs w:val="16"/>
          <w:highlight w:val="none"/>
        </w:rPr>
        <w:tab/>
      </w:r>
      <w:r>
        <w:rPr>
          <w:rFonts w:hint="eastAsia" w:ascii="宋体" w:hAnsi="宋体" w:eastAsia="宋体" w:cs="宋体"/>
          <w:color w:val="auto"/>
          <w:sz w:val="24"/>
          <w:szCs w:val="15"/>
          <w:highlight w:val="none"/>
        </w:rPr>
        <w:t>表1</w:t>
      </w:r>
    </w:p>
    <w:tbl>
      <w:tblPr>
        <w:tblStyle w:val="40"/>
        <w:tblpPr w:leftFromText="180" w:rightFromText="180" w:vertAnchor="text" w:horzAnchor="page" w:tblpX="1416" w:tblpY="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686"/>
        <w:gridCol w:w="686"/>
        <w:gridCol w:w="1207"/>
        <w:gridCol w:w="808"/>
        <w:gridCol w:w="738"/>
        <w:gridCol w:w="773"/>
        <w:gridCol w:w="735"/>
        <w:gridCol w:w="820"/>
        <w:gridCol w:w="1065"/>
        <w:gridCol w:w="1245"/>
      </w:tblGrid>
      <w:tr w14:paraId="7A66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trPr>
        <w:tc>
          <w:tcPr>
            <w:tcW w:w="690" w:type="dxa"/>
            <w:vMerge w:val="restart"/>
            <w:noWrap/>
            <w:vAlign w:val="center"/>
          </w:tcPr>
          <w:p w14:paraId="1608485C">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职务</w:t>
            </w:r>
          </w:p>
        </w:tc>
        <w:tc>
          <w:tcPr>
            <w:tcW w:w="686" w:type="dxa"/>
            <w:vMerge w:val="restart"/>
            <w:noWrap/>
            <w:vAlign w:val="center"/>
          </w:tcPr>
          <w:p w14:paraId="0770EDAB">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姓名</w:t>
            </w:r>
          </w:p>
        </w:tc>
        <w:tc>
          <w:tcPr>
            <w:tcW w:w="686" w:type="dxa"/>
            <w:vMerge w:val="restart"/>
            <w:noWrap/>
            <w:vAlign w:val="center"/>
          </w:tcPr>
          <w:p w14:paraId="4A97E9C1">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职称</w:t>
            </w:r>
          </w:p>
        </w:tc>
        <w:tc>
          <w:tcPr>
            <w:tcW w:w="5081" w:type="dxa"/>
            <w:gridSpan w:val="6"/>
            <w:noWrap/>
            <w:vAlign w:val="center"/>
          </w:tcPr>
          <w:p w14:paraId="6BEBA0F9">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执业或职业资格证明</w:t>
            </w:r>
          </w:p>
        </w:tc>
        <w:tc>
          <w:tcPr>
            <w:tcW w:w="2310" w:type="dxa"/>
            <w:gridSpan w:val="2"/>
            <w:noWrap/>
            <w:vAlign w:val="center"/>
          </w:tcPr>
          <w:p w14:paraId="684554D2">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已承担项目情况</w:t>
            </w:r>
          </w:p>
        </w:tc>
      </w:tr>
      <w:tr w14:paraId="0F03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trPr>
        <w:tc>
          <w:tcPr>
            <w:tcW w:w="690" w:type="dxa"/>
            <w:vMerge w:val="continue"/>
            <w:noWrap/>
          </w:tcPr>
          <w:p w14:paraId="680754C5">
            <w:pPr>
              <w:spacing w:line="360" w:lineRule="auto"/>
              <w:rPr>
                <w:rFonts w:hint="eastAsia" w:ascii="宋体" w:hAnsi="宋体" w:eastAsia="宋体" w:cs="宋体"/>
                <w:color w:val="auto"/>
                <w:sz w:val="24"/>
                <w:szCs w:val="16"/>
                <w:highlight w:val="none"/>
              </w:rPr>
            </w:pPr>
          </w:p>
        </w:tc>
        <w:tc>
          <w:tcPr>
            <w:tcW w:w="686" w:type="dxa"/>
            <w:vMerge w:val="continue"/>
            <w:noWrap/>
          </w:tcPr>
          <w:p w14:paraId="6168AE92">
            <w:pPr>
              <w:spacing w:line="360" w:lineRule="auto"/>
              <w:rPr>
                <w:rFonts w:hint="eastAsia" w:ascii="宋体" w:hAnsi="宋体" w:eastAsia="宋体" w:cs="宋体"/>
                <w:color w:val="auto"/>
                <w:sz w:val="24"/>
                <w:szCs w:val="16"/>
                <w:highlight w:val="none"/>
              </w:rPr>
            </w:pPr>
          </w:p>
        </w:tc>
        <w:tc>
          <w:tcPr>
            <w:tcW w:w="686" w:type="dxa"/>
            <w:vMerge w:val="continue"/>
            <w:noWrap/>
          </w:tcPr>
          <w:p w14:paraId="53B30288">
            <w:pPr>
              <w:spacing w:line="360" w:lineRule="auto"/>
              <w:rPr>
                <w:rFonts w:hint="eastAsia" w:ascii="宋体" w:hAnsi="宋体" w:eastAsia="宋体" w:cs="宋体"/>
                <w:color w:val="auto"/>
                <w:sz w:val="24"/>
                <w:szCs w:val="16"/>
                <w:highlight w:val="none"/>
              </w:rPr>
            </w:pPr>
          </w:p>
        </w:tc>
        <w:tc>
          <w:tcPr>
            <w:tcW w:w="1207" w:type="dxa"/>
            <w:noWrap/>
            <w:vAlign w:val="center"/>
          </w:tcPr>
          <w:p w14:paraId="058EBAF4">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证书名称</w:t>
            </w:r>
          </w:p>
        </w:tc>
        <w:tc>
          <w:tcPr>
            <w:tcW w:w="808" w:type="dxa"/>
            <w:noWrap/>
            <w:vAlign w:val="center"/>
          </w:tcPr>
          <w:p w14:paraId="232CAA81">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级别</w:t>
            </w:r>
          </w:p>
        </w:tc>
        <w:tc>
          <w:tcPr>
            <w:tcW w:w="738" w:type="dxa"/>
            <w:noWrap/>
            <w:vAlign w:val="center"/>
          </w:tcPr>
          <w:p w14:paraId="0E9414D1">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证号</w:t>
            </w:r>
          </w:p>
        </w:tc>
        <w:tc>
          <w:tcPr>
            <w:tcW w:w="773" w:type="dxa"/>
            <w:noWrap/>
            <w:vAlign w:val="center"/>
          </w:tcPr>
          <w:p w14:paraId="629BA2A1">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专业</w:t>
            </w:r>
          </w:p>
        </w:tc>
        <w:tc>
          <w:tcPr>
            <w:tcW w:w="735" w:type="dxa"/>
            <w:noWrap/>
            <w:vAlign w:val="center"/>
          </w:tcPr>
          <w:p w14:paraId="44C72093">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身份证号</w:t>
            </w:r>
          </w:p>
        </w:tc>
        <w:tc>
          <w:tcPr>
            <w:tcW w:w="820" w:type="dxa"/>
            <w:noWrap/>
            <w:vAlign w:val="center"/>
          </w:tcPr>
          <w:p w14:paraId="6CC6994E">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原服务单位</w:t>
            </w:r>
          </w:p>
        </w:tc>
        <w:tc>
          <w:tcPr>
            <w:tcW w:w="1065" w:type="dxa"/>
            <w:noWrap/>
            <w:vAlign w:val="center"/>
          </w:tcPr>
          <w:p w14:paraId="254ADDC6">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项目数</w:t>
            </w:r>
          </w:p>
        </w:tc>
        <w:tc>
          <w:tcPr>
            <w:tcW w:w="1245" w:type="dxa"/>
            <w:noWrap/>
            <w:vAlign w:val="center"/>
          </w:tcPr>
          <w:p w14:paraId="1035A727">
            <w:pPr>
              <w:spacing w:line="360" w:lineRule="auto"/>
              <w:jc w:val="center"/>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主要项目名称</w:t>
            </w:r>
          </w:p>
        </w:tc>
      </w:tr>
      <w:tr w14:paraId="04BCD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90" w:type="dxa"/>
            <w:noWrap/>
          </w:tcPr>
          <w:p w14:paraId="1764F96A">
            <w:pPr>
              <w:spacing w:line="360" w:lineRule="auto"/>
              <w:rPr>
                <w:rFonts w:hint="eastAsia" w:ascii="宋体" w:hAnsi="宋体" w:eastAsia="宋体" w:cs="宋体"/>
                <w:color w:val="auto"/>
                <w:sz w:val="24"/>
                <w:szCs w:val="16"/>
                <w:highlight w:val="none"/>
              </w:rPr>
            </w:pPr>
          </w:p>
        </w:tc>
        <w:tc>
          <w:tcPr>
            <w:tcW w:w="686" w:type="dxa"/>
            <w:noWrap/>
          </w:tcPr>
          <w:p w14:paraId="3ED4958A">
            <w:pPr>
              <w:spacing w:line="360" w:lineRule="auto"/>
              <w:rPr>
                <w:rFonts w:hint="eastAsia" w:ascii="宋体" w:hAnsi="宋体" w:eastAsia="宋体" w:cs="宋体"/>
                <w:color w:val="auto"/>
                <w:sz w:val="24"/>
                <w:szCs w:val="16"/>
                <w:highlight w:val="none"/>
              </w:rPr>
            </w:pPr>
          </w:p>
        </w:tc>
        <w:tc>
          <w:tcPr>
            <w:tcW w:w="686" w:type="dxa"/>
            <w:noWrap/>
          </w:tcPr>
          <w:p w14:paraId="78B6CF7E">
            <w:pPr>
              <w:spacing w:line="360" w:lineRule="auto"/>
              <w:rPr>
                <w:rFonts w:hint="eastAsia" w:ascii="宋体" w:hAnsi="宋体" w:eastAsia="宋体" w:cs="宋体"/>
                <w:color w:val="auto"/>
                <w:sz w:val="24"/>
                <w:szCs w:val="16"/>
                <w:highlight w:val="none"/>
              </w:rPr>
            </w:pPr>
          </w:p>
        </w:tc>
        <w:tc>
          <w:tcPr>
            <w:tcW w:w="1207" w:type="dxa"/>
            <w:noWrap/>
          </w:tcPr>
          <w:p w14:paraId="065E182B">
            <w:pPr>
              <w:spacing w:line="360" w:lineRule="auto"/>
              <w:rPr>
                <w:rFonts w:hint="eastAsia" w:ascii="宋体" w:hAnsi="宋体" w:eastAsia="宋体" w:cs="宋体"/>
                <w:color w:val="auto"/>
                <w:sz w:val="24"/>
                <w:szCs w:val="16"/>
                <w:highlight w:val="none"/>
              </w:rPr>
            </w:pPr>
          </w:p>
        </w:tc>
        <w:tc>
          <w:tcPr>
            <w:tcW w:w="808" w:type="dxa"/>
            <w:noWrap/>
          </w:tcPr>
          <w:p w14:paraId="60847F9B">
            <w:pPr>
              <w:spacing w:line="360" w:lineRule="auto"/>
              <w:rPr>
                <w:rFonts w:hint="eastAsia" w:ascii="宋体" w:hAnsi="宋体" w:eastAsia="宋体" w:cs="宋体"/>
                <w:color w:val="auto"/>
                <w:sz w:val="24"/>
                <w:szCs w:val="16"/>
                <w:highlight w:val="none"/>
              </w:rPr>
            </w:pPr>
          </w:p>
        </w:tc>
        <w:tc>
          <w:tcPr>
            <w:tcW w:w="738" w:type="dxa"/>
            <w:noWrap/>
          </w:tcPr>
          <w:p w14:paraId="5AA03AEE">
            <w:pPr>
              <w:spacing w:line="360" w:lineRule="auto"/>
              <w:rPr>
                <w:rFonts w:hint="eastAsia" w:ascii="宋体" w:hAnsi="宋体" w:eastAsia="宋体" w:cs="宋体"/>
                <w:color w:val="auto"/>
                <w:sz w:val="24"/>
                <w:szCs w:val="16"/>
                <w:highlight w:val="none"/>
              </w:rPr>
            </w:pPr>
          </w:p>
        </w:tc>
        <w:tc>
          <w:tcPr>
            <w:tcW w:w="773" w:type="dxa"/>
            <w:noWrap/>
          </w:tcPr>
          <w:p w14:paraId="5D6474A5">
            <w:pPr>
              <w:spacing w:line="360" w:lineRule="auto"/>
              <w:rPr>
                <w:rFonts w:hint="eastAsia" w:ascii="宋体" w:hAnsi="宋体" w:eastAsia="宋体" w:cs="宋体"/>
                <w:color w:val="auto"/>
                <w:sz w:val="24"/>
                <w:szCs w:val="16"/>
                <w:highlight w:val="none"/>
              </w:rPr>
            </w:pPr>
          </w:p>
        </w:tc>
        <w:tc>
          <w:tcPr>
            <w:tcW w:w="735" w:type="dxa"/>
            <w:noWrap/>
          </w:tcPr>
          <w:p w14:paraId="3B4BB2B8">
            <w:pPr>
              <w:spacing w:line="360" w:lineRule="auto"/>
              <w:rPr>
                <w:rFonts w:hint="eastAsia" w:ascii="宋体" w:hAnsi="宋体" w:eastAsia="宋体" w:cs="宋体"/>
                <w:color w:val="auto"/>
                <w:sz w:val="24"/>
                <w:szCs w:val="16"/>
                <w:highlight w:val="none"/>
              </w:rPr>
            </w:pPr>
          </w:p>
        </w:tc>
        <w:tc>
          <w:tcPr>
            <w:tcW w:w="820" w:type="dxa"/>
            <w:noWrap/>
          </w:tcPr>
          <w:p w14:paraId="095D9620">
            <w:pPr>
              <w:spacing w:line="360" w:lineRule="auto"/>
              <w:rPr>
                <w:rFonts w:hint="eastAsia" w:ascii="宋体" w:hAnsi="宋体" w:eastAsia="宋体" w:cs="宋体"/>
                <w:color w:val="auto"/>
                <w:sz w:val="24"/>
                <w:szCs w:val="16"/>
                <w:highlight w:val="none"/>
              </w:rPr>
            </w:pPr>
          </w:p>
        </w:tc>
        <w:tc>
          <w:tcPr>
            <w:tcW w:w="1065" w:type="dxa"/>
            <w:noWrap/>
          </w:tcPr>
          <w:p w14:paraId="03ED5C88">
            <w:pPr>
              <w:spacing w:line="360" w:lineRule="auto"/>
              <w:rPr>
                <w:rFonts w:hint="eastAsia" w:ascii="宋体" w:hAnsi="宋体" w:eastAsia="宋体" w:cs="宋体"/>
                <w:color w:val="auto"/>
                <w:sz w:val="24"/>
                <w:szCs w:val="16"/>
                <w:highlight w:val="none"/>
              </w:rPr>
            </w:pPr>
          </w:p>
        </w:tc>
        <w:tc>
          <w:tcPr>
            <w:tcW w:w="1245" w:type="dxa"/>
            <w:noWrap/>
          </w:tcPr>
          <w:p w14:paraId="4FC01958">
            <w:pPr>
              <w:spacing w:line="360" w:lineRule="auto"/>
              <w:rPr>
                <w:rFonts w:hint="eastAsia" w:ascii="宋体" w:hAnsi="宋体" w:eastAsia="宋体" w:cs="宋体"/>
                <w:color w:val="auto"/>
                <w:sz w:val="24"/>
                <w:szCs w:val="16"/>
                <w:highlight w:val="none"/>
              </w:rPr>
            </w:pPr>
          </w:p>
        </w:tc>
      </w:tr>
      <w:tr w14:paraId="53D6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90" w:type="dxa"/>
            <w:noWrap/>
          </w:tcPr>
          <w:p w14:paraId="3B69BF2C">
            <w:pPr>
              <w:spacing w:line="360" w:lineRule="auto"/>
              <w:rPr>
                <w:rFonts w:hint="eastAsia" w:ascii="宋体" w:hAnsi="宋体" w:eastAsia="宋体" w:cs="宋体"/>
                <w:color w:val="auto"/>
                <w:sz w:val="24"/>
                <w:szCs w:val="16"/>
                <w:highlight w:val="none"/>
              </w:rPr>
            </w:pPr>
          </w:p>
        </w:tc>
        <w:tc>
          <w:tcPr>
            <w:tcW w:w="686" w:type="dxa"/>
            <w:noWrap/>
          </w:tcPr>
          <w:p w14:paraId="6CED1034">
            <w:pPr>
              <w:spacing w:line="360" w:lineRule="auto"/>
              <w:rPr>
                <w:rFonts w:hint="eastAsia" w:ascii="宋体" w:hAnsi="宋体" w:eastAsia="宋体" w:cs="宋体"/>
                <w:color w:val="auto"/>
                <w:sz w:val="24"/>
                <w:szCs w:val="16"/>
                <w:highlight w:val="none"/>
              </w:rPr>
            </w:pPr>
          </w:p>
        </w:tc>
        <w:tc>
          <w:tcPr>
            <w:tcW w:w="686" w:type="dxa"/>
            <w:noWrap/>
          </w:tcPr>
          <w:p w14:paraId="2C4A4C4C">
            <w:pPr>
              <w:spacing w:line="360" w:lineRule="auto"/>
              <w:rPr>
                <w:rFonts w:hint="eastAsia" w:ascii="宋体" w:hAnsi="宋体" w:eastAsia="宋体" w:cs="宋体"/>
                <w:color w:val="auto"/>
                <w:sz w:val="24"/>
                <w:szCs w:val="16"/>
                <w:highlight w:val="none"/>
              </w:rPr>
            </w:pPr>
          </w:p>
        </w:tc>
        <w:tc>
          <w:tcPr>
            <w:tcW w:w="1207" w:type="dxa"/>
            <w:noWrap/>
          </w:tcPr>
          <w:p w14:paraId="1ED072FC">
            <w:pPr>
              <w:spacing w:line="360" w:lineRule="auto"/>
              <w:rPr>
                <w:rFonts w:hint="eastAsia" w:ascii="宋体" w:hAnsi="宋体" w:eastAsia="宋体" w:cs="宋体"/>
                <w:color w:val="auto"/>
                <w:sz w:val="24"/>
                <w:szCs w:val="16"/>
                <w:highlight w:val="none"/>
              </w:rPr>
            </w:pPr>
          </w:p>
        </w:tc>
        <w:tc>
          <w:tcPr>
            <w:tcW w:w="808" w:type="dxa"/>
            <w:noWrap/>
          </w:tcPr>
          <w:p w14:paraId="25172186">
            <w:pPr>
              <w:spacing w:line="360" w:lineRule="auto"/>
              <w:rPr>
                <w:rFonts w:hint="eastAsia" w:ascii="宋体" w:hAnsi="宋体" w:eastAsia="宋体" w:cs="宋体"/>
                <w:color w:val="auto"/>
                <w:sz w:val="24"/>
                <w:szCs w:val="16"/>
                <w:highlight w:val="none"/>
              </w:rPr>
            </w:pPr>
          </w:p>
        </w:tc>
        <w:tc>
          <w:tcPr>
            <w:tcW w:w="738" w:type="dxa"/>
            <w:noWrap/>
          </w:tcPr>
          <w:p w14:paraId="2B6F7B87">
            <w:pPr>
              <w:spacing w:line="360" w:lineRule="auto"/>
              <w:rPr>
                <w:rFonts w:hint="eastAsia" w:ascii="宋体" w:hAnsi="宋体" w:eastAsia="宋体" w:cs="宋体"/>
                <w:color w:val="auto"/>
                <w:sz w:val="24"/>
                <w:szCs w:val="16"/>
                <w:highlight w:val="none"/>
              </w:rPr>
            </w:pPr>
          </w:p>
        </w:tc>
        <w:tc>
          <w:tcPr>
            <w:tcW w:w="773" w:type="dxa"/>
            <w:noWrap/>
          </w:tcPr>
          <w:p w14:paraId="311F4975">
            <w:pPr>
              <w:spacing w:line="360" w:lineRule="auto"/>
              <w:rPr>
                <w:rFonts w:hint="eastAsia" w:ascii="宋体" w:hAnsi="宋体" w:eastAsia="宋体" w:cs="宋体"/>
                <w:color w:val="auto"/>
                <w:sz w:val="24"/>
                <w:szCs w:val="16"/>
                <w:highlight w:val="none"/>
              </w:rPr>
            </w:pPr>
          </w:p>
        </w:tc>
        <w:tc>
          <w:tcPr>
            <w:tcW w:w="735" w:type="dxa"/>
            <w:noWrap/>
          </w:tcPr>
          <w:p w14:paraId="79833805">
            <w:pPr>
              <w:spacing w:line="360" w:lineRule="auto"/>
              <w:rPr>
                <w:rFonts w:hint="eastAsia" w:ascii="宋体" w:hAnsi="宋体" w:eastAsia="宋体" w:cs="宋体"/>
                <w:color w:val="auto"/>
                <w:sz w:val="24"/>
                <w:szCs w:val="16"/>
                <w:highlight w:val="none"/>
              </w:rPr>
            </w:pPr>
          </w:p>
        </w:tc>
        <w:tc>
          <w:tcPr>
            <w:tcW w:w="820" w:type="dxa"/>
            <w:noWrap/>
          </w:tcPr>
          <w:p w14:paraId="206875A1">
            <w:pPr>
              <w:spacing w:line="360" w:lineRule="auto"/>
              <w:rPr>
                <w:rFonts w:hint="eastAsia" w:ascii="宋体" w:hAnsi="宋体" w:eastAsia="宋体" w:cs="宋体"/>
                <w:color w:val="auto"/>
                <w:sz w:val="24"/>
                <w:szCs w:val="16"/>
                <w:highlight w:val="none"/>
              </w:rPr>
            </w:pPr>
          </w:p>
        </w:tc>
        <w:tc>
          <w:tcPr>
            <w:tcW w:w="1065" w:type="dxa"/>
            <w:noWrap/>
          </w:tcPr>
          <w:p w14:paraId="2220552E">
            <w:pPr>
              <w:spacing w:line="360" w:lineRule="auto"/>
              <w:rPr>
                <w:rFonts w:hint="eastAsia" w:ascii="宋体" w:hAnsi="宋体" w:eastAsia="宋体" w:cs="宋体"/>
                <w:color w:val="auto"/>
                <w:sz w:val="24"/>
                <w:szCs w:val="16"/>
                <w:highlight w:val="none"/>
              </w:rPr>
            </w:pPr>
          </w:p>
        </w:tc>
        <w:tc>
          <w:tcPr>
            <w:tcW w:w="1245" w:type="dxa"/>
            <w:noWrap/>
          </w:tcPr>
          <w:p w14:paraId="63D2A547">
            <w:pPr>
              <w:spacing w:line="360" w:lineRule="auto"/>
              <w:rPr>
                <w:rFonts w:hint="eastAsia" w:ascii="宋体" w:hAnsi="宋体" w:eastAsia="宋体" w:cs="宋体"/>
                <w:color w:val="auto"/>
                <w:sz w:val="24"/>
                <w:szCs w:val="16"/>
                <w:highlight w:val="none"/>
              </w:rPr>
            </w:pPr>
          </w:p>
        </w:tc>
      </w:tr>
      <w:tr w14:paraId="55B6A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90" w:type="dxa"/>
            <w:noWrap/>
          </w:tcPr>
          <w:p w14:paraId="28C2FD15">
            <w:pPr>
              <w:spacing w:line="360" w:lineRule="auto"/>
              <w:rPr>
                <w:rFonts w:hint="eastAsia" w:ascii="宋体" w:hAnsi="宋体" w:eastAsia="宋体" w:cs="宋体"/>
                <w:color w:val="auto"/>
                <w:sz w:val="24"/>
                <w:szCs w:val="16"/>
                <w:highlight w:val="none"/>
              </w:rPr>
            </w:pPr>
          </w:p>
        </w:tc>
        <w:tc>
          <w:tcPr>
            <w:tcW w:w="686" w:type="dxa"/>
            <w:noWrap/>
          </w:tcPr>
          <w:p w14:paraId="5D373B3E">
            <w:pPr>
              <w:spacing w:line="360" w:lineRule="auto"/>
              <w:rPr>
                <w:rFonts w:hint="eastAsia" w:ascii="宋体" w:hAnsi="宋体" w:eastAsia="宋体" w:cs="宋体"/>
                <w:color w:val="auto"/>
                <w:sz w:val="24"/>
                <w:szCs w:val="16"/>
                <w:highlight w:val="none"/>
              </w:rPr>
            </w:pPr>
          </w:p>
        </w:tc>
        <w:tc>
          <w:tcPr>
            <w:tcW w:w="686" w:type="dxa"/>
            <w:noWrap/>
          </w:tcPr>
          <w:p w14:paraId="60FA33DA">
            <w:pPr>
              <w:spacing w:line="360" w:lineRule="auto"/>
              <w:rPr>
                <w:rFonts w:hint="eastAsia" w:ascii="宋体" w:hAnsi="宋体" w:eastAsia="宋体" w:cs="宋体"/>
                <w:color w:val="auto"/>
                <w:sz w:val="24"/>
                <w:szCs w:val="16"/>
                <w:highlight w:val="none"/>
              </w:rPr>
            </w:pPr>
          </w:p>
        </w:tc>
        <w:tc>
          <w:tcPr>
            <w:tcW w:w="1207" w:type="dxa"/>
            <w:noWrap/>
          </w:tcPr>
          <w:p w14:paraId="091653B6">
            <w:pPr>
              <w:spacing w:line="360" w:lineRule="auto"/>
              <w:rPr>
                <w:rFonts w:hint="eastAsia" w:ascii="宋体" w:hAnsi="宋体" w:eastAsia="宋体" w:cs="宋体"/>
                <w:color w:val="auto"/>
                <w:sz w:val="24"/>
                <w:szCs w:val="16"/>
                <w:highlight w:val="none"/>
              </w:rPr>
            </w:pPr>
          </w:p>
        </w:tc>
        <w:tc>
          <w:tcPr>
            <w:tcW w:w="808" w:type="dxa"/>
            <w:noWrap/>
          </w:tcPr>
          <w:p w14:paraId="4BB6E665">
            <w:pPr>
              <w:spacing w:line="360" w:lineRule="auto"/>
              <w:rPr>
                <w:rFonts w:hint="eastAsia" w:ascii="宋体" w:hAnsi="宋体" w:eastAsia="宋体" w:cs="宋体"/>
                <w:color w:val="auto"/>
                <w:sz w:val="24"/>
                <w:szCs w:val="16"/>
                <w:highlight w:val="none"/>
              </w:rPr>
            </w:pPr>
          </w:p>
        </w:tc>
        <w:tc>
          <w:tcPr>
            <w:tcW w:w="738" w:type="dxa"/>
            <w:noWrap/>
          </w:tcPr>
          <w:p w14:paraId="180E71EA">
            <w:pPr>
              <w:spacing w:line="360" w:lineRule="auto"/>
              <w:rPr>
                <w:rFonts w:hint="eastAsia" w:ascii="宋体" w:hAnsi="宋体" w:eastAsia="宋体" w:cs="宋体"/>
                <w:color w:val="auto"/>
                <w:sz w:val="24"/>
                <w:szCs w:val="16"/>
                <w:highlight w:val="none"/>
              </w:rPr>
            </w:pPr>
          </w:p>
        </w:tc>
        <w:tc>
          <w:tcPr>
            <w:tcW w:w="773" w:type="dxa"/>
            <w:noWrap/>
          </w:tcPr>
          <w:p w14:paraId="6FBC26DE">
            <w:pPr>
              <w:spacing w:line="360" w:lineRule="auto"/>
              <w:rPr>
                <w:rFonts w:hint="eastAsia" w:ascii="宋体" w:hAnsi="宋体" w:eastAsia="宋体" w:cs="宋体"/>
                <w:color w:val="auto"/>
                <w:sz w:val="24"/>
                <w:szCs w:val="16"/>
                <w:highlight w:val="none"/>
              </w:rPr>
            </w:pPr>
          </w:p>
        </w:tc>
        <w:tc>
          <w:tcPr>
            <w:tcW w:w="735" w:type="dxa"/>
            <w:noWrap/>
          </w:tcPr>
          <w:p w14:paraId="00A6B808">
            <w:pPr>
              <w:spacing w:line="360" w:lineRule="auto"/>
              <w:rPr>
                <w:rFonts w:hint="eastAsia" w:ascii="宋体" w:hAnsi="宋体" w:eastAsia="宋体" w:cs="宋体"/>
                <w:color w:val="auto"/>
                <w:sz w:val="24"/>
                <w:szCs w:val="16"/>
                <w:highlight w:val="none"/>
              </w:rPr>
            </w:pPr>
          </w:p>
        </w:tc>
        <w:tc>
          <w:tcPr>
            <w:tcW w:w="820" w:type="dxa"/>
            <w:noWrap/>
          </w:tcPr>
          <w:p w14:paraId="17045FEA">
            <w:pPr>
              <w:spacing w:line="360" w:lineRule="auto"/>
              <w:rPr>
                <w:rFonts w:hint="eastAsia" w:ascii="宋体" w:hAnsi="宋体" w:eastAsia="宋体" w:cs="宋体"/>
                <w:color w:val="auto"/>
                <w:sz w:val="24"/>
                <w:szCs w:val="16"/>
                <w:highlight w:val="none"/>
              </w:rPr>
            </w:pPr>
          </w:p>
        </w:tc>
        <w:tc>
          <w:tcPr>
            <w:tcW w:w="1065" w:type="dxa"/>
            <w:noWrap/>
          </w:tcPr>
          <w:p w14:paraId="7F635ABC">
            <w:pPr>
              <w:spacing w:line="360" w:lineRule="auto"/>
              <w:rPr>
                <w:rFonts w:hint="eastAsia" w:ascii="宋体" w:hAnsi="宋体" w:eastAsia="宋体" w:cs="宋体"/>
                <w:color w:val="auto"/>
                <w:sz w:val="24"/>
                <w:szCs w:val="16"/>
                <w:highlight w:val="none"/>
              </w:rPr>
            </w:pPr>
          </w:p>
        </w:tc>
        <w:tc>
          <w:tcPr>
            <w:tcW w:w="1245" w:type="dxa"/>
            <w:noWrap/>
          </w:tcPr>
          <w:p w14:paraId="27F5E735">
            <w:pPr>
              <w:spacing w:line="360" w:lineRule="auto"/>
              <w:rPr>
                <w:rFonts w:hint="eastAsia" w:ascii="宋体" w:hAnsi="宋体" w:eastAsia="宋体" w:cs="宋体"/>
                <w:color w:val="auto"/>
                <w:sz w:val="24"/>
                <w:szCs w:val="16"/>
                <w:highlight w:val="none"/>
              </w:rPr>
            </w:pPr>
          </w:p>
        </w:tc>
      </w:tr>
      <w:tr w14:paraId="3CE4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trPr>
        <w:tc>
          <w:tcPr>
            <w:tcW w:w="9453" w:type="dxa"/>
            <w:gridSpan w:val="11"/>
            <w:noWrap/>
          </w:tcPr>
          <w:p w14:paraId="28DDB6B4">
            <w:pPr>
              <w:spacing w:line="360" w:lineRule="auto"/>
              <w:ind w:firstLine="360"/>
              <w:rPr>
                <w:rFonts w:hint="eastAsia" w:ascii="宋体" w:hAnsi="宋体" w:eastAsia="宋体" w:cs="宋体"/>
                <w:color w:val="auto"/>
                <w:sz w:val="24"/>
                <w:szCs w:val="16"/>
                <w:highlight w:val="none"/>
              </w:rPr>
            </w:pPr>
            <w:r>
              <w:rPr>
                <w:rFonts w:hint="eastAsia" w:ascii="宋体" w:hAnsi="宋体" w:eastAsia="宋体" w:cs="宋体"/>
                <w:color w:val="auto"/>
                <w:sz w:val="24"/>
                <w:szCs w:val="16"/>
                <w:highlight w:val="none"/>
              </w:rPr>
              <w:t xml:space="preserve">一旦我单位中标，将实行项目负责人负责制，我方保证并配备上述项目管理机构。上述填报内容真实，若不真实，愿按有关规定接受处理。项目管理班子机构设置、职责分工等情况另附资料说明。             </w:t>
            </w:r>
          </w:p>
        </w:tc>
      </w:tr>
    </w:tbl>
    <w:p w14:paraId="25EB514D">
      <w:pPr>
        <w:rPr>
          <w:rFonts w:hint="eastAsia" w:ascii="宋体" w:hAnsi="宋体" w:eastAsia="宋体" w:cs="宋体"/>
          <w:color w:val="auto"/>
          <w:highlight w:val="none"/>
        </w:rPr>
      </w:pPr>
    </w:p>
    <w:p w14:paraId="5687BA25">
      <w:pPr>
        <w:rPr>
          <w:rFonts w:hint="eastAsia" w:ascii="宋体" w:hAnsi="宋体" w:eastAsia="宋体" w:cs="宋体"/>
          <w:color w:val="auto"/>
          <w:highlight w:val="none"/>
        </w:rPr>
      </w:pPr>
    </w:p>
    <w:p w14:paraId="1134A05B">
      <w:pPr>
        <w:pStyle w:val="5"/>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（2）项目负责人简历表</w:t>
      </w:r>
    </w:p>
    <w:p w14:paraId="7569B5A8">
      <w:pPr>
        <w:spacing w:after="120" w:line="360" w:lineRule="auto"/>
        <w:ind w:firstLine="240"/>
        <w:rPr>
          <w:rFonts w:hint="eastAsia" w:ascii="宋体" w:hAnsi="宋体" w:eastAsia="宋体" w:cs="宋体"/>
          <w:color w:val="auto"/>
          <w:highlight w:val="none"/>
        </w:rPr>
      </w:pPr>
      <w:r>
        <w:rPr>
          <w:rFonts w:hint="eastAsia" w:ascii="宋体" w:hAnsi="宋体" w:eastAsia="宋体" w:cs="宋体"/>
          <w:color w:val="auto"/>
          <w:sz w:val="24"/>
          <w:highlight w:val="none"/>
        </w:rPr>
        <w:t>工程名称：</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Cs w:val="16"/>
          <w:highlight w:val="none"/>
        </w:rPr>
        <w:tab/>
      </w:r>
      <w:r>
        <w:rPr>
          <w:rFonts w:hint="eastAsia" w:ascii="宋体" w:hAnsi="宋体" w:eastAsia="宋体" w:cs="宋体"/>
          <w:color w:val="auto"/>
          <w:sz w:val="24"/>
          <w:szCs w:val="15"/>
          <w:highlight w:val="none"/>
        </w:rPr>
        <w:t>表2</w:t>
      </w:r>
    </w:p>
    <w:tbl>
      <w:tblPr>
        <w:tblStyle w:val="40"/>
        <w:tblW w:w="9438"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745"/>
        <w:gridCol w:w="1355"/>
        <w:gridCol w:w="325"/>
        <w:gridCol w:w="185"/>
        <w:gridCol w:w="840"/>
        <w:gridCol w:w="540"/>
        <w:gridCol w:w="15"/>
        <w:gridCol w:w="1125"/>
        <w:gridCol w:w="435"/>
        <w:gridCol w:w="645"/>
        <w:gridCol w:w="405"/>
        <w:gridCol w:w="1497"/>
      </w:tblGrid>
      <w:tr w14:paraId="2141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326" w:type="dxa"/>
            <w:noWrap/>
            <w:vAlign w:val="center"/>
          </w:tcPr>
          <w:p w14:paraId="01803C59">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姓名</w:t>
            </w:r>
          </w:p>
        </w:tc>
        <w:tc>
          <w:tcPr>
            <w:tcW w:w="2610" w:type="dxa"/>
            <w:gridSpan w:val="4"/>
            <w:noWrap/>
            <w:vAlign w:val="center"/>
          </w:tcPr>
          <w:p w14:paraId="42AB7945">
            <w:pPr>
              <w:spacing w:line="360" w:lineRule="auto"/>
              <w:jc w:val="center"/>
              <w:rPr>
                <w:rFonts w:hint="eastAsia" w:ascii="宋体" w:hAnsi="宋体" w:eastAsia="宋体" w:cs="宋体"/>
                <w:color w:val="auto"/>
                <w:szCs w:val="16"/>
                <w:highlight w:val="none"/>
              </w:rPr>
            </w:pPr>
          </w:p>
        </w:tc>
        <w:tc>
          <w:tcPr>
            <w:tcW w:w="840" w:type="dxa"/>
            <w:noWrap/>
            <w:vAlign w:val="center"/>
          </w:tcPr>
          <w:p w14:paraId="6A75C60B">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性别</w:t>
            </w:r>
          </w:p>
        </w:tc>
        <w:tc>
          <w:tcPr>
            <w:tcW w:w="1680" w:type="dxa"/>
            <w:gridSpan w:val="3"/>
            <w:noWrap/>
            <w:vAlign w:val="center"/>
          </w:tcPr>
          <w:p w14:paraId="408ABFB0">
            <w:pPr>
              <w:spacing w:line="360" w:lineRule="auto"/>
              <w:jc w:val="center"/>
              <w:rPr>
                <w:rFonts w:hint="eastAsia" w:ascii="宋体" w:hAnsi="宋体" w:eastAsia="宋体" w:cs="宋体"/>
                <w:color w:val="auto"/>
                <w:szCs w:val="16"/>
                <w:highlight w:val="none"/>
              </w:rPr>
            </w:pPr>
          </w:p>
        </w:tc>
        <w:tc>
          <w:tcPr>
            <w:tcW w:w="1080" w:type="dxa"/>
            <w:gridSpan w:val="2"/>
            <w:noWrap/>
            <w:vAlign w:val="center"/>
          </w:tcPr>
          <w:p w14:paraId="3F1E75A6">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年龄</w:t>
            </w:r>
          </w:p>
        </w:tc>
        <w:tc>
          <w:tcPr>
            <w:tcW w:w="1902" w:type="dxa"/>
            <w:gridSpan w:val="2"/>
            <w:noWrap/>
            <w:vAlign w:val="center"/>
          </w:tcPr>
          <w:p w14:paraId="7C9792C0">
            <w:pPr>
              <w:spacing w:line="360" w:lineRule="auto"/>
              <w:jc w:val="center"/>
              <w:rPr>
                <w:rFonts w:hint="eastAsia" w:ascii="宋体" w:hAnsi="宋体" w:eastAsia="宋体" w:cs="宋体"/>
                <w:color w:val="auto"/>
                <w:szCs w:val="16"/>
                <w:highlight w:val="none"/>
              </w:rPr>
            </w:pPr>
          </w:p>
        </w:tc>
      </w:tr>
      <w:tr w14:paraId="1A8E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326" w:type="dxa"/>
            <w:noWrap/>
            <w:vAlign w:val="center"/>
          </w:tcPr>
          <w:p w14:paraId="2AF92FBD">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职务</w:t>
            </w:r>
          </w:p>
        </w:tc>
        <w:tc>
          <w:tcPr>
            <w:tcW w:w="2610" w:type="dxa"/>
            <w:gridSpan w:val="4"/>
            <w:noWrap/>
            <w:vAlign w:val="center"/>
          </w:tcPr>
          <w:p w14:paraId="0B98B93F">
            <w:pPr>
              <w:spacing w:line="360" w:lineRule="auto"/>
              <w:jc w:val="center"/>
              <w:rPr>
                <w:rFonts w:hint="eastAsia" w:ascii="宋体" w:hAnsi="宋体" w:eastAsia="宋体" w:cs="宋体"/>
                <w:color w:val="auto"/>
                <w:szCs w:val="16"/>
                <w:highlight w:val="none"/>
              </w:rPr>
            </w:pPr>
          </w:p>
        </w:tc>
        <w:tc>
          <w:tcPr>
            <w:tcW w:w="840" w:type="dxa"/>
            <w:noWrap/>
            <w:vAlign w:val="center"/>
          </w:tcPr>
          <w:p w14:paraId="39BE1A3E">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职称</w:t>
            </w:r>
          </w:p>
        </w:tc>
        <w:tc>
          <w:tcPr>
            <w:tcW w:w="1680" w:type="dxa"/>
            <w:gridSpan w:val="3"/>
            <w:noWrap/>
            <w:vAlign w:val="center"/>
          </w:tcPr>
          <w:p w14:paraId="4018B5D0">
            <w:pPr>
              <w:spacing w:line="360" w:lineRule="auto"/>
              <w:jc w:val="center"/>
              <w:rPr>
                <w:rFonts w:hint="eastAsia" w:ascii="宋体" w:hAnsi="宋体" w:eastAsia="宋体" w:cs="宋体"/>
                <w:color w:val="auto"/>
                <w:szCs w:val="16"/>
                <w:highlight w:val="none"/>
              </w:rPr>
            </w:pPr>
          </w:p>
        </w:tc>
        <w:tc>
          <w:tcPr>
            <w:tcW w:w="1080" w:type="dxa"/>
            <w:gridSpan w:val="2"/>
            <w:noWrap/>
            <w:vAlign w:val="center"/>
          </w:tcPr>
          <w:p w14:paraId="3A2CA622">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学历</w:t>
            </w:r>
          </w:p>
        </w:tc>
        <w:tc>
          <w:tcPr>
            <w:tcW w:w="1902" w:type="dxa"/>
            <w:gridSpan w:val="2"/>
            <w:noWrap/>
            <w:vAlign w:val="center"/>
          </w:tcPr>
          <w:p w14:paraId="2FB2C2AD">
            <w:pPr>
              <w:spacing w:line="360" w:lineRule="auto"/>
              <w:jc w:val="center"/>
              <w:rPr>
                <w:rFonts w:hint="eastAsia" w:ascii="宋体" w:hAnsi="宋体" w:eastAsia="宋体" w:cs="宋体"/>
                <w:color w:val="auto"/>
                <w:szCs w:val="16"/>
                <w:highlight w:val="none"/>
              </w:rPr>
            </w:pPr>
          </w:p>
        </w:tc>
      </w:tr>
      <w:tr w14:paraId="0C01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426" w:type="dxa"/>
            <w:gridSpan w:val="3"/>
            <w:noWrap/>
            <w:vAlign w:val="center"/>
          </w:tcPr>
          <w:p w14:paraId="0084AACA">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参加工作时间</w:t>
            </w:r>
          </w:p>
        </w:tc>
        <w:tc>
          <w:tcPr>
            <w:tcW w:w="1890" w:type="dxa"/>
            <w:gridSpan w:val="4"/>
            <w:noWrap/>
            <w:vAlign w:val="center"/>
          </w:tcPr>
          <w:p w14:paraId="330E659D">
            <w:pPr>
              <w:spacing w:line="360" w:lineRule="auto"/>
              <w:jc w:val="center"/>
              <w:rPr>
                <w:rFonts w:hint="eastAsia" w:ascii="宋体" w:hAnsi="宋体" w:eastAsia="宋体" w:cs="宋体"/>
                <w:color w:val="auto"/>
                <w:szCs w:val="16"/>
                <w:highlight w:val="none"/>
              </w:rPr>
            </w:pPr>
          </w:p>
        </w:tc>
        <w:tc>
          <w:tcPr>
            <w:tcW w:w="2625" w:type="dxa"/>
            <w:gridSpan w:val="5"/>
            <w:noWrap/>
            <w:vAlign w:val="center"/>
          </w:tcPr>
          <w:p w14:paraId="34446E99">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担任项目负责人年限</w:t>
            </w:r>
          </w:p>
        </w:tc>
        <w:tc>
          <w:tcPr>
            <w:tcW w:w="1497" w:type="dxa"/>
            <w:noWrap/>
            <w:vAlign w:val="center"/>
          </w:tcPr>
          <w:p w14:paraId="755E7909">
            <w:pPr>
              <w:spacing w:line="360" w:lineRule="auto"/>
              <w:jc w:val="center"/>
              <w:rPr>
                <w:rFonts w:hint="eastAsia" w:ascii="宋体" w:hAnsi="宋体" w:eastAsia="宋体" w:cs="宋体"/>
                <w:color w:val="auto"/>
                <w:szCs w:val="16"/>
                <w:highlight w:val="none"/>
              </w:rPr>
            </w:pPr>
          </w:p>
        </w:tc>
      </w:tr>
      <w:tr w14:paraId="5F22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438" w:type="dxa"/>
            <w:gridSpan w:val="13"/>
            <w:noWrap/>
            <w:vAlign w:val="center"/>
          </w:tcPr>
          <w:p w14:paraId="2022E94E">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在建和已完成项目的项目情况</w:t>
            </w:r>
          </w:p>
        </w:tc>
      </w:tr>
      <w:tr w14:paraId="70B6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071" w:type="dxa"/>
            <w:gridSpan w:val="2"/>
            <w:noWrap/>
            <w:vAlign w:val="center"/>
          </w:tcPr>
          <w:p w14:paraId="5077DC9E">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建设单位</w:t>
            </w:r>
          </w:p>
        </w:tc>
        <w:tc>
          <w:tcPr>
            <w:tcW w:w="1680" w:type="dxa"/>
            <w:gridSpan w:val="2"/>
            <w:noWrap/>
            <w:vAlign w:val="center"/>
          </w:tcPr>
          <w:p w14:paraId="43A34E99">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项目名称</w:t>
            </w:r>
          </w:p>
        </w:tc>
        <w:tc>
          <w:tcPr>
            <w:tcW w:w="1580" w:type="dxa"/>
            <w:gridSpan w:val="4"/>
            <w:noWrap/>
            <w:vAlign w:val="center"/>
          </w:tcPr>
          <w:p w14:paraId="4BFF7DDB">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建设规模</w:t>
            </w:r>
          </w:p>
        </w:tc>
        <w:tc>
          <w:tcPr>
            <w:tcW w:w="1560" w:type="dxa"/>
            <w:gridSpan w:val="2"/>
            <w:noWrap/>
            <w:vAlign w:val="center"/>
          </w:tcPr>
          <w:p w14:paraId="5B8C3039">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开、竣工</w:t>
            </w:r>
          </w:p>
          <w:p w14:paraId="6CB073C1">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日期</w:t>
            </w:r>
          </w:p>
        </w:tc>
        <w:tc>
          <w:tcPr>
            <w:tcW w:w="1050" w:type="dxa"/>
            <w:gridSpan w:val="2"/>
            <w:noWrap/>
            <w:vAlign w:val="center"/>
          </w:tcPr>
          <w:p w14:paraId="5908BB4C">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在建或已 完成</w:t>
            </w:r>
          </w:p>
        </w:tc>
        <w:tc>
          <w:tcPr>
            <w:tcW w:w="1497" w:type="dxa"/>
            <w:noWrap/>
            <w:vAlign w:val="center"/>
          </w:tcPr>
          <w:p w14:paraId="58231809">
            <w:pPr>
              <w:spacing w:line="360" w:lineRule="auto"/>
              <w:jc w:val="center"/>
              <w:rPr>
                <w:rFonts w:hint="eastAsia" w:ascii="宋体" w:hAnsi="宋体" w:eastAsia="宋体" w:cs="宋体"/>
                <w:color w:val="auto"/>
                <w:szCs w:val="16"/>
                <w:highlight w:val="none"/>
              </w:rPr>
            </w:pPr>
            <w:r>
              <w:rPr>
                <w:rFonts w:hint="eastAsia" w:ascii="宋体" w:hAnsi="宋体" w:eastAsia="宋体" w:cs="宋体"/>
                <w:color w:val="auto"/>
                <w:szCs w:val="16"/>
                <w:highlight w:val="none"/>
              </w:rPr>
              <w:t>项目质量</w:t>
            </w:r>
          </w:p>
        </w:tc>
      </w:tr>
      <w:tr w14:paraId="7680F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071" w:type="dxa"/>
            <w:gridSpan w:val="2"/>
            <w:noWrap/>
            <w:vAlign w:val="center"/>
          </w:tcPr>
          <w:p w14:paraId="381CF72C">
            <w:pPr>
              <w:spacing w:line="360" w:lineRule="auto"/>
              <w:jc w:val="center"/>
              <w:rPr>
                <w:rFonts w:hint="eastAsia" w:ascii="宋体" w:hAnsi="宋体" w:eastAsia="宋体" w:cs="宋体"/>
                <w:color w:val="auto"/>
                <w:szCs w:val="16"/>
                <w:highlight w:val="none"/>
              </w:rPr>
            </w:pPr>
          </w:p>
        </w:tc>
        <w:tc>
          <w:tcPr>
            <w:tcW w:w="1680" w:type="dxa"/>
            <w:gridSpan w:val="2"/>
            <w:noWrap/>
            <w:vAlign w:val="center"/>
          </w:tcPr>
          <w:p w14:paraId="43DDC913">
            <w:pPr>
              <w:spacing w:line="360" w:lineRule="auto"/>
              <w:jc w:val="center"/>
              <w:rPr>
                <w:rFonts w:hint="eastAsia" w:ascii="宋体" w:hAnsi="宋体" w:eastAsia="宋体" w:cs="宋体"/>
                <w:color w:val="auto"/>
                <w:szCs w:val="16"/>
                <w:highlight w:val="none"/>
              </w:rPr>
            </w:pPr>
          </w:p>
        </w:tc>
        <w:tc>
          <w:tcPr>
            <w:tcW w:w="1580" w:type="dxa"/>
            <w:gridSpan w:val="4"/>
            <w:noWrap/>
            <w:vAlign w:val="center"/>
          </w:tcPr>
          <w:p w14:paraId="70A2D005">
            <w:pPr>
              <w:spacing w:line="360" w:lineRule="auto"/>
              <w:jc w:val="center"/>
              <w:rPr>
                <w:rFonts w:hint="eastAsia" w:ascii="宋体" w:hAnsi="宋体" w:eastAsia="宋体" w:cs="宋体"/>
                <w:color w:val="auto"/>
                <w:szCs w:val="16"/>
                <w:highlight w:val="none"/>
              </w:rPr>
            </w:pPr>
          </w:p>
        </w:tc>
        <w:tc>
          <w:tcPr>
            <w:tcW w:w="1560" w:type="dxa"/>
            <w:gridSpan w:val="2"/>
            <w:noWrap/>
            <w:vAlign w:val="center"/>
          </w:tcPr>
          <w:p w14:paraId="372E1EE2">
            <w:pPr>
              <w:spacing w:line="360" w:lineRule="auto"/>
              <w:jc w:val="center"/>
              <w:rPr>
                <w:rFonts w:hint="eastAsia" w:ascii="宋体" w:hAnsi="宋体" w:eastAsia="宋体" w:cs="宋体"/>
                <w:color w:val="auto"/>
                <w:szCs w:val="16"/>
                <w:highlight w:val="none"/>
              </w:rPr>
            </w:pPr>
          </w:p>
        </w:tc>
        <w:tc>
          <w:tcPr>
            <w:tcW w:w="1050" w:type="dxa"/>
            <w:gridSpan w:val="2"/>
            <w:noWrap/>
            <w:vAlign w:val="center"/>
          </w:tcPr>
          <w:p w14:paraId="5BBC2F89">
            <w:pPr>
              <w:spacing w:line="360" w:lineRule="auto"/>
              <w:jc w:val="center"/>
              <w:rPr>
                <w:rFonts w:hint="eastAsia" w:ascii="宋体" w:hAnsi="宋体" w:eastAsia="宋体" w:cs="宋体"/>
                <w:color w:val="auto"/>
                <w:szCs w:val="16"/>
                <w:highlight w:val="none"/>
              </w:rPr>
            </w:pPr>
          </w:p>
        </w:tc>
        <w:tc>
          <w:tcPr>
            <w:tcW w:w="1497" w:type="dxa"/>
            <w:noWrap/>
            <w:vAlign w:val="center"/>
          </w:tcPr>
          <w:p w14:paraId="6FA7D872">
            <w:pPr>
              <w:spacing w:line="360" w:lineRule="auto"/>
              <w:jc w:val="center"/>
              <w:rPr>
                <w:rFonts w:hint="eastAsia" w:ascii="宋体" w:hAnsi="宋体" w:eastAsia="宋体" w:cs="宋体"/>
                <w:color w:val="auto"/>
                <w:szCs w:val="16"/>
                <w:highlight w:val="none"/>
              </w:rPr>
            </w:pPr>
          </w:p>
        </w:tc>
      </w:tr>
    </w:tbl>
    <w:p w14:paraId="53D651F0">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clear="all"/>
      </w:r>
    </w:p>
    <w:p w14:paraId="1C04C8E8">
      <w:pPr>
        <w:pStyle w:val="5"/>
        <w:numPr>
          <w:ilvl w:val="0"/>
          <w:numId w:val="14"/>
        </w:numPr>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项目技术负责人简历表</w:t>
      </w:r>
    </w:p>
    <w:p w14:paraId="4CBFC92F">
      <w:pPr>
        <w:numPr>
          <w:ilvl w:val="0"/>
          <w:numId w:val="0"/>
        </w:numPr>
        <w:ind w:leftChars="0"/>
        <w:rPr>
          <w:rFonts w:hint="eastAsia"/>
        </w:rPr>
      </w:pPr>
    </w:p>
    <w:tbl>
      <w:tblPr>
        <w:tblStyle w:val="40"/>
        <w:tblpPr w:leftFromText="180" w:rightFromText="180" w:vertAnchor="text" w:horzAnchor="page" w:tblpX="1416" w:tblpY="568"/>
        <w:tblW w:w="9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745"/>
        <w:gridCol w:w="935"/>
        <w:gridCol w:w="745"/>
        <w:gridCol w:w="185"/>
        <w:gridCol w:w="840"/>
        <w:gridCol w:w="540"/>
        <w:gridCol w:w="15"/>
        <w:gridCol w:w="1485"/>
        <w:gridCol w:w="75"/>
        <w:gridCol w:w="825"/>
        <w:gridCol w:w="225"/>
        <w:gridCol w:w="315"/>
        <w:gridCol w:w="1890"/>
      </w:tblGrid>
      <w:tr w14:paraId="0488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5" w:type="dxa"/>
            <w:noWrap/>
            <w:vAlign w:val="center"/>
          </w:tcPr>
          <w:p w14:paraId="37922CC2">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2610" w:type="dxa"/>
            <w:gridSpan w:val="4"/>
            <w:noWrap/>
            <w:vAlign w:val="center"/>
          </w:tcPr>
          <w:p w14:paraId="57355A94">
            <w:pPr>
              <w:spacing w:line="360" w:lineRule="auto"/>
              <w:jc w:val="center"/>
              <w:rPr>
                <w:rFonts w:hint="eastAsia" w:ascii="宋体" w:hAnsi="宋体" w:eastAsia="宋体" w:cs="宋体"/>
                <w:color w:val="auto"/>
                <w:highlight w:val="none"/>
              </w:rPr>
            </w:pPr>
          </w:p>
        </w:tc>
        <w:tc>
          <w:tcPr>
            <w:tcW w:w="840" w:type="dxa"/>
            <w:noWrap/>
            <w:vAlign w:val="center"/>
          </w:tcPr>
          <w:p w14:paraId="1D285BBB">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性别</w:t>
            </w:r>
          </w:p>
        </w:tc>
        <w:tc>
          <w:tcPr>
            <w:tcW w:w="2040" w:type="dxa"/>
            <w:gridSpan w:val="3"/>
            <w:noWrap/>
            <w:vAlign w:val="center"/>
          </w:tcPr>
          <w:p w14:paraId="3E2DB299">
            <w:pPr>
              <w:spacing w:line="360" w:lineRule="auto"/>
              <w:jc w:val="center"/>
              <w:rPr>
                <w:rFonts w:hint="eastAsia" w:ascii="宋体" w:hAnsi="宋体" w:eastAsia="宋体" w:cs="宋体"/>
                <w:color w:val="auto"/>
                <w:highlight w:val="none"/>
              </w:rPr>
            </w:pPr>
          </w:p>
        </w:tc>
        <w:tc>
          <w:tcPr>
            <w:tcW w:w="900" w:type="dxa"/>
            <w:gridSpan w:val="2"/>
            <w:noWrap/>
            <w:vAlign w:val="center"/>
          </w:tcPr>
          <w:p w14:paraId="7D91A628">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年龄</w:t>
            </w:r>
          </w:p>
        </w:tc>
        <w:tc>
          <w:tcPr>
            <w:tcW w:w="2430" w:type="dxa"/>
            <w:gridSpan w:val="3"/>
            <w:noWrap/>
            <w:vAlign w:val="center"/>
          </w:tcPr>
          <w:p w14:paraId="59F3B251">
            <w:pPr>
              <w:spacing w:line="360" w:lineRule="auto"/>
              <w:jc w:val="center"/>
              <w:rPr>
                <w:rFonts w:hint="eastAsia" w:ascii="宋体" w:hAnsi="宋体" w:eastAsia="宋体" w:cs="宋体"/>
                <w:color w:val="auto"/>
                <w:highlight w:val="none"/>
              </w:rPr>
            </w:pPr>
          </w:p>
        </w:tc>
      </w:tr>
      <w:tr w14:paraId="13BD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735" w:type="dxa"/>
            <w:noWrap/>
            <w:vAlign w:val="center"/>
          </w:tcPr>
          <w:p w14:paraId="02B775F3">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职务</w:t>
            </w:r>
          </w:p>
        </w:tc>
        <w:tc>
          <w:tcPr>
            <w:tcW w:w="2610" w:type="dxa"/>
            <w:gridSpan w:val="4"/>
            <w:noWrap/>
            <w:vAlign w:val="center"/>
          </w:tcPr>
          <w:p w14:paraId="55A27E10">
            <w:pPr>
              <w:spacing w:line="360" w:lineRule="auto"/>
              <w:jc w:val="center"/>
              <w:rPr>
                <w:rFonts w:hint="eastAsia" w:ascii="宋体" w:hAnsi="宋体" w:eastAsia="宋体" w:cs="宋体"/>
                <w:color w:val="auto"/>
                <w:highlight w:val="none"/>
              </w:rPr>
            </w:pPr>
          </w:p>
        </w:tc>
        <w:tc>
          <w:tcPr>
            <w:tcW w:w="840" w:type="dxa"/>
            <w:noWrap/>
            <w:vAlign w:val="center"/>
          </w:tcPr>
          <w:p w14:paraId="71593160">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2040" w:type="dxa"/>
            <w:gridSpan w:val="3"/>
            <w:noWrap/>
            <w:vAlign w:val="center"/>
          </w:tcPr>
          <w:p w14:paraId="201FC22F">
            <w:pPr>
              <w:spacing w:line="360" w:lineRule="auto"/>
              <w:jc w:val="center"/>
              <w:rPr>
                <w:rFonts w:hint="eastAsia" w:ascii="宋体" w:hAnsi="宋体" w:eastAsia="宋体" w:cs="宋体"/>
                <w:color w:val="auto"/>
                <w:highlight w:val="none"/>
              </w:rPr>
            </w:pPr>
          </w:p>
        </w:tc>
        <w:tc>
          <w:tcPr>
            <w:tcW w:w="900" w:type="dxa"/>
            <w:gridSpan w:val="2"/>
            <w:noWrap/>
            <w:vAlign w:val="center"/>
          </w:tcPr>
          <w:p w14:paraId="2070ACB4">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学历</w:t>
            </w:r>
          </w:p>
        </w:tc>
        <w:tc>
          <w:tcPr>
            <w:tcW w:w="2430" w:type="dxa"/>
            <w:gridSpan w:val="3"/>
            <w:noWrap/>
            <w:vAlign w:val="center"/>
          </w:tcPr>
          <w:p w14:paraId="0B9606C0">
            <w:pPr>
              <w:spacing w:line="360" w:lineRule="auto"/>
              <w:jc w:val="center"/>
              <w:rPr>
                <w:rFonts w:hint="eastAsia" w:ascii="宋体" w:hAnsi="宋体" w:eastAsia="宋体" w:cs="宋体"/>
                <w:color w:val="auto"/>
                <w:highlight w:val="none"/>
              </w:rPr>
            </w:pPr>
          </w:p>
        </w:tc>
      </w:tr>
      <w:tr w14:paraId="449B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415" w:type="dxa"/>
            <w:gridSpan w:val="3"/>
            <w:noWrap/>
            <w:vAlign w:val="center"/>
          </w:tcPr>
          <w:p w14:paraId="1314461E">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参加工作时间</w:t>
            </w:r>
          </w:p>
        </w:tc>
        <w:tc>
          <w:tcPr>
            <w:tcW w:w="2310" w:type="dxa"/>
            <w:gridSpan w:val="4"/>
            <w:noWrap/>
            <w:vAlign w:val="center"/>
          </w:tcPr>
          <w:p w14:paraId="099E7BD2">
            <w:pPr>
              <w:spacing w:line="360" w:lineRule="auto"/>
              <w:jc w:val="center"/>
              <w:rPr>
                <w:rFonts w:hint="eastAsia" w:ascii="宋体" w:hAnsi="宋体" w:eastAsia="宋体" w:cs="宋体"/>
                <w:color w:val="auto"/>
                <w:highlight w:val="none"/>
              </w:rPr>
            </w:pPr>
          </w:p>
        </w:tc>
        <w:tc>
          <w:tcPr>
            <w:tcW w:w="2625" w:type="dxa"/>
            <w:gridSpan w:val="5"/>
            <w:noWrap/>
            <w:vAlign w:val="center"/>
          </w:tcPr>
          <w:p w14:paraId="31E16E16">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担任技术负责人年限</w:t>
            </w:r>
          </w:p>
        </w:tc>
        <w:tc>
          <w:tcPr>
            <w:tcW w:w="2205" w:type="dxa"/>
            <w:gridSpan w:val="2"/>
            <w:noWrap/>
            <w:vAlign w:val="center"/>
          </w:tcPr>
          <w:p w14:paraId="31243CC1">
            <w:pPr>
              <w:spacing w:line="360" w:lineRule="auto"/>
              <w:jc w:val="center"/>
              <w:rPr>
                <w:rFonts w:hint="eastAsia" w:ascii="宋体" w:hAnsi="宋体" w:eastAsia="宋体" w:cs="宋体"/>
                <w:color w:val="auto"/>
                <w:highlight w:val="none"/>
              </w:rPr>
            </w:pPr>
          </w:p>
        </w:tc>
      </w:tr>
      <w:tr w14:paraId="5697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555" w:type="dxa"/>
            <w:gridSpan w:val="14"/>
            <w:noWrap/>
            <w:vAlign w:val="center"/>
          </w:tcPr>
          <w:p w14:paraId="5573494A">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在建和已完项目情况</w:t>
            </w:r>
          </w:p>
        </w:tc>
      </w:tr>
      <w:tr w14:paraId="5B1B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80" w:type="dxa"/>
            <w:gridSpan w:val="2"/>
            <w:noWrap/>
            <w:vAlign w:val="center"/>
          </w:tcPr>
          <w:p w14:paraId="7BCAC3E5">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建设单位</w:t>
            </w:r>
          </w:p>
        </w:tc>
        <w:tc>
          <w:tcPr>
            <w:tcW w:w="1680" w:type="dxa"/>
            <w:gridSpan w:val="2"/>
            <w:noWrap/>
            <w:vAlign w:val="center"/>
          </w:tcPr>
          <w:p w14:paraId="13A8BDAA">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1580" w:type="dxa"/>
            <w:gridSpan w:val="4"/>
            <w:noWrap/>
            <w:vAlign w:val="center"/>
          </w:tcPr>
          <w:p w14:paraId="1C671ED1">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建设规模</w:t>
            </w:r>
          </w:p>
        </w:tc>
        <w:tc>
          <w:tcPr>
            <w:tcW w:w="1560" w:type="dxa"/>
            <w:gridSpan w:val="2"/>
            <w:noWrap/>
            <w:vAlign w:val="center"/>
          </w:tcPr>
          <w:p w14:paraId="73AF0DA4">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开、竣工</w:t>
            </w:r>
          </w:p>
          <w:p w14:paraId="24398BEE">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日期</w:t>
            </w:r>
          </w:p>
        </w:tc>
        <w:tc>
          <w:tcPr>
            <w:tcW w:w="1365" w:type="dxa"/>
            <w:gridSpan w:val="3"/>
            <w:noWrap/>
            <w:vAlign w:val="center"/>
          </w:tcPr>
          <w:p w14:paraId="50D8701C">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在建或</w:t>
            </w:r>
          </w:p>
          <w:p w14:paraId="3E439E02">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已 完</w:t>
            </w:r>
          </w:p>
        </w:tc>
        <w:tc>
          <w:tcPr>
            <w:tcW w:w="1890" w:type="dxa"/>
            <w:noWrap/>
            <w:vAlign w:val="center"/>
          </w:tcPr>
          <w:p w14:paraId="535BF84C">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项目质量</w:t>
            </w:r>
          </w:p>
        </w:tc>
      </w:tr>
      <w:tr w14:paraId="3CB0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80" w:type="dxa"/>
            <w:gridSpan w:val="2"/>
            <w:noWrap/>
            <w:vAlign w:val="center"/>
          </w:tcPr>
          <w:p w14:paraId="1E341CD4">
            <w:pPr>
              <w:spacing w:line="360" w:lineRule="auto"/>
              <w:jc w:val="center"/>
              <w:rPr>
                <w:rFonts w:hint="eastAsia" w:ascii="宋体" w:hAnsi="宋体" w:eastAsia="宋体" w:cs="宋体"/>
                <w:color w:val="auto"/>
                <w:highlight w:val="none"/>
              </w:rPr>
            </w:pPr>
          </w:p>
        </w:tc>
        <w:tc>
          <w:tcPr>
            <w:tcW w:w="1680" w:type="dxa"/>
            <w:gridSpan w:val="2"/>
            <w:noWrap/>
            <w:vAlign w:val="center"/>
          </w:tcPr>
          <w:p w14:paraId="2DDCDB42">
            <w:pPr>
              <w:spacing w:line="360" w:lineRule="auto"/>
              <w:jc w:val="center"/>
              <w:rPr>
                <w:rFonts w:hint="eastAsia" w:ascii="宋体" w:hAnsi="宋体" w:eastAsia="宋体" w:cs="宋体"/>
                <w:color w:val="auto"/>
                <w:highlight w:val="none"/>
              </w:rPr>
            </w:pPr>
          </w:p>
        </w:tc>
        <w:tc>
          <w:tcPr>
            <w:tcW w:w="1580" w:type="dxa"/>
            <w:gridSpan w:val="4"/>
            <w:noWrap/>
            <w:vAlign w:val="center"/>
          </w:tcPr>
          <w:p w14:paraId="6BC71F32">
            <w:pPr>
              <w:spacing w:line="360" w:lineRule="auto"/>
              <w:jc w:val="center"/>
              <w:rPr>
                <w:rFonts w:hint="eastAsia" w:ascii="宋体" w:hAnsi="宋体" w:eastAsia="宋体" w:cs="宋体"/>
                <w:color w:val="auto"/>
                <w:highlight w:val="none"/>
              </w:rPr>
            </w:pPr>
          </w:p>
        </w:tc>
        <w:tc>
          <w:tcPr>
            <w:tcW w:w="1560" w:type="dxa"/>
            <w:gridSpan w:val="2"/>
            <w:noWrap/>
            <w:vAlign w:val="center"/>
          </w:tcPr>
          <w:p w14:paraId="50FFDE17">
            <w:pPr>
              <w:spacing w:line="360" w:lineRule="auto"/>
              <w:jc w:val="center"/>
              <w:rPr>
                <w:rFonts w:hint="eastAsia" w:ascii="宋体" w:hAnsi="宋体" w:eastAsia="宋体" w:cs="宋体"/>
                <w:color w:val="auto"/>
                <w:highlight w:val="none"/>
              </w:rPr>
            </w:pPr>
          </w:p>
        </w:tc>
        <w:tc>
          <w:tcPr>
            <w:tcW w:w="1365" w:type="dxa"/>
            <w:gridSpan w:val="3"/>
            <w:noWrap/>
            <w:vAlign w:val="center"/>
          </w:tcPr>
          <w:p w14:paraId="70E63CC1">
            <w:pPr>
              <w:spacing w:line="360" w:lineRule="auto"/>
              <w:jc w:val="center"/>
              <w:rPr>
                <w:rFonts w:hint="eastAsia" w:ascii="宋体" w:hAnsi="宋体" w:eastAsia="宋体" w:cs="宋体"/>
                <w:color w:val="auto"/>
                <w:highlight w:val="none"/>
              </w:rPr>
            </w:pPr>
          </w:p>
        </w:tc>
        <w:tc>
          <w:tcPr>
            <w:tcW w:w="1890" w:type="dxa"/>
            <w:noWrap/>
            <w:vAlign w:val="center"/>
          </w:tcPr>
          <w:p w14:paraId="0F2684DF">
            <w:pPr>
              <w:spacing w:line="360" w:lineRule="auto"/>
              <w:jc w:val="center"/>
              <w:rPr>
                <w:rFonts w:hint="eastAsia" w:ascii="宋体" w:hAnsi="宋体" w:eastAsia="宋体" w:cs="宋体"/>
                <w:color w:val="auto"/>
                <w:highlight w:val="none"/>
              </w:rPr>
            </w:pPr>
          </w:p>
        </w:tc>
      </w:tr>
      <w:tr w14:paraId="61A7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80" w:type="dxa"/>
            <w:gridSpan w:val="2"/>
            <w:noWrap/>
            <w:vAlign w:val="center"/>
          </w:tcPr>
          <w:p w14:paraId="4053BF3C">
            <w:pPr>
              <w:spacing w:line="360" w:lineRule="auto"/>
              <w:jc w:val="center"/>
              <w:rPr>
                <w:rFonts w:hint="eastAsia" w:ascii="宋体" w:hAnsi="宋体" w:eastAsia="宋体" w:cs="宋体"/>
                <w:color w:val="auto"/>
                <w:highlight w:val="none"/>
              </w:rPr>
            </w:pPr>
          </w:p>
        </w:tc>
        <w:tc>
          <w:tcPr>
            <w:tcW w:w="1680" w:type="dxa"/>
            <w:gridSpan w:val="2"/>
            <w:noWrap/>
            <w:vAlign w:val="center"/>
          </w:tcPr>
          <w:p w14:paraId="6D112081">
            <w:pPr>
              <w:spacing w:line="360" w:lineRule="auto"/>
              <w:jc w:val="center"/>
              <w:rPr>
                <w:rFonts w:hint="eastAsia" w:ascii="宋体" w:hAnsi="宋体" w:eastAsia="宋体" w:cs="宋体"/>
                <w:color w:val="auto"/>
                <w:highlight w:val="none"/>
              </w:rPr>
            </w:pPr>
          </w:p>
        </w:tc>
        <w:tc>
          <w:tcPr>
            <w:tcW w:w="1580" w:type="dxa"/>
            <w:gridSpan w:val="4"/>
            <w:noWrap/>
            <w:vAlign w:val="center"/>
          </w:tcPr>
          <w:p w14:paraId="16CE1C6B">
            <w:pPr>
              <w:spacing w:line="360" w:lineRule="auto"/>
              <w:jc w:val="center"/>
              <w:rPr>
                <w:rFonts w:hint="eastAsia" w:ascii="宋体" w:hAnsi="宋体" w:eastAsia="宋体" w:cs="宋体"/>
                <w:color w:val="auto"/>
                <w:highlight w:val="none"/>
              </w:rPr>
            </w:pPr>
          </w:p>
        </w:tc>
        <w:tc>
          <w:tcPr>
            <w:tcW w:w="1560" w:type="dxa"/>
            <w:gridSpan w:val="2"/>
            <w:noWrap/>
            <w:vAlign w:val="center"/>
          </w:tcPr>
          <w:p w14:paraId="2528DED7">
            <w:pPr>
              <w:spacing w:line="360" w:lineRule="auto"/>
              <w:jc w:val="center"/>
              <w:rPr>
                <w:rFonts w:hint="eastAsia" w:ascii="宋体" w:hAnsi="宋体" w:eastAsia="宋体" w:cs="宋体"/>
                <w:color w:val="auto"/>
                <w:highlight w:val="none"/>
              </w:rPr>
            </w:pPr>
          </w:p>
        </w:tc>
        <w:tc>
          <w:tcPr>
            <w:tcW w:w="1365" w:type="dxa"/>
            <w:gridSpan w:val="3"/>
            <w:noWrap/>
            <w:vAlign w:val="center"/>
          </w:tcPr>
          <w:p w14:paraId="716376EC">
            <w:pPr>
              <w:spacing w:line="360" w:lineRule="auto"/>
              <w:jc w:val="center"/>
              <w:rPr>
                <w:rFonts w:hint="eastAsia" w:ascii="宋体" w:hAnsi="宋体" w:eastAsia="宋体" w:cs="宋体"/>
                <w:color w:val="auto"/>
                <w:highlight w:val="none"/>
              </w:rPr>
            </w:pPr>
          </w:p>
        </w:tc>
        <w:tc>
          <w:tcPr>
            <w:tcW w:w="1890" w:type="dxa"/>
            <w:noWrap/>
            <w:vAlign w:val="center"/>
          </w:tcPr>
          <w:p w14:paraId="1E072CC9">
            <w:pPr>
              <w:spacing w:line="360" w:lineRule="auto"/>
              <w:jc w:val="center"/>
              <w:rPr>
                <w:rFonts w:hint="eastAsia" w:ascii="宋体" w:hAnsi="宋体" w:eastAsia="宋体" w:cs="宋体"/>
                <w:color w:val="auto"/>
                <w:highlight w:val="none"/>
              </w:rPr>
            </w:pPr>
          </w:p>
        </w:tc>
      </w:tr>
    </w:tbl>
    <w:p w14:paraId="5EAB6943">
      <w:pPr>
        <w:spacing w:line="360" w:lineRule="auto"/>
        <w:jc w:val="both"/>
        <w:rPr>
          <w:rFonts w:hint="eastAsia" w:ascii="宋体" w:hAnsi="宋体" w:eastAsia="宋体" w:cs="宋体"/>
          <w:color w:val="auto"/>
          <w:highlight w:val="none"/>
        </w:rPr>
      </w:pPr>
      <w:r>
        <w:rPr>
          <w:rFonts w:hint="eastAsia" w:ascii="宋体" w:hAnsi="宋体" w:eastAsia="宋体" w:cs="宋体"/>
          <w:color w:val="auto"/>
          <w:sz w:val="24"/>
          <w:highlight w:val="none"/>
        </w:rPr>
        <w:t>工程名称：</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Cs w:val="16"/>
          <w:highlight w:val="none"/>
        </w:rPr>
        <w:tab/>
      </w:r>
      <w:r>
        <w:rPr>
          <w:rFonts w:hint="eastAsia" w:ascii="宋体" w:hAnsi="宋体" w:eastAsia="宋体" w:cs="宋体"/>
          <w:color w:val="auto"/>
          <w:sz w:val="24"/>
          <w:szCs w:val="15"/>
          <w:highlight w:val="none"/>
        </w:rPr>
        <w:t>表3</w:t>
      </w:r>
    </w:p>
    <w:p w14:paraId="6078153F">
      <w:pPr>
        <w:spacing w:line="360" w:lineRule="auto"/>
        <w:jc w:val="right"/>
        <w:rPr>
          <w:rFonts w:hint="eastAsia" w:ascii="宋体" w:hAnsi="宋体" w:eastAsia="宋体" w:cs="宋体"/>
          <w:color w:val="auto"/>
          <w:highlight w:val="none"/>
        </w:rPr>
      </w:pPr>
    </w:p>
    <w:p w14:paraId="0B590BC4">
      <w:pPr>
        <w:pStyle w:val="5"/>
        <w:ind w:left="420"/>
        <w:jc w:val="center"/>
        <w:rPr>
          <w:rFonts w:hint="eastAsia" w:ascii="宋体" w:hAnsi="宋体" w:eastAsia="宋体" w:cs="宋体"/>
          <w:color w:val="auto"/>
          <w:sz w:val="24"/>
          <w:szCs w:val="24"/>
          <w:highlight w:val="none"/>
        </w:rPr>
      </w:pPr>
    </w:p>
    <w:p w14:paraId="72C95D0F">
      <w:pPr>
        <w:pStyle w:val="5"/>
        <w:numPr>
          <w:ilvl w:val="0"/>
          <w:numId w:val="14"/>
        </w:numPr>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项目管理机构配备情况辅助说明资料</w:t>
      </w:r>
    </w:p>
    <w:p w14:paraId="0B3CE894">
      <w:pPr>
        <w:numPr>
          <w:ilvl w:val="0"/>
          <w:numId w:val="0"/>
        </w:numPr>
        <w:ind w:leftChars="0"/>
        <w:rPr>
          <w:rFonts w:hint="eastAsia"/>
        </w:rPr>
      </w:pPr>
    </w:p>
    <w:p w14:paraId="417B41D3">
      <w:pPr>
        <w:ind w:left="420"/>
        <w:rPr>
          <w:rFonts w:hint="eastAsia" w:ascii="宋体" w:hAnsi="宋体" w:eastAsia="宋体" w:cs="宋体"/>
          <w:color w:val="auto"/>
          <w:highlight w:val="none"/>
        </w:rPr>
      </w:pPr>
      <w:r>
        <w:rPr>
          <w:rFonts w:hint="eastAsia" w:ascii="宋体" w:hAnsi="宋体" w:eastAsia="宋体" w:cs="宋体"/>
          <w:color w:val="auto"/>
          <w:sz w:val="24"/>
          <w:highlight w:val="none"/>
        </w:rPr>
        <w:t>工程名称：</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ab/>
      </w:r>
      <w:r>
        <w:rPr>
          <w:rFonts w:hint="eastAsia" w:ascii="宋体" w:hAnsi="宋体" w:eastAsia="宋体" w:cs="宋体"/>
          <w:color w:val="auto"/>
          <w:szCs w:val="16"/>
          <w:highlight w:val="none"/>
        </w:rPr>
        <w:tab/>
      </w:r>
      <w:r>
        <w:rPr>
          <w:rFonts w:hint="eastAsia" w:ascii="宋体" w:hAnsi="宋体" w:eastAsia="宋体" w:cs="宋体"/>
          <w:color w:val="auto"/>
          <w:sz w:val="24"/>
          <w:szCs w:val="15"/>
          <w:highlight w:val="none"/>
        </w:rPr>
        <w:t>表4</w:t>
      </w:r>
    </w:p>
    <w:tbl>
      <w:tblPr>
        <w:tblStyle w:val="40"/>
        <w:tblW w:w="9538"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8"/>
      </w:tblGrid>
      <w:tr w14:paraId="3C66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9538" w:type="dxa"/>
            <w:noWrap/>
          </w:tcPr>
          <w:p w14:paraId="3FC9A4EC">
            <w:pPr>
              <w:tabs>
                <w:tab w:val="left" w:pos="0"/>
              </w:tabs>
              <w:spacing w:line="360" w:lineRule="auto"/>
              <w:ind w:right="-212"/>
              <w:jc w:val="center"/>
              <w:rPr>
                <w:rFonts w:hint="eastAsia" w:ascii="宋体" w:hAnsi="宋体" w:eastAsia="宋体" w:cs="宋体"/>
                <w:b/>
                <w:color w:val="auto"/>
                <w:highlight w:val="none"/>
              </w:rPr>
            </w:pPr>
          </w:p>
          <w:p w14:paraId="518D4885">
            <w:pPr>
              <w:tabs>
                <w:tab w:val="left" w:pos="0"/>
              </w:tabs>
              <w:spacing w:line="360" w:lineRule="auto"/>
              <w:ind w:right="-212"/>
              <w:jc w:val="center"/>
              <w:rPr>
                <w:rFonts w:hint="eastAsia" w:ascii="宋体" w:hAnsi="宋体" w:eastAsia="宋体" w:cs="宋体"/>
                <w:b/>
                <w:color w:val="auto"/>
                <w:highlight w:val="none"/>
              </w:rPr>
            </w:pPr>
          </w:p>
          <w:p w14:paraId="7B3869CB">
            <w:pPr>
              <w:tabs>
                <w:tab w:val="left" w:pos="0"/>
              </w:tabs>
              <w:spacing w:line="360" w:lineRule="auto"/>
              <w:ind w:right="-212"/>
              <w:jc w:val="center"/>
              <w:rPr>
                <w:rFonts w:hint="eastAsia" w:ascii="宋体" w:hAnsi="宋体" w:eastAsia="宋体" w:cs="宋体"/>
                <w:b/>
                <w:color w:val="auto"/>
                <w:highlight w:val="none"/>
              </w:rPr>
            </w:pPr>
          </w:p>
          <w:p w14:paraId="16C43649">
            <w:pPr>
              <w:tabs>
                <w:tab w:val="left" w:pos="0"/>
              </w:tabs>
              <w:spacing w:line="360" w:lineRule="auto"/>
              <w:ind w:right="-212"/>
              <w:jc w:val="center"/>
              <w:rPr>
                <w:rFonts w:hint="eastAsia" w:ascii="宋体" w:hAnsi="宋体" w:eastAsia="宋体" w:cs="宋体"/>
                <w:b/>
                <w:color w:val="auto"/>
                <w:highlight w:val="none"/>
              </w:rPr>
            </w:pPr>
          </w:p>
          <w:p w14:paraId="7BA44633">
            <w:pPr>
              <w:tabs>
                <w:tab w:val="left" w:pos="0"/>
              </w:tabs>
              <w:spacing w:line="360" w:lineRule="auto"/>
              <w:ind w:right="-212"/>
              <w:jc w:val="center"/>
              <w:rPr>
                <w:rFonts w:hint="eastAsia" w:ascii="宋体" w:hAnsi="宋体" w:eastAsia="宋体" w:cs="宋体"/>
                <w:b/>
                <w:color w:val="auto"/>
                <w:highlight w:val="none"/>
              </w:rPr>
            </w:pPr>
          </w:p>
          <w:p w14:paraId="61119FDF">
            <w:pPr>
              <w:tabs>
                <w:tab w:val="left" w:pos="0"/>
              </w:tabs>
              <w:spacing w:line="360" w:lineRule="auto"/>
              <w:ind w:right="-212"/>
              <w:jc w:val="center"/>
              <w:rPr>
                <w:rFonts w:hint="eastAsia" w:ascii="宋体" w:hAnsi="宋体" w:eastAsia="宋体" w:cs="宋体"/>
                <w:b/>
                <w:color w:val="auto"/>
                <w:highlight w:val="none"/>
              </w:rPr>
            </w:pPr>
          </w:p>
          <w:p w14:paraId="48D08738">
            <w:pPr>
              <w:tabs>
                <w:tab w:val="left" w:pos="0"/>
              </w:tabs>
              <w:spacing w:line="360" w:lineRule="auto"/>
              <w:ind w:right="-212"/>
              <w:jc w:val="center"/>
              <w:rPr>
                <w:rFonts w:hint="eastAsia" w:ascii="宋体" w:hAnsi="宋体" w:eastAsia="宋体" w:cs="宋体"/>
                <w:b/>
                <w:color w:val="auto"/>
                <w:highlight w:val="none"/>
              </w:rPr>
            </w:pPr>
          </w:p>
          <w:p w14:paraId="74EDC3DF">
            <w:pPr>
              <w:tabs>
                <w:tab w:val="left" w:pos="0"/>
              </w:tabs>
              <w:spacing w:line="360" w:lineRule="auto"/>
              <w:ind w:right="-212"/>
              <w:rPr>
                <w:rFonts w:hint="eastAsia" w:ascii="宋体" w:hAnsi="宋体" w:eastAsia="宋体" w:cs="宋体"/>
                <w:color w:val="auto"/>
                <w:highlight w:val="none"/>
              </w:rPr>
            </w:pPr>
          </w:p>
        </w:tc>
      </w:tr>
    </w:tbl>
    <w:p w14:paraId="64B2826A">
      <w:pPr>
        <w:pStyle w:val="23"/>
        <w:spacing w:before="120" w:line="360" w:lineRule="auto"/>
        <w:ind w:right="34"/>
        <w:rPr>
          <w:rFonts w:hint="eastAsia" w:ascii="宋体" w:hAnsi="宋体" w:eastAsia="宋体" w:cs="宋体"/>
          <w:color w:val="auto"/>
          <w:highlight w:val="none"/>
        </w:rPr>
      </w:pPr>
      <w:r>
        <w:rPr>
          <w:rFonts w:hint="eastAsia" w:ascii="宋体" w:hAnsi="宋体" w:eastAsia="宋体" w:cs="宋体"/>
          <w:color w:val="auto"/>
          <w:highlight w:val="none"/>
        </w:rPr>
        <w:t>注：1.辅助说明资料主要包括管理机构的机构设置、职责分工、有关复印证明资料以及报价供应商认为有必要提供的资料。辅助说明资料格式不作统一规定，由报价供应商自行设计。</w:t>
      </w:r>
    </w:p>
    <w:p w14:paraId="74BAEDD8">
      <w:pPr>
        <w:pStyle w:val="23"/>
        <w:spacing w:line="360" w:lineRule="auto"/>
        <w:ind w:right="34"/>
        <w:rPr>
          <w:rFonts w:hint="eastAsia" w:ascii="宋体" w:hAnsi="宋体" w:eastAsia="宋体" w:cs="宋体"/>
          <w:color w:val="auto"/>
          <w:highlight w:val="none"/>
        </w:rPr>
      </w:pPr>
      <w:r>
        <w:rPr>
          <w:rFonts w:hint="eastAsia" w:ascii="宋体" w:hAnsi="宋体" w:eastAsia="宋体" w:cs="宋体"/>
          <w:color w:val="auto"/>
          <w:highlight w:val="none"/>
        </w:rPr>
        <w:t>2.项目管理班子配备情况辅助说明资料另附（与本响应文件一起上传）。</w:t>
      </w:r>
    </w:p>
    <w:p w14:paraId="31DBDF29">
      <w:pPr>
        <w:jc w:val="left"/>
        <w:outlineLvl w:val="0"/>
        <w:rPr>
          <w:rFonts w:hint="eastAsia" w:ascii="宋体" w:hAnsi="宋体" w:eastAsia="宋体" w:cs="宋体"/>
          <w:color w:val="auto"/>
          <w:sz w:val="24"/>
          <w:szCs w:val="24"/>
          <w:highlight w:val="none"/>
        </w:rPr>
      </w:pPr>
    </w:p>
    <w:p w14:paraId="22182607">
      <w:pPr>
        <w:jc w:val="left"/>
        <w:outlineLvl w:val="0"/>
        <w:rPr>
          <w:rFonts w:hint="eastAsia" w:ascii="宋体" w:hAnsi="宋体" w:eastAsia="宋体" w:cs="宋体"/>
          <w:color w:val="auto"/>
          <w:sz w:val="24"/>
          <w:szCs w:val="24"/>
          <w:highlight w:val="none"/>
        </w:rPr>
      </w:pPr>
    </w:p>
    <w:p w14:paraId="00195CCB">
      <w:pPr>
        <w:rPr>
          <w:rFonts w:hint="eastAsia" w:ascii="宋体" w:hAnsi="宋体" w:eastAsia="宋体" w:cs="宋体"/>
          <w:color w:val="auto"/>
          <w:highlight w:val="none"/>
        </w:rPr>
      </w:pPr>
    </w:p>
    <w:p w14:paraId="56BBB08E">
      <w:pPr>
        <w:jc w:val="left"/>
        <w:outlineLvl w:val="0"/>
        <w:rPr>
          <w:rFonts w:hint="eastAsia" w:ascii="宋体" w:hAnsi="宋体" w:eastAsia="宋体" w:cs="宋体"/>
          <w:color w:val="auto"/>
          <w:sz w:val="24"/>
          <w:szCs w:val="24"/>
          <w:highlight w:val="none"/>
        </w:rPr>
      </w:pPr>
    </w:p>
    <w:p w14:paraId="4D40FD50">
      <w:pPr>
        <w:jc w:val="left"/>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（七）报价供应商简介和经营情况说明表（格式）</w:t>
      </w:r>
    </w:p>
    <w:p w14:paraId="04F83BC7">
      <w:pPr>
        <w:spacing w:line="360" w:lineRule="auto"/>
        <w:jc w:val="center"/>
        <w:outlineLvl w:val="0"/>
        <w:rPr>
          <w:rFonts w:hint="eastAsia" w:ascii="宋体" w:hAnsi="宋体" w:eastAsia="宋体" w:cs="宋体"/>
          <w:color w:val="auto"/>
          <w:sz w:val="28"/>
          <w:szCs w:val="28"/>
          <w:highlight w:val="none"/>
        </w:rPr>
      </w:pPr>
    </w:p>
    <w:p w14:paraId="1023879B">
      <w:pPr>
        <w:spacing w:line="360" w:lineRule="auto"/>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报价供应商简介和经营情况说明表</w:t>
      </w:r>
    </w:p>
    <w:p w14:paraId="2704F99D">
      <w:pPr>
        <w:spacing w:line="4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（内容写不完的栏目可相应扩展）</w:t>
      </w:r>
    </w:p>
    <w:p w14:paraId="3834C449">
      <w:pPr>
        <w:pStyle w:val="13"/>
        <w:ind w:firstLine="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报价供应商（盖章）</w:t>
      </w:r>
    </w:p>
    <w:tbl>
      <w:tblPr>
        <w:tblStyle w:val="40"/>
        <w:tblW w:w="9127" w:type="dxa"/>
        <w:tblInd w:w="2"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108" w:type="dxa"/>
          <w:bottom w:w="0" w:type="dxa"/>
          <w:right w:w="108" w:type="dxa"/>
        </w:tblCellMar>
      </w:tblPr>
      <w:tblGrid>
        <w:gridCol w:w="2510"/>
        <w:gridCol w:w="2110"/>
        <w:gridCol w:w="149"/>
        <w:gridCol w:w="1940"/>
        <w:gridCol w:w="2418"/>
      </w:tblGrid>
      <w:tr w14:paraId="44EBAD5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PrEx>
        <w:tc>
          <w:tcPr>
            <w:tcW w:w="2510" w:type="dxa"/>
            <w:tcBorders>
              <w:top w:val="single" w:color="auto" w:sz="6" w:space="0"/>
              <w:bottom w:val="single" w:color="auto" w:sz="6" w:space="0"/>
              <w:right w:val="single" w:color="auto" w:sz="6" w:space="0"/>
            </w:tcBorders>
            <w:noWrap w:val="0"/>
          </w:tcPr>
          <w:p w14:paraId="71D284BA">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2259" w:type="dxa"/>
            <w:gridSpan w:val="2"/>
            <w:tcBorders>
              <w:top w:val="single" w:color="auto" w:sz="6" w:space="0"/>
              <w:left w:val="single" w:color="auto" w:sz="6" w:space="0"/>
              <w:bottom w:val="single" w:color="auto" w:sz="6" w:space="0"/>
              <w:right w:val="single" w:color="auto" w:sz="6" w:space="0"/>
            </w:tcBorders>
            <w:noWrap w:val="0"/>
          </w:tcPr>
          <w:p w14:paraId="769A0520">
            <w:pPr>
              <w:pStyle w:val="13"/>
              <w:spacing w:line="400" w:lineRule="exact"/>
              <w:ind w:firstLine="480"/>
              <w:rPr>
                <w:rFonts w:hint="eastAsia" w:ascii="宋体" w:hAnsi="宋体" w:eastAsia="宋体" w:cs="宋体"/>
                <w:color w:val="auto"/>
                <w:sz w:val="24"/>
                <w:szCs w:val="24"/>
                <w:highlight w:val="none"/>
              </w:rPr>
            </w:pPr>
          </w:p>
        </w:tc>
        <w:tc>
          <w:tcPr>
            <w:tcW w:w="1940" w:type="dxa"/>
            <w:tcBorders>
              <w:top w:val="single" w:color="auto" w:sz="6" w:space="0"/>
              <w:left w:val="single" w:color="auto" w:sz="6" w:space="0"/>
              <w:bottom w:val="single" w:color="auto" w:sz="6" w:space="0"/>
              <w:right w:val="single" w:color="auto" w:sz="6" w:space="0"/>
            </w:tcBorders>
            <w:noWrap w:val="0"/>
          </w:tcPr>
          <w:p w14:paraId="59D336C7">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成立日期</w:t>
            </w:r>
          </w:p>
        </w:tc>
        <w:tc>
          <w:tcPr>
            <w:tcW w:w="2418" w:type="dxa"/>
            <w:tcBorders>
              <w:top w:val="single" w:color="auto" w:sz="6" w:space="0"/>
              <w:left w:val="single" w:color="auto" w:sz="6" w:space="0"/>
              <w:bottom w:val="single" w:color="auto" w:sz="6" w:space="0"/>
            </w:tcBorders>
            <w:noWrap w:val="0"/>
          </w:tcPr>
          <w:p w14:paraId="2703BD22">
            <w:pPr>
              <w:pStyle w:val="13"/>
              <w:spacing w:line="400" w:lineRule="exact"/>
              <w:ind w:firstLine="480"/>
              <w:rPr>
                <w:rFonts w:hint="eastAsia" w:ascii="宋体" w:hAnsi="宋体" w:eastAsia="宋体" w:cs="宋体"/>
                <w:color w:val="auto"/>
                <w:sz w:val="24"/>
                <w:szCs w:val="24"/>
                <w:highlight w:val="none"/>
              </w:rPr>
            </w:pPr>
          </w:p>
        </w:tc>
      </w:tr>
      <w:tr w14:paraId="6ECFE9D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2510" w:type="dxa"/>
            <w:tcBorders>
              <w:top w:val="single" w:color="auto" w:sz="6" w:space="0"/>
              <w:bottom w:val="single" w:color="auto" w:sz="6" w:space="0"/>
              <w:right w:val="single" w:color="auto" w:sz="6" w:space="0"/>
            </w:tcBorders>
            <w:noWrap w:val="0"/>
          </w:tcPr>
          <w:p w14:paraId="4BFC1EF9">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企业地址</w:t>
            </w:r>
          </w:p>
        </w:tc>
        <w:tc>
          <w:tcPr>
            <w:tcW w:w="2259" w:type="dxa"/>
            <w:gridSpan w:val="2"/>
            <w:tcBorders>
              <w:top w:val="single" w:color="auto" w:sz="6" w:space="0"/>
              <w:left w:val="single" w:color="auto" w:sz="6" w:space="0"/>
              <w:bottom w:val="single" w:color="auto" w:sz="6" w:space="0"/>
              <w:right w:val="single" w:color="auto" w:sz="6" w:space="0"/>
            </w:tcBorders>
            <w:noWrap w:val="0"/>
          </w:tcPr>
          <w:p w14:paraId="6D12F7A8">
            <w:pPr>
              <w:pStyle w:val="13"/>
              <w:spacing w:line="400" w:lineRule="exact"/>
              <w:ind w:firstLine="480"/>
              <w:rPr>
                <w:rFonts w:hint="eastAsia" w:ascii="宋体" w:hAnsi="宋体" w:eastAsia="宋体" w:cs="宋体"/>
                <w:color w:val="auto"/>
                <w:sz w:val="24"/>
                <w:szCs w:val="24"/>
                <w:highlight w:val="none"/>
              </w:rPr>
            </w:pPr>
          </w:p>
        </w:tc>
        <w:tc>
          <w:tcPr>
            <w:tcW w:w="1940" w:type="dxa"/>
            <w:tcBorders>
              <w:top w:val="single" w:color="auto" w:sz="6" w:space="0"/>
              <w:left w:val="single" w:color="auto" w:sz="6" w:space="0"/>
              <w:bottom w:val="single" w:color="auto" w:sz="6" w:space="0"/>
              <w:right w:val="single" w:color="auto" w:sz="6" w:space="0"/>
            </w:tcBorders>
            <w:noWrap w:val="0"/>
          </w:tcPr>
          <w:p w14:paraId="6F05A69E">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注册资本</w:t>
            </w:r>
          </w:p>
        </w:tc>
        <w:tc>
          <w:tcPr>
            <w:tcW w:w="2418" w:type="dxa"/>
            <w:tcBorders>
              <w:top w:val="single" w:color="auto" w:sz="6" w:space="0"/>
              <w:left w:val="single" w:color="auto" w:sz="6" w:space="0"/>
              <w:bottom w:val="single" w:color="auto" w:sz="6" w:space="0"/>
            </w:tcBorders>
            <w:noWrap w:val="0"/>
          </w:tcPr>
          <w:p w14:paraId="7F2050EE">
            <w:pPr>
              <w:pStyle w:val="13"/>
              <w:spacing w:line="400" w:lineRule="exact"/>
              <w:ind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r>
      <w:tr w14:paraId="7EE6BEE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2510" w:type="dxa"/>
            <w:tcBorders>
              <w:top w:val="single" w:color="auto" w:sz="6" w:space="0"/>
              <w:bottom w:val="single" w:color="auto" w:sz="6" w:space="0"/>
              <w:right w:val="single" w:color="auto" w:sz="6" w:space="0"/>
            </w:tcBorders>
            <w:noWrap w:val="0"/>
          </w:tcPr>
          <w:p w14:paraId="140DE188">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6617" w:type="dxa"/>
            <w:gridSpan w:val="4"/>
            <w:tcBorders>
              <w:top w:val="single" w:color="auto" w:sz="6" w:space="0"/>
              <w:left w:val="single" w:color="auto" w:sz="6" w:space="0"/>
              <w:bottom w:val="single" w:color="auto" w:sz="6" w:space="0"/>
            </w:tcBorders>
            <w:noWrap w:val="0"/>
          </w:tcPr>
          <w:p w14:paraId="666BC536">
            <w:pPr>
              <w:pStyle w:val="13"/>
              <w:spacing w:line="400" w:lineRule="exact"/>
              <w:ind w:firstLine="480"/>
              <w:rPr>
                <w:rFonts w:hint="eastAsia" w:ascii="宋体" w:hAnsi="宋体" w:eastAsia="宋体" w:cs="宋体"/>
                <w:color w:val="auto"/>
                <w:sz w:val="24"/>
                <w:szCs w:val="24"/>
                <w:highlight w:val="none"/>
              </w:rPr>
            </w:pPr>
          </w:p>
        </w:tc>
      </w:tr>
      <w:tr w14:paraId="29CF07C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2510" w:type="dxa"/>
            <w:tcBorders>
              <w:top w:val="single" w:color="auto" w:sz="6" w:space="0"/>
              <w:bottom w:val="single" w:color="auto" w:sz="6" w:space="0"/>
              <w:right w:val="single" w:color="auto" w:sz="6" w:space="0"/>
            </w:tcBorders>
            <w:noWrap w:val="0"/>
          </w:tcPr>
          <w:p w14:paraId="5696CBD5">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职工人数</w:t>
            </w:r>
          </w:p>
        </w:tc>
        <w:tc>
          <w:tcPr>
            <w:tcW w:w="2110" w:type="dxa"/>
            <w:tcBorders>
              <w:top w:val="single" w:color="auto" w:sz="6" w:space="0"/>
              <w:left w:val="single" w:color="auto" w:sz="6" w:space="0"/>
              <w:bottom w:val="single" w:color="auto" w:sz="6" w:space="0"/>
              <w:right w:val="single" w:color="auto" w:sz="6" w:space="0"/>
            </w:tcBorders>
            <w:noWrap w:val="0"/>
          </w:tcPr>
          <w:p w14:paraId="325DA1EE">
            <w:pPr>
              <w:pStyle w:val="13"/>
              <w:spacing w:line="400" w:lineRule="exact"/>
              <w:ind w:firstLine="480"/>
              <w:rPr>
                <w:rFonts w:hint="eastAsia" w:ascii="宋体" w:hAnsi="宋体" w:eastAsia="宋体" w:cs="宋体"/>
                <w:color w:val="auto"/>
                <w:sz w:val="24"/>
                <w:szCs w:val="24"/>
                <w:highlight w:val="none"/>
              </w:rPr>
            </w:pPr>
          </w:p>
        </w:tc>
        <w:tc>
          <w:tcPr>
            <w:tcW w:w="4507" w:type="dxa"/>
            <w:gridSpan w:val="3"/>
            <w:tcBorders>
              <w:top w:val="single" w:color="auto" w:sz="6" w:space="0"/>
              <w:left w:val="single" w:color="auto" w:sz="6" w:space="0"/>
              <w:bottom w:val="single" w:color="auto" w:sz="6" w:space="0"/>
            </w:tcBorders>
            <w:noWrap w:val="0"/>
          </w:tcPr>
          <w:p w14:paraId="3C715BD5">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p w14:paraId="50FA6332">
            <w:pPr>
              <w:pStyle w:val="13"/>
              <w:spacing w:line="400" w:lineRule="exact"/>
              <w:ind w:left="959" w:hanging="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中级职称人数、</w:t>
            </w:r>
          </w:p>
          <w:p w14:paraId="21819041">
            <w:pPr>
              <w:pStyle w:val="13"/>
              <w:spacing w:line="400" w:lineRule="exact"/>
              <w:ind w:left="959" w:hanging="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高级职称人数</w:t>
            </w:r>
          </w:p>
        </w:tc>
      </w:tr>
      <w:tr w14:paraId="7ED2C3F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2510" w:type="dxa"/>
            <w:tcBorders>
              <w:top w:val="single" w:color="auto" w:sz="6" w:space="0"/>
              <w:bottom w:val="single" w:color="auto" w:sz="6" w:space="0"/>
              <w:right w:val="single" w:color="auto" w:sz="6" w:space="0"/>
            </w:tcBorders>
            <w:noWrap w:val="0"/>
          </w:tcPr>
          <w:p w14:paraId="60578672">
            <w:pPr>
              <w:pStyle w:val="13"/>
              <w:spacing w:line="400" w:lineRule="exact"/>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年12月资产总额</w:t>
            </w:r>
          </w:p>
        </w:tc>
        <w:tc>
          <w:tcPr>
            <w:tcW w:w="2110" w:type="dxa"/>
            <w:tcBorders>
              <w:top w:val="single" w:color="auto" w:sz="6" w:space="0"/>
              <w:left w:val="single" w:color="auto" w:sz="6" w:space="0"/>
              <w:bottom w:val="single" w:color="auto" w:sz="6" w:space="0"/>
              <w:right w:val="single" w:color="auto" w:sz="6" w:space="0"/>
            </w:tcBorders>
            <w:noWrap w:val="0"/>
          </w:tcPr>
          <w:p w14:paraId="2EA9EFAC">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c>
          <w:tcPr>
            <w:tcW w:w="2089" w:type="dxa"/>
            <w:gridSpan w:val="2"/>
            <w:tcBorders>
              <w:top w:val="single" w:color="auto" w:sz="6" w:space="0"/>
              <w:left w:val="single" w:color="auto" w:sz="6" w:space="0"/>
              <w:bottom w:val="single" w:color="auto" w:sz="6" w:space="0"/>
              <w:right w:val="single" w:color="auto" w:sz="6" w:space="0"/>
            </w:tcBorders>
            <w:noWrap w:val="0"/>
          </w:tcPr>
          <w:p w14:paraId="6E72190D">
            <w:pPr>
              <w:pStyle w:val="13"/>
              <w:spacing w:line="400" w:lineRule="exact"/>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净资产</w:t>
            </w:r>
          </w:p>
        </w:tc>
        <w:tc>
          <w:tcPr>
            <w:tcW w:w="2418" w:type="dxa"/>
            <w:tcBorders>
              <w:top w:val="single" w:color="auto" w:sz="6" w:space="0"/>
              <w:left w:val="single" w:color="auto" w:sz="6" w:space="0"/>
              <w:bottom w:val="single" w:color="auto" w:sz="6" w:space="0"/>
            </w:tcBorders>
            <w:noWrap w:val="0"/>
          </w:tcPr>
          <w:p w14:paraId="212FC1B6">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r>
      <w:tr w14:paraId="78D2824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2510" w:type="dxa"/>
            <w:tcBorders>
              <w:top w:val="single" w:color="auto" w:sz="6" w:space="0"/>
              <w:bottom w:val="single" w:color="auto" w:sz="6" w:space="0"/>
              <w:right w:val="single" w:color="auto" w:sz="6" w:space="0"/>
            </w:tcBorders>
            <w:noWrap w:val="0"/>
          </w:tcPr>
          <w:p w14:paraId="31E63A0E">
            <w:pPr>
              <w:pStyle w:val="13"/>
              <w:spacing w:line="400" w:lineRule="exact"/>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年12月股东权益</w:t>
            </w:r>
          </w:p>
        </w:tc>
        <w:tc>
          <w:tcPr>
            <w:tcW w:w="2110" w:type="dxa"/>
            <w:tcBorders>
              <w:top w:val="single" w:color="auto" w:sz="6" w:space="0"/>
              <w:left w:val="single" w:color="auto" w:sz="6" w:space="0"/>
              <w:bottom w:val="single" w:color="auto" w:sz="6" w:space="0"/>
              <w:right w:val="single" w:color="auto" w:sz="6" w:space="0"/>
            </w:tcBorders>
            <w:noWrap w:val="0"/>
          </w:tcPr>
          <w:p w14:paraId="45866C30">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c>
          <w:tcPr>
            <w:tcW w:w="2089" w:type="dxa"/>
            <w:gridSpan w:val="2"/>
            <w:tcBorders>
              <w:top w:val="single" w:color="auto" w:sz="6" w:space="0"/>
              <w:left w:val="single" w:color="auto" w:sz="6" w:space="0"/>
              <w:bottom w:val="single" w:color="auto" w:sz="6" w:space="0"/>
              <w:right w:val="single" w:color="auto" w:sz="6" w:space="0"/>
            </w:tcBorders>
            <w:noWrap w:val="0"/>
          </w:tcPr>
          <w:p w14:paraId="3E5CDC12">
            <w:pPr>
              <w:pStyle w:val="13"/>
              <w:spacing w:line="400" w:lineRule="exact"/>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年业务收入</w:t>
            </w:r>
          </w:p>
        </w:tc>
        <w:tc>
          <w:tcPr>
            <w:tcW w:w="2418" w:type="dxa"/>
            <w:tcBorders>
              <w:top w:val="single" w:color="auto" w:sz="6" w:space="0"/>
              <w:left w:val="single" w:color="auto" w:sz="6" w:space="0"/>
              <w:bottom w:val="single" w:color="auto" w:sz="6" w:space="0"/>
            </w:tcBorders>
            <w:noWrap w:val="0"/>
          </w:tcPr>
          <w:p w14:paraId="20B34837">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r>
      <w:tr w14:paraId="18CBD85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510" w:type="dxa"/>
            <w:tcBorders>
              <w:top w:val="single" w:color="auto" w:sz="6" w:space="0"/>
              <w:bottom w:val="single" w:color="auto" w:sz="6" w:space="0"/>
              <w:right w:val="single" w:color="auto" w:sz="6" w:space="0"/>
            </w:tcBorders>
            <w:noWrap w:val="0"/>
          </w:tcPr>
          <w:p w14:paraId="5AAA5D51">
            <w:pPr>
              <w:pStyle w:val="13"/>
              <w:spacing w:line="400" w:lineRule="exact"/>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年实现利润</w:t>
            </w:r>
          </w:p>
        </w:tc>
        <w:tc>
          <w:tcPr>
            <w:tcW w:w="2110" w:type="dxa"/>
            <w:tcBorders>
              <w:top w:val="single" w:color="auto" w:sz="6" w:space="0"/>
              <w:left w:val="single" w:color="auto" w:sz="6" w:space="0"/>
              <w:bottom w:val="single" w:color="auto" w:sz="6" w:space="0"/>
              <w:right w:val="single" w:color="auto" w:sz="6" w:space="0"/>
            </w:tcBorders>
            <w:noWrap w:val="0"/>
          </w:tcPr>
          <w:p w14:paraId="6279CA47">
            <w:pPr>
              <w:pStyle w:val="13"/>
              <w:spacing w:line="400" w:lineRule="exact"/>
              <w:ind w:firstLine="13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c>
          <w:tcPr>
            <w:tcW w:w="2089" w:type="dxa"/>
            <w:gridSpan w:val="2"/>
            <w:tcBorders>
              <w:top w:val="single" w:color="auto" w:sz="6" w:space="0"/>
              <w:left w:val="single" w:color="auto" w:sz="6" w:space="0"/>
              <w:bottom w:val="single" w:color="auto" w:sz="6" w:space="0"/>
              <w:right w:val="single" w:color="auto" w:sz="6" w:space="0"/>
            </w:tcBorders>
            <w:noWrap w:val="0"/>
          </w:tcPr>
          <w:p w14:paraId="607E2E29">
            <w:pPr>
              <w:pStyle w:val="13"/>
              <w:spacing w:line="400" w:lineRule="exact"/>
              <w:ind w:firstLine="480"/>
              <w:rPr>
                <w:rFonts w:hint="eastAsia" w:ascii="宋体" w:hAnsi="宋体" w:eastAsia="宋体" w:cs="宋体"/>
                <w:color w:val="auto"/>
                <w:sz w:val="24"/>
                <w:szCs w:val="24"/>
                <w:highlight w:val="none"/>
              </w:rPr>
            </w:pPr>
          </w:p>
        </w:tc>
        <w:tc>
          <w:tcPr>
            <w:tcW w:w="2418" w:type="dxa"/>
            <w:tcBorders>
              <w:top w:val="single" w:color="auto" w:sz="6" w:space="0"/>
              <w:left w:val="single" w:color="auto" w:sz="6" w:space="0"/>
              <w:bottom w:val="single" w:color="auto" w:sz="6" w:space="0"/>
            </w:tcBorders>
            <w:noWrap w:val="0"/>
          </w:tcPr>
          <w:p w14:paraId="4E962187">
            <w:pPr>
              <w:pStyle w:val="13"/>
              <w:spacing w:line="400" w:lineRule="exact"/>
              <w:ind w:firstLine="480"/>
              <w:rPr>
                <w:rFonts w:hint="eastAsia" w:ascii="宋体" w:hAnsi="宋体" w:eastAsia="宋体" w:cs="宋体"/>
                <w:color w:val="auto"/>
                <w:sz w:val="24"/>
                <w:szCs w:val="24"/>
                <w:highlight w:val="none"/>
              </w:rPr>
            </w:pPr>
          </w:p>
        </w:tc>
      </w:tr>
      <w:tr w14:paraId="50BF022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2510" w:type="dxa"/>
            <w:tcBorders>
              <w:top w:val="single" w:color="auto" w:sz="6" w:space="0"/>
              <w:bottom w:val="single" w:color="auto" w:sz="6" w:space="0"/>
              <w:right w:val="single" w:color="auto" w:sz="6" w:space="0"/>
            </w:tcBorders>
            <w:noWrap w:val="0"/>
          </w:tcPr>
          <w:p w14:paraId="5FAD83B9">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办公面积</w:t>
            </w:r>
          </w:p>
          <w:p w14:paraId="0F140EB1">
            <w:pPr>
              <w:pStyle w:val="13"/>
              <w:spacing w:line="400" w:lineRule="exact"/>
              <w:ind w:firstLine="480"/>
              <w:rPr>
                <w:rFonts w:hint="eastAsia" w:ascii="宋体" w:hAnsi="宋体" w:eastAsia="宋体" w:cs="宋体"/>
                <w:color w:val="auto"/>
                <w:sz w:val="24"/>
                <w:szCs w:val="24"/>
                <w:highlight w:val="none"/>
              </w:rPr>
            </w:pPr>
          </w:p>
        </w:tc>
        <w:tc>
          <w:tcPr>
            <w:tcW w:w="2110" w:type="dxa"/>
            <w:tcBorders>
              <w:top w:val="single" w:color="auto" w:sz="6" w:space="0"/>
              <w:left w:val="single" w:color="auto" w:sz="6" w:space="0"/>
              <w:bottom w:val="single" w:color="auto" w:sz="6" w:space="0"/>
              <w:right w:val="single" w:color="auto" w:sz="6" w:space="0"/>
            </w:tcBorders>
            <w:noWrap w:val="0"/>
          </w:tcPr>
          <w:p w14:paraId="36961175">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平方米</w:t>
            </w:r>
          </w:p>
        </w:tc>
        <w:tc>
          <w:tcPr>
            <w:tcW w:w="2089" w:type="dxa"/>
            <w:gridSpan w:val="2"/>
            <w:tcBorders>
              <w:top w:val="single" w:color="auto" w:sz="6" w:space="0"/>
              <w:left w:val="single" w:color="auto" w:sz="6" w:space="0"/>
              <w:bottom w:val="single" w:color="auto" w:sz="6" w:space="0"/>
              <w:right w:val="single" w:color="auto" w:sz="6" w:space="0"/>
            </w:tcBorders>
            <w:noWrap w:val="0"/>
          </w:tcPr>
          <w:p w14:paraId="29F7A974">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tc>
        <w:tc>
          <w:tcPr>
            <w:tcW w:w="2418" w:type="dxa"/>
            <w:tcBorders>
              <w:top w:val="single" w:color="auto" w:sz="6" w:space="0"/>
              <w:left w:val="single" w:color="auto" w:sz="6" w:space="0"/>
              <w:bottom w:val="single" w:color="auto" w:sz="6" w:space="0"/>
            </w:tcBorders>
            <w:noWrap w:val="0"/>
          </w:tcPr>
          <w:p w14:paraId="56D355AA">
            <w:pPr>
              <w:pStyle w:val="13"/>
              <w:spacing w:line="400" w:lineRule="exact"/>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自有面积平方米</w:t>
            </w:r>
          </w:p>
          <w:p w14:paraId="10AC8AD5">
            <w:pPr>
              <w:pStyle w:val="13"/>
              <w:spacing w:line="400" w:lineRule="exact"/>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承租面积平方米</w:t>
            </w:r>
          </w:p>
        </w:tc>
      </w:tr>
      <w:tr w14:paraId="1E603DA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4620" w:type="dxa"/>
            <w:gridSpan w:val="2"/>
            <w:tcBorders>
              <w:top w:val="single" w:color="auto" w:sz="6" w:space="0"/>
              <w:bottom w:val="single" w:color="auto" w:sz="6" w:space="0"/>
              <w:right w:val="single" w:color="auto" w:sz="6" w:space="0"/>
            </w:tcBorders>
            <w:noWrap w:val="0"/>
          </w:tcPr>
          <w:p w14:paraId="6DDAA0C4">
            <w:pPr>
              <w:pStyle w:val="13"/>
              <w:spacing w:line="40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单位简历及内设机构情况</w:t>
            </w:r>
          </w:p>
        </w:tc>
        <w:tc>
          <w:tcPr>
            <w:tcW w:w="4507" w:type="dxa"/>
            <w:gridSpan w:val="3"/>
            <w:tcBorders>
              <w:top w:val="single" w:color="auto" w:sz="6" w:space="0"/>
              <w:left w:val="single" w:color="auto" w:sz="6" w:space="0"/>
              <w:bottom w:val="single" w:color="auto" w:sz="6" w:space="0"/>
            </w:tcBorders>
            <w:noWrap w:val="0"/>
          </w:tcPr>
          <w:p w14:paraId="5E45B153">
            <w:pPr>
              <w:pStyle w:val="13"/>
              <w:spacing w:line="400" w:lineRule="exact"/>
              <w:ind w:firstLine="480"/>
              <w:rPr>
                <w:rFonts w:hint="eastAsia" w:ascii="宋体" w:hAnsi="宋体" w:eastAsia="宋体" w:cs="宋体"/>
                <w:color w:val="auto"/>
                <w:sz w:val="24"/>
                <w:szCs w:val="24"/>
                <w:highlight w:val="none"/>
              </w:rPr>
            </w:pPr>
          </w:p>
        </w:tc>
      </w:tr>
      <w:tr w14:paraId="4D44E4A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4620" w:type="dxa"/>
            <w:gridSpan w:val="2"/>
            <w:tcBorders>
              <w:top w:val="single" w:color="auto" w:sz="6" w:space="0"/>
              <w:bottom w:val="single" w:color="auto" w:sz="6" w:space="0"/>
              <w:right w:val="single" w:color="auto" w:sz="6" w:space="0"/>
            </w:tcBorders>
            <w:noWrap w:val="0"/>
          </w:tcPr>
          <w:p w14:paraId="6D46E9E2">
            <w:pPr>
              <w:pStyle w:val="13"/>
              <w:spacing w:line="40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单位优势及特长</w:t>
            </w:r>
          </w:p>
        </w:tc>
        <w:tc>
          <w:tcPr>
            <w:tcW w:w="4507" w:type="dxa"/>
            <w:gridSpan w:val="3"/>
            <w:tcBorders>
              <w:top w:val="single" w:color="auto" w:sz="6" w:space="0"/>
              <w:left w:val="single" w:color="auto" w:sz="6" w:space="0"/>
              <w:bottom w:val="single" w:color="auto" w:sz="6" w:space="0"/>
            </w:tcBorders>
            <w:noWrap w:val="0"/>
          </w:tcPr>
          <w:p w14:paraId="1B433ED3">
            <w:pPr>
              <w:pStyle w:val="13"/>
              <w:spacing w:line="400" w:lineRule="exact"/>
              <w:ind w:firstLine="480"/>
              <w:rPr>
                <w:rFonts w:hint="eastAsia" w:ascii="宋体" w:hAnsi="宋体" w:eastAsia="宋体" w:cs="宋体"/>
                <w:color w:val="auto"/>
                <w:sz w:val="24"/>
                <w:szCs w:val="24"/>
                <w:highlight w:val="none"/>
              </w:rPr>
            </w:pPr>
          </w:p>
        </w:tc>
      </w:tr>
      <w:tr w14:paraId="16956E0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4620" w:type="dxa"/>
            <w:gridSpan w:val="2"/>
            <w:tcBorders>
              <w:top w:val="single" w:color="auto" w:sz="6" w:space="0"/>
              <w:bottom w:val="single" w:color="auto" w:sz="6" w:space="0"/>
              <w:right w:val="single" w:color="auto" w:sz="6" w:space="0"/>
            </w:tcBorders>
            <w:noWrap w:val="0"/>
          </w:tcPr>
          <w:p w14:paraId="0A7E0CF1">
            <w:pPr>
              <w:pStyle w:val="13"/>
              <w:spacing w:line="40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近三年来完成或正在履行的重大合同情况</w:t>
            </w:r>
          </w:p>
        </w:tc>
        <w:tc>
          <w:tcPr>
            <w:tcW w:w="4507" w:type="dxa"/>
            <w:gridSpan w:val="3"/>
            <w:tcBorders>
              <w:top w:val="single" w:color="auto" w:sz="6" w:space="0"/>
              <w:left w:val="single" w:color="auto" w:sz="6" w:space="0"/>
              <w:bottom w:val="single" w:color="auto" w:sz="6" w:space="0"/>
            </w:tcBorders>
            <w:noWrap w:val="0"/>
          </w:tcPr>
          <w:p w14:paraId="492C523D">
            <w:pPr>
              <w:pStyle w:val="13"/>
              <w:spacing w:line="400" w:lineRule="exact"/>
              <w:ind w:firstLine="480"/>
              <w:rPr>
                <w:rFonts w:hint="eastAsia" w:ascii="宋体" w:hAnsi="宋体" w:eastAsia="宋体" w:cs="宋体"/>
                <w:color w:val="auto"/>
                <w:sz w:val="24"/>
                <w:szCs w:val="24"/>
                <w:highlight w:val="none"/>
              </w:rPr>
            </w:pPr>
          </w:p>
        </w:tc>
      </w:tr>
      <w:tr w14:paraId="4F5D245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4620" w:type="dxa"/>
            <w:gridSpan w:val="2"/>
            <w:tcBorders>
              <w:top w:val="single" w:color="auto" w:sz="6" w:space="0"/>
              <w:bottom w:val="single" w:color="auto" w:sz="6" w:space="0"/>
              <w:right w:val="single" w:color="auto" w:sz="6" w:space="0"/>
            </w:tcBorders>
            <w:noWrap w:val="0"/>
          </w:tcPr>
          <w:p w14:paraId="7B023D12">
            <w:pPr>
              <w:pStyle w:val="13"/>
              <w:spacing w:line="40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近三年来受行业主管部门考核评价及业主评价意见</w:t>
            </w:r>
          </w:p>
        </w:tc>
        <w:tc>
          <w:tcPr>
            <w:tcW w:w="4507" w:type="dxa"/>
            <w:gridSpan w:val="3"/>
            <w:tcBorders>
              <w:top w:val="single" w:color="auto" w:sz="6" w:space="0"/>
              <w:left w:val="single" w:color="auto" w:sz="6" w:space="0"/>
              <w:bottom w:val="single" w:color="auto" w:sz="6" w:space="0"/>
            </w:tcBorders>
            <w:noWrap w:val="0"/>
          </w:tcPr>
          <w:p w14:paraId="2F417E55">
            <w:pPr>
              <w:pStyle w:val="13"/>
              <w:spacing w:line="400" w:lineRule="exact"/>
              <w:ind w:firstLine="480"/>
              <w:rPr>
                <w:rFonts w:hint="eastAsia" w:ascii="宋体" w:hAnsi="宋体" w:eastAsia="宋体" w:cs="宋体"/>
                <w:color w:val="auto"/>
                <w:sz w:val="24"/>
                <w:szCs w:val="24"/>
                <w:highlight w:val="none"/>
              </w:rPr>
            </w:pPr>
          </w:p>
        </w:tc>
      </w:tr>
      <w:tr w14:paraId="7FF556F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4620" w:type="dxa"/>
            <w:gridSpan w:val="2"/>
            <w:tcBorders>
              <w:top w:val="single" w:color="auto" w:sz="6" w:space="0"/>
              <w:bottom w:val="single" w:color="auto" w:sz="6" w:space="0"/>
              <w:right w:val="single" w:color="auto" w:sz="6" w:space="0"/>
            </w:tcBorders>
            <w:noWrap w:val="0"/>
          </w:tcPr>
          <w:p w14:paraId="2507C0D9">
            <w:pPr>
              <w:pStyle w:val="13"/>
              <w:spacing w:line="40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最近3年内有无因违纪或其他原因被投诉或起诉的情况及说明</w:t>
            </w:r>
          </w:p>
        </w:tc>
        <w:tc>
          <w:tcPr>
            <w:tcW w:w="4507" w:type="dxa"/>
            <w:gridSpan w:val="3"/>
            <w:tcBorders>
              <w:top w:val="single" w:color="auto" w:sz="6" w:space="0"/>
              <w:left w:val="single" w:color="auto" w:sz="6" w:space="0"/>
              <w:bottom w:val="single" w:color="auto" w:sz="6" w:space="0"/>
            </w:tcBorders>
            <w:noWrap w:val="0"/>
          </w:tcPr>
          <w:p w14:paraId="2977EDA4">
            <w:pPr>
              <w:pStyle w:val="13"/>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（包括解决方式和结果）</w:t>
            </w:r>
          </w:p>
        </w:tc>
      </w:tr>
      <w:tr w14:paraId="48EE1AD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c>
          <w:tcPr>
            <w:tcW w:w="4620" w:type="dxa"/>
            <w:gridSpan w:val="2"/>
            <w:tcBorders>
              <w:top w:val="single" w:color="auto" w:sz="6" w:space="0"/>
              <w:bottom w:val="single" w:color="auto" w:sz="6" w:space="0"/>
              <w:right w:val="single" w:color="auto" w:sz="6" w:space="0"/>
            </w:tcBorders>
            <w:noWrap w:val="0"/>
          </w:tcPr>
          <w:p w14:paraId="2045DF86">
            <w:pPr>
              <w:pStyle w:val="13"/>
              <w:spacing w:line="40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最近3年内主要负责人有无因经济犯罪被司法机关追究的情况及说明</w:t>
            </w:r>
          </w:p>
        </w:tc>
        <w:tc>
          <w:tcPr>
            <w:tcW w:w="4507" w:type="dxa"/>
            <w:gridSpan w:val="3"/>
            <w:tcBorders>
              <w:top w:val="single" w:color="auto" w:sz="6" w:space="0"/>
              <w:left w:val="single" w:color="auto" w:sz="6" w:space="0"/>
              <w:bottom w:val="single" w:color="auto" w:sz="6" w:space="0"/>
            </w:tcBorders>
            <w:noWrap w:val="0"/>
          </w:tcPr>
          <w:p w14:paraId="2B5AC6B0">
            <w:pPr>
              <w:spacing w:line="360" w:lineRule="auto"/>
              <w:ind w:firstLine="480"/>
              <w:rPr>
                <w:rFonts w:hint="eastAsia" w:ascii="宋体" w:hAnsi="宋体" w:eastAsia="宋体" w:cs="宋体"/>
                <w:color w:val="auto"/>
                <w:sz w:val="24"/>
                <w:szCs w:val="24"/>
                <w:highlight w:val="none"/>
              </w:rPr>
            </w:pPr>
          </w:p>
        </w:tc>
      </w:tr>
      <w:tr w14:paraId="0296593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4620" w:type="dxa"/>
            <w:gridSpan w:val="2"/>
            <w:tcBorders>
              <w:top w:val="single" w:color="auto" w:sz="6" w:space="0"/>
              <w:bottom w:val="single" w:color="auto" w:sz="6" w:space="0"/>
              <w:right w:val="single" w:color="auto" w:sz="6" w:space="0"/>
            </w:tcBorders>
            <w:noWrap w:val="0"/>
          </w:tcPr>
          <w:p w14:paraId="06BAF80C">
            <w:pPr>
              <w:pStyle w:val="13"/>
              <w:spacing w:line="400" w:lineRule="exact"/>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其他需要说明的情况</w:t>
            </w:r>
          </w:p>
        </w:tc>
        <w:tc>
          <w:tcPr>
            <w:tcW w:w="4507" w:type="dxa"/>
            <w:gridSpan w:val="3"/>
            <w:tcBorders>
              <w:top w:val="single" w:color="auto" w:sz="6" w:space="0"/>
              <w:left w:val="single" w:color="auto" w:sz="6" w:space="0"/>
              <w:bottom w:val="single" w:color="auto" w:sz="6" w:space="0"/>
            </w:tcBorders>
            <w:noWrap w:val="0"/>
          </w:tcPr>
          <w:p w14:paraId="74E408E1">
            <w:pPr>
              <w:pStyle w:val="13"/>
              <w:spacing w:line="400" w:lineRule="exact"/>
              <w:ind w:firstLine="480"/>
              <w:rPr>
                <w:rFonts w:hint="eastAsia" w:ascii="宋体" w:hAnsi="宋体" w:eastAsia="宋体" w:cs="宋体"/>
                <w:color w:val="auto"/>
                <w:sz w:val="24"/>
                <w:szCs w:val="24"/>
                <w:highlight w:val="none"/>
              </w:rPr>
            </w:pPr>
          </w:p>
        </w:tc>
      </w:tr>
    </w:tbl>
    <w:p w14:paraId="2F89E834">
      <w:pPr>
        <w:rPr>
          <w:rFonts w:hint="eastAsia" w:ascii="宋体" w:hAnsi="宋体" w:eastAsia="宋体" w:cs="宋体"/>
          <w:b/>
          <w:bCs/>
          <w:color w:val="auto"/>
          <w:sz w:val="24"/>
          <w:szCs w:val="24"/>
          <w:highlight w:val="none"/>
        </w:rPr>
      </w:pPr>
    </w:p>
    <w:p w14:paraId="22551AE0">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法定代表人或授权委托人签字或盖章：</w:t>
      </w:r>
    </w:p>
    <w:p w14:paraId="7E67EE52">
      <w:pPr>
        <w:rPr>
          <w:rFonts w:hint="eastAsia" w:ascii="宋体" w:hAnsi="宋体" w:eastAsia="宋体" w:cs="宋体"/>
          <w:b/>
          <w:bCs/>
          <w:color w:val="auto"/>
          <w:sz w:val="24"/>
          <w:szCs w:val="24"/>
          <w:highlight w:val="none"/>
        </w:rPr>
      </w:pPr>
    </w:p>
    <w:p w14:paraId="34E26E15">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日期：</w:t>
      </w:r>
    </w:p>
    <w:p w14:paraId="4E96E1B0">
      <w:pPr>
        <w:jc w:val="center"/>
        <w:rPr>
          <w:rFonts w:hint="eastAsia" w:ascii="宋体" w:hAnsi="宋体" w:eastAsia="宋体" w:cs="宋体"/>
          <w:color w:val="auto"/>
          <w:sz w:val="24"/>
          <w:szCs w:val="24"/>
          <w:highlight w:val="none"/>
        </w:rPr>
      </w:pPr>
    </w:p>
    <w:p w14:paraId="65EC14B1">
      <w:pPr>
        <w:jc w:val="left"/>
        <w:outlineLvl w:val="0"/>
        <w:rPr>
          <w:rFonts w:hint="eastAsia" w:ascii="宋体" w:hAnsi="宋体" w:eastAsia="宋体" w:cs="宋体"/>
          <w:color w:val="auto"/>
          <w:sz w:val="24"/>
          <w:szCs w:val="24"/>
          <w:highlight w:val="none"/>
        </w:rPr>
      </w:pPr>
    </w:p>
    <w:p w14:paraId="0728CB40">
      <w:pPr>
        <w:jc w:val="left"/>
        <w:outlineLvl w:val="0"/>
        <w:rPr>
          <w:rFonts w:hint="eastAsia" w:ascii="宋体" w:hAnsi="宋体" w:eastAsia="宋体" w:cs="宋体"/>
          <w:color w:val="auto"/>
          <w:sz w:val="24"/>
          <w:szCs w:val="24"/>
          <w:highlight w:val="none"/>
        </w:rPr>
      </w:pPr>
    </w:p>
    <w:p w14:paraId="55D420E5">
      <w:pPr>
        <w:jc w:val="left"/>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（八）中小企业声明函（格式）：</w:t>
      </w:r>
    </w:p>
    <w:p w14:paraId="6FDB3EDA">
      <w:pPr>
        <w:spacing w:line="360" w:lineRule="auto"/>
        <w:jc w:val="center"/>
        <w:outlineLvl w:val="0"/>
        <w:rPr>
          <w:rFonts w:hint="eastAsia" w:ascii="宋体" w:hAnsi="宋体" w:eastAsia="宋体" w:cs="宋体"/>
          <w:color w:val="auto"/>
          <w:sz w:val="28"/>
          <w:szCs w:val="28"/>
          <w:highlight w:val="none"/>
        </w:rPr>
      </w:pPr>
    </w:p>
    <w:p w14:paraId="249E2047">
      <w:pPr>
        <w:spacing w:line="360" w:lineRule="auto"/>
        <w:jc w:val="center"/>
        <w:outlineLvl w:val="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中小企业声明函（工程）</w:t>
      </w:r>
    </w:p>
    <w:p w14:paraId="6EB6894D">
      <w:pPr>
        <w:spacing w:line="500" w:lineRule="exact"/>
        <w:ind w:firstLine="72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本公司（联合体）郑重声明，根据《政府采购促进中小企业发展管理办法》（财库﹝2020﹞46 号）的规定，本公司（联合体）参加</w:t>
      </w:r>
      <w:r>
        <w:rPr>
          <w:rFonts w:hint="eastAsia" w:ascii="宋体" w:hAnsi="宋体" w:eastAsia="宋体" w:cs="宋体"/>
          <w:bCs/>
          <w:color w:val="auto"/>
          <w:sz w:val="24"/>
          <w:szCs w:val="24"/>
          <w:highlight w:val="none"/>
          <w:u w:val="single"/>
        </w:rPr>
        <w:t>（单位名称）</w:t>
      </w:r>
      <w:r>
        <w:rPr>
          <w:rFonts w:hint="eastAsia" w:ascii="宋体" w:hAnsi="宋体" w:eastAsia="宋体" w:cs="宋体"/>
          <w:bCs/>
          <w:color w:val="auto"/>
          <w:sz w:val="24"/>
          <w:szCs w:val="24"/>
          <w:highlight w:val="none"/>
        </w:rPr>
        <w:t>的</w:t>
      </w:r>
      <w:r>
        <w:rPr>
          <w:rFonts w:hint="eastAsia" w:ascii="宋体" w:hAnsi="宋体" w:eastAsia="宋体" w:cs="宋体"/>
          <w:bCs/>
          <w:color w:val="auto"/>
          <w:sz w:val="24"/>
          <w:szCs w:val="24"/>
          <w:highlight w:val="none"/>
          <w:u w:val="single"/>
        </w:rPr>
        <w:t>（项目名称）</w:t>
      </w:r>
      <w:r>
        <w:rPr>
          <w:rFonts w:hint="eastAsia" w:ascii="宋体" w:hAnsi="宋体" w:eastAsia="宋体" w:cs="宋体"/>
          <w:bCs/>
          <w:color w:val="auto"/>
          <w:sz w:val="24"/>
          <w:szCs w:val="24"/>
          <w:highlight w:val="none"/>
        </w:rPr>
        <w:t>采购活动，</w:t>
      </w:r>
      <w:r>
        <w:rPr>
          <w:rFonts w:hint="eastAsia" w:ascii="宋体" w:hAnsi="宋体" w:eastAsia="宋体" w:cs="宋体"/>
          <w:b/>
          <w:color w:val="auto"/>
          <w:sz w:val="24"/>
          <w:szCs w:val="24"/>
          <w:highlight w:val="none"/>
        </w:rPr>
        <w:t>工程的施工单位全部为符合政策要求的中小企业</w:t>
      </w:r>
      <w:r>
        <w:rPr>
          <w:rFonts w:hint="eastAsia" w:ascii="宋体" w:hAnsi="宋体" w:eastAsia="宋体" w:cs="宋体"/>
          <w:bCs/>
          <w:color w:val="auto"/>
          <w:sz w:val="24"/>
          <w:szCs w:val="24"/>
          <w:highlight w:val="none"/>
        </w:rPr>
        <w:t>。相关企业（含联合体中的中小企业、签订分包意向协议的中小企业）的具体情况如下：</w:t>
      </w:r>
    </w:p>
    <w:p w14:paraId="3D677ADF">
      <w:pPr>
        <w:spacing w:line="500" w:lineRule="exact"/>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u w:val="single"/>
        </w:rPr>
        <w:t>标的名称）</w:t>
      </w:r>
      <w:r>
        <w:rPr>
          <w:rFonts w:hint="eastAsia" w:ascii="宋体" w:hAnsi="宋体" w:eastAsia="宋体" w:cs="宋体"/>
          <w:bCs/>
          <w:color w:val="auto"/>
          <w:sz w:val="24"/>
          <w:szCs w:val="24"/>
          <w:highlight w:val="none"/>
        </w:rPr>
        <w:t>，属于</w:t>
      </w:r>
      <w:r>
        <w:rPr>
          <w:rFonts w:hint="eastAsia" w:ascii="宋体" w:hAnsi="宋体" w:eastAsia="宋体" w:cs="宋体"/>
          <w:bCs/>
          <w:color w:val="auto"/>
          <w:sz w:val="24"/>
          <w:szCs w:val="24"/>
          <w:highlight w:val="none"/>
          <w:u w:val="single"/>
        </w:rPr>
        <w:t>（竞争性磋商文件中明确的所属行业）</w:t>
      </w:r>
      <w:r>
        <w:rPr>
          <w:rFonts w:hint="eastAsia" w:ascii="宋体" w:hAnsi="宋体" w:eastAsia="宋体" w:cs="宋体"/>
          <w:bCs/>
          <w:color w:val="auto"/>
          <w:sz w:val="24"/>
          <w:szCs w:val="24"/>
          <w:highlight w:val="none"/>
        </w:rPr>
        <w:t>；承建（承接）企业为</w:t>
      </w:r>
      <w:r>
        <w:rPr>
          <w:rFonts w:hint="eastAsia" w:ascii="宋体" w:hAnsi="宋体" w:eastAsia="宋体" w:cs="宋体"/>
          <w:bCs/>
          <w:color w:val="auto"/>
          <w:sz w:val="24"/>
          <w:szCs w:val="24"/>
          <w:highlight w:val="none"/>
          <w:u w:val="single"/>
        </w:rPr>
        <w:t>（企业名称）</w:t>
      </w:r>
      <w:r>
        <w:rPr>
          <w:rFonts w:hint="eastAsia" w:ascii="宋体" w:hAnsi="宋体" w:eastAsia="宋体" w:cs="宋体"/>
          <w:bCs/>
          <w:color w:val="auto"/>
          <w:sz w:val="24"/>
          <w:szCs w:val="24"/>
          <w:highlight w:val="none"/>
        </w:rPr>
        <w:t>，从业人员  人，营业收入为万元，资产总额为万元，属于</w:t>
      </w:r>
      <w:r>
        <w:rPr>
          <w:rFonts w:hint="eastAsia" w:ascii="宋体" w:hAnsi="宋体" w:eastAsia="宋体" w:cs="宋体"/>
          <w:bCs/>
          <w:color w:val="auto"/>
          <w:sz w:val="24"/>
          <w:szCs w:val="24"/>
          <w:highlight w:val="none"/>
          <w:u w:val="single"/>
        </w:rPr>
        <w:t>（中型企业、小型企业、微型企业）</w:t>
      </w:r>
      <w:r>
        <w:rPr>
          <w:rFonts w:hint="eastAsia" w:ascii="宋体" w:hAnsi="宋体" w:eastAsia="宋体" w:cs="宋体"/>
          <w:bCs/>
          <w:color w:val="auto"/>
          <w:sz w:val="24"/>
          <w:szCs w:val="24"/>
          <w:highlight w:val="none"/>
        </w:rPr>
        <w:t>；</w:t>
      </w:r>
    </w:p>
    <w:p w14:paraId="36EE374F">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p>
    <w:p w14:paraId="2F0E9987">
      <w:pPr>
        <w:spacing w:line="360" w:lineRule="auto"/>
        <w:rPr>
          <w:rFonts w:hint="eastAsia" w:ascii="宋体" w:hAnsi="宋体" w:eastAsia="宋体" w:cs="宋体"/>
          <w:bCs/>
          <w:color w:val="auto"/>
          <w:sz w:val="24"/>
          <w:szCs w:val="24"/>
          <w:highlight w:val="none"/>
        </w:rPr>
      </w:pPr>
    </w:p>
    <w:p w14:paraId="361BE259">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以上企业，不属于大企业的分支机构，不存在控股股东为大企业的情形，也不存在与大企业的负责人为同一人的情形。</w:t>
      </w:r>
    </w:p>
    <w:p w14:paraId="3993F086">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本企业对上述声明内容的真实性负责。如有虚假，将依法承担相应责任。</w:t>
      </w:r>
    </w:p>
    <w:p w14:paraId="740AECDA">
      <w:pPr>
        <w:spacing w:line="360" w:lineRule="auto"/>
        <w:rPr>
          <w:rFonts w:hint="eastAsia" w:ascii="宋体" w:hAnsi="宋体" w:eastAsia="宋体" w:cs="宋体"/>
          <w:bCs/>
          <w:color w:val="auto"/>
          <w:sz w:val="24"/>
          <w:szCs w:val="24"/>
          <w:highlight w:val="none"/>
        </w:rPr>
      </w:pPr>
    </w:p>
    <w:p w14:paraId="265BBF29">
      <w:pPr>
        <w:spacing w:line="360" w:lineRule="auto"/>
        <w:jc w:val="right"/>
        <w:rPr>
          <w:rFonts w:hint="eastAsia" w:ascii="宋体" w:hAnsi="宋体" w:eastAsia="宋体" w:cs="宋体"/>
          <w:bCs/>
          <w:color w:val="auto"/>
          <w:sz w:val="24"/>
          <w:szCs w:val="24"/>
          <w:highlight w:val="none"/>
        </w:rPr>
      </w:pPr>
    </w:p>
    <w:p w14:paraId="7A5FCDBB">
      <w:pPr>
        <w:spacing w:line="360" w:lineRule="auto"/>
        <w:jc w:val="righ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企业名称（盖章）：</w:t>
      </w:r>
    </w:p>
    <w:p w14:paraId="3382A804">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Cs/>
          <w:color w:val="auto"/>
          <w:sz w:val="24"/>
          <w:szCs w:val="24"/>
          <w:highlight w:val="none"/>
        </w:rPr>
        <w:t>日 期：</w:t>
      </w:r>
    </w:p>
    <w:p w14:paraId="28EC757B">
      <w:pPr>
        <w:spacing w:line="360" w:lineRule="auto"/>
        <w:ind w:firstLine="442"/>
        <w:rPr>
          <w:rFonts w:hint="eastAsia" w:ascii="宋体" w:hAnsi="宋体" w:eastAsia="宋体" w:cs="宋体"/>
          <w:b/>
          <w:color w:val="auto"/>
          <w:sz w:val="22"/>
          <w:szCs w:val="22"/>
          <w:highlight w:val="none"/>
        </w:rPr>
      </w:pPr>
    </w:p>
    <w:p w14:paraId="7ED987ED">
      <w:pPr>
        <w:spacing w:line="360" w:lineRule="auto"/>
        <w:ind w:firstLine="442"/>
        <w:rPr>
          <w:rFonts w:hint="eastAsia" w:ascii="宋体" w:hAnsi="宋体" w:eastAsia="宋体" w:cs="宋体"/>
          <w:b/>
          <w:color w:val="auto"/>
          <w:sz w:val="22"/>
          <w:szCs w:val="22"/>
          <w:highlight w:val="none"/>
        </w:rPr>
      </w:pPr>
    </w:p>
    <w:p w14:paraId="626E7235">
      <w:pPr>
        <w:spacing w:line="360" w:lineRule="auto"/>
        <w:rPr>
          <w:rFonts w:hint="eastAsia" w:ascii="宋体" w:hAnsi="宋体" w:eastAsia="宋体" w:cs="宋体"/>
          <w:b/>
          <w:color w:val="auto"/>
          <w:sz w:val="22"/>
          <w:szCs w:val="22"/>
          <w:highlight w:val="none"/>
        </w:rPr>
      </w:pPr>
    </w:p>
    <w:p w14:paraId="4F19DECC">
      <w:pPr>
        <w:spacing w:line="360" w:lineRule="auto"/>
        <w:ind w:firstLine="442"/>
        <w:rPr>
          <w:rFonts w:hint="eastAsia" w:ascii="宋体" w:hAnsi="宋体" w:eastAsia="宋体" w:cs="宋体"/>
          <w:color w:val="auto"/>
          <w:highlight w:val="none"/>
        </w:rPr>
      </w:pPr>
      <w:r>
        <w:rPr>
          <w:rFonts w:hint="eastAsia" w:ascii="宋体" w:hAnsi="宋体" w:eastAsia="宋体" w:cs="宋体"/>
          <w:b/>
          <w:color w:val="auto"/>
          <w:sz w:val="22"/>
          <w:szCs w:val="22"/>
          <w:highlight w:val="none"/>
        </w:rPr>
        <w:t>备注：1、中标、成交供应商的《中小企业声明函》将随中标、成交公告进行公示。供应商按照本办法规定提供声明函内容不实的，属于提供虚假材料谋取中标、成交，依照《中华人民共和国政府采购法》等国家有关规定追究相应责任。</w:t>
      </w:r>
    </w:p>
    <w:p w14:paraId="4068E752">
      <w:pPr>
        <w:spacing w:line="360" w:lineRule="auto"/>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2、在工程采购项目中，工程由中小企业承建，即工程施工单位为中小企业。</w:t>
      </w:r>
    </w:p>
    <w:p w14:paraId="785E1712">
      <w:pPr>
        <w:spacing w:line="360" w:lineRule="auto"/>
        <w:rPr>
          <w:rFonts w:hint="eastAsia" w:ascii="宋体" w:hAnsi="宋体" w:eastAsia="宋体" w:cs="宋体"/>
          <w:bCs/>
          <w:color w:val="auto"/>
          <w:sz w:val="24"/>
          <w:szCs w:val="22"/>
          <w:highlight w:val="none"/>
        </w:rPr>
      </w:pPr>
      <w:r>
        <w:rPr>
          <w:rFonts w:hint="eastAsia" w:ascii="宋体" w:hAnsi="宋体" w:eastAsia="宋体" w:cs="宋体"/>
          <w:bCs/>
          <w:color w:val="auto"/>
          <w:sz w:val="22"/>
          <w:szCs w:val="22"/>
          <w:highlight w:val="none"/>
          <w:vertAlign w:val="superscript"/>
        </w:rPr>
        <w:t>1</w:t>
      </w:r>
      <w:r>
        <w:rPr>
          <w:rFonts w:hint="eastAsia" w:ascii="宋体" w:hAnsi="宋体" w:eastAsia="宋体" w:cs="宋体"/>
          <w:bCs/>
          <w:color w:val="auto"/>
          <w:sz w:val="22"/>
          <w:szCs w:val="22"/>
          <w:highlight w:val="none"/>
        </w:rPr>
        <w:t>从业人员、营业收入、资产总额填报上一年度数据，无上一年度数据的新成立企业可不填报。</w:t>
      </w:r>
    </w:p>
    <w:p w14:paraId="7618CC27">
      <w:pPr>
        <w:jc w:val="left"/>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（九）残疾人福利性单位声明函（格式）</w:t>
      </w:r>
    </w:p>
    <w:p w14:paraId="676FC3B6">
      <w:pPr>
        <w:rPr>
          <w:rFonts w:hint="eastAsia" w:ascii="宋体" w:hAnsi="宋体" w:eastAsia="宋体" w:cs="宋体"/>
          <w:color w:val="auto"/>
          <w:highlight w:val="none"/>
        </w:rPr>
      </w:pPr>
    </w:p>
    <w:p w14:paraId="13E3D61D">
      <w:pPr>
        <w:spacing w:line="360" w:lineRule="auto"/>
        <w:jc w:val="center"/>
        <w:outlineLvl w:val="0"/>
        <w:rPr>
          <w:rFonts w:hint="eastAsia" w:ascii="宋体" w:hAnsi="宋体" w:eastAsia="宋体" w:cs="宋体"/>
          <w:color w:val="auto"/>
          <w:sz w:val="28"/>
          <w:szCs w:val="28"/>
          <w:highlight w:val="none"/>
        </w:rPr>
      </w:pPr>
    </w:p>
    <w:p w14:paraId="421B405E">
      <w:pPr>
        <w:spacing w:line="360" w:lineRule="auto"/>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残疾人福利性单位声明函</w:t>
      </w:r>
    </w:p>
    <w:p w14:paraId="5E2CA7E4">
      <w:pPr>
        <w:spacing w:line="360" w:lineRule="auto"/>
        <w:jc w:val="center"/>
        <w:outlineLvl w:val="0"/>
        <w:rPr>
          <w:rFonts w:hint="eastAsia" w:ascii="宋体" w:hAnsi="宋体" w:eastAsia="宋体" w:cs="宋体"/>
          <w:color w:val="auto"/>
          <w:sz w:val="28"/>
          <w:szCs w:val="28"/>
          <w:highlight w:val="none"/>
        </w:rPr>
      </w:pPr>
    </w:p>
    <w:p w14:paraId="285B60D1">
      <w:pPr>
        <w:spacing w:line="440" w:lineRule="exact"/>
        <w:ind w:firstLine="480"/>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郑重承诺，根据《财政部司法部中国残疾人联合会关于促进残疾人就业的政府采购政策的通知》（财库〔2017〕141号）的规定，本单位为符合条件的残疾人福利性单位，且本单位为参加单位的项目采购活动提供本企业制造的货物，由本公司承担工程、提供服务，或者提供其他残疾人福利性单位制造的货物（不包括使用非残疾人福利性单位注册商标的货物）。</w:t>
      </w:r>
    </w:p>
    <w:p w14:paraId="4C292AC6">
      <w:pPr>
        <w:spacing w:line="440" w:lineRule="exact"/>
        <w:outlineLvl w:val="0"/>
        <w:rPr>
          <w:rFonts w:hint="eastAsia" w:ascii="宋体" w:hAnsi="宋体" w:eastAsia="宋体" w:cs="宋体"/>
          <w:color w:val="auto"/>
          <w:sz w:val="24"/>
          <w:szCs w:val="24"/>
          <w:highlight w:val="none"/>
        </w:rPr>
      </w:pPr>
    </w:p>
    <w:p w14:paraId="09D0E723">
      <w:pPr>
        <w:spacing w:line="440" w:lineRule="exact"/>
        <w:ind w:firstLine="480"/>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本公司对上述声明的真实性负责。如有虚假，将依法承担相应责任。</w:t>
      </w:r>
    </w:p>
    <w:p w14:paraId="3A62A8D0">
      <w:pPr>
        <w:spacing w:line="440" w:lineRule="exact"/>
        <w:outlineLvl w:val="0"/>
        <w:rPr>
          <w:rFonts w:hint="eastAsia" w:ascii="宋体" w:hAnsi="宋体" w:eastAsia="宋体" w:cs="宋体"/>
          <w:color w:val="auto"/>
          <w:sz w:val="24"/>
          <w:szCs w:val="24"/>
          <w:highlight w:val="none"/>
        </w:rPr>
      </w:pPr>
    </w:p>
    <w:p w14:paraId="35848841">
      <w:pPr>
        <w:spacing w:line="440" w:lineRule="exact"/>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b/>
      </w:r>
    </w:p>
    <w:p w14:paraId="3AAAA54B">
      <w:pPr>
        <w:spacing w:line="440" w:lineRule="exact"/>
        <w:outlineLvl w:val="0"/>
        <w:rPr>
          <w:rFonts w:hint="eastAsia" w:ascii="宋体" w:hAnsi="宋体" w:eastAsia="宋体" w:cs="宋体"/>
          <w:color w:val="auto"/>
          <w:sz w:val="24"/>
          <w:szCs w:val="24"/>
          <w:highlight w:val="none"/>
        </w:rPr>
      </w:pPr>
    </w:p>
    <w:p w14:paraId="56E0066C">
      <w:pPr>
        <w:spacing w:line="440" w:lineRule="exact"/>
        <w:jc w:val="right"/>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企业名称（盖章）：</w:t>
      </w:r>
    </w:p>
    <w:p w14:paraId="66AE3ACE">
      <w:pPr>
        <w:spacing w:line="440" w:lineRule="exact"/>
        <w:jc w:val="right"/>
        <w:outlineLvl w:val="0"/>
        <w:rPr>
          <w:rFonts w:hint="eastAsia" w:ascii="宋体" w:hAnsi="宋体" w:eastAsia="宋体" w:cs="宋体"/>
          <w:color w:val="auto"/>
          <w:sz w:val="24"/>
          <w:szCs w:val="24"/>
          <w:highlight w:val="none"/>
        </w:rPr>
      </w:pPr>
    </w:p>
    <w:p w14:paraId="55C0D65F">
      <w:pPr>
        <w:spacing w:line="440" w:lineRule="exact"/>
        <w:jc w:val="right"/>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p>
    <w:p w14:paraId="1763C49E">
      <w:pPr>
        <w:jc w:val="center"/>
        <w:rPr>
          <w:rFonts w:hint="eastAsia" w:ascii="宋体" w:hAnsi="宋体" w:eastAsia="宋体" w:cs="宋体"/>
          <w:b/>
          <w:bCs/>
          <w:color w:val="auto"/>
          <w:sz w:val="32"/>
          <w:szCs w:val="32"/>
          <w:highlight w:val="none"/>
        </w:rPr>
      </w:pPr>
    </w:p>
    <w:p w14:paraId="43F8D5F4">
      <w:pPr>
        <w:jc w:val="center"/>
        <w:rPr>
          <w:rFonts w:hint="eastAsia" w:ascii="宋体" w:hAnsi="宋体" w:eastAsia="宋体" w:cs="宋体"/>
          <w:b/>
          <w:bCs/>
          <w:color w:val="auto"/>
          <w:sz w:val="32"/>
          <w:szCs w:val="32"/>
          <w:highlight w:val="none"/>
        </w:rPr>
      </w:pPr>
    </w:p>
    <w:p w14:paraId="39B36DF4">
      <w:pPr>
        <w:jc w:val="center"/>
        <w:rPr>
          <w:rFonts w:hint="eastAsia" w:ascii="宋体" w:hAnsi="宋体" w:eastAsia="宋体" w:cs="宋体"/>
          <w:b/>
          <w:bCs/>
          <w:color w:val="auto"/>
          <w:sz w:val="32"/>
          <w:szCs w:val="32"/>
          <w:highlight w:val="none"/>
        </w:rPr>
      </w:pPr>
    </w:p>
    <w:p w14:paraId="3B41E770">
      <w:pPr>
        <w:jc w:val="center"/>
        <w:rPr>
          <w:rFonts w:hint="eastAsia" w:ascii="宋体" w:hAnsi="宋体" w:eastAsia="宋体" w:cs="宋体"/>
          <w:b/>
          <w:bCs/>
          <w:color w:val="auto"/>
          <w:sz w:val="32"/>
          <w:szCs w:val="32"/>
          <w:highlight w:val="none"/>
        </w:rPr>
      </w:pPr>
    </w:p>
    <w:p w14:paraId="3CE5BCB3">
      <w:pPr>
        <w:jc w:val="center"/>
        <w:rPr>
          <w:rFonts w:hint="eastAsia" w:ascii="宋体" w:hAnsi="宋体" w:eastAsia="宋体" w:cs="宋体"/>
          <w:b/>
          <w:bCs/>
          <w:color w:val="auto"/>
          <w:sz w:val="32"/>
          <w:szCs w:val="32"/>
          <w:highlight w:val="none"/>
        </w:rPr>
      </w:pPr>
    </w:p>
    <w:p w14:paraId="3F8642D8">
      <w:pPr>
        <w:jc w:val="center"/>
        <w:rPr>
          <w:rFonts w:hint="eastAsia" w:ascii="宋体" w:hAnsi="宋体" w:eastAsia="宋体" w:cs="宋体"/>
          <w:b/>
          <w:bCs/>
          <w:color w:val="auto"/>
          <w:sz w:val="32"/>
          <w:szCs w:val="32"/>
          <w:highlight w:val="none"/>
        </w:rPr>
      </w:pPr>
    </w:p>
    <w:p w14:paraId="32F55A61">
      <w:pPr>
        <w:jc w:val="center"/>
        <w:rPr>
          <w:rFonts w:hint="eastAsia" w:ascii="宋体" w:hAnsi="宋体" w:eastAsia="宋体" w:cs="宋体"/>
          <w:b/>
          <w:bCs/>
          <w:color w:val="auto"/>
          <w:sz w:val="32"/>
          <w:szCs w:val="32"/>
          <w:highlight w:val="none"/>
        </w:rPr>
      </w:pPr>
    </w:p>
    <w:p w14:paraId="3B341D4C">
      <w:pPr>
        <w:jc w:val="center"/>
        <w:rPr>
          <w:rFonts w:hint="eastAsia" w:ascii="宋体" w:hAnsi="宋体" w:eastAsia="宋体" w:cs="宋体"/>
          <w:b/>
          <w:bCs/>
          <w:color w:val="auto"/>
          <w:sz w:val="32"/>
          <w:szCs w:val="32"/>
          <w:highlight w:val="none"/>
        </w:rPr>
      </w:pPr>
    </w:p>
    <w:p w14:paraId="6D854320">
      <w:pPr>
        <w:pStyle w:val="6"/>
        <w:numPr>
          <w:ilvl w:val="4"/>
          <w:numId w:val="0"/>
        </w:numPr>
        <w:rPr>
          <w:rFonts w:hint="eastAsia" w:ascii="宋体" w:hAnsi="宋体" w:eastAsia="宋体" w:cs="宋体"/>
          <w:color w:val="auto"/>
          <w:highlight w:val="none"/>
        </w:rPr>
      </w:pPr>
    </w:p>
    <w:p w14:paraId="3F0E0D6D">
      <w:pPr>
        <w:jc w:val="left"/>
        <w:outlineLvl w:val="0"/>
        <w:rPr>
          <w:rFonts w:hint="eastAsia" w:ascii="宋体" w:hAnsi="宋体" w:eastAsia="宋体" w:cs="宋体"/>
          <w:color w:val="auto"/>
          <w:sz w:val="24"/>
          <w:szCs w:val="24"/>
          <w:highlight w:val="none"/>
        </w:rPr>
      </w:pPr>
    </w:p>
    <w:p w14:paraId="2BF47AD6">
      <w:pP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br w:type="page" w:clear="all"/>
      </w:r>
    </w:p>
    <w:p w14:paraId="1F2E8700">
      <w:pPr>
        <w:numPr>
          <w:ilvl w:val="0"/>
          <w:numId w:val="15"/>
        </w:numPr>
        <w:jc w:val="center"/>
        <w:outlineLvl w:val="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报价部分格式</w:t>
      </w:r>
    </w:p>
    <w:p w14:paraId="4DA2740E">
      <w:pPr>
        <w:numPr>
          <w:ilvl w:val="0"/>
          <w:numId w:val="0"/>
        </w:numPr>
        <w:jc w:val="both"/>
        <w:outlineLvl w:val="0"/>
        <w:rPr>
          <w:rFonts w:hint="eastAsia" w:ascii="宋体" w:hAnsi="宋体" w:eastAsia="宋体" w:cs="宋体"/>
          <w:b/>
          <w:bCs/>
          <w:color w:val="auto"/>
          <w:sz w:val="30"/>
          <w:szCs w:val="30"/>
          <w:highlight w:val="none"/>
        </w:rPr>
      </w:pPr>
    </w:p>
    <w:p w14:paraId="7B69DD59">
      <w:pPr>
        <w:pStyle w:val="17"/>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（详见工程量清单）</w:t>
      </w:r>
    </w:p>
    <w:p w14:paraId="31B22616">
      <w:pPr>
        <w:jc w:val="center"/>
        <w:rPr>
          <w:rFonts w:hint="eastAsia" w:ascii="宋体" w:hAnsi="宋体" w:eastAsia="宋体" w:cs="宋体"/>
          <w:color w:val="auto"/>
          <w:highlight w:val="none"/>
          <w:lang w:val="en-US" w:eastAsia="zh-CN"/>
        </w:rPr>
      </w:pPr>
    </w:p>
    <w:p w14:paraId="53776EEF">
      <w:pPr>
        <w:rPr>
          <w:rFonts w:hint="eastAsia" w:ascii="宋体" w:hAnsi="宋体" w:eastAsia="宋体" w:cs="宋体"/>
          <w:color w:val="auto"/>
          <w:highlight w:val="none"/>
        </w:rPr>
      </w:pPr>
    </w:p>
    <w:p w14:paraId="28A612C1">
      <w:pPr>
        <w:rPr>
          <w:rFonts w:hint="eastAsia" w:ascii="宋体" w:hAnsi="宋体" w:eastAsia="宋体" w:cs="宋体"/>
          <w:color w:val="auto"/>
          <w:highlight w:val="none"/>
        </w:rPr>
      </w:pPr>
    </w:p>
    <w:p w14:paraId="6853D6A9">
      <w:pPr>
        <w:numPr>
          <w:ilvl w:val="0"/>
          <w:numId w:val="16"/>
        </w:numPr>
        <w:spacing w:line="360" w:lineRule="auto"/>
        <w:ind w:firstLine="602"/>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技术文件</w:t>
      </w:r>
    </w:p>
    <w:p w14:paraId="4E16D1CD">
      <w:pPr>
        <w:pStyle w:val="17"/>
        <w:jc w:val="center"/>
        <w:rPr>
          <w:rFonts w:hint="eastAsia" w:ascii="宋体" w:hAnsi="宋体" w:eastAsia="宋体" w:cs="宋体"/>
          <w:color w:val="auto"/>
          <w:highlight w:val="none"/>
        </w:rPr>
      </w:pPr>
      <w:r>
        <w:rPr>
          <w:rFonts w:hint="eastAsia" w:ascii="宋体" w:hAnsi="宋体" w:eastAsia="宋体" w:cs="宋体"/>
          <w:color w:val="auto"/>
          <w:highlight w:val="none"/>
        </w:rPr>
        <w:t>（根据评审标准进行制作）</w:t>
      </w:r>
    </w:p>
    <w:sectPr>
      <w:headerReference r:id="rId6" w:type="default"/>
      <w:footerReference r:id="rId7" w:type="default"/>
      <w:pgSz w:w="11906" w:h="16838"/>
      <w:pgMar w:top="1440" w:right="1486" w:bottom="1440" w:left="1600" w:header="851" w:footer="992" w:gutter="0"/>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auto"/>
    <w:pitch w:val="default"/>
    <w:sig w:usb0="A00002EF" w:usb1="4000004B" w:usb2="00000000" w:usb3="00000000" w:csb0="2000009F" w:csb1="00000000"/>
  </w:font>
  <w:font w:name="华文细黑">
    <w:panose1 w:val="02010600040101010101"/>
    <w:charset w:val="86"/>
    <w:family w:val="auto"/>
    <w:pitch w:val="default"/>
    <w:sig w:usb0="00000287" w:usb1="080F0000" w:usb2="00000000" w:usb3="00000000" w:csb0="0004009F" w:csb1="DFD70000"/>
  </w:font>
  <w:font w:name="PMingLiU">
    <w:altName w:val="Perpetua Titling MT"/>
    <w:panose1 w:val="02020500000000000000"/>
    <w:charset w:val="00"/>
    <w:family w:val="auto"/>
    <w:pitch w:val="default"/>
    <w:sig w:usb0="00000000" w:usb1="00000000" w:usb2="00000000" w:usb3="00000000" w:csb0="00000000" w:csb1="00000000"/>
  </w:font>
  <w:font w:name="Perpetua Titling MT">
    <w:panose1 w:val="02020502060505020804"/>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9DE52">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349DD">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51F02">
    <w:pPr>
      <w:pStyle w:val="27"/>
      <w:pBdr>
        <w:bottom w:val="none" w:color="auto" w:sz="0" w:space="0"/>
      </w:pBdr>
      <w:tabs>
        <w:tab w:val="left" w:pos="2406"/>
      </w:tabs>
      <w:ind w:right="450"/>
      <w:jc w:val="left"/>
      <w:rPr>
        <w:rFonts w:ascii="宋体" w:cs="宋体"/>
        <w:sz w:val="11"/>
        <w:szCs w:val="11"/>
      </w:rPr>
    </w:pPr>
    <w:r>
      <w:rPr>
        <w:rFonts w:ascii="宋体" w:cs="宋体"/>
        <w:sz w:val="11"/>
        <w:szCs w:val="11"/>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55034">
    <w:pPr>
      <w:pStyle w:val="27"/>
      <w:pBdr>
        <w:bottom w:val="none" w:color="auto" w:sz="0" w:space="0"/>
      </w:pBd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00650">
    <w:pPr>
      <w:jc w:val="cente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japaneseCounting"/>
      <w:lvlText w:val="第%1条"/>
      <w:lvlJc w:val="left"/>
      <w:pPr>
        <w:tabs>
          <w:tab w:val="left" w:pos="1290"/>
        </w:tabs>
        <w:ind w:left="1290" w:hanging="855"/>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1">
    <w:nsid w:val="B5E306ED"/>
    <w:multiLevelType w:val="multilevel"/>
    <w:tmpl w:val="B5E306ED"/>
    <w:lvl w:ilvl="0" w:tentative="0">
      <w:start w:val="1"/>
      <w:numFmt w:val="decimal"/>
      <w:lvlText w:val="%1．"/>
      <w:lvlJc w:val="left"/>
      <w:pPr>
        <w:tabs>
          <w:tab w:val="left" w:pos="3360"/>
        </w:tabs>
        <w:ind w:left="3360" w:hanging="42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BF205925"/>
    <w:multiLevelType w:val="multilevel"/>
    <w:tmpl w:val="BF205925"/>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C8879AEF"/>
    <w:multiLevelType w:val="multilevel"/>
    <w:tmpl w:val="C8879AEF"/>
    <w:lvl w:ilvl="0" w:tentative="0">
      <w:start w:val="1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CF092B84"/>
    <w:multiLevelType w:val="multilevel"/>
    <w:tmpl w:val="CF092B84"/>
    <w:lvl w:ilvl="0" w:tentative="0">
      <w:start w:val="1"/>
      <w:numFmt w:val="japaneseCounting"/>
      <w:pStyle w:val="31"/>
      <w:lvlText w:val="（%1）"/>
      <w:lvlJc w:val="left"/>
      <w:pPr>
        <w:tabs>
          <w:tab w:val="left" w:pos="1380"/>
        </w:tabs>
        <w:ind w:left="1380" w:hanging="855"/>
      </w:pPr>
      <w:rPr>
        <w:rFonts w:hint="eastAsia"/>
      </w:rPr>
    </w:lvl>
    <w:lvl w:ilvl="1" w:tentative="0">
      <w:start w:val="3"/>
      <w:numFmt w:val="decimal"/>
      <w:lvlText w:val="%2."/>
      <w:lvlJc w:val="left"/>
      <w:pPr>
        <w:tabs>
          <w:tab w:val="left" w:pos="1650"/>
        </w:tabs>
        <w:ind w:left="1650" w:hanging="705"/>
      </w:pPr>
      <w:rPr>
        <w:rFonts w:hint="default"/>
      </w:rPr>
    </w:lvl>
    <w:lvl w:ilvl="2" w:tentative="0">
      <w:start w:val="1"/>
      <w:numFmt w:val="decimal"/>
      <w:lvlText w:val="%3."/>
      <w:lvlJc w:val="left"/>
      <w:pPr>
        <w:tabs>
          <w:tab w:val="left" w:pos="2265"/>
        </w:tabs>
        <w:ind w:left="2265" w:hanging="900"/>
      </w:pPr>
      <w:rPr>
        <w:rFonts w:hint="eastAsia"/>
      </w:rPr>
    </w:lvl>
    <w:lvl w:ilvl="3" w:tentative="0">
      <w:start w:val="1"/>
      <w:numFmt w:val="decimal"/>
      <w:lvlText w:val="（%4）"/>
      <w:lvlJc w:val="left"/>
      <w:pPr>
        <w:tabs>
          <w:tab w:val="left" w:pos="2505"/>
        </w:tabs>
        <w:ind w:left="2505" w:hanging="720"/>
      </w:pPr>
      <w:rPr>
        <w:rFonts w:hint="eastAsia" w:ascii="宋体" w:hAnsi="宋体" w:eastAsia="宋体"/>
        <w:sz w:val="24"/>
        <w:szCs w:val="24"/>
      </w:rPr>
    </w:lvl>
    <w:lvl w:ilvl="4" w:tentative="0">
      <w:start w:val="1"/>
      <w:numFmt w:val="lowerLetter"/>
      <w:lvlText w:val="%5."/>
      <w:lvlJc w:val="left"/>
      <w:pPr>
        <w:tabs>
          <w:tab w:val="left" w:pos="2565"/>
        </w:tabs>
        <w:ind w:left="2565" w:hanging="360"/>
      </w:pPr>
      <w:rPr>
        <w:rFonts w:hint="eastAsia"/>
      </w:rPr>
    </w:lvl>
    <w:lvl w:ilvl="5" w:tentative="0">
      <w:start w:val="1"/>
      <w:numFmt w:val="decimal"/>
      <w:lvlText w:val="%6．"/>
      <w:lvlJc w:val="left"/>
      <w:pPr>
        <w:tabs>
          <w:tab w:val="left" w:pos="3345"/>
        </w:tabs>
        <w:ind w:left="3345" w:hanging="720"/>
      </w:pPr>
      <w:rPr>
        <w:rFonts w:hint="eastAsia"/>
      </w:rPr>
    </w:lvl>
    <w:lvl w:ilvl="6" w:tentative="0">
      <w:start w:val="1"/>
      <w:numFmt w:val="decimal"/>
      <w:lvlText w:val="%7."/>
      <w:lvlJc w:val="left"/>
      <w:pPr>
        <w:tabs>
          <w:tab w:val="left" w:pos="3465"/>
        </w:tabs>
        <w:ind w:left="3465" w:hanging="420"/>
      </w:pPr>
    </w:lvl>
    <w:lvl w:ilvl="7" w:tentative="0">
      <w:start w:val="1"/>
      <w:numFmt w:val="lowerLetter"/>
      <w:lvlText w:val="%8)"/>
      <w:lvlJc w:val="left"/>
      <w:pPr>
        <w:tabs>
          <w:tab w:val="left" w:pos="3885"/>
        </w:tabs>
        <w:ind w:left="3885" w:hanging="420"/>
      </w:pPr>
    </w:lvl>
    <w:lvl w:ilvl="8" w:tentative="0">
      <w:start w:val="1"/>
      <w:numFmt w:val="lowerRoman"/>
      <w:lvlText w:val="%9."/>
      <w:lvlJc w:val="right"/>
      <w:pPr>
        <w:tabs>
          <w:tab w:val="left" w:pos="4305"/>
        </w:tabs>
        <w:ind w:left="4305" w:hanging="420"/>
      </w:pPr>
    </w:lvl>
  </w:abstractNum>
  <w:abstractNum w:abstractNumId="5">
    <w:nsid w:val="E90D0AC4"/>
    <w:multiLevelType w:val="singleLevel"/>
    <w:tmpl w:val="E90D0AC4"/>
    <w:lvl w:ilvl="0" w:tentative="0">
      <w:start w:val="1"/>
      <w:numFmt w:val="decimal"/>
      <w:suff w:val="nothing"/>
      <w:lvlText w:val="（%1）"/>
      <w:lvlJc w:val="left"/>
    </w:lvl>
  </w:abstractNum>
  <w:abstractNum w:abstractNumId="6">
    <w:nsid w:val="F1C7781B"/>
    <w:multiLevelType w:val="singleLevel"/>
    <w:tmpl w:val="F1C7781B"/>
    <w:lvl w:ilvl="0" w:tentative="0">
      <w:start w:val="4"/>
      <w:numFmt w:val="chineseCounting"/>
      <w:suff w:val="nothing"/>
      <w:lvlText w:val="第%1部分．"/>
      <w:lvlJc w:val="left"/>
      <w:rPr>
        <w:rFonts w:hint="eastAsia"/>
        <w:sz w:val="44"/>
        <w:szCs w:val="44"/>
      </w:rPr>
    </w:lvl>
  </w:abstractNum>
  <w:abstractNum w:abstractNumId="7">
    <w:nsid w:val="0053208E"/>
    <w:multiLevelType w:val="multilevel"/>
    <w:tmpl w:val="0053208E"/>
    <w:lvl w:ilvl="0" w:tentative="0">
      <w:start w:val="1"/>
      <w:numFmt w:val="chineseCountingThousand"/>
      <w:pStyle w:val="2"/>
      <w:lvlText w:val="第%1部分"/>
      <w:lvlJc w:val="left"/>
      <w:pPr>
        <w:tabs>
          <w:tab w:val="left" w:pos="1800"/>
        </w:tabs>
        <w:ind w:left="425" w:hanging="425"/>
      </w:pPr>
      <w:rPr>
        <w:rFonts w:hint="eastAsia"/>
      </w:rPr>
    </w:lvl>
    <w:lvl w:ilvl="1" w:tentative="0">
      <w:start w:val="1"/>
      <w:numFmt w:val="decimal"/>
      <w:pStyle w:val="3"/>
      <w:isLgl/>
      <w:lvlText w:val="%1.%2"/>
      <w:lvlJc w:val="left"/>
      <w:pPr>
        <w:tabs>
          <w:tab w:val="left" w:pos="567"/>
        </w:tabs>
        <w:ind w:left="567" w:hanging="567"/>
      </w:pPr>
      <w:rPr>
        <w:rFonts w:hint="eastAsia"/>
      </w:rPr>
    </w:lvl>
    <w:lvl w:ilvl="2" w:tentative="0">
      <w:start w:val="1"/>
      <w:numFmt w:val="decimal"/>
      <w:isLgl/>
      <w:lvlText w:val="%1.%2.%3"/>
      <w:lvlJc w:val="left"/>
      <w:pPr>
        <w:tabs>
          <w:tab w:val="left" w:pos="1080"/>
        </w:tabs>
        <w:ind w:left="340" w:hanging="340"/>
      </w:pPr>
      <w:rPr>
        <w:rFonts w:hint="eastAsia"/>
      </w:rPr>
    </w:lvl>
    <w:lvl w:ilvl="3" w:tentative="0">
      <w:start w:val="1"/>
      <w:numFmt w:val="decimal"/>
      <w:isLgl/>
      <w:lvlText w:val="%1.%2.%3.%4"/>
      <w:lvlJc w:val="left"/>
      <w:pPr>
        <w:tabs>
          <w:tab w:val="left" w:pos="851"/>
        </w:tabs>
        <w:ind w:left="851" w:hanging="851"/>
      </w:pPr>
      <w:rPr>
        <w:rFonts w:hint="eastAsia"/>
      </w:rPr>
    </w:lvl>
    <w:lvl w:ilvl="4" w:tentative="0">
      <w:start w:val="1"/>
      <w:numFmt w:val="decimal"/>
      <w:pStyle w:val="6"/>
      <w:isLgl/>
      <w:lvlText w:val="%1.%2.%3.%4.%5"/>
      <w:lvlJc w:val="left"/>
      <w:pPr>
        <w:tabs>
          <w:tab w:val="left" w:pos="1080"/>
        </w:tabs>
        <w:ind w:left="992" w:hanging="992"/>
      </w:pPr>
      <w:rPr>
        <w:rFonts w:hint="eastAsia"/>
      </w:rPr>
    </w:lvl>
    <w:lvl w:ilvl="5" w:tentative="0">
      <w:start w:val="1"/>
      <w:numFmt w:val="decimal"/>
      <w:isLgl/>
      <w:lvlText w:val="%1.%2.%3.%4.%5.%6"/>
      <w:lvlJc w:val="left"/>
      <w:pPr>
        <w:tabs>
          <w:tab w:val="left" w:pos="1440"/>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0248C179"/>
    <w:multiLevelType w:val="multilevel"/>
    <w:tmpl w:val="0248C179"/>
    <w:lvl w:ilvl="0" w:tentative="0">
      <w:start w:val="1"/>
      <w:numFmt w:val="japaneseCounting"/>
      <w:lvlText w:val="第%1条"/>
      <w:lvlJc w:val="left"/>
      <w:pPr>
        <w:ind w:left="740" w:hanging="74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3D62ECE"/>
    <w:multiLevelType w:val="multilevel"/>
    <w:tmpl w:val="03D62ECE"/>
    <w:lvl w:ilvl="0" w:tentative="0">
      <w:start w:val="1"/>
      <w:numFmt w:val="japaneseCounting"/>
      <w:lvlText w:val="（%1）"/>
      <w:lvlJc w:val="left"/>
      <w:pPr>
        <w:tabs>
          <w:tab w:val="left" w:pos="855"/>
        </w:tabs>
        <w:ind w:left="855" w:hanging="855"/>
      </w:pPr>
      <w:rPr>
        <w:rFonts w:hint="eastAsia"/>
      </w:rPr>
    </w:lvl>
    <w:lvl w:ilvl="1" w:tentative="0">
      <w:start w:val="3"/>
      <w:numFmt w:val="decimal"/>
      <w:lvlText w:val="%2."/>
      <w:lvlJc w:val="left"/>
      <w:pPr>
        <w:tabs>
          <w:tab w:val="left" w:pos="1125"/>
        </w:tabs>
        <w:ind w:left="1125" w:hanging="705"/>
      </w:pPr>
      <w:rPr>
        <w:rFonts w:hint="default"/>
      </w:rPr>
    </w:lvl>
    <w:lvl w:ilvl="2" w:tentative="0">
      <w:start w:val="1"/>
      <w:numFmt w:val="decimal"/>
      <w:lvlText w:val="%3."/>
      <w:lvlJc w:val="left"/>
      <w:pPr>
        <w:tabs>
          <w:tab w:val="left" w:pos="1740"/>
        </w:tabs>
        <w:ind w:left="1740" w:hanging="900"/>
      </w:pPr>
      <w:rPr>
        <w:rFonts w:hint="eastAsia"/>
        <w:color w:val="auto"/>
      </w:rPr>
    </w:lvl>
    <w:lvl w:ilvl="3" w:tentative="0">
      <w:start w:val="1"/>
      <w:numFmt w:val="decimal"/>
      <w:lvlText w:val="（%4）"/>
      <w:lvlJc w:val="left"/>
      <w:pPr>
        <w:tabs>
          <w:tab w:val="left" w:pos="1980"/>
        </w:tabs>
        <w:ind w:left="1980" w:hanging="720"/>
      </w:pPr>
      <w:rPr>
        <w:rFonts w:hint="eastAsia" w:ascii="宋体" w:hAnsi="宋体" w:eastAsia="宋体"/>
        <w:sz w:val="24"/>
        <w:szCs w:val="24"/>
      </w:rPr>
    </w:lvl>
    <w:lvl w:ilvl="4" w:tentative="0">
      <w:start w:val="1"/>
      <w:numFmt w:val="lowerLetter"/>
      <w:lvlText w:val="%5."/>
      <w:lvlJc w:val="left"/>
      <w:pPr>
        <w:tabs>
          <w:tab w:val="left" w:pos="2040"/>
        </w:tabs>
        <w:ind w:left="2040" w:hanging="360"/>
      </w:pPr>
      <w:rPr>
        <w:rFonts w:hint="eastAsia"/>
      </w:rPr>
    </w:lvl>
    <w:lvl w:ilvl="5" w:tentative="0">
      <w:start w:val="1"/>
      <w:numFmt w:val="decimal"/>
      <w:lvlText w:val="%6．"/>
      <w:lvlJc w:val="left"/>
      <w:pPr>
        <w:tabs>
          <w:tab w:val="left" w:pos="2820"/>
        </w:tabs>
        <w:ind w:left="2820" w:hanging="720"/>
      </w:pPr>
      <w:rPr>
        <w:rFonts w:hint="eastAsia"/>
      </w:rPr>
    </w:lvl>
    <w:lvl w:ilvl="6" w:tentative="0">
      <w:start w:val="1"/>
      <w:numFmt w:val="decimal"/>
      <w:lvlText w:val="%7、"/>
      <w:lvlJc w:val="left"/>
      <w:pPr>
        <w:tabs>
          <w:tab w:val="left" w:pos="2880"/>
        </w:tabs>
        <w:ind w:left="2880" w:hanging="360"/>
      </w:pPr>
      <w:rPr>
        <w:rFonts w:hint="default"/>
      </w:rPr>
    </w:lvl>
    <w:lvl w:ilvl="7" w:tentative="0">
      <w:start w:val="1"/>
      <w:numFmt w:val="decimalEnclosedCircle"/>
      <w:lvlText w:val="%8"/>
      <w:lvlJc w:val="left"/>
      <w:pPr>
        <w:tabs>
          <w:tab w:val="left" w:pos="3300"/>
        </w:tabs>
        <w:ind w:left="3300" w:hanging="360"/>
      </w:pPr>
      <w:rPr>
        <w:rFonts w:hint="default"/>
      </w:rPr>
    </w:lvl>
    <w:lvl w:ilvl="8" w:tentative="0">
      <w:start w:val="1"/>
      <w:numFmt w:val="lowerRoman"/>
      <w:lvlText w:val="%9."/>
      <w:lvlJc w:val="right"/>
      <w:pPr>
        <w:tabs>
          <w:tab w:val="left" w:pos="3780"/>
        </w:tabs>
        <w:ind w:left="3780" w:hanging="420"/>
      </w:pPr>
    </w:lvl>
  </w:abstractNum>
  <w:abstractNum w:abstractNumId="10">
    <w:nsid w:val="11EC8A76"/>
    <w:multiLevelType w:val="singleLevel"/>
    <w:tmpl w:val="11EC8A76"/>
    <w:lvl w:ilvl="0" w:tentative="0">
      <w:start w:val="10"/>
      <w:numFmt w:val="chineseCounting"/>
      <w:suff w:val="nothing"/>
      <w:lvlText w:val="（%1）"/>
      <w:lvlJc w:val="left"/>
      <w:rPr>
        <w:rFonts w:hint="eastAsia"/>
      </w:rPr>
    </w:lvl>
  </w:abstractNum>
  <w:abstractNum w:abstractNumId="11">
    <w:nsid w:val="18B53040"/>
    <w:multiLevelType w:val="singleLevel"/>
    <w:tmpl w:val="18B53040"/>
    <w:lvl w:ilvl="0" w:tentative="0">
      <w:start w:val="3"/>
      <w:numFmt w:val="decimal"/>
      <w:suff w:val="nothing"/>
      <w:lvlText w:val="（%1）"/>
      <w:lvlJc w:val="left"/>
    </w:lvl>
  </w:abstractNum>
  <w:abstractNum w:abstractNumId="12">
    <w:nsid w:val="25B654F3"/>
    <w:multiLevelType w:val="multilevel"/>
    <w:tmpl w:val="25B654F3"/>
    <w:lvl w:ilvl="0" w:tentative="0">
      <w:start w:val="1"/>
      <w:numFmt w:val="decimal"/>
      <w:suff w:val="nothing"/>
      <w:lvlText w:val="%1．"/>
      <w:lvlJc w:val="left"/>
      <w:pPr>
        <w:ind w:left="20" w:firstLine="400"/>
      </w:pPr>
      <w:rPr>
        <w:rFonts w:hint="default"/>
      </w:rPr>
    </w:lvl>
    <w:lvl w:ilvl="1" w:tentative="0">
      <w:start w:val="1"/>
      <w:numFmt w:val="bullet"/>
      <w:lvlText w:val="o"/>
      <w:lvlJc w:val="left"/>
      <w:pPr>
        <w:ind w:left="1460" w:hanging="360"/>
      </w:pPr>
      <w:rPr>
        <w:rFonts w:hint="default" w:ascii="Courier New" w:hAnsi="Courier New" w:eastAsia="Courier New" w:cs="Courier New"/>
      </w:rPr>
    </w:lvl>
    <w:lvl w:ilvl="2" w:tentative="0">
      <w:start w:val="1"/>
      <w:numFmt w:val="bullet"/>
      <w:lvlText w:val="§"/>
      <w:lvlJc w:val="left"/>
      <w:pPr>
        <w:ind w:left="2180" w:hanging="360"/>
      </w:pPr>
      <w:rPr>
        <w:rFonts w:hint="default" w:ascii="Wingdings" w:hAnsi="Wingdings" w:eastAsia="Wingdings" w:cs="Wingdings"/>
      </w:rPr>
    </w:lvl>
    <w:lvl w:ilvl="3" w:tentative="0">
      <w:start w:val="1"/>
      <w:numFmt w:val="bullet"/>
      <w:lvlText w:val="·"/>
      <w:lvlJc w:val="left"/>
      <w:pPr>
        <w:ind w:left="2900" w:hanging="360"/>
      </w:pPr>
      <w:rPr>
        <w:rFonts w:hint="default" w:ascii="Symbol" w:hAnsi="Symbol" w:eastAsia="Symbol" w:cs="Symbol"/>
      </w:rPr>
    </w:lvl>
    <w:lvl w:ilvl="4" w:tentative="0">
      <w:start w:val="1"/>
      <w:numFmt w:val="bullet"/>
      <w:lvlText w:val="o"/>
      <w:lvlJc w:val="left"/>
      <w:pPr>
        <w:ind w:left="3620" w:hanging="360"/>
      </w:pPr>
      <w:rPr>
        <w:rFonts w:hint="default" w:ascii="Courier New" w:hAnsi="Courier New" w:eastAsia="Courier New" w:cs="Courier New"/>
      </w:rPr>
    </w:lvl>
    <w:lvl w:ilvl="5" w:tentative="0">
      <w:start w:val="1"/>
      <w:numFmt w:val="bullet"/>
      <w:lvlText w:val="§"/>
      <w:lvlJc w:val="left"/>
      <w:pPr>
        <w:ind w:left="4340" w:hanging="360"/>
      </w:pPr>
      <w:rPr>
        <w:rFonts w:hint="default" w:ascii="Wingdings" w:hAnsi="Wingdings" w:eastAsia="Wingdings" w:cs="Wingdings"/>
      </w:rPr>
    </w:lvl>
    <w:lvl w:ilvl="6" w:tentative="0">
      <w:start w:val="1"/>
      <w:numFmt w:val="bullet"/>
      <w:lvlText w:val="·"/>
      <w:lvlJc w:val="left"/>
      <w:pPr>
        <w:ind w:left="5060" w:hanging="360"/>
      </w:pPr>
      <w:rPr>
        <w:rFonts w:hint="default" w:ascii="Symbol" w:hAnsi="Symbol" w:eastAsia="Symbol" w:cs="Symbol"/>
      </w:rPr>
    </w:lvl>
    <w:lvl w:ilvl="7" w:tentative="0">
      <w:start w:val="1"/>
      <w:numFmt w:val="bullet"/>
      <w:lvlText w:val="o"/>
      <w:lvlJc w:val="left"/>
      <w:pPr>
        <w:ind w:left="5780" w:hanging="360"/>
      </w:pPr>
      <w:rPr>
        <w:rFonts w:hint="default" w:ascii="Courier New" w:hAnsi="Courier New" w:eastAsia="Courier New" w:cs="Courier New"/>
      </w:rPr>
    </w:lvl>
    <w:lvl w:ilvl="8" w:tentative="0">
      <w:start w:val="1"/>
      <w:numFmt w:val="bullet"/>
      <w:lvlText w:val="§"/>
      <w:lvlJc w:val="left"/>
      <w:pPr>
        <w:ind w:left="6500" w:hanging="360"/>
      </w:pPr>
      <w:rPr>
        <w:rFonts w:hint="default" w:ascii="Wingdings" w:hAnsi="Wingdings" w:eastAsia="Wingdings" w:cs="Wingdings"/>
      </w:rPr>
    </w:lvl>
  </w:abstractNum>
  <w:abstractNum w:abstractNumId="13">
    <w:nsid w:val="2A8F537B"/>
    <w:multiLevelType w:val="multilevel"/>
    <w:tmpl w:val="2A8F537B"/>
    <w:lvl w:ilvl="0" w:tentative="0">
      <w:start w:val="4"/>
      <w:numFmt w:val="japaneseCounting"/>
      <w:lvlText w:val="第%1条"/>
      <w:lvlJc w:val="left"/>
      <w:pPr>
        <w:tabs>
          <w:tab w:val="left" w:pos="1140"/>
        </w:tabs>
        <w:ind w:left="1140" w:hanging="720"/>
      </w:pPr>
      <w:rPr>
        <w:rFonts w:hint="eastAsia"/>
        <w:b/>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4">
    <w:nsid w:val="59ADCABA"/>
    <w:multiLevelType w:val="multilevel"/>
    <w:tmpl w:val="59ADCABA"/>
    <w:lvl w:ilvl="0" w:tentative="0">
      <w:start w:val="1"/>
      <w:numFmt w:val="decimal"/>
      <w:pStyle w:val="222"/>
      <w:lvlText w:val="%1．"/>
      <w:lvlJc w:val="left"/>
      <w:pPr>
        <w:tabs>
          <w:tab w:val="left" w:pos="552"/>
        </w:tabs>
        <w:ind w:left="552" w:hanging="42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5">
    <w:nsid w:val="72183CF9"/>
    <w:multiLevelType w:val="multilevel"/>
    <w:tmpl w:val="72183CF9"/>
    <w:lvl w:ilvl="0" w:tentative="0">
      <w:start w:val="1"/>
      <w:numFmt w:val="decimal"/>
      <w:lvlText w:val="%1."/>
      <w:lvlJc w:val="left"/>
      <w:pPr>
        <w:tabs>
          <w:tab w:val="left" w:pos="900"/>
        </w:tabs>
        <w:ind w:left="900" w:hanging="420"/>
      </w:pPr>
      <w:rPr>
        <w:rFonts w:ascii="Times New Roman"/>
        <w:u w:val="none"/>
      </w:rPr>
    </w:lvl>
    <w:lvl w:ilvl="1" w:tentative="0">
      <w:start w:val="1"/>
      <w:numFmt w:val="lowerLetter"/>
      <w:lvlText w:val="%2)"/>
      <w:lvlJc w:val="left"/>
      <w:pPr>
        <w:tabs>
          <w:tab w:val="left" w:pos="1320"/>
        </w:tabs>
        <w:ind w:left="1320" w:hanging="420"/>
      </w:pPr>
      <w:rPr>
        <w:rFonts w:ascii="Times New Roman"/>
        <w:u w:val="none"/>
      </w:rPr>
    </w:lvl>
    <w:lvl w:ilvl="2" w:tentative="0">
      <w:start w:val="1"/>
      <w:numFmt w:val="lowerRoman"/>
      <w:lvlText w:val="%3."/>
      <w:lvlJc w:val="right"/>
      <w:pPr>
        <w:tabs>
          <w:tab w:val="left" w:pos="1740"/>
        </w:tabs>
        <w:ind w:left="1740" w:hanging="420"/>
      </w:pPr>
      <w:rPr>
        <w:rFonts w:ascii="Times New Roman"/>
        <w:u w:val="none"/>
      </w:rPr>
    </w:lvl>
    <w:lvl w:ilvl="3" w:tentative="0">
      <w:start w:val="1"/>
      <w:numFmt w:val="decimal"/>
      <w:lvlText w:val="%4."/>
      <w:lvlJc w:val="left"/>
      <w:pPr>
        <w:tabs>
          <w:tab w:val="left" w:pos="2160"/>
        </w:tabs>
        <w:ind w:left="2160" w:hanging="420"/>
      </w:pPr>
      <w:rPr>
        <w:rFonts w:ascii="Times New Roman"/>
        <w:u w:val="none"/>
      </w:rPr>
    </w:lvl>
    <w:lvl w:ilvl="4" w:tentative="0">
      <w:start w:val="1"/>
      <w:numFmt w:val="lowerLetter"/>
      <w:lvlText w:val="%5)"/>
      <w:lvlJc w:val="left"/>
      <w:pPr>
        <w:tabs>
          <w:tab w:val="left" w:pos="2580"/>
        </w:tabs>
        <w:ind w:left="2580" w:hanging="420"/>
      </w:pPr>
      <w:rPr>
        <w:rFonts w:ascii="Times New Roman"/>
        <w:u w:val="none"/>
      </w:rPr>
    </w:lvl>
    <w:lvl w:ilvl="5" w:tentative="0">
      <w:start w:val="1"/>
      <w:numFmt w:val="lowerRoman"/>
      <w:lvlText w:val="%6."/>
      <w:lvlJc w:val="right"/>
      <w:pPr>
        <w:tabs>
          <w:tab w:val="left" w:pos="3000"/>
        </w:tabs>
        <w:ind w:left="3000" w:hanging="420"/>
      </w:pPr>
      <w:rPr>
        <w:rFonts w:ascii="Times New Roman"/>
        <w:u w:val="none"/>
      </w:rPr>
    </w:lvl>
    <w:lvl w:ilvl="6" w:tentative="0">
      <w:start w:val="1"/>
      <w:numFmt w:val="decimal"/>
      <w:lvlText w:val="%7."/>
      <w:lvlJc w:val="left"/>
      <w:pPr>
        <w:tabs>
          <w:tab w:val="left" w:pos="3420"/>
        </w:tabs>
        <w:ind w:left="3420" w:hanging="420"/>
      </w:pPr>
      <w:rPr>
        <w:rFonts w:ascii="Times New Roman"/>
        <w:u w:val="none"/>
      </w:rPr>
    </w:lvl>
    <w:lvl w:ilvl="7" w:tentative="0">
      <w:start w:val="1"/>
      <w:numFmt w:val="lowerLetter"/>
      <w:lvlText w:val="%8)"/>
      <w:lvlJc w:val="left"/>
      <w:pPr>
        <w:tabs>
          <w:tab w:val="left" w:pos="3840"/>
        </w:tabs>
        <w:ind w:left="3840" w:hanging="420"/>
      </w:pPr>
      <w:rPr>
        <w:rFonts w:ascii="Times New Roman"/>
        <w:u w:val="none"/>
      </w:rPr>
    </w:lvl>
    <w:lvl w:ilvl="8" w:tentative="0">
      <w:start w:val="1"/>
      <w:numFmt w:val="lowerRoman"/>
      <w:lvlText w:val="%9."/>
      <w:lvlJc w:val="right"/>
      <w:pPr>
        <w:tabs>
          <w:tab w:val="left" w:pos="4260"/>
        </w:tabs>
        <w:ind w:left="4260" w:hanging="420"/>
      </w:pPr>
      <w:rPr>
        <w:rFonts w:ascii="Times New Roman"/>
        <w:u w:val="none"/>
      </w:rPr>
    </w:lvl>
  </w:abstractNum>
  <w:num w:numId="1">
    <w:abstractNumId w:val="7"/>
  </w:num>
  <w:num w:numId="2">
    <w:abstractNumId w:val="4"/>
  </w:num>
  <w:num w:numId="3">
    <w:abstractNumId w:val="14"/>
  </w:num>
  <w:num w:numId="4">
    <w:abstractNumId w:val="2"/>
  </w:num>
  <w:num w:numId="5">
    <w:abstractNumId w:val="1"/>
  </w:num>
  <w:num w:numId="6">
    <w:abstractNumId w:val="9"/>
  </w:num>
  <w:num w:numId="7">
    <w:abstractNumId w:val="12"/>
  </w:num>
  <w:num w:numId="8">
    <w:abstractNumId w:val="15"/>
  </w:num>
  <w:num w:numId="9">
    <w:abstractNumId w:val="11"/>
  </w:num>
  <w:num w:numId="10">
    <w:abstractNumId w:val="6"/>
  </w:num>
  <w:num w:numId="11">
    <w:abstractNumId w:val="8"/>
  </w:num>
  <w:num w:numId="12">
    <w:abstractNumId w:val="0"/>
  </w:num>
  <w:num w:numId="13">
    <w:abstractNumId w:val="13"/>
  </w:num>
  <w:num w:numId="14">
    <w:abstractNumId w:val="5"/>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465FAD"/>
    <w:rsid w:val="06CD24E2"/>
    <w:rsid w:val="07411036"/>
    <w:rsid w:val="081A6B6F"/>
    <w:rsid w:val="0B6865F0"/>
    <w:rsid w:val="13006E07"/>
    <w:rsid w:val="15E51BCB"/>
    <w:rsid w:val="173043C7"/>
    <w:rsid w:val="18F506B8"/>
    <w:rsid w:val="1A7F18ED"/>
    <w:rsid w:val="1B940896"/>
    <w:rsid w:val="229B1339"/>
    <w:rsid w:val="268A3AF4"/>
    <w:rsid w:val="29380C68"/>
    <w:rsid w:val="29EC0622"/>
    <w:rsid w:val="2D684463"/>
    <w:rsid w:val="3004639C"/>
    <w:rsid w:val="384161E2"/>
    <w:rsid w:val="3B413EE5"/>
    <w:rsid w:val="467F7BAC"/>
    <w:rsid w:val="4A227A1C"/>
    <w:rsid w:val="4BAE0B78"/>
    <w:rsid w:val="5A16620E"/>
    <w:rsid w:val="60BB71C0"/>
    <w:rsid w:val="64F5023C"/>
    <w:rsid w:val="6C395498"/>
    <w:rsid w:val="6C613F7C"/>
    <w:rsid w:val="6D2C4590"/>
    <w:rsid w:val="713F6856"/>
    <w:rsid w:val="72282C7A"/>
    <w:rsid w:val="72BF27A5"/>
    <w:rsid w:val="760F4546"/>
    <w:rsid w:val="766C3C49"/>
    <w:rsid w:val="7C9B6E1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0"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99"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nhideWhenUsed="0" w:uiPriority="99" w:semiHidden="0"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1"/>
      <w:lang w:val="en-US" w:eastAsia="zh-CN" w:bidi="ar-SA"/>
    </w:rPr>
  </w:style>
  <w:style w:type="paragraph" w:styleId="2">
    <w:name w:val="heading 1"/>
    <w:basedOn w:val="1"/>
    <w:next w:val="1"/>
    <w:qFormat/>
    <w:uiPriority w:val="99"/>
    <w:pPr>
      <w:keepNext/>
      <w:keepLines/>
      <w:numPr>
        <w:ilvl w:val="0"/>
        <w:numId w:val="1"/>
      </w:numPr>
      <w:tabs>
        <w:tab w:val="clear" w:pos="1800"/>
      </w:tabs>
      <w:spacing w:line="578" w:lineRule="auto"/>
      <w:jc w:val="center"/>
      <w:outlineLvl w:val="0"/>
    </w:pPr>
    <w:rPr>
      <w:rFonts w:ascii="黑体" w:hAnsi="Calibri" w:eastAsia="黑体" w:cs="黑体"/>
      <w:b/>
      <w:bCs/>
      <w:sz w:val="44"/>
      <w:szCs w:val="44"/>
    </w:rPr>
  </w:style>
  <w:style w:type="paragraph" w:styleId="3">
    <w:name w:val="heading 2"/>
    <w:basedOn w:val="4"/>
    <w:next w:val="1"/>
    <w:qFormat/>
    <w:uiPriority w:val="99"/>
    <w:pPr>
      <w:keepNext/>
      <w:keepLines/>
      <w:numPr>
        <w:ilvl w:val="1"/>
        <w:numId w:val="1"/>
      </w:numPr>
      <w:tabs>
        <w:tab w:val="clear" w:pos="567"/>
      </w:tabs>
      <w:spacing w:line="415" w:lineRule="auto"/>
      <w:outlineLvl w:val="1"/>
    </w:pPr>
    <w:rPr>
      <w:rFonts w:eastAsia="黑体"/>
    </w:rPr>
  </w:style>
  <w:style w:type="paragraph" w:styleId="5">
    <w:name w:val="heading 3"/>
    <w:basedOn w:val="1"/>
    <w:next w:val="1"/>
    <w:qFormat/>
    <w:uiPriority w:val="99"/>
    <w:pPr>
      <w:keepNext/>
      <w:keepLines/>
      <w:spacing w:line="415" w:lineRule="auto"/>
      <w:outlineLvl w:val="2"/>
    </w:pPr>
    <w:rPr>
      <w:rFonts w:ascii="黑体" w:eastAsia="黑体" w:cs="黑体"/>
      <w:sz w:val="32"/>
      <w:szCs w:val="32"/>
    </w:rPr>
  </w:style>
  <w:style w:type="paragraph" w:styleId="6">
    <w:name w:val="heading 4"/>
    <w:basedOn w:val="1"/>
    <w:next w:val="1"/>
    <w:qFormat/>
    <w:uiPriority w:val="99"/>
    <w:pPr>
      <w:keepNext/>
      <w:keepLines/>
      <w:numPr>
        <w:ilvl w:val="4"/>
        <w:numId w:val="1"/>
      </w:numPr>
      <w:tabs>
        <w:tab w:val="clear" w:pos="1080"/>
      </w:tabs>
      <w:spacing w:line="376" w:lineRule="auto"/>
      <w:outlineLvl w:val="3"/>
    </w:pPr>
    <w:rPr>
      <w:rFonts w:ascii="Arial" w:hAnsi="Arial" w:eastAsia="黑体" w:cs="Arial"/>
      <w:b/>
      <w:bCs/>
      <w:sz w:val="28"/>
      <w:szCs w:val="28"/>
    </w:rPr>
  </w:style>
  <w:style w:type="paragraph" w:styleId="7">
    <w:name w:val="heading 5"/>
    <w:next w:val="1"/>
    <w:qFormat/>
    <w:uiPriority w:val="0"/>
    <w:pPr>
      <w:keepNext/>
      <w:keepLines/>
      <w:widowControl w:val="0"/>
      <w:spacing w:before="280" w:after="290" w:line="372" w:lineRule="auto"/>
      <w:jc w:val="both"/>
      <w:outlineLvl w:val="4"/>
    </w:pPr>
    <w:rPr>
      <w:rFonts w:hint="default" w:ascii="Times New Roman" w:hAnsi="Times New Roman" w:eastAsia="宋体" w:cs="Times New Roman"/>
      <w:b/>
      <w:bCs/>
      <w:sz w:val="28"/>
      <w:szCs w:val="28"/>
      <w:lang w:val="en-US" w:eastAsia="zh-CN" w:bidi="ar-SA"/>
    </w:rPr>
  </w:style>
  <w:style w:type="paragraph" w:styleId="8">
    <w:name w:val="heading 6"/>
    <w:basedOn w:val="1"/>
    <w:next w:val="1"/>
    <w:link w:val="74"/>
    <w:unhideWhenUsed/>
    <w:qFormat/>
    <w:uiPriority w:val="9"/>
    <w:pPr>
      <w:keepNext/>
      <w:keepLines/>
      <w:spacing w:before="320" w:after="200"/>
      <w:outlineLvl w:val="5"/>
    </w:pPr>
    <w:rPr>
      <w:rFonts w:ascii="Arial" w:hAnsi="Arial" w:eastAsia="Arial" w:cs="Arial"/>
      <w:b/>
      <w:bCs/>
      <w:sz w:val="22"/>
      <w:szCs w:val="22"/>
    </w:rPr>
  </w:style>
  <w:style w:type="paragraph" w:styleId="9">
    <w:name w:val="heading 7"/>
    <w:basedOn w:val="1"/>
    <w:next w:val="1"/>
    <w:link w:val="75"/>
    <w:unhideWhenUsed/>
    <w:qFormat/>
    <w:uiPriority w:val="9"/>
    <w:pPr>
      <w:keepNext/>
      <w:keepLines/>
      <w:spacing w:before="320" w:after="200"/>
      <w:outlineLvl w:val="6"/>
    </w:pPr>
    <w:rPr>
      <w:rFonts w:ascii="Arial" w:hAnsi="Arial" w:eastAsia="Arial" w:cs="Arial"/>
      <w:b/>
      <w:bCs/>
      <w:i/>
      <w:iCs/>
      <w:sz w:val="22"/>
      <w:szCs w:val="22"/>
    </w:rPr>
  </w:style>
  <w:style w:type="paragraph" w:styleId="10">
    <w:name w:val="heading 8"/>
    <w:basedOn w:val="1"/>
    <w:next w:val="1"/>
    <w:link w:val="76"/>
    <w:unhideWhenUsed/>
    <w:qFormat/>
    <w:uiPriority w:val="9"/>
    <w:pPr>
      <w:keepNext/>
      <w:keepLines/>
      <w:spacing w:before="320" w:after="200"/>
      <w:outlineLvl w:val="7"/>
    </w:pPr>
    <w:rPr>
      <w:rFonts w:ascii="Arial" w:hAnsi="Arial" w:eastAsia="Arial" w:cs="Arial"/>
      <w:i/>
      <w:iCs/>
      <w:sz w:val="22"/>
      <w:szCs w:val="22"/>
    </w:rPr>
  </w:style>
  <w:style w:type="paragraph" w:styleId="11">
    <w:name w:val="heading 9"/>
    <w:basedOn w:val="1"/>
    <w:next w:val="1"/>
    <w:link w:val="77"/>
    <w:unhideWhenUsed/>
    <w:qFormat/>
    <w:uiPriority w:val="9"/>
    <w:pPr>
      <w:keepNext/>
      <w:keepLines/>
      <w:spacing w:before="320" w:after="200"/>
      <w:outlineLvl w:val="8"/>
    </w:pPr>
    <w:rPr>
      <w:rFonts w:ascii="Arial" w:hAnsi="Arial" w:eastAsia="Arial" w:cs="Arial"/>
      <w:i/>
      <w:iCs/>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4">
    <w:name w:val="Title"/>
    <w:basedOn w:val="1"/>
    <w:next w:val="1"/>
    <w:qFormat/>
    <w:uiPriority w:val="99"/>
    <w:pPr>
      <w:spacing w:line="288" w:lineRule="auto"/>
      <w:ind w:firstLine="420"/>
      <w:jc w:val="center"/>
      <w:outlineLvl w:val="0"/>
    </w:pPr>
    <w:rPr>
      <w:rFonts w:ascii="Arial" w:hAnsi="Arial" w:cs="Arial"/>
      <w:b/>
      <w:bCs/>
      <w:sz w:val="32"/>
      <w:szCs w:val="32"/>
    </w:rPr>
  </w:style>
  <w:style w:type="paragraph" w:styleId="12">
    <w:name w:val="toc 7"/>
    <w:basedOn w:val="1"/>
    <w:next w:val="1"/>
    <w:unhideWhenUsed/>
    <w:qFormat/>
    <w:uiPriority w:val="39"/>
    <w:pPr>
      <w:spacing w:after="57"/>
      <w:ind w:left="1701"/>
    </w:pPr>
  </w:style>
  <w:style w:type="paragraph" w:styleId="13">
    <w:name w:val="Normal Indent"/>
    <w:basedOn w:val="1"/>
    <w:qFormat/>
    <w:uiPriority w:val="99"/>
    <w:pPr>
      <w:widowControl/>
      <w:ind w:firstLine="420"/>
      <w:jc w:val="left"/>
    </w:pPr>
    <w:rPr>
      <w:sz w:val="20"/>
      <w:szCs w:val="20"/>
    </w:rPr>
  </w:style>
  <w:style w:type="paragraph" w:styleId="14">
    <w:name w:val="caption"/>
    <w:basedOn w:val="1"/>
    <w:next w:val="1"/>
    <w:semiHidden/>
    <w:unhideWhenUsed/>
    <w:qFormat/>
    <w:uiPriority w:val="35"/>
    <w:pPr>
      <w:spacing w:line="276" w:lineRule="auto"/>
    </w:pPr>
    <w:rPr>
      <w:b/>
      <w:bCs/>
      <w:color w:val="5B9BD5" w:themeColor="accent1"/>
      <w:sz w:val="18"/>
      <w:szCs w:val="18"/>
      <w14:textFill>
        <w14:solidFill>
          <w14:schemeClr w14:val="accent1"/>
        </w14:solidFill>
      </w14:textFill>
    </w:rPr>
  </w:style>
  <w:style w:type="paragraph" w:styleId="15">
    <w:name w:val="Document Map"/>
    <w:basedOn w:val="1"/>
    <w:qFormat/>
    <w:uiPriority w:val="0"/>
    <w:pPr>
      <w:shd w:val="clear" w:color="auto" w:fill="000080"/>
    </w:pPr>
  </w:style>
  <w:style w:type="paragraph" w:styleId="16">
    <w:name w:val="annotation text"/>
    <w:basedOn w:val="1"/>
    <w:semiHidden/>
    <w:qFormat/>
    <w:uiPriority w:val="99"/>
    <w:pPr>
      <w:jc w:val="left"/>
    </w:pPr>
  </w:style>
  <w:style w:type="paragraph" w:styleId="17">
    <w:name w:val="Body Text"/>
    <w:basedOn w:val="1"/>
    <w:qFormat/>
    <w:uiPriority w:val="99"/>
    <w:rPr>
      <w:rFonts w:ascii="仿宋_GB2312" w:eastAsia="仿宋_GB2312" w:cs="仿宋_GB2312"/>
      <w:sz w:val="28"/>
      <w:szCs w:val="28"/>
    </w:rPr>
  </w:style>
  <w:style w:type="paragraph" w:styleId="18">
    <w:name w:val="Body Text Indent"/>
    <w:basedOn w:val="1"/>
    <w:qFormat/>
    <w:uiPriority w:val="0"/>
    <w:pPr>
      <w:widowControl/>
      <w:spacing w:line="300" w:lineRule="auto"/>
      <w:ind w:left="156"/>
    </w:pPr>
    <w:rPr>
      <w:rFonts w:ascii="仿宋_GB2312" w:eastAsia="仿宋_GB2312"/>
      <w:sz w:val="28"/>
    </w:rPr>
  </w:style>
  <w:style w:type="paragraph" w:styleId="19">
    <w:name w:val="Block Text"/>
    <w:basedOn w:val="1"/>
    <w:qFormat/>
    <w:uiPriority w:val="99"/>
    <w:pPr>
      <w:ind w:left="420" w:right="33"/>
      <w:jc w:val="left"/>
    </w:pPr>
    <w:rPr>
      <w:sz w:val="24"/>
      <w:szCs w:val="24"/>
    </w:rPr>
  </w:style>
  <w:style w:type="paragraph" w:styleId="20">
    <w:name w:val="index 4"/>
    <w:basedOn w:val="1"/>
    <w:next w:val="1"/>
    <w:qFormat/>
    <w:uiPriority w:val="0"/>
    <w:pPr>
      <w:ind w:left="600"/>
    </w:pPr>
    <w:rPr>
      <w:szCs w:val="20"/>
    </w:rPr>
  </w:style>
  <w:style w:type="paragraph" w:styleId="21">
    <w:name w:val="toc 5"/>
    <w:basedOn w:val="1"/>
    <w:next w:val="1"/>
    <w:unhideWhenUsed/>
    <w:qFormat/>
    <w:uiPriority w:val="39"/>
    <w:pPr>
      <w:spacing w:after="57"/>
      <w:ind w:left="1134"/>
    </w:pPr>
  </w:style>
  <w:style w:type="paragraph" w:styleId="22">
    <w:name w:val="toc 3"/>
    <w:basedOn w:val="1"/>
    <w:next w:val="1"/>
    <w:unhideWhenUsed/>
    <w:qFormat/>
    <w:uiPriority w:val="39"/>
    <w:pPr>
      <w:spacing w:after="57"/>
      <w:ind w:left="567"/>
    </w:pPr>
  </w:style>
  <w:style w:type="paragraph" w:styleId="23">
    <w:name w:val="Plain Text"/>
    <w:basedOn w:val="1"/>
    <w:qFormat/>
    <w:uiPriority w:val="99"/>
    <w:rPr>
      <w:rFonts w:ascii="宋体" w:cs="宋体"/>
    </w:rPr>
  </w:style>
  <w:style w:type="paragraph" w:styleId="24">
    <w:name w:val="toc 8"/>
    <w:basedOn w:val="1"/>
    <w:next w:val="1"/>
    <w:unhideWhenUsed/>
    <w:qFormat/>
    <w:uiPriority w:val="39"/>
    <w:pPr>
      <w:spacing w:after="57"/>
      <w:ind w:left="1984"/>
    </w:pPr>
  </w:style>
  <w:style w:type="paragraph" w:styleId="25">
    <w:name w:val="endnote text"/>
    <w:basedOn w:val="1"/>
    <w:link w:val="214"/>
    <w:semiHidden/>
    <w:unhideWhenUsed/>
    <w:qFormat/>
    <w:uiPriority w:val="99"/>
    <w:rPr>
      <w:sz w:val="20"/>
    </w:rPr>
  </w:style>
  <w:style w:type="paragraph" w:styleId="26">
    <w:name w:val="footer"/>
    <w:basedOn w:val="1"/>
    <w:qFormat/>
    <w:uiPriority w:val="99"/>
    <w:pPr>
      <w:tabs>
        <w:tab w:val="center" w:pos="4153"/>
        <w:tab w:val="right" w:pos="8306"/>
      </w:tabs>
      <w:jc w:val="left"/>
    </w:pPr>
    <w:rPr>
      <w:sz w:val="18"/>
      <w:szCs w:val="18"/>
    </w:rPr>
  </w:style>
  <w:style w:type="paragraph" w:styleId="27">
    <w:name w:val="header"/>
    <w:basedOn w:val="1"/>
    <w:qFormat/>
    <w:uiPriority w:val="99"/>
    <w:pPr>
      <w:pBdr>
        <w:bottom w:val="single" w:color="auto" w:sz="6" w:space="1"/>
      </w:pBdr>
      <w:tabs>
        <w:tab w:val="center" w:pos="4153"/>
        <w:tab w:val="right" w:pos="8306"/>
      </w:tabs>
      <w:jc w:val="center"/>
    </w:pPr>
    <w:rPr>
      <w:sz w:val="18"/>
      <w:szCs w:val="18"/>
    </w:rPr>
  </w:style>
  <w:style w:type="paragraph" w:styleId="28">
    <w:name w:val="toc 1"/>
    <w:basedOn w:val="1"/>
    <w:next w:val="1"/>
    <w:unhideWhenUsed/>
    <w:qFormat/>
    <w:uiPriority w:val="39"/>
    <w:pPr>
      <w:spacing w:after="57"/>
    </w:pPr>
  </w:style>
  <w:style w:type="paragraph" w:styleId="29">
    <w:name w:val="toc 4"/>
    <w:basedOn w:val="1"/>
    <w:next w:val="1"/>
    <w:unhideWhenUsed/>
    <w:qFormat/>
    <w:uiPriority w:val="39"/>
    <w:pPr>
      <w:spacing w:after="57"/>
      <w:ind w:left="850"/>
    </w:pPr>
  </w:style>
  <w:style w:type="paragraph" w:styleId="30">
    <w:name w:val="Subtitle"/>
    <w:basedOn w:val="1"/>
    <w:next w:val="1"/>
    <w:link w:val="80"/>
    <w:qFormat/>
    <w:uiPriority w:val="11"/>
    <w:pPr>
      <w:spacing w:before="200" w:after="200"/>
    </w:pPr>
    <w:rPr>
      <w:sz w:val="24"/>
      <w:szCs w:val="24"/>
    </w:rPr>
  </w:style>
  <w:style w:type="paragraph" w:styleId="31">
    <w:name w:val="List"/>
    <w:basedOn w:val="1"/>
    <w:qFormat/>
    <w:uiPriority w:val="0"/>
    <w:pPr>
      <w:numPr>
        <w:ilvl w:val="0"/>
        <w:numId w:val="2"/>
      </w:numPr>
      <w:tabs>
        <w:tab w:val="left" w:pos="420"/>
      </w:tabs>
      <w:spacing w:after="20" w:line="288" w:lineRule="auto"/>
    </w:pPr>
    <w:rPr>
      <w:lang w:val="en-GB"/>
    </w:rPr>
  </w:style>
  <w:style w:type="paragraph" w:styleId="32">
    <w:name w:val="footnote text"/>
    <w:basedOn w:val="1"/>
    <w:link w:val="213"/>
    <w:semiHidden/>
    <w:unhideWhenUsed/>
    <w:qFormat/>
    <w:uiPriority w:val="99"/>
    <w:pPr>
      <w:spacing w:after="40"/>
    </w:pPr>
    <w:rPr>
      <w:sz w:val="18"/>
    </w:rPr>
  </w:style>
  <w:style w:type="paragraph" w:styleId="33">
    <w:name w:val="toc 6"/>
    <w:basedOn w:val="1"/>
    <w:next w:val="1"/>
    <w:unhideWhenUsed/>
    <w:qFormat/>
    <w:uiPriority w:val="39"/>
    <w:pPr>
      <w:spacing w:after="57"/>
      <w:ind w:left="1417"/>
    </w:pPr>
  </w:style>
  <w:style w:type="paragraph" w:styleId="34">
    <w:name w:val="table of figures"/>
    <w:basedOn w:val="1"/>
    <w:next w:val="1"/>
    <w:unhideWhenUsed/>
    <w:qFormat/>
    <w:uiPriority w:val="99"/>
  </w:style>
  <w:style w:type="paragraph" w:styleId="35">
    <w:name w:val="toc 2"/>
    <w:basedOn w:val="1"/>
    <w:next w:val="1"/>
    <w:qFormat/>
    <w:uiPriority w:val="39"/>
    <w:pPr>
      <w:spacing w:line="288" w:lineRule="auto"/>
      <w:ind w:left="210" w:firstLine="420"/>
      <w:jc w:val="left"/>
    </w:pPr>
    <w:rPr>
      <w:smallCaps/>
      <w:sz w:val="20"/>
      <w:szCs w:val="20"/>
    </w:rPr>
  </w:style>
  <w:style w:type="paragraph" w:styleId="36">
    <w:name w:val="toc 9"/>
    <w:basedOn w:val="1"/>
    <w:next w:val="1"/>
    <w:unhideWhenUsed/>
    <w:qFormat/>
    <w:uiPriority w:val="39"/>
    <w:pPr>
      <w:spacing w:after="57"/>
      <w:ind w:left="2268"/>
    </w:pPr>
  </w:style>
  <w:style w:type="paragraph" w:styleId="37">
    <w:name w:val="Normal (Web)"/>
    <w:basedOn w:val="1"/>
    <w:qFormat/>
    <w:uiPriority w:val="0"/>
    <w:pPr>
      <w:widowControl/>
      <w:spacing w:beforeAutospacing="1" w:afterAutospacing="1" w:line="288" w:lineRule="auto"/>
      <w:ind w:firstLine="420"/>
      <w:jc w:val="left"/>
    </w:pPr>
    <w:rPr>
      <w:rFonts w:hAnsi="宋体"/>
      <w:sz w:val="24"/>
      <w:szCs w:val="24"/>
    </w:rPr>
  </w:style>
  <w:style w:type="paragraph" w:styleId="38">
    <w:name w:val="Body Text First Indent"/>
    <w:basedOn w:val="1"/>
    <w:qFormat/>
    <w:uiPriority w:val="0"/>
    <w:pPr>
      <w:spacing w:after="120" w:line="440" w:lineRule="exact"/>
      <w:ind w:firstLine="420"/>
    </w:pPr>
    <w:rPr>
      <w:rFonts w:ascii="宋体"/>
      <w:sz w:val="24"/>
      <w:szCs w:val="28"/>
    </w:rPr>
  </w:style>
  <w:style w:type="paragraph" w:styleId="39">
    <w:name w:val="Body Text First Indent 2"/>
    <w:basedOn w:val="18"/>
    <w:next w:val="1"/>
    <w:qFormat/>
    <w:uiPriority w:val="0"/>
    <w:pPr>
      <w:widowControl w:val="0"/>
      <w:spacing w:line="240" w:lineRule="auto"/>
      <w:ind w:left="0" w:firstLine="210"/>
    </w:pPr>
    <w:rPr>
      <w:rFonts w:ascii="Times New Roman" w:hAnsi="宋体" w:eastAsia="宋体"/>
      <w:color w:val="000000"/>
      <w:spacing w:val="-8"/>
      <w:sz w:val="21"/>
      <w:szCs w:val="24"/>
    </w:rPr>
  </w:style>
  <w:style w:type="table" w:styleId="41">
    <w:name w:val="Table Grid"/>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3">
    <w:name w:val="endnote reference"/>
    <w:basedOn w:val="42"/>
    <w:semiHidden/>
    <w:unhideWhenUsed/>
    <w:qFormat/>
    <w:uiPriority w:val="99"/>
    <w:rPr>
      <w:vertAlign w:val="superscript"/>
    </w:rPr>
  </w:style>
  <w:style w:type="character" w:styleId="44">
    <w:name w:val="FollowedHyperlink"/>
    <w:basedOn w:val="42"/>
    <w:semiHidden/>
    <w:unhideWhenUsed/>
    <w:qFormat/>
    <w:uiPriority w:val="99"/>
    <w:rPr>
      <w:color w:val="800080"/>
      <w:u w:val="none"/>
    </w:rPr>
  </w:style>
  <w:style w:type="character" w:styleId="45">
    <w:name w:val="HTML Definition"/>
    <w:basedOn w:val="42"/>
    <w:semiHidden/>
    <w:unhideWhenUsed/>
    <w:qFormat/>
    <w:uiPriority w:val="99"/>
  </w:style>
  <w:style w:type="character" w:styleId="46">
    <w:name w:val="HTML Typewriter"/>
    <w:basedOn w:val="42"/>
    <w:qFormat/>
    <w:uiPriority w:val="99"/>
    <w:rPr>
      <w:rFonts w:ascii="宋体" w:hAnsi="宋体" w:eastAsia="宋体" w:cs="宋体"/>
      <w:sz w:val="24"/>
      <w:szCs w:val="24"/>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qFormat/>
    <w:uiPriority w:val="0"/>
    <w:rPr>
      <w:color w:val="0000FF"/>
      <w:u w:val="single"/>
    </w:rPr>
  </w:style>
  <w:style w:type="character" w:styleId="50">
    <w:name w:val="HTML Code"/>
    <w:basedOn w:val="42"/>
    <w:semiHidden/>
    <w:unhideWhenUsed/>
    <w:qFormat/>
    <w:uiPriority w:val="99"/>
    <w:rPr>
      <w:rFonts w:hint="default" w:ascii="monospace" w:hAnsi="monospace" w:eastAsia="monospace" w:cs="monospace"/>
      <w:sz w:val="20"/>
    </w:rPr>
  </w:style>
  <w:style w:type="character" w:styleId="51">
    <w:name w:val="annotation reference"/>
    <w:basedOn w:val="42"/>
    <w:qFormat/>
    <w:uiPriority w:val="0"/>
    <w:rPr>
      <w:sz w:val="21"/>
      <w:szCs w:val="21"/>
    </w:rPr>
  </w:style>
  <w:style w:type="character" w:styleId="52">
    <w:name w:val="HTML Cite"/>
    <w:basedOn w:val="42"/>
    <w:semiHidden/>
    <w:unhideWhenUsed/>
    <w:qFormat/>
    <w:uiPriority w:val="99"/>
  </w:style>
  <w:style w:type="character" w:styleId="53">
    <w:name w:val="footnote reference"/>
    <w:basedOn w:val="42"/>
    <w:unhideWhenUsed/>
    <w:qFormat/>
    <w:uiPriority w:val="99"/>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character" w:customStyle="1" w:styleId="56">
    <w:name w:val="Heading 6 Char"/>
    <w:basedOn w:val="42"/>
    <w:qFormat/>
    <w:uiPriority w:val="9"/>
    <w:rPr>
      <w:rFonts w:ascii="Arial" w:hAnsi="Arial" w:eastAsia="Arial" w:cs="Arial"/>
      <w:b/>
      <w:bCs/>
      <w:sz w:val="22"/>
      <w:szCs w:val="22"/>
    </w:rPr>
  </w:style>
  <w:style w:type="character" w:customStyle="1" w:styleId="57">
    <w:name w:val="Heading 7 Char"/>
    <w:basedOn w:val="42"/>
    <w:qFormat/>
    <w:uiPriority w:val="9"/>
    <w:rPr>
      <w:rFonts w:ascii="Arial" w:hAnsi="Arial" w:eastAsia="Arial" w:cs="Arial"/>
      <w:b/>
      <w:bCs/>
      <w:i/>
      <w:iCs/>
      <w:sz w:val="22"/>
      <w:szCs w:val="22"/>
    </w:rPr>
  </w:style>
  <w:style w:type="character" w:customStyle="1" w:styleId="58">
    <w:name w:val="Heading 8 Char"/>
    <w:basedOn w:val="42"/>
    <w:qFormat/>
    <w:uiPriority w:val="9"/>
    <w:rPr>
      <w:rFonts w:ascii="Arial" w:hAnsi="Arial" w:eastAsia="Arial" w:cs="Arial"/>
      <w:i/>
      <w:iCs/>
      <w:sz w:val="22"/>
      <w:szCs w:val="22"/>
    </w:rPr>
  </w:style>
  <w:style w:type="character" w:customStyle="1" w:styleId="59">
    <w:name w:val="Heading 9 Char"/>
    <w:basedOn w:val="42"/>
    <w:qFormat/>
    <w:uiPriority w:val="9"/>
    <w:rPr>
      <w:rFonts w:ascii="Arial" w:hAnsi="Arial" w:eastAsia="Arial" w:cs="Arial"/>
      <w:i/>
      <w:iCs/>
      <w:sz w:val="21"/>
      <w:szCs w:val="21"/>
    </w:rPr>
  </w:style>
  <w:style w:type="character" w:customStyle="1" w:styleId="60">
    <w:name w:val="Subtitle Char"/>
    <w:basedOn w:val="42"/>
    <w:qFormat/>
    <w:uiPriority w:val="11"/>
    <w:rPr>
      <w:sz w:val="24"/>
      <w:szCs w:val="24"/>
    </w:rPr>
  </w:style>
  <w:style w:type="character" w:customStyle="1" w:styleId="61">
    <w:name w:val="Quote Char"/>
    <w:qFormat/>
    <w:uiPriority w:val="29"/>
    <w:rPr>
      <w:i/>
    </w:rPr>
  </w:style>
  <w:style w:type="character" w:customStyle="1" w:styleId="62">
    <w:name w:val="Intense Quote Char"/>
    <w:qFormat/>
    <w:uiPriority w:val="30"/>
    <w:rPr>
      <w:i/>
    </w:rPr>
  </w:style>
  <w:style w:type="character" w:customStyle="1" w:styleId="63">
    <w:name w:val="Footnote Text Char"/>
    <w:qFormat/>
    <w:uiPriority w:val="99"/>
    <w:rPr>
      <w:sz w:val="18"/>
    </w:rPr>
  </w:style>
  <w:style w:type="character" w:customStyle="1" w:styleId="64">
    <w:name w:val="Endnote Text Char"/>
    <w:qFormat/>
    <w:uiPriority w:val="99"/>
    <w:rPr>
      <w:sz w:val="20"/>
    </w:rPr>
  </w:style>
  <w:style w:type="paragraph" w:customStyle="1" w:styleId="65">
    <w:name w:val="TOC Heading"/>
    <w:unhideWhenUsed/>
    <w:qFormat/>
    <w:uiPriority w:val="39"/>
    <w:rPr>
      <w:rFonts w:hint="default" w:ascii="Times New Roman" w:hAnsi="Times New Roman" w:eastAsia="宋体" w:cs="Times New Roman"/>
    </w:rPr>
  </w:style>
  <w:style w:type="paragraph" w:customStyle="1" w:styleId="66">
    <w:name w:val="正文文本1"/>
    <w:basedOn w:val="1"/>
    <w:next w:val="67"/>
    <w:qFormat/>
    <w:uiPriority w:val="0"/>
    <w:rPr>
      <w:rFonts w:ascii="仿宋_GB2312" w:eastAsia="仿宋_GB2312"/>
      <w:sz w:val="28"/>
      <w:szCs w:val="20"/>
    </w:rPr>
  </w:style>
  <w:style w:type="paragraph" w:customStyle="1" w:styleId="67">
    <w:name w:val="正文首行缩进1"/>
    <w:basedOn w:val="66"/>
    <w:qFormat/>
    <w:uiPriority w:val="0"/>
    <w:pPr>
      <w:spacing w:after="120"/>
      <w:ind w:firstLine="420"/>
    </w:pPr>
    <w:rPr>
      <w:color w:val="000000"/>
      <w:spacing w:val="-8"/>
      <w:sz w:val="21"/>
    </w:rPr>
  </w:style>
  <w:style w:type="paragraph" w:customStyle="1" w:styleId="68">
    <w:name w:val="_Style 2"/>
    <w:qFormat/>
    <w:uiPriority w:val="1"/>
    <w:rPr>
      <w:rFonts w:hint="default" w:ascii="Tahoma" w:hAnsi="Tahoma" w:eastAsia="宋体" w:cs="Times New Roman"/>
      <w:sz w:val="22"/>
      <w:szCs w:val="22"/>
      <w:lang w:val="en-US" w:eastAsia="zh-CN" w:bidi="ar-SA"/>
    </w:rPr>
  </w:style>
  <w:style w:type="character" w:customStyle="1" w:styleId="69">
    <w:name w:val="Heading 1 Char"/>
    <w:basedOn w:val="42"/>
    <w:qFormat/>
    <w:uiPriority w:val="9"/>
    <w:rPr>
      <w:rFonts w:ascii="Arial" w:hAnsi="Arial" w:eastAsia="Arial" w:cs="Arial"/>
      <w:sz w:val="40"/>
      <w:szCs w:val="40"/>
    </w:rPr>
  </w:style>
  <w:style w:type="character" w:customStyle="1" w:styleId="70">
    <w:name w:val="Heading 2 Char"/>
    <w:basedOn w:val="42"/>
    <w:qFormat/>
    <w:uiPriority w:val="9"/>
    <w:rPr>
      <w:rFonts w:ascii="Arial" w:hAnsi="Arial" w:eastAsia="Arial" w:cs="Arial"/>
      <w:sz w:val="34"/>
    </w:rPr>
  </w:style>
  <w:style w:type="character" w:customStyle="1" w:styleId="71">
    <w:name w:val="Heading 3 Char"/>
    <w:basedOn w:val="42"/>
    <w:qFormat/>
    <w:uiPriority w:val="9"/>
    <w:rPr>
      <w:rFonts w:ascii="Arial" w:hAnsi="Arial" w:eastAsia="Arial" w:cs="Arial"/>
      <w:sz w:val="30"/>
      <w:szCs w:val="30"/>
    </w:rPr>
  </w:style>
  <w:style w:type="character" w:customStyle="1" w:styleId="72">
    <w:name w:val="Heading 4 Char"/>
    <w:basedOn w:val="42"/>
    <w:qFormat/>
    <w:uiPriority w:val="9"/>
    <w:rPr>
      <w:rFonts w:ascii="Arial" w:hAnsi="Arial" w:eastAsia="Arial" w:cs="Arial"/>
      <w:b/>
      <w:bCs/>
      <w:sz w:val="26"/>
      <w:szCs w:val="26"/>
    </w:rPr>
  </w:style>
  <w:style w:type="character" w:customStyle="1" w:styleId="73">
    <w:name w:val="Heading 5 Char"/>
    <w:basedOn w:val="42"/>
    <w:qFormat/>
    <w:uiPriority w:val="9"/>
    <w:rPr>
      <w:rFonts w:ascii="Arial" w:hAnsi="Arial" w:eastAsia="Arial" w:cs="Arial"/>
      <w:b/>
      <w:bCs/>
      <w:sz w:val="24"/>
      <w:szCs w:val="24"/>
    </w:rPr>
  </w:style>
  <w:style w:type="character" w:customStyle="1" w:styleId="74">
    <w:name w:val="标题 6 Char"/>
    <w:basedOn w:val="42"/>
    <w:link w:val="8"/>
    <w:qFormat/>
    <w:uiPriority w:val="9"/>
    <w:rPr>
      <w:rFonts w:ascii="Arial" w:hAnsi="Arial" w:eastAsia="Arial" w:cs="Arial"/>
      <w:b/>
      <w:bCs/>
      <w:sz w:val="22"/>
      <w:szCs w:val="22"/>
    </w:rPr>
  </w:style>
  <w:style w:type="character" w:customStyle="1" w:styleId="75">
    <w:name w:val="标题 7 Char"/>
    <w:basedOn w:val="42"/>
    <w:link w:val="9"/>
    <w:qFormat/>
    <w:uiPriority w:val="9"/>
    <w:rPr>
      <w:rFonts w:ascii="Arial" w:hAnsi="Arial" w:eastAsia="Arial" w:cs="Arial"/>
      <w:b/>
      <w:bCs/>
      <w:i/>
      <w:iCs/>
      <w:sz w:val="22"/>
      <w:szCs w:val="22"/>
    </w:rPr>
  </w:style>
  <w:style w:type="character" w:customStyle="1" w:styleId="76">
    <w:name w:val="标题 8 Char"/>
    <w:basedOn w:val="42"/>
    <w:link w:val="10"/>
    <w:qFormat/>
    <w:uiPriority w:val="9"/>
    <w:rPr>
      <w:rFonts w:ascii="Arial" w:hAnsi="Arial" w:eastAsia="Arial" w:cs="Arial"/>
      <w:i/>
      <w:iCs/>
      <w:sz w:val="22"/>
      <w:szCs w:val="22"/>
    </w:rPr>
  </w:style>
  <w:style w:type="character" w:customStyle="1" w:styleId="77">
    <w:name w:val="标题 9 Char"/>
    <w:basedOn w:val="42"/>
    <w:link w:val="11"/>
    <w:qFormat/>
    <w:uiPriority w:val="9"/>
    <w:rPr>
      <w:rFonts w:ascii="Arial" w:hAnsi="Arial" w:eastAsia="Arial" w:cs="Arial"/>
      <w:i/>
      <w:iCs/>
      <w:sz w:val="21"/>
      <w:szCs w:val="21"/>
    </w:rPr>
  </w:style>
  <w:style w:type="paragraph" w:styleId="78">
    <w:name w:val="No Spacing"/>
    <w:qFormat/>
    <w:uiPriority w:val="1"/>
    <w:rPr>
      <w:rFonts w:hint="default" w:ascii="Times New Roman" w:hAnsi="Times New Roman" w:eastAsia="宋体" w:cs="Times New Roman"/>
      <w:lang w:val="en-US" w:eastAsia="zh-CN" w:bidi="ar-SA"/>
    </w:rPr>
  </w:style>
  <w:style w:type="character" w:customStyle="1" w:styleId="79">
    <w:name w:val="Title Char"/>
    <w:basedOn w:val="42"/>
    <w:qFormat/>
    <w:uiPriority w:val="10"/>
    <w:rPr>
      <w:sz w:val="48"/>
      <w:szCs w:val="48"/>
    </w:rPr>
  </w:style>
  <w:style w:type="character" w:customStyle="1" w:styleId="80">
    <w:name w:val="副标题 Char"/>
    <w:basedOn w:val="42"/>
    <w:link w:val="30"/>
    <w:qFormat/>
    <w:uiPriority w:val="11"/>
    <w:rPr>
      <w:sz w:val="24"/>
      <w:szCs w:val="24"/>
    </w:rPr>
  </w:style>
  <w:style w:type="paragraph" w:styleId="81">
    <w:name w:val="Quote"/>
    <w:basedOn w:val="1"/>
    <w:next w:val="1"/>
    <w:link w:val="82"/>
    <w:qFormat/>
    <w:uiPriority w:val="29"/>
    <w:pPr>
      <w:ind w:left="720" w:right="720"/>
    </w:pPr>
    <w:rPr>
      <w:i/>
    </w:rPr>
  </w:style>
  <w:style w:type="character" w:customStyle="1" w:styleId="82">
    <w:name w:val="引用 Char"/>
    <w:link w:val="81"/>
    <w:qFormat/>
    <w:uiPriority w:val="29"/>
    <w:rPr>
      <w:i/>
    </w:rPr>
  </w:style>
  <w:style w:type="paragraph" w:styleId="83">
    <w:name w:val="Intense Quote"/>
    <w:basedOn w:val="1"/>
    <w:next w:val="1"/>
    <w:link w:val="84"/>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4">
    <w:name w:val="明显引用 Char"/>
    <w:link w:val="83"/>
    <w:qFormat/>
    <w:uiPriority w:val="30"/>
    <w:rPr>
      <w:i/>
    </w:rPr>
  </w:style>
  <w:style w:type="character" w:customStyle="1" w:styleId="85">
    <w:name w:val="Header Char"/>
    <w:basedOn w:val="42"/>
    <w:qFormat/>
    <w:uiPriority w:val="99"/>
  </w:style>
  <w:style w:type="character" w:customStyle="1" w:styleId="86">
    <w:name w:val="Footer Char"/>
    <w:basedOn w:val="42"/>
    <w:qFormat/>
    <w:uiPriority w:val="99"/>
  </w:style>
  <w:style w:type="character" w:customStyle="1" w:styleId="87">
    <w:name w:val="Caption Char"/>
    <w:qFormat/>
    <w:uiPriority w:val="99"/>
  </w:style>
  <w:style w:type="table" w:customStyle="1" w:styleId="88">
    <w:name w:val="Table Grid Light"/>
    <w:basedOn w:val="4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89">
    <w:name w:val="Plain Table 1"/>
    <w:basedOn w:val="4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90">
    <w:name w:val="Plain Table 2"/>
    <w:basedOn w:val="40"/>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91">
    <w:name w:val="Plain Table 3"/>
    <w:basedOn w:val="40"/>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2">
    <w:name w:val="Plain Table 4"/>
    <w:basedOn w:val="40"/>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3">
    <w:name w:val="Plain Table 5"/>
    <w:basedOn w:val="40"/>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4">
    <w:name w:val="Grid Table 1 Light"/>
    <w:basedOn w:val="40"/>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95">
    <w:name w:val="Grid Table 1 Light - Accent 1"/>
    <w:basedOn w:val="40"/>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96">
    <w:name w:val="Grid Table 1 Light - Accent 2"/>
    <w:basedOn w:val="40"/>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97">
    <w:name w:val="Grid Table 1 Light - Accent 3"/>
    <w:basedOn w:val="40"/>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98">
    <w:name w:val="Grid Table 1 Light - Accent 4"/>
    <w:basedOn w:val="40"/>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99">
    <w:name w:val="Grid Table 1 Light - Accent 5"/>
    <w:basedOn w:val="40"/>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100">
    <w:name w:val="Grid Table 1 Light - Accent 6"/>
    <w:basedOn w:val="40"/>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101">
    <w:name w:val="Grid Table 2"/>
    <w:basedOn w:val="4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2">
    <w:name w:val="Grid Table 2 - Accent 1"/>
    <w:basedOn w:val="40"/>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103">
    <w:name w:val="Grid Table 2 - Accent 2"/>
    <w:basedOn w:val="40"/>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04">
    <w:name w:val="Grid Table 2 - Accent 3"/>
    <w:basedOn w:val="40"/>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05">
    <w:name w:val="Grid Table 2 - Accent 4"/>
    <w:basedOn w:val="40"/>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06">
    <w:name w:val="Grid Table 2 - Accent 5"/>
    <w:basedOn w:val="40"/>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07">
    <w:name w:val="Grid Table 2 - Accent 6"/>
    <w:basedOn w:val="40"/>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08">
    <w:name w:val="Grid Table 3"/>
    <w:basedOn w:val="4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9">
    <w:name w:val="Grid Table 3 - Accent 1"/>
    <w:basedOn w:val="40"/>
    <w:qFormat/>
    <w:uiPriority w:val="99"/>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1" w:themeTint="34" w:fill="DDEAF6" w:themeFill="accent1" w:themeFillTint="34"/>
      </w:tcPr>
    </w:tblStylePr>
    <w:tblStylePr w:type="band1Horz">
      <w:rPr>
        <w:rFonts w:ascii="Arial" w:hAnsi="Arial"/>
        <w:color w:val="404040"/>
        <w:sz w:val="22"/>
      </w:rPr>
      <w:tcPr>
        <w:shd w:val="clear" w:color="DDEAF6" w:themeColor="accent1" w:themeTint="34" w:fill="DDEAF6" w:themeFill="accent1" w:themeFillTint="34"/>
      </w:tcPr>
    </w:tblStylePr>
  </w:style>
  <w:style w:type="table" w:customStyle="1" w:styleId="110">
    <w:name w:val="Grid Table 3 - Accent 2"/>
    <w:basedOn w:val="40"/>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11">
    <w:name w:val="Grid Table 3 - Accent 3"/>
    <w:basedOn w:val="40"/>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12">
    <w:name w:val="Grid Table 3 - Accent 4"/>
    <w:basedOn w:val="40"/>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13">
    <w:name w:val="Grid Table 3 - Accent 5"/>
    <w:basedOn w:val="40"/>
    <w:qFormat/>
    <w:uiPriority w:val="99"/>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14">
    <w:name w:val="Grid Table 3 - Accent 6"/>
    <w:basedOn w:val="40"/>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15">
    <w:name w:val="Grid Table 4"/>
    <w:basedOn w:val="40"/>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6">
    <w:name w:val="Grid Table 4 - Accent 1"/>
    <w:basedOn w:val="40"/>
    <w:qFormat/>
    <w:uiPriority w:val="5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themeColor="accent1" w:themeTint="32" w:fill="DEEBF6" w:themeFill="accent1" w:themeFillTint="32"/>
      </w:tcPr>
    </w:tblStylePr>
    <w:tblStylePr w:type="band1Horz">
      <w:rPr>
        <w:rFonts w:ascii="Arial" w:hAnsi="Arial"/>
        <w:color w:val="404040"/>
        <w:sz w:val="22"/>
      </w:rPr>
      <w:tcPr>
        <w:shd w:val="clear" w:color="DEEBF6" w:themeColor="accent1" w:themeTint="32" w:fill="DEEBF6" w:themeFill="accent1" w:themeFillTint="32"/>
      </w:tcPr>
    </w:tblStylePr>
  </w:style>
  <w:style w:type="table" w:customStyle="1" w:styleId="117">
    <w:name w:val="Grid Table 4 - Accent 2"/>
    <w:basedOn w:val="40"/>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118">
    <w:name w:val="Grid Table 4 - Accent 3"/>
    <w:basedOn w:val="40"/>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119">
    <w:name w:val="Grid Table 4 - Accent 4"/>
    <w:basedOn w:val="40"/>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20">
    <w:name w:val="Grid Table 4 - Accent 5"/>
    <w:basedOn w:val="40"/>
    <w:qFormat/>
    <w:uiPriority w:val="5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cPr>
        <w:shd w:val="clear" w:color="D8E2F2" w:themeColor="accent5" w:themeTint="34" w:fill="D8E2F2" w:themeFill="accent5" w:themeFillTint="34"/>
      </w:tcPr>
    </w:tblStylePr>
  </w:style>
  <w:style w:type="table" w:customStyle="1" w:styleId="121">
    <w:name w:val="Grid Table 4 - Accent 6"/>
    <w:basedOn w:val="40"/>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22">
    <w:name w:val="Grid Table 5 Dark"/>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23">
    <w:name w:val="Grid Table 5 Dark- Accent 1"/>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band1Vert">
      <w:tcPr>
        <w:shd w:val="clear" w:color="B3D1EB" w:themeColor="accent1" w:themeTint="75" w:fill="B3D1EB" w:themeFill="accent1" w:themeFillTint="75"/>
      </w:tcPr>
    </w:tblStylePr>
    <w:tblStylePr w:type="band1Horz">
      <w:tcPr>
        <w:shd w:val="clear" w:color="B3D1EB" w:themeColor="accent1" w:themeTint="75" w:fill="B3D1EB" w:themeFill="accent1" w:themeFillTint="75"/>
      </w:tcPr>
    </w:tblStylePr>
  </w:style>
  <w:style w:type="table" w:customStyle="1" w:styleId="124">
    <w:name w:val="Grid Table 5 Dark - Accent 2"/>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25">
    <w:name w:val="Grid Table 5 Dark - Accent 3"/>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26">
    <w:name w:val="Grid Table 5 Dark- Accent 4"/>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27">
    <w:name w:val="Grid Table 5 Dark - Accent 5"/>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band1Vert">
      <w:tcPr>
        <w:shd w:val="clear" w:color="A9BEE3" w:themeColor="accent5" w:themeTint="75" w:fill="A9BEE3" w:themeFill="accent5" w:themeFillTint="75"/>
      </w:tcPr>
    </w:tblStylePr>
    <w:tblStylePr w:type="band1Horz">
      <w:tcPr>
        <w:shd w:val="clear" w:color="A9BEE3" w:themeColor="accent5" w:themeTint="75" w:fill="A9BEE3" w:themeFill="accent5" w:themeFillTint="75"/>
      </w:tcPr>
    </w:tblStylePr>
  </w:style>
  <w:style w:type="table" w:customStyle="1" w:styleId="128">
    <w:name w:val="Grid Table 5 Dark - Accent 6"/>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29">
    <w:name w:val="Grid Table 6 Colorful"/>
    <w:basedOn w:val="40"/>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0">
    <w:name w:val="Grid Table 6 Colorful - Accent 1"/>
    <w:basedOn w:val="40"/>
    <w:qFormat/>
    <w:uiPriority w:val="99"/>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31">
    <w:name w:val="Grid Table 6 Colorful - Accent 2"/>
    <w:basedOn w:val="40"/>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32">
    <w:name w:val="Grid Table 6 Colorful - Accent 3"/>
    <w:basedOn w:val="40"/>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33">
    <w:name w:val="Grid Table 6 Colorful - Accent 4"/>
    <w:basedOn w:val="40"/>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34">
    <w:name w:val="Grid Table 6 Colorful - Accent 5"/>
    <w:basedOn w:val="40"/>
    <w:qFormat/>
    <w:uiPriority w:val="99"/>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35">
    <w:name w:val="Grid Table 6 Colorful - Accent 6"/>
    <w:basedOn w:val="40"/>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54174" w:themeColor="accent5" w:themeShade="94"/>
        <w:sz w:val="22"/>
      </w:rPr>
      <w:tcPr>
        <w:shd w:val="clear" w:color="E1EFD8" w:themeColor="accent6" w:themeTint="34" w:fill="E1EFD8" w:themeFill="accent6" w:themeFillTint="34"/>
      </w:tcPr>
    </w:tblStylePr>
    <w:tblStylePr w:type="band2Horz">
      <w:rPr>
        <w:rFonts w:ascii="Arial" w:hAnsi="Arial"/>
        <w:color w:val="254174" w:themeColor="accent5" w:themeShade="94"/>
        <w:sz w:val="22"/>
      </w:rPr>
    </w:tblStylePr>
  </w:style>
  <w:style w:type="table" w:customStyle="1" w:styleId="136">
    <w:name w:val="Grid Table 7 Colorful"/>
    <w:basedOn w:val="40"/>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7">
    <w:name w:val="Grid Table 7 Colorful - Accent 1"/>
    <w:basedOn w:val="40"/>
    <w:qFormat/>
    <w:uiPriority w:val="99"/>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themeColor="accent1" w:themeTint="34" w:fill="DDEAF6" w:themeFill="accent1" w:themeFillTint="34"/>
      </w:tcPr>
    </w:tblStyle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themeColor="accent1" w:themeTint="34" w:fill="DDEAF6" w:themeFill="accent1" w:themeFillTint="34"/>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style>
  <w:style w:type="table" w:customStyle="1" w:styleId="138">
    <w:name w:val="Grid Table 7 Colorful - Accent 2"/>
    <w:basedOn w:val="40"/>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39">
    <w:name w:val="Grid Table 7 Colorful - Accent 3"/>
    <w:basedOn w:val="40"/>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40">
    <w:name w:val="Grid Table 7 Colorful - Accent 4"/>
    <w:basedOn w:val="40"/>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41">
    <w:name w:val="Grid Table 7 Colorful - Accent 5"/>
    <w:basedOn w:val="40"/>
    <w:qFormat/>
    <w:uiPriority w:val="99"/>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themeColor="accent5" w:themeTint="34" w:fill="D8E2F2" w:themeFill="accent5" w:themeFillTint="34"/>
      </w:tcPr>
    </w:tblStylePr>
    <w:tblStylePr w:type="band1Horz">
      <w:rPr>
        <w:rFonts w:ascii="Arial" w:hAnsi="Arial"/>
        <w:color w:val="254174" w:themeColor="accent5" w:themeShade="94"/>
        <w:sz w:val="22"/>
      </w:rPr>
      <w:tcPr>
        <w:shd w:val="clear" w:color="D8E2F2" w:themeColor="accent5" w:themeTint="34" w:fill="D8E2F2" w:themeFill="accent5" w:themeFillTint="34"/>
      </w:tcPr>
    </w:tblStylePr>
    <w:tblStylePr w:type="band2Horz">
      <w:rPr>
        <w:rFonts w:ascii="Arial" w:hAnsi="Arial"/>
        <w:color w:val="254174" w:themeColor="accent5" w:themeShade="94"/>
        <w:sz w:val="22"/>
      </w:rPr>
    </w:tblStylePr>
  </w:style>
  <w:style w:type="table" w:customStyle="1" w:styleId="142">
    <w:name w:val="Grid Table 7 Colorful - Accent 6"/>
    <w:basedOn w:val="40"/>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43">
    <w:name w:val="List Table 1 Light"/>
    <w:basedOn w:val="40"/>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4">
    <w:name w:val="List Table 1 Light - Accent 1"/>
    <w:basedOn w:val="40"/>
    <w:qFormat/>
    <w:uiPriority w:val="99"/>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1" w:themeTint="40" w:fill="D5E5F4" w:themeFill="accent1" w:themeFillTint="40"/>
      </w:tcPr>
    </w:tblStylePr>
    <w:tblStylePr w:type="band1Horz">
      <w:tcPr>
        <w:shd w:val="clear" w:color="D5E5F4" w:themeColor="accent1" w:themeTint="40" w:fill="D5E5F4" w:themeFill="accent1" w:themeFillTint="40"/>
      </w:tcPr>
    </w:tblStylePr>
  </w:style>
  <w:style w:type="table" w:customStyle="1" w:styleId="145">
    <w:name w:val="List Table 1 Light - Accent 2"/>
    <w:basedOn w:val="40"/>
    <w:qFormat/>
    <w:uiPriority w:val="99"/>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46">
    <w:name w:val="List Table 1 Light - Accent 3"/>
    <w:basedOn w:val="40"/>
    <w:qFormat/>
    <w:uiPriority w:val="99"/>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47">
    <w:name w:val="List Table 1 Light - Accent 4"/>
    <w:basedOn w:val="40"/>
    <w:qFormat/>
    <w:uiPriority w:val="99"/>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48">
    <w:name w:val="List Table 1 Light - Accent 5"/>
    <w:basedOn w:val="40"/>
    <w:qFormat/>
    <w:uiPriority w:val="99"/>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5" w:themeTint="40" w:fill="D0DBF0" w:themeFill="accent5" w:themeFillTint="40"/>
      </w:tcPr>
    </w:tblStylePr>
    <w:tblStylePr w:type="band1Horz">
      <w:tcPr>
        <w:shd w:val="clear" w:color="D0DBF0" w:themeColor="accent5" w:themeTint="40" w:fill="D0DBF0" w:themeFill="accent5" w:themeFillTint="40"/>
      </w:tcPr>
    </w:tblStylePr>
  </w:style>
  <w:style w:type="table" w:customStyle="1" w:styleId="149">
    <w:name w:val="List Table 1 Light - Accent 6"/>
    <w:basedOn w:val="40"/>
    <w:qFormat/>
    <w:uiPriority w:val="99"/>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50">
    <w:name w:val="List Table 2"/>
    <w:basedOn w:val="40"/>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1">
    <w:name w:val="List Table 2 - Accent 1"/>
    <w:basedOn w:val="40"/>
    <w:qFormat/>
    <w:uiPriority w:val="99"/>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52">
    <w:name w:val="List Table 2 - Accent 2"/>
    <w:basedOn w:val="40"/>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53">
    <w:name w:val="List Table 2 - Accent 3"/>
    <w:basedOn w:val="40"/>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54">
    <w:name w:val="List Table 2 - Accent 4"/>
    <w:basedOn w:val="40"/>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55">
    <w:name w:val="List Table 2 - Accent 5"/>
    <w:basedOn w:val="40"/>
    <w:qFormat/>
    <w:uiPriority w:val="99"/>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56">
    <w:name w:val="List Table 2 - Accent 6"/>
    <w:basedOn w:val="40"/>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57">
    <w:name w:val="List Table 3"/>
    <w:basedOn w:val="4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8">
    <w:name w:val="List Table 3 - Accent 1"/>
    <w:basedOn w:val="40"/>
    <w:qFormat/>
    <w:uiPriority w:val="99"/>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1Horz">
      <w:rPr>
        <w:rFonts w:ascii="Arial" w:hAnsi="Arial"/>
        <w:color w:val="404040"/>
        <w:sz w:val="22"/>
      </w:rPr>
      <w:tcPr>
        <w:tcBorders>
          <w:top w:val="single" w:color="5B9BD5" w:themeColor="accent1" w:sz="4" w:space="0"/>
          <w:bottom w:val="single" w:color="5B9BD5" w:themeColor="accent1" w:sz="4" w:space="0"/>
        </w:tcBorders>
      </w:tcPr>
    </w:tblStylePr>
  </w:style>
  <w:style w:type="table" w:customStyle="1" w:styleId="159">
    <w:name w:val="List Table 3 - Accent 2"/>
    <w:basedOn w:val="40"/>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60">
    <w:name w:val="List Table 3 - Accent 3"/>
    <w:basedOn w:val="40"/>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61">
    <w:name w:val="List Table 3 - Accent 4"/>
    <w:basedOn w:val="40"/>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62">
    <w:name w:val="List Table 3 - Accent 5"/>
    <w:basedOn w:val="40"/>
    <w:qFormat/>
    <w:uiPriority w:val="99"/>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themeColor="accent5" w:themeTint="9A" w:fill="8E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style>
  <w:style w:type="table" w:customStyle="1" w:styleId="163">
    <w:name w:val="List Table 3 - Accent 6"/>
    <w:basedOn w:val="40"/>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64">
    <w:name w:val="List Table 4"/>
    <w:basedOn w:val="4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5">
    <w:name w:val="List Table 4 - Accent 1"/>
    <w:basedOn w:val="40"/>
    <w:qFormat/>
    <w:uiPriority w:val="99"/>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1" w:themeTint="40" w:fill="D5E5F4" w:themeFill="accent1" w:themeFillTint="40"/>
      </w:tcPr>
    </w:tblStylePr>
    <w:tblStylePr w:type="band1Horz">
      <w:rPr>
        <w:rFonts w:ascii="Arial" w:hAnsi="Arial"/>
        <w:color w:val="404040"/>
        <w:sz w:val="22"/>
      </w:rPr>
      <w:tcPr>
        <w:shd w:val="clear" w:color="D5E5F4" w:themeColor="accent1" w:themeTint="40" w:fill="D5E5F4" w:themeFill="accent1" w:themeFillTint="40"/>
      </w:tcPr>
    </w:tblStylePr>
  </w:style>
  <w:style w:type="table" w:customStyle="1" w:styleId="166">
    <w:name w:val="List Table 4 - Accent 2"/>
    <w:basedOn w:val="40"/>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67">
    <w:name w:val="List Table 4 - Accent 3"/>
    <w:basedOn w:val="40"/>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68">
    <w:name w:val="List Table 4 - Accent 4"/>
    <w:basedOn w:val="40"/>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69">
    <w:name w:val="List Table 4 - Accent 5"/>
    <w:basedOn w:val="40"/>
    <w:qFormat/>
    <w:uiPriority w:val="99"/>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5" w:themeTint="40" w:fill="D0DBF0" w:themeFill="accent5" w:themeFillTint="40"/>
      </w:tcPr>
    </w:tblStylePr>
    <w:tblStylePr w:type="band1Horz">
      <w:rPr>
        <w:rFonts w:ascii="Arial" w:hAnsi="Arial"/>
        <w:color w:val="404040"/>
        <w:sz w:val="22"/>
      </w:rPr>
      <w:tcPr>
        <w:shd w:val="clear" w:color="D0DBF0" w:themeColor="accent5" w:themeTint="40" w:fill="D0DBF0" w:themeFill="accent5" w:themeFillTint="40"/>
      </w:tcPr>
    </w:tblStylePr>
  </w:style>
  <w:style w:type="table" w:customStyle="1" w:styleId="170">
    <w:name w:val="List Table 4 - Accent 6"/>
    <w:basedOn w:val="40"/>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71">
    <w:name w:val="List Table 5 Dark"/>
    <w:basedOn w:val="40"/>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72">
    <w:name w:val="List Table 5 Dark - Accent 1"/>
    <w:basedOn w:val="40"/>
    <w:qFormat/>
    <w:uiPriority w:val="99"/>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themeColor="accent1" w:fill="5B9BD5"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themeColor="accent1" w:fill="5B9BD5" w:themeFill="accent1"/>
      </w:tcPr>
    </w:tblStylePr>
    <w:tblStylePr w:type="band2Horz">
      <w:tcPr>
        <w:tcBorders>
          <w:top w:val="single" w:color="FFFFFF" w:themeColor="light1" w:sz="4" w:space="0"/>
          <w:bottom w:val="single" w:color="FFFFFF" w:themeColor="light1" w:sz="4" w:space="0"/>
        </w:tcBorders>
        <w:shd w:val="clear" w:color="5B9BD5" w:themeColor="accent1" w:fill="5B9BD5" w:themeFill="accent1"/>
      </w:tcPr>
    </w:tblStylePr>
  </w:style>
  <w:style w:type="table" w:customStyle="1" w:styleId="173">
    <w:name w:val="List Table 5 Dark - Accent 2"/>
    <w:basedOn w:val="40"/>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74">
    <w:name w:val="List Table 5 Dark - Accent 3"/>
    <w:basedOn w:val="40"/>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75">
    <w:name w:val="List Table 5 Dark - Accent 4"/>
    <w:basedOn w:val="40"/>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76">
    <w:name w:val="List Table 5 Dark - Accent 5"/>
    <w:basedOn w:val="40"/>
    <w:qFormat/>
    <w:uiPriority w:val="99"/>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cPr>
        <w:tcBorders>
          <w:top w:val="single" w:color="FFFFFF" w:themeColor="light1" w:sz="4" w:space="0"/>
          <w:bottom w:val="single" w:color="FFFFFF" w:themeColor="light1" w:sz="4" w:space="0"/>
        </w:tcBorders>
        <w:shd w:val="clear" w:color="8EA9DB" w:themeColor="accent5" w:themeTint="9A" w:fill="8EA9DB" w:themeFill="accent5" w:themeFillTint="9A"/>
      </w:tcPr>
    </w:tblStylePr>
  </w:style>
  <w:style w:type="table" w:customStyle="1" w:styleId="177">
    <w:name w:val="List Table 5 Dark - Accent 6"/>
    <w:basedOn w:val="40"/>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78">
    <w:name w:val="List Table 6 Colorful"/>
    <w:basedOn w:val="40"/>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79">
    <w:name w:val="List Table 6 Colorful - Accent 1"/>
    <w:basedOn w:val="40"/>
    <w:qFormat/>
    <w:uiPriority w:val="99"/>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80">
    <w:name w:val="List Table 6 Colorful - Accent 2"/>
    <w:basedOn w:val="40"/>
    <w:qFormat/>
    <w:uiPriority w:val="99"/>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81">
    <w:name w:val="List Table 6 Colorful - Accent 3"/>
    <w:basedOn w:val="40"/>
    <w:qFormat/>
    <w:uiPriority w:val="99"/>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82">
    <w:name w:val="List Table 6 Colorful - Accent 4"/>
    <w:basedOn w:val="40"/>
    <w:qFormat/>
    <w:uiPriority w:val="99"/>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83">
    <w:name w:val="List Table 6 Colorful - Accent 5"/>
    <w:basedOn w:val="40"/>
    <w:qFormat/>
    <w:uiPriority w:val="99"/>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84">
    <w:name w:val="List Table 6 Colorful - Accent 6"/>
    <w:basedOn w:val="40"/>
    <w:qFormat/>
    <w:uiPriority w:val="99"/>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85">
    <w:name w:val="List Table 7 Colorful"/>
    <w:basedOn w:val="40"/>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86">
    <w:name w:val="List Table 7 Colorful - Accent 1"/>
    <w:basedOn w:val="40"/>
    <w:qFormat/>
    <w:uiPriority w:val="99"/>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themeColor="accent1" w:themeTint="40" w:fill="D5E5F4" w:themeFill="accent1" w:themeFillTint="40"/>
      </w:tcPr>
    </w:tblStylePr>
    <w:tblStylePr w:type="band1Horz">
      <w:rPr>
        <w:rFonts w:ascii="Arial" w:hAnsi="Arial"/>
        <w:color w:val="245B8C" w:themeColor="accent1" w:themeShade="94"/>
        <w:sz w:val="22"/>
      </w:rPr>
      <w:tcPr>
        <w:shd w:val="clear" w:color="D5E5F4" w:themeColor="accent1" w:themeTint="40" w:fill="D5E5F4" w:themeFill="accent1" w:themeFillTint="40"/>
      </w:tcPr>
    </w:tblStylePr>
    <w:tblStylePr w:type="band2Horz">
      <w:rPr>
        <w:rFonts w:ascii="Arial" w:hAnsi="Arial"/>
        <w:color w:val="245B8C" w:themeColor="accent1" w:themeShade="94"/>
        <w:sz w:val="22"/>
      </w:rPr>
    </w:tblStylePr>
  </w:style>
  <w:style w:type="table" w:customStyle="1" w:styleId="187">
    <w:name w:val="List Table 7 Colorful - Accent 2"/>
    <w:basedOn w:val="40"/>
    <w:qFormat/>
    <w:uiPriority w:val="99"/>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88">
    <w:name w:val="List Table 7 Colorful - Accent 3"/>
    <w:basedOn w:val="40"/>
    <w:qFormat/>
    <w:uiPriority w:val="99"/>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89">
    <w:name w:val="List Table 7 Colorful - Accent 4"/>
    <w:basedOn w:val="40"/>
    <w:qFormat/>
    <w:uiPriority w:val="99"/>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90">
    <w:name w:val="List Table 7 Colorful - Accent 5"/>
    <w:basedOn w:val="40"/>
    <w:qFormat/>
    <w:uiPriority w:val="99"/>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themeColor="accent5" w:themeTint="40" w:fill="D0DBF0" w:themeFill="accent5" w:themeFill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themeColor="accent5" w:themeTint="40" w:fill="D0DBF0" w:themeFill="accent5" w:themeFill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191">
    <w:name w:val="List Table 7 Colorful - Accent 6"/>
    <w:basedOn w:val="40"/>
    <w:qFormat/>
    <w:uiPriority w:val="99"/>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92">
    <w:name w:val="Lined - Accent"/>
    <w:basedOn w:val="40"/>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3">
    <w:name w:val="Lined - Accent 1"/>
    <w:basedOn w:val="40"/>
    <w:qFormat/>
    <w:uiPriority w:val="99"/>
    <w:rPr>
      <w:color w:val="404040"/>
    </w:r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194">
    <w:name w:val="Lined - Accent 2"/>
    <w:basedOn w:val="40"/>
    <w:qFormat/>
    <w:uiPriority w:val="99"/>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95">
    <w:name w:val="Lined - Accent 3"/>
    <w:basedOn w:val="40"/>
    <w:qFormat/>
    <w:uiPriority w:val="99"/>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96">
    <w:name w:val="Lined - Accent 4"/>
    <w:basedOn w:val="40"/>
    <w:qFormat/>
    <w:uiPriority w:val="99"/>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97">
    <w:name w:val="Lined - Accent 5"/>
    <w:basedOn w:val="40"/>
    <w:qFormat/>
    <w:uiPriority w:val="99"/>
    <w:rPr>
      <w:color w:val="404040"/>
    </w:r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198">
    <w:name w:val="Lined - Accent 6"/>
    <w:basedOn w:val="40"/>
    <w:qFormat/>
    <w:uiPriority w:val="99"/>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99">
    <w:name w:val="Bordered &amp; Lined - Accent"/>
    <w:basedOn w:val="40"/>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0">
    <w:name w:val="Bordered &amp; Lined - Accent 1"/>
    <w:basedOn w:val="40"/>
    <w:qFormat/>
    <w:uiPriority w:val="99"/>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themeColor="accent1" w:themeTint="EA" w:fill="68A3D8" w:themeFill="accent1" w:themeFillTint="EA"/>
      </w:tcPr>
    </w:tblStylePr>
    <w:tblStylePr w:type="lastRow">
      <w:rPr>
        <w:rFonts w:ascii="Arial" w:hAnsi="Arial"/>
        <w:color w:val="F2F2F2"/>
        <w:sz w:val="22"/>
      </w:rPr>
      <w:tcPr>
        <w:shd w:val="clear" w:color="68A3D8" w:themeColor="accent1" w:themeTint="EA" w:fill="68A3D8" w:themeFill="accent1" w:themeFillTint="EA"/>
      </w:tcPr>
    </w:tblStylePr>
    <w:tblStylePr w:type="firstCol">
      <w:rPr>
        <w:rFonts w:ascii="Arial" w:hAnsi="Arial"/>
        <w:color w:val="F2F2F2"/>
        <w:sz w:val="22"/>
      </w:rPr>
      <w:tcPr>
        <w:shd w:val="clear" w:color="68A3D8" w:themeColor="accent1" w:themeTint="EA" w:fill="68A3D8" w:themeFill="accent1" w:themeFillTint="EA"/>
      </w:tcPr>
    </w:tblStylePr>
    <w:tblStylePr w:type="lastCol">
      <w:rPr>
        <w:rFonts w:ascii="Arial" w:hAnsi="Arial"/>
        <w:color w:val="F2F2F2"/>
        <w:sz w:val="22"/>
      </w:rPr>
      <w:tcPr>
        <w:shd w:val="clear" w:color="68A3D8" w:themeColor="accent1" w:themeTint="EA" w:fill="68A3D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style>
  <w:style w:type="table" w:customStyle="1" w:styleId="201">
    <w:name w:val="Bordered &amp; Lined - Accent 2"/>
    <w:basedOn w:val="40"/>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202">
    <w:name w:val="Bordered &amp; Lined - Accent 3"/>
    <w:basedOn w:val="40"/>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203">
    <w:name w:val="Bordered &amp; Lined - Accent 4"/>
    <w:basedOn w:val="40"/>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204">
    <w:name w:val="Bordered &amp; Lined - Accent 5"/>
    <w:basedOn w:val="40"/>
    <w:qFormat/>
    <w:uiPriority w:val="99"/>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tblStylePr w:type="firstCol">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cPr>
        <w:shd w:val="clear" w:color="D8E2F2" w:themeColor="accent5" w:themeTint="34" w:fill="D8E2F2"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8E2F2" w:themeColor="accent5" w:themeTint="34" w:fill="D8E2F2" w:themeFill="accent5" w:themeFillTint="34"/>
      </w:tcPr>
    </w:tblStylePr>
  </w:style>
  <w:style w:type="table" w:customStyle="1" w:styleId="205">
    <w:name w:val="Bordered &amp; Lined - Accent 6"/>
    <w:basedOn w:val="40"/>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206">
    <w:name w:val="Bordered"/>
    <w:basedOn w:val="40"/>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7">
    <w:name w:val="Bordered - Accent 1"/>
    <w:basedOn w:val="40"/>
    <w:qFormat/>
    <w:uiPriority w:val="99"/>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customStyle="1" w:styleId="208">
    <w:name w:val="Bordered - Accent 2"/>
    <w:basedOn w:val="40"/>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209">
    <w:name w:val="Bordered - Accent 3"/>
    <w:basedOn w:val="40"/>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210">
    <w:name w:val="Bordered - Accent 4"/>
    <w:basedOn w:val="40"/>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211">
    <w:name w:val="Bordered - Accent 5"/>
    <w:basedOn w:val="40"/>
    <w:qFormat/>
    <w:uiPriority w:val="99"/>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style>
  <w:style w:type="table" w:customStyle="1" w:styleId="212">
    <w:name w:val="Bordered - Accent 6"/>
    <w:basedOn w:val="40"/>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213">
    <w:name w:val="脚注文本 Char"/>
    <w:link w:val="32"/>
    <w:qFormat/>
    <w:uiPriority w:val="99"/>
    <w:rPr>
      <w:sz w:val="18"/>
    </w:rPr>
  </w:style>
  <w:style w:type="character" w:customStyle="1" w:styleId="214">
    <w:name w:val="尾注文本 Char"/>
    <w:link w:val="25"/>
    <w:qFormat/>
    <w:uiPriority w:val="99"/>
    <w:rPr>
      <w:sz w:val="20"/>
    </w:rPr>
  </w:style>
  <w:style w:type="paragraph" w:customStyle="1" w:styleId="215">
    <w:name w:val="TOC 标题1"/>
    <w:unhideWhenUsed/>
    <w:qFormat/>
    <w:uiPriority w:val="39"/>
    <w:rPr>
      <w:rFonts w:hint="default" w:ascii="Times New Roman" w:hAnsi="Times New Roman" w:eastAsia="宋体" w:cs="Times New Roman"/>
      <w:lang w:val="en-US" w:eastAsia="zh-CN" w:bidi="ar-SA"/>
    </w:rPr>
  </w:style>
  <w:style w:type="paragraph" w:customStyle="1" w:styleId="216">
    <w:name w:val="样式 表格正文 + 两端对齐"/>
    <w:basedOn w:val="1"/>
    <w:next w:val="217"/>
    <w:qFormat/>
    <w:uiPriority w:val="99"/>
    <w:pPr>
      <w:spacing w:line="300" w:lineRule="auto"/>
    </w:pPr>
  </w:style>
  <w:style w:type="paragraph" w:customStyle="1" w:styleId="217">
    <w:name w:val="正文1"/>
    <w:basedOn w:val="15"/>
    <w:qFormat/>
    <w:uiPriority w:val="99"/>
    <w:pPr>
      <w:spacing w:line="360" w:lineRule="auto"/>
      <w:ind w:right="1"/>
    </w:pPr>
    <w:rPr>
      <w:rFonts w:ascii="宋体" w:hAnsi="宋体" w:cs="宋体"/>
      <w:color w:val="000000"/>
      <w:sz w:val="24"/>
      <w:szCs w:val="24"/>
    </w:rPr>
  </w:style>
  <w:style w:type="paragraph" w:customStyle="1" w:styleId="218">
    <w:name w:val="目录"/>
    <w:basedOn w:val="1"/>
    <w:next w:val="1"/>
    <w:qFormat/>
    <w:uiPriority w:val="99"/>
    <w:pPr>
      <w:spacing w:line="360" w:lineRule="auto"/>
      <w:ind w:firstLine="420"/>
      <w:jc w:val="center"/>
    </w:pPr>
    <w:rPr>
      <w:b/>
      <w:bCs/>
      <w:spacing w:val="200"/>
      <w:sz w:val="36"/>
      <w:szCs w:val="36"/>
    </w:rPr>
  </w:style>
  <w:style w:type="paragraph" w:styleId="219">
    <w:name w:val="List Paragraph"/>
    <w:basedOn w:val="1"/>
    <w:qFormat/>
    <w:uiPriority w:val="99"/>
    <w:pPr>
      <w:ind w:firstLine="200"/>
    </w:pPr>
    <w:rPr>
      <w:rFonts w:ascii="Calibri" w:hAnsi="Calibri" w:cs="Calibri"/>
    </w:rPr>
  </w:style>
  <w:style w:type="character" w:customStyle="1" w:styleId="220">
    <w:name w:val="NormalCharacter"/>
    <w:qFormat/>
    <w:uiPriority w:val="0"/>
  </w:style>
  <w:style w:type="paragraph" w:customStyle="1" w:styleId="221">
    <w:name w:val="正文2"/>
    <w:basedOn w:val="1"/>
    <w:qFormat/>
    <w:uiPriority w:val="0"/>
    <w:pPr>
      <w:spacing w:line="360" w:lineRule="auto"/>
      <w:ind w:firstLine="510"/>
    </w:pPr>
    <w:rPr>
      <w:rFonts w:hAnsi="宋体"/>
      <w:sz w:val="24"/>
    </w:rPr>
  </w:style>
  <w:style w:type="paragraph" w:customStyle="1" w:styleId="222">
    <w:name w:val="Char"/>
    <w:basedOn w:val="1"/>
    <w:qFormat/>
    <w:uiPriority w:val="0"/>
    <w:pPr>
      <w:numPr>
        <w:ilvl w:val="0"/>
        <w:numId w:val="3"/>
      </w:numPr>
      <w:tabs>
        <w:tab w:val="left" w:pos="1080"/>
        <w:tab w:val="clear" w:pos="552"/>
      </w:tabs>
    </w:pPr>
    <w:rPr>
      <w:sz w:val="24"/>
      <w:szCs w:val="24"/>
    </w:rPr>
  </w:style>
  <w:style w:type="paragraph" w:customStyle="1" w:styleId="223">
    <w:name w:val="_Style 6"/>
    <w:basedOn w:val="2"/>
    <w:next w:val="1"/>
    <w:qFormat/>
    <w:uiPriority w:val="0"/>
    <w:pPr>
      <w:tabs>
        <w:tab w:val="left" w:pos="1800"/>
      </w:tabs>
      <w:spacing w:line="576" w:lineRule="auto"/>
      <w:ind w:left="0" w:firstLine="0"/>
      <w:jc w:val="both"/>
    </w:pPr>
    <w:rPr>
      <w:rFonts w:ascii="Cambria" w:hAnsi="Cambria" w:eastAsia="华文细黑"/>
    </w:rPr>
  </w:style>
  <w:style w:type="paragraph" w:customStyle="1" w:styleId="224">
    <w:name w:val="_Style 1"/>
    <w:basedOn w:val="1"/>
    <w:qFormat/>
    <w:uiPriority w:val="0"/>
    <w:pPr>
      <w:ind w:firstLine="420"/>
    </w:pPr>
    <w:rPr>
      <w:rFonts w:ascii="Calibri" w:hAnsi="Calibri"/>
      <w:szCs w:val="22"/>
    </w:rPr>
  </w:style>
  <w:style w:type="character" w:customStyle="1" w:styleId="225">
    <w:name w:val="NormalCharacter1"/>
    <w:link w:val="226"/>
    <w:qFormat/>
    <w:uiPriority w:val="0"/>
  </w:style>
  <w:style w:type="paragraph" w:customStyle="1" w:styleId="226">
    <w:name w:val="UserStyle_4"/>
    <w:basedOn w:val="1"/>
    <w:link w:val="225"/>
    <w:qFormat/>
    <w:uiPriority w:val="99"/>
  </w:style>
  <w:style w:type="paragraph" w:customStyle="1" w:styleId="227">
    <w:name w:val="Body text|2"/>
    <w:qFormat/>
    <w:uiPriority w:val="0"/>
    <w:pPr>
      <w:widowControl w:val="0"/>
      <w:shd w:val="clear" w:color="auto" w:fill="FFFFFF"/>
      <w:jc w:val="both"/>
    </w:pPr>
    <w:rPr>
      <w:rFonts w:hint="default" w:ascii="Times New Roman" w:hAnsi="Times New Roman" w:eastAsia="宋体" w:cs="Times New Roman"/>
      <w:lang w:val="en-US" w:eastAsia="zh-CN" w:bidi="ar-SA"/>
    </w:rPr>
  </w:style>
  <w:style w:type="character" w:customStyle="1" w:styleId="228">
    <w:name w:val="Body text|2 + PMingLiU1"/>
    <w:unhideWhenUsed/>
    <w:qFormat/>
    <w:uiPriority w:val="0"/>
    <w:rPr>
      <w:rFonts w:ascii="PMingLiU" w:hAnsi="PMingLiU" w:eastAsia="PMingLiU" w:cs="PMingLiU"/>
      <w:color w:val="000000"/>
      <w:spacing w:val="0"/>
      <w:position w:val="0"/>
      <w:sz w:val="38"/>
      <w:szCs w:val="38"/>
      <w:shd w:val="clear" w:color="auto" w:fill="FFFFFF"/>
      <w:lang w:val="zh-CN" w:eastAsia="zh-CN" w:bidi="zh-CN"/>
    </w:rPr>
  </w:style>
  <w:style w:type="character" w:customStyle="1" w:styleId="229">
    <w:name w:val="Body text|2 + PMingLiU"/>
    <w:unhideWhenUsed/>
    <w:qFormat/>
    <w:uiPriority w:val="0"/>
    <w:rPr>
      <w:rFonts w:ascii="PMingLiU" w:hAnsi="PMingLiU" w:eastAsia="PMingLiU" w:cs="PMingLiU"/>
      <w:color w:val="000000"/>
      <w:spacing w:val="0"/>
      <w:position w:val="0"/>
      <w:sz w:val="36"/>
      <w:szCs w:val="36"/>
      <w:shd w:val="clear" w:color="auto" w:fill="FFFFFF"/>
      <w:lang w:val="zh-CN" w:eastAsia="zh-CN" w:bidi="zh-CN"/>
    </w:rPr>
  </w:style>
  <w:style w:type="paragraph" w:customStyle="1" w:styleId="230">
    <w:name w:val="列出段落1"/>
    <w:qFormat/>
    <w:uiPriority w:val="34"/>
    <w:pPr>
      <w:ind w:firstLine="420"/>
    </w:pPr>
    <w:rPr>
      <w:rFonts w:hint="default" w:ascii="Times New Roman" w:hAnsi="Times New Roman" w:eastAsia="宋体" w:cs="Times New Roman"/>
      <w:lang w:val="en-US" w:eastAsia="zh-CN" w:bidi="ar-SA"/>
    </w:rPr>
  </w:style>
  <w:style w:type="paragraph" w:customStyle="1" w:styleId="231">
    <w:name w:val="普通(网站)1"/>
    <w:basedOn w:val="1"/>
    <w:qFormat/>
    <w:uiPriority w:val="0"/>
    <w:pPr>
      <w:widowControl/>
      <w:spacing w:before="100" w:beforeAutospacing="1" w:after="100" w:afterAutospacing="1" w:line="288" w:lineRule="auto"/>
      <w:ind w:firstLine="420"/>
      <w:jc w:val="left"/>
    </w:pPr>
    <w:rPr>
      <w:rFonts w:hAnsi="宋体"/>
      <w:sz w:val="24"/>
      <w:szCs w:val="24"/>
    </w:rPr>
  </w:style>
  <w:style w:type="paragraph" w:customStyle="1" w:styleId="232">
    <w:name w:val="目录 11"/>
    <w:basedOn w:val="1"/>
    <w:next w:val="1"/>
    <w:qFormat/>
    <w:uiPriority w:val="39"/>
    <w:pPr>
      <w:tabs>
        <w:tab w:val="right" w:leader="dot" w:pos="8296"/>
      </w:tabs>
      <w:spacing w:before="120" w:after="120" w:line="288" w:lineRule="auto"/>
    </w:pPr>
    <w:rPr>
      <w:rFonts w:ascii="黑体" w:hAnsi="宋体" w:eastAsia="黑体"/>
      <w:caps/>
      <w:sz w:val="30"/>
      <w:szCs w:val="30"/>
    </w:rPr>
  </w:style>
  <w:style w:type="character" w:customStyle="1" w:styleId="233">
    <w:name w:val="超链接1"/>
    <w:qFormat/>
    <w:uiPriority w:val="99"/>
    <w:rPr>
      <w:rFonts w:hint="default" w:ascii="Times New Roman" w:hAnsi="Times New Roman" w:eastAsia="宋体" w:cs="Times New Roman"/>
      <w:sz w:val="21"/>
      <w:szCs w:val="21"/>
      <w:lang w:val="en-US" w:eastAsia="zh-CN" w:bidi="ar-SA"/>
    </w:rPr>
  </w:style>
  <w:style w:type="paragraph" w:customStyle="1" w:styleId="234">
    <w:name w:val="目录 21"/>
    <w:basedOn w:val="1"/>
    <w:next w:val="1"/>
    <w:qFormat/>
    <w:uiPriority w:val="39"/>
    <w:pPr>
      <w:spacing w:line="288" w:lineRule="auto"/>
      <w:ind w:left="210" w:firstLine="420"/>
      <w:jc w:val="left"/>
    </w:pPr>
    <w:rPr>
      <w:smallCaps/>
      <w:sz w:val="20"/>
      <w:szCs w:val="20"/>
    </w:rPr>
  </w:style>
  <w:style w:type="paragraph" w:customStyle="1" w:styleId="235">
    <w:name w:val="_Style 4"/>
    <w:basedOn w:val="236"/>
    <w:next w:val="1"/>
    <w:qFormat/>
    <w:uiPriority w:val="0"/>
    <w:pPr>
      <w:tabs>
        <w:tab w:val="left" w:pos="1800"/>
      </w:tabs>
      <w:ind w:left="0" w:firstLine="0"/>
      <w:jc w:val="both"/>
      <w:outlineLvl w:val="9"/>
    </w:pPr>
    <w:rPr>
      <w:rFonts w:ascii="Cambria" w:hAnsi="Cambria" w:eastAsia="华文细黑" w:cs="Cambria"/>
    </w:rPr>
  </w:style>
  <w:style w:type="paragraph" w:customStyle="1" w:styleId="236">
    <w:name w:val="标题 11"/>
    <w:basedOn w:val="1"/>
    <w:next w:val="1"/>
    <w:qFormat/>
    <w:uiPriority w:val="0"/>
    <w:pPr>
      <w:keepNext/>
      <w:keepLines/>
      <w:tabs>
        <w:tab w:val="left" w:pos="1800"/>
      </w:tabs>
      <w:spacing w:before="340" w:after="330" w:line="578" w:lineRule="auto"/>
      <w:ind w:left="425" w:hanging="425"/>
      <w:jc w:val="center"/>
      <w:outlineLvl w:val="0"/>
    </w:pPr>
    <w:rPr>
      <w:rFonts w:ascii="黑体" w:eastAsia="黑体"/>
      <w:b/>
      <w:bCs/>
      <w:sz w:val="44"/>
      <w:szCs w:val="44"/>
    </w:rPr>
  </w:style>
  <w:style w:type="paragraph" w:customStyle="1" w:styleId="237">
    <w:name w:val="标题 21"/>
    <w:basedOn w:val="1"/>
    <w:next w:val="1"/>
    <w:qFormat/>
    <w:uiPriority w:val="0"/>
    <w:pPr>
      <w:keepNext/>
      <w:keepLines/>
      <w:tabs>
        <w:tab w:val="left" w:pos="567"/>
      </w:tabs>
      <w:spacing w:before="260" w:after="260" w:line="416" w:lineRule="auto"/>
      <w:ind w:left="567" w:hanging="567"/>
      <w:outlineLvl w:val="1"/>
    </w:pPr>
    <w:rPr>
      <w:rFonts w:ascii="Arial" w:hAnsi="Arial" w:eastAsia="黑体"/>
      <w:b/>
      <w:bCs/>
      <w:sz w:val="32"/>
      <w:szCs w:val="32"/>
    </w:rPr>
  </w:style>
  <w:style w:type="paragraph" w:customStyle="1" w:styleId="238">
    <w:name w:val="标题 41"/>
    <w:basedOn w:val="1"/>
    <w:next w:val="1"/>
    <w:qFormat/>
    <w:uiPriority w:val="0"/>
    <w:pPr>
      <w:keepNext/>
      <w:keepLines/>
      <w:tabs>
        <w:tab w:val="left" w:pos="1080"/>
      </w:tabs>
      <w:spacing w:before="280" w:after="290" w:line="376" w:lineRule="auto"/>
      <w:ind w:left="992" w:hanging="992"/>
      <w:outlineLvl w:val="3"/>
    </w:pPr>
    <w:rPr>
      <w:rFonts w:ascii="Arial" w:hAnsi="Arial" w:eastAsia="黑体"/>
      <w:b/>
      <w:bCs/>
      <w:sz w:val="28"/>
      <w:szCs w:val="28"/>
    </w:rPr>
  </w:style>
  <w:style w:type="paragraph" w:customStyle="1" w:styleId="239">
    <w:name w:val="标题 31"/>
    <w:basedOn w:val="1"/>
    <w:next w:val="1"/>
    <w:qFormat/>
    <w:uiPriority w:val="0"/>
    <w:pPr>
      <w:keepNext/>
      <w:keepLines/>
      <w:spacing w:before="260" w:after="260" w:line="416" w:lineRule="auto"/>
      <w:outlineLvl w:val="2"/>
    </w:pPr>
    <w:rPr>
      <w:rFonts w:ascii="黑体" w:eastAsia="黑体"/>
      <w:b/>
      <w:bCs/>
      <w:sz w:val="32"/>
      <w:szCs w:val="32"/>
    </w:rPr>
  </w:style>
  <w:style w:type="paragraph" w:customStyle="1" w:styleId="240">
    <w:name w:val="Blockquote"/>
    <w:basedOn w:val="1"/>
    <w:qFormat/>
    <w:uiPriority w:val="0"/>
    <w:pPr>
      <w:spacing w:before="100" w:after="100"/>
      <w:ind w:left="360" w:right="360"/>
      <w:jc w:val="left"/>
    </w:pPr>
    <w:rPr>
      <w:rFonts w:ascii="Cambria" w:hAnsi="Cambria" w:eastAsia="华文细黑" w:cs="Cambria"/>
      <w:sz w:val="24"/>
      <w:szCs w:val="20"/>
    </w:rPr>
  </w:style>
  <w:style w:type="paragraph" w:customStyle="1" w:styleId="241">
    <w:name w:val="列表段落1"/>
    <w:basedOn w:val="1"/>
    <w:qFormat/>
    <w:uiPriority w:val="0"/>
    <w:pPr>
      <w:ind w:firstLine="420"/>
    </w:pPr>
    <w:rPr>
      <w:rFonts w:ascii="Calibri" w:hAnsi="Calibri"/>
      <w:szCs w:val="22"/>
    </w:rPr>
  </w:style>
  <w:style w:type="character" w:customStyle="1" w:styleId="242">
    <w:name w:val="hour_am"/>
    <w:basedOn w:val="42"/>
    <w:qFormat/>
    <w:uiPriority w:val="0"/>
  </w:style>
  <w:style w:type="character" w:customStyle="1" w:styleId="243">
    <w:name w:val="hover"/>
    <w:basedOn w:val="42"/>
    <w:qFormat/>
    <w:uiPriority w:val="0"/>
    <w:rPr>
      <w:shd w:val="clear" w:fill="EEEEEE"/>
    </w:rPr>
  </w:style>
  <w:style w:type="character" w:customStyle="1" w:styleId="244">
    <w:name w:val="old"/>
    <w:basedOn w:val="42"/>
    <w:qFormat/>
    <w:uiPriority w:val="0"/>
    <w:rPr>
      <w:color w:val="999999"/>
    </w:rPr>
  </w:style>
  <w:style w:type="character" w:customStyle="1" w:styleId="245">
    <w:name w:val="hour_pm"/>
    <w:basedOn w:val="42"/>
    <w:qFormat/>
    <w:uiPriority w:val="0"/>
  </w:style>
  <w:style w:type="character" w:customStyle="1" w:styleId="246">
    <w:name w:val="glyphicon"/>
    <w:basedOn w:val="42"/>
    <w:qFormat/>
    <w:uiPriority w:val="0"/>
  </w:style>
  <w:style w:type="character" w:customStyle="1" w:styleId="247">
    <w:name w:val="hover5"/>
    <w:basedOn w:val="42"/>
    <w:qFormat/>
    <w:uiPriority w:val="0"/>
    <w:rPr>
      <w:shd w:val="clear" w:fill="EEEEEE"/>
    </w:rPr>
  </w:style>
  <w:style w:type="paragraph" w:customStyle="1" w:styleId="248">
    <w:name w:val="页脚1"/>
    <w:basedOn w:val="1"/>
    <w:next w:val="249"/>
    <w:qFormat/>
    <w:uiPriority w:val="0"/>
    <w:pPr>
      <w:tabs>
        <w:tab w:val="center" w:pos="4153"/>
        <w:tab w:val="right" w:pos="8306"/>
      </w:tabs>
      <w:jc w:val="left"/>
    </w:pPr>
    <w:rPr>
      <w:sz w:val="18"/>
      <w:szCs w:val="18"/>
    </w:rPr>
  </w:style>
  <w:style w:type="paragraph" w:customStyle="1" w:styleId="249">
    <w:name w:val="TOC Heading1"/>
    <w:next w:val="1"/>
    <w:unhideWhenUsed/>
    <w:qFormat/>
    <w:uiPriority w:val="0"/>
    <w:rPr>
      <w:rFonts w:hint="eastAsia" w:ascii="Times New Roman" w:hAnsi="Times New Roman" w:eastAsia="Times New Roman" w:cs="Times New Roman"/>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9426cfe1-a410-461f-94ae-d5c9c6943333</errorID>
      <errorWord>日至2026年</errorWord>
      <group>L1_Word</group>
      <groupName>字词问题</groupName>
      <ability>L2_Typo</ability>
      <abilityName>字词错误</abilityName>
      <candidateList>
        <item>日起至2026年</item>
      </candidateList>
      <explain/>
      <paraID> 2965DCC</paraID>
      <start>25</start>
      <end>32</end>
      <status>ignored</status>
      <modifiedWord/>
      <trackRevisions>false</trackRevisions>
    </reviewItem>
    <reviewItem>
      <errorID>959d5f46-8d31-4610-bde5-0dd180ee0874</errorID>
      <errorWord>(</errorWord>
      <group>L1_Format</group>
      <groupName>格式问题</groupName>
      <ability>L2_HalfPunc_CN</ability>
      <abilityName>全半角问题</abilityName>
      <candidateList>
        <item>（</item>
      </candidateList>
      <explain>文本全半角错误。</explain>
      <paraID>78D8AD24</paraID>
      <start>35</start>
      <end>36</end>
      <status>ignored</status>
      <modifiedWord/>
      <trackRevisions>false</trackRevisions>
    </reviewItem>
    <reviewItem>
      <errorID>3668369c-415a-4daa-8d6a-e2848cd8e683</errorID>
      <errorWord>)</errorWord>
      <group>L1_Format</group>
      <groupName>格式问题</groupName>
      <ability>L2_HalfPunc_CN</ability>
      <abilityName>全半角问题</abilityName>
      <candidateList>
        <item>）</item>
      </candidateList>
      <explain>文本全半角错误。</explain>
      <paraID>78D8AD24</paraID>
      <start>38</start>
      <end>39</end>
      <status>ignored</status>
      <modifiedWord/>
      <trackRevisions>false</trackRevisions>
    </reviewItem>
    <reviewItem>
      <errorID>133034ae-8c87-42f2-ba99-a01ed24145ee</errorID>
      <errorWord>.</errorWord>
      <group>L1_Format</group>
      <groupName>格式问题</groupName>
      <ability>L2_HalfPunc_CN</ability>
      <abilityName>全半角问题</abilityName>
      <candidateList>
        <item>。</item>
      </candidateList>
      <explain>文本全半角错误。</explain>
      <paraID>3CBA145E</paraID>
      <start>3</start>
      <end>4</end>
      <status>ignored</status>
      <modifiedWord/>
      <trackRevisions>false</trackRevisions>
    </reviewItem>
    <reviewItem>
      <errorID>4051d46d-d48f-421e-b674-e5bdc34f1e6d</errorID>
      <errorWord>，</errorWord>
      <group>L1_Word</group>
      <groupName>字词问题</groupName>
      <ability>L2_Typo</ability>
      <abilityName>字词错误</abilityName>
      <candidateList>
        <item>，由</item>
      </candidateList>
      <explain/>
      <paraID>3CBA145E</paraID>
      <start>269</start>
      <end>270</end>
      <status>ignored</status>
      <modifiedWord/>
      <trackRevisions>false</trackRevisions>
    </reviewItem>
    <reviewItem>
      <errorID>f1023cc8-d0df-4687-990e-a7304bceabed</errorID>
      <errorWord>.</errorWord>
      <group>L1_Format</group>
      <groupName>格式问题</groupName>
      <ability>L2_HalfPunc_CN</ability>
      <abilityName>全半角问题</abilityName>
      <candidateList>
        <item>。</item>
      </candidateList>
      <explain>文本全半角错误。</explain>
      <paraID>623E7F6F</paraID>
      <start>3</start>
      <end>4</end>
      <status>ignored</status>
      <modifiedWord/>
      <trackRevisions>false</trackRevisions>
    </reviewItem>
    <reviewItem>
      <errorID>996fd10c-d833-45a1-855a-36e34369d753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A2E7DCA</paraID>
      <start>0</start>
      <end>2</end>
      <status>ignored</status>
      <modifiedWord/>
      <trackRevisions>false</trackRevisions>
    </reviewItem>
    <reviewItem>
      <errorID>8df17d2a-7da0-4f60-aa65-994862f7ac0d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C7A9629</paraID>
      <start>0</start>
      <end>2</end>
      <status>ignored</status>
      <modifiedWord/>
      <trackRevisions>false</trackRevisions>
    </reviewItem>
    <reviewItem>
      <errorID>e1f85c06-8d23-45b9-80b7-c8e24be70ca3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74CA6F7E</paraID>
      <start>0</start>
      <end>2</end>
      <status>ignored</status>
      <modifiedWord/>
      <trackRevisions>false</trackRevisions>
    </reviewItem>
    <reviewItem>
      <errorID>e4d6770c-1da9-4435-aa75-379c3ac57fb2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2601A230</paraID>
      <start>0</start>
      <end>2</end>
      <status>ignored</status>
      <modifiedWord/>
      <trackRevisions>false</trackRevisions>
    </reviewItem>
    <reviewItem>
      <errorID>3ad61e73-8d1c-48b1-a438-51302ff12414</errorID>
      <errorWord>&lt;</errorWord>
      <group>L1_Format</group>
      <groupName>格式问题</groupName>
      <ability>L2_HalfPunc_CN</ability>
      <abilityName>全半角问题</abilityName>
      <candidateList>
        <item>〈</item>
      </candidateList>
      <explain>文本全半角错误。</explain>
      <paraID>6A925760</paraID>
      <start>49</start>
      <end>50</end>
      <status>ignored</status>
      <modifiedWord/>
      <trackRevisions>false</trackRevisions>
    </reviewItem>
    <reviewItem>
      <errorID>a80a4ecd-1b70-406e-a92f-56f60792bce5</errorID>
      <errorWord>&lt;</errorWord>
      <group>L1_Format</group>
      <groupName>格式问题</groupName>
      <ability>L2_HalfPunc_CN</ability>
      <abilityName>全半角问题</abilityName>
      <candidateList>
        <item>〈</item>
      </candidateList>
      <explain>文本全半角错误。</explain>
      <paraID> B2EF8B0</paraID>
      <start>50</start>
      <end>51</end>
      <status>ignored</status>
      <modifiedWord/>
      <trackRevisions>false</trackRevisions>
    </reviewItem>
    <reviewItem>
      <errorID>34591c18-c9fc-4dae-93c3-c2b3a2eaff13</errorID>
      <errorWord>&lt;</errorWord>
      <group>L1_Format</group>
      <groupName>格式问题</groupName>
      <ability>L2_HalfPunc_CN</ability>
      <abilityName>全半角问题</abilityName>
      <candidateList>
        <item>〈</item>
      </candidateList>
      <explain>文本全半角错误。</explain>
      <paraID>24072040</paraID>
      <start>34</start>
      <end>35</end>
      <status>ignored</status>
      <modifiedWord/>
      <trackRevisions>false</trackRevisions>
    </reviewItem>
    <reviewItem>
      <errorID>991dc4cd-c571-4844-93e7-3dd9db0e9fad</errorID>
      <errorWord>[</errorWord>
      <group>L1_Word</group>
      <groupName>字词问题</groupName>
      <ability>L2_Typo</ability>
      <abilityName>字词错误</abilityName>
      <candidateList>
        <item>[在</item>
      </candidateList>
      <explain/>
      <paraID>692CFC00</paraID>
      <start>97</start>
      <end>98</end>
      <status>ignored</status>
      <modifiedWord/>
      <trackRevisions>false</trackRevisions>
    </reviewItem>
    <reviewItem>
      <errorID>cb0ec0e8-eccc-40dc-9760-fbdd91dcc3c3</errorID>
      <errorWord>“.</errorWord>
      <group>L1_Punc</group>
      <groupName>标点问题</groupName>
      <ability>L2_Punc_CN</ability>
      <abilityName>标点符号问题</abilityName>
      <candidateList>
        <item>“</item>
      </candidateList>
      <explain/>
      <paraID>692CFC00</paraID>
      <start>216</start>
      <end>218</end>
      <status>ignored</status>
      <modifiedWord/>
      <trackRevisions>false</trackRevisions>
    </reviewItem>
    <reviewItem>
      <errorID>34d1057d-e0e4-4437-a66c-c88cf739fd73</errorID>
      <errorWord>“.</errorWord>
      <group>L1_Punc</group>
      <groupName>标点问题</groupName>
      <ability>L2_Punc_CN</ability>
      <abilityName>标点符号问题</abilityName>
      <candidateList>
        <item>“</item>
      </candidateList>
      <explain/>
      <paraID>54773E30</paraID>
      <start>14</start>
      <end>16</end>
      <status>ignored</status>
      <modifiedWord/>
      <trackRevisions>false</trackRevisions>
    </reviewItem>
    <reviewItem>
      <errorID>37d1c985-3b45-4b7d-8c14-d0654cf6a709</errorID>
      <errorWord>》</errorWord>
      <group>L1_Word</group>
      <groupName>字词问题</groupName>
      <ability>L2_Typo</ability>
      <abilityName>字词错误</abilityName>
      <candidateList>
        <item>》和</item>
      </candidateList>
      <explain/>
      <paraID>4237E920</paraID>
      <start>18</start>
      <end>19</end>
      <status>ignored</status>
      <modifiedWord/>
      <trackRevisions>false</trackRevisions>
    </reviewItem>
    <reviewItem>
      <errorID>3ab4e1d1-7f2f-49ad-8471-bfa10eba57bc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3D83DA09</paraID>
      <start>0</start>
      <end>2</end>
      <status>ignored</status>
      <modifiedWord/>
      <trackRevisions>false</trackRevisions>
    </reviewItem>
    <reviewItem>
      <errorID>3f84f861-e94c-450b-bb61-740ab6abdfae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3CF13385</paraID>
      <start>0</start>
      <end>2</end>
      <status>ignored</status>
      <modifiedWord/>
      <trackRevisions>false</trackRevisions>
    </reviewItem>
    <reviewItem>
      <errorID>bf44f4b8-e9b6-4c7f-8a22-a102d9ed5991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2EFE076C</paraID>
      <start>0</start>
      <end>2</end>
      <status>ignored</status>
      <modifiedWord/>
      <trackRevisions>false</trackRevisions>
    </reviewItem>
    <reviewItem>
      <errorID>1579153f-bf94-4def-beaf-715b0b6cf469</errorID>
      <errorWord>(</errorWord>
      <group>L1_Format</group>
      <groupName>格式问题</groupName>
      <ability>L2_HalfPunc_CN</ability>
      <abilityName>全半角问题</abilityName>
      <candidateList>
        <item>（</item>
      </candidateList>
      <explain>文本全半角错误。</explain>
      <paraID>7D4A8CFE</paraID>
      <start>64</start>
      <end>65</end>
      <status>ignored</status>
      <modifiedWord/>
      <trackRevisions>false</trackRevisions>
    </reviewItem>
    <reviewItem>
      <errorID>818d88fb-29ec-40cf-bd04-6c3bd80d4240</errorID>
      <errorWord>)</errorWord>
      <group>L1_Format</group>
      <groupName>格式问题</groupName>
      <ability>L2_HalfPunc_CN</ability>
      <abilityName>全半角问题</abilityName>
      <candidateList>
        <item>）</item>
      </candidateList>
      <explain>文本全半角错误。</explain>
      <paraID>7D4A8CFE</paraID>
      <start>98</start>
      <end>99</end>
      <status>ignored</status>
      <modifiedWord/>
      <trackRevisions>false</trackRevisions>
    </reviewItem>
    <reviewItem>
      <errorID>6063ca72-6a34-40a2-b2b8-e5f3ad886b00</errorID>
      <errorWord>(</errorWord>
      <group>L1_Format</group>
      <groupName>格式问题</groupName>
      <ability>L2_HalfPunc_CN</ability>
      <abilityName>全半角问题</abilityName>
      <candidateList>
        <item>（</item>
      </candidateList>
      <explain>文本全半角错误。</explain>
      <paraID> CC36979</paraID>
      <start>31</start>
      <end>32</end>
      <status>ignored</status>
      <modifiedWord/>
      <trackRevisions>false</trackRevisions>
    </reviewItem>
    <reviewItem>
      <errorID>9371b7f8-9c6c-48a1-a9f3-e3f0d06b3cc3</errorID>
      <errorWord>)</errorWord>
      <group>L1_Format</group>
      <groupName>格式问题</groupName>
      <ability>L2_HalfPunc_CN</ability>
      <abilityName>全半角问题</abilityName>
      <candidateList>
        <item>）</item>
      </candidateList>
      <explain>文本全半角错误。</explain>
      <paraID> CC36979</paraID>
      <start>65</start>
      <end>66</end>
      <status>ignored</status>
      <modifiedWord/>
      <trackRevisions>false</trackRevisions>
    </reviewItem>
    <reviewItem>
      <errorID>c473a35a-4057-4bfe-b9d2-59340e5bc660</errorID>
      <errorWord>(</errorWord>
      <group>L1_Format</group>
      <groupName>格式问题</groupName>
      <ability>L2_HalfPunc_CN</ability>
      <abilityName>全半角问题</abilityName>
      <candidateList>
        <item>（</item>
      </candidateList>
      <explain>文本全半角错误。</explain>
      <paraID>2FB414E8</paraID>
      <start>42</start>
      <end>43</end>
      <status>ignored</status>
      <modifiedWord/>
      <trackRevisions>false</trackRevisions>
    </reviewItem>
    <reviewItem>
      <errorID>046b4a75-707b-45d9-8090-3bef7945bbad</errorID>
      <errorWord>)</errorWord>
      <group>L1_Format</group>
      <groupName>格式问题</groupName>
      <ability>L2_HalfPunc_CN</ability>
      <abilityName>全半角问题</abilityName>
      <candidateList>
        <item>）</item>
      </candidateList>
      <explain>文本全半角错误。</explain>
      <paraID>2FB414E8</paraID>
      <start>76</start>
      <end>77</end>
      <status>ignored</status>
      <modifiedWord/>
      <trackRevisions>false</trackRevisions>
    </reviewItem>
    <reviewItem>
      <errorID>c0a19e83-faa5-490a-b540-18dc04d8bb5a</errorID>
      <errorWord>繁琐</errorWord>
      <group>L1_Word</group>
      <groupName>字词问题</groupName>
      <ability>L2_Typo</ability>
      <abilityName>字词错误</abilityName>
      <candidateList>
        <item>烦琐</item>
      </candidateList>
      <explain/>
      <paraID>79637E7F</paraID>
      <start>37</start>
      <end>39</end>
      <status>ignored</status>
      <modifiedWord/>
      <trackRevisions>false</trackRevisions>
    </reviewItem>
    <reviewItem>
      <errorID>d0c59625-e794-4e9a-8979-4fdbc498e225</errorID>
      <errorWord>金额100万</errorWord>
      <group>L1_Word</group>
      <groupName>字词问题</groupName>
      <ability>L2_Typo</ability>
      <abilityName>字词错误</abilityName>
      <candidateList>
        <item>金额100万元</item>
      </candidateList>
      <explain/>
      <paraID>6077FC55</paraID>
      <start>19</start>
      <end>25</end>
      <status>ignored</status>
      <modifiedWord/>
      <trackRevisions>false</trackRevisions>
    </reviewItem>
    <reviewItem>
      <errorID>892c0c55-31d5-48e7-867e-664463828834</errorID>
      <errorWord>500万以下</errorWord>
      <group>L1_Word</group>
      <groupName>字词问题</groupName>
      <ability>L2_Typo</ability>
      <abilityName>字词错误</abilityName>
      <candidateList>
        <item>500万元以下</item>
      </candidateList>
      <explain/>
      <paraID>2690B968</paraID>
      <start>35</start>
      <end>41</end>
      <status>ignored</status>
      <modifiedWord/>
      <trackRevisions>false</trackRevisions>
    </reviewItem>
    <reviewItem>
      <errorID>ceae27b4-d009-47e8-a744-41f3e0d58385</errorID>
      <errorWord>;</errorWord>
      <group>L1_Format</group>
      <groupName>格式问题</groupName>
      <ability>L2_HalfPunc_CN</ability>
      <abilityName>全半角问题</abilityName>
      <candidateList>
        <item>；</item>
      </candidateList>
      <explain>文本全半角错误。</explain>
      <paraID>2D9FD57B</paraID>
      <start>23</start>
      <end>24</end>
      <status>modified</status>
      <modifiedWord>；</modifiedWord>
      <trackRevisions>false</trackRevisions>
    </reviewItem>
    <reviewItem>
      <errorID>f4279a15-a67f-42da-8ece-9c82795d1ac4</errorID>
      <errorWord>间</errorWord>
      <group>L1_Word</group>
      <groupName>字词问题</groupName>
      <ability>L2_Typo</ability>
      <abilityName>字词错误</abilityName>
      <candidateList>
        <item>间内</item>
      </candidateList>
      <explain/>
      <paraID>146DC6AC</paraID>
      <start>40</start>
      <end>41</end>
      <status>ignored</status>
      <modifiedWord/>
      <trackRevisions>false</trackRevisions>
    </reviewItem>
    <reviewItem>
      <errorID>7dacb5b6-d49d-4482-9b35-c82ed3e9992c</errorID>
      <errorWord>经含</errorWord>
      <group>L1_Word</group>
      <groupName>字词问题</groupName>
      <ability>L2_Typo</ability>
      <abilityName>字词错误</abilityName>
      <candidateList>
        <item>包含</item>
      </candidateList>
      <explain>〈动〉里边含有：这句话～好几层意思。</explain>
      <paraID>60A3E6B9</paraID>
      <start>63</start>
      <end>65</end>
      <status>modified</status>
      <modifiedWord>包含</modifiedWord>
      <trackRevisions>false</trackRevisions>
    </reviewItem>
    <reviewItem>
      <errorID>0b8befd9-6334-40a2-83ec-0f2cf91a3c0d</errorID>
      <errorWord>另要</errorWord>
      <group>L1_Word</group>
      <groupName>字词问题</groupName>
      <ability>L2_Typo</ability>
      <abilityName>字词错误</abilityName>
      <candidateList>
        <item>另</item>
      </candidateList>
      <explain/>
      <paraID>528E4F37</paraID>
      <start>16</start>
      <end>18</end>
      <status>ignored</status>
      <modifiedWord/>
      <trackRevisions>false</trackRevisions>
    </reviewItem>
    <reviewItem>
      <errorID>67a2791f-b89c-44bd-bb20-afd6bc86c945</errorID>
      <errorWord>必须严格按</errorWord>
      <group>L1_Word</group>
      <groupName>字词问题</groupName>
      <ability>L2_Typo</ability>
      <abilityName>字词错误</abilityName>
      <candidateList>
        <item>必须严格按照</item>
      </candidateList>
      <explain/>
      <paraID>25A7AAC8</paraID>
      <start>39</start>
      <end>44</end>
      <status>ignored</status>
      <modifiedWord/>
      <trackRevisions>false</trackRevisions>
    </reviewItem>
    <reviewItem>
      <errorID>5eb3c31c-0d53-410b-9c6f-10b07eab0204</errorID>
      <errorWord>围</errorWord>
      <group>L1_Word</group>
      <groupName>字词问题</groupName>
      <ability>L2_Typo</ability>
      <abilityName>字词错误</abilityName>
      <candidateList>
        <item>围内</item>
      </candidateList>
      <explain/>
      <paraID>4EB91D8D</paraID>
      <start>120</start>
      <end>121</end>
      <status>ignored</status>
      <modifiedWord/>
      <trackRevisions>false</trackRevisions>
    </reviewItem>
    <reviewItem>
      <errorID>9888583a-0628-4fb1-88b7-7a96be090752</errorID>
      <errorWord>，</errorWord>
      <group>L1_Word</group>
      <groupName>字词问题</groupName>
      <ability>L2_Typo</ability>
      <abilityName>字词错误</abilityName>
      <candidateList>
        <item>，经</item>
      </candidateList>
      <explain/>
      <paraID>7F4BEDA9</paraID>
      <start>112</start>
      <end>113</end>
      <status>ignored</status>
      <modifiedWord/>
      <trackRevisions>false</trackRevisions>
    </reviewItem>
    <reviewItem>
      <errorID>a402430d-753c-4604-8fc0-d3df58dd79e4</errorID>
      <errorWord>，</errorWord>
      <group>L1_Word</group>
      <groupName>字词问题</groupName>
      <ability>L2_Typo</ability>
      <abilityName>字词错误</abilityName>
      <candidateList>
        <item>，经</item>
      </candidateList>
      <explain/>
      <paraID>3CCAF60B</paraID>
      <start>72</start>
      <end>73</end>
      <status>ignored</status>
      <modifiedWord/>
      <trackRevisions>false</trackRevisions>
    </reviewItem>
    <reviewItem>
      <errorID>3d594907-ef67-4a5f-83ff-fb8d3c3fa12d</errorID>
      <errorWord>运入</errorWord>
      <group>L1_Word</group>
      <groupName>字词问题</groupName>
      <ability>L2_Typo</ability>
      <abilityName>字词错误</abilityName>
      <candidateList>
        <item>进入</item>
      </candidateList>
      <explain>〈动〉支进到某个范围或某个时期里：～学校｜～新阶段◇～角色。</explain>
      <paraID>6D6387FF</paraID>
      <start>3</start>
      <end>5</end>
      <status>ignored</status>
      <modifiedWord/>
      <trackRevisions>false</trackRevisions>
    </reviewItem>
    <reviewItem>
      <errorID>29b4d28e-0e00-469a-8632-3b23025eb14d</errorID>
      <errorWord>按按</errorWord>
      <group>L1_Word</group>
      <groupName>字词问题</groupName>
      <ability>L2_Typo</ability>
      <abilityName>字词错误</abilityName>
      <candidateList>
        <item>按</item>
      </candidateList>
      <explain>（案）àn❶〈书〉考查；核对：有原文可～。❷（编者、作者等）加按语：编者～。</explain>
      <paraID>62871048</paraID>
      <start>29</start>
      <end>30</end>
      <status>modified</status>
      <modifiedWord>按</modifiedWord>
      <trackRevisions>false</trackRevisions>
    </reviewItem>
    <reviewItem>
      <errorID>087a94a2-e158-490e-b348-c8f6bec6c797</errorID>
      <errorWord>〔2018〕第24号</errorWord>
      <group>L1_Knowledge</group>
      <groupName>知识性问题</groupName>
      <ability>L2_Knowledge</ability>
      <abilityName>其他知识</abilityName>
      <candidateList>
        <item>〔2018〕24号</item>
      </candidateList>
      <explain>发文字号格式错误。</explain>
      <paraID>62871048</paraID>
      <start>179</start>
      <end>188</end>
      <status>modified</status>
      <modifiedWord>〔2018〕24号</modifiedWord>
      <trackRevisions>false</trackRevisions>
    </reviewItem>
    <reviewItem>
      <errorID>d6cab779-379d-4c83-aef6-607feb31e8d3</errorID>
      <errorWord>符合按</errorWord>
      <group>L1_Word</group>
      <groupName>字词问题</groupName>
      <ability>L2_Typo</ability>
      <abilityName>字词错误</abilityName>
      <candidateList>
        <item>符合</item>
      </candidateList>
      <explain>〈动〉（数量、形状、情节等）相合：～事实｜这些产品不～质量标准。</explain>
      <paraID>2AA71C61</paraID>
      <start>8</start>
      <end>11</end>
      <status>ignored</status>
      <modifiedWord/>
      <trackRevisions>false</trackRevisions>
    </reviewItem>
    <reviewItem>
      <errorID>2c7557e7-e712-4fc9-99b6-bbb0abe6b036</errorID>
      <errorWord>〔2018〕第24号</errorWord>
      <group>L1_Knowledge</group>
      <groupName>知识性问题</groupName>
      <ability>L2_Knowledge</ability>
      <abilityName>其他知识</abilityName>
      <candidateList>
        <item>〔2018〕24号</item>
      </candidateList>
      <explain>发文字号格式错误。</explain>
      <paraID>2AA71C61</paraID>
      <start>210</start>
      <end>220</end>
      <status>ignored</status>
      <modifiedWord/>
      <trackRevisions>false</trackRevisions>
    </reviewItem>
    <reviewItem>
      <errorID>2219fd61-3f8c-4cf6-8b3d-15fa8579c95d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4EFA7F73</paraID>
      <start>0</start>
      <end>2</end>
      <status>ignored</status>
      <modifiedWord/>
      <trackRevisions>false</trackRevisions>
    </reviewItem>
    <reviewItem>
      <errorID>5e6f0bea-53e2-463c-a1bf-e09f4fd52304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48DC98CE</paraID>
      <start>0</start>
      <end>2</end>
      <status>ignored</status>
      <modifiedWord/>
      <trackRevisions>false</trackRevisions>
    </reviewItem>
    <reviewItem>
      <errorID>5173444a-17ba-4e4e-bb8f-57305cad9949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53AE4AF5</paraID>
      <start>0</start>
      <end>2</end>
      <status>ignored</status>
      <modifiedWord/>
      <trackRevisions>false</trackRevisions>
    </reviewItem>
    <reviewItem>
      <errorID>ca64d6f6-2bd5-4275-8c51-32ef66b14076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679ACE56</paraID>
      <start>0</start>
      <end>2</end>
      <status>ignored</status>
      <modifiedWord/>
      <trackRevisions>false</trackRevisions>
    </reviewItem>
    <reviewItem>
      <errorID>bd284bdb-5f69-4347-b3e5-9ff2cbc6f31a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FBB056</paraID>
      <start>0</start>
      <end>2</end>
      <status>ignored</status>
      <modifiedWord/>
      <trackRevisions>false</trackRevisions>
    </reviewItem>
    <reviewItem>
      <errorID>ae34f598-6ba4-43c2-adb9-a9a51feff343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76041286</paraID>
      <start>0</start>
      <end>2</end>
      <status>ignored</status>
      <modifiedWord/>
      <trackRevisions>false</trackRevisions>
    </reviewItem>
    <reviewItem>
      <errorID>88449777-550e-4af0-8688-6cd95e3ac3a7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177BD092</paraID>
      <start>0</start>
      <end>2</end>
      <status>ignored</status>
      <modifiedWord/>
      <trackRevisions>false</trackRevisions>
    </reviewItem>
    <reviewItem>
      <errorID>ec7bc28d-316b-4ac6-99cd-26190553cad8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D88D216</paraID>
      <start>0</start>
      <end>2</end>
      <status>ignored</status>
      <modifiedWord/>
      <trackRevisions>false</trackRevisions>
    </reviewItem>
    <reviewItem>
      <errorID>0e7175d6-f4ff-41aa-9bab-de848b4db794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519EB0BD</paraID>
      <start>0</start>
      <end>2</end>
      <status>ignored</status>
      <modifiedWord/>
      <trackRevisions>false</trackRevisions>
    </reviewItem>
    <reviewItem>
      <errorID>716028f3-1be6-4a21-a0bb-741edb6cd2ee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45DAFC45</paraID>
      <start>0</start>
      <end>2</end>
      <status>ignored</status>
      <modifiedWord/>
      <trackRevisions>false</trackRevisions>
    </reviewItem>
    <reviewItem>
      <errorID>e4d25af2-e386-40a3-984d-9d0c5f7db102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7D1818E7</paraID>
      <start>0</start>
      <end>2</end>
      <status>ignored</status>
      <modifiedWord/>
      <trackRevisions>false</trackRevisions>
    </reviewItem>
    <reviewItem>
      <errorID>da1ca253-992e-4001-8ffb-00c0b749758b</errorID>
      <errorWord>方</errorWord>
      <group>L1_Word</group>
      <groupName>字词问题</groupName>
      <ability>L2_Typo</ability>
      <abilityName>字词错误</abilityName>
      <candidateList>
        <item>方予</item>
      </candidateList>
      <explain/>
      <paraID>4280A6C6</paraID>
      <start>51</start>
      <end>52</end>
      <status>ignored</status>
      <modifiedWord/>
      <trackRevisions>false</trackRevisions>
    </reviewItem>
    <reviewItem>
      <errorID>40902b11-fda0-4fc0-83f8-1956afefd4d0</errorID>
      <errorWord>监</errorWord>
      <group>L1_Word</group>
      <groupName>字词问题</groupName>
      <ability>L2_Typo</ability>
      <abilityName>字词错误</abilityName>
      <candidateList>
        <item>监局</item>
      </candidateList>
      <explain/>
      <paraID>459B2E22</paraID>
      <start>84</start>
      <end>85</end>
      <status>ignored</status>
      <modifiedWord/>
      <trackRevisions>false</trackRevisions>
    </reviewItem>
    <reviewItem>
      <errorID>09784107-86ba-45da-8663-3203a397356f</errorID>
      <errorWord>按《中华人民共和国</errorWord>
      <group>L1_Political</group>
      <groupName>政治性问题</groupName>
      <ability>L2_Unpolitical</ability>
      <abilityName>政治敏感错误</abilityName>
      <candidateList>
        <item>按照《中华人民共和国</item>
      </candidateList>
      <explain/>
      <paraID>64985971</paraID>
      <start>5</start>
      <end>14</end>
      <status>ignored</status>
      <modifiedWord/>
      <trackRevisions>false</trackRevisions>
    </reviewItem>
    <reviewItem>
      <errorID>d2b4b8ee-7459-4b36-9d0c-bac63a3acf1e</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614C3EDB</paraID>
      <start>30</start>
      <end>32</end>
      <status>ignored</status>
      <modifiedWord/>
      <trackRevisions>false</trackRevisions>
    </reviewItem>
    <reviewItem>
      <errorID>29134303-0dfb-41e9-adc0-ad2f7d6484f6</errorID>
      <errorWord>政纪处分</errorWord>
      <group>L1_Word</group>
      <groupName>字词问题</groupName>
      <ability>L2_Typo</ability>
      <abilityName>字词错误</abilityName>
      <candidateList>
        <item>政务处分</item>
      </candidateList>
      <explain/>
      <paraID>77906ECC</paraID>
      <start>52</start>
      <end>56</end>
      <status>ignored</status>
      <modifiedWord/>
      <trackRevisions>false</trackRevisions>
    </reviewItem>
    <reviewItem>
      <errorID>2012cbf2-570b-4da0-817d-ac05740ee198</errorID>
      <errorWord>政纪处分</errorWord>
      <group>L1_Word</group>
      <groupName>字词问题</groupName>
      <ability>L2_Typo</ability>
      <abilityName>字词错误</abilityName>
      <candidateList>
        <item>政务处分</item>
      </candidateList>
      <explain/>
      <paraID>617B64B6</paraID>
      <start>50</start>
      <end>54</end>
      <status>ignored</status>
      <modifiedWord/>
      <trackRevisions>false</trackRevisions>
    </reviewItem>
    <reviewItem>
      <errorID>d6fe24ef-4ea9-43eb-8472-bd0000342b0a</errorID>
      <errorWord>．</errorWord>
      <group>L1_Format</group>
      <groupName>格式问题</groupName>
      <ability>L2_HalfPunc_CN</ability>
      <abilityName>全半角问题</abilityName>
      <candidateList>
        <item>。</item>
      </candidateList>
      <explain>文本全半角错误。</explain>
      <paraID>7AFBC7A1</paraID>
      <start>4</start>
      <end>5</end>
      <status>ignored</status>
      <modifiedWord/>
      <trackRevisions>false</trackRevisions>
    </reviewItem>
    <reviewItem>
      <errorID>a2395815-461a-4893-a62e-ab4bfb6fe820</errorID>
      <errorWord>司</errorWord>
      <group>L1_Word</group>
      <groupName>字词问题</groupName>
      <ability>L2_Typo</ability>
      <abilityName>字词错误</abilityName>
      <candidateList>
        <item>司在</item>
      </candidateList>
      <explain/>
      <paraID>360555B8</paraID>
      <start>41</start>
      <end>42</end>
      <status>ignored</status>
      <modifiedWord/>
      <trackRevisions>false</trackRevisions>
    </reviewItem>
    <reviewItem>
      <errorID>e76a62c6-492f-4800-8991-7206c15c4273</errorID>
      <errorWord>做出</errorWord>
      <group>L1_Word</group>
      <groupName>字词问题</groupName>
      <ability>L2_Typo</ability>
      <abilityName>字词错误</abilityName>
      <candidateList>
        <item>作出</item>
      </candidateList>
      <explain/>
      <paraID>360555B8</paraID>
      <start>275</start>
      <end>277</end>
      <status>modified</status>
      <modifiedWord>作出</modifiedWord>
      <trackRevisions>false</trackRevisions>
    </reviewItem>
    <reviewItem>
      <errorID>8a64ca93-3571-4fe7-ae8f-e3984ebe49a0</errorID>
      <errorWord>，</errorWord>
      <group>L1_Word</group>
      <groupName>字词问题</groupName>
      <ability>L2_Typo</ability>
      <abilityName>字词错误</abilityName>
      <candidateList>
        <item>，自</item>
      </candidateList>
      <explain/>
      <paraID>3B1E1BCD</paraID>
      <start>9</start>
      <end>10</end>
      <status>ignored</status>
      <modifiedWord/>
      <trackRevisions>false</trackRevisions>
    </reviewItem>
    <reviewItem>
      <errorID>cb6343d7-dfce-48ac-86e4-d1979c4bbb09</errorID>
      <errorWord>上述的</errorWord>
      <group>L1_Word</group>
      <groupName>字词问题</groupName>
      <ability>L2_Typo</ability>
      <abilityName>字词错误</abilityName>
      <candidateList>
        <item>上述</item>
      </candidateList>
      <explain>〈形〉属性词。上面所说的：～各条，望切实执行。</explain>
      <paraID>40B82C96</paraID>
      <start>161</start>
      <end>163</end>
      <status>modified</status>
      <modifiedWord>上述</modifiedWord>
      <trackRevisions>false</trackRevisions>
    </reviewItem>
  </reviewItems>
  <config/>
</contractReview>
</file>

<file path=customXml/itemProps1.xml><?xml version="1.0" encoding="utf-8"?>
<ds:datastoreItem xmlns:ds="http://schemas.openxmlformats.org/officeDocument/2006/customXml" ds:itemID="{8a69cc2f-9dab-40cd-a1f5-451f32557f25}">
  <ds:schemaRefs/>
</ds:datastoreItem>
</file>

<file path=docProps/app.xml><?xml version="1.0" encoding="utf-8"?>
<Properties xmlns="http://schemas.openxmlformats.org/officeDocument/2006/extended-properties" xmlns:vt="http://schemas.openxmlformats.org/officeDocument/2006/docPropsVTypes">
  <Template>Normal.dotm</Template>
  <Pages>88</Pages>
  <Words>2540</Words>
  <Characters>2791</Characters>
  <TotalTime>2</TotalTime>
  <ScaleCrop>false</ScaleCrop>
  <LinksUpToDate>false</LinksUpToDate>
  <CharactersWithSpaces>2803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2022-04-29T08:11:00Z</dcterms:created>
  <dc:creator>Administrator</dc:creator>
  <cp:lastModifiedBy>梦思雨</cp:lastModifiedBy>
  <dcterms:modified xsi:type="dcterms:W3CDTF">2026-06-22T00:52:02Z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EE0CFA2B966A4E988649BADF1E2CE533_13</vt:lpwstr>
  </property>
  <property fmtid="{D5CDD505-2E9C-101B-9397-08002B2CF9AE}" pid="4" name="commondata">
    <vt:lpwstr>eyJoZGlkIjoiMTI5OTQ5ZTkyOTZlMjBlYzJmZGMzNDNjMWMyNGU2ZTYifQ==</vt:lpwstr>
  </property>
  <property fmtid="{D5CDD505-2E9C-101B-9397-08002B2CF9AE}" pid="5" name="KSOTemplateDocerSaveRecord">
    <vt:lpwstr>eyJoZGlkIjoiOWNhZDNiNTI2OGI0ZWZkM2NkOGZkNjMzOWRlOTdhZGUiLCJ1c2VySWQiOiI1MjE1MzUzODYifQ==</vt:lpwstr>
  </property>
</Properties>
</file>