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项目名称：江苏省消防救援总队全省器材装备采购项目</w:t>
      </w:r>
      <w:r/>
    </w:p>
    <w:p>
      <w:pPr>
        <w:spacing w:before="120" w:after="120" w:line="360" w:lineRule="auto"/>
        <w:rPr>
          <w:rFonts w:ascii="Arial" w:hAnsi="Arial" w:eastAsia="宋体"/>
          <w:b/>
          <w:bCs/>
          <w:sz w:val="32"/>
          <w:szCs w:val="24"/>
          <w:lang w:val="en-US" w:eastAsia="zh-CN"/>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：JSZC-320000-SCZX-G2026-0131</w:t>
      </w:r>
      <w:r/>
    </w:p>
    <w:p>
      <w:pPr>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5</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……………………………………16</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38</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52</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75</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受江苏省消防救援总队的委托，江苏省政府采购中心就江苏省消防救援总队全省器材装备采购(JSZC-320000-SCZX-G2026-0131)项目进行公开招标采购，欢迎符合条件的供应商投标。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江苏省消防救援总队全省器材装备采购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2026 </w:t>
      </w:r>
      <w:r>
        <w:rPr>
          <w:rFonts w:hint="eastAsia" w:ascii="宋体" w:hAnsi="宋体"/>
          <w:bCs/>
          <w:color w:val="000000"/>
          <w:sz w:val="24"/>
          <w:szCs w:val="24"/>
          <w:u w:val="single"/>
        </w:rPr>
        <w:t xml:space="preserve">年 5 月 2</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日 9 点30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rFonts w:ascii="Times New Roman" w:hAnsi="Times New Roman"/>
          <w:b/>
          <w:bCs/>
          <w:color w:val="000000"/>
          <w:sz w:val="32"/>
          <w:szCs w:val="32"/>
        </w:rPr>
        <w:outlineLvl w:val="2"/>
      </w:pPr>
      <w:r/>
      <w:bookmarkStart w:id="6" w:name="_Toc28359079"/>
      <w:r/>
      <w:bookmarkStart w:id="7" w:name="_Toc38985263"/>
      <w:r/>
      <w:bookmarkStart w:id="8" w:name="_Toc35393790"/>
      <w:r/>
      <w:bookmarkStart w:id="9" w:name="_Toc28359002"/>
      <w:r/>
      <w:bookmarkStart w:id="10" w:name="_Toc35393621"/>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eastAsia="宋体" w:cs="Times New Roman"/>
          <w:color w:val="000000"/>
          <w:sz w:val="24"/>
          <w:szCs w:val="24"/>
          <w:lang w:val="en-US" w:eastAsia="zh-CN"/>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w:t>
      </w:r>
      <w:r>
        <w:rPr>
          <w:rFonts w:hint="eastAsia" w:ascii="宋体" w:hAnsi="宋体" w:eastAsia="宋体" w:cs="Times New Roman"/>
          <w:color w:val="000000"/>
          <w:sz w:val="24"/>
          <w:szCs w:val="24"/>
          <w:lang w:val="en-US" w:eastAsia="zh-CN"/>
        </w:rPr>
        <w:t xml:space="preserve">SCZX-G2026-0131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2.项目名称：江苏省消防救援总队全省器材装备采购项目</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719"/>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p>
          <w:p>
            <w:pPr>
              <w:jc w:val="center"/>
              <w:spacing w:line="0" w:lineRule="atLeast"/>
              <w:rPr>
                <w:rFonts w:hint="eastAsia" w:ascii="宋体" w:hAnsi="宋体"/>
                <w:sz w:val="24"/>
                <w:szCs w:val="24"/>
              </w:rPr>
            </w:pP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16.5</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2800" w:type="dxa"/>
            <w:vAlign w:val="top"/>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10.56</w:t>
            </w:r>
            <w:r/>
          </w:p>
        </w:tc>
      </w:tr>
      <w:tr>
        <w:trPr/>
        <w:tc>
          <w:tcPr>
            <w:tcW w:w="114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lang w:val="en-US" w:eastAsia="zh-CN"/>
              </w:rPr>
              <w:t xml:space="preserve">3</w:t>
            </w:r>
            <w:r/>
          </w:p>
        </w:tc>
        <w:tc>
          <w:tcPr>
            <w:tcW w:w="2800" w:type="dxa"/>
            <w:vAlign w:val="top"/>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38.36</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lang w:val="en-US" w:eastAsia="zh-CN"/>
              </w:rPr>
              <w:t xml:space="preserve">4</w:t>
            </w:r>
            <w:r/>
          </w:p>
        </w:tc>
        <w:tc>
          <w:tcPr>
            <w:tcW w:w="2800" w:type="dxa"/>
            <w:vAlign w:val="top"/>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270.06</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lang w:val="en-US" w:eastAsia="zh-CN"/>
              </w:rPr>
              <w:t xml:space="preserve">5</w:t>
            </w:r>
            <w:r/>
          </w:p>
        </w:tc>
        <w:tc>
          <w:tcPr>
            <w:tcW w:w="2800" w:type="dxa"/>
            <w:vAlign w:val="top"/>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50.75</w:t>
            </w:r>
            <w:r/>
          </w:p>
        </w:tc>
      </w:tr>
    </w:tbl>
    <w:p>
      <w:pPr>
        <w:numPr>
          <w:ilvl w:val="0"/>
          <w:numId w:val="5"/>
        </w:numPr>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w:t>
      </w:r>
      <w:r/>
    </w:p>
    <w:tbl>
      <w:tblPr>
        <w:tblStyle w:val="719"/>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numPr>
                <w:ilvl w:val="0"/>
                <w:numId w:val="0"/>
              </w:numPr>
              <w:spacing w:line="400" w:lineRule="exact"/>
              <w:rPr>
                <w:rFonts w:ascii="宋体" w:hAnsi="宋体"/>
                <w:sz w:val="24"/>
                <w:szCs w:val="24"/>
              </w:rPr>
            </w:pPr>
            <w:r>
              <w:rPr>
                <w:rFonts w:hint="eastAsia" w:ascii="方正魏碑_GBK" w:hAnsi="方正魏碑_GBK" w:eastAsia="方正魏碑_GBK" w:cs="方正魏碑_GBK"/>
                <w:color w:val="000000"/>
                <w:sz w:val="24"/>
                <w:szCs w:val="24"/>
                <w:lang w:val="en-US" w:eastAsia="zh-CN"/>
              </w:rPr>
              <w:t xml:space="preserve">  </w:t>
            </w: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p>
          <w:p>
            <w:pPr>
              <w:jc w:val="center"/>
              <w:spacing w:line="0" w:lineRule="atLeast"/>
              <w:rPr>
                <w:rFonts w:hint="eastAsia" w:ascii="宋体" w:hAnsi="宋体"/>
                <w:sz w:val="24"/>
                <w:szCs w:val="24"/>
              </w:rPr>
            </w:pP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16.5</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2800" w:type="dxa"/>
            <w:vAlign w:val="top"/>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10.56</w:t>
            </w:r>
            <w:r/>
          </w:p>
        </w:tc>
      </w:tr>
      <w:tr>
        <w:trPr/>
        <w:tc>
          <w:tcPr>
            <w:tcW w:w="114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lang w:val="en-US" w:eastAsia="zh-CN"/>
              </w:rPr>
              <w:t xml:space="preserve">3</w:t>
            </w:r>
            <w:r/>
          </w:p>
        </w:tc>
        <w:tc>
          <w:tcPr>
            <w:tcW w:w="2800" w:type="dxa"/>
            <w:vAlign w:val="top"/>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38.36</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lang w:val="en-US" w:eastAsia="zh-CN"/>
              </w:rPr>
              <w:t xml:space="preserve">4</w:t>
            </w:r>
            <w:r/>
          </w:p>
        </w:tc>
        <w:tc>
          <w:tcPr>
            <w:tcW w:w="2800" w:type="dxa"/>
            <w:vAlign w:val="top"/>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270.06</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lang w:val="en-US" w:eastAsia="zh-CN"/>
              </w:rPr>
              <w:t xml:space="preserve">5</w:t>
            </w:r>
            <w:r/>
          </w:p>
        </w:tc>
        <w:tc>
          <w:tcPr>
            <w:tcW w:w="2800" w:type="dxa"/>
            <w:vAlign w:val="top"/>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50.75</w:t>
            </w:r>
            <w:r/>
          </w:p>
        </w:tc>
      </w:tr>
    </w:tbl>
    <w:p>
      <w:pPr>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5.采购需求(简介)：江苏省消防救援总队</w:t>
      </w:r>
      <w:r>
        <w:rPr>
          <w:rFonts w:hint="eastAsia" w:ascii="宋体" w:hAnsi="宋体"/>
          <w:color w:val="000000"/>
          <w:sz w:val="24"/>
          <w:szCs w:val="24"/>
          <w:highlight w:val="none"/>
          <w:lang w:val="en-US" w:eastAsia="zh-CN"/>
        </w:rPr>
        <w:t xml:space="preserve">进行</w:t>
      </w:r>
      <w:r>
        <w:rPr>
          <w:rFonts w:hint="eastAsia" w:ascii="宋体" w:hAnsi="宋体"/>
          <w:color w:val="000000"/>
          <w:sz w:val="24"/>
          <w:szCs w:val="24"/>
          <w:highlight w:val="none"/>
        </w:rPr>
        <w:t xml:space="preserve">全省器材装备采购</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t xml:space="preserve">（详细内容见本招标文件第四章）</w:t>
      </w:r>
      <w:r/>
    </w:p>
    <w:p>
      <w:pPr>
        <w:ind w:firstLine="480"/>
        <w:spacing w:line="400" w:lineRule="exact"/>
        <w:rPr>
          <w:rFonts w:ascii="宋体" w:hAnsi="宋体"/>
          <w:color w:val="000000"/>
          <w:sz w:val="24"/>
          <w:szCs w:val="24"/>
          <w:highlight w:val="yellow"/>
          <w:u w:val="single"/>
        </w:rPr>
      </w:pPr>
      <w:r>
        <w:rPr>
          <w:rFonts w:hint="eastAsia" w:ascii="宋体" w:hAnsi="宋体"/>
          <w:color w:val="000000"/>
          <w:sz w:val="24"/>
          <w:szCs w:val="24"/>
          <w:highlight w:val="none"/>
        </w:rPr>
        <w:t xml:space="preserve">6.合同履行期限：</w:t>
      </w:r>
      <w:r>
        <w:rPr>
          <w:rFonts w:ascii="宋体" w:hAnsi="宋体" w:eastAsia="宋体" w:cs="Times New Roman"/>
          <w:color w:val="000000"/>
          <w:sz w:val="24"/>
          <w:szCs w:val="24"/>
          <w:highlight w:val="none"/>
        </w:rPr>
        <w:t xml:space="preserve">签订合同后60日内将货物送达指定地点。</w:t>
      </w:r>
      <w:r/>
    </w:p>
    <w:p>
      <w:pPr>
        <w:ind w:firstLine="496"/>
        <w:keepLines/>
        <w:keepNext/>
        <w:spacing w:before="156" w:after="156" w:line="360" w:lineRule="auto"/>
        <w:rPr>
          <w:rFonts w:ascii="Times New Roman" w:hAnsi="Times New Roman"/>
          <w:b/>
          <w:bCs/>
          <w:color w:val="000000"/>
          <w:sz w:val="32"/>
          <w:szCs w:val="32"/>
        </w:rPr>
        <w:outlineLvl w:val="2"/>
      </w:pPr>
      <w:r/>
      <w:bookmarkStart w:id="12" w:name="_Toc35393791"/>
      <w:r/>
      <w:bookmarkStart w:id="13" w:name="_Toc28359080"/>
      <w:r/>
      <w:bookmarkStart w:id="14" w:name="_Toc38985264"/>
      <w:r/>
      <w:bookmarkStart w:id="15" w:name="_Toc35393622"/>
      <w:r/>
      <w:bookmarkStart w:id="16" w:name="_Toc28359003"/>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35393623"/>
      <w:r/>
      <w:bookmarkStart w:id="18" w:name="_Toc35393792"/>
      <w:r/>
      <w:bookmarkStart w:id="19" w:name="_Toc28359004"/>
      <w:r/>
      <w:bookmarkStart w:id="20" w:name="_Toc28359081"/>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b w:val="0"/>
          <w:bCs w:val="0"/>
          <w:color w:val="000000"/>
          <w:sz w:val="24"/>
          <w:szCs w:val="24"/>
          <w:highlight w:val="none"/>
        </w:rPr>
        <w:t xml:space="preserve">投标人参加本次政府采购活动前3年内无涉及行贿等重大违法案件</w:t>
      </w:r>
      <w:r>
        <w:rPr>
          <w:rFonts w:hint="eastAsia" w:ascii="宋体" w:hAnsi="宋体" w:eastAsia="宋体" w:cs="Times New Roman"/>
          <w:b w:val="0"/>
          <w:bCs w:val="0"/>
          <w:color w:val="000000"/>
          <w:sz w:val="24"/>
          <w:szCs w:val="24"/>
          <w:highlight w:val="none"/>
          <w:lang w:val="en-US" w:eastAsia="zh-CN"/>
        </w:rPr>
        <w:t xml:space="preserve">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3.落实政府采购政策需满足的资格要求：本项目采购包</w:t>
      </w:r>
      <w:r>
        <w:rPr>
          <w:rFonts w:hint="eastAsia" w:ascii="宋体" w:hAnsi="宋体"/>
          <w:sz w:val="24"/>
          <w:szCs w:val="24"/>
          <w:lang w:val="en-US" w:eastAsia="zh-CN"/>
        </w:rPr>
        <w:t xml:space="preserve">号1、4、5</w:t>
      </w:r>
      <w:r>
        <w:rPr>
          <w:rFonts w:hint="eastAsia" w:ascii="宋体" w:hAnsi="宋体"/>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19"/>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2967"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r>
      <w:tr>
        <w:trPr/>
        <w:tc>
          <w:tcPr>
            <w:tcW w:w="114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3</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r>
        <w:trPr/>
        <w:tc>
          <w:tcPr>
            <w:tcW w:w="1148" w:type="dxa"/>
            <w:vAlign w:val="top"/>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r>
        <w:trPr/>
        <w:tc>
          <w:tcPr>
            <w:tcW w:w="1148" w:type="dxa"/>
            <w:vAlign w:val="top"/>
            <w:textDirection w:val="lrTb"/>
            <w:noWrap w:val="false"/>
          </w:tcPr>
          <w:p>
            <w:pPr>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5</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2967"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ind w:firstLine="560"/>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p>
    <w:tbl>
      <w:tblPr>
        <w:tblStyle w:val="719"/>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采购</w:t>
            </w:r>
            <w:r/>
          </w:p>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包号</w:t>
            </w:r>
            <w:r/>
          </w:p>
        </w:tc>
        <w:tc>
          <w:tcPr>
            <w:tcW w:w="592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特定</w:t>
            </w:r>
            <w:r>
              <w:rPr>
                <w:rFonts w:ascii="宋体" w:hAnsi="宋体"/>
                <w:sz w:val="24"/>
                <w:szCs w:val="24"/>
                <w:highlight w:val="none"/>
              </w:rPr>
              <w:t xml:space="preserve">资格要求</w:t>
            </w:r>
            <w:r/>
          </w:p>
        </w:tc>
      </w:tr>
      <w:tr>
        <w:trPr/>
        <w:tc>
          <w:tcPr>
            <w:tcW w:w="1148"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5921" w:type="dxa"/>
            <w:vAlign w:val="top"/>
            <w:textDirection w:val="lrTb"/>
            <w:noWrap w:val="false"/>
          </w:tcPr>
          <w:p>
            <w:pPr>
              <w:jc w:val="center"/>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w:t>
            </w:r>
            <w:r/>
          </w:p>
        </w:tc>
      </w:tr>
      <w:tr>
        <w:trPr/>
        <w:tc>
          <w:tcPr>
            <w:tcW w:w="1148"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W w:w="592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w:t>
            </w:r>
            <w:r/>
          </w:p>
        </w:tc>
      </w:tr>
      <w:tr>
        <w:trPr/>
        <w:tc>
          <w:tcPr>
            <w:tcW w:w="1148" w:type="dxa"/>
            <w:vAlign w:val="top"/>
            <w:textDirection w:val="lrTb"/>
            <w:noWrap w:val="false"/>
          </w:tcPr>
          <w:p>
            <w:pPr>
              <w:jc w:val="center"/>
              <w:spacing w:line="40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3</w:t>
            </w:r>
            <w:r/>
          </w:p>
        </w:tc>
        <w:tc>
          <w:tcPr>
            <w:tcW w:w="5921"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r>
      <w:tr>
        <w:trPr/>
        <w:tc>
          <w:tcPr>
            <w:tcW w:w="1148" w:type="dxa"/>
            <w:vAlign w:val="top"/>
            <w:textDirection w:val="lrTb"/>
            <w:noWrap w:val="false"/>
          </w:tcPr>
          <w:p>
            <w:pPr>
              <w:jc w:val="center"/>
              <w:spacing w:line="40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p>
        </w:tc>
        <w:tc>
          <w:tcPr>
            <w:tcW w:w="5921"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r>
      <w:tr>
        <w:trPr/>
        <w:tc>
          <w:tcPr>
            <w:tcW w:w="1148" w:type="dxa"/>
            <w:vAlign w:val="top"/>
            <w:textDirection w:val="lrTb"/>
            <w:noWrap w:val="false"/>
          </w:tcPr>
          <w:p>
            <w:pPr>
              <w:jc w:val="center"/>
              <w:spacing w:line="40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p>
        </w:tc>
        <w:tc>
          <w:tcPr>
            <w:tcW w:w="5921" w:type="dxa"/>
            <w:vAlign w:val="top"/>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r>
    </w:tbl>
    <w:p>
      <w:pPr>
        <w:ind w:firstLine="496"/>
        <w:keepLines/>
        <w:keepNext/>
        <w:spacing w:before="156" w:after="156"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rFonts w:ascii="Times New Roman" w:hAnsi="Times New Roman"/>
          <w:b/>
          <w:bCs/>
          <w:color w:val="000000"/>
          <w:sz w:val="32"/>
          <w:szCs w:val="32"/>
        </w:rPr>
        <w:outlineLvl w:val="2"/>
      </w:pPr>
      <w:r/>
      <w:bookmarkStart w:id="22" w:name="_Toc28359005"/>
      <w:r/>
      <w:bookmarkStart w:id="23" w:name="_Toc28359082"/>
      <w:r/>
      <w:bookmarkStart w:id="24" w:name="_Toc35393624"/>
      <w:r/>
      <w:bookmarkStart w:id="25" w:name="_Toc35393793"/>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5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29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rFonts w:ascii="Times New Roman" w:hAnsi="Times New Roman"/>
          <w:b/>
          <w:bCs/>
          <w:color w:val="000000"/>
          <w:sz w:val="32"/>
          <w:szCs w:val="32"/>
        </w:rPr>
        <w:outlineLvl w:val="2"/>
      </w:pPr>
      <w:r/>
      <w:bookmarkStart w:id="27" w:name="_Toc28359007"/>
      <w:r/>
      <w:bookmarkStart w:id="28" w:name="_Toc35393794"/>
      <w:r/>
      <w:bookmarkStart w:id="29" w:name="_Toc28359084"/>
      <w:r/>
      <w:bookmarkStart w:id="30" w:name="_Toc38985267"/>
      <w:r/>
      <w:bookmarkStart w:id="31" w:name="_Toc35393625"/>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6"/>
        <w:keepLines/>
        <w:keepNext/>
        <w:spacing w:before="156" w:after="156" w:line="400" w:lineRule="exact"/>
        <w:rPr>
          <w:rFonts w:ascii="Times New Roman" w:hAnsi="Times New Roman"/>
          <w:b/>
          <w:bCs/>
          <w:color w:val="000000"/>
          <w:sz w:val="32"/>
          <w:szCs w:val="32"/>
        </w:rPr>
        <w:outlineLvl w:val="2"/>
      </w:pPr>
      <w:r/>
      <w:bookmarkStart w:id="32" w:name="_Toc35393795"/>
      <w:r/>
      <w:bookmarkStart w:id="33" w:name="_Toc35393626"/>
      <w:r/>
      <w:bookmarkStart w:id="34" w:name="_Toc38985268"/>
      <w:r>
        <w:rPr>
          <w:rFonts w:hint="eastAsia" w:ascii="Times New Roman" w:hAnsi="Times New Roman"/>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rFonts w:ascii="Times New Roman" w:hAnsi="Times New Roman"/>
          <w:b/>
          <w:bCs/>
          <w:color w:val="000000"/>
          <w:sz w:val="32"/>
          <w:szCs w:val="32"/>
        </w:rPr>
        <w:outlineLvl w:val="2"/>
      </w:pPr>
      <w:r/>
      <w:bookmarkStart w:id="35" w:name="_Toc28359008"/>
      <w:r/>
      <w:bookmarkStart w:id="36" w:name="_Toc35393627"/>
      <w:r/>
      <w:bookmarkStart w:id="37" w:name="_Toc28359085"/>
      <w:r/>
      <w:bookmarkStart w:id="38" w:name="_Toc35393796"/>
      <w:r/>
      <w:bookmarkStart w:id="39" w:name="_Toc38985269"/>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rPr>
        <w:t xml:space="preserve">　　</w:t>
      </w:r>
      <w:r>
        <w:rPr>
          <w:rFonts w:hint="eastAsia" w:ascii="宋体" w:hAnsi="宋体" w:cs="宋体"/>
          <w:color w:val="000000"/>
          <w:sz w:val="24"/>
          <w:szCs w:val="24"/>
          <w:highlight w:val="none"/>
        </w:rPr>
        <w:t xml:space="preserve">1.采购人信息</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江苏省消防救援总队</w:t>
      </w:r>
      <w:r>
        <w:rPr>
          <w:rFonts w:hint="eastAsia" w:ascii="宋体" w:hAnsi="宋体"/>
          <w:color w:val="000000"/>
          <w:sz w:val="24"/>
          <w:szCs w:val="24"/>
          <w:highlight w:val="none"/>
          <w:u w:val="single"/>
        </w:rPr>
        <w:t xml:space="preserve">　</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t xml:space="preserve">南京市鼓楼区月光广场6号</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p>
    <w:p>
      <w:pPr>
        <w:ind w:firstLine="480"/>
        <w:jc w:val="left"/>
        <w:spacing w:line="400" w:lineRule="exact"/>
        <w:rPr>
          <w:rFonts w:hint="eastAsia" w:ascii="宋体" w:hAnsi="宋体" w:eastAsia="宋体" w:cs="Times New Roman"/>
          <w:color w:val="000000"/>
          <w:sz w:val="24"/>
          <w:szCs w:val="24"/>
          <w:highlight w:val="none"/>
          <w:u w:val="singl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周</w:t>
      </w:r>
      <w:r>
        <w:rPr>
          <w:rFonts w:ascii="宋体" w:hAnsi="宋体" w:eastAsia="宋体" w:cs="Times New Roman"/>
          <w:color w:val="000000"/>
          <w:sz w:val="24"/>
          <w:szCs w:val="24"/>
          <w:highlight w:val="none"/>
          <w:u w:val="single"/>
          <w:lang w:val="en-US" w:eastAsia="zh-CN"/>
        </w:rPr>
        <w:t xml:space="preserve">工</w:t>
      </w:r>
      <w:r>
        <w:rPr>
          <w:rFonts w:hint="eastAsia" w:ascii="宋体" w:hAnsi="宋体" w:eastAsia="宋体" w:cs="Times New Roman"/>
          <w:color w:val="000000"/>
          <w:sz w:val="24"/>
          <w:szCs w:val="24"/>
          <w:highlight w:val="none"/>
          <w:u w:val="single"/>
          <w:lang w:val="en-US" w:eastAsia="zh-CN"/>
        </w:rPr>
        <w:t xml:space="preserve">           </w:t>
      </w:r>
      <w:r/>
    </w:p>
    <w:p>
      <w:pPr>
        <w:ind w:firstLine="480"/>
        <w:jc w:val="left"/>
        <w:spacing w:line="400" w:lineRule="exact"/>
        <w:rPr>
          <w:rFonts w:hint="eastAsia" w:ascii="宋体" w:hAnsi="宋体" w:eastAsia="宋体" w:cs="Times New Roman"/>
          <w:color w:val="000000"/>
          <w:sz w:val="24"/>
          <w:szCs w:val="24"/>
          <w:highlight w:val="none"/>
          <w:u w:val="single"/>
          <w:lang w:val="en-US" w:eastAsia="zh-CN"/>
        </w:rPr>
      </w:pPr>
      <w:r>
        <w:rPr>
          <w:rFonts w:hint="eastAsia" w:ascii="宋体" w:hAnsi="宋体" w:eastAsia="宋体" w:cs="Times New Roman"/>
          <w:color w:val="000000"/>
          <w:sz w:val="24"/>
          <w:szCs w:val="24"/>
          <w:highlight w:val="none"/>
          <w:u w:val="none"/>
          <w:lang w:val="en-US" w:eastAsia="zh-CN"/>
        </w:rPr>
        <w:t xml:space="preserve">联系方式：</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t xml:space="preserve">025-86335357</w:t>
      </w:r>
      <w:r>
        <w:rPr>
          <w:rFonts w:hint="eastAsia" w:ascii="宋体" w:hAnsi="宋体" w:eastAsia="宋体" w:cs="Times New Roman"/>
          <w:color w:val="000000"/>
          <w:sz w:val="24"/>
          <w:szCs w:val="24"/>
          <w:highlight w:val="none"/>
          <w:u w:val="single"/>
          <w:lang w:val="en-US" w:eastAsia="zh-CN"/>
        </w:rPr>
        <w:t xml:space="preserve"> </w:t>
      </w:r>
      <w:bookmarkStart w:id="40" w:name="_Toc28359086"/>
      <w:r/>
      <w:bookmarkStart w:id="41" w:name="_Toc28359009"/>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
    </w:p>
    <w:p>
      <w:pPr>
        <w:ind w:firstLine="480"/>
        <w:jc w:val="left"/>
        <w:spacing w:line="500" w:lineRule="exact"/>
        <w:rPr>
          <w:rFonts w:ascii="宋体" w:hAnsi="宋体"/>
          <w:sz w:val="24"/>
          <w:szCs w:val="24"/>
          <w:u w:val="single"/>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p>
    <w:p>
      <w:pPr>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p>
    <w:p>
      <w:pPr>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bookmarkEnd w:id="42"/>
      <w:r/>
      <w:bookmarkEnd w:id="43"/>
      <w:r/>
      <w:r/>
    </w:p>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keepLines w:val="0"/>
        <w:keepNext w:val="0"/>
        <w:pageBreakBefore w:val="0"/>
        <w:spacing w:line="400" w:lineRule="exact"/>
        <w:widowControl w:val="off"/>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p>
    <w:p>
      <w:pPr>
        <w:ind w:firstLine="480"/>
        <w:keepLines w:val="0"/>
        <w:keepNext w:val="0"/>
        <w:pageBreakBefore w:val="0"/>
        <w:spacing w:line="400" w:lineRule="exact"/>
        <w:widowControl w:val="off"/>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keepLines w:val="0"/>
        <w:keepNext w:val="0"/>
        <w:pageBreakBefore w:val="0"/>
        <w:spacing w:line="400" w:lineRule="exact"/>
        <w:widowControl w:val="off"/>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6"/>
        <w:keepLines/>
        <w:keepNext/>
        <w:spacing w:before="156" w:after="156" w:line="400" w:lineRule="exact"/>
        <w:rPr>
          <w:rFonts w:hint="eastAsia" w:ascii="Times New Roman" w:hAnsi="Times New Roman"/>
          <w:b/>
          <w:bCs/>
          <w:color w:val="000000"/>
          <w:sz w:val="32"/>
          <w:szCs w:val="32"/>
        </w:rPr>
        <w:outlineLvl w:val="2"/>
      </w:pPr>
      <w:r/>
      <w:bookmarkStart w:id="49" w:name="_Toc16938519"/>
      <w:r/>
      <w:bookmarkStart w:id="50" w:name="_Toc20823275"/>
      <w:r/>
      <w:bookmarkStart w:id="51" w:name="_Toc513029203"/>
      <w:r/>
      <w:bookmarkStart w:id="52" w:name="_Toc120614214"/>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8" w:name="_Toc20823277"/>
      <w:r/>
      <w:bookmarkStart w:id="59" w:name="_Toc16938521"/>
      <w:r/>
      <w:bookmarkStart w:id="60" w:name="_Toc513029205"/>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lang w:eastAsia="zh-CN"/>
        </w:rPr>
        <w:outlineLvl w:val="3"/>
      </w:pPr>
      <w:r/>
      <w:bookmarkStart w:id="61" w:name="_Toc16938522"/>
      <w:r/>
      <w:bookmarkStart w:id="62" w:name="_Toc513029206"/>
      <w:r/>
      <w:bookmarkStart w:id="63" w:name="_Toc20823278"/>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lang w:eastAsia="zh-CN"/>
        </w:rPr>
        <w:t xml:space="preserve">和标准</w:t>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4" w:name="_Toc20823279"/>
      <w:r/>
      <w:bookmarkStart w:id="65" w:name="_Toc462564067"/>
      <w:r/>
      <w:bookmarkStart w:id="66" w:name="_Toc16938523"/>
      <w:r/>
      <w:bookmarkStart w:id="67" w:name="_Toc513029207"/>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0"/>
        <w:keepLines/>
        <w:keepNext/>
        <w:spacing w:before="156" w:after="156" w:line="400" w:lineRule="exact"/>
        <w:rPr>
          <w:rFonts w:hint="eastAsia" w:ascii="Times New Roman" w:hAnsi="Times New Roman"/>
          <w:b/>
          <w:bCs/>
          <w:color w:val="000000"/>
          <w:sz w:val="32"/>
          <w:szCs w:val="32"/>
        </w:rPr>
        <w:outlineLvl w:val="2"/>
      </w:pPr>
      <w:r/>
      <w:bookmarkStart w:id="68" w:name="_Toc20823281"/>
      <w:r/>
      <w:bookmarkStart w:id="69" w:name="_Toc120614215"/>
      <w:r/>
      <w:bookmarkStart w:id="70" w:name="_Toc16938525"/>
      <w:r/>
      <w:bookmarkStart w:id="71" w:name="_Toc513029209"/>
      <w:r>
        <w:rPr>
          <w:rFonts w:hint="eastAsia" w:ascii="Times New Roman" w:hAnsi="Times New Roman"/>
          <w:b/>
          <w:bCs/>
          <w:color w:val="000000"/>
          <w:sz w:val="32"/>
          <w:szCs w:val="32"/>
        </w:rPr>
        <w:t xml:space="preserve">二、招标文件</w:t>
      </w:r>
      <w:bookmarkEnd w:id="68"/>
      <w:r/>
      <w:bookmarkEnd w:id="69"/>
      <w:r/>
      <w:bookmarkEnd w:id="70"/>
      <w:r/>
      <w:bookmarkEnd w:id="71"/>
      <w:r/>
      <w:r/>
    </w:p>
    <w:p>
      <w:pPr>
        <w:ind w:firstLine="420"/>
        <w:keepLines/>
        <w:keepNext/>
        <w:spacing w:line="400" w:lineRule="exact"/>
        <w:rPr>
          <w:rFonts w:hint="eastAsia" w:ascii="Arial" w:hAnsi="Arial" w:eastAsia="黑体" w:cs="Arial"/>
          <w:color w:val="000000"/>
          <w:sz w:val="28"/>
          <w:szCs w:val="28"/>
        </w:rPr>
        <w:outlineLvl w:val="3"/>
      </w:pPr>
      <w:r/>
      <w:bookmarkStart w:id="72" w:name="_Toc513029210"/>
      <w:r/>
      <w:bookmarkStart w:id="73" w:name="_Toc16938526"/>
      <w:r/>
      <w:bookmarkStart w:id="74" w:name="_Toc20823282"/>
      <w:r>
        <w:rPr>
          <w:rFonts w:hint="eastAsia" w:ascii="Arial" w:hAnsi="Arial" w:eastAsia="黑体" w:cs="Arial"/>
          <w:color w:val="000000"/>
          <w:sz w:val="28"/>
          <w:szCs w:val="28"/>
        </w:rPr>
        <w:t xml:space="preserve">6、招标文件构成</w:t>
      </w:r>
      <w:bookmarkEnd w:id="72"/>
      <w:r/>
      <w:bookmarkEnd w:id="73"/>
      <w:r/>
      <w:bookmarkEnd w:id="7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5" w:name="_Toc20823284"/>
      <w:r/>
      <w:bookmarkStart w:id="76" w:name="_Toc513029212"/>
      <w:r/>
      <w:bookmarkStart w:id="77" w:name="_Toc462564071"/>
      <w:r/>
      <w:bookmarkStart w:id="78"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79" w:name="_Toc20823285"/>
      <w:r/>
      <w:bookmarkStart w:id="80" w:name="_Toc120614216"/>
      <w:r/>
      <w:bookmarkStart w:id="81" w:name="_Toc513029213"/>
      <w:r/>
      <w:bookmarkStart w:id="82" w:name="_Toc16938529"/>
      <w:r/>
      <w:bookmarkStart w:id="83" w:name="_Toc462564072"/>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
    </w:p>
    <w:p>
      <w:pPr>
        <w:ind w:firstLine="560"/>
        <w:keepLines/>
        <w:keepNext/>
        <w:spacing w:line="400" w:lineRule="exact"/>
        <w:rPr>
          <w:rFonts w:hint="eastAsia" w:ascii="Arial" w:hAnsi="Arial" w:eastAsia="黑体" w:cs="Arial"/>
          <w:b/>
          <w:color w:val="000000"/>
          <w:sz w:val="28"/>
          <w:szCs w:val="28"/>
        </w:rPr>
        <w:outlineLvl w:val="3"/>
      </w:pPr>
      <w:r/>
      <w:bookmarkStart w:id="84" w:name="_Toc16938530"/>
      <w:r/>
      <w:bookmarkStart w:id="85" w:name="_Toc462564073"/>
      <w:r/>
      <w:bookmarkStart w:id="86" w:name="_Toc20823286"/>
      <w:r/>
      <w:bookmarkStart w:id="87"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8" w:name="_Toc462564074"/>
      <w:r/>
      <w:bookmarkStart w:id="89" w:name="_Toc20823287"/>
      <w:r/>
      <w:bookmarkStart w:id="90" w:name="_Toc16938531"/>
      <w:r/>
      <w:bookmarkStart w:id="91"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2" w:name="_Hlt26668975"/>
      <w:r/>
      <w:bookmarkEnd w:id="92"/>
      <w:r/>
      <w:bookmarkStart w:id="93" w:name="_Hlt26954838"/>
      <w:r/>
      <w:bookmarkEnd w:id="93"/>
      <w:r/>
      <w:bookmarkStart w:id="94" w:name="_Hlt26670360"/>
      <w:r/>
      <w:bookmarkEnd w:id="94"/>
      <w:r/>
      <w:bookmarkStart w:id="95" w:name="_Toc14577357"/>
      <w:r/>
      <w:bookmarkStart w:id="96" w:name="_Toc513029219"/>
      <w:r/>
      <w:bookmarkStart w:id="97" w:name="_Toc49090509"/>
      <w:r/>
      <w:bookmarkStart w:id="98" w:name="_Toc49090507"/>
      <w:r/>
      <w:bookmarkStart w:id="99" w:name="_Toc14577354"/>
      <w:r/>
      <w:bookmarkStart w:id="100" w:name="_Toc513029216"/>
      <w:r/>
      <w:bookmarkStart w:id="101" w:name="_Toc49090508"/>
      <w:r/>
      <w:bookmarkStart w:id="102"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1"/>
      <w:r/>
      <w:bookmarkEnd w:id="102"/>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5" w:name="_Hlt26954846"/>
      <w:r/>
      <w:bookmarkEnd w:id="105"/>
      <w:r/>
      <w:bookmarkStart w:id="106" w:name="_Hlt26954848"/>
      <w:r/>
      <w:bookmarkEnd w:id="106"/>
      <w:r/>
      <w:bookmarkStart w:id="107" w:name="_Hlt26670486"/>
      <w:r/>
      <w:bookmarkEnd w:id="107"/>
      <w:r/>
      <w:bookmarkStart w:id="108" w:name="_Hlt26954731"/>
      <w:r/>
      <w:bookmarkEnd w:id="108"/>
      <w:r/>
      <w:bookmarkStart w:id="109" w:name="_Hlt26670482"/>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spacing w:line="400" w:lineRule="exact"/>
        <w:rPr>
          <w:rFonts w:hint="eastAsia" w:ascii="Arial" w:hAnsi="Arial" w:eastAsia="黑体" w:cs="Arial"/>
          <w:color w:val="000000"/>
          <w:sz w:val="28"/>
          <w:szCs w:val="28"/>
        </w:rPr>
        <w:outlineLvl w:val="3"/>
      </w:pPr>
      <w:r/>
      <w:bookmarkStart w:id="112" w:name="_Toc14577360"/>
      <w:r/>
      <w:bookmarkStart w:id="113"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ascii="Times New Roman" w:hAnsi="Times New Roman"/>
          <w:b/>
          <w:bCs/>
          <w:color w:val="000000"/>
          <w:sz w:val="32"/>
          <w:szCs w:val="32"/>
        </w:rPr>
        <w:outlineLvl w:val="2"/>
      </w:pPr>
      <w:r/>
      <w:bookmarkStart w:id="114" w:name="_Hlt26954852"/>
      <w:r/>
      <w:bookmarkEnd w:id="114"/>
      <w:r/>
      <w:bookmarkStart w:id="115" w:name="_Hlt26954739"/>
      <w:r/>
      <w:bookmarkEnd w:id="115"/>
      <w:r/>
      <w:bookmarkStart w:id="116" w:name="_Toc513029224"/>
      <w:r/>
      <w:bookmarkStart w:id="117" w:name="_Toc16938540"/>
      <w:r/>
      <w:bookmarkStart w:id="118" w:name="_Toc120614217"/>
      <w:r/>
      <w:bookmarkStart w:id="119" w:name="_Toc20823296"/>
      <w:r>
        <w:rPr>
          <w:rFonts w:hint="eastAsia" w:ascii="Times New Roman" w:hAnsi="Times New Roman"/>
          <w:b/>
          <w:bCs/>
          <w:color w:val="000000"/>
          <w:sz w:val="32"/>
          <w:szCs w:val="32"/>
        </w:rPr>
        <w:t xml:space="preserve">四、投标文件的递交</w:t>
      </w:r>
      <w:bookmarkEnd w:id="116"/>
      <w:r/>
      <w:bookmarkEnd w:id="117"/>
      <w:r/>
      <w:bookmarkEnd w:id="118"/>
      <w:r/>
      <w:bookmarkEnd w:id="119"/>
      <w:r/>
      <w:r/>
    </w:p>
    <w:p>
      <w:pPr>
        <w:ind w:firstLine="420"/>
        <w:keepLines/>
        <w:keepNext/>
        <w:spacing w:line="400" w:lineRule="exact"/>
        <w:rPr>
          <w:rFonts w:hint="eastAsia" w:ascii="黑体" w:hAnsi="Arial" w:eastAsia="黑体" w:cs="Arial"/>
          <w:color w:val="000000"/>
          <w:sz w:val="28"/>
          <w:szCs w:val="28"/>
        </w:rPr>
        <w:outlineLvl w:val="3"/>
      </w:pPr>
      <w:r/>
      <w:bookmarkStart w:id="120" w:name="_Toc20823297"/>
      <w:r/>
      <w:bookmarkStart w:id="121" w:name="_Toc513029225"/>
      <w:r/>
      <w:bookmarkStart w:id="122" w:name="_Toc16938541"/>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513029226"/>
      <w:r/>
      <w:bookmarkStart w:id="125" w:name="_Toc20823298"/>
      <w:r/>
      <w:bookmarkStart w:id="126" w:name="_Toc16938542"/>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7" w:name="_Toc20823299"/>
      <w:r/>
      <w:bookmarkStart w:id="128" w:name="_Toc16938543"/>
      <w:r/>
      <w:bookmarkStart w:id="129"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30" w:name="_Toc16938544"/>
      <w:r/>
      <w:bookmarkStart w:id="131" w:name="_Toc20823300"/>
      <w:r/>
      <w:bookmarkStart w:id="132"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33" w:name="_Toc16938545"/>
      <w:r/>
      <w:bookmarkStart w:id="134" w:name="_Toc513029229"/>
      <w:r/>
      <w:bookmarkStart w:id="135" w:name="_Toc20823301"/>
      <w:r/>
      <w:bookmarkStart w:id="136" w:name="_Toc120614218"/>
      <w:r>
        <w:rPr>
          <w:rFonts w:hint="eastAsia" w:ascii="Times New Roman" w:hAnsi="Times New Roman"/>
          <w:b/>
          <w:bCs/>
          <w:color w:val="000000"/>
          <w:sz w:val="32"/>
          <w:szCs w:val="32"/>
        </w:rPr>
        <w:t xml:space="preserve">五、开标与评标</w:t>
      </w:r>
      <w:bookmarkEnd w:id="133"/>
      <w:r/>
      <w:bookmarkEnd w:id="134"/>
      <w:r/>
      <w:bookmarkEnd w:id="135"/>
      <w:r/>
      <w:bookmarkEnd w:id="136"/>
      <w:r/>
      <w:r/>
    </w:p>
    <w:p>
      <w:pPr>
        <w:ind w:firstLine="420"/>
        <w:keepLines/>
        <w:keepNext/>
        <w:spacing w:line="400" w:lineRule="exact"/>
        <w:rPr>
          <w:rFonts w:hint="eastAsia" w:ascii="Arial" w:hAnsi="Arial" w:eastAsia="黑体" w:cs="Arial"/>
          <w:color w:val="000000"/>
          <w:sz w:val="28"/>
          <w:szCs w:val="28"/>
        </w:rPr>
        <w:outlineLvl w:val="3"/>
      </w:pPr>
      <w:r/>
      <w:bookmarkStart w:id="137" w:name="_Toc20823302"/>
      <w:r/>
      <w:bookmarkStart w:id="138" w:name="_Toc513029230"/>
      <w:r/>
      <w:bookmarkStart w:id="139"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
    </w:p>
    <w:p>
      <w:pPr>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40" w:name="_Toc16938547"/>
      <w:r/>
      <w:bookmarkStart w:id="141" w:name="_Toc513029231"/>
      <w:r/>
      <w:bookmarkStart w:id="14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0"/>
      <w:r/>
      <w:bookmarkEnd w:id="141"/>
      <w:r/>
      <w:bookmarkEnd w:id="142"/>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3" w:name="_Toc20823304"/>
      <w:r/>
      <w:bookmarkStart w:id="144" w:name="_Toc513029232"/>
      <w:r/>
      <w:bookmarkStart w:id="145"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
    </w:p>
    <w:p>
      <w:pPr>
        <w:ind w:firstLine="480"/>
        <w:spacing w:line="400" w:lineRule="exact"/>
        <w:rPr>
          <w:rFonts w:ascii="宋体" w:hAnsi="宋体"/>
          <w:color w:val="000000"/>
          <w:sz w:val="24"/>
          <w:szCs w:val="24"/>
        </w:rPr>
      </w:pPr>
      <w:r/>
      <w:bookmarkStart w:id="146" w:name="_Toc513029233"/>
      <w:r/>
      <w:bookmarkStart w:id="147" w:name="_Toc20823305"/>
      <w:r/>
      <w:bookmarkStart w:id="14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20823306"/>
      <w:r/>
      <w:bookmarkStart w:id="150" w:name="_Toc513029234"/>
      <w:r/>
      <w:bookmarkStart w:id="151"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 异常低价投标审查</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（1）投标报价低于全部通过符合性审查供应商投标报价平均值</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的，即投标报价&lt;全部通过符合性审查供应商投标报价平均值×</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w:t>
      </w:r>
      <w:r/>
    </w:p>
    <w:p>
      <w:pPr>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（2）投标报价低于通过符合性审查的次低报价供应商投标报价</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的，即投标报价&lt;通过符合性审查的次低报价供应商投标报价×</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w:t>
      </w:r>
      <w:r/>
    </w:p>
    <w:p>
      <w:pPr>
        <w:ind w:firstLine="420"/>
        <w:spacing w:line="400" w:lineRule="exact"/>
        <w:rPr>
          <w:rFonts w:hint="eastAsia" w:ascii="方正魏碑_GBK" w:hAnsi="方正魏碑_GBK" w:eastAsia="方正魏碑_GBK" w:cs="方正魏碑_GBK"/>
          <w:color w:val="000000"/>
          <w:sz w:val="24"/>
          <w:szCs w:val="21"/>
          <w:lang w:eastAsia="zh-CN"/>
        </w:rPr>
      </w:pP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val="en-US" w:eastAsia="zh-CN"/>
        </w:rPr>
        <w:t xml:space="preserve">3</w:t>
      </w:r>
      <w:r>
        <w:rPr>
          <w:rFonts w:hint="eastAsia" w:ascii="方正魏碑_GBK" w:hAnsi="方正魏碑_GBK" w:eastAsia="方正魏碑_GBK" w:cs="方正魏碑_GBK"/>
          <w:color w:val="000000"/>
          <w:sz w:val="24"/>
          <w:szCs w:val="21"/>
          <w:lang w:eastAsia="zh-CN"/>
        </w:rPr>
        <w:t xml:space="preserve">）投标报价低于采购项目最高限价</w:t>
      </w:r>
      <w:r>
        <w:rPr>
          <w:rFonts w:hint="eastAsia" w:ascii="方正魏碑_GBK" w:hAnsi="方正魏碑_GBK" w:eastAsia="方正魏碑_GBK" w:cs="方正魏碑_GBK"/>
          <w:color w:val="000000"/>
          <w:sz w:val="24"/>
          <w:szCs w:val="21"/>
          <w:u w:val="single"/>
          <w:lang w:val="en-US" w:eastAsia="zh-CN"/>
        </w:rPr>
        <w:t xml:space="preserve">6</w:t>
      </w:r>
      <w:r>
        <w:rPr>
          <w:rFonts w:hint="eastAsia" w:ascii="方正魏碑_GBK" w:hAnsi="方正魏碑_GBK" w:eastAsia="方正魏碑_GBK" w:cs="方正魏碑_GBK"/>
          <w:color w:val="000000"/>
          <w:sz w:val="24"/>
          <w:szCs w:val="21"/>
          <w:u w:val="single"/>
          <w:lang w:eastAsia="zh-CN"/>
        </w:rPr>
        <w:t xml:space="preserve">5%</w:t>
      </w:r>
      <w:r>
        <w:rPr>
          <w:rFonts w:hint="eastAsia" w:ascii="方正魏碑_GBK" w:hAnsi="方正魏碑_GBK" w:eastAsia="方正魏碑_GBK" w:cs="方正魏碑_GBK"/>
          <w:color w:val="000000"/>
          <w:sz w:val="24"/>
          <w:szCs w:val="21"/>
          <w:lang w:eastAsia="zh-CN"/>
        </w:rPr>
        <w:t xml:space="preserve">的，即投标报价&lt;采购项目最高限价×</w:t>
      </w:r>
      <w:r>
        <w:rPr>
          <w:rFonts w:hint="eastAsia" w:ascii="方正魏碑_GBK" w:hAnsi="方正魏碑_GBK" w:eastAsia="方正魏碑_GBK" w:cs="方正魏碑_GBK"/>
          <w:color w:val="000000"/>
          <w:sz w:val="24"/>
          <w:szCs w:val="21"/>
          <w:u w:val="single"/>
          <w:lang w:val="en-US" w:eastAsia="zh-CN"/>
        </w:rPr>
        <w:t xml:space="preserve">6</w:t>
      </w:r>
      <w:r>
        <w:rPr>
          <w:rFonts w:hint="eastAsia" w:ascii="方正魏碑_GBK" w:hAnsi="方正魏碑_GBK" w:eastAsia="方正魏碑_GBK" w:cs="方正魏碑_GBK"/>
          <w:color w:val="000000"/>
          <w:sz w:val="24"/>
          <w:szCs w:val="21"/>
          <w:u w:val="single"/>
          <w:lang w:eastAsia="zh-CN"/>
        </w:rPr>
        <w:t xml:space="preserve">5%</w:t>
      </w:r>
      <w:r>
        <w:rPr>
          <w:rFonts w:hint="eastAsia" w:ascii="方正魏碑_GBK" w:hAnsi="方正魏碑_GBK" w:eastAsia="方正魏碑_GBK" w:cs="方正魏碑_GBK"/>
          <w:color w:val="000000"/>
          <w:sz w:val="24"/>
          <w:szCs w:val="21"/>
          <w:lang w:eastAsia="zh-CN"/>
        </w:rPr>
        <w:t xml:space="preserve">；</w:t>
      </w:r>
      <w:r/>
    </w:p>
    <w:p>
      <w:pPr>
        <w:ind w:firstLine="420"/>
        <w:spacing w:line="400" w:lineRule="exact"/>
        <w:rPr>
          <w:rFonts w:hint="eastAsia" w:ascii="宋体" w:hAnsi="宋体"/>
          <w:color w:val="000000"/>
          <w:sz w:val="24"/>
          <w:szCs w:val="24"/>
          <w:highlight w:val="yellow"/>
        </w:rPr>
      </w:pP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eastAsia="zh-CN"/>
        </w:rPr>
        <w:t xml:space="preserve">评标</w:t>
      </w:r>
      <w:r>
        <w:rPr>
          <w:rFonts w:hint="eastAsia" w:ascii="方正魏碑_GBK" w:hAnsi="方正魏碑_GBK" w:eastAsia="方正魏碑_GBK" w:cs="方正魏碑_GBK"/>
          <w:color w:val="000000"/>
          <w:sz w:val="24"/>
          <w:szCs w:val="21"/>
        </w:rPr>
        <w:t xml:space="preserve">委员会基于专业判断，认为供应商报价过低，有可能影响产品质量或者不能诚信履约的其他情形。</w:t>
      </w:r>
      <w:r/>
    </w:p>
    <w:p>
      <w:pPr>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rPr>
        <w:t xml:space="preserve">25.8.2 </w:t>
      </w:r>
      <w:r>
        <w:rPr>
          <w:rFonts w:hint="eastAsia" w:ascii="方正魏碑_GBK" w:hAnsi="方正魏碑_GBK" w:eastAsia="方正魏碑_GBK" w:cs="方正魏碑_GBK"/>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2" w:name="_Toc20823307"/>
      <w:r/>
      <w:bookmarkStart w:id="153" w:name="_Toc513029235"/>
      <w:r/>
      <w:bookmarkStart w:id="154"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p>
    <w:p>
      <w:pPr>
        <w:ind w:left="478"/>
        <w:spacing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8"/>
        <w:spacing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p>
    <w:p>
      <w:pPr>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
    </w:p>
    <w:p>
      <w:pPr>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ascii="Times New Roman" w:hAnsi="宋体" w:cs="宋体"/>
          <w:color w:val="000000"/>
          <w:sz w:val="24"/>
          <w:szCs w:val="24"/>
        </w:rPr>
      </w:r>
      <w:r/>
    </w:p>
    <w:p>
      <w:pPr>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rPr>
        <w:outlineLvl w:val="2"/>
      </w:pPr>
      <w:r/>
      <w:bookmarkStart w:id="160" w:name="_Toc120614220"/>
      <w:r/>
      <w:bookmarkStart w:id="161" w:name="_Toc513029236"/>
      <w:r/>
      <w:bookmarkStart w:id="162" w:name="_Toc16938552"/>
      <w:r/>
      <w:bookmarkStart w:id="163" w:name="_Toc20823308"/>
      <w:r>
        <w:rPr>
          <w:rFonts w:hint="eastAsia" w:ascii="Times New Roman" w:hAnsi="Times New Roman"/>
          <w:b/>
          <w:bCs/>
          <w:color w:val="000000"/>
          <w:sz w:val="32"/>
          <w:szCs w:val="32"/>
        </w:rPr>
        <w:t xml:space="preserve">七、授予合同</w:t>
      </w:r>
      <w:bookmarkEnd w:id="160"/>
      <w:r/>
      <w:bookmarkEnd w:id="161"/>
      <w:r/>
      <w:bookmarkEnd w:id="162"/>
      <w:r/>
      <w:bookmarkEnd w:id="163"/>
      <w:r/>
      <w:r/>
    </w:p>
    <w:p>
      <w:pPr>
        <w:ind w:firstLine="600"/>
        <w:keepLines/>
        <w:keepNext/>
        <w:spacing w:line="400" w:lineRule="exact"/>
        <w:rPr>
          <w:rFonts w:hint="eastAsia" w:ascii="黑体" w:hAnsi="宋体" w:eastAsia="黑体"/>
          <w:bCs/>
          <w:color w:val="000000"/>
          <w:sz w:val="30"/>
          <w:szCs w:val="30"/>
        </w:rPr>
        <w:outlineLvl w:val="3"/>
      </w:pPr>
      <w:r/>
      <w:bookmarkStart w:id="164" w:name="_Toc20823309"/>
      <w:r/>
      <w:bookmarkStart w:id="165" w:name="_Toc513029237"/>
      <w:r/>
      <w:bookmarkStart w:id="166"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r/>
      <w:bookmarkEnd w:id="165"/>
      <w:r/>
      <w:bookmarkEnd w:id="166"/>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Next/>
        <w:rPr>
          <w:rFonts w:ascii="宋体" w:hAnsi="宋体" w:eastAsia="宋体" w:cs="宋体"/>
          <w:b/>
          <w:bCs/>
          <w:spacing w:val="-20"/>
          <w:sz w:val="32"/>
          <w:szCs w:val="32"/>
        </w:rPr>
        <w:outlineLvl w:val="0"/>
      </w:pPr>
      <w:r>
        <w:rPr>
          <w:rFonts w:hint="eastAsia" w:ascii="黑体" w:hAnsi="Times New Roman" w:eastAsia="黑体"/>
          <w:bCs/>
          <w:color w:val="000000"/>
          <w:sz w:val="44"/>
          <w:szCs w:val="28"/>
        </w:rPr>
        <w:br w:type="page" w:clear="all"/>
      </w:r>
      <w:r/>
    </w:p>
    <w:p>
      <w:pPr>
        <w:ind w:left="0" w:right="0" w:firstLine="264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第三章合同文本</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8"/>
          <w:u w:val="single"/>
        </w:rPr>
        <w:t xml:space="preserve">                             </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8"/>
          <w:u w:val="single"/>
        </w:rPr>
        <w:t xml:space="preserve">                             </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8"/>
          <w:u w:val="single"/>
        </w:rPr>
        <w:t xml:space="preserve">                             </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8"/>
          <w:u w:val="single"/>
        </w:rPr>
        <w:t xml:space="preserve">                             </w:t>
      </w:r>
      <w:r/>
    </w:p>
    <w:p>
      <w:pPr>
        <w:ind w:left="42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8"/>
          <w:u w:val="single"/>
        </w:rPr>
        <w:t xml:space="preserve">      </w:t>
      </w:r>
      <w:r>
        <w:rPr>
          <w:rFonts w:ascii="Calibri" w:hAnsi="Calibri" w:eastAsia="Calibri" w:cs="Calibri"/>
          <w:color w:val="000000"/>
          <w:sz w:val="28"/>
          <w:u w:val="single"/>
        </w:rPr>
        <w:t xml:space="preserve">           </w:t>
      </w:r>
      <w:r>
        <w:rPr>
          <w:rFonts w:ascii="宋体" w:hAnsi="宋体" w:eastAsia="宋体" w:cs="宋体"/>
          <w:color w:val="000000"/>
          <w:sz w:val="28"/>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第一节 政府采购合同协议书</w:t>
      </w:r>
      <w:r/>
    </w:p>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420"/>
        <w:spacing w:before="24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numPr>
          <w:ilvl w:val="0"/>
          <w:numId w:val="7"/>
        </w:numPr>
        <w:spacing w:before="24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采购项目名称：</w:t>
      </w:r>
      <w:r>
        <w:rPr>
          <w:rFonts w:ascii="宋体" w:hAnsi="宋体" w:eastAsia="宋体" w:cs="宋体"/>
          <w:color w:val="000000"/>
          <w:sz w:val="21"/>
          <w:u w:val="single"/>
        </w:rPr>
        <w:t xml:space="preserve">                                          </w:t>
      </w:r>
      <w:r/>
    </w:p>
    <w:p>
      <w:pPr>
        <w:ind w:left="0" w:right="0" w:firstLine="0"/>
        <w:spacing w:before="24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采购采购编号：</w:t>
      </w:r>
      <w:r>
        <w:rPr>
          <w:rFonts w:ascii="宋体" w:hAnsi="宋体" w:eastAsia="宋体" w:cs="宋体"/>
          <w:color w:val="000000"/>
          <w:sz w:val="21"/>
          <w:u w:val="single"/>
        </w:rPr>
        <w:t xml:space="preserve">                                          </w:t>
      </w:r>
      <w:r/>
    </w:p>
    <w:p>
      <w:pPr>
        <w:ind w:left="0" w:right="0" w:firstLine="420"/>
        <w:spacing w:before="24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STKaiti" w:hAnsi="STKaiti" w:eastAsia="STKaiti" w:cs="STKaiti"/>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ind w:left="0" w:right="0" w:firstLine="220"/>
        <w:spacing w:before="240" w:after="240"/>
        <w:pBdr>
          <w:top w:val="none" w:color="000000" w:sz="0" w:space="0"/>
          <w:left w:val="none" w:color="000000" w:sz="0" w:space="0"/>
          <w:bottom w:val="none" w:color="000000" w:sz="0" w:space="0"/>
          <w:right w:val="none" w:color="000000" w:sz="0" w:space="0"/>
        </w:pBdr>
      </w:pPr>
      <w:r>
        <w:rPr>
          <w:rFonts w:ascii="STKaiti" w:hAnsi="STKaiti" w:eastAsia="STKaiti" w:cs="STKaiti"/>
          <w:color w:val="000000"/>
          <w:sz w:val="22"/>
        </w:rPr>
        <w:t xml:space="preserve"> （</w:t>
      </w:r>
      <w:r>
        <w:rPr>
          <w:rFonts w:ascii="宋体" w:hAnsi="宋体" w:eastAsia="宋体" w:cs="宋体"/>
          <w:color w:val="000000"/>
          <w:sz w:val="22"/>
        </w:rPr>
        <w:t xml:space="preserve">6</w:t>
      </w:r>
      <w:r>
        <w:rPr>
          <w:rFonts w:ascii="STKaiti" w:hAnsi="STKaiti" w:eastAsia="STKaiti" w:cs="STKaiti"/>
          <w:color w:val="000000"/>
          <w:sz w:val="22"/>
        </w:rPr>
        <w:t xml:space="preserve">）</w:t>
      </w: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（10）是否涉及节能产品：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STKaiti" w:hAnsi="STKaiti" w:eastAsia="STKaiti" w:cs="STKaiti"/>
          <w:color w:val="000000"/>
          <w:sz w:val="21"/>
        </w:rPr>
        <w:t xml:space="preserve">          </w:t>
      </w:r>
      <w:r>
        <w:rPr>
          <w:rFonts w:ascii="宋体" w:hAnsi="宋体" w:eastAsia="宋体" w:cs="宋体"/>
          <w:color w:val="000000"/>
          <w:sz w:val="21"/>
        </w:rPr>
        <w:t xml:space="preserve">是否涉及绿色产品： </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2"/>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þ</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þ</w:t>
      </w:r>
      <w:r>
        <w:rPr>
          <w:rFonts w:ascii="宋体" w:hAnsi="宋体" w:eastAsia="宋体" w:cs="宋体"/>
          <w:color w:val="000000"/>
          <w:sz w:val="21"/>
        </w:rPr>
        <w:t xml:space="preserve">分期付款：</w:t>
      </w:r>
      <w:r>
        <w:rPr>
          <w:rFonts w:ascii="宋体" w:hAnsi="宋体" w:eastAsia="宋体" w:cs="宋体"/>
          <w:color w:val="000000"/>
          <w:sz w:val="21"/>
          <w:u w:val="single"/>
        </w:rPr>
        <w:t xml:space="preserve">  </w:t>
      </w:r>
      <w:r>
        <w:rPr>
          <w:rFonts w:ascii="宋体" w:hAnsi="宋体" w:eastAsia="宋体" w:cs="宋体"/>
          <w:color w:val="000000"/>
          <w:sz w:val="21"/>
        </w:rPr>
        <w:t xml:space="preserve">甲方在收到履约保证金（函）后，</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天内向乙方支付合同总金额</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的价款。乙方按照合同约定交货，并经甲方对合同中所有装备到货验收合格（甲方签署到货验收合格报告）后，凭乙方等额有效发票及甲方签署验收合格报告，甲方在</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天内向乙方支付合同金额</w:t>
      </w:r>
      <w:r>
        <w:rPr>
          <w:rFonts w:ascii="Times New Roman" w:hAnsi="Times New Roman" w:eastAsia="Times New Roman" w:cs="Times New Roman"/>
          <w:color w:val="000000"/>
          <w:sz w:val="21"/>
        </w:rPr>
        <w:t xml:space="preserve">70%</w:t>
      </w:r>
      <w:r>
        <w:rPr>
          <w:rFonts w:ascii="宋体" w:hAnsi="宋体" w:eastAsia="宋体" w:cs="宋体"/>
          <w:color w:val="000000"/>
          <w:sz w:val="21"/>
        </w:rPr>
        <w:t xml:space="preserve">的价款。当采购数量与实际使用数量不一致时，乙方应根据实际使用量供货，合同的最终结算金额按实际使用量乘以成交单价进行计算，其中涉及预付款的：</w:t>
      </w:r>
      <w:r>
        <w:rPr>
          <w:rFonts w:ascii="宋体" w:hAnsi="宋体" w:eastAsia="宋体" w:cs="宋体"/>
          <w:color w:val="000000"/>
          <w:sz w:val="21"/>
          <w:u w:val="single"/>
        </w:rPr>
        <w:t xml:space="preserve"> （应明确预付款的支付比例和支付条件） </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þ</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STKaiti" w:hAnsi="STKaiti" w:eastAsia="STKaiti" w:cs="STKaiti"/>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本合同签订之日起</w:t>
      </w:r>
      <w:r>
        <w:rPr>
          <w:rFonts w:ascii="Times New Roman" w:hAnsi="Times New Roman" w:eastAsia="Times New Roman" w:cs="Times New Roman"/>
          <w:color w:val="000000"/>
          <w:sz w:val="21"/>
        </w:rPr>
        <w:t xml:space="preserve">7</w:t>
      </w:r>
      <w:r>
        <w:rPr>
          <w:rFonts w:ascii="宋体" w:hAnsi="宋体" w:eastAsia="宋体" w:cs="宋体"/>
          <w:color w:val="000000"/>
          <w:sz w:val="21"/>
        </w:rPr>
        <w:t xml:space="preserve">个工作日内，乙方应向甲方缴纳履约保证金（银行转账或金融机构出具的独立保函，该保函需载明：（</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）见索即付；（</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）收到甲方法定代表人或授权委托代理人签字确认并加盖公章的书面索赔通知后即应不争辩、不挑剔、不可撤销地向甲方支付索赔款，直至最高担保金额；（</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）有效期为保函开具之日起至验收合格后一年为止；（</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）担保金额为合同金额的</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。如乙方提供的保函未载明前述内容的，甲方可以拒收该保函，并要求乙方以银行转账的方式提供履约保证金。</w:t>
      </w:r>
      <w:r>
        <w:rPr>
          <w:rFonts w:ascii="宋体" w:hAnsi="宋体" w:eastAsia="宋体" w:cs="宋体"/>
          <w:color w:val="000000"/>
          <w:sz w:val="21"/>
          <w:u w:val="single"/>
        </w:rPr>
        <w:t xml:space="preserve">   </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合同总金额</w:t>
      </w:r>
      <w:r>
        <w:rPr>
          <w:rFonts w:ascii="Times New Roman" w:hAnsi="Times New Roman" w:eastAsia="Times New Roman" w:cs="Times New Roman"/>
          <w:color w:val="000000"/>
          <w:sz w:val="21"/>
        </w:rPr>
        <w:t xml:space="preserve">5% </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自甲方签署到货验收合格后，及时退还履约保证金。</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ff"/>
          <w:sz w:val="21"/>
          <w:u w:val="single"/>
        </w:rPr>
        <w:t xml:space="preserve"> </w:t>
      </w:r>
      <w:r>
        <w:rPr>
          <w:rFonts w:ascii="宋体" w:hAnsi="宋体" w:eastAsia="宋体" w:cs="宋体"/>
          <w:color w:val="000000"/>
          <w:sz w:val="21"/>
          <w:u w:val="single"/>
        </w:rPr>
        <w:t xml:space="preserve">                                               </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合同验收</w:t>
      </w:r>
      <w:r/>
    </w:p>
    <w:p>
      <w:pPr>
        <w:numPr>
          <w:ilvl w:val="0"/>
          <w:numId w:val="8"/>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（9）补充条款：（支队根据实际情况与供货单位签署的售后服务承诺等保障合同履行的内容，但不得偏离合同实质性条款。）</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本合同自甲乙双方法定代表或授权委托代表签字且加盖单位公章后生效。</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肆</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贰</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贰</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rPr>
          <w:rFonts w:ascii="Calibri" w:hAnsi="Calibri" w:eastAsia="Calibri" w:cs="Calibri"/>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tbl>
      <w:tblPr>
        <w:tblStyle w:val="738"/>
        <w:tblW w:w="84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Calibri" w:hAnsi="Calibri" w:eastAsia="Calibri" w:cs="Calibri"/>
                <w:color w:val="000000"/>
                <w:sz w:val="21"/>
              </w:rPr>
              <w:t xml:space="preserve">委托代理人</w:t>
            </w:r>
            <w:r>
              <w:rPr>
                <w:rFonts w:ascii="宋体" w:hAnsi="宋体" w:eastAsia="宋体" w:cs="宋体"/>
                <w:color w:val="000000"/>
                <w:sz w:val="21"/>
              </w:rPr>
              <w:t xml:space="preserve">（签章）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Calibri" w:hAnsi="Calibri" w:eastAsia="Calibri" w:cs="Calibri"/>
                <w:color w:val="000000"/>
                <w:sz w:val="21"/>
              </w:rPr>
              <w:t xml:space="preserve">委托代理人</w:t>
            </w:r>
            <w:r>
              <w:rPr>
                <w:rFonts w:ascii="宋体" w:hAnsi="宋体" w:eastAsia="宋体" w:cs="宋体"/>
                <w:color w:val="000000"/>
                <w:sz w:val="21"/>
              </w:rPr>
              <w:t xml:space="preserve">（签章）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r>
      <w:tr>
        <w:trPr>
          <w:trHeight w:val="483"/>
        </w:trPr>
        <w:tc>
          <w:tcPr>
            <w:tcW w:w="1892" w:type="dxa"/>
            <w:vMerge w:val="continue"/>
            <w:textDirection w:val="lrTb"/>
            <w:noWrap w:val="false"/>
          </w:tcPr>
          <w:p>
            <w:pPr>
              <w:spacing w:after="0" w:line="240" w:lineRule="auto"/>
            </w:pPr>
            <w:r/>
            <w:r/>
          </w:p>
        </w:tc>
        <w:tc>
          <w:tcPr>
            <w:tcW w:w="2413"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联 系 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联 系 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开户名称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开户银行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银行账号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pacing w:val="20"/>
                <w:sz w:val="21"/>
              </w:rPr>
              <w:t xml:space="preserve"> </w:t>
            </w:r>
            <w:r/>
          </w:p>
        </w:tc>
      </w:tr>
      <w:tr>
        <w:trPr>
          <w:trHeight w:val="586"/>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3" w:type="dxa"/>
            <w:vAlign w:val="center"/>
            <w:textDirection w:val="lrTb"/>
            <w:noWrap w:val="false"/>
          </w:tcPr>
          <w:p>
            <w:pPr>
              <w:ind w:left="0" w:right="0" w:firstLine="0"/>
              <w:spacing w:before="156"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ind w:left="0" w:right="0" w:firstLine="0"/>
        <w:spacing w:before="156" w:after="240"/>
        <w:pBdr>
          <w:top w:val="none" w:color="000000" w:sz="0" w:space="0"/>
          <w:left w:val="none" w:color="000000" w:sz="0" w:space="0"/>
          <w:bottom w:val="none" w:color="000000" w:sz="0" w:space="0"/>
          <w:right w:val="none" w:color="000000" w:sz="0" w:space="0"/>
        </w:pBdr>
      </w:pPr>
      <w:r>
        <w:br w:type="page" w:clear="all"/>
      </w:r>
      <w:r/>
    </w:p>
    <w:p>
      <w:pPr>
        <w:ind w:left="0" w:right="0" w:firstLine="0"/>
        <w:spacing w:before="156"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第二节 政府采购合同通用条款</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（3）“货物”系指乙方根据本合同规定须向甲方提供的各种形态和种类的物品，包括原材料、设备、产品（包括软件）及相关的备品备件、工具、手册及其他技术资料和材料等。</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9"/>
        </w:numP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0"/>
        </w:numP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对于满足合同约定支付条件的，甲方原则上应当自甲方在收到履约保证金（函）后，</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天内向乙方支付合同总金额</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的价款。乙方按照合同约定交货，并经甲方对合同中所有装备到货验收合格（甲方签署到货验收合格报告）后，凭乙方等额有效发票及甲方签署验收合格报告，甲方在</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天内向乙方支付合同金额</w:t>
      </w:r>
      <w:r>
        <w:rPr>
          <w:rFonts w:ascii="Times New Roman" w:hAnsi="Times New Roman" w:eastAsia="Times New Roman" w:cs="Times New Roman"/>
          <w:color w:val="000000"/>
          <w:sz w:val="21"/>
        </w:rPr>
        <w:t xml:space="preserve">70%</w:t>
      </w:r>
      <w:r>
        <w:rPr>
          <w:rFonts w:ascii="宋体" w:hAnsi="宋体" w:eastAsia="宋体" w:cs="宋体"/>
          <w:color w:val="000000"/>
          <w:sz w:val="21"/>
        </w:rPr>
        <w:t xml:space="preserve">的价款。当采购数量与实际使用数量不一致时，乙方应根据实际使用量供货，合同的最终结算金额按实际使用量乘以成交单价进行计算.甲方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numPr>
          <w:ilvl w:val="0"/>
          <w:numId w:val="11"/>
        </w:numP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合同变更、中止与终止</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STKaiti" w:hAnsi="STKaiti" w:eastAsia="STKaiti" w:cs="STKaiti"/>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numPr>
          <w:ilvl w:val="0"/>
          <w:numId w:val="12"/>
        </w:numP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合同未尽事项</w:t>
      </w:r>
      <w:r/>
    </w:p>
    <w:p>
      <w:pPr>
        <w:ind w:left="0" w:right="0" w:firstLine="42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38"/>
        <w:tblW w:w="851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r>
        <w:trPr>
          <w:trHeight w:val="667"/>
        </w:trPr>
        <w:tc>
          <w:tcPr>
            <w:tcW w:w="1607" w:type="dxa"/>
            <w:vMerge w:val="continue"/>
            <w:textDirection w:val="lrTb"/>
            <w:noWrap w:val="false"/>
          </w:tcPr>
          <w:p>
            <w:pPr>
              <w:spacing w:after="0" w:line="240" w:lineRule="auto"/>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乙方在投标文件中的承诺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乙方在投标文件中的承诺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乙方在投标文件中的承诺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甲乙双方签订合同时自行约定</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甲方在收到履约保证金（函）后，30</w:t>
            </w:r>
            <w:r>
              <w:rPr>
                <w:rFonts w:ascii="宋体" w:hAnsi="宋体" w:eastAsia="宋体" w:cs="宋体"/>
                <w:color w:val="000000"/>
                <w:sz w:val="21"/>
              </w:rPr>
              <w:t xml:space="preserve">天内向乙方支付合同总金额</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的价款。乙方按照合同约定交货，并经甲方对合同中所有装备到货验收合格（甲方签署到货验收合格报告）后，凭乙方等额有效发票及甲方签署验收合格报告，甲方在</w:t>
            </w:r>
            <w:r>
              <w:rPr>
                <w:rFonts w:ascii="Times New Roman" w:hAnsi="Times New Roman" w:eastAsia="Times New Roman" w:cs="Times New Roman"/>
                <w:color w:val="000000"/>
                <w:sz w:val="21"/>
              </w:rPr>
              <w:t xml:space="preserve">30</w:t>
            </w:r>
            <w:r>
              <w:rPr>
                <w:rFonts w:ascii="宋体" w:hAnsi="宋体" w:eastAsia="宋体" w:cs="宋体"/>
                <w:color w:val="000000"/>
                <w:sz w:val="21"/>
              </w:rPr>
              <w:t xml:space="preserve">天内向乙方支付合同金额</w:t>
            </w:r>
            <w:r>
              <w:rPr>
                <w:rFonts w:ascii="Times New Roman" w:hAnsi="Times New Roman" w:eastAsia="Times New Roman" w:cs="Times New Roman"/>
                <w:color w:val="000000"/>
                <w:sz w:val="21"/>
              </w:rPr>
              <w:t xml:space="preserve">70%</w:t>
            </w:r>
            <w:r>
              <w:rPr>
                <w:rFonts w:ascii="宋体" w:hAnsi="宋体" w:eastAsia="宋体" w:cs="宋体"/>
                <w:color w:val="000000"/>
                <w:sz w:val="21"/>
              </w:rPr>
              <w:t xml:space="preserve">的价款。当采购数量与实际使用数量不一致时，乙方应根据实际使用量供货，合同的最终结算金额按实际使用量乘以成交单价进行计算</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无故不履约</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自甲方签署到货验收合格后，及时退还履约保证金。</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以乙方在投标文件中的承诺为准</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以乙方在投标文件中的承诺为准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以乙方在投标文件中的承诺为准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以乙方在投标文件中的承诺为准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乙方逾期交付货物的，乙方应按逾期交货总额每日万分之五向甲方支付违约金，由甲方从待付货款中扣除</w:t>
            </w:r>
            <w:r>
              <w:rPr>
                <w:rFonts w:ascii="宋体" w:hAnsi="宋体" w:eastAsia="宋体" w:cs="宋体"/>
                <w:color w:val="000000"/>
                <w:sz w:val="21"/>
              </w:rPr>
              <w:t xml:space="preserve">，上限为合同总额的</w:t>
            </w:r>
            <w:r>
              <w:rPr>
                <w:rFonts w:ascii="Calibri" w:hAnsi="Calibri" w:eastAsia="Calibri" w:cs="Calibri"/>
                <w:color w:val="000000"/>
                <w:sz w:val="21"/>
              </w:rPr>
              <w:t xml:space="preserve">30%</w:t>
            </w:r>
            <w:r>
              <w:rPr>
                <w:rFonts w:ascii="Times New Roman" w:hAnsi="Times New Roman" w:eastAsia="Times New Roman" w:cs="Times New Roman"/>
                <w:color w:val="000000"/>
                <w:sz w:val="21"/>
              </w:rPr>
              <w:t xml:space="preserve">。逾期超过约定日期10</w:t>
            </w:r>
            <w:r>
              <w:rPr>
                <w:rFonts w:ascii="宋体" w:hAnsi="宋体" w:eastAsia="宋体" w:cs="宋体"/>
                <w:color w:val="000000"/>
                <w:sz w:val="21"/>
              </w:rPr>
              <w:t xml:space="preserve">个工作日不能交货的，甲方可解除本合同或者起诉。乙方因逾期交货或因其他违约行为导致甲方解除合同的，乙方应向甲方支付合同总值</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的违约金，如造成甲方损失超过违约金的，超出部分由乙方继续承担赔偿责任。</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按逾期付款总额每日万分之五向乙方支付违约金。</w:t>
            </w:r>
            <w:r>
              <w:rPr>
                <w:rFonts w:ascii="宋体" w:hAnsi="宋体" w:eastAsia="宋体" w:cs="宋体"/>
                <w:color w:val="000000"/>
                <w:sz w:val="21"/>
              </w:rPr>
              <w:t xml:space="preserve">上限为合同总额的</w:t>
            </w:r>
            <w:r>
              <w:rPr>
                <w:rFonts w:ascii="Calibri" w:hAnsi="Calibri" w:eastAsia="Calibri" w:cs="Calibri"/>
                <w:color w:val="000000"/>
                <w:sz w:val="21"/>
              </w:rPr>
              <w:t xml:space="preserve">30%</w:t>
            </w:r>
            <w:r>
              <w:rPr>
                <w:rFonts w:ascii="Times New Roman" w:hAnsi="Times New Roman" w:eastAsia="Times New Roman" w:cs="Times New Roman"/>
                <w:color w:val="000000"/>
                <w:sz w:val="21"/>
              </w:rPr>
              <w:t xml:space="preserve">。</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（2）  </w:t>
            </w:r>
            <w:r>
              <w:rPr>
                <w:rFonts w:ascii="宋体" w:hAnsi="宋体" w:eastAsia="宋体" w:cs="宋体"/>
                <w:color w:val="000000"/>
                <w:sz w:val="21"/>
              </w:rPr>
              <w:t xml:space="preserve">种方式解决：</w:t>
            </w:r>
            <w:r/>
          </w:p>
          <w:p>
            <w:pPr>
              <w:ind w:left="0" w:right="0" w:firstLine="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合同附件：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消防装备物资信息采集系统（企业）</w:t>
      </w:r>
      <w:r/>
    </w:p>
    <w:p>
      <w:pPr>
        <w:numPr>
          <w:ilvl w:val="0"/>
          <w:numId w:val="13"/>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系统使用地址</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http://xfzb.119.gov.cn</w:t>
      </w:r>
      <w:r/>
    </w:p>
    <w:p>
      <w:pPr>
        <w:numPr>
          <w:ilvl w:val="0"/>
          <w:numId w:val="13"/>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使用流程</w:t>
      </w:r>
      <w:r/>
    </w:p>
    <w:p>
      <w:pPr>
        <w:ind w:left="0" w:right="0" w:firstLine="0"/>
        <w:jc w:val="both"/>
        <w:spacing w:before="0" w:after="0"/>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5276850" cy="10287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5276849" cy="1028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5pt;height:81.0pt;mso-wrap-distance-left:0.0pt;mso-wrap-distance-top:0.0pt;mso-wrap-distance-right:0.0pt;mso-wrap-distance-bottom:0.0pt;" stroked="false">
                <v:path textboxrect="0,0,0,0"/>
                <v:imagedata r:id="rId13" o:title=""/>
              </v:shape>
            </w:pict>
          </mc:Fallback>
        </mc:AlternateContent>
      </w: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图</w:t>
      </w:r>
      <w:r>
        <w:rPr>
          <w:rFonts w:ascii="Times New Roman" w:hAnsi="Times New Roman" w:eastAsia="Times New Roman" w:cs="Times New Roman"/>
          <w:color w:val="000000"/>
          <w:sz w:val="21"/>
        </w:rPr>
        <w:t xml:space="preserve">1 </w:t>
      </w:r>
      <w:r>
        <w:rPr>
          <w:rFonts w:ascii="宋体" w:hAnsi="宋体" w:eastAsia="宋体" w:cs="宋体"/>
          <w:color w:val="000000"/>
          <w:sz w:val="21"/>
        </w:rPr>
        <w:t xml:space="preserve">企业装备信息采集使用流程图</w:t>
      </w:r>
      <w:r/>
    </w:p>
    <w:p>
      <w:pPr>
        <w:numPr>
          <w:ilvl w:val="0"/>
          <w:numId w:val="14"/>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企业注册</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企业在系统中注册申请系统使用账号，须提供工商营业注册凭证扫描件等基础信息；</w:t>
      </w:r>
      <w:r/>
    </w:p>
    <w:p>
      <w:pPr>
        <w:numPr>
          <w:ilvl w:val="0"/>
          <w:numId w:val="14"/>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企业信息完善</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企业注册审核通过后，登录系统并完善其</w:t>
      </w:r>
      <w:r>
        <w:rPr>
          <w:rFonts w:ascii="Times New Roman" w:hAnsi="Times New Roman" w:eastAsia="Times New Roman" w:cs="Times New Roman"/>
          <w:color w:val="000000"/>
          <w:sz w:val="21"/>
        </w:rPr>
        <w:t xml:space="preserve">GIS</w:t>
      </w:r>
      <w:r>
        <w:rPr>
          <w:rFonts w:ascii="宋体" w:hAnsi="宋体" w:eastAsia="宋体" w:cs="宋体"/>
          <w:color w:val="000000"/>
          <w:sz w:val="21"/>
        </w:rPr>
        <w:t xml:space="preserve">位置信息，售后机构，生产能力等信息。</w:t>
      </w:r>
      <w:r/>
    </w:p>
    <w:p>
      <w:pPr>
        <w:numPr>
          <w:ilvl w:val="0"/>
          <w:numId w:val="14"/>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产品信息录入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各装备企业严格按照装备物资分类及核心参数标准，在系统上填写产品信息。</w:t>
      </w:r>
      <w:r/>
    </w:p>
    <w:p>
      <w:pPr>
        <w:numPr>
          <w:ilvl w:val="0"/>
          <w:numId w:val="14"/>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装备赋码申请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各装备企业按照实际交付需要，申请装备编码，申请通过后，系统自动配发装备编码以及参考二维码。</w:t>
      </w:r>
      <w:r/>
    </w:p>
    <w:p>
      <w:pPr>
        <w:numPr>
          <w:ilvl w:val="0"/>
          <w:numId w:val="14"/>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企业装备赋码</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企业申请编码通过后，按照物联网标签赋码规范安装标签，统一交付队伍。</w:t>
      </w:r>
      <w:r/>
    </w:p>
    <w:p>
      <w:pPr>
        <w:numPr>
          <w:ilvl w:val="0"/>
          <w:numId w:val="14"/>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队伍验收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队伍接收带编码的装备，统一交付验收。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（三）技术支持联系方式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马英虎</w:t>
      </w:r>
      <w:r>
        <w:rPr>
          <w:rFonts w:ascii="Times New Roman" w:hAnsi="Times New Roman" w:eastAsia="Times New Roman" w:cs="Times New Roman"/>
          <w:color w:val="000000"/>
          <w:sz w:val="21"/>
        </w:rPr>
        <w:t xml:space="preserve">  15380884762</w:t>
      </w:r>
      <w:r>
        <w:rPr>
          <w:rFonts w:ascii="宋体" w:hAnsi="宋体" w:eastAsia="宋体" w:cs="宋体"/>
          <w:color w:val="000000"/>
          <w:sz w:val="21"/>
        </w:rPr>
        <w:t xml:space="preserve">； 林凯同 </w:t>
      </w:r>
      <w:r>
        <w:rPr>
          <w:rFonts w:ascii="Times New Roman" w:hAnsi="Times New Roman" w:eastAsia="Times New Roman" w:cs="Times New Roman"/>
          <w:color w:val="000000"/>
          <w:sz w:val="21"/>
        </w:rPr>
        <w:t xml:space="preserve">15032108289</w:t>
      </w:r>
      <w:r/>
    </w:p>
    <w:p>
      <w:pPr>
        <w:ind w:left="0" w:right="0" w:firstLine="0"/>
        <w:spacing w:before="24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二维码符号及</w:t>
      </w:r>
      <w:r>
        <w:rPr>
          <w:rFonts w:ascii="Times New Roman" w:hAnsi="Times New Roman" w:eastAsia="Times New Roman" w:cs="Times New Roman"/>
          <w:color w:val="000000"/>
          <w:sz w:val="21"/>
        </w:rPr>
        <w:t xml:space="preserve">RFID</w:t>
      </w:r>
      <w:r>
        <w:rPr>
          <w:rFonts w:ascii="宋体" w:hAnsi="宋体" w:eastAsia="宋体" w:cs="宋体"/>
          <w:color w:val="000000"/>
          <w:sz w:val="21"/>
        </w:rPr>
        <w:t xml:space="preserve">标签粘贴位置标准及要求</w:t>
      </w:r>
      <w:r/>
    </w:p>
    <w:p>
      <w:pPr>
        <w:ind w:left="0" w:right="0" w:firstLine="0"/>
        <w:spacing w:before="24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二维码符号及</w:t>
      </w:r>
      <w:r>
        <w:rPr>
          <w:rFonts w:ascii="Times New Roman" w:hAnsi="Times New Roman" w:eastAsia="Times New Roman" w:cs="Times New Roman"/>
          <w:color w:val="000000"/>
          <w:sz w:val="21"/>
        </w:rPr>
        <w:t xml:space="preserve">RFID</w:t>
      </w:r>
      <w:r>
        <w:rPr>
          <w:rFonts w:ascii="宋体" w:hAnsi="宋体" w:eastAsia="宋体" w:cs="宋体"/>
          <w:color w:val="000000"/>
          <w:sz w:val="21"/>
        </w:rPr>
        <w:t xml:space="preserve">标签粘贴位置标准及要求待合同签订后再乙方参照甲方的</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二维码符号及</w:t>
      </w:r>
      <w:r>
        <w:rPr>
          <w:rFonts w:ascii="Times New Roman" w:hAnsi="Times New Roman" w:eastAsia="Times New Roman" w:cs="Times New Roman"/>
          <w:color w:val="000000"/>
          <w:sz w:val="21"/>
        </w:rPr>
        <w:t xml:space="preserve">RFID</w:t>
      </w:r>
      <w:r>
        <w:rPr>
          <w:rFonts w:ascii="宋体" w:hAnsi="宋体" w:eastAsia="宋体" w:cs="宋体"/>
          <w:color w:val="000000"/>
          <w:sz w:val="21"/>
        </w:rPr>
        <w:t xml:space="preserve">标签粘贴位置标准</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中的标准要求进行实施。</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一、采购标的清单</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7"/>
        <w:gridCol w:w="747"/>
        <w:gridCol w:w="2612"/>
        <w:gridCol w:w="960"/>
        <w:gridCol w:w="1035"/>
        <w:gridCol w:w="1035"/>
        <w:gridCol w:w="1350"/>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br/>
              <w:t xml:space="preserve">(万元)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br/>
              <w:t xml:space="preserve">(万元)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消防员避火防护服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5" w:type="dxa"/>
              <w:top w:w="15" w:type="dxa"/>
              <w:right w:w="15"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特级化学防护服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1.5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7.5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佩戴式防爆照明灯（2）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0.032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10.56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消防头盔（全盔）（1）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0.048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7.2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工业</w:t>
            </w:r>
            <w:r/>
          </w:p>
        </w:tc>
      </w:tr>
      <w:tr>
        <w:trPr>
          <w:trHeight w:val="39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消防手套（1）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0.012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9.96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消防安全腰带（1）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0.16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3.2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消防员抢险救援头盔（1）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0.03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正压式消防氧气呼吸器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无线复合气体探测仪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12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消防头盔（全盔）（2）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0.42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270.06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工业</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消防头盔（半盔）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0.29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3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50.75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二、政府采购中实施本国产品标准及相关政策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1.本项目对采购本国产品给予政策支持，具体内容见招标文件“第五章 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技术要求是指对采购标的功能和质量要求，包括性能、材料、结构、外观、安全，或者服务内容和标准等。其中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分包1：消防员避火防护服等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消防员避火防护服（核心产品）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采购数量9套，</w:t>
      </w:r>
      <w:r>
        <w:rPr>
          <w:rFonts w:ascii="SimSun" w:hAnsi="SimSun" w:eastAsia="SimSun" w:cs="SimSun"/>
          <w:i/>
          <w:color w:val="000000"/>
          <w:sz w:val="24"/>
          <w:u w:val="single"/>
        </w:rPr>
        <w:t xml:space="preserve">预算单价1万，预算总价9万。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一、基本描述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1、结构组成：上衣、下背带裤、头罩（配置镀金大视窗）、手套和避火靴（内含隔热鞋）。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二、标准规范及检验报告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▲2、提供由国家认可的检测机构出具与所投产品型号一致、完整有效的检验（检测）报告（报告中带有CMA标识）。检测标准依据：符合XF634—2015《消防员隔热防护服》标准。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三、基础性能参数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▲3、消防员避火防护服主要由不少于碳纤维和芳纶混纺外层面料、耐火纤维布、耐火碳纤维毡、防火隔热层、防蒸汽层、隔热层、舒适层等7层材料组成。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阻燃性能（外层性能）：经向损毁长度≤15mm、纬向损毁长度≤15mm，经向续燃时间0s、纬向续燃时间0s，无熔融、滴落现象。断裂强力（外层性能）：经向≥1600N，纬向≥1300N。撕破强力（外层性能）：经向≥50N，纬向≥50N。热稳定性能（外层性能）：经热稳定性能试验后，沿经、纬向尺寸变化率≤1%，且试样表面无变色、脱层、炭化、熔融和滴落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▲5、抗辐射热渗透性能（整体性能）：内表面温升达到 24℃的时间≥65s。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6、阻燃性能（隔热层）：经向损毁长度≤45mm、纬向损毁长度≤45mm，经向续燃时间≤1s、纬向续燃时间≤1s，无熔融、滴落现象。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7、热稳定性能（隔热层）：经热稳定性能试验后，沿经向尺寸变化率≤4%、纬向尺寸变化率≤5%，且试样表面无变色、脱层、炭化、熔融和滴落现象。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▲8、阻燃性能（舒适层）：经向损毁长度≤80mm、纬向损毁长度≤85mm，经向续燃时间 0s、纬向续燃时间 0s，无熔融、滴落现象。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9、断裂强力（舒适层）：经向≥490N，纬向≥310N。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10、耐高温性能（隔热头罩性能）：经180℃高温5min后，隔热头罩无炭化、熔融和滴落现象，视窗无明显变形和损坏现象。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11、视野（隔热头罩性能）：左右水平视野≥105°,上视野≥7°,下视野≥45°。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▲12、视窗透光率（隔热头罩性能）：无色透明视窗透光率≥85%，浅色透明视窗透光率≥20%。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13、硬质附件耐高温性能：硬质附件经260℃高温5min后，能保持其原有的功能。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14、缝纫线耐高温性能：经耐高温性能试验后，缝纫线无熔融、炭化和滴落现象。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▲15、火焰和辐射热防护性能（整体性能）：服装热防护性TPP值≥50cal/cm²。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16、针距密度（整体性能）：明暗线≥9 针/3cm、包缝线≥7 针/3cm。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外观要求：各部位缝制平整，无脱线、跳针现象，表面无裂纹、脱层以及破损等缺陷；各对称部位基本一致；黏合衬没有脱胶以及表面渗胶；标志设置位置应正确，号型标志准确清晰；隔热头罩的视窗无明显擦伤或打毛痕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18、防火、隔热，可承受不低于 1000℃的火焰温度,能防护不低于 1300℃的辐射热。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消防员特级化学防护服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采购数量 ：5套  </w:t>
      </w:r>
      <w:r>
        <w:rPr>
          <w:rFonts w:ascii="SimSun" w:hAnsi="SimSun" w:eastAsia="SimSun" w:cs="SimSun"/>
          <w:i/>
          <w:color w:val="000000"/>
          <w:sz w:val="24"/>
          <w:u w:val="single"/>
        </w:rPr>
        <w:t xml:space="preserve">预算单价1.5万，预算总价7.5万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一、基本描述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1、结构组成：重型防护服、连体双层生化防护手套、手套环专用拆卸工具、通气循环系统、连体靴、阻燃防化手提包、防撞外箱等组成。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2、主要应用场景：专业用于危化事故处理的气密性化学防护服。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二、标准规范及检验报告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▲3、提供由国家认可的检测机构出具与所投产品型号一致、完整有效的检验（检测）报告（报告中带有 CMA 标识）。检测标准依据：符合XF770-2008《消防员化学防护服装》标准。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三、参数要求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4、整体要求：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整体气密性＜100Pa；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排气阀气密性≥15s；粘附强度≥1.2kN/m；排气阀通气阻力78-118Pa；通气系统分配阀定量供气量≥5L/min，通气系统手控最大供气量≥30L/min。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耐热老化性能：125℃预处理24h后，不粘不脆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5、面料性能与要求：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5.1阻燃性能：续燃时间0s，阴燃时间0s，经纬向损毁长度≤2cm。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拉伸强度：纵向≥30KN/m，横向≥28KN/m。撕裂强力：经纬向≥110N。耐热老化性能（125℃×24h）：不粘、不脆。接缝强力：经纬向接缝强力≥650N。耐寒性能：无裂纹。面料及面料接缝部位抗化学品渗透性能：对96%硫酸、40%氢氧化钠、37%盐酸、48%氢氟酸、二甲基硫酸盐防护时≥70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6、化学防护手套的要求：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6.1连体双层手套，外层采用增厚型氯丁橡胶，内层复合膜材质，手套环连接可拆卸更换。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▲6.2抗化学品渗透性能：对96%硫酸、40%氢氧化钠、37%盐酸、48%氢氟酸、二甲基硫酸盐防护时间≥70min。耐刺穿力≥30N。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6.3手套灵巧性能≥5 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7、连体防护靴的要求：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耐热老化性能（125℃×24h）：不粘、不脆。耐寒性能：无裂纹。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抗化学品渗透性能：对96%硫酸、40%氢氧化钠、37%盐酸、48%氢氟酸、二甲基硫酸盐防护时间≥70min。靴底抗刺穿力≥2300N。电绝缘性能：击穿电压≥5000V，泄露电流≤0.5mA。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7.3抗切割性能：靴面经抗切割试验后不被割穿。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防滑性能：始滑角≥15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防砸性能：静压力试验和冲击试验后间隙高度≥18mm。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8、大视窗的连体头罩要求：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防（除）雾措施：应有防（除）雾措施。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抗化学品渗透性能：对96%硫酸、40%氢氧化钠、37%盐酸、48%氢氟酸、二甲基硫酸盐防护时间≥70min。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▲9、大视窗面屏为三层结构，内侧双层面屏采用防雾设计，并嵌入弹性缓冲吸能装置，可在面屏受损情况下起到多重保障的功能。防护视窗抗刺穿性能＞150N。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10、防护服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防护服设有通气循环系统，可无极调节风量以有效减轻服内的热湿感受。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膝部隐形耐磨加强设计。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▲10.3耐曲挠破坏性能≥8000次；断裂强力：≥1000N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耐高温70℃，耐低温-30℃，预处理8小时。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11、质量≤8kg。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12、每套服装用阻燃防化手提包包装，提包耐腐蚀、防水、防化学、阻燃。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分包2：佩戴式防爆照明灯（2）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佩戴式防爆照明灯（2）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数量330个，</w:t>
      </w:r>
      <w:r>
        <w:rPr>
          <w:rFonts w:ascii="SimSun" w:hAnsi="SimSun" w:eastAsia="SimSun" w:cs="SimSun"/>
          <w:i/>
          <w:color w:val="000000"/>
          <w:sz w:val="24"/>
          <w:u w:val="single"/>
        </w:rPr>
        <w:t xml:space="preserve">预算单价320元，预算总价10.56万。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一、基本描述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1、结构组成：灯头光源、TYPE-C充电口、灯身组件、电池、尾盖组件、电量显示组件。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2、主要应用场景：适用于消防行业各种火灾现场灭火救援及户外、野外等场所的抢险救援等单兵佩戴式照明。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二、标准规范及检验报告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▲3、提供由国家认可的检测机构出具与所投产品型号一致、完整有效的检验（检测）报告（报告中带有CMA标识）。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▲4、检测标准依据：符合 GB30734-2014《消防员照明灯具》标准。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▲5、提供国家认可的检测检验机构出具的防爆合格证。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三、基础性能参数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▲6、佩戴式强光平均值≥2000Lx。</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7、佩戴式强光最小值≥1000Lx。</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▲8、佩戴式弱光平均值≥600Lx。</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9、佩戴式弱光最小值≥580Lx。</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▲10、连续稳定工作时间：佩戴式强光≥240min，佩戴式弱光≥480min。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11、低电压报警时间：强光≤15s，弱光≤13s。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12、低电压状态下连续工作时间：强光≥15min，弱光≥30min。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13、绝缘性能：在常温环境下，灯具带电端子与外壳间的绝缘电阻应≥20MΩ, 交变温热试验后应≥5MΩ。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14、耐电压性能：灯具应能耐受频率为50Hz±0.5Hz，交流电压为 500V±50V，历时60s±5s的耐电压试验。试验过程中，灯具不应出现表面飞弧和击穿现象。试验结束后，灯具应能正常进行开、关和强、弱光切换。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15、低温性能：温度-25±2℃,持续时间2h，试验后，灯具应能正常进行开、关和强、弱光切换。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16、高温性能：温度55±2℃,持续时间2h，试验后，灯具应能正常进行开、关和强、弱光切换。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17、交变湿热性能：温度25±3℃升至40±2℃, 相对湿度 95~100%，持续时间 3h；温度40±2℃,相对湿度90~96%，持续时间9h；温度40±2℃降至 25±3℃ , 相对湿度80~100%，持续时间6h；温度25±3℃ , 相对湿度 95~100%，持续时间6h。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18、低温贮存：温度-40±2℃ ,持续时间：16h，常温恢复时间：8h，试验后，灯具应能正常进行开、关和强、弱光切换。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19、高温贮存：温度70±2℃ , 持续时间：16h，常温恢复时间：8h，试验后，灯具应能正常进行开、关和强、弱光切换。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20、抗振动性能：频率循环范围10~150Hz，加速幅值1g，扫频速率1Oct/min，振动方向 X、Y、Z，每轴线扫描循环次数 10 次，试验后，灯具应无机械损伤和紧固件松动现象，且能正常进行开、关和强、弱光切换。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21、抗跌落性能：佩戴式跌落高度1.5m，跌落方向 X、Y、Z，每个轴向跌落次数1次，试验后，灯具应能正常进行开、关和强、弱光切换。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22、开关可靠性：灯具的开关经 50000 次可靠性试验后应保持完好，且灯具应能正常点亮并实现强、弱光切换。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23、外壳防护等级不低于 IP68。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24、灯具标志：灯具的明显位置处应有清晰且与灯具为一体的标志，包括以下内容：a)产品名称；b)产品型号；c)防护等级（等级为 IP68 时，需标注潜水深度和持续时间）；d)防爆标志；e)生产日期；f)产品编号；g)生产厂名称。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25、充电器标志：充电器的明显位置处应有清晰、耐久的标志，包括以下内容：a)产品名称；b)产品型号；c)适配灯具型号；d)生产日期；e)产品编号；f)生产厂名称。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26、额定电压：≥DC3.7V。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27、额定容量：≥1.8Ah。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28、光源功率：3W。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29、充电时间：≤5h。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30、外形尺寸：≤φ25×120mm。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31、质量：≤0.15kg（不含支架）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32、灯具尾部有大开关设计，可满足佩戴手套进行灯具的开关操作和强弱爆闪光的切换。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33、尾部开关同时具有信号指示作用，当灯具打开时，可视距离≥100m，可为后方人员提供警示。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▲34、灯具需具有 LED 电量指示装置，可实时显示电池电量剩余情况及充电进行状态。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35、充电口采用type-C充电接口，适用所有 USB 输出端口进行充电，方便快捷。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▲36、本质安全型防爆等级可达到Ex ib IIC T4，可满足I区、II区安全工作的要求。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▲37、提供集中充电的充电箱，每箱可同时满足至少8套灯具一起插入充电，充电箱可接入市电、车载两种通电模式，简单便捷，满足消防员各种紧急需求。根据 20：1 的比例配置集中充电箱（就上取整）。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38、可按需求提供不同类型的头盔支架，确保主流头盔的配对使用。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分包3：消防头盔（全盔）（1）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消防头盔（全盔）（1）（核心产品）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采购数量150顶，</w:t>
      </w:r>
      <w:r>
        <w:rPr>
          <w:rFonts w:ascii="SimSun" w:hAnsi="SimSun" w:eastAsia="SimSun" w:cs="SimSun"/>
          <w:i/>
          <w:color w:val="000000"/>
          <w:sz w:val="24"/>
          <w:u w:val="single"/>
        </w:rPr>
        <w:t xml:space="preserve">预算单价480元，总价7.2万元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一、基本描述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1、结构组成：盔体、面罩、披肩、帽箍。主要应用场景：用于消防员灭火救援作业中头部防护，提供头部和侧翼冲击保护。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二、标准规范及检验报告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▲2、提供由国家认可的检测机构出具与所投产品型号一致、完整有效的检验（检测）报告（报告中带有CMA标识）。检测标准依据：符合XF44-2015《消防头盔》标准。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3、提供所投产品的消防产品认证证书，出具证书的认证机构应经国务院认证认可监督管理部门批准依法取得相应资质。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三、基础性能参数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4、材料和结构：帽壳采用热塑性材料，具有阻燃、防水、绝缘、耐热、耐寒、耐冲击、耐热辐射性能；所有材料均对人体无毒、无刺激性；帽壳采用有筋的加强结构。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▲5、冲击吸收性能：高温预处理最大冲击力≤3200N ；辐射热预处理：最大冲击力≤3300N；低温预处理：最大冲击力≤ 3350N；浸水预处理：最大冲击力≤3450N。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抗冲击加速度性能：帽顶部：最大冲击加速度≤145gn；帽前部：最大冲击加速度≤315gn，加速度&gt;150gn,持续时间≤5.5ms，加速度&gt;200gn,持续时间≤2.5ms；帽侧部：最大冲击加速度≤315gn，加速度&gt;150gn,持续时间≤5.5 ms，加速度&gt;200gn,持续时间≤2.5 ms；帽后部：最大冲击加速度≤320gn，加速度&gt;150gn,持续时间≤5.5ms，加速度&gt;200gn,持续时间≤2.5ms。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▲7、阻燃性能。下颏带：损毁长度≤15mm，续燃时间0s；披肩：损毁长度≤30mm，续燃时间0s；面罩：续燃时间0s；以上试验现象均不应有熔融、滴落现象。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▲8、电绝缘性能：帽壳泄露电流≤1.5mA。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9、下颏带抗拉强度：延伸长度≤16mm ，下颏带不应出现断裂、连接件脱落及搭扣松脱现象。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10、侧向刚性：帽壳最大变形≤40mm ；卸载后变形≤5mm；帽壳不应有碎片脱落。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▲11、面罩透光率（%）：无色≥85%或浅色≥65%。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12、披肩防水性能耐静水压力：＞17KPa。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13、质量：≤1500g。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14、标志：每顶头盔上有清晰的永久性标识。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15、帽壳应由耐高温热塑性材料制成，表面涂有特殊材料涂层，可提供头部和侧翼冲击保护。内衬抗冲击隔热的泡沫衬垫，带超模压芳纶增强材料。头围可调范围广，最大可调节范围达到65cm。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16、采用双层防护面屏，外层面屏采用防辐射镀层，在不佩带空呼面罩的时候，外层面屏可以遮挡住下颚，提供额外保护；并且提供最大内部空间以满足佩戴矫正眼镜时的需求。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17、内置防护眼罩，采用透明聚碳酸酯镜片，抗冲击性能好，有效保护眼部安全。同时具备特殊的联动调节系统，不妨碍佩戴近视眼镜的人员使用。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18、配备可更换配件的头灯架，方便拆卸，耐磨损，不易松弛。配备不少于一条的备用披肩。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消防手套 （1）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采购数量830副，</w:t>
      </w:r>
      <w:r>
        <w:rPr>
          <w:rFonts w:ascii="SimSun" w:hAnsi="SimSun" w:eastAsia="SimSun" w:cs="SimSun"/>
          <w:i/>
          <w:color w:val="000000"/>
          <w:sz w:val="24"/>
          <w:u w:val="single"/>
        </w:rPr>
        <w:t xml:space="preserve">预算单价120元，预算总价9.96万元。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一、基本描述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1、结构组成：外层、防水层、隔热内层。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2、主要应用场景：用于消防员灭火救援作业中手部防护。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二、标准规范及检验报告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▲3、提供由国家认可的检测机构出具与所投产品型号一致、完整有效的检验（检测）报告（报告中带有CMA 标识）。检测标准依据：符合XF 7-2004《消防手套》标准。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4、提供所投产品的消防产品认证证书，出具证书的认证机构应经国务院认证认可监督管理部门批准依法取得相应资质。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三、基础性能参数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阻燃性能：外层掌心面经、纬向续燃时间为0s，经、纬向阴燃时间为0s，经、纬向损毁长度≤15mm，不应有熔融、滴落现象；外层手背面经、纬向续燃时间为0s，经、纬向阴燃时间为0s，经、纬向损毁长度≤45mm，不应有熔融、滴落现象；隔热层经、纬向续燃时间为0s，经、纬向阴燃时间为0s，经、纬向损毁长度≤50mm，不应有熔融、滴落现象；衬里不应有熔融、滴落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▲6、整体热防护性能(TPP)≥28(cal/cm2)。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▲7、隔热层应采用芳纶无纺毛毡材质，具有耐穿刺耐切割功能。透气膜应具有阻燃、防水、透气功能。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8、手套外层及衬里热收缩率均≤5%。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▲9、力学性能：耐磨性能（循环次数）：掌心≥2000，背面≥2000；割破力：掌心≥15N，背面≥15N；撕破强力：掌心≥170N，背面≥100N；刺穿力：掌心≥95N，背面≥65N。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10、阻隔性能：耐静水压性能：手套防水层和其线缝在静水压 7kPa下试验 5min 后，不出现水滴；整体防水性能：无渗漏。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11、人体工效要求：手套拉重力比≥90%。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12、穿戴性能：穿戴时间≤1.7s。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消防安全腰带（1）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采购数量20个  </w:t>
      </w:r>
      <w:r>
        <w:rPr>
          <w:rFonts w:ascii="SimSun" w:hAnsi="SimSun" w:eastAsia="SimSun" w:cs="SimSun"/>
          <w:i/>
          <w:color w:val="000000"/>
          <w:sz w:val="24"/>
          <w:u w:val="single"/>
        </w:rPr>
        <w:t xml:space="preserve">预算单价1600元，预算总价3.2万元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一、基本描述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▲1、结构组成：由腰带、金属类快插式腰带扣、速差防坠器（内含伸出索带）、安全钩、缓冲器（内含防坠落缓冲带）等部件组成。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2、主要应用场景：用于消防抢险高空作业时保护作业人员的安全。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二、标准规范及检验报告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▲3、提供由国家认可的检测机构出具与所投产品型号一致、完整有效的检验（检测）报告（报告中带有CMA标识）。检测标准依据：符合XF494-2023 《消防用防坠落装备》标准，GB24544-2023《坠落防护速差自控器》标准。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三、基础性能参数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4、金属类快插式腰带扣：材质：金属，自带有锁死功能，防止意外脱开腰扣，脱下腰带时需向外拉开自锁弹簧，按住上下方锁扣方可安全开启腰带扣；腰带应采用锦纶长丝编制而成。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▲5、腰带破断负荷性能要求：拉伸强度≥40KN，索带断裂强度≥19KN。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▲6、安全钩断裂强度：闭口长轴≥30KN,开口长轴≥8KN,闭口短轴≥9KN。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7、防坠落缓冲带断裂强度≥15KN。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8、发生坠落时的人体承受的冲击力≤3.5KN。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9、发生坠落时防坠落缓冲带拉开时的长度≤450mm。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10、整体静态性能(速差自控器)：在15kN的测试力下保持5min,无任何元件断裂，连接器未打开。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11、整体动态性能(速差自控器)：常温(20℃ 24h):冲击作用力3.99kN, 坠落距离1.5m,速差器能自锁速差器无任何元件断裂 连接器未打开无坠落指示器不适用。(测试重物为100kg圆柱体砝码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12、缓冲器带体破断力≥8KN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消防员抢险救援头盔（1）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采购数量 ：150顶    </w:t>
      </w:r>
      <w:r>
        <w:rPr>
          <w:rFonts w:ascii="SimSun" w:hAnsi="SimSun" w:eastAsia="SimSun" w:cs="SimSun"/>
          <w:i/>
          <w:color w:val="000000"/>
          <w:sz w:val="24"/>
          <w:u w:val="single"/>
        </w:rPr>
        <w:t xml:space="preserve">预算单价 ：0.03 万元，预算总价4.5万元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一、基本描述：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1、结构组成：由盔壳、护目镜、缓冲层、舒适衬垫、佩戴装置等组成。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2、主要应用场景：用于消防员抢险救援作业中头部防护。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二、标准规范及检验报告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▲3、提供由国家认可的检测机构出具与所投产品型号一致、完整有效的检验（检测）报告（报告中带有CMA标识）。检测标准依据：符合XF633-2006《消防员抢险救援防护服装》标准。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四、基础性能参数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4、冲击吸收性能：高温预处理:将头盔置于(50±2)℃的温度中保持4h,取出后在(15±5)s 内做完相应的试验：头盔所受冲击力≤3350N；低温预处理:将头盔置于(-28±2)℃的温度中保持 4h,取出后在(15±5)s 内做完相应的试验：头盔所受冲击力≤3600N；浸水预处理:将头盔置于水槽中(室温),浸泡 4h,取出后擦干在10min内做完相应的试验：头盔所受冲击力≤3350N。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5、耐穿透性能：钢锥未穿透头盔与头模产生接触。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6、热稳定性能：帽壳未触及头模，且无明显变形。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7、抗冲击加速度性能：帽顶部：最大冲击加速度≤150gn；帽前部：最大冲击加速度≤360gn；加速度＞150gn,持续时间 ＜6ms；加速度＞200gn, 持续时间 ＜2.5ms；帽侧部：最大冲击加速度≤350gn，加速度＞150gn,持续时间＜6.5ms；加速度＞200gn, 持续时间＜3ms；帽后部：最大冲击加速度≤360gn，加速度＞150gn,持续时间 ＜5.8ms；加速度＞200gn, 持续时间 ＜3ms。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▲8、电绝缘性能：帽壳的泄漏电流≤2 mA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▲9、侧向刚性：帽壳最大变形≤26mm，卸载后变形≤5mm，试验现象：帽壳无碎片脱落。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▲10、下颏带抗拉强度延伸长度≤18mm，现象：下颏带未出现断裂、滑脱。</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11、金属部件的耐腐蚀性能：能保持表面光滑，无起层、氧化、剥落或其它肉眼可见的点蚀凹坑。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12、质量(不包括附件)≤950g。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13、外观质量：帽壳表面光洁，无污渍、气泡、缺损及其它有损外观的缺陷。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14、头盔各部件的安装到位、牢固、端正，无松脱、滑落现象。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15、标签：包含厂牌型号、生产、 日期等。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正压式消防氧气呼吸器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采购数量 ：1个    </w:t>
      </w:r>
      <w:r>
        <w:rPr>
          <w:rFonts w:ascii="SimSun" w:hAnsi="SimSun" w:eastAsia="SimSun" w:cs="SimSun"/>
          <w:i/>
          <w:color w:val="000000"/>
          <w:sz w:val="24"/>
          <w:u w:val="single"/>
        </w:rPr>
        <w:t xml:space="preserve"> 预算单价 ：1.5 万元，预算总价1.5万元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一、基本描述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1、结构组成：着装带、带扣、外壳、面罩、呼吸软管、排气阀、压力表、呼气阀、吸气阀、减压器安全阀等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2、主要应用场景：主要应用于危险化学品泄漏等灾害事故场景。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二、标准规范及检验报告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▲3、提供由国家认可的检测机构出具与所投产品型号一致、完整有效的检验（检测）报告（报告中带有 CMA 标识）。检测标准依据：符合XF632-2006《正压式消防氧气呼吸器》标准。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三、基础性能参数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4、材料要求：①呼吸器外壳表面电阻：如采用非金属材料，其表面电阻≤1× 109 Ω; ②着装带、带扣、外壳、面罩、呼吸软管阻燃性能试验后，均不应出现熔融现象；③着装带、带扣、外壳、面罩、呼吸软管续燃时间均应 ≤0.1s。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5、佩戴质量：≤16kg。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6、高压系统气密性：在 30min 内不应漏气。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▲7、低压系统气密性：在 1min 内其压力下降值≤10Pa。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▲8、额定防护时间内的防护性能：①吸气 O2 浓度＞21%；②吸气中CO2 浓度：≤1%；③吸气温度：≤35℃;④呼气阻力：≤530Pa；⑤吸气阻力：≤310Pa。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9、定量供氧量： ≥1.5L/min。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▲10、自动补给供氧量：≥100L/min。手动补给供氧：≥110L/min。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自动补给阀开启压力：50Pa～250Pa。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12、排气阀开启压力：400Pa～700Pa。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13、正压性能：面罩内应始终保持正压。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14、耐温性能：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试验后，各部件应无发硬、开裂、发黏和变形等现象。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高压系统气密性：在30min内不应漏气。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低压系统气密性：在1min内其压力下降值 ≤10Pa。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吸气中O2浓度≥21%。吸气中CO2 浓度≤1.0%。吸气温度 ≤35℃。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呼气阻力≤580Pa。吸气阻力≤350Pa。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 定量供氧量≥1.4L/min。自动补给供氧量≥90L/min。手动补给供氧量≥90L/min。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▲15、压力表：漏气量≤16L/min。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▲16、面罩性能：总视野保留率≥75%；双目视野保留率≥65%；下方视野保留率＞35°。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17、气囊或呼吸舱有效容积：≥5L。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18、呼吸软管：应柔韧气密，弯曲时能保持气路畅通。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19、伸长率≥28%；强度试验后应无渗漏。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20、压力报警：应在开启、关闭及余压为（5.5±0.5）MPa时应发出警示声响；声级强度≥80dB（A）。声响时间：45s～60s。最大耗气量≤3L/min。防爆性能：如采用电子报警装置其防爆性能应符合 GB3836.1-2000 和 GB3836.4-2000 的规定。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21、呼气阀：逆向漏气量≤0.3L/min；通气阻力≤30Pa。吸气阀：逆向漏气量≤0.3L/min；通气阻力≤30Pa。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22、减压器安全阀：①开启压力应在减压器最大输出压力值的（150～200）%范围内；②全排气压力应在减压器最大输出压力值的（160～200）%范围内；③关闭压力与减压器最大输出压力值的比值应≥100%。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23、高压部件强度：试验后应无渗漏和异常变形；气瓶为纤维缠绕气瓶，公称容积2.5L，公称工作压力20MPa。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▲24、使用时间：≥4h。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▲25、冷却系统：自然环境下自动冷却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无线复合气体探测仪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采购数量：2个  </w:t>
      </w:r>
      <w:r>
        <w:rPr>
          <w:rFonts w:ascii="SimSun" w:hAnsi="SimSun" w:eastAsia="SimSun" w:cs="SimSun"/>
          <w:i/>
          <w:color w:val="000000"/>
          <w:sz w:val="24"/>
          <w:u w:val="single"/>
        </w:rPr>
        <w:t xml:space="preserve"> 预算单价：6 万元，预算总价：12万元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一、基本描述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1、结构组成：由主机、传感器、防护箱组成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2、主要应用场景：应用于石油及天然气行业，化学行业，钢铁业，公用事业，消防行业，污水处理及民用工程等领域。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二、标准规范及检验报告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▲3、提供由国家认可的检测机构出具与所投产品型号一致、完整有效的检验（检测）报告（报告中带有CMA标识）。检测标准依据：符合GB15322.3-2019《可燃气体探测器 第3部分：工业及商业用途便携式可燃气体探测器》标准；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三、基础性能参数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4、可检测可燃气体、磷化氢、氯气、氨气、烷苯类有机挥发气体、天然气加臭剂及其它十几种气体，仪器可同时检测 ≥7 种气体，彩屏显示。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5、仪器同时具备显示实时气体浓度的功能，泵吸采样方式。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6、重量：495-800g；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7、防护等级不低于 IP 67。防爆等级：不低于Ex ia IIC T4。提供提供国家认可的检测（检验）机构出具的防爆合格证和防护等级报告。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▲8、EX可燃气体传感器，可检测范围为0-100% LEL，分辨率0.1% LEL；PID 光离子传感器，有机挥发物VOC。检测范围为0-2000ppm，分辨率0.1ppm。PH3（磷化氢）传感器，测量范围为0-20ppm，分辨率0.1ppm。Cl2（氯气）传感器，测量范围为0-20ppm，分辨率0.1ppm。NH3（氨气）传感器，测量范围为0-100ppm，分辨率1pp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分包4：消防头盔（全盔）（2）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消防头盔（全盔）（2）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数量643顶，</w:t>
      </w:r>
      <w:r>
        <w:rPr>
          <w:rFonts w:ascii="SimSun" w:hAnsi="SimSun" w:eastAsia="SimSun" w:cs="SimSun"/>
          <w:i/>
          <w:color w:val="000000"/>
          <w:sz w:val="24"/>
          <w:u w:val="single"/>
        </w:rPr>
        <w:t xml:space="preserve">预算单价4200元，预算总价270.06万元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一、基本描述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1、结构组成：盔体、面罩、披肩、帽箍。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2、主要应用场景：用于消防员灭火救援作业中头部防护，提供头部和侧翼冲击保护。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二、标准规范及检验报告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▲3、检测标准依据：符合 XF44-2015《消防头盔》标准。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▲4、提供由国家认可的检测机构出具与所投产品型号一致、完整有效的检验（检测）报告（报告中带有 CMA 标识）。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5、提供所投产品的消防产品认证证书，出具证书的认证机构应经国务院认证认可监督管理部门批准依法取得相应资质。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三、基础性能参数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6、材料和结构：帽壳采用热塑性材料，具有阻燃、防水、绝缘、耐热、耐寒、耐冲击、耐热辐射性能；所有材料均对人体无毒、无刺激性。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7、帽壳采用有筋的加强结构。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▲8、冲击吸收性能：高温预处理最大冲击力3050～3680N ；实验后帽壳不得有碎片脱落，帽托不得有损坏或断裂，帽箍与帽壳的连接机构不得有损坏或断裂。辐射热预处理：最大冲击力2830～3750N；实验后帽壳不得有碎片脱落，帽托不得有损坏或断裂，帽箍与帽壳的连接机构不得有损坏或断裂。低温预处理：最大冲击力2520～3760N；实验后帽壳不得有碎片脱落，帽托不得有损坏或断裂，帽箍与帽壳的连接机构不得有损坏或断裂。浸水预处理：最大冲击力2790～3630N。实验后帽壳不得有碎片脱落，帽托不得有损坏或断裂，帽箍与帽</w:t>
      </w:r>
      <w:r>
        <w:rPr>
          <w:rFonts w:ascii="SimSun" w:hAnsi="SimSun" w:eastAsia="SimSun" w:cs="SimSun"/>
          <w:color w:val="000000"/>
          <w:sz w:val="24"/>
        </w:rPr>
        <w:t xml:space="preserve">壳的连接机构不得有损坏或断裂。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抗冲击加速度性能：帽顶部：最大冲击加速度130～150gn；帽前部：最大冲击加速度320～365gn，加速度＞150gn,持续时间＜5.5ms，加速度＞200gn,持续时间＜3ms；帽侧部：最大冲击加速度305～375gn，加速度＞150gn,持续时间＜5.5 ms，加速度＞200gn,持续时间＜2.5 ms；帽后部：最大冲击加速度320～370gn，加速度＞150gn,持续时间＜5.5 ms，加速度＞200gn,持续时间＜3 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▲10、阻燃性能。下颏带：损毁长度≤25 mm，续燃时间≤2s；披肩：损毁长度≤40mm，续燃时间≤1.5s；面罩：续燃时间≤2s；以上试验现象均不应有熔融、滴落现象。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11、电绝缘性能：帽壳泄漏电流≤3mA。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12、下颏带抗拉强度：延伸长度≤16mm ，下颏带不应出现断裂、连接件脱落及搭扣松脱现象。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13、侧向刚性：帽壳最大变形≤35mm ；卸载后变形≤6mm；帽壳不应有碎片脱落。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▲14、面罩透光率：无色≥85%或浅色≥65%。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15、披肩防水性能耐静水压力：＞17KPa。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▲16、质量(不包括披肩及附件)：≤1600g。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17、标志：每顶头盔上有清晰的永久性标识。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18、帽壳应由耐高温热塑性材料制成，表面涂有特殊材料涂层，可提供头部和侧翼冲击保护。内衬抗冲击隔热的泡沫衬垫，带超模压芳纶增强材料。头围可调范围广，最大可调节范围达到65cm。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▲19、面屏采用双层防护其中含金色防辐射镀层，在不佩带空呼面罩的时候，外层面屏可以遮挡住下颚，提供额外保护；并且提供最大内部空间以满足佩戴矫正眼镜时的需求。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▲20、内置防护眼罩，采用透明聚碳酸酯镜片，抗冲击性能好，有效保护眼部安全。同时具备联动调节系统，不妨碍佩戴近视眼镜的人员使用。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▲21、配置附件接口，按需要安装强光防爆电筒或其他附件。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22、配备可更换配件的头灯架，方便拆卸，耐磨损，不易松弛。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23、配备不少于一条的备用披肩。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分包5：消防头盔（半盔）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消防头盔（ 半盔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采购数量175顶，</w:t>
      </w:r>
      <w:r>
        <w:rPr>
          <w:rFonts w:ascii="SimSun" w:hAnsi="SimSun" w:eastAsia="SimSun" w:cs="SimSun"/>
          <w:i/>
          <w:color w:val="000000"/>
          <w:sz w:val="24"/>
          <w:u w:val="single"/>
        </w:rPr>
        <w:t xml:space="preserve">预算单价0.29万元，预算总价50.75万元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一、基本描述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1、结构组成：盔体、面罩、披肩、帽箍等。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二、标准规范及检验报告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▲2、检测标准依据：符合 XF44-2015《消防头盔》标准。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▲3、提供由国家认可的检测机构出具与所投产品型号一致、完整有效的检验（检测）报告（报告中带有 CMA 标识）。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4、提供所投产品的消防产品认证证书，出具证书的认证机构应经国务院认证认可监督管理部门批准依法取得相应资质。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三、基础性能参数：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冲击吸收性能：高温预处理：最大冲击力≤3100N；实验后帽壳不得有碎片脱落，帽托不得有损坏或断裂，帽箍与帽壳的连接机构不得有损坏或断裂。辐射热预处理：最大冲击力≤3100N；实验后帽壳不得有碎片脱落，帽托不得有损坏或断裂，帽箍与帽壳的连接机构不得有损坏或断裂。低温预处理：最大冲击力≤3300N；实验后帽壳不得有碎片脱落，帽托不得有损坏或断裂，帽箍与帽壳的连接机构不得有损坏或断裂。浸水预处理：最大冲击力≤3200N；实验后帽壳不得有碎片脱落，帽托不得有损坏或断裂，帽箍与帽壳的连接机构不得有损坏或断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▲6、抗冲击加速度性能：帽顶部：最大冲击加速度120～135gn；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帽前部：最大冲击加速度295～360gn，加速度＞150gn,持续时间＜5.5ms；加速度＞200gn,持续时间＜2.5ms；帽侧部：最大冲击加速度310～335gn；加速度＞150gn,持续时间＜5.5ms；加速度＞200gn,持续时间＜2.5ms；帽后部：最大冲击加速度305～350gn，加速度＞150gn,持续时间＜5.5ms；加速度＞200gn,持续时间＜2.5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7、阻燃性能：下颏带损毁长度≤30mm，续燃时间为≤1.5s；披肩损毁长度≤30mm，续燃时间为≤1.5s。面罩续燃时间为≤1s，以上试验现象均无熔融、滴落现象。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▲8、电绝缘性能：帽壳泄露电流≤2.0mA。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9、下颏带抗拉强度：延伸长度≤17mm，下颏带不应出现断裂、连接件脱落及搭扣松脱现象。侧向刚性：帽壳最大变形≤40mm，卸载后变形≤10mm，帽壳不应有碎片脱落。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▲10、面罩透光率：无色≥85%或浅色≥70%。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11、披肩防水性能耐静水压力：＞17kPa。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▲12、质量：≤1380g。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13、标志：永久性中文标识。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14、配备可更换配件的头灯架，方便拆卸，耐磨损，不易松弛。配备不少于一条的备用披肩。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商务要求是指取得采购标的的时间、地点、财务和服务要求，包括交付（实施）的时间（期限）和地点（范围），付款条件（进度和方法），包装和运输，售后服务，保险等。其中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1.售后服务方案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2.保修方案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就投标人提供的保修方案进行综合评审，内容包括但不限于：保修范围、所投产品常见故障及保修措施、保修人员配备、拟投入的设施设备及车辆配备、响应时间、保修承诺与保证书等情况。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方案内容完整，保修范围全面且清晰，常见故障罗列详细且对应的保修措施可行，配备保修人员专业对口且经验丰富，配备设施设备齐全，响应时间满足采购文件要求；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3.保修期外维保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就投标人提供的保修期外维保服务范围、内容、响应时间及维保费用情况、易损件、零配件及重要消耗品的价格、保修期外维保承诺与保证书等情况进行综合评审。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方案内容完整，维保范围、内容全面，响应时间满足采购文件要求，维保费用优惠合理，服务承诺对采购人有利；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4.技术培训方案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就投标人提供的技术培训内容及方式、培训计划、培训对象及配对团队方案等情况进行综合评审。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5.供货方案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就投标人提供的产品供货方案、安装调试方案及配送承诺等方案进行综合评审。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供货方案科学合理、周期可控，安装调试步骤清晰、标准规范，配送承诺明确具体、保障到位，能确保产品按时、按质、按量送达并完成安装调试，满足采购人使用需求。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6.应急预案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就投标人提供的应急程序和措施、应急响应及处置方案、技术支撑保障等方案进行综合评审。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应急程序规范完善、处置流程清晰可行，应急响应及时高效、处置措施针对性强，技术支撑保障有力、人员物资储备到位，可全面应对各类突发状况，充分保障采购人应急需求；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项目属性:货物类项目。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2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消防员避火防护服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佩戴式防爆照明灯（2）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消防头盔（全盔）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消防头盔（全盔）（2）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消防头盔（半盔）</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3.进口产品投标</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2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是否接受进口产品投标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4.样品管理</w:t>
      </w:r>
      <w:r/>
    </w:p>
    <w:p>
      <w:pPr>
        <w:ind w:left="0" w:right="0" w:firstLine="420"/>
        <w:jc w:val="both"/>
        <w:spacing w:before="0" w:after="0" w:line="23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4.1样品送达时间</w:t>
      </w:r>
      <w:r>
        <w:rPr>
          <w:rFonts w:ascii="Calibri" w:hAnsi="Calibri" w:eastAsia="Calibri" w:cs="Calibri"/>
          <w:sz w:val="21"/>
        </w:rPr>
      </w:r>
      <w:r/>
    </w:p>
    <w:p>
      <w:pPr>
        <w:ind w:left="0" w:right="0" w:firstLine="0"/>
        <w:jc w:val="both"/>
        <w:spacing w:before="0" w:after="0" w:line="23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（1）时间</w:t>
      </w:r>
      <w:r>
        <w:rPr>
          <w:rFonts w:ascii="SimSun" w:hAnsi="SimSun" w:eastAsia="SimSun" w:cs="SimSun"/>
          <w:color w:val="000000"/>
          <w:sz w:val="24"/>
        </w:rPr>
        <w:t xml:space="preserve">一</w:t>
      </w:r>
      <w:r>
        <w:rPr>
          <w:rFonts w:ascii="SimSun" w:hAnsi="SimSun" w:eastAsia="SimSun" w:cs="SimSun"/>
          <w:color w:val="000000"/>
          <w:sz w:val="24"/>
        </w:rPr>
        <w:t xml:space="preserve"> 2026年5月28日 下午14:30起至16:30止。</w:t>
      </w:r>
      <w:r>
        <w:rPr>
          <w:rFonts w:ascii="Calibri" w:hAnsi="Calibri" w:eastAsia="Calibri" w:cs="Calibri"/>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（2）时间二  2026年5月29日 08:30-09:30，提交投标文件截止时间后送达的样品将被拒收。</w:t>
      </w:r>
      <w:r>
        <w:rPr>
          <w:sz w:val="21"/>
        </w:rPr>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提醒：建议各投标人考虑交通拥堵或其他突发情况，预留足够样品送达时间，尽量在时间一期间送达样品，避免因样品送达逾期被拒绝接收。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4.2样品递交地点：南京市汉中门大街145号省政务中心二期西五门4楼4601。</w:t>
      </w:r>
      <w:r/>
    </w:p>
    <w:p>
      <w:pPr>
        <w:ind w:left="0" w:right="0" w:firstLine="0"/>
        <w:jc w:val="both"/>
        <w:spacing w:before="0" w:after="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4.3样品接收人/退还人：南京市公证处 朱老师；</w:t>
      </w:r>
      <w:r>
        <w:rPr>
          <w:rFonts w:ascii="Calibri" w:hAnsi="Calibri" w:eastAsia="Calibri" w:cs="Calibri"/>
          <w:sz w:val="21"/>
        </w:rPr>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联系方式：18851755656/  18851755658。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4.4供应商需提交以下样品：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所投对应包号为单一产品的，提供对应的产品的样品；非单一产品的需提供本包内所有产品的样品。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供应商提交的样品不得含有供应商名称。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4.5供应商递交/取回样品时将进行登记，并由样品递交人/取回人签字确认。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4.6供应商递交/取回样品时，不得破坏或损毁其他供应商的样品，也不得对其他供应商的样品拍照、录像。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 中标（成交）供应商递交的样品由采购人负责保管、封存并作为履约验收的依据，不再退还中标（成交）供应商。未中标（成交）供应商递交的样品在采购结果公告期结束后5个工作日内，由南京市公证处通知未中标（成交）供应商自行取回，逾期未取回，视同供应商放弃样品所有权，由采购人、采购中心自行处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2"/>
        <w:gridCol w:w="1451"/>
        <w:gridCol w:w="38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3"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bl>
    <w:p>
      <w:pPr>
        <w:ind w:left="0" w:right="0" w:firstLine="439"/>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9"/>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19"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119"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19"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本项目政府采购活动中既有本国产品又有非本国产品参与竞争的，依法对本国产品给予价格评审优惠，对本国产品的报价给予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sz w:val="24"/>
          <w:u w:val="single"/>
        </w:rPr>
        <w:t xml:space="preserve">80%</w:t>
      </w:r>
      <w:r>
        <w:rPr>
          <w:rFonts w:ascii="SimSun" w:hAnsi="SimSun" w:eastAsia="SimSun" w:cs="SimSun"/>
          <w:color w:val="000000"/>
          <w:sz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的价格扣除，用扣除后的价格参与评审。供应商未填写比例数值，或比例数值不足</w:t>
      </w:r>
      <w:r>
        <w:rPr>
          <w:rFonts w:ascii="SimSun" w:hAnsi="SimSun" w:eastAsia="SimSun" w:cs="SimSun"/>
          <w:color w:val="000000"/>
          <w:sz w:val="24"/>
          <w:u w:val="single"/>
        </w:rPr>
        <w:t xml:space="preserve">80%</w:t>
      </w:r>
      <w:r>
        <w:rPr>
          <w:rFonts w:ascii="SimSun" w:hAnsi="SimSun" w:eastAsia="SimSun" w:cs="SimSun"/>
          <w:color w:val="000000"/>
          <w:sz w:val="24"/>
        </w:rPr>
        <w:t xml:space="preserve">的，将不享受本国产品价格评审优惠。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供应商需按照招标文件的要求提供《关于符合本国产品标准的声明函》（以下简称《声明函》），如不提供将不享受本国产品价格评审优惠。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供应商需在《声明函》中逐一、准确填写产品名称、厂名、生产厂址三项信息（《声明函》中标注</w:t>
      </w:r>
      <w:r>
        <w:rPr>
          <w:rFonts w:ascii="SimSun" w:hAnsi="SimSun" w:eastAsia="SimSun" w:cs="SimSun"/>
          <w:color w:val="000000"/>
          <w:sz w:val="24"/>
          <w:u w:val="single"/>
        </w:rPr>
        <w:t xml:space="preserve">“  /  ”</w:t>
      </w:r>
      <w:r>
        <w:rPr>
          <w:rFonts w:ascii="SimSun" w:hAnsi="SimSun" w:eastAsia="SimSun" w:cs="SimSun"/>
          <w:color w:val="000000"/>
          <w:sz w:val="24"/>
        </w:rPr>
        <w:t xml:space="preserve">的地方无需填写），三项信息中任意一项未填写的视为该项产品不符合本国产品标准，不享受本国产品价格评审优惠。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560"/>
        <w:spacing w:before="120" w:after="12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8"/>
        </w:rPr>
        <w:t xml:space="preserve"> </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分包号1：</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5"/>
        <w:gridCol w:w="1622"/>
        <w:gridCol w:w="6058"/>
        <w:gridCol w:w="614"/>
      </w:tblGrid>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12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其他投标人的价格分统一按照下列公式计算:投标报价得分=(评标基准价/投标报价)×30（小数点保留两位）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（3）非单一产品包及套装组合包评审时，就包内所有产品的参数响应按照上述评分规则累计评审。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所投产品所有技术条款完全响应招标文件要求的得28分；本项最低分0分，最高分28分。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标记“▲”为重要技术条款，重要技术条款不响应的，每条扣1分。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无标记为一般技术条款，一般技术条款不响应的，每条扣0.5分。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6、注：①凡标有最低一级序号的指标项即为一项技术条款，无论是否隶属于上一级编号；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特别说明外，采购文件中标注“▲”的条款需要在投标文件内提供技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w:t>
            </w:r>
            <w:r>
              <w:rPr>
                <w:rFonts w:ascii="SimSun" w:hAnsi="SimSun" w:eastAsia="SimSun" w:cs="SimSun"/>
                <w:color w:val="000000"/>
                <w:sz w:val="24"/>
              </w:rPr>
              <w:t xml:space="preserve">的后果由供应商自行承担。未提供技术支持资料的，评审时不予采信。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注：样品提供不全或样品实物与投标文件技术参数描述不一致的，样品评分项整个大项不得分。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评委对投标人所提供样品的产品质量、外观、部件结构、使用体验等方面进行现场综合评审。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1、评委对投标人所提供样品的功能、材质工艺、产品质量等方面进行现场综合评审：功能完整、材质好、工艺精细、表面光滑无划痕毛刺（无抽线、断线、线头、开胶，粘合牢固，如有）</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2、评委依据采购文件要求，对样品比例、标识、是否美观进行综合评审：整体比例协调美观、标识完整清晰、颜色均匀一致、样品内外清洁：</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3、评委对样品的操作便捷性、舒适性进行逐项评审：</w:t>
              <w:br/>
              <w:t xml:space="preserve">人性化设计好、操作便捷性、舒适性强，体验感好：</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（1）产品优于要求得4分；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一、售后服务方案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7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二、保修方案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就投标人提供的保修方案进行综合评审，内容包括但不限于：保修范围、所投产品常见故障及保修措施、保修人员配备、拟投入的设施设备及车辆配备、响应时间、保修承诺与保证书等情况。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方案内容完整，保修范围全面且清晰，常见故障罗列详细且对应的保修措施可行，配备保修人员专业对口且经验丰富，配备设施设备齐全，响应时间满足采购文件要求；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343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三、保修期外维保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就投标人提供的保修期外维保服务范围、内容、响应时间及维保费用情况、易损件、零配件及重要消耗品的价格、保修期外维保承诺与保证书等情况进行综合评审。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方案内容完整，维保范围、内容全面，响应时间满足采购文件要求，维保费用优惠合理，服务承诺对采购人有利；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10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四、技术培训方案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就投标人提供的技术培训内容及方式、培训计划、培训对象及配对团队方案等情况进行综合评审。</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343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五、供货方案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就投标人提供的产品供货方案、安装调试方案及配送承诺等方案进行综合评审。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供货方案科学合理、周期可控，安装调试步骤清晰、标准规范，配送承诺明确具体、保障到位，能确保产品按时、按质、按量送达并完成安装调试，满足采购人使用需求；</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360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六、应急措施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就投标人提供的应急程序和措施、应急响应及处置方案、技术支撑保障等方案进行综合评审。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应急程序规范完善、处置流程清晰可行，应急响应及时高效、处置措施针对性强，技术支撑保障有力、人员物资储备到位，可全面应对各类突发状况，充分保障采购人应急需求；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根据投标人针对本项目供货产品的质保期进行综合比较后评分：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投标人所投产品质保期响应招标文件最低要求基础上（三年），每增加一年加0.5分，最高得1分。未提供者不得分。（投标文件需提供加盖投标人公章的质保期承诺书，前后不一致以承诺书为准）。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所投产品的投标人或产品制造商（必须与投标文件中产品型号一致）2021年4月1日以来有销售业绩的（非单一产品包为核心产品）。每提供一份有效业绩证明材料得1分，最多得5分。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①业绩证明材料需同时提供合同和验收证明复印件加盖投标单位公章，合同须能体现签订单位信息、签订时间、产品名称、型号、价格等相关信息，否则视为无效合同。</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②统招分签的合同按一个合同业绩计。</w:t>
            </w:r>
            <w:r>
              <w:rPr>
                <w:rFonts w:ascii="SimSun" w:hAnsi="SimSun" w:eastAsia="SimSun" w:cs="SimSun"/>
                <w:color w:val="000000"/>
                <w:sz w:val="24"/>
              </w:rPr>
              <w:t xml:space="preserve">【多个合同项目名称一致的，均按一个合同计】</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③合同中的产品名称及产品型号请加以明显标记，以方便评审和核对。</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④合同评审中的重要信息因存在内容模糊、无法辨认而产生不利于该项评审的情况，投标人自行承担后果。</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分值合计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分包号2：</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5"/>
        <w:gridCol w:w="1622"/>
        <w:gridCol w:w="6058"/>
        <w:gridCol w:w="614"/>
      </w:tblGrid>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其他投标人的价格分统一按照下列公式计算:投标报价得分=(评标基准价/投标报价)×30（小数点保留两位）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（3）非单一产品包及套装组合包评审时，就包内所有产品的参数响应按照上述评分规则累计评审。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所投产品所有技术条款完全响应招标文件要求的得28分；本项最低分0分，最高分28分。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标记“▲”为重要技术条款，重要技术条款不响应的，每条扣1.5分。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无标记为一般技术条款，一般技术条款不响应的，每条扣0.5分。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6、注：①凡标有最低一级序号的指标项即为一项技术条款，无论是否隶属于上一级编号；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特别说明外，采购文件中标注“▲”的条款需要在投标文件内提供技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w:t>
            </w:r>
            <w:r>
              <w:rPr>
                <w:rFonts w:ascii="SimSun" w:hAnsi="SimSun" w:eastAsia="SimSun" w:cs="SimSun"/>
                <w:color w:val="000000"/>
                <w:sz w:val="24"/>
              </w:rPr>
              <w:t xml:space="preserve">的后果由供应商自行承担。未提供技术支持资料的，评审时不予采信。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925089" name=""/>
                              <pic:cNvPicPr>
                                <a:picLocks noChangeAspect="1"/>
                              </pic:cNvPicPr>
                              <pic:nvPr/>
                            </pic:nvPicPr>
                            <pic:blipFill>
                              <a:blip r:embed="rId14"/>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14" o:title=""/>
                    </v:shape>
                  </w:pict>
                </mc:Fallback>
              </mc:AlternateConten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注：样品提供不全或样品实物与投标文件技术参数描述不一致的，样品评分项整个大项不得分。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评委对投标人所提供样品的产品质量、外观、部件结构、使用体验等方面进行现场综合评审。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1、评委对投标人所提供样品的功能、材质工艺、产品质量等方面进行现场综合评审：功能完整、材质好、工艺精细、表面光滑无划痕毛刺（无抽线、断线、线头、开胶，粘合牢固，如有）</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2、评委依据采购文件要求，对样品比例、标识、是否美观进行综合评审：整体比例协调美观、标识完整清晰、颜色均匀一致、样品内外清洁：</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3、评委对样品的操作便捷性、舒适性进行逐项评审：</w:t>
              <w:br/>
              <w:t xml:space="preserve">人性化设计好、操作便捷性、舒适性强，体验感好：</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（1）产品优于要求得4分；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一、售后服务方案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7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二、保修方案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就投标人提供的保修方案进行综合评审，内容包括但不限于：保修范围、所投产品常见故障及保修措施、保修人员配备、拟投入的设施设备及车辆配备、响应时间、保修承诺与保证书等情况。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方案内容完整，保修范围全面且清晰，常见故障罗列详细且对应的保修措施可行，配备保修人员专业对口且经验丰富，配备设施设备齐全，响应时间满足采购文件要求；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343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三、保修期外维保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就投标人提供的保修期外维保服务范围、内容、响应时间及维保费用情况、易损件、零配件及重要消耗品的价格、保修期外维保承诺与保证书等情况进行综合评审。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方案内容完整，维保范围、内容全面，响应时间满足采购文件要求，维保费用优惠合理，服务承诺对采购人有利；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10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四、技术培训方案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就投标人提供的技术培训内容及方式、培训计划、培训对象及配对团队方案等情况进行综合评审。</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343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五、供货方案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就投标人提供的产品供货方案、安装调试方案及配送承诺等方案进行综合评审。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供货方案科学合理、周期可控，安装调试步骤清晰、标准规范，配送承诺明确具体、保障到位，能确保产品按时、按质、按量送达并完成安装调试，满足采购人使用需求；</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六、应急措施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就投标人提供的应急程序和措施、应急响应及处置方案、技术支撑保障等方案进行综合评审。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应急程序规范完善、处置流程清晰可行，应急响应及时高效、处置措施针对性强，技术支撑保障有力、人员物资储备到位，可全面应对各类突发状况，充分保障采购人应急需求；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根据投标人针对本项目供货产品的质保期进行综合比较后评分：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投标人所投产品质保期响应招标文件最低要求基础上（三年），每增加一年加0.5分，最高得1分。未提供者不得分。（投标文件需提供加盖投标人公章的质保期承诺书，前后不一致以承诺书为准）。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所投产品的投标人或产品制造商（必须与投标文件中产品型号一致）2021年4月1日以来有销售业绩的（非单一产品包为核心产品）。每提供一份有效业绩证明材料得1分，最多得5分。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①业绩证明材料需同时提供合同和验收证明复印件加盖投标单位公章，合同须能体现签订单位信息、签订时间、产品名称、型号、价格等相关信息，否则视为无效合同。</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②统招分签的合同按一个合同业绩计。</w:t>
            </w:r>
            <w:r>
              <w:rPr>
                <w:rFonts w:ascii="SimSun" w:hAnsi="SimSun" w:eastAsia="SimSun" w:cs="SimSun"/>
                <w:color w:val="000000"/>
                <w:sz w:val="24"/>
              </w:rPr>
              <w:t xml:space="preserve">【多个合同项目名称一致的，均按一个合同计】</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③合同中的产品名称及产品型号请加以明显标记，以方便评审和核对。</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④合同评审中的重要信息因存在内容模糊、无法辨认而产生不利于该项评审的情况，投标人自行承担后果。</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分值合计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分包号3：</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5"/>
        <w:gridCol w:w="1622"/>
        <w:gridCol w:w="6058"/>
        <w:gridCol w:w="614"/>
      </w:tblGrid>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其他投标人的价格分统一按照下列公式计算:投标报价得分=(评标基准价/投标报价)×30（小数点保留两位）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（3）非单一产品包及套装组合包评审时，就包内所有产品的参数响应按照上述评分规则累计评审。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所投产品所有技术条款完全响应招标文件要求的得28分；本项最低分0分，最高分28分。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标记“▲”为重要技术条款，重要技术条款不响应的，每条扣0.5分。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无标记为一般技术条款，一般技术条款不响应的，每条扣0.2分。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6、注：①凡标有最低一级序号的指标项即为一项技术条款，无论是否隶属于上一级编号；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特别说明外，采购文件中标注“▲”的条款需要在投标文件内提供技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w:t>
            </w:r>
            <w:r>
              <w:rPr>
                <w:rFonts w:ascii="SimSun" w:hAnsi="SimSun" w:eastAsia="SimSun" w:cs="SimSun"/>
                <w:color w:val="000000"/>
                <w:sz w:val="24"/>
              </w:rPr>
              <w:t xml:space="preserve">的后果由供应商自行承担。未提供技术支持资料的，评审时不予采信。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r>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注：样品提供不全或样品实物与投标文件技术参数描述不一致的，样品评分项整个大项不得分。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评委对投标人所提供样品的产品质量、外观、部件结构、使用体验等方面进行现场综合评审。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1、评委对投标人所提供样品的功能、材质工艺、产品质量等方面进行现场综合评审：功能完整、材质好、工艺精细、表面光滑无划痕毛刺（无抽线、断线、线头、开胶，粘合牢固，如有）</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2、评委依据采购文件要求，对样品比例、标识、是否美观进行综合评审：整体比例协调美观、标识完整清晰、颜色均匀一致、样品内外清洁：</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3、评委对样品的操作便捷性、舒适性进行逐项评审：</w:t>
              <w:br/>
              <w:t xml:space="preserve">人性化设计好、操作便捷性、舒适性强，体验感好：</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（1）产品优于要求得4分；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一、售后服务方案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7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二、保修方案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就投标人提供的保修方案进行综合评审，内容包括但不限于：保修范围、所投产品常见故障及保修措施、保修人员配备、拟投入的设施设备及车辆配备、响应时间、保修承诺与保证书等情况。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方案内容完整，保修范围全面且清晰，常见故障罗列详细且对应的保修措施可行，配备保修人员专业对口且经验丰富，配备设施设备齐全，响应时间满足采购文件要求；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343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三、保修期外维保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就投标人提供的保修期外维保服务范围、内容、响应时间及维保费用情况、易损件、零配件及重要消耗品的价格、保修期外维保承诺与保证书等情况进行综合评审。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方案内容完整，维保范围、内容全面，响应时间满足采购文件要求，维保费用优惠合理，服务承诺对采购人有利；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10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四、技术培训方案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就投标人提供的技术培训内容及方式、培训计划、培训对象及配对团队方案等情况进行综合评审。</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343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五、供货方案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就投标人提供的产品供货方案、安装调试方案及配送承诺等方案进行综合评审。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供货方案科学合理、周期可控，安装调试步骤清晰、标准规范，配送承诺明确具体、保障到位，能确保产品按时、按质、按量送达并完成安装调试，满足采购人使用需求；</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六、应急措施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就投标人提供的应急程序和措施、应急响应及处置方案、技术支撑保障等方案进行综合评审。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应急程序规范完善、处置流程清晰可行，应急响应及时高效、处置措施针对性强，技术支撑保障有力、人员物资储备到位，可全面应对各类突发状况，充分保障采购人应急需求；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根据投标人针对本项目供货产品的质保期进行综合比较后评分：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投标人所投产品质保期响应招标文件最低要求基础上（三年），每增加一年加0.5分，最高得1分。未提供者不得分。（投标文件需提供加盖投标人公章的质保期承诺书，前后不一致以承诺书为准）。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所投产品的投标人或产品制造商（必须与投标文件中产品型号一致）2021年4月1日以来有销售业绩的（非单一产品包为核心产品）。每提供一份有效业绩证明材料得1分，最多得5分。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①业绩证明材料需同时提供合同和验收证明复印件加盖投标单位公章，合同须能体现签订单位信息、签订时间、产品名称、型号、价格等相关信息，否则视为无效合同。</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②统招分签的合同按一个合同业绩计。</w:t>
            </w:r>
            <w:r>
              <w:rPr>
                <w:rFonts w:ascii="SimSun" w:hAnsi="SimSun" w:eastAsia="SimSun" w:cs="SimSun"/>
                <w:color w:val="000000"/>
                <w:sz w:val="24"/>
              </w:rPr>
              <w:t xml:space="preserve">【多个合同项目名称一致的，均按一个合同计】</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③合同中的产品名称及产品型号请加以明显标记，以方便评审和核对。</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④合同评审中的重要信息因存在内容模糊、无法辨认而产生不利于该项评审的情况，投标人自行承担后果。</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分值合计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分包号4：</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5"/>
        <w:gridCol w:w="1622"/>
        <w:gridCol w:w="6058"/>
        <w:gridCol w:w="614"/>
      </w:tblGrid>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其他投标人的价格分统一按照下列公式计算:投标报价得分=(评标基准价/投标报价)×30（小数点保留两位）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（3）非单一产品包及套装组合包评审时，就包内所有产品的参数响应按照上述评分规则累计评审。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所投产品所有技术条款完全响应招标文件要求的得28分；本项最低分0分，最高分28分。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标记“▲”为重要技术条款，重要技术条款不响应的，每条扣1.5分。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无标记为一般技术条款，一般技术条款不响应的，每条扣1分。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6、注：①凡标有最低一级序号的指标项即为一项技术条款，无论是否隶属于上一级编号；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特别说明外，采购文件中标注“▲”的条款需要在投标文件内提供技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w:t>
            </w:r>
            <w:r>
              <w:rPr>
                <w:rFonts w:ascii="SimSun" w:hAnsi="SimSun" w:eastAsia="SimSun" w:cs="SimSun"/>
                <w:color w:val="000000"/>
                <w:sz w:val="24"/>
              </w:rPr>
              <w:t xml:space="preserve">的后果由供应商自行承担。未提供技术支持资料的，评审时不予采信。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r>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注：样品提供不全或样品实物与投标文件技术参数描述不一致的，样品评分项整个大项不得分。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评委对投标人所提供样品的产品质量、外观、部件结构、使用体验等方面进行现场综合评审。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1、评委对投标人所提供样品的功能、材质工艺、产品质量等方面进行现场综合评审：功能完整、材质好、工艺精细、表面光滑无划痕毛刺（无抽线、断线、线头、开胶，粘合牢固，如有）</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2、评委依据采购文件要求，对样品比例、标识、是否美观进行综合评审：整体比例协调美观、标识完整清晰、颜色均匀一致、样品内外清洁：</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3、评委对样品的操作便捷性、舒适性进行逐项评审：</w:t>
              <w:br/>
              <w:t xml:space="preserve">人性化设计好、操作便捷性、舒适性强，体验感好：</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（1）产品优于要求得4分；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一、售后服务方案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7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二、保修方案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就投标人提供的保修方案进行综合评审，内容包括但不限于：保修范围、所投产品常见故障及保修措施、保修人员配备、拟投入的设施设备及车辆配备、响应时间、保修承诺与保证书等情况。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方案内容完整，保修范围全面且清晰，常见故障罗列详细且对应的保修措施可行，配备保修人员专业对口且经验丰富，配备设施设备齐全，响应时间满足采购文件要求；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96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三、保修期外维保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就投标人提供的保修期外维保服务范围、内容、响应时间及维保费用情况、易损件、零配件及重要消耗品的价格、保修期外维保承诺与保证书等情况进行综合评审。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方案内容完整，维保范围、内容全面，响应时间满足采购文件要求，维保费用优惠合理，服务承诺对采购人有利；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10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四、技术培训方案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就投标人提供的技术培训内容及方式、培训计划、培训对象及配对团队方案等情况进行综合评审。</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343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五、供货方案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就投标人提供的产品供货方案、安装调试方案及配送承诺等方案进行综合评审。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供货方案科学合理、周期可控，安装调试步骤清晰、标准规范，配送承诺明确具体、保障到位，能确保产品按时、按质、按量送达并完成安装调试，满足采购人使用需求；</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六、应急措施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就投标人提供的应急程序和措施、应急响应及处置方案、技术支撑保障等方案进行综合评审。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应急程序规范完善、处置流程清晰可行，应急响应及时高效、处置措施针对性强，技术支撑保障有力、人员物资储备到位，可全面应对各类突发状况，充分保障采购人应急需求；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根据投标人针对本项目供货产品的质保期进行综合比较后评分：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投标人所投产品质保期响应招标文件最低要求基础上（三年），每增加一年加0.5分，最高得1分。未提供者不得分。（投标文件需提供加盖投标人公章的质保期承诺书，前后不一致以承诺书为准）。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所投产品的投标人或产品制造商（必须与投标文件中产品型号一致）2021年4月1日以来有销售业绩的（非单一产品包为核心产品）。每提供一份有效业绩证明材料得1分，最多得5分。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①业绩证明材料需同时提供合同和验收证明复印件加盖投标单位公章，合同须能体现签订单位信息、签订时间、产品名称、型号、价格等相关信息，否则视为无效合同。</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②统招分签的合同按一个合同业绩计。</w:t>
            </w:r>
            <w:r>
              <w:rPr>
                <w:rFonts w:ascii="SimSun" w:hAnsi="SimSun" w:eastAsia="SimSun" w:cs="SimSun"/>
                <w:color w:val="000000"/>
                <w:sz w:val="24"/>
              </w:rPr>
              <w:t xml:space="preserve">【多个合同项目名称一致的，均按一个合同计】</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③合同中的产品名称及产品型号请加以明显标记，以方便评审和核对。</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④合同评审中的重要信息因存在内容模糊、无法辨认而产生不利于该项评审的情况，投标人自行承担后果。</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分值合计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分包号5：</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5"/>
        <w:gridCol w:w="1622"/>
        <w:gridCol w:w="6058"/>
        <w:gridCol w:w="614"/>
      </w:tblGrid>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其他投标人的价格分统一按照下列公式计算:投标报价得分=(评标基准价/投标报价)×30（小数点保留两位）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（3）非单一产品包及套装组合包评审时，就包内所有产品的参数响应按照上述评分规则累计评审。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所投产品所有技术条款完全响应招标文件要求的得28分；本项最低分0分，最高分28分。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标记“▲”为重要技术条款，重要技术条款不响应的，每条扣3分。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无标记为一般技术条款，一般技术条款不响应的，每条扣1分。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6、注：①凡标有最低一级序号的指标项即为一项技术条款，无论是否隶属于上一级编号；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特别说明外，采购文件中标注“▲”的条款需要在投标文件内提供技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w:t>
            </w:r>
            <w:r>
              <w:rPr>
                <w:rFonts w:ascii="SimSun" w:hAnsi="SimSun" w:eastAsia="SimSun" w:cs="SimSun"/>
                <w:color w:val="000000"/>
                <w:sz w:val="24"/>
              </w:rPr>
              <w:t xml:space="preserve">的后果由供应商自行承担。未提供技术支持资料的，评审时不予采信。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r>
      <w:tr>
        <w:trPr>
          <w:trHeight w:val="4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注：样品提供不全或样品实物与投标文件技术参数描述不一致的，样品评分项整个大项不得分。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评委对投标人所提供样品的产品质量、外观、部件结构、使用体验等方面进行现场综合评审。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1、评委对投标人所提供样品的功能、材质工艺、产品质量等方面进行现场综合评审：功能完整、材质好、工艺精细、表面光滑无划痕毛刺（无抽线、断线、线头、开胶，粘合牢固，如有）</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2、评委依据采购文件要求，对样品比例、标识、是否美观进行综合评审：整体比例协调美观、标识完整清晰、颜色均匀一致、样品内外清洁：</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3、评委对样品的操作便捷性、舒适性进行逐项评审：</w:t>
              <w:br/>
              <w:t xml:space="preserve">人性化设计好、操作便捷性、舒适性强，体验感好：</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（1）产品优于要求得4分；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（2）产品符合要求得2分；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（3）产品不符合要求得0分。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一、售后服务方案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7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二、保修方案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就投标人提供的保修方案进行综合评审，内容包括但不限于：保修范围、所投产品常见故障及保修措施、保修人员配备、拟投入的设施设备及车辆配备、响应时间、保修承诺与保证书等情况。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方案内容完整，保修范围全面且清晰，常见故障罗列详细且对应的保修措施可行，配备保修人员专业对口且经验丰富，配备设施设备齐全，响应时间满足采购文件要求；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343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三、保修期外维保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就投标人提供的保修期外维保服务范围、内容、响应时间及维保费用情况、易损件、零配件及重要消耗品的价格、保修期外维保承诺与保证书等情况进行综合评审。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方案内容完整，维保范围、内容全面，响应时间满足采购文件要求，维保费用优惠合理，服务承诺对采购人有利；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10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四、技术培训方案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就投标人提供的技术培训内容及方式、培训计划、培训对象及配对团队方案等情况进行综合评审。</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(1)方案优于要求，得3分；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343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五、供货方案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就投标人提供的产品供货方案、安装调试方案及配送承诺等方案进行综合评审。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供货方案科学合理、周期可控，安装调试步骤清晰、标准规范，配送承诺明确具体、保障到位，能确保产品按时、按质、按量送达并完成安装调试，满足采购人使用需求；</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(1)方案优于要求，得5分；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1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六、应急措施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就投标人提供的应急程序和措施、应急响应及处置方案、技术支撑保障等方案进行综合评审。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应急程序规范完善、处置流程清晰可行，应急响应及时高效、处置措施针对性强，技术支撑保障有力、人员物资储备到位，可全面应对各类突发状况，充分保障采购人应急需求；</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(1)方案优于要求，得3分；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(2)方案符合要求，得2分；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(3)方案不符合要求或未提供方案的，得0分。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 </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根据投标人针对本项目供货产品的质保期进行综合比较后评分：</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投标人所投产品质保期响应招标文件最低要求基础上（三年），每增加一年加0.5分，最高得1分。未提供者不得分。（投标文件需提供加盖投标人公章的质保期承诺书，前后不一致以承诺书为准）。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所投产品的投标人或产品制造商（必须与投标文件中产品型号一致）2021年4月1日以来有销售业绩的（非单一产品包为核心产品）。每提供一份有效业绩证明材料得1分，最多得5分。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①业绩证明材料需同时提供合同和验收证明复印件加盖投标单位公章，合同须能体现签订单位信息、签订时间、产品名称、型号、价格等相关信息，否则视为无效合同。</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②统招分签的合同按一个合同业绩计。</w:t>
            </w:r>
            <w:r>
              <w:rPr>
                <w:rFonts w:ascii="SimSun" w:hAnsi="SimSun" w:eastAsia="SimSun" w:cs="SimSun"/>
                <w:color w:val="000000"/>
                <w:sz w:val="24"/>
              </w:rPr>
              <w:t xml:space="preserve">【多个合同项目名称一致的，均按一个合同计】</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③合同中的产品名称及产品型号请加以明显标记，以方便评审和核对。</w:t>
            </w:r>
            <w:r/>
          </w:p>
          <w:p>
            <w:pPr>
              <w:ind w:left="63"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④合同评审中的重要信息因存在内容模糊、无法辨认而产生不利于该项评审的情况，投标人自行承担后果。</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1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05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分值合计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r>
        <w:rPr>
          <w:rFonts w:hint="eastAsia" w:ascii="黑体" w:hAnsi="Times New Roman" w:eastAsia="黑体"/>
          <w:bCs/>
          <w:color w:val="000000"/>
          <w:sz w:val="44"/>
          <w:szCs w:val="28"/>
        </w:rPr>
        <w:t xml:space="preserve">文件格式</w:t>
      </w:r>
      <w:r/>
    </w:p>
    <w:p>
      <w:pPr>
        <w:jc w:val="center"/>
        <w:rPr>
          <w:rFonts w:hint="eastAsia" w:ascii="宋体" w:hAnsi="宋体"/>
          <w:b/>
          <w:color w:val="000000"/>
          <w:sz w:val="72"/>
          <w:szCs w:val="21"/>
        </w:rPr>
      </w:pPr>
      <w:r/>
      <w:bookmarkStart w:id="170" w:name="_Hlt26671244"/>
      <w:r/>
      <w:bookmarkEnd w:id="170"/>
      <w:r/>
      <w:bookmarkStart w:id="171" w:name="_Hlt26955039"/>
      <w:r/>
      <w:bookmarkEnd w:id="171"/>
      <w:r/>
      <w:bookmarkStart w:id="172" w:name="_Toc49090576"/>
      <w:r/>
      <w:bookmarkStart w:id="173" w:name="_Toc120614282"/>
      <w:r/>
      <w:bookmarkStart w:id="174"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lang w:eastAsia="zh-CN"/>
        </w:rPr>
        <w:t xml:space="preserve">、</w:t>
      </w:r>
      <w:r>
        <w:rPr>
          <w:rFonts w:hint="eastAsia" w:ascii="宋体" w:hAnsi="宋体"/>
          <w:sz w:val="24"/>
          <w:szCs w:val="21"/>
          <w:lang w:val="en-US" w:eastAsia="zh-CN"/>
        </w:rPr>
        <w:t xml:space="preserve">附件14</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ascii="宋体" w:hAnsi="宋体"/>
          <w:b/>
          <w:sz w:val="24"/>
          <w:szCs w:val="21"/>
        </w:rPr>
      </w:pPr>
      <w:r>
        <w:rPr>
          <w:rFonts w:ascii="宋体" w:hAnsi="宋体"/>
          <w:b/>
          <w:sz w:val="24"/>
          <w:szCs w:val="21"/>
        </w:rPr>
      </w:r>
      <w:r/>
    </w:p>
    <w:p>
      <w:pPr>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19"/>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both"/>
        <w:rPr>
          <w:rFonts w:hint="eastAsia" w:ascii="宋体" w:hAnsi="宋体"/>
          <w:b/>
          <w:sz w:val="24"/>
          <w:szCs w:val="24"/>
          <w:lang w:val="en-US" w:eastAsia="zh-CN"/>
        </w:rPr>
      </w:pPr>
      <w:r>
        <w:rPr>
          <w:rFonts w:hint="eastAsia" w:ascii="宋体" w:hAnsi="宋体"/>
          <w:b/>
          <w:sz w:val="24"/>
          <w:szCs w:val="24"/>
          <w:lang w:val="en-US" w:eastAsia="zh-CN"/>
        </w:rPr>
      </w:r>
      <w:r/>
    </w:p>
    <w:p>
      <w:pPr>
        <w:jc w:val="both"/>
        <w:rPr>
          <w:rFonts w:hint="eastAsia" w:ascii="宋体" w:hAnsi="宋体"/>
          <w:b/>
          <w:sz w:val="24"/>
          <w:szCs w:val="24"/>
          <w:lang w:val="en-US" w:eastAsia="zh-CN"/>
        </w:rPr>
      </w:pPr>
      <w:r>
        <w:rPr>
          <w:rFonts w:hint="eastAsia" w:ascii="宋体" w:hAnsi="宋体"/>
          <w:b/>
          <w:sz w:val="24"/>
          <w:szCs w:val="24"/>
          <w:lang w:val="en-US" w:eastAsia="zh-CN"/>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1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p>
        </w:tc>
      </w:tr>
      <w:tr>
        <w:trPr>
          <w:cantSplit/>
          <w:trHeight w:val="767"/>
        </w:trPr>
        <w:tc>
          <w:tcPr>
            <w:gridSpan w:val="10"/>
            <w:tcW w:w="9263" w:type="dxa"/>
            <w:vAlign w:val="top"/>
            <w:textDirection w:val="lrTb"/>
            <w:noWrap w:val="false"/>
          </w:tcPr>
          <w:p>
            <w:pPr>
              <w:pStyle w:val="958"/>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1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1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72"/>
      <w:r/>
      <w:bookmarkEnd w:id="173"/>
      <w:r/>
      <w:bookmarkEnd w:id="174"/>
      <w:r/>
      <w:bookmarkStart w:id="175"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76" w:name="_Hlt26955070"/>
      <w:r/>
      <w:bookmarkEnd w:id="176"/>
      <w:r/>
      <w:bookmarkStart w:id="177" w:name="_Hlt26671380"/>
      <w:r/>
      <w:bookmarkEnd w:id="177"/>
      <w:r/>
      <w:bookmarkStart w:id="178" w:name="_格式3__银行出具的资信证明"/>
      <w:r/>
      <w:bookmarkEnd w:id="178"/>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19"/>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p>
    <w:p>
      <w:pPr>
        <w:pStyle w:val="958"/>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8"/>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09"/>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09"/>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09"/>
          <w:rFonts w:hint="eastAsia" w:ascii="宋体" w:hAnsi="宋体" w:eastAsia="宋体" w:cs="宋体"/>
          <w:i w:val="0"/>
          <w:iCs w:val="0"/>
          <w:caps w:val="0"/>
          <w:color w:val="000000"/>
          <w:spacing w:val="0"/>
          <w:sz w:val="24"/>
          <w:szCs w:val="24"/>
          <w:u w:val="single"/>
          <w:shd w:val="clear" w:color="auto" w:fill="ffffff"/>
        </w:rPr>
        <w:t xml:space="preserve">（厂名）</w:t>
      </w:r>
      <w:r>
        <w:rPr>
          <w:rStyle w:val="909"/>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09"/>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58"/>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09"/>
          <w:rFonts w:hint="eastAsia" w:ascii="宋体" w:hAnsi="宋体" w:eastAsia="宋体" w:cs="宋体"/>
          <w:i w:val="0"/>
          <w:iCs w:val="0"/>
          <w:caps w:val="0"/>
          <w:color w:val="000000"/>
          <w:spacing w:val="0"/>
          <w:sz w:val="24"/>
          <w:szCs w:val="24"/>
          <w:u w:val="single"/>
          <w:shd w:val="clear" w:color="auto" w:fill="ffffff"/>
        </w:rPr>
        <w:t xml:space="preserve">（产品名称</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09"/>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09"/>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09"/>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58"/>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p>
    <w:p>
      <w:pPr>
        <w:pStyle w:val="958"/>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p>
    <w:p>
      <w:pPr>
        <w:pStyle w:val="958"/>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58"/>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958"/>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pStyle w:val="958"/>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p>
    <w:p>
      <w:pPr>
        <w:pStyle w:val="95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p>
    <w:p>
      <w:pPr>
        <w:pStyle w:val="95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p>
    <w:p>
      <w:pPr>
        <w:pStyle w:val="95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p>
    <w:p>
      <w:pPr>
        <w:pStyle w:val="95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p>
    <w:p>
      <w:pPr>
        <w:pStyle w:val="95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p>
    <w:p>
      <w:pPr>
        <w:pStyle w:val="95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09"/>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p>
    <w:p>
      <w:pPr>
        <w:rPr>
          <w:rFonts w:hint="eastAsia" w:ascii="Times New Roman" w:hAnsi="Times New Roman" w:eastAsia="宋体" w:cs="Times New Roman"/>
          <w:highlight w:val="none"/>
        </w:rPr>
        <w:outlineLvl w:val="1"/>
      </w:pPr>
      <w:r>
        <w:rPr>
          <w:rFonts w:hint="eastAsia" w:ascii="宋体" w:hAnsi="宋体" w:eastAsia="宋体" w:cs="宋体"/>
          <w:i w:val="0"/>
          <w:iCs w:val="0"/>
          <w:caps w:val="0"/>
          <w:color w:val="000000"/>
          <w:spacing w:val="0"/>
          <w:sz w:val="24"/>
          <w:szCs w:val="24"/>
          <w:shd w:val="clear" w:color="auto" w:fill="ffffff"/>
          <w:lang w:val="en-US" w:eastAsia="zh-CN"/>
        </w:rPr>
        <w:br w:type="page" w:clear="all"/>
      </w:r>
      <w:r>
        <w:rPr>
          <w:rFonts w:ascii="Times New Roman" w:hAnsi="Times New Roman" w:cs="Times New Roman"/>
          <w:b/>
          <w:bCs/>
          <w:highlight w:val="none"/>
        </w:rPr>
        <w:t xml:space="preserve">附件十</w:t>
      </w:r>
      <w:r>
        <w:rPr>
          <w:rFonts w:ascii="Times New Roman" w:hAnsi="Times New Roman" w:cs="Times New Roman"/>
          <w:b/>
          <w:bCs/>
          <w:highlight w:val="none"/>
          <w:lang w:val="en-US" w:eastAsia="zh-CN"/>
        </w:rPr>
        <w:t xml:space="preserve">四</w:t>
      </w:r>
      <w:r>
        <w:rPr>
          <w:rFonts w:ascii="Times New Roman" w:hAnsi="Times New Roman" w:cs="Times New Roman"/>
          <w:b/>
          <w:bCs/>
          <w:highlight w:val="none"/>
        </w:rPr>
        <w:t xml:space="preserve">、投标人参加本次政府采购活动前3年内无涉及行贿等重大违法案件</w:t>
      </w:r>
      <w:r>
        <w:rPr>
          <w:rFonts w:hint="eastAsia" w:ascii="Times New Roman" w:hAnsi="Times New Roman" w:cs="Times New Roman"/>
          <w:b/>
          <w:bCs/>
          <w:highlight w:val="none"/>
          <w:lang w:val="en-US" w:eastAsia="zh-CN"/>
        </w:rPr>
        <w:t xml:space="preserve">声明</w:t>
      </w:r>
      <w:r>
        <w:rPr>
          <w:highlight w:val="none"/>
        </w:rPr>
      </w:r>
      <w:r/>
    </w:p>
    <w:p>
      <w:pPr>
        <w:rPr>
          <w:rFonts w:ascii="Times New Roman" w:hAnsi="Times New Roman" w:cs="Times New Roman"/>
          <w:b/>
          <w:bCs/>
          <w:highlight w:val="none"/>
        </w:rPr>
      </w:pPr>
      <w:r>
        <w:rPr>
          <w:rFonts w:ascii="Times New Roman" w:hAnsi="Times New Roman" w:cs="Times New Roman"/>
          <w:b/>
          <w:bCs/>
          <w:highlight w:val="none"/>
        </w:rPr>
      </w:r>
      <w:r>
        <w:rPr>
          <w:highlight w:val="none"/>
        </w:rPr>
      </w:r>
      <w:r/>
    </w:p>
    <w:p>
      <w:pPr>
        <w:jc w:val="center"/>
        <w:rPr>
          <w:rFonts w:ascii="Times New Roman" w:hAnsi="Times New Roman" w:cs="Times New Roman"/>
          <w:sz w:val="36"/>
          <w:szCs w:val="36"/>
          <w:highlight w:val="none"/>
        </w:rPr>
      </w:pPr>
      <w:r>
        <w:rPr>
          <w:rFonts w:ascii="Times New Roman" w:hAnsi="Times New Roman" w:cs="Times New Roman"/>
          <w:sz w:val="36"/>
          <w:szCs w:val="36"/>
          <w:highlight w:val="none"/>
        </w:rPr>
        <w:t xml:space="preserve">无涉及行贿等重大违法案件声明格式</w:t>
      </w:r>
      <w:r>
        <w:rPr>
          <w:highlight w:val="none"/>
        </w:rPr>
      </w:r>
      <w:r/>
    </w:p>
    <w:p>
      <w:pPr>
        <w:pStyle w:val="958"/>
        <w:spacing w:before="30" w:after="30" w:line="0" w:lineRule="atLeast"/>
        <w:shd w:val="clear" w:color="auto" w:fill="auto"/>
        <w:widowControl/>
        <w:rPr>
          <w:rFonts w:hint="eastAsia" w:ascii="宋体" w:hAnsi="宋体" w:eastAsia="宋体" w:cs="宋体"/>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ascii="Times New Roman" w:hAnsi="Times New Roman" w:cs="Times New Roman"/>
          <w:highlight w:val="none"/>
        </w:rPr>
        <w:t xml:space="preserve">   </w:t>
      </w:r>
      <w:r>
        <w:rPr>
          <w:rFonts w:hint="eastAsia" w:ascii="宋体" w:hAnsi="宋体" w:eastAsia="宋体" w:cs="宋体"/>
          <w:color w:val="000000"/>
          <w:highlight w:val="none"/>
          <w:shd w:val="clear" w:color="auto" w:fill="ffffff"/>
        </w:rPr>
        <w:t xml:space="preserve">：</w:t>
      </w:r>
      <w:r>
        <w:rPr>
          <w:highlight w:val="none"/>
        </w:rPr>
      </w:r>
      <w:r/>
    </w:p>
    <w:p>
      <w:pPr>
        <w:pStyle w:val="958"/>
        <w:spacing w:before="30" w:after="30" w:line="0" w:lineRule="atLeast"/>
        <w:shd w:val="clear" w:color="auto" w:fill="auto"/>
        <w:widowControl/>
        <w:rPr>
          <w:rFonts w:hint="eastAsia" w:ascii="宋体" w:hAnsi="宋体" w:eastAsia="宋体" w:cs="宋体"/>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shd w:val="clear" w:color="auto" w:fill="ffffff"/>
        </w:rPr>
        <w:t xml:space="preserve">我单位（供应商名称）郑重声明：</w:t>
      </w:r>
      <w:r/>
    </w:p>
    <w:p>
      <w:pPr>
        <w:pStyle w:val="958"/>
        <w:spacing w:before="30" w:after="30" w:line="0" w:lineRule="atLeast"/>
        <w:shd w:val="clear" w:color="auto" w:fill="auto"/>
        <w:widowControl/>
        <w:rPr>
          <w:rFonts w:hint="eastAsia" w:ascii="宋体" w:hAnsi="宋体" w:eastAsia="宋体" w:cs="宋体"/>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shd w:val="clear" w:color="auto" w:fill="ffffff"/>
        </w:rPr>
        <w:t xml:space="preserve">参加本次政府采购活动前3年内</w:t>
      </w:r>
      <w:r>
        <w:rPr>
          <w:rFonts w:hint="eastAsia" w:ascii="宋体" w:hAnsi="宋体" w:eastAsia="宋体" w:cs="宋体"/>
          <w:color w:val="000000"/>
          <w:highlight w:val="none"/>
          <w:u w:val="none"/>
          <w:shd w:val="clear" w:color="auto" w:fill="ffffff"/>
          <w:lang w:val="en-US" w:eastAsia="zh-CN"/>
        </w:rPr>
        <w:t xml:space="preserve">           </w:t>
      </w:r>
      <w:r>
        <w:rPr>
          <w:rFonts w:hint="eastAsia" w:ascii="宋体" w:hAnsi="宋体" w:eastAsia="宋体" w:cs="宋体"/>
          <w:color w:val="000000"/>
          <w:highlight w:val="none"/>
          <w:shd w:val="clear" w:color="auto" w:fill="ffffff"/>
        </w:rPr>
        <w:t xml:space="preserve">（在下划线上如实填写：有或没有）涉及行贿等重大违法案件。</w:t>
      </w:r>
      <w:r/>
    </w:p>
    <w:p>
      <w:pPr>
        <w:rPr>
          <w:rFonts w:ascii="Times New Roman" w:hAnsi="Times New Roman" w:cs="Times New Roman"/>
          <w:highlight w:val="cyan"/>
        </w:rPr>
      </w:pPr>
      <w:r>
        <w:rPr>
          <w:rFonts w:ascii="Times New Roman" w:hAnsi="Times New Roman" w:cs="Times New Roman"/>
          <w:highlight w:val="cyan"/>
        </w:rPr>
      </w:r>
      <w:r/>
    </w:p>
    <w:p>
      <w:pPr>
        <w:rPr>
          <w:rFonts w:ascii="Times New Roman" w:hAnsi="Times New Roman" w:cs="Times New Roman"/>
          <w:highlight w:val="cyan"/>
        </w:rPr>
      </w:pPr>
      <w:r>
        <w:rPr>
          <w:rFonts w:ascii="Times New Roman" w:hAnsi="Times New Roman" w:cs="Times New Roman"/>
          <w:highlight w:val="cyan"/>
        </w:rPr>
      </w:r>
      <w:r/>
    </w:p>
    <w:p>
      <w:pPr>
        <w:pStyle w:val="958"/>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958"/>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p>
    <w:p>
      <w:pPr>
        <w:pStyle w:val="958"/>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75"/>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5"/>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STKaiti">
    <w:panose1 w:val="02010600040101010101"/>
  </w:font>
  <w:font w:name="仿宋">
    <w:panose1 w:val="02010609060101010101"/>
  </w:font>
  <w:font w:name="SimHei">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04"/>
        <w:rFonts w:ascii="宋体" w:hAnsi="宋体"/>
      </w:rPr>
      <w:framePr w:wrap="around" w:vAnchor="text" w:hAnchor="margin" w:xAlign="center" w:y="1"/>
    </w:pPr>
    <w:r>
      <w:rPr>
        <w:rFonts w:ascii="宋体" w:hAnsi="宋体"/>
      </w:rPr>
      <w:fldChar w:fldCharType="begin"/>
    </w:r>
    <w:r>
      <w:rPr>
        <w:rStyle w:val="904"/>
        <w:rFonts w:ascii="宋体" w:hAnsi="宋体"/>
      </w:rPr>
      <w:instrText xml:space="preserve">PAGE  </w:instrText>
    </w:r>
    <w:r>
      <w:rPr>
        <w:rFonts w:ascii="宋体" w:hAnsi="宋体"/>
      </w:rPr>
      <w:fldChar w:fldCharType="separate"/>
    </w:r>
    <w:r>
      <w:rPr>
        <w:rStyle w:val="904"/>
        <w:rFonts w:ascii="宋体" w:hAnsi="宋体"/>
      </w:rPr>
      <w:t xml:space="preserve">22</w:t>
    </w:r>
    <w:r>
      <w:rPr>
        <w:rFonts w:ascii="宋体" w:hAnsi="宋体"/>
      </w:rPr>
      <w:fldChar w:fldCharType="end"/>
    </w:r>
    <w:r/>
  </w:p>
  <w:p>
    <w:pPr>
      <w:pStyle w:val="91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1</w: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6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6"/>
      <w:isLgl w:val="false"/>
      <w:suff w:val="nothing"/>
      <w:lvlText w:val=""/>
      <w:lvlJc w:val="left"/>
      <w:pPr>
        <w:ind w:left="0" w:firstLine="0"/>
      </w:pPr>
      <w:rPr>
        <w:rFonts w:hint="eastAsia"/>
      </w:rPr>
    </w:lvl>
    <w:lvl w:ilvl="6">
      <w:start w:val="1"/>
      <w:numFmt w:val="decimal"/>
      <w:pStyle w:val="897"/>
      <w:isLgl w:val="false"/>
      <w:suff w:val="nothing"/>
      <w:lvlText w:val=""/>
      <w:lvlJc w:val="left"/>
      <w:pPr>
        <w:ind w:left="0" w:firstLine="0"/>
      </w:pPr>
      <w:rPr>
        <w:rFonts w:hint="eastAsia"/>
      </w:rPr>
    </w:lvl>
    <w:lvl w:ilvl="7">
      <w:start w:val="1"/>
      <w:numFmt w:val="decimal"/>
      <w:pStyle w:val="898"/>
      <w:isLgl w:val="false"/>
      <w:suff w:val="nothing"/>
      <w:lvlText w:val=""/>
      <w:lvlJc w:val="left"/>
      <w:pPr>
        <w:ind w:left="0" w:firstLine="0"/>
      </w:pPr>
      <w:rPr>
        <w:rFonts w:hint="eastAsia"/>
      </w:rPr>
    </w:lvl>
    <w:lvl w:ilvl="8">
      <w:start w:val="1"/>
      <w:numFmt w:val="decimal"/>
      <w:pStyle w:val="899"/>
      <w:isLgl w:val="false"/>
      <w:suff w:val="nothing"/>
      <w:lvlText w:val=""/>
      <w:lvlJc w:val="left"/>
      <w:pPr>
        <w:ind w:left="0" w:firstLine="0"/>
      </w:pPr>
      <w:rPr>
        <w:rFonts w:hint="eastAsia"/>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20"/>
    <w:link w:val="956"/>
    <w:uiPriority w:val="0"/>
    <w:qFormat/>
    <w:pPr>
      <w:jc w:val="both"/>
      <w:widowControl w:val="off"/>
    </w:pPr>
    <w:rPr>
      <w:rFonts w:hint="default" w:ascii="Calibri" w:hAnsi="Calibri" w:eastAsia="宋体" w:cs="Times New Roman"/>
      <w:sz w:val="21"/>
      <w:szCs w:val="22"/>
      <w:lang w:val="en-US" w:eastAsia="zh-CN" w:bidi="ar-SA"/>
    </w:rPr>
  </w:style>
  <w:style w:type="paragraph" w:styleId="709">
    <w:name w:val="Heading 1"/>
    <w:basedOn w:val="708"/>
    <w:next w:val="708"/>
    <w:link w:val="742"/>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43"/>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44"/>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45"/>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46"/>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47"/>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49"/>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50"/>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style>
  <w:style w:type="table" w:styleId="719" w:default="1">
    <w:name w:val="Normal Table"/>
    <w:uiPriority w:val="99"/>
    <w:semiHidden/>
    <w:unhideWhenUsed/>
    <w:tblPr>
      <w:tblLayout w:type="fixed"/>
      <w:tblCellMar>
        <w:left w:w="108" w:type="dxa"/>
        <w:top w:w="0" w:type="dxa"/>
        <w:right w:w="108" w:type="dxa"/>
        <w:bottom w:w="0" w:type="dxa"/>
      </w:tblCellMar>
    </w:tblPr>
  </w:style>
  <w:style w:type="paragraph" w:styleId="720" w:customStyle="1">
    <w:name w:val="索引 41"/>
    <w:basedOn w:val="708"/>
    <w:next w:val="708"/>
    <w:uiPriority w:val="0"/>
    <w:qFormat/>
    <w:pPr>
      <w:ind w:left="600"/>
      <w:jc w:val="both"/>
    </w:pPr>
    <w:rPr>
      <w:rFonts w:ascii="Calibri" w:hAnsi="Calibri" w:cs="Times New Roman"/>
      <w:sz w:val="21"/>
    </w:rPr>
  </w:style>
  <w:style w:type="paragraph" w:styleId="721">
    <w:name w:val="toc 7"/>
    <w:basedOn w:val="708"/>
    <w:next w:val="708"/>
    <w:uiPriority w:val="39"/>
    <w:unhideWhenUsed/>
    <w:pPr>
      <w:ind w:left="1701" w:right="0" w:firstLine="0"/>
      <w:spacing w:after="57"/>
    </w:pPr>
  </w:style>
  <w:style w:type="paragraph" w:styleId="722">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toc 5"/>
    <w:basedOn w:val="708"/>
    <w:next w:val="708"/>
    <w:uiPriority w:val="39"/>
    <w:unhideWhenUsed/>
    <w:pPr>
      <w:ind w:left="1134" w:right="0" w:firstLine="0"/>
      <w:spacing w:after="57"/>
    </w:pPr>
  </w:style>
  <w:style w:type="paragraph" w:styleId="724">
    <w:name w:val="toc 3"/>
    <w:basedOn w:val="708"/>
    <w:next w:val="708"/>
    <w:uiPriority w:val="39"/>
    <w:unhideWhenUsed/>
    <w:pPr>
      <w:ind w:left="567" w:right="0" w:firstLine="0"/>
      <w:spacing w:after="57"/>
    </w:pPr>
  </w:style>
  <w:style w:type="paragraph" w:styleId="725">
    <w:name w:val="toc 8"/>
    <w:basedOn w:val="708"/>
    <w:next w:val="708"/>
    <w:uiPriority w:val="39"/>
    <w:unhideWhenUsed/>
    <w:pPr>
      <w:ind w:left="1984" w:right="0" w:firstLine="0"/>
      <w:spacing w:after="57"/>
    </w:pPr>
  </w:style>
  <w:style w:type="paragraph" w:styleId="726">
    <w:name w:val="endnote text"/>
    <w:basedOn w:val="708"/>
    <w:link w:val="888"/>
    <w:uiPriority w:val="99"/>
    <w:semiHidden/>
    <w:unhideWhenUsed/>
    <w:pPr>
      <w:spacing w:after="0" w:line="240" w:lineRule="auto"/>
    </w:pPr>
    <w:rPr>
      <w:sz w:val="20"/>
    </w:rPr>
  </w:style>
  <w:style w:type="paragraph" w:styleId="727">
    <w:name w:val="Footer"/>
    <w:basedOn w:val="708"/>
    <w:link w:val="761"/>
    <w:uiPriority w:val="99"/>
    <w:unhideWhenUsed/>
    <w:pPr>
      <w:spacing w:after="0" w:line="240" w:lineRule="auto"/>
      <w:tabs>
        <w:tab w:val="center" w:pos="7143" w:leader="none"/>
        <w:tab w:val="right" w:pos="14287" w:leader="none"/>
      </w:tabs>
    </w:pPr>
  </w:style>
  <w:style w:type="paragraph" w:styleId="728">
    <w:name w:val="Header"/>
    <w:basedOn w:val="708"/>
    <w:link w:val="759"/>
    <w:uiPriority w:val="99"/>
    <w:unhideWhenUsed/>
    <w:pPr>
      <w:spacing w:after="0" w:line="240" w:lineRule="auto"/>
      <w:tabs>
        <w:tab w:val="center" w:pos="7143" w:leader="none"/>
        <w:tab w:val="right" w:pos="14287" w:leader="none"/>
      </w:tabs>
    </w:pPr>
  </w:style>
  <w:style w:type="paragraph" w:styleId="729">
    <w:name w:val="toc 1"/>
    <w:basedOn w:val="708"/>
    <w:next w:val="708"/>
    <w:uiPriority w:val="39"/>
    <w:unhideWhenUsed/>
    <w:pPr>
      <w:ind w:left="0" w:right="0" w:firstLine="0"/>
      <w:spacing w:after="57"/>
    </w:pPr>
  </w:style>
  <w:style w:type="paragraph" w:styleId="730">
    <w:name w:val="toc 4"/>
    <w:basedOn w:val="708"/>
    <w:next w:val="708"/>
    <w:uiPriority w:val="39"/>
    <w:unhideWhenUsed/>
    <w:pPr>
      <w:ind w:left="850" w:right="0" w:firstLine="0"/>
      <w:spacing w:after="57"/>
    </w:pPr>
  </w:style>
  <w:style w:type="paragraph" w:styleId="731">
    <w:name w:val="Subtitle"/>
    <w:basedOn w:val="708"/>
    <w:next w:val="708"/>
    <w:link w:val="754"/>
    <w:uiPriority w:val="11"/>
    <w:qFormat/>
    <w:pPr>
      <w:spacing w:before="200" w:after="200"/>
    </w:pPr>
    <w:rPr>
      <w:sz w:val="24"/>
      <w:szCs w:val="24"/>
    </w:rPr>
  </w:style>
  <w:style w:type="paragraph" w:styleId="732">
    <w:name w:val="footnote text"/>
    <w:basedOn w:val="708"/>
    <w:link w:val="887"/>
    <w:uiPriority w:val="99"/>
    <w:semiHidden/>
    <w:unhideWhenUsed/>
    <w:pPr>
      <w:spacing w:after="40" w:line="240" w:lineRule="auto"/>
    </w:pPr>
    <w:rPr>
      <w:sz w:val="18"/>
    </w:rPr>
  </w:style>
  <w:style w:type="paragraph" w:styleId="733">
    <w:name w:val="toc 6"/>
    <w:basedOn w:val="708"/>
    <w:next w:val="708"/>
    <w:uiPriority w:val="39"/>
    <w:unhideWhenUsed/>
    <w:pPr>
      <w:ind w:left="1417" w:right="0" w:firstLine="0"/>
      <w:spacing w:after="57"/>
    </w:pPr>
  </w:style>
  <w:style w:type="paragraph" w:styleId="734">
    <w:name w:val="table of figures"/>
    <w:basedOn w:val="708"/>
    <w:next w:val="708"/>
    <w:uiPriority w:val="99"/>
    <w:unhideWhenUsed/>
    <w:pPr>
      <w:spacing w:after="0" w:afterAutospacing="0"/>
    </w:pPr>
  </w:style>
  <w:style w:type="paragraph" w:styleId="735">
    <w:name w:val="toc 2"/>
    <w:basedOn w:val="708"/>
    <w:next w:val="708"/>
    <w:uiPriority w:val="39"/>
    <w:unhideWhenUsed/>
    <w:pPr>
      <w:ind w:left="283" w:right="0" w:firstLine="0"/>
      <w:spacing w:after="57"/>
    </w:pPr>
  </w:style>
  <w:style w:type="paragraph" w:styleId="736">
    <w:name w:val="toc 9"/>
    <w:basedOn w:val="708"/>
    <w:next w:val="708"/>
    <w:uiPriority w:val="39"/>
    <w:unhideWhenUsed/>
    <w:pPr>
      <w:ind w:left="2268" w:right="0" w:firstLine="0"/>
      <w:spacing w:after="57"/>
    </w:pPr>
  </w:style>
  <w:style w:type="paragraph" w:styleId="737">
    <w:name w:val="Title"/>
    <w:basedOn w:val="708"/>
    <w:next w:val="708"/>
    <w:link w:val="753"/>
    <w:uiPriority w:val="10"/>
    <w:qFormat/>
    <w:pPr>
      <w:contextualSpacing/>
      <w:spacing w:before="300" w:after="200"/>
    </w:pPr>
    <w:rPr>
      <w:sz w:val="48"/>
      <w:szCs w:val="48"/>
    </w:rPr>
  </w:style>
  <w:style w:type="table" w:styleId="738">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39">
    <w:name w:val="endnote reference"/>
    <w:uiPriority w:val="99"/>
    <w:semiHidden/>
    <w:unhideWhenUsed/>
    <w:rPr>
      <w:vertAlign w:val="superscript"/>
    </w:rPr>
  </w:style>
  <w:style w:type="character" w:styleId="740">
    <w:name w:val="Hyperlink"/>
    <w:uiPriority w:val="99"/>
    <w:unhideWhenUsed/>
    <w:rPr>
      <w:color w:val="0000ff" w:themeColor="hyperlink"/>
      <w:u w:val="single"/>
      <w14:textFill>
        <w14:solidFill>
          <w14:schemeClr w14:val="hlink"/>
        </w14:solidFill>
      </w14:textFill>
    </w:rPr>
  </w:style>
  <w:style w:type="character" w:styleId="741">
    <w:name w:val="footnote reference"/>
    <w:uiPriority w:val="99"/>
    <w:unhideWhenUsed/>
    <w:rPr>
      <w:vertAlign w:val="superscript"/>
    </w:rPr>
  </w:style>
  <w:style w:type="character" w:styleId="742" w:customStyle="1">
    <w:name w:val="Heading 1 Char"/>
    <w:link w:val="709"/>
    <w:uiPriority w:val="9"/>
    <w:rPr>
      <w:rFonts w:ascii="Arial" w:hAnsi="Arial" w:eastAsia="Arial" w:cs="Arial"/>
      <w:sz w:val="40"/>
      <w:szCs w:val="40"/>
    </w:rPr>
  </w:style>
  <w:style w:type="character" w:styleId="743" w:customStyle="1">
    <w:name w:val="Heading 2 Char"/>
    <w:link w:val="710"/>
    <w:uiPriority w:val="9"/>
    <w:rPr>
      <w:rFonts w:ascii="Arial" w:hAnsi="Arial" w:eastAsia="Arial" w:cs="Arial"/>
      <w:sz w:val="34"/>
    </w:rPr>
  </w:style>
  <w:style w:type="character" w:styleId="744" w:customStyle="1">
    <w:name w:val="Heading 3 Char"/>
    <w:link w:val="711"/>
    <w:uiPriority w:val="9"/>
    <w:rPr>
      <w:rFonts w:ascii="Arial" w:hAnsi="Arial" w:eastAsia="Arial" w:cs="Arial"/>
      <w:sz w:val="30"/>
      <w:szCs w:val="30"/>
    </w:rPr>
  </w:style>
  <w:style w:type="character" w:styleId="745" w:customStyle="1">
    <w:name w:val="Heading 4 Char"/>
    <w:link w:val="712"/>
    <w:uiPriority w:val="9"/>
    <w:rPr>
      <w:rFonts w:ascii="Arial" w:hAnsi="Arial" w:eastAsia="Arial" w:cs="Arial"/>
      <w:b/>
      <w:bCs/>
      <w:sz w:val="26"/>
      <w:szCs w:val="26"/>
    </w:rPr>
  </w:style>
  <w:style w:type="character" w:styleId="746" w:customStyle="1">
    <w:name w:val="Heading 5 Char"/>
    <w:link w:val="713"/>
    <w:uiPriority w:val="9"/>
    <w:rPr>
      <w:rFonts w:ascii="Arial" w:hAnsi="Arial" w:eastAsia="Arial" w:cs="Arial"/>
      <w:b/>
      <w:bCs/>
      <w:sz w:val="24"/>
      <w:szCs w:val="24"/>
    </w:rPr>
  </w:style>
  <w:style w:type="character" w:styleId="747" w:customStyle="1">
    <w:name w:val="Heading 6 Char"/>
    <w:link w:val="714"/>
    <w:uiPriority w:val="9"/>
    <w:qFormat/>
    <w:rPr>
      <w:rFonts w:ascii="Arial" w:hAnsi="Arial" w:eastAsia="Arial" w:cs="Arial"/>
      <w:b/>
      <w:bCs/>
      <w:sz w:val="22"/>
      <w:szCs w:val="22"/>
    </w:rPr>
  </w:style>
  <w:style w:type="character" w:styleId="748" w:customStyle="1">
    <w:name w:val="Heading 7 Char"/>
    <w:link w:val="715"/>
    <w:uiPriority w:val="9"/>
    <w:rPr>
      <w:rFonts w:ascii="Arial" w:hAnsi="Arial" w:eastAsia="Arial" w:cs="Arial"/>
      <w:b/>
      <w:bCs/>
      <w:i/>
      <w:iCs/>
      <w:sz w:val="22"/>
      <w:szCs w:val="22"/>
    </w:rPr>
  </w:style>
  <w:style w:type="character" w:styleId="749" w:customStyle="1">
    <w:name w:val="Heading 8 Char"/>
    <w:link w:val="716"/>
    <w:uiPriority w:val="9"/>
    <w:rPr>
      <w:rFonts w:ascii="Arial" w:hAnsi="Arial" w:eastAsia="Arial" w:cs="Arial"/>
      <w:i/>
      <w:iCs/>
      <w:sz w:val="22"/>
      <w:szCs w:val="22"/>
    </w:rPr>
  </w:style>
  <w:style w:type="character" w:styleId="750" w:customStyle="1">
    <w:name w:val="Heading 9 Char"/>
    <w:link w:val="717"/>
    <w:uiPriority w:val="9"/>
    <w:qFormat/>
    <w:rPr>
      <w:rFonts w:ascii="Arial" w:hAnsi="Arial" w:eastAsia="Arial" w:cs="Arial"/>
      <w:i/>
      <w:iCs/>
      <w:sz w:val="21"/>
      <w:szCs w:val="21"/>
    </w:rPr>
  </w:style>
  <w:style w:type="paragraph" w:styleId="751">
    <w:name w:val="List Paragraph"/>
    <w:basedOn w:val="708"/>
    <w:uiPriority w:val="34"/>
    <w:qFormat/>
    <w:pPr>
      <w:contextualSpacing/>
      <w:ind w:left="720"/>
    </w:pPr>
  </w:style>
  <w:style w:type="paragraph" w:styleId="752">
    <w:name w:val="No Spacing"/>
    <w:uiPriority w:val="1"/>
    <w:qFormat/>
    <w:pPr>
      <w:spacing w:before="0" w:after="0" w:line="240" w:lineRule="auto"/>
    </w:pPr>
    <w:rPr>
      <w:rFonts w:hint="default" w:ascii="Calibri" w:hAnsi="Calibri" w:eastAsia="宋体" w:cs="Times New Roman"/>
    </w:rPr>
  </w:style>
  <w:style w:type="character" w:styleId="753" w:customStyle="1">
    <w:name w:val="Title Char"/>
    <w:link w:val="737"/>
    <w:uiPriority w:val="10"/>
    <w:qFormat/>
    <w:rPr>
      <w:sz w:val="48"/>
      <w:szCs w:val="48"/>
    </w:rPr>
  </w:style>
  <w:style w:type="character" w:styleId="754" w:customStyle="1">
    <w:name w:val="Subtitle Char"/>
    <w:link w:val="731"/>
    <w:uiPriority w:val="11"/>
    <w:rPr>
      <w:sz w:val="24"/>
      <w:szCs w:val="24"/>
    </w:rPr>
  </w:style>
  <w:style w:type="paragraph" w:styleId="755">
    <w:name w:val="Quote"/>
    <w:basedOn w:val="708"/>
    <w:next w:val="708"/>
    <w:link w:val="756"/>
    <w:uiPriority w:val="29"/>
    <w:qFormat/>
    <w:pPr>
      <w:ind w:left="720" w:right="720"/>
    </w:pPr>
    <w:rPr>
      <w:i/>
    </w:rPr>
  </w:style>
  <w:style w:type="character" w:styleId="756" w:customStyle="1">
    <w:name w:val="Quote Char"/>
    <w:link w:val="755"/>
    <w:uiPriority w:val="29"/>
    <w:rPr>
      <w:i/>
    </w:rPr>
  </w:style>
  <w:style w:type="paragraph" w:styleId="757">
    <w:name w:val="Intense Quote"/>
    <w:basedOn w:val="708"/>
    <w:next w:val="708"/>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rPr>
      <w:i/>
    </w:rPr>
  </w:style>
  <w:style w:type="character" w:styleId="759" w:customStyle="1">
    <w:name w:val="Header Char"/>
    <w:link w:val="728"/>
    <w:uiPriority w:val="99"/>
  </w:style>
  <w:style w:type="character" w:styleId="760" w:customStyle="1">
    <w:name w:val="Footer Char"/>
    <w:link w:val="727"/>
    <w:uiPriority w:val="99"/>
  </w:style>
  <w:style w:type="character" w:styleId="761" w:customStyle="1">
    <w:name w:val="Caption Char"/>
    <w:link w:val="727"/>
    <w:uiPriority w:val="99"/>
  </w:style>
  <w:style w:type="table" w:styleId="762"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3"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uiPriority w:val="99"/>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7"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uiPriority w:val="99"/>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List Table 7 Colorful"/>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Footnote Text Char"/>
    <w:link w:val="732"/>
    <w:uiPriority w:val="99"/>
    <w:rPr>
      <w:sz w:val="18"/>
    </w:rPr>
  </w:style>
  <w:style w:type="character" w:styleId="888" w:customStyle="1">
    <w:name w:val="Endnote Text Char"/>
    <w:link w:val="726"/>
    <w:uiPriority w:val="99"/>
    <w:rPr>
      <w:sz w:val="20"/>
    </w:rPr>
  </w:style>
  <w:style w:type="paragraph" w:styleId="889" w:customStyle="1">
    <w:name w:val="TOC Heading"/>
    <w:uiPriority w:val="39"/>
    <w:unhideWhenUsed/>
    <w:rPr>
      <w:rFonts w:hint="default" w:ascii="Calibri" w:hAnsi="Calibri" w:eastAsia="宋体" w:cs="Times New Roman"/>
    </w:rPr>
  </w:style>
  <w:style w:type="paragraph" w:styleId="890" w:customStyle="1">
    <w:name w:val="标题 11"/>
    <w:basedOn w:val="708"/>
    <w:next w:val="708"/>
    <w:link w:val="915"/>
    <w:uiPriority w:val="0"/>
    <w:qFormat/>
    <w:pPr>
      <w:jc w:val="center"/>
      <w:keepNext/>
      <w:outlineLvl w:val="0"/>
    </w:pPr>
    <w:rPr>
      <w:rFonts w:ascii="楷体_GB2312" w:hAnsi="Times New Roman" w:eastAsia="楷体_GB2312" w:cs="Times New Roman"/>
      <w:sz w:val="28"/>
      <w:szCs w:val="28"/>
    </w:rPr>
  </w:style>
  <w:style w:type="paragraph" w:styleId="891" w:customStyle="1">
    <w:name w:val="标题 21"/>
    <w:basedOn w:val="708"/>
    <w:next w:val="892"/>
    <w:link w:val="90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2" w:customStyle="1">
    <w:name w:val="正文缩进1"/>
    <w:basedOn w:val="708"/>
    <w:link w:val="905"/>
    <w:uiPriority w:val="0"/>
    <w:pPr>
      <w:ind w:firstLine="420"/>
    </w:pPr>
    <w:rPr>
      <w:szCs w:val="21"/>
    </w:rPr>
  </w:style>
  <w:style w:type="paragraph" w:styleId="893" w:customStyle="1">
    <w:name w:val="标题 31"/>
    <w:basedOn w:val="708"/>
    <w:next w:val="892"/>
    <w:link w:val="93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4" w:customStyle="1">
    <w:name w:val="标题 41"/>
    <w:basedOn w:val="708"/>
    <w:next w:val="892"/>
    <w:link w:val="931"/>
    <w:uiPriority w:val="0"/>
    <w:qFormat/>
    <w:pPr>
      <w:keepLines/>
      <w:keepNext/>
      <w:spacing w:before="280" w:after="290" w:line="376" w:lineRule="auto"/>
      <w:outlineLvl w:val="3"/>
    </w:pPr>
    <w:rPr>
      <w:rFonts w:ascii="Arial" w:hAnsi="Arial" w:eastAsia="黑体" w:cs="Arial"/>
      <w:b/>
      <w:bCs/>
      <w:sz w:val="28"/>
      <w:szCs w:val="28"/>
    </w:rPr>
  </w:style>
  <w:style w:type="paragraph" w:styleId="895" w:customStyle="1">
    <w:name w:val="标题 51"/>
    <w:basedOn w:val="708"/>
    <w:next w:val="892"/>
    <w:link w:val="932"/>
    <w:uiPriority w:val="0"/>
    <w:qFormat/>
    <w:pPr>
      <w:keepNext/>
      <w:outlineLvl w:val="4"/>
    </w:pPr>
    <w:rPr>
      <w:rFonts w:ascii="宋体" w:hAnsi="Times New Roman" w:eastAsia="宋体" w:cs="Times New Roman"/>
      <w:color w:val="000000"/>
      <w:sz w:val="28"/>
      <w:szCs w:val="28"/>
    </w:rPr>
  </w:style>
  <w:style w:type="paragraph" w:styleId="896" w:customStyle="1">
    <w:name w:val="标题 61"/>
    <w:basedOn w:val="708"/>
    <w:next w:val="708"/>
    <w:link w:val="91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7" w:customStyle="1">
    <w:name w:val="标题 71"/>
    <w:basedOn w:val="708"/>
    <w:next w:val="708"/>
    <w:link w:val="93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8" w:customStyle="1">
    <w:name w:val="标题 81"/>
    <w:basedOn w:val="708"/>
    <w:next w:val="708"/>
    <w:link w:val="90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9" w:customStyle="1">
    <w:name w:val="标题 91"/>
    <w:basedOn w:val="708"/>
    <w:next w:val="708"/>
    <w:link w:val="93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0" w:customStyle="1">
    <w:name w:val="默认段落字体1"/>
    <w:link w:val="708"/>
    <w:uiPriority w:val="1"/>
    <w:unhideWhenUsed/>
  </w:style>
  <w:style w:type="table" w:styleId="901" w:customStyle="1">
    <w:name w:val="普通表格1"/>
    <w:uiPriority w:val="99"/>
    <w:unhideWhenUsed/>
    <w:tblPr/>
  </w:style>
  <w:style w:type="character" w:styleId="902" w:customStyle="1">
    <w:name w:val="要点1"/>
    <w:basedOn w:val="900"/>
    <w:link w:val="708"/>
    <w:uiPriority w:val="0"/>
    <w:qFormat/>
    <w:rPr>
      <w:b/>
      <w:bCs/>
    </w:rPr>
  </w:style>
  <w:style w:type="character" w:styleId="903" w:customStyle="1">
    <w:name w:val="标题 2 Char"/>
    <w:link w:val="891"/>
    <w:uiPriority w:val="0"/>
    <w:rPr>
      <w:rFonts w:ascii="Arial" w:hAnsi="Arial" w:eastAsia="幼圆" w:cs="Arial"/>
      <w:b/>
      <w:bCs/>
      <w:sz w:val="44"/>
      <w:szCs w:val="44"/>
    </w:rPr>
  </w:style>
  <w:style w:type="character" w:styleId="904" w:customStyle="1">
    <w:name w:val="页码1"/>
    <w:link w:val="708"/>
    <w:uiPriority w:val="0"/>
  </w:style>
  <w:style w:type="character" w:styleId="905" w:customStyle="1">
    <w:name w:val="正文缩进 Char"/>
    <w:link w:val="892"/>
    <w:uiPriority w:val="0"/>
    <w:rPr>
      <w:szCs w:val="21"/>
    </w:rPr>
  </w:style>
  <w:style w:type="character" w:styleId="906" w:customStyle="1">
    <w:name w:val="已访问的超链接1"/>
    <w:link w:val="708"/>
    <w:uiPriority w:val="0"/>
    <w:rPr>
      <w:color w:val="800080"/>
      <w:u w:val="single"/>
    </w:rPr>
  </w:style>
  <w:style w:type="character" w:styleId="907" w:customStyle="1">
    <w:name w:val="标题 8 Char"/>
    <w:link w:val="898"/>
    <w:uiPriority w:val="0"/>
    <w:rPr>
      <w:rFonts w:ascii="Arial" w:hAnsi="Arial" w:eastAsia="黑体" w:cs="Times New Roman"/>
      <w:sz w:val="24"/>
      <w:szCs w:val="24"/>
    </w:rPr>
  </w:style>
  <w:style w:type="character" w:styleId="908" w:customStyle="1">
    <w:name w:val="超链接1"/>
    <w:link w:val="708"/>
    <w:uiPriority w:val="0"/>
    <w:rPr>
      <w:color w:val="0000ff"/>
      <w:u w:val="single"/>
    </w:rPr>
  </w:style>
  <w:style w:type="character" w:styleId="909" w:customStyle="1">
    <w:name w:val="强调1"/>
    <w:basedOn w:val="900"/>
    <w:link w:val="708"/>
    <w:uiPriority w:val="0"/>
    <w:qFormat/>
    <w:rPr>
      <w:i/>
    </w:rPr>
  </w:style>
  <w:style w:type="character" w:styleId="910" w:customStyle="1">
    <w:name w:val="正文文本缩进 3 Char"/>
    <w:link w:val="911"/>
    <w:uiPriority w:val="0"/>
    <w:rPr>
      <w:rFonts w:ascii="Arial" w:hAnsi="Arial" w:eastAsia="仿宋_GB2312" w:cs="Arial"/>
      <w:color w:val="ffff00"/>
      <w:sz w:val="32"/>
      <w:szCs w:val="32"/>
    </w:rPr>
  </w:style>
  <w:style w:type="paragraph" w:styleId="911" w:customStyle="1">
    <w:name w:val="正文文本缩进 31"/>
    <w:basedOn w:val="708"/>
    <w:link w:val="910"/>
    <w:uiPriority w:val="0"/>
    <w:pPr>
      <w:ind w:left="645" w:firstLine="645"/>
    </w:pPr>
    <w:rPr>
      <w:rFonts w:ascii="Arial" w:hAnsi="Arial" w:eastAsia="仿宋_GB2312" w:cs="Arial"/>
      <w:color w:val="ffff00"/>
      <w:sz w:val="32"/>
      <w:szCs w:val="32"/>
    </w:rPr>
  </w:style>
  <w:style w:type="character" w:styleId="912" w:customStyle="1">
    <w:name w:val="批注引用1"/>
    <w:link w:val="708"/>
    <w:uiPriority w:val="0"/>
    <w:semiHidden/>
    <w:rPr>
      <w:sz w:val="21"/>
      <w:szCs w:val="21"/>
    </w:rPr>
  </w:style>
  <w:style w:type="character" w:styleId="913" w:customStyle="1">
    <w:name w:val="正文首行缩进 Char"/>
    <w:link w:val="914"/>
    <w:uiPriority w:val="0"/>
    <w:rPr>
      <w:rFonts w:ascii="仿宋_GB2312" w:hAnsi="Times New Roman" w:eastAsia="仿宋_GB2312" w:cs="Times New Roman"/>
      <w:sz w:val="30"/>
      <w:szCs w:val="30"/>
    </w:rPr>
  </w:style>
  <w:style w:type="paragraph" w:styleId="914" w:customStyle="1">
    <w:name w:val="正文首行缩进1"/>
    <w:basedOn w:val="708"/>
    <w:link w:val="913"/>
    <w:uiPriority w:val="0"/>
    <w:pPr>
      <w:ind w:firstLine="200"/>
      <w:spacing w:line="360" w:lineRule="auto"/>
    </w:pPr>
    <w:rPr>
      <w:rFonts w:ascii="仿宋_GB2312" w:hAnsi="Times New Roman" w:eastAsia="仿宋_GB2312" w:cs="Times New Roman"/>
      <w:sz w:val="30"/>
      <w:szCs w:val="30"/>
    </w:rPr>
  </w:style>
  <w:style w:type="character" w:styleId="915" w:customStyle="1">
    <w:name w:val="标题 1 Char"/>
    <w:link w:val="890"/>
    <w:uiPriority w:val="0"/>
    <w:rPr>
      <w:rFonts w:ascii="楷体_GB2312" w:hAnsi="Times New Roman" w:eastAsia="楷体_GB2312" w:cs="Times New Roman"/>
      <w:sz w:val="28"/>
      <w:szCs w:val="28"/>
    </w:rPr>
  </w:style>
  <w:style w:type="character" w:styleId="916" w:customStyle="1">
    <w:name w:val="页脚 Char"/>
    <w:link w:val="917"/>
    <w:uiPriority w:val="99"/>
    <w:rPr>
      <w:rFonts w:ascii="Times New Roman" w:hAnsi="Times New Roman" w:eastAsia="宋体" w:cs="Times New Roman"/>
      <w:sz w:val="18"/>
      <w:szCs w:val="18"/>
    </w:rPr>
  </w:style>
  <w:style w:type="paragraph" w:styleId="917" w:customStyle="1">
    <w:name w:val="页脚1"/>
    <w:basedOn w:val="708"/>
    <w:link w:val="91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18" w:customStyle="1">
    <w:name w:val="标题 6 Char"/>
    <w:link w:val="896"/>
    <w:uiPriority w:val="0"/>
    <w:rPr>
      <w:rFonts w:ascii="Arial" w:hAnsi="Arial" w:eastAsia="黑体" w:cs="Times New Roman"/>
      <w:b/>
      <w:bCs/>
      <w:sz w:val="24"/>
      <w:szCs w:val="24"/>
    </w:rPr>
  </w:style>
  <w:style w:type="character" w:styleId="919" w:customStyle="1">
    <w:name w:val="批注文字 Char"/>
    <w:link w:val="920"/>
    <w:uiPriority w:val="99"/>
    <w:semiHidden/>
  </w:style>
  <w:style w:type="paragraph" w:styleId="920" w:customStyle="1">
    <w:name w:val="批注文字1"/>
    <w:basedOn w:val="708"/>
    <w:link w:val="919"/>
    <w:uiPriority w:val="0"/>
    <w:unhideWhenUsed/>
    <w:pPr>
      <w:jc w:val="left"/>
    </w:pPr>
  </w:style>
  <w:style w:type="character" w:styleId="921" w:customStyle="1">
    <w:name w:val="批注框文本 Char"/>
    <w:link w:val="922"/>
    <w:uiPriority w:val="0"/>
    <w:semiHidden/>
    <w:rPr>
      <w:rFonts w:ascii="Times New Roman" w:hAnsi="Times New Roman" w:eastAsia="宋体" w:cs="Times New Roman"/>
      <w:sz w:val="18"/>
      <w:szCs w:val="18"/>
    </w:rPr>
  </w:style>
  <w:style w:type="paragraph" w:styleId="922" w:customStyle="1">
    <w:name w:val="批注框文本1"/>
    <w:basedOn w:val="708"/>
    <w:link w:val="921"/>
    <w:uiPriority w:val="0"/>
    <w:semiHidden/>
    <w:rPr>
      <w:rFonts w:ascii="Times New Roman" w:hAnsi="Times New Roman" w:eastAsia="宋体" w:cs="Times New Roman"/>
      <w:sz w:val="18"/>
      <w:szCs w:val="18"/>
    </w:rPr>
  </w:style>
  <w:style w:type="character" w:styleId="923" w:customStyle="1">
    <w:name w:val="font71"/>
    <w:basedOn w:val="900"/>
    <w:link w:val="708"/>
    <w:uiPriority w:val="0"/>
    <w:rPr>
      <w:rFonts w:hint="eastAsia" w:ascii="宋体" w:hAnsi="宋体" w:eastAsia="宋体" w:cs="宋体"/>
      <w:color w:val="ff0000"/>
      <w:sz w:val="22"/>
      <w:szCs w:val="22"/>
      <w:u w:val="none"/>
    </w:rPr>
  </w:style>
  <w:style w:type="character" w:styleId="924" w:customStyle="1">
    <w:name w:val="正文文本 Char"/>
    <w:link w:val="925"/>
    <w:uiPriority w:val="0"/>
    <w:rPr>
      <w:rFonts w:ascii="楷体_GB2312" w:hAnsi="Arial" w:eastAsia="楷体_GB2312" w:cs="Times New Roman"/>
      <w:sz w:val="28"/>
      <w:szCs w:val="28"/>
    </w:rPr>
  </w:style>
  <w:style w:type="paragraph" w:styleId="925" w:customStyle="1">
    <w:name w:val="正文文本1"/>
    <w:basedOn w:val="708"/>
    <w:link w:val="924"/>
    <w:uiPriority w:val="0"/>
    <w:rPr>
      <w:rFonts w:ascii="楷体_GB2312" w:hAnsi="Arial" w:eastAsia="楷体_GB2312" w:cs="Times New Roman"/>
      <w:sz w:val="28"/>
      <w:szCs w:val="28"/>
    </w:rPr>
  </w:style>
  <w:style w:type="character" w:styleId="926" w:customStyle="1">
    <w:name w:val="列出段落 Char"/>
    <w:link w:val="927"/>
    <w:uiPriority w:val="0"/>
    <w:rPr>
      <w:rFonts w:ascii="Calibri" w:hAnsi="Calibri"/>
      <w:sz w:val="24"/>
      <w:szCs w:val="24"/>
      <w:lang w:eastAsia="en-US" w:bidi="en-US"/>
    </w:rPr>
  </w:style>
  <w:style w:type="paragraph" w:styleId="927" w:customStyle="1">
    <w:name w:val="列出段落1"/>
    <w:basedOn w:val="708"/>
    <w:link w:val="926"/>
    <w:uiPriority w:val="0"/>
    <w:qFormat/>
    <w:pPr>
      <w:contextualSpacing/>
      <w:ind w:left="720"/>
      <w:jc w:val="left"/>
      <w:widowControl/>
    </w:pPr>
    <w:rPr>
      <w:rFonts w:ascii="Calibri" w:hAnsi="Calibri"/>
      <w:sz w:val="24"/>
      <w:szCs w:val="24"/>
      <w:lang w:eastAsia="en-US" w:bidi="en-US"/>
    </w:rPr>
  </w:style>
  <w:style w:type="character" w:styleId="928" w:customStyle="1">
    <w:name w:val="纯文本 Char"/>
    <w:link w:val="929"/>
    <w:uiPriority w:val="0"/>
    <w:rPr>
      <w:rFonts w:ascii="宋体" w:hAnsi="Courier New" w:eastAsia="宋体" w:cs="Courier New"/>
      <w:szCs w:val="21"/>
    </w:rPr>
  </w:style>
  <w:style w:type="paragraph" w:styleId="929" w:customStyle="1">
    <w:name w:val="纯文本1"/>
    <w:basedOn w:val="708"/>
    <w:link w:val="928"/>
    <w:uiPriority w:val="0"/>
    <w:qFormat/>
    <w:rPr>
      <w:rFonts w:ascii="宋体" w:hAnsi="Courier New" w:eastAsia="宋体" w:cs="Courier New"/>
      <w:szCs w:val="21"/>
    </w:rPr>
  </w:style>
  <w:style w:type="character" w:styleId="930" w:customStyle="1">
    <w:name w:val="标题 3 Char"/>
    <w:link w:val="893"/>
    <w:uiPriority w:val="0"/>
    <w:rPr>
      <w:rFonts w:ascii="Times New Roman" w:hAnsi="Times New Roman" w:eastAsia="宋体" w:cs="Times New Roman"/>
      <w:b/>
      <w:bCs/>
      <w:sz w:val="32"/>
      <w:szCs w:val="32"/>
    </w:rPr>
  </w:style>
  <w:style w:type="character" w:styleId="931" w:customStyle="1">
    <w:name w:val="标题 4 Char"/>
    <w:link w:val="894"/>
    <w:uiPriority w:val="0"/>
    <w:rPr>
      <w:rFonts w:ascii="Arial" w:hAnsi="Arial" w:eastAsia="黑体" w:cs="Arial"/>
      <w:b/>
      <w:bCs/>
      <w:sz w:val="28"/>
      <w:szCs w:val="28"/>
    </w:rPr>
  </w:style>
  <w:style w:type="character" w:styleId="932" w:customStyle="1">
    <w:name w:val="标题 5 Char"/>
    <w:link w:val="895"/>
    <w:uiPriority w:val="0"/>
    <w:rPr>
      <w:rFonts w:ascii="宋体" w:hAnsi="Times New Roman" w:eastAsia="宋体" w:cs="Times New Roman"/>
      <w:color w:val="000000"/>
      <w:sz w:val="28"/>
      <w:szCs w:val="28"/>
    </w:rPr>
  </w:style>
  <w:style w:type="character" w:styleId="933" w:customStyle="1">
    <w:name w:val="标题 7 Char"/>
    <w:link w:val="897"/>
    <w:uiPriority w:val="0"/>
    <w:rPr>
      <w:rFonts w:ascii="Times New Roman" w:hAnsi="Times New Roman" w:eastAsia="宋体" w:cs="Times New Roman"/>
      <w:b/>
      <w:bCs/>
      <w:sz w:val="24"/>
      <w:szCs w:val="24"/>
    </w:rPr>
  </w:style>
  <w:style w:type="character" w:styleId="934" w:customStyle="1">
    <w:name w:val="标题 9 Char"/>
    <w:link w:val="899"/>
    <w:uiPriority w:val="0"/>
    <w:rPr>
      <w:rFonts w:ascii="Arial" w:hAnsi="Arial" w:eastAsia="黑体" w:cs="Times New Roman"/>
      <w:szCs w:val="21"/>
    </w:rPr>
  </w:style>
  <w:style w:type="character" w:styleId="935" w:customStyle="1">
    <w:name w:val="文档结构图 Char"/>
    <w:link w:val="936"/>
    <w:uiPriority w:val="0"/>
    <w:semiHidden/>
    <w:rPr>
      <w:rFonts w:ascii="Times New Roman" w:hAnsi="Times New Roman" w:eastAsia="宋体" w:cs="Times New Roman"/>
      <w:szCs w:val="21"/>
      <w:shd w:val="clear" w:color="auto" w:fill="000080"/>
    </w:rPr>
  </w:style>
  <w:style w:type="paragraph" w:styleId="936" w:customStyle="1">
    <w:name w:val="文档结构图1"/>
    <w:basedOn w:val="708"/>
    <w:link w:val="935"/>
    <w:uiPriority w:val="0"/>
    <w:semiHidden/>
    <w:pPr>
      <w:shd w:val="clear" w:color="auto" w:fill="000080"/>
    </w:pPr>
    <w:rPr>
      <w:rFonts w:ascii="Times New Roman" w:hAnsi="Times New Roman" w:eastAsia="宋体" w:cs="Times New Roman"/>
      <w:szCs w:val="21"/>
    </w:rPr>
  </w:style>
  <w:style w:type="character" w:styleId="937" w:customStyle="1">
    <w:name w:val="正文文本 3 Char"/>
    <w:link w:val="938"/>
    <w:uiPriority w:val="0"/>
    <w:rPr>
      <w:rFonts w:ascii="仿宋_GB2312" w:hAnsi="Arial" w:eastAsia="仿宋_GB2312" w:cs="Times New Roman"/>
      <w:sz w:val="32"/>
      <w:szCs w:val="32"/>
    </w:rPr>
  </w:style>
  <w:style w:type="paragraph" w:styleId="938" w:customStyle="1">
    <w:name w:val="正文文本 31"/>
    <w:basedOn w:val="708"/>
    <w:link w:val="937"/>
    <w:uiPriority w:val="0"/>
    <w:rPr>
      <w:rFonts w:ascii="仿宋_GB2312" w:hAnsi="Arial" w:eastAsia="仿宋_GB2312" w:cs="Times New Roman"/>
      <w:sz w:val="32"/>
      <w:szCs w:val="32"/>
    </w:rPr>
  </w:style>
  <w:style w:type="character" w:styleId="939" w:customStyle="1">
    <w:name w:val="正文文本缩进 Char"/>
    <w:link w:val="940"/>
    <w:uiPriority w:val="99"/>
    <w:semiHidden/>
  </w:style>
  <w:style w:type="paragraph" w:styleId="940" w:customStyle="1">
    <w:name w:val="正文文本缩进1"/>
    <w:basedOn w:val="708"/>
    <w:link w:val="939"/>
    <w:uiPriority w:val="0"/>
    <w:unhideWhenUsed/>
    <w:pPr>
      <w:ind w:left="420"/>
      <w:spacing w:after="120"/>
    </w:pPr>
  </w:style>
  <w:style w:type="character" w:styleId="941" w:customStyle="1">
    <w:name w:val="日期 Char"/>
    <w:link w:val="942"/>
    <w:uiPriority w:val="0"/>
    <w:rPr>
      <w:rFonts w:ascii="Times New Roman" w:hAnsi="Times New Roman" w:eastAsia="宋体" w:cs="Times New Roman"/>
      <w:sz w:val="24"/>
      <w:szCs w:val="24"/>
    </w:rPr>
  </w:style>
  <w:style w:type="paragraph" w:styleId="942" w:customStyle="1">
    <w:name w:val="日期1"/>
    <w:basedOn w:val="708"/>
    <w:next w:val="708"/>
    <w:link w:val="941"/>
    <w:uiPriority w:val="0"/>
    <w:rPr>
      <w:rFonts w:ascii="Times New Roman" w:hAnsi="Times New Roman" w:eastAsia="宋体" w:cs="Times New Roman"/>
      <w:sz w:val="24"/>
      <w:szCs w:val="24"/>
    </w:rPr>
  </w:style>
  <w:style w:type="character" w:styleId="943" w:customStyle="1">
    <w:name w:val="正文文本缩进 2 Char"/>
    <w:link w:val="944"/>
    <w:uiPriority w:val="0"/>
    <w:rPr>
      <w:rFonts w:ascii="Arial" w:hAnsi="Arial" w:eastAsia="仿宋_GB2312" w:cs="Arial"/>
      <w:sz w:val="32"/>
      <w:szCs w:val="32"/>
    </w:rPr>
  </w:style>
  <w:style w:type="paragraph" w:styleId="944" w:customStyle="1">
    <w:name w:val="正文文本缩进 21"/>
    <w:basedOn w:val="708"/>
    <w:link w:val="943"/>
    <w:uiPriority w:val="0"/>
    <w:pPr>
      <w:ind w:left="630" w:firstLine="645"/>
    </w:pPr>
    <w:rPr>
      <w:rFonts w:ascii="Arial" w:hAnsi="Arial" w:eastAsia="仿宋_GB2312" w:cs="Arial"/>
      <w:sz w:val="32"/>
      <w:szCs w:val="32"/>
    </w:rPr>
  </w:style>
  <w:style w:type="character" w:styleId="945" w:customStyle="1">
    <w:name w:val="页眉 Char"/>
    <w:link w:val="946"/>
    <w:uiPriority w:val="0"/>
    <w:rPr>
      <w:rFonts w:ascii="Times New Roman" w:hAnsi="Times New Roman" w:eastAsia="宋体" w:cs="Times New Roman"/>
      <w:sz w:val="18"/>
      <w:szCs w:val="18"/>
    </w:rPr>
  </w:style>
  <w:style w:type="paragraph" w:styleId="946" w:customStyle="1">
    <w:name w:val="页眉1"/>
    <w:basedOn w:val="708"/>
    <w:link w:val="945"/>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7" w:customStyle="1">
    <w:name w:val="正文文本 2 Char"/>
    <w:link w:val="948"/>
    <w:uiPriority w:val="0"/>
    <w:rPr>
      <w:rFonts w:ascii="楷体_GB2312" w:hAnsi="Times New Roman" w:eastAsia="楷体_GB2312" w:cs="Times New Roman"/>
      <w:sz w:val="28"/>
      <w:szCs w:val="28"/>
    </w:rPr>
  </w:style>
  <w:style w:type="paragraph" w:styleId="948" w:customStyle="1">
    <w:name w:val="正文文本 21"/>
    <w:basedOn w:val="708"/>
    <w:link w:val="947"/>
    <w:uiPriority w:val="0"/>
    <w:pPr>
      <w:jc w:val="center"/>
      <w:widowControl/>
    </w:pPr>
    <w:rPr>
      <w:rFonts w:ascii="楷体_GB2312" w:hAnsi="Times New Roman" w:eastAsia="楷体_GB2312" w:cs="Times New Roman"/>
      <w:sz w:val="28"/>
      <w:szCs w:val="28"/>
    </w:rPr>
  </w:style>
  <w:style w:type="character" w:styleId="949" w:customStyle="1">
    <w:name w:val="批注主题 Char"/>
    <w:link w:val="950"/>
    <w:uiPriority w:val="0"/>
    <w:semiHidden/>
    <w:rPr>
      <w:rFonts w:ascii="Times New Roman" w:hAnsi="Times New Roman" w:eastAsia="宋体" w:cs="Times New Roman"/>
      <w:b/>
      <w:bCs/>
      <w:szCs w:val="21"/>
    </w:rPr>
  </w:style>
  <w:style w:type="paragraph" w:styleId="950" w:customStyle="1">
    <w:name w:val="批注主题1"/>
    <w:basedOn w:val="920"/>
    <w:next w:val="920"/>
    <w:link w:val="949"/>
    <w:uiPriority w:val="0"/>
    <w:semiHidden/>
    <w:rPr>
      <w:rFonts w:ascii="Times New Roman" w:hAnsi="Times New Roman" w:eastAsia="宋体" w:cs="Times New Roman"/>
      <w:b/>
      <w:bCs/>
      <w:szCs w:val="21"/>
    </w:rPr>
  </w:style>
  <w:style w:type="character" w:styleId="951" w:customStyle="1">
    <w:name w:val="正文首行缩进 2 Char"/>
    <w:link w:val="952"/>
    <w:uiPriority w:val="0"/>
    <w:rPr>
      <w:rFonts w:ascii="宋体" w:hAnsi="宋体" w:eastAsia="宋体" w:cs="Times New Roman"/>
      <w:szCs w:val="20"/>
    </w:rPr>
  </w:style>
  <w:style w:type="paragraph" w:styleId="952" w:customStyle="1">
    <w:name w:val="正文首行缩进 21"/>
    <w:basedOn w:val="940"/>
    <w:link w:val="951"/>
    <w:uiPriority w:val="0"/>
    <w:pPr>
      <w:ind w:left="0" w:firstLine="420"/>
      <w:spacing w:after="0" w:line="360" w:lineRule="auto"/>
    </w:pPr>
    <w:rPr>
      <w:rFonts w:ascii="宋体" w:hAnsi="宋体" w:eastAsia="宋体" w:cs="Times New Roman"/>
      <w:szCs w:val="20"/>
    </w:rPr>
  </w:style>
  <w:style w:type="character" w:styleId="953" w:customStyle="1">
    <w:name w:val="font5 Char"/>
    <w:link w:val="708"/>
    <w:uiPriority w:val="0"/>
    <w:rPr>
      <w:rFonts w:ascii="宋体" w:hAnsi="宋体" w:eastAsia="宋体"/>
      <w:sz w:val="28"/>
      <w:szCs w:val="28"/>
      <w:lang w:val="en-US" w:eastAsia="zh-CN" w:bidi="ar-SA"/>
    </w:rPr>
  </w:style>
  <w:style w:type="character" w:styleId="954" w:customStyle="1">
    <w:name w:val="二级目录 Char"/>
    <w:link w:val="955"/>
    <w:uiPriority w:val="0"/>
    <w:rPr>
      <w:b/>
      <w:sz w:val="30"/>
      <w:szCs w:val="28"/>
    </w:rPr>
  </w:style>
  <w:style w:type="paragraph" w:styleId="955" w:customStyle="1">
    <w:name w:val="二级目录"/>
    <w:next w:val="708"/>
    <w:link w:val="954"/>
    <w:uiPriority w:val="0"/>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56" w:customStyle="1">
    <w:name w:val="font11"/>
    <w:basedOn w:val="900"/>
    <w:link w:val="708"/>
    <w:uiPriority w:val="0"/>
    <w:rPr>
      <w:rFonts w:hint="eastAsia" w:ascii="宋体" w:hAnsi="宋体" w:eastAsia="宋体" w:cs="宋体"/>
      <w:color w:val="000000"/>
      <w:sz w:val="22"/>
      <w:szCs w:val="22"/>
      <w:u w:val="none"/>
    </w:rPr>
  </w:style>
  <w:style w:type="paragraph" w:styleId="957" w:customStyle="1">
    <w:name w:val="列表 21"/>
    <w:basedOn w:val="708"/>
    <w:uiPriority w:val="0"/>
    <w:pPr>
      <w:ind w:left="100" w:hanging="200"/>
    </w:pPr>
    <w:rPr>
      <w:rFonts w:ascii="Times New Roman" w:hAnsi="Times New Roman" w:eastAsia="宋体" w:cs="Times New Roman"/>
      <w:szCs w:val="21"/>
    </w:rPr>
  </w:style>
  <w:style w:type="paragraph" w:styleId="958" w:customStyle="1">
    <w:name w:val="普通(网站)1"/>
    <w:basedOn w:val="708"/>
    <w:uiPriority w:val="99"/>
    <w:pPr>
      <w:jc w:val="left"/>
      <w:spacing w:before="100" w:beforeAutospacing="1" w:after="100" w:afterAutospacing="1"/>
      <w:widowControl/>
    </w:pPr>
    <w:rPr>
      <w:rFonts w:ascii="宋体" w:hAnsi="宋体" w:eastAsia="宋体" w:cs="宋体"/>
      <w:sz w:val="24"/>
      <w:szCs w:val="24"/>
    </w:rPr>
  </w:style>
  <w:style w:type="paragraph" w:styleId="959" w:customStyle="1">
    <w:name w:val="目录 51"/>
    <w:basedOn w:val="708"/>
    <w:next w:val="708"/>
    <w:uiPriority w:val="0"/>
    <w:semiHidden/>
    <w:qFormat/>
    <w:pPr>
      <w:ind w:left="840"/>
      <w:jc w:val="left"/>
    </w:pPr>
    <w:rPr>
      <w:rFonts w:ascii="Times New Roman" w:hAnsi="Times New Roman" w:eastAsia="宋体" w:cs="Times New Roman"/>
      <w:szCs w:val="21"/>
    </w:rPr>
  </w:style>
  <w:style w:type="paragraph" w:styleId="960" w:customStyle="1">
    <w:name w:val="索引 11"/>
    <w:basedOn w:val="708"/>
    <w:next w:val="708"/>
    <w:uiPriority w:val="0"/>
    <w:semiHidden/>
    <w:pPr>
      <w:spacing w:line="240" w:lineRule="atLeast"/>
    </w:pPr>
    <w:rPr>
      <w:rFonts w:ascii="Times New Roman" w:hAnsi="Times New Roman" w:eastAsia="宋体" w:cs="Times New Roman"/>
      <w:b/>
      <w:bCs/>
      <w:szCs w:val="21"/>
    </w:rPr>
  </w:style>
  <w:style w:type="paragraph" w:styleId="961" w:customStyle="1">
    <w:name w:val="目录 81"/>
    <w:basedOn w:val="708"/>
    <w:next w:val="708"/>
    <w:uiPriority w:val="0"/>
    <w:semiHidden/>
    <w:pPr>
      <w:ind w:left="1470"/>
      <w:jc w:val="left"/>
    </w:pPr>
    <w:rPr>
      <w:rFonts w:ascii="Times New Roman" w:hAnsi="Times New Roman" w:eastAsia="宋体" w:cs="Times New Roman"/>
      <w:szCs w:val="21"/>
    </w:rPr>
  </w:style>
  <w:style w:type="paragraph" w:styleId="962" w:customStyle="1">
    <w:name w:val="图表目录1"/>
    <w:basedOn w:val="708"/>
    <w:next w:val="708"/>
    <w:uiPriority w:val="0"/>
    <w:semiHidden/>
    <w:pPr>
      <w:ind w:left="840" w:hanging="420"/>
    </w:pPr>
    <w:rPr>
      <w:rFonts w:ascii="Times New Roman" w:hAnsi="Times New Roman" w:eastAsia="宋体" w:cs="Times New Roman"/>
      <w:szCs w:val="21"/>
    </w:rPr>
  </w:style>
  <w:style w:type="paragraph" w:styleId="963" w:customStyle="1">
    <w:name w:val="目录 71"/>
    <w:basedOn w:val="708"/>
    <w:next w:val="708"/>
    <w:uiPriority w:val="0"/>
    <w:semiHidden/>
    <w:pPr>
      <w:ind w:left="1260"/>
      <w:jc w:val="left"/>
    </w:pPr>
    <w:rPr>
      <w:rFonts w:ascii="Times New Roman" w:hAnsi="Times New Roman" w:eastAsia="宋体" w:cs="Times New Roman"/>
      <w:szCs w:val="21"/>
    </w:rPr>
  </w:style>
  <w:style w:type="paragraph" w:styleId="964" w:customStyle="1">
    <w:name w:val="目录 91"/>
    <w:basedOn w:val="708"/>
    <w:next w:val="708"/>
    <w:uiPriority w:val="0"/>
    <w:semiHidden/>
    <w:pPr>
      <w:ind w:left="1680"/>
      <w:jc w:val="left"/>
    </w:pPr>
    <w:rPr>
      <w:rFonts w:ascii="Times New Roman" w:hAnsi="Times New Roman" w:eastAsia="宋体" w:cs="Times New Roman"/>
      <w:szCs w:val="21"/>
    </w:rPr>
  </w:style>
  <w:style w:type="paragraph" w:styleId="965" w:customStyle="1">
    <w:name w:val="目录 61"/>
    <w:basedOn w:val="708"/>
    <w:next w:val="708"/>
    <w:uiPriority w:val="0"/>
    <w:semiHidden/>
    <w:pPr>
      <w:ind w:left="1050"/>
      <w:jc w:val="left"/>
    </w:pPr>
    <w:rPr>
      <w:rFonts w:ascii="Times New Roman" w:hAnsi="Times New Roman" w:eastAsia="宋体" w:cs="Times New Roman"/>
      <w:szCs w:val="21"/>
    </w:rPr>
  </w:style>
  <w:style w:type="paragraph" w:styleId="966" w:customStyle="1">
    <w:name w:val="列表1"/>
    <w:basedOn w:val="708"/>
    <w:uiPriority w:val="0"/>
    <w:pPr>
      <w:ind w:left="200" w:hanging="200"/>
    </w:pPr>
    <w:rPr>
      <w:rFonts w:ascii="Times New Roman" w:hAnsi="Times New Roman" w:eastAsia="宋体" w:cs="Times New Roman"/>
      <w:szCs w:val="21"/>
    </w:rPr>
  </w:style>
  <w:style w:type="paragraph" w:styleId="967" w:customStyle="1">
    <w:name w:val="目录 21"/>
    <w:basedOn w:val="708"/>
    <w:next w:val="708"/>
    <w:uiPriority w:val="0"/>
    <w:semiHidden/>
    <w:pPr>
      <w:ind w:left="210"/>
      <w:jc w:val="left"/>
    </w:pPr>
    <w:rPr>
      <w:rFonts w:ascii="Times New Roman" w:hAnsi="Times New Roman" w:eastAsia="宋体" w:cs="Times New Roman"/>
      <w:smallCaps/>
      <w:szCs w:val="24"/>
    </w:rPr>
  </w:style>
  <w:style w:type="paragraph" w:styleId="968" w:customStyle="1">
    <w:name w:val="目录 41"/>
    <w:basedOn w:val="708"/>
    <w:next w:val="708"/>
    <w:uiPriority w:val="0"/>
    <w:semiHidden/>
    <w:pPr>
      <w:ind w:left="630"/>
      <w:jc w:val="left"/>
    </w:pPr>
    <w:rPr>
      <w:rFonts w:ascii="Times New Roman" w:hAnsi="Times New Roman" w:eastAsia="宋体" w:cs="Times New Roman"/>
      <w:szCs w:val="21"/>
    </w:rPr>
  </w:style>
  <w:style w:type="paragraph" w:styleId="969" w:customStyle="1">
    <w:name w:val="目录 11"/>
    <w:basedOn w:val="708"/>
    <w:next w:val="708"/>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0" w:customStyle="1">
    <w:name w:val="列表 31"/>
    <w:basedOn w:val="708"/>
    <w:uiPriority w:val="0"/>
    <w:pPr>
      <w:ind w:left="100" w:hanging="200"/>
    </w:pPr>
    <w:rPr>
      <w:rFonts w:ascii="Times New Roman" w:hAnsi="Times New Roman" w:eastAsia="宋体" w:cs="Times New Roman"/>
      <w:szCs w:val="21"/>
    </w:rPr>
  </w:style>
  <w:style w:type="paragraph" w:styleId="971" w:customStyle="1">
    <w:name w:val="目录 31"/>
    <w:basedOn w:val="708"/>
    <w:next w:val="708"/>
    <w:uiPriority w:val="0"/>
    <w:semiHidden/>
    <w:pPr>
      <w:ind w:left="420"/>
      <w:jc w:val="left"/>
    </w:pPr>
    <w:rPr>
      <w:rFonts w:ascii="Times New Roman" w:hAnsi="Times New Roman" w:eastAsia="宋体" w:cs="Times New Roman"/>
      <w:i/>
      <w:iCs/>
      <w:szCs w:val="24"/>
    </w:rPr>
  </w:style>
  <w:style w:type="paragraph" w:styleId="972" w:customStyle="1">
    <w:name w:val="4"/>
    <w:basedOn w:val="708"/>
    <w:next w:val="911"/>
    <w:uiPriority w:val="0"/>
    <w:qFormat/>
    <w:pPr>
      <w:ind w:firstLine="420"/>
      <w:spacing w:line="360" w:lineRule="auto"/>
    </w:pPr>
    <w:rPr>
      <w:rFonts w:ascii="Times New Roman" w:hAnsi="Times New Roman" w:eastAsia="宋体" w:cs="Times New Roman"/>
      <w:color w:val="ff0000"/>
      <w:sz w:val="24"/>
      <w:szCs w:val="24"/>
    </w:rPr>
  </w:style>
  <w:style w:type="paragraph" w:styleId="973"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4" w:customStyle="1">
    <w:name w:val=" Char Char Char Char Char Char Char Char"/>
    <w:basedOn w:val="708"/>
    <w:uiPriority w:val="0"/>
    <w:pPr>
      <w:jc w:val="left"/>
      <w:spacing w:after="160" w:line="240" w:lineRule="exact"/>
      <w:widowControl/>
    </w:pPr>
    <w:rPr>
      <w:rFonts w:ascii="Verdana" w:hAnsi="Verdana" w:eastAsia="宋体" w:cs="Times New Roman"/>
      <w:sz w:val="20"/>
      <w:szCs w:val="20"/>
      <w:lang w:eastAsia="en-US"/>
    </w:rPr>
  </w:style>
  <w:style w:type="paragraph" w:styleId="975" w:customStyle="1">
    <w:name w:val=" Char"/>
    <w:basedOn w:val="936"/>
    <w:uiPriority w:val="0"/>
    <w:rPr>
      <w:rFonts w:ascii="Tahoma" w:hAnsi="Tahoma"/>
      <w:sz w:val="24"/>
      <w:szCs w:val="24"/>
    </w:rPr>
  </w:style>
  <w:style w:type="paragraph" w:styleId="976" w:customStyle="1">
    <w:name w:val="xl29"/>
    <w:basedOn w:val="708"/>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customStyle="1">
    <w:name w:val="xl28"/>
    <w:basedOn w:val="70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customStyle="1">
    <w:name w:val="xl26"/>
    <w:basedOn w:val="70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customStyle="1">
    <w:name w:val="普通 (Web)"/>
    <w:basedOn w:val="708"/>
    <w:uiPriority w:val="0"/>
    <w:pPr>
      <w:jc w:val="left"/>
      <w:spacing w:before="100" w:beforeAutospacing="1" w:after="100" w:afterAutospacing="1"/>
      <w:widowControl/>
    </w:pPr>
    <w:rPr>
      <w:rFonts w:ascii="宋体" w:hAnsi="宋体" w:eastAsia="宋体" w:cs="Times New Roman"/>
      <w:sz w:val="24"/>
      <w:szCs w:val="24"/>
    </w:rPr>
  </w:style>
  <w:style w:type="paragraph" w:styleId="980" w:customStyle="1">
    <w:name w:val="font5"/>
    <w:basedOn w:val="708"/>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81" w:customStyle="1">
    <w:name w:val="图标"/>
    <w:basedOn w:val="708"/>
    <w:next w:val="708"/>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2" w:customStyle="1">
    <w:name w:val="标题1"/>
    <w:basedOn w:val="708"/>
    <w:next w:val="708"/>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customStyle="1">
    <w:name w:val="列出段落"/>
    <w:basedOn w:val="708"/>
    <w:uiPriority w:val="0"/>
    <w:qFormat/>
    <w:pPr>
      <w:contextualSpacing/>
      <w:ind w:left="720"/>
      <w:jc w:val="left"/>
      <w:widowControl/>
    </w:pPr>
    <w:rPr>
      <w:rFonts w:ascii="Calibri" w:hAnsi="Calibri" w:eastAsia="宋体" w:cs="Times New Roman"/>
      <w:sz w:val="24"/>
      <w:szCs w:val="24"/>
      <w:lang w:eastAsia="en-US" w:bidi="en-US"/>
    </w:rPr>
  </w:style>
  <w:style w:type="paragraph" w:styleId="984" w:customStyle="1">
    <w:name w:val="Char Char Char Char Char Char Char Char"/>
    <w:basedOn w:val="708"/>
    <w:uiPriority w:val="0"/>
    <w:pPr>
      <w:jc w:val="left"/>
      <w:spacing w:after="160" w:line="240" w:lineRule="exact"/>
      <w:widowControl/>
    </w:pPr>
    <w:rPr>
      <w:rFonts w:ascii="Verdana" w:hAnsi="Verdana" w:eastAsia="宋体" w:cs="Times New Roman"/>
      <w:sz w:val="20"/>
      <w:szCs w:val="20"/>
      <w:lang w:eastAsia="en-US"/>
    </w:rPr>
  </w:style>
  <w:style w:type="paragraph" w:styleId="985" w:customStyle="1">
    <w:name w:val=" Char Char Char Char"/>
    <w:basedOn w:val="936"/>
    <w:uiPriority w:val="0"/>
    <w:pPr>
      <w:spacing w:line="360" w:lineRule="auto"/>
    </w:pPr>
    <w:rPr>
      <w:rFonts w:ascii="Tahoma" w:hAnsi="Tahoma"/>
      <w:sz w:val="24"/>
      <w:szCs w:val="24"/>
    </w:rPr>
  </w:style>
  <w:style w:type="paragraph" w:styleId="98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7" w:customStyle="1">
    <w:name w:val="Char Char Char Char"/>
    <w:basedOn w:val="936"/>
    <w:uiPriority w:val="0"/>
    <w:pPr>
      <w:spacing w:line="360" w:lineRule="auto"/>
    </w:pPr>
    <w:rPr>
      <w:rFonts w:ascii="Tahoma" w:hAnsi="Tahoma"/>
      <w:sz w:val="24"/>
      <w:szCs w:val="24"/>
    </w:rPr>
  </w:style>
  <w:style w:type="paragraph" w:styleId="988" w:customStyle="1">
    <w:name w:val="table_lines"/>
    <w:basedOn w:val="708"/>
    <w:uiPriority w:val="0"/>
    <w:pPr>
      <w:jc w:val="left"/>
      <w:widowControl/>
    </w:pPr>
    <w:rPr>
      <w:rFonts w:ascii="Times New Roman" w:hAnsi="Times New Roman" w:eastAsia="宋体" w:cs="Times New Roman"/>
      <w:sz w:val="20"/>
      <w:szCs w:val="20"/>
      <w:lang w:val="de-DE" w:eastAsia="de-DE"/>
    </w:rPr>
  </w:style>
  <w:style w:type="paragraph" w:styleId="989" w:customStyle="1">
    <w:name w:val="font7"/>
    <w:basedOn w:val="708"/>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9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1" w:customStyle="1">
    <w:name w:val="xl27"/>
    <w:basedOn w:val="70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customStyle="1">
    <w:name w:val="标题3"/>
    <w:basedOn w:val="708"/>
    <w:next w:val="708"/>
    <w:uiPriority w:val="0"/>
    <w:pPr>
      <w:ind w:firstLine="624"/>
      <w:spacing w:line="590" w:lineRule="atLeast"/>
    </w:pPr>
    <w:rPr>
      <w:rFonts w:ascii="方正黑体_GBK" w:hAnsi="Times New Roman" w:eastAsia="方正黑体_GBK" w:cs="Times New Roman"/>
      <w:sz w:val="32"/>
      <w:szCs w:val="32"/>
    </w:rPr>
  </w:style>
  <w:style w:type="paragraph" w:styleId="993" w:customStyle="1">
    <w:name w:val="修订"/>
    <w:uiPriority w:val="99"/>
    <w:semiHidden/>
    <w:rPr>
      <w:rFonts w:hint="default" w:ascii="Times New Roman" w:hAnsi="Times New Roman" w:eastAsia="宋体" w:cs="Times New Roman"/>
      <w:sz w:val="21"/>
      <w:szCs w:val="21"/>
      <w:lang w:val="en-US" w:eastAsia="zh-CN" w:bidi="ar-SA"/>
    </w:rPr>
  </w:style>
  <w:style w:type="paragraph" w:styleId="994" w:customStyle="1">
    <w:name w:val="普通正文"/>
    <w:basedOn w:val="708"/>
    <w:uiPriority w:val="0"/>
    <w:pPr>
      <w:ind w:firstLine="480"/>
      <w:jc w:val="left"/>
      <w:spacing w:before="120" w:after="120" w:line="360" w:lineRule="auto"/>
    </w:pPr>
    <w:rPr>
      <w:rFonts w:ascii="Arial" w:hAnsi="Arial" w:eastAsia="宋体" w:cs="Times New Roman"/>
      <w:sz w:val="24"/>
      <w:szCs w:val="24"/>
    </w:rPr>
  </w:style>
  <w:style w:type="paragraph" w:styleId="995" w:customStyle="1">
    <w:name w:val="table_1stline"/>
    <w:basedOn w:val="708"/>
    <w:uiPriority w:val="0"/>
    <w:pPr>
      <w:jc w:val="left"/>
      <w:spacing w:before="120"/>
      <w:widowControl/>
    </w:pPr>
    <w:rPr>
      <w:rFonts w:ascii="Times New Roman" w:hAnsi="Times New Roman" w:eastAsia="宋体" w:cs="Times New Roman"/>
      <w:bCs/>
      <w:sz w:val="20"/>
      <w:szCs w:val="20"/>
      <w:lang w:val="de-DE" w:eastAsia="de-DE"/>
    </w:rPr>
  </w:style>
  <w:style w:type="paragraph" w:styleId="996" w:customStyle="1">
    <w:name w:val="Body Text(ch)"/>
    <w:basedOn w:val="708"/>
    <w:next w:val="925"/>
    <w:uiPriority w:val="0"/>
    <w:pPr>
      <w:spacing w:after="120"/>
    </w:pPr>
    <w:rPr>
      <w:rFonts w:ascii="宋体" w:hAnsi="Arial" w:eastAsia="宋体" w:cs="Times New Roman"/>
      <w:bCs/>
      <w:iCs/>
      <w:szCs w:val="24"/>
    </w:rPr>
  </w:style>
  <w:style w:type="paragraph" w:styleId="997" w:customStyle="1">
    <w:name w:val="xl24"/>
    <w:basedOn w:val="70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8" w:customStyle="1">
    <w:name w:val="Char"/>
    <w:basedOn w:val="708"/>
    <w:uiPriority w:val="0"/>
    <w:pPr>
      <w:ind w:firstLine="200"/>
      <w:tabs>
        <w:tab w:val="left" w:pos="360" w:leader="none"/>
      </w:tabs>
    </w:pPr>
    <w:rPr>
      <w:rFonts w:ascii="Times New Roman" w:hAnsi="Times New Roman" w:eastAsia="宋体" w:cs="Times New Roman"/>
      <w:sz w:val="28"/>
      <w:szCs w:val="30"/>
    </w:rPr>
  </w:style>
  <w:style w:type="paragraph" w:styleId="999" w:customStyle="1">
    <w:name w:val=" Char Char Char Char Char Char Char Char Char Char"/>
    <w:basedOn w:val="708"/>
    <w:uiPriority w:val="0"/>
    <w:pPr>
      <w:spacing w:line="360" w:lineRule="auto"/>
    </w:pPr>
    <w:rPr>
      <w:rFonts w:ascii="Times New Roman" w:hAnsi="Times New Roman" w:eastAsia="宋体" w:cs="Times New Roman"/>
      <w:sz w:val="24"/>
      <w:szCs w:val="20"/>
    </w:rPr>
  </w:style>
  <w:style w:type="paragraph" w:styleId="1000" w:customStyle="1">
    <w:name w:val="样式1"/>
    <w:basedOn w:val="708"/>
    <w:uiPriority w:val="0"/>
    <w:pPr>
      <w:numPr>
        <w:ilvl w:val="0"/>
        <w:numId w:val="3"/>
      </w:numPr>
    </w:pPr>
    <w:rPr>
      <w:rFonts w:ascii="宋体" w:hAnsi="宋体" w:eastAsia="宋体" w:cs="Times New Roman"/>
      <w:szCs w:val="21"/>
    </w:rPr>
  </w:style>
  <w:style w:type="paragraph" w:styleId="1001" w:customStyle="1">
    <w:name w:val="font6"/>
    <w:basedOn w:val="708"/>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1002" w:customStyle="1">
    <w:name w:val="xl25"/>
    <w:basedOn w:val="70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customStyle="1">
    <w:name w:val="xl30"/>
    <w:basedOn w:val="708"/>
    <w:uiPriority w:val="0"/>
    <w:pPr>
      <w:jc w:val="center"/>
      <w:spacing w:before="100" w:beforeAutospacing="1" w:after="100" w:afterAutospacing="1"/>
      <w:widowControl/>
    </w:pPr>
    <w:rPr>
      <w:rFonts w:ascii="宋体" w:hAnsi="宋体" w:eastAsia="宋体" w:cs="Times New Roman"/>
      <w:b/>
      <w:bCs/>
      <w:sz w:val="36"/>
      <w:szCs w:val="36"/>
    </w:rPr>
  </w:style>
  <w:style w:type="table" w:styleId="1004" w:customStyle="1">
    <w:name w:val="网格型1"/>
    <w:basedOn w:val="901"/>
    <w:uiPriority w:val="0"/>
    <w:pPr>
      <w:jc w:val="both"/>
      <w:widowControl w:val="off"/>
    </w:pPr>
    <w:rPr>
      <w:rFonts w:ascii="Times New Roman" w:hAnsi="Times New Roman" w:eastAsia="宋体" w:cs="Times New Roman"/>
      <w:sz w:val="20"/>
      <w:szCs w:val="20"/>
    </w:rPr>
    <w:tblPr/>
  </w:style>
  <w:style w:type="numbering" w:styleId="1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12</cp:revision>
  <dcterms:created xsi:type="dcterms:W3CDTF">2023-03-16T02:13:00Z</dcterms:created>
  <dcterms:modified xsi:type="dcterms:W3CDTF">2026-05-13T01:47:22Z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vt:lpwstr>
  </property>
</Properties>
</file>