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B94D5">
      <w:pPr>
        <w:spacing w:line="360" w:lineRule="auto"/>
        <w:rPr>
          <w:rFonts w:hint="eastAsia" w:ascii="CESI黑体-GB2312" w:hAnsi="CESI黑体-GB2312" w:eastAsia="CESI黑体-GB2312" w:cs="CESI黑体-GB2312"/>
          <w:color w:val="000000"/>
          <w:sz w:val="32"/>
          <w:szCs w:val="32"/>
          <w:highlight w:val="none"/>
        </w:rPr>
      </w:pPr>
    </w:p>
    <w:p w14:paraId="7A046CCF">
      <w:pPr>
        <w:spacing w:line="360" w:lineRule="auto"/>
        <w:ind w:firstLine="300"/>
        <w:rPr>
          <w:color w:val="000000"/>
          <w:sz w:val="60"/>
          <w:szCs w:val="60"/>
          <w:highlight w:val="none"/>
        </w:rPr>
      </w:pPr>
    </w:p>
    <w:p w14:paraId="407544F8">
      <w:pPr>
        <w:pStyle w:val="185"/>
        <w:rPr>
          <w:color w:val="000000"/>
          <w:highlight w:val="none"/>
        </w:rPr>
      </w:pPr>
    </w:p>
    <w:p w14:paraId="11B4891F">
      <w:pPr>
        <w:rPr>
          <w:color w:val="000000"/>
          <w:highlight w:val="none"/>
        </w:rPr>
      </w:pPr>
    </w:p>
    <w:p w14:paraId="3856A5FC">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常州市政府采购项目</w:t>
      </w:r>
    </w:p>
    <w:p w14:paraId="7F52DE54">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公开招标文件</w:t>
      </w:r>
    </w:p>
    <w:p w14:paraId="1EF9018C">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(服务类)</w:t>
      </w:r>
    </w:p>
    <w:p w14:paraId="49E9CF49">
      <w:pPr>
        <w:spacing w:line="360" w:lineRule="auto"/>
        <w:jc w:val="center"/>
        <w:rPr>
          <w:rFonts w:ascii="宋体" w:hAnsi="宋体"/>
          <w:b/>
          <w:bCs/>
          <w:color w:val="000000"/>
          <w:sz w:val="60"/>
          <w:szCs w:val="60"/>
          <w:highlight w:val="none"/>
        </w:rPr>
      </w:pPr>
    </w:p>
    <w:p w14:paraId="0E48922F">
      <w:pPr>
        <w:spacing w:line="360" w:lineRule="auto"/>
        <w:jc w:val="center"/>
        <w:rPr>
          <w:rFonts w:ascii="宋体" w:hAnsi="宋体"/>
          <w:b/>
          <w:bCs/>
          <w:color w:val="000000"/>
          <w:sz w:val="60"/>
          <w:szCs w:val="60"/>
          <w:highlight w:val="none"/>
        </w:rPr>
      </w:pPr>
    </w:p>
    <w:p w14:paraId="1FE008A4">
      <w:pPr>
        <w:pStyle w:val="185"/>
        <w:ind w:firstLine="420"/>
        <w:rPr>
          <w:color w:val="000000"/>
          <w:highlight w:val="none"/>
        </w:rPr>
      </w:pPr>
    </w:p>
    <w:p w14:paraId="0DACB269">
      <w:pPr>
        <w:spacing w:line="480" w:lineRule="auto"/>
        <w:ind w:left="3293" w:hanging="2100"/>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称：</w:t>
      </w:r>
      <w:bookmarkStart w:id="0" w:name="OLE_LINK3"/>
      <w:r>
        <w:rPr>
          <w:rFonts w:hint="eastAsia" w:ascii="Times New Roman" w:hAnsi="Times New Roman" w:eastAsia="宋体" w:cs="Times New Roman"/>
          <w:bCs/>
          <w:color w:val="000000"/>
          <w:sz w:val="30"/>
          <w:szCs w:val="30"/>
          <w:highlight w:val="none"/>
          <w:lang w:val="en-US" w:eastAsia="zh-CN"/>
        </w:rPr>
        <w:t>溧阳市残疾人商业补充保险</w:t>
      </w:r>
    </w:p>
    <w:bookmarkEnd w:id="0"/>
    <w:p w14:paraId="29BA1473">
      <w:pPr>
        <w:spacing w:line="480" w:lineRule="auto"/>
        <w:ind w:firstLine="1200"/>
        <w:rPr>
          <w:rFonts w:ascii="Times New Roman" w:hAnsi="Times New Roman" w:eastAsia="宋体" w:cs="Times New Roman"/>
          <w:bCs/>
          <w:color w:val="000000"/>
          <w:sz w:val="30"/>
          <w:szCs w:val="30"/>
          <w:highlight w:val="green"/>
          <w:lang w:val="en-US"/>
        </w:rPr>
      </w:pPr>
      <w:r>
        <w:rPr>
          <w:rFonts w:hint="eastAsia" w:ascii="Times New Roman" w:hAnsi="Times New Roman" w:eastAsia="宋体" w:cs="Times New Roman"/>
          <w:bCs/>
          <w:color w:val="000000"/>
          <w:sz w:val="30"/>
          <w:szCs w:val="30"/>
          <w:highlight w:val="none"/>
        </w:rPr>
        <w:t>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号</w:t>
      </w:r>
      <w:r>
        <w:rPr>
          <w:rFonts w:hint="eastAsia" w:ascii="Times New Roman" w:hAnsi="Times New Roman" w:eastAsia="宋体" w:cs="Times New Roman"/>
          <w:bCs/>
          <w:color w:val="000000"/>
          <w:sz w:val="30"/>
          <w:szCs w:val="30"/>
          <w:highlight w:val="none"/>
          <w:lang w:eastAsia="zh-CN"/>
        </w:rPr>
        <w:t>：</w:t>
      </w:r>
      <w:r>
        <w:rPr>
          <w:rFonts w:hint="eastAsia" w:cs="Times New Roman"/>
          <w:bCs/>
          <w:color w:val="000000"/>
          <w:sz w:val="30"/>
          <w:szCs w:val="30"/>
          <w:highlight w:val="none"/>
          <w:lang w:eastAsia="zh-CN"/>
        </w:rPr>
        <w:t>JSZC-320481-XYNN-G2026-000</w:t>
      </w:r>
      <w:r>
        <w:rPr>
          <w:rFonts w:hint="eastAsia" w:cs="Times New Roman"/>
          <w:bCs/>
          <w:color w:val="000000"/>
          <w:sz w:val="30"/>
          <w:szCs w:val="30"/>
          <w:highlight w:val="none"/>
          <w:lang w:val="en-US" w:eastAsia="zh-CN"/>
        </w:rPr>
        <w:t>3</w:t>
      </w:r>
    </w:p>
    <w:p w14:paraId="48C98A53">
      <w:pPr>
        <w:spacing w:line="480" w:lineRule="auto"/>
        <w:ind w:left="3293" w:hanging="2100"/>
        <w:rPr>
          <w:rFonts w:hint="eastAsia"/>
          <w:lang w:eastAsia="zh-CN"/>
        </w:rPr>
      </w:pPr>
      <w:r>
        <w:rPr>
          <w:rFonts w:hint="eastAsia" w:ascii="Times New Roman" w:hAnsi="Times New Roman" w:eastAsia="宋体" w:cs="Times New Roman"/>
          <w:bCs/>
          <w:color w:val="000000"/>
          <w:sz w:val="30"/>
          <w:szCs w:val="30"/>
          <w:highlight w:val="none"/>
        </w:rPr>
        <w:t>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称：</w:t>
      </w:r>
      <w:r>
        <w:rPr>
          <w:rFonts w:hint="eastAsia" w:ascii="Times New Roman" w:hAnsi="Times New Roman" w:eastAsia="宋体" w:cs="Times New Roman"/>
          <w:bCs/>
          <w:color w:val="000000"/>
          <w:sz w:val="30"/>
          <w:szCs w:val="30"/>
          <w:highlight w:val="none"/>
          <w:lang w:eastAsia="zh-CN"/>
        </w:rPr>
        <w:t>溧阳市残疾人联合会（本级）</w:t>
      </w:r>
    </w:p>
    <w:p w14:paraId="3DA987BD">
      <w:pPr>
        <w:spacing w:line="480" w:lineRule="auto"/>
        <w:ind w:firstLine="1200"/>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采购代理机构：</w:t>
      </w:r>
      <w:r>
        <w:rPr>
          <w:rFonts w:hint="eastAsia" w:ascii="Times New Roman" w:hAnsi="Times New Roman" w:eastAsia="宋体" w:cs="Times New Roman"/>
          <w:bCs/>
          <w:color w:val="000000"/>
          <w:sz w:val="30"/>
          <w:szCs w:val="30"/>
          <w:highlight w:val="none"/>
          <w:lang w:eastAsia="zh-CN"/>
        </w:rPr>
        <w:t>江苏鑫轶工程咨询有限公司</w:t>
      </w:r>
    </w:p>
    <w:p w14:paraId="1CDBB518">
      <w:pPr>
        <w:spacing w:line="480" w:lineRule="auto"/>
        <w:rPr>
          <w:color w:val="000000"/>
          <w:sz w:val="24"/>
          <w:highlight w:val="none"/>
        </w:rPr>
      </w:pPr>
    </w:p>
    <w:p w14:paraId="2FF97FE5">
      <w:pPr>
        <w:pStyle w:val="183"/>
        <w:rPr>
          <w:color w:val="000000"/>
          <w:sz w:val="24"/>
          <w:highlight w:val="none"/>
        </w:rPr>
      </w:pPr>
    </w:p>
    <w:p w14:paraId="59E4865A">
      <w:pPr>
        <w:pStyle w:val="184"/>
        <w:rPr>
          <w:color w:val="000000"/>
          <w:sz w:val="24"/>
          <w:highlight w:val="none"/>
        </w:rPr>
      </w:pPr>
    </w:p>
    <w:p w14:paraId="11FE94A6">
      <w:pPr>
        <w:rPr>
          <w:color w:val="000000"/>
          <w:sz w:val="24"/>
          <w:highlight w:val="none"/>
        </w:rPr>
      </w:pPr>
    </w:p>
    <w:p w14:paraId="1D5AD28C">
      <w:pPr>
        <w:pStyle w:val="213"/>
      </w:pPr>
    </w:p>
    <w:p w14:paraId="53E18FA9"/>
    <w:p w14:paraId="281C11E5">
      <w:pPr>
        <w:rPr>
          <w:rFonts w:hint="eastAsia"/>
          <w:color w:val="000000"/>
          <w:sz w:val="24"/>
          <w:highlight w:val="none"/>
          <w:lang w:val="en-US" w:eastAsia="zh-CN"/>
        </w:rPr>
      </w:pPr>
    </w:p>
    <w:p w14:paraId="2788C110">
      <w:pPr>
        <w:pStyle w:val="362"/>
        <w:spacing w:line="360" w:lineRule="auto"/>
        <w:rPr>
          <w:rFonts w:ascii="Times New Roman" w:hAnsi="Times New Roman" w:cs="Times New Roman"/>
          <w:color w:val="000000"/>
          <w:highlight w:val="none"/>
        </w:rPr>
      </w:pPr>
    </w:p>
    <w:p w14:paraId="799BED56">
      <w:pPr>
        <w:spacing w:line="360" w:lineRule="auto"/>
        <w:jc w:val="center"/>
        <w:outlineLvl w:val="0"/>
        <w:rPr>
          <w:rFonts w:hint="eastAsia" w:ascii="宋体" w:hAnsi="宋体" w:eastAsia="宋体" w:cs="宋体"/>
          <w:color w:val="000000"/>
          <w:sz w:val="24"/>
          <w:szCs w:val="24"/>
          <w:highlight w:val="none"/>
        </w:rPr>
      </w:pPr>
      <w:bookmarkStart w:id="1" w:name="_Toc104818924"/>
      <w:r>
        <w:rPr>
          <w:rFonts w:hint="eastAsia" w:ascii="宋体" w:hAnsi="宋体" w:eastAsia="宋体" w:cs="宋体"/>
          <w:b/>
          <w:color w:val="000000"/>
          <w:sz w:val="24"/>
          <w:szCs w:val="24"/>
          <w:highlight w:val="none"/>
        </w:rPr>
        <w:t>目      录</w:t>
      </w:r>
      <w:bookmarkEnd w:id="1"/>
    </w:p>
    <w:p w14:paraId="25811C16">
      <w:pPr>
        <w:pStyle w:val="234"/>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p>
    <w:p w14:paraId="41AE35D9">
      <w:pPr>
        <w:pStyle w:val="234"/>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259"/>
          <w:rFonts w:ascii="Times New Roman" w:hAnsi="Times New Roman"/>
        </w:rPr>
        <w:t>第一章   投标邀请</w:t>
      </w:r>
      <w:r>
        <w:rPr>
          <w:rFonts w:ascii="Times New Roman" w:hAnsi="Times New Roman"/>
        </w:rPr>
        <w:tab/>
      </w:r>
      <w:r>
        <w:rPr>
          <w:rFonts w:hint="eastAsia" w:ascii="Times New Roman" w:hAnsi="Times New Roman"/>
          <w:lang w:val="en-US" w:eastAsia="zh-CN"/>
        </w:rPr>
        <w:t>3</w:t>
      </w:r>
      <w:r>
        <w:rPr>
          <w:rFonts w:ascii="Times New Roman" w:hAnsi="Times New Roman"/>
        </w:rPr>
        <w:fldChar w:fldCharType="end"/>
      </w:r>
    </w:p>
    <w:p w14:paraId="6C40040B">
      <w:pPr>
        <w:pStyle w:val="234"/>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259"/>
          <w:rFonts w:ascii="Times New Roman" w:hAnsi="Times New Roman"/>
        </w:rPr>
        <w:t>第二章   投标人须知</w:t>
      </w:r>
      <w:r>
        <w:rPr>
          <w:rFonts w:ascii="Times New Roman" w:hAnsi="Times New Roman"/>
        </w:rPr>
        <w:tab/>
      </w:r>
      <w:r>
        <w:rPr>
          <w:rFonts w:hint="eastAsia" w:ascii="Times New Roman" w:hAnsi="Times New Roman"/>
          <w:lang w:val="en-US" w:eastAsia="zh-CN"/>
        </w:rPr>
        <w:t>6</w:t>
      </w:r>
      <w:r>
        <w:rPr>
          <w:rFonts w:ascii="Times New Roman" w:hAnsi="Times New Roman"/>
        </w:rPr>
        <w:fldChar w:fldCharType="end"/>
      </w:r>
    </w:p>
    <w:p w14:paraId="1C89F565">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"_Toc99301421" </w:instrText>
      </w:r>
      <w:r>
        <w:fldChar w:fldCharType="separate"/>
      </w:r>
      <w:r>
        <w:rPr>
          <w:rStyle w:val="259"/>
          <w:rFonts w:ascii="Times New Roman" w:hAnsi="Times New Roman"/>
        </w:rPr>
        <w:t>第三章   资</w:t>
      </w:r>
      <w:bookmarkStart w:id="2" w:name="_Hlt100754117"/>
      <w:r>
        <w:rPr>
          <w:rStyle w:val="259"/>
          <w:rFonts w:ascii="Times New Roman" w:hAnsi="Times New Roman"/>
        </w:rPr>
        <w:t>格</w:t>
      </w:r>
      <w:bookmarkEnd w:id="2"/>
      <w:r>
        <w:rPr>
          <w:rStyle w:val="259"/>
          <w:rFonts w:ascii="Times New Roman" w:hAnsi="Times New Roman"/>
        </w:rPr>
        <w:t>审查</w:t>
      </w:r>
      <w:r>
        <w:rPr>
          <w:rFonts w:ascii="Times New Roman" w:hAnsi="Times New Roman"/>
        </w:rPr>
        <w:tab/>
      </w:r>
      <w:r>
        <w:rPr>
          <w:rFonts w:hint="eastAsia" w:ascii="Times New Roman" w:hAnsi="Times New Roman"/>
          <w:lang w:val="en-US" w:eastAsia="zh-CN"/>
        </w:rPr>
        <w:t>1</w:t>
      </w:r>
      <w:r>
        <w:rPr>
          <w:rFonts w:ascii="Times New Roman" w:hAnsi="Times New Roman"/>
        </w:rPr>
        <w:fldChar w:fldCharType="end"/>
      </w:r>
      <w:r>
        <w:rPr>
          <w:rFonts w:hint="eastAsia" w:ascii="Times New Roman" w:hAnsi="Times New Roman"/>
          <w:lang w:val="en-US" w:eastAsia="zh-CN"/>
        </w:rPr>
        <w:t>3</w:t>
      </w:r>
    </w:p>
    <w:p w14:paraId="4B75D54F">
      <w:pPr>
        <w:pStyle w:val="234"/>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259"/>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14:paraId="2791DFA1">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"_Toc99301424" </w:instrText>
      </w:r>
      <w:r>
        <w:fldChar w:fldCharType="separate"/>
      </w:r>
      <w:r>
        <w:rPr>
          <w:rStyle w:val="259"/>
          <w:rFonts w:ascii="Times New Roman" w:hAnsi="Times New Roman"/>
        </w:rPr>
        <w:t>第五章   采购</w:t>
      </w:r>
      <w:bookmarkStart w:id="3" w:name="_Hlt100754102"/>
      <w:bookmarkStart w:id="4" w:name="_Hlt100754103"/>
      <w:r>
        <w:rPr>
          <w:rStyle w:val="259"/>
          <w:rFonts w:ascii="Times New Roman" w:hAnsi="Times New Roman"/>
        </w:rPr>
        <w:t>需</w:t>
      </w:r>
      <w:bookmarkEnd w:id="3"/>
      <w:bookmarkEnd w:id="4"/>
      <w:r>
        <w:rPr>
          <w:rStyle w:val="259"/>
          <w:rFonts w:ascii="Times New Roman" w:hAnsi="Times New Roman"/>
        </w:rPr>
        <w:t>求</w:t>
      </w:r>
      <w:r>
        <w:rPr>
          <w:rFonts w:ascii="Times New Roman" w:hAnsi="Times New Roman"/>
        </w:rPr>
        <w:tab/>
      </w:r>
      <w:r>
        <w:rPr>
          <w:rFonts w:hint="eastAsia" w:ascii="Times New Roman" w:hAnsi="Times New Roman"/>
          <w:lang w:val="en-US" w:eastAsia="zh-CN"/>
        </w:rPr>
        <w:t>2</w:t>
      </w:r>
      <w:r>
        <w:rPr>
          <w:rFonts w:ascii="Times New Roman" w:hAnsi="Times New Roman"/>
        </w:rPr>
        <w:fldChar w:fldCharType="end"/>
      </w:r>
      <w:r>
        <w:rPr>
          <w:rFonts w:hint="eastAsia" w:ascii="Times New Roman" w:hAnsi="Times New Roman"/>
          <w:lang w:val="en-US" w:eastAsia="zh-CN"/>
        </w:rPr>
        <w:t>3</w:t>
      </w:r>
    </w:p>
    <w:p w14:paraId="2163CA74">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259"/>
          <w:rFonts w:ascii="Times New Roman" w:hAnsi="Times New Roman"/>
        </w:rPr>
        <w:t>第六章   拟签订的合同文本</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0</w:t>
      </w:r>
    </w:p>
    <w:p w14:paraId="40D4B1ED">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259"/>
          <w:rFonts w:ascii="Times New Roman" w:hAnsi="Times New Roman"/>
        </w:rPr>
        <w:t>第七章   投标文件格式</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3</w:t>
      </w:r>
    </w:p>
    <w:p w14:paraId="4B932FAC">
      <w:pPr>
        <w:pStyle w:val="234"/>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p>
    <w:p w14:paraId="0E4108CA">
      <w:pPr>
        <w:pStyle w:val="234"/>
        <w:spacing w:line="360" w:lineRule="auto"/>
        <w:rPr>
          <w:rFonts w:hint="eastAsia" w:ascii="宋体" w:hAnsi="宋体" w:eastAsia="宋体" w:cs="宋体"/>
          <w:b w:val="0"/>
          <w:color w:val="000000"/>
          <w:sz w:val="24"/>
          <w:szCs w:val="24"/>
          <w:highlight w:val="none"/>
        </w:rPr>
      </w:pPr>
    </w:p>
    <w:p w14:paraId="45EE61AE">
      <w:pPr>
        <w:spacing w:line="360" w:lineRule="auto"/>
        <w:jc w:val="center"/>
        <w:outlineLvl w:val="0"/>
        <w:rPr>
          <w:rFonts w:hint="eastAsia" w:ascii="宋体" w:hAnsi="宋体" w:eastAsia="宋体" w:cs="宋体"/>
          <w:b/>
          <w:color w:val="000000"/>
          <w:sz w:val="24"/>
          <w:szCs w:val="24"/>
          <w:highlight w:val="none"/>
        </w:rPr>
        <w:sectPr>
          <w:footerReference r:id="rId5" w:type="first"/>
          <w:footerReference r:id="rId3" w:type="default"/>
          <w:footerReference r:id="rId4" w:type="even"/>
          <w:type w:val="nextColumn"/>
          <w:pgSz w:w="11907" w:h="16840"/>
          <w:pgMar w:top="1418" w:right="1134" w:bottom="1418" w:left="1701" w:header="851" w:footer="851" w:gutter="0"/>
          <w:pgNumType w:fmt="decimal" w:start="1"/>
          <w:cols w:space="1701" w:num="1"/>
          <w:docGrid w:linePitch="360" w:charSpace="0"/>
        </w:sectPr>
      </w:pPr>
      <w:r>
        <w:rPr>
          <w:rFonts w:hint="eastAsia" w:ascii="宋体" w:hAnsi="宋体" w:eastAsia="宋体" w:cs="宋体"/>
          <w:b/>
          <w:color w:val="000000"/>
          <w:sz w:val="24"/>
          <w:szCs w:val="24"/>
          <w:highlight w:val="none"/>
        </w:rPr>
        <w:br w:type="page" w:clear="all"/>
      </w:r>
    </w:p>
    <w:p w14:paraId="31D65FE5">
      <w:pPr>
        <w:spacing w:line="360" w:lineRule="auto"/>
        <w:jc w:val="center"/>
        <w:outlineLvl w:val="0"/>
        <w:rPr>
          <w:rFonts w:hint="eastAsia" w:ascii="宋体" w:hAnsi="宋体" w:eastAsia="宋体" w:cs="宋体"/>
          <w:b/>
          <w:color w:val="000000"/>
          <w:sz w:val="24"/>
          <w:szCs w:val="24"/>
          <w:highlight w:val="none"/>
        </w:rPr>
      </w:pPr>
      <w:bookmarkStart w:id="5" w:name="_Toc104818925"/>
      <w:r>
        <w:rPr>
          <w:rFonts w:hint="eastAsia" w:ascii="宋体" w:hAnsi="宋体" w:eastAsia="宋体" w:cs="宋体"/>
          <w:b/>
          <w:color w:val="000000"/>
          <w:sz w:val="24"/>
          <w:szCs w:val="24"/>
          <w:highlight w:val="none"/>
        </w:rPr>
        <w:t>第一章   采购邀请</w:t>
      </w:r>
      <w:bookmarkEnd w:id="5"/>
      <w:bookmarkStart w:id="6" w:name="_Toc35393621"/>
      <w:bookmarkStart w:id="7" w:name="_Toc28359002"/>
      <w:bookmarkStart w:id="8" w:name="_Toc28359079"/>
      <w:bookmarkStart w:id="9" w:name="_Toc35393790"/>
      <w:bookmarkStart w:id="10" w:name="_Hlk24379207"/>
    </w:p>
    <w:p w14:paraId="7B093A83">
      <w:pPr>
        <w:pageBreakBefore w:val="0"/>
        <w:spacing w:line="360" w:lineRule="auto"/>
        <w:rPr>
          <w:rFonts w:hint="eastAsia" w:ascii="宋体" w:hAnsi="宋体" w:eastAsia="宋体" w:cs="宋体"/>
          <w:color w:val="000000"/>
          <w:sz w:val="24"/>
          <w:szCs w:val="24"/>
          <w:highlight w:val="none"/>
        </w:rPr>
      </w:pPr>
    </w:p>
    <w:p w14:paraId="45B2ECE2">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一、项目基本情况</w:t>
      </w:r>
      <w:bookmarkEnd w:id="6"/>
      <w:bookmarkEnd w:id="7"/>
      <w:bookmarkEnd w:id="8"/>
      <w:bookmarkEnd w:id="9"/>
    </w:p>
    <w:p w14:paraId="38B424A2">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1.项目编号：</w:t>
      </w:r>
      <w:r>
        <w:rPr>
          <w:rFonts w:hint="eastAsia" w:ascii="宋体" w:hAnsi="宋体" w:cs="宋体"/>
          <w:color w:val="000000"/>
          <w:sz w:val="24"/>
          <w:szCs w:val="24"/>
          <w:highlight w:val="none"/>
          <w:lang w:eastAsia="zh-CN"/>
        </w:rPr>
        <w:t>JSZC-320481-XYNN-G2026-000</w:t>
      </w:r>
      <w:r>
        <w:rPr>
          <w:rFonts w:hint="eastAsia" w:ascii="宋体" w:hAnsi="宋体" w:cs="宋体"/>
          <w:color w:val="000000"/>
          <w:sz w:val="24"/>
          <w:szCs w:val="24"/>
          <w:highlight w:val="none"/>
          <w:lang w:val="en-US" w:eastAsia="zh-CN"/>
        </w:rPr>
        <w:t>3</w:t>
      </w:r>
    </w:p>
    <w:p w14:paraId="0EE4C1BA">
      <w:pPr>
        <w:pageBreakBefore w:val="0"/>
        <w:spacing w:line="460" w:lineRule="exact"/>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u w:val="none"/>
          <w:lang w:eastAsia="zh-CN"/>
        </w:rPr>
        <w:t>溧阳市残疾人商业补充保险</w:t>
      </w:r>
    </w:p>
    <w:bookmarkEnd w:id="10"/>
    <w:p w14:paraId="6A3B4BA9">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.项目预算金额：</w:t>
      </w:r>
      <w:r>
        <w:rPr>
          <w:rFonts w:hint="eastAsia" w:ascii="宋体" w:hAnsi="宋体" w:eastAsia="宋体" w:cs="宋体"/>
          <w:color w:val="000000"/>
          <w:sz w:val="24"/>
          <w:szCs w:val="24"/>
          <w:highlight w:val="none"/>
          <w:lang w:val="en-US" w:eastAsia="zh-CN"/>
        </w:rPr>
        <w:t>520万元，项目最高限价：260万元/年，固定价格，投标报价不得发生偏离</w:t>
      </w:r>
      <w:r>
        <w:rPr>
          <w:rFonts w:hint="eastAsia" w:ascii="宋体" w:hAnsi="宋体" w:eastAsia="宋体" w:cs="宋体"/>
          <w:color w:val="000000"/>
          <w:sz w:val="24"/>
          <w:szCs w:val="24"/>
          <w:highlight w:val="none"/>
          <w:lang w:eastAsia="zh-CN"/>
        </w:rPr>
        <w:t>。</w:t>
      </w:r>
    </w:p>
    <w:p w14:paraId="3D2BCD05">
      <w:pPr>
        <w:pageBreakBefore w:val="0"/>
        <w:spacing w:line="46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.采购需求：残疾人意外伤害险、残疾人大病补充保险</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详见采购需求</w:t>
      </w:r>
      <w:r>
        <w:rPr>
          <w:rFonts w:hint="eastAsia" w:ascii="宋体" w:hAnsi="宋体" w:eastAsia="宋体" w:cs="宋体"/>
          <w:color w:val="000000"/>
          <w:sz w:val="24"/>
          <w:szCs w:val="24"/>
          <w:highlight w:val="none"/>
          <w:lang w:eastAsia="zh-CN"/>
        </w:rPr>
        <w:t>。</w:t>
      </w:r>
    </w:p>
    <w:p w14:paraId="29000C36">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2年。</w:t>
      </w:r>
    </w:p>
    <w:p w14:paraId="1EF75F90">
      <w:pPr>
        <w:pageBreakBefore w:val="0"/>
        <w:numPr>
          <w:ilvl w:val="0"/>
          <w:numId w:val="0"/>
        </w:num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.本项目是否接受联合体：否。</w:t>
      </w:r>
    </w:p>
    <w:p w14:paraId="01464466">
      <w:pPr>
        <w:pageBreakBefore w:val="0"/>
        <w:spacing w:line="460" w:lineRule="exact"/>
        <w:ind w:firstLine="480"/>
        <w:rPr>
          <w:rFonts w:hint="eastAsia" w:ascii="宋体" w:hAnsi="宋体" w:eastAsia="宋体" w:cs="宋体"/>
          <w:color w:val="000000"/>
          <w:sz w:val="24"/>
          <w:szCs w:val="24"/>
          <w:highlight w:val="none"/>
        </w:rPr>
      </w:pPr>
      <w:bookmarkStart w:id="11" w:name="_Toc35393622"/>
      <w:bookmarkStart w:id="12" w:name="_Toc28359003"/>
      <w:bookmarkStart w:id="13" w:name="_Toc28359080"/>
      <w:bookmarkStart w:id="14" w:name="_Toc35393791"/>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.本项目是否接受进口产品响应：否。</w:t>
      </w:r>
    </w:p>
    <w:p w14:paraId="33175589">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二、申请人的资格要求</w:t>
      </w:r>
      <w:bookmarkEnd w:id="11"/>
      <w:bookmarkEnd w:id="12"/>
      <w:bookmarkEnd w:id="13"/>
      <w:bookmarkEnd w:id="14"/>
    </w:p>
    <w:p w14:paraId="5BE809D0">
      <w:pPr>
        <w:pageBreakBefore w:val="0"/>
        <w:spacing w:line="460" w:lineRule="exact"/>
        <w:ind w:firstLine="480"/>
        <w:rPr>
          <w:rFonts w:hint="eastAsia" w:ascii="宋体" w:hAnsi="宋体" w:eastAsia="宋体" w:cs="宋体"/>
          <w:color w:val="000000"/>
          <w:sz w:val="24"/>
          <w:szCs w:val="24"/>
          <w:highlight w:val="none"/>
        </w:rPr>
      </w:pPr>
      <w:bookmarkStart w:id="15" w:name="_Toc28359004"/>
      <w:bookmarkStart w:id="16" w:name="_Toc28359081"/>
      <w:r>
        <w:rPr>
          <w:rFonts w:hint="eastAsia" w:ascii="宋体" w:hAnsi="宋体" w:eastAsia="宋体" w:cs="宋体"/>
          <w:color w:val="000000"/>
          <w:sz w:val="24"/>
          <w:szCs w:val="24"/>
          <w:highlight w:val="none"/>
        </w:rPr>
        <w:t>1.满足《中华人民共和国政府采购法》第二十二条规定以及下列情形：</w:t>
      </w:r>
    </w:p>
    <w:p w14:paraId="140CA303">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1.1未被“信用中国”网站（WWW.creditchina.gov.cn）或“中国政府采购网”网站（www.ccgp.gov.cn）列入失信被执行人、重大税收违法案件当事人名单、政府采购严重失信行为记录名单；</w:t>
      </w:r>
    </w:p>
    <w:p w14:paraId="129636B2">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bookmarkEnd w:id="15"/>
    <w:bookmarkEnd w:id="16"/>
    <w:p w14:paraId="28AA41F5">
      <w:pPr>
        <w:spacing w:line="360" w:lineRule="auto"/>
        <w:ind w:firstLine="480"/>
        <w:rPr>
          <w:rFonts w:hint="eastAsia" w:eastAsia="宋体"/>
          <w:sz w:val="24"/>
          <w:lang w:eastAsia="zh-CN"/>
        </w:rPr>
      </w:pPr>
      <w:bookmarkStart w:id="17" w:name="_Toc35393792"/>
      <w:bookmarkStart w:id="18" w:name="_Toc35393623"/>
      <w:r>
        <w:rPr>
          <w:sz w:val="24"/>
        </w:rPr>
        <w:t>2.落实政府采购政策需满足的资格要求：</w:t>
      </w:r>
      <w:r>
        <w:rPr>
          <w:rFonts w:hint="eastAsia"/>
          <w:b/>
          <w:bCs/>
          <w:sz w:val="24"/>
        </w:rPr>
        <w:t>本项目</w:t>
      </w:r>
      <w:r>
        <w:rPr>
          <w:rFonts w:hint="eastAsia"/>
          <w:b/>
          <w:bCs/>
          <w:sz w:val="24"/>
          <w:lang w:val="en-US" w:eastAsia="zh-CN"/>
        </w:rPr>
        <w:t>不</w:t>
      </w:r>
      <w:r>
        <w:rPr>
          <w:rFonts w:hint="eastAsia"/>
          <w:b/>
          <w:bCs/>
          <w:sz w:val="24"/>
        </w:rPr>
        <w:t>专门面向中小企业</w:t>
      </w:r>
      <w:r>
        <w:rPr>
          <w:rFonts w:hint="eastAsia"/>
          <w:b/>
          <w:bCs/>
          <w:sz w:val="24"/>
          <w:lang w:val="en-US" w:eastAsia="zh-CN"/>
        </w:rPr>
        <w:t>预留</w:t>
      </w:r>
      <w:r>
        <w:rPr>
          <w:rFonts w:hint="eastAsia"/>
          <w:b/>
          <w:bCs/>
          <w:sz w:val="24"/>
        </w:rPr>
        <w:t>采购</w:t>
      </w:r>
      <w:r>
        <w:rPr>
          <w:rFonts w:hint="eastAsia"/>
          <w:b/>
          <w:bCs/>
          <w:sz w:val="24"/>
          <w:lang w:val="en-US" w:eastAsia="zh-CN"/>
        </w:rPr>
        <w:t>份额</w:t>
      </w:r>
      <w:r>
        <w:rPr>
          <w:rFonts w:hint="eastAsia"/>
          <w:b/>
          <w:bCs/>
          <w:sz w:val="24"/>
          <w:lang w:eastAsia="zh-CN"/>
        </w:rPr>
        <w:t>。</w:t>
      </w:r>
    </w:p>
    <w:p w14:paraId="36E2A0D4">
      <w:pPr>
        <w:spacing w:line="360" w:lineRule="auto"/>
        <w:ind w:firstLine="480"/>
        <w:rPr>
          <w:i/>
          <w:iCs/>
          <w:sz w:val="24"/>
          <w:u w:val="single"/>
        </w:rPr>
      </w:pPr>
      <w:r>
        <w:rPr>
          <w:sz w:val="24"/>
        </w:rPr>
        <w:t>3.本项目的特定资格要求：</w:t>
      </w:r>
    </w:p>
    <w:p w14:paraId="2A053160">
      <w:pPr>
        <w:tabs>
          <w:tab w:val="left" w:pos="900"/>
          <w:tab w:val="left" w:pos="1134"/>
          <w:tab w:val="left" w:pos="1589"/>
          <w:tab w:val="left" w:pos="5521"/>
        </w:tabs>
        <w:spacing w:line="360" w:lineRule="auto"/>
        <w:ind w:firstLine="480"/>
        <w:rPr>
          <w:sz w:val="24"/>
        </w:rPr>
      </w:pPr>
      <w:r>
        <w:rPr>
          <w:sz w:val="24"/>
        </w:rPr>
        <w:t>3.1本项目是否接受分支机构参与响应：</w:t>
      </w:r>
      <w:r>
        <w:rPr>
          <w:rFonts w:hint="eastAsia"/>
          <w:sz w:val="24"/>
          <w:lang w:val="en-US" w:eastAsia="zh-CN"/>
        </w:rPr>
        <w:t>是</w:t>
      </w:r>
      <w:r>
        <w:rPr>
          <w:sz w:val="24"/>
        </w:rPr>
        <w:t>；</w:t>
      </w:r>
    </w:p>
    <w:p w14:paraId="4A44F7D6">
      <w:pPr>
        <w:tabs>
          <w:tab w:val="left" w:pos="900"/>
          <w:tab w:val="left" w:pos="1134"/>
          <w:tab w:val="left" w:pos="1589"/>
          <w:tab w:val="left" w:pos="5521"/>
        </w:tabs>
        <w:spacing w:line="360" w:lineRule="auto"/>
        <w:ind w:firstLine="480"/>
        <w:rPr>
          <w:rFonts w:eastAsia="宋体"/>
          <w:sz w:val="24"/>
          <w:lang w:val="en-US" w:eastAsia="zh-CN"/>
        </w:rPr>
      </w:pPr>
      <w:r>
        <w:rPr>
          <w:sz w:val="24"/>
        </w:rPr>
        <w:t>3.2 本项目是否属于政府购买服务：</w:t>
      </w:r>
      <w:r>
        <w:rPr>
          <w:rFonts w:hint="eastAsia"/>
          <w:sz w:val="24"/>
          <w:lang w:val="en-US" w:eastAsia="zh-CN"/>
        </w:rPr>
        <w:t>否，</w:t>
      </w:r>
      <w:r>
        <w:rPr>
          <w:rFonts w:hint="eastAsia" w:ascii="宋体" w:hAnsi="宋体" w:eastAsia="宋体" w:cs="宋体"/>
          <w:color w:val="000000"/>
          <w:sz w:val="24"/>
          <w:highlight w:val="none"/>
        </w:rPr>
        <w:t>公益一类事业单位、使用事业编制且由财政拨款保障的群团组织，不得作为承接主体。</w:t>
      </w:r>
      <w:r>
        <w:rPr>
          <w:rFonts w:hint="eastAsia"/>
          <w:sz w:val="24"/>
          <w:lang w:val="en-US" w:eastAsia="zh-CN"/>
        </w:rPr>
        <w:t xml:space="preserve">  </w:t>
      </w:r>
    </w:p>
    <w:p w14:paraId="7492E87A">
      <w:pPr>
        <w:tabs>
          <w:tab w:val="left" w:pos="900"/>
          <w:tab w:val="left" w:pos="1134"/>
          <w:tab w:val="left" w:pos="1589"/>
          <w:tab w:val="left" w:pos="5521"/>
        </w:tabs>
        <w:spacing w:line="360" w:lineRule="auto"/>
        <w:ind w:firstLine="480"/>
        <w:rPr>
          <w:rFonts w:hint="eastAsia" w:eastAsia="宋体"/>
          <w:highlight w:val="none"/>
          <w:lang w:val="en-US" w:eastAsia="zh-CN"/>
        </w:rPr>
      </w:pPr>
      <w:r>
        <w:rPr>
          <w:rFonts w:ascii="Times New Roman" w:hAnsi="Times New Roman" w:eastAsia="宋体" w:cs="Times New Roman"/>
          <w:sz w:val="24"/>
          <w:highlight w:val="none"/>
        </w:rPr>
        <w:t>3.3其他特定资格要求：</w:t>
      </w:r>
      <w:r>
        <w:rPr>
          <w:rFonts w:hint="eastAsia" w:ascii="宋体" w:hAnsi="宋体" w:eastAsia="宋体" w:cs="仿宋"/>
          <w:b/>
          <w:bCs/>
          <w:color w:val="000000"/>
          <w:sz w:val="24"/>
          <w:highlight w:val="none"/>
          <w:lang w:val="en-US" w:eastAsia="zh-CN" w:bidi="ar"/>
        </w:rPr>
        <w:t>具有</w:t>
      </w:r>
      <w:r>
        <w:rPr>
          <w:rFonts w:hint="eastAsia" w:ascii="宋体" w:hAnsi="宋体" w:eastAsia="宋体" w:cs="宋体"/>
          <w:b/>
          <w:bCs/>
          <w:color w:val="000000"/>
          <w:sz w:val="24"/>
          <w:highlight w:val="none"/>
        </w:rPr>
        <w:t>国家</w:t>
      </w:r>
      <w:r>
        <w:rPr>
          <w:rFonts w:hint="eastAsia"/>
          <w:b/>
          <w:bCs/>
          <w:sz w:val="24"/>
        </w:rPr>
        <w:t>保险监督管理委员会颁发的《保险许可证》，且有该项目所有保险责任经营的相关许可</w:t>
      </w:r>
      <w:r>
        <w:rPr>
          <w:rFonts w:hint="eastAsia"/>
          <w:sz w:val="24"/>
        </w:rPr>
        <w:t>。</w:t>
      </w:r>
    </w:p>
    <w:p w14:paraId="358412FE">
      <w:pPr>
        <w:pStyle w:val="183"/>
        <w:pageBreakBefore w:val="0"/>
        <w:widowControl/>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三、获取采购文件</w:t>
      </w:r>
      <w:bookmarkEnd w:id="17"/>
      <w:bookmarkEnd w:id="18"/>
    </w:p>
    <w:p w14:paraId="6F2D813A">
      <w:pPr>
        <w:pageBreakBefore w:val="0"/>
        <w:numPr>
          <w:ilvl w:val="0"/>
          <w:numId w:val="0"/>
        </w:numPr>
        <w:spacing w:line="460" w:lineRule="exact"/>
        <w:ind w:firstLine="480"/>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1.时间：自本公告发布之日起五个工作日 。</w:t>
      </w:r>
    </w:p>
    <w:p w14:paraId="5E593FE8">
      <w:pPr>
        <w:pageBreakBefore w:val="0"/>
        <w:numPr>
          <w:ilvl w:val="0"/>
          <w:numId w:val="0"/>
        </w:numPr>
        <w:spacing w:line="460" w:lineRule="exact"/>
        <w:ind w:firstLine="480"/>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2.方式：</w:t>
      </w:r>
      <w:bookmarkStart w:id="19" w:name="_Toc35393798"/>
      <w:bookmarkStart w:id="20" w:name="_Toc28359089"/>
      <w:bookmarkStart w:id="21" w:name="_Toc35393629"/>
      <w:bookmarkStart w:id="22" w:name="_Toc28359012"/>
      <w:r>
        <w:rPr>
          <w:rFonts w:hint="eastAsia" w:ascii="宋体" w:hAnsi="宋体" w:eastAsia="宋体" w:cs="宋体"/>
          <w:b w:val="0"/>
          <w:color w:val="000000"/>
          <w:sz w:val="24"/>
          <w:szCs w:val="24"/>
          <w:highlight w:val="none"/>
          <w:lang w:val="en-US" w:eastAsia="zh-CN" w:bidi="ar-SA"/>
        </w:rPr>
        <w:t>供应商持CA数字认证证书登录“苏采云”系统</w:t>
      </w:r>
      <w:r>
        <w:rPr>
          <w:rFonts w:ascii="宋体" w:hAnsi="宋体" w:eastAsia="宋体" w:cs="宋体"/>
          <w:color w:val="000000"/>
          <w:sz w:val="24"/>
        </w:rPr>
        <w:t>（</w:t>
      </w:r>
      <w:r>
        <w:rPr>
          <w:rFonts w:ascii="Times New Roman" w:hAnsi="Times New Roman" w:eastAsia="Times New Roman" w:cs="Times New Roman"/>
          <w:color w:val="000000"/>
          <w:sz w:val="24"/>
        </w:rPr>
        <w:t>http://jszfcg.jsczt.cn/jszc/login</w:t>
      </w:r>
      <w:r>
        <w:rPr>
          <w:rFonts w:ascii="宋体" w:hAnsi="宋体" w:eastAsia="宋体" w:cs="宋体"/>
          <w:color w:val="000000"/>
          <w:sz w:val="24"/>
        </w:rPr>
        <w:t>）</w:t>
      </w:r>
      <w:r>
        <w:rPr>
          <w:rFonts w:hint="eastAsia" w:ascii="宋体" w:hAnsi="宋体" w:eastAsia="宋体" w:cs="宋体"/>
          <w:b w:val="0"/>
          <w:color w:val="000000"/>
          <w:sz w:val="24"/>
          <w:szCs w:val="24"/>
          <w:highlight w:val="none"/>
          <w:lang w:val="en-US" w:eastAsia="zh-CN" w:bidi="ar-SA"/>
        </w:rPr>
        <w:t>获取电子版招标文件</w:t>
      </w:r>
      <w:bookmarkEnd w:id="19"/>
      <w:bookmarkEnd w:id="20"/>
      <w:bookmarkEnd w:id="21"/>
      <w:bookmarkEnd w:id="22"/>
      <w:r>
        <w:rPr>
          <w:rFonts w:hint="eastAsia" w:ascii="宋体" w:hAnsi="宋体" w:eastAsia="宋体" w:cs="宋体"/>
          <w:b w:val="0"/>
          <w:color w:val="000000"/>
          <w:sz w:val="24"/>
          <w:szCs w:val="24"/>
          <w:highlight w:val="none"/>
          <w:lang w:val="en-US" w:eastAsia="zh-CN" w:bidi="ar-SA"/>
        </w:rPr>
        <w:t>。</w:t>
      </w:r>
    </w:p>
    <w:p w14:paraId="33ACDA7D">
      <w:pPr>
        <w:pageBreakBefore w:val="0"/>
        <w:numPr>
          <w:ilvl w:val="0"/>
          <w:numId w:val="0"/>
        </w:numPr>
        <w:spacing w:line="460" w:lineRule="exact"/>
        <w:ind w:firstLine="480"/>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3.售价：0元。</w:t>
      </w:r>
    </w:p>
    <w:p w14:paraId="722B574A">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四、响应文件提交：</w:t>
      </w:r>
    </w:p>
    <w:p w14:paraId="54968A48">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截止时间：</w:t>
      </w:r>
      <w:r>
        <w:rPr>
          <w:rFonts w:hint="eastAsia" w:ascii="宋体" w:hAnsi="宋体" w:eastAsia="宋体" w:cs="宋体"/>
          <w:color w:val="000000"/>
          <w:sz w:val="24"/>
          <w:szCs w:val="24"/>
          <w:highlight w:val="none"/>
          <w:lang w:val="en-US" w:eastAsia="zh-CN"/>
        </w:rPr>
        <w:t>2026年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日9</w:t>
      </w:r>
      <w:r>
        <w:rPr>
          <w:rFonts w:hint="eastAsia" w:ascii="宋体" w:hAnsi="宋体" w:eastAsia="宋体" w:cs="宋体"/>
          <w:color w:val="000000"/>
          <w:sz w:val="24"/>
          <w:szCs w:val="24"/>
          <w:highlight w:val="none"/>
        </w:rPr>
        <w:t>点</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分（北京时间）</w:t>
      </w:r>
    </w:p>
    <w:p w14:paraId="56039407">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地点</w:t>
      </w:r>
      <w:r>
        <w:rPr>
          <w:rFonts w:hint="eastAsia" w:ascii="宋体" w:hAnsi="宋体" w:eastAsia="宋体" w:cs="宋体"/>
          <w:b w:val="0"/>
          <w:color w:val="000000"/>
          <w:sz w:val="24"/>
          <w:szCs w:val="24"/>
          <w:highlight w:val="none"/>
          <w:lang w:val="en-US" w:eastAsia="zh-CN" w:bidi="ar-SA"/>
        </w:rPr>
        <w:t>：本项目采用不见面交易方式，无需到现场提交，供应商登录“苏采云”系统供应商端，通过系统在线提交电子响应文件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w:t>
      </w:r>
    </w:p>
    <w:p w14:paraId="4D57200D">
      <w:pPr>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五、开启</w:t>
      </w:r>
    </w:p>
    <w:p w14:paraId="0CE29421">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时间：</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日9</w:t>
      </w:r>
      <w:r>
        <w:rPr>
          <w:rFonts w:hint="eastAsia" w:ascii="宋体" w:hAnsi="宋体" w:eastAsia="宋体" w:cs="宋体"/>
          <w:color w:val="000000"/>
          <w:sz w:val="24"/>
          <w:szCs w:val="24"/>
          <w:highlight w:val="none"/>
        </w:rPr>
        <w:t>点</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分（北</w:t>
      </w:r>
      <w:bookmarkStart w:id="888" w:name="_GoBack"/>
      <w:bookmarkEnd w:id="888"/>
      <w:r>
        <w:rPr>
          <w:rFonts w:hint="eastAsia" w:ascii="宋体" w:hAnsi="宋体" w:eastAsia="宋体" w:cs="宋体"/>
          <w:color w:val="000000"/>
          <w:sz w:val="24"/>
          <w:szCs w:val="24"/>
          <w:highlight w:val="none"/>
        </w:rPr>
        <w:t>京时间）</w:t>
      </w:r>
    </w:p>
    <w:p w14:paraId="011D88A2">
      <w:pPr>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地点：本项目采用不见面交易方式，供应商登录</w:t>
      </w:r>
      <w:r>
        <w:rPr>
          <w:rFonts w:hint="eastAsia" w:ascii="宋体" w:hAnsi="宋体" w:eastAsia="宋体" w:cs="宋体"/>
          <w:b w:val="0"/>
          <w:color w:val="000000"/>
          <w:sz w:val="24"/>
          <w:szCs w:val="24"/>
          <w:highlight w:val="none"/>
          <w:lang w:val="en-US" w:eastAsia="zh-CN" w:bidi="ar-SA"/>
        </w:rPr>
        <w:t>“苏采云”系统</w:t>
      </w:r>
      <w:r>
        <w:rPr>
          <w:rFonts w:hint="eastAsia" w:ascii="宋体" w:hAnsi="宋体" w:eastAsia="宋体" w:cs="宋体"/>
          <w:color w:val="000000"/>
          <w:sz w:val="24"/>
          <w:szCs w:val="24"/>
          <w:highlight w:val="none"/>
        </w:rPr>
        <w:t>供应商端，通过系统在线解密电子响应文件</w:t>
      </w:r>
      <w:r>
        <w:rPr>
          <w:rFonts w:hint="eastAsia" w:ascii="宋体" w:hAnsi="宋体" w:eastAsia="宋体" w:cs="宋体"/>
          <w:color w:val="000000"/>
          <w:sz w:val="24"/>
          <w:szCs w:val="24"/>
          <w:highlight w:val="none"/>
          <w:lang w:val="zh-TW"/>
        </w:rPr>
        <w:t>。</w:t>
      </w:r>
    </w:p>
    <w:p w14:paraId="18A8F4F4">
      <w:pPr>
        <w:pStyle w:val="183"/>
        <w:pageBreakBefore w:val="0"/>
        <w:spacing w:before="0" w:line="460" w:lineRule="exact"/>
        <w:jc w:val="left"/>
        <w:rPr>
          <w:rFonts w:hint="eastAsia" w:ascii="宋体" w:hAnsi="宋体" w:eastAsia="宋体" w:cs="宋体"/>
          <w:color w:val="000000"/>
          <w:sz w:val="24"/>
          <w:szCs w:val="24"/>
          <w:highlight w:val="none"/>
        </w:rPr>
      </w:pPr>
      <w:bookmarkStart w:id="23" w:name="_Toc35393794"/>
      <w:bookmarkStart w:id="24" w:name="_Toc28359007"/>
      <w:bookmarkStart w:id="25" w:name="_Toc28359084"/>
      <w:bookmarkStart w:id="26" w:name="_Toc35393625"/>
      <w:r>
        <w:rPr>
          <w:rFonts w:hint="eastAsia" w:ascii="宋体" w:hAnsi="宋体" w:eastAsia="宋体" w:cs="宋体"/>
          <w:color w:val="000000"/>
          <w:sz w:val="24"/>
          <w:szCs w:val="24"/>
          <w:highlight w:val="none"/>
        </w:rPr>
        <w:t>六、公告期限</w:t>
      </w:r>
      <w:bookmarkEnd w:id="23"/>
      <w:bookmarkEnd w:id="24"/>
      <w:bookmarkEnd w:id="25"/>
      <w:bookmarkEnd w:id="26"/>
    </w:p>
    <w:p w14:paraId="0B088F11">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自本公告发布之日起</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个工作日。</w:t>
      </w:r>
    </w:p>
    <w:p w14:paraId="4FF5786C">
      <w:pPr>
        <w:pStyle w:val="183"/>
        <w:pageBreakBefore w:val="0"/>
        <w:spacing w:before="0" w:line="460" w:lineRule="exact"/>
        <w:jc w:val="left"/>
        <w:rPr>
          <w:rFonts w:hint="eastAsia" w:ascii="宋体" w:hAnsi="宋体" w:eastAsia="宋体" w:cs="宋体"/>
          <w:color w:val="000000"/>
          <w:sz w:val="24"/>
          <w:szCs w:val="24"/>
          <w:highlight w:val="none"/>
        </w:rPr>
      </w:pPr>
      <w:bookmarkStart w:id="27" w:name="_Toc35393795"/>
      <w:bookmarkStart w:id="28" w:name="_Toc35393626"/>
      <w:r>
        <w:rPr>
          <w:rFonts w:hint="eastAsia" w:ascii="宋体" w:hAnsi="宋体" w:eastAsia="宋体" w:cs="宋体"/>
          <w:color w:val="000000"/>
          <w:sz w:val="24"/>
          <w:szCs w:val="24"/>
          <w:highlight w:val="none"/>
        </w:rPr>
        <w:t>七、其他补充事宜</w:t>
      </w:r>
      <w:bookmarkEnd w:id="27"/>
      <w:bookmarkEnd w:id="28"/>
    </w:p>
    <w:p w14:paraId="77904E06">
      <w:pPr>
        <w:spacing w:line="360" w:lineRule="auto"/>
        <w:ind w:firstLine="480"/>
        <w:rPr>
          <w:color w:val="000000"/>
          <w:sz w:val="24"/>
          <w:highlight w:val="none"/>
        </w:rPr>
      </w:pPr>
      <w:bookmarkStart w:id="29" w:name="OLE_LINK5"/>
      <w:bookmarkStart w:id="30" w:name="_Toc28359008"/>
      <w:bookmarkStart w:id="31" w:name="_Toc35393627"/>
      <w:bookmarkStart w:id="32" w:name="_Toc28359085"/>
      <w:bookmarkStart w:id="33" w:name="_Toc35393796"/>
      <w:r>
        <w:rPr>
          <w:color w:val="000000"/>
          <w:sz w:val="24"/>
          <w:highlight w:val="none"/>
        </w:rPr>
        <w:t>1.本项目需要落实的政府采购政策：</w:t>
      </w:r>
      <w:r>
        <w:rPr>
          <w:rFonts w:hint="eastAsia"/>
          <w:b/>
          <w:bCs/>
          <w:color w:val="000000"/>
          <w:sz w:val="24"/>
          <w:highlight w:val="none"/>
        </w:rPr>
        <w:t>本项目</w:t>
      </w:r>
      <w:r>
        <w:rPr>
          <w:rFonts w:hint="eastAsia"/>
          <w:b/>
          <w:bCs/>
          <w:color w:val="000000"/>
          <w:sz w:val="24"/>
          <w:highlight w:val="none"/>
          <w:lang w:val="en-US" w:eastAsia="zh-CN"/>
        </w:rPr>
        <w:t>不</w:t>
      </w:r>
      <w:r>
        <w:rPr>
          <w:rFonts w:hint="eastAsia"/>
          <w:b/>
          <w:bCs/>
          <w:color w:val="000000"/>
          <w:sz w:val="24"/>
          <w:highlight w:val="none"/>
        </w:rPr>
        <w:t>专门面向中小企业采购</w:t>
      </w:r>
      <w:r>
        <w:rPr>
          <w:color w:val="000000"/>
          <w:sz w:val="24"/>
          <w:highlight w:val="none"/>
          <w:lang w:bidi="ar"/>
        </w:rPr>
        <w:t>。</w:t>
      </w:r>
    </w:p>
    <w:bookmarkEnd w:id="29"/>
    <w:p w14:paraId="41AFC9EB">
      <w:pPr>
        <w:spacing w:line="360" w:lineRule="auto"/>
        <w:ind w:firstLine="480"/>
        <w:rPr>
          <w:sz w:val="24"/>
        </w:rPr>
      </w:pPr>
      <w:r>
        <w:rPr>
          <w:sz w:val="24"/>
        </w:rPr>
        <w:t>2.本项目的采购年限为</w:t>
      </w:r>
      <w:r>
        <w:rPr>
          <w:rFonts w:hint="eastAsia" w:ascii="新宋体" w:hAnsi="新宋体" w:eastAsia="新宋体" w:cs="新宋体"/>
          <w:sz w:val="24"/>
          <w:u w:val="single"/>
          <w:lang w:val="en-US" w:eastAsia="zh-CN"/>
        </w:rPr>
        <w:t xml:space="preserve"> 2 </w:t>
      </w:r>
      <w:r>
        <w:rPr>
          <w:sz w:val="24"/>
        </w:rPr>
        <w:t>年、</w:t>
      </w:r>
      <w:r>
        <w:rPr>
          <w:rFonts w:hint="eastAsia"/>
          <w:sz w:val="24"/>
        </w:rPr>
        <w:t>预算</w:t>
      </w:r>
      <w:r>
        <w:rPr>
          <w:sz w:val="24"/>
        </w:rPr>
        <w:t>金额为</w:t>
      </w:r>
      <w:r>
        <w:rPr>
          <w:rFonts w:hint="eastAsia" w:ascii="新宋体" w:hAnsi="新宋体" w:eastAsia="新宋体" w:cs="新宋体"/>
          <w:sz w:val="24"/>
          <w:u w:val="single"/>
          <w:lang w:val="en-US" w:eastAsia="zh-CN"/>
        </w:rPr>
        <w:t>520</w:t>
      </w:r>
      <w:r>
        <w:rPr>
          <w:sz w:val="24"/>
        </w:rPr>
        <w:t>万元、当年安排数为</w:t>
      </w:r>
      <w:r>
        <w:rPr>
          <w:rFonts w:hint="eastAsia" w:ascii="新宋体" w:hAnsi="新宋体" w:eastAsia="新宋体" w:cs="新宋体"/>
          <w:sz w:val="24"/>
          <w:u w:val="single"/>
          <w:lang w:val="en-US" w:eastAsia="zh-CN"/>
        </w:rPr>
        <w:t>260</w:t>
      </w:r>
      <w:r>
        <w:rPr>
          <w:sz w:val="24"/>
        </w:rPr>
        <w:t>万元。</w:t>
      </w:r>
    </w:p>
    <w:p w14:paraId="3279ECE8">
      <w:pPr>
        <w:widowControl/>
        <w:spacing w:line="360" w:lineRule="auto"/>
        <w:ind w:firstLine="480"/>
        <w:jc w:val="left"/>
        <w:rPr>
          <w:bCs/>
          <w:sz w:val="24"/>
          <w:lang w:bidi="ar"/>
        </w:rPr>
      </w:pPr>
      <w:r>
        <w:rPr>
          <w:sz w:val="24"/>
          <w:lang w:bidi="ar"/>
        </w:rPr>
        <w:t>3.本项目采用</w:t>
      </w:r>
      <w:r>
        <w:rPr>
          <w:rFonts w:hint="eastAsia"/>
          <w:sz w:val="24"/>
          <w:lang w:bidi="ar"/>
        </w:rPr>
        <w:t>不见面交易</w:t>
      </w:r>
      <w:r>
        <w:rPr>
          <w:sz w:val="24"/>
          <w:lang w:bidi="ar"/>
        </w:rPr>
        <w:t>方式，请供应商认真学习常州市政府采购</w:t>
      </w:r>
      <w:r>
        <w:rPr>
          <w:rFonts w:hint="eastAsia"/>
          <w:sz w:val="24"/>
          <w:lang w:bidi="ar"/>
        </w:rPr>
        <w:t>网</w:t>
      </w:r>
      <w:r>
        <w:rPr>
          <w:sz w:val="24"/>
          <w:lang w:bidi="ar"/>
        </w:rPr>
        <w:t>发布的相关操作手册，办理CA认证证书、进行常州市政府采购业务管理平台注册绑定，并认真核实</w:t>
      </w:r>
      <w:r>
        <w:rPr>
          <w:bCs/>
          <w:sz w:val="24"/>
          <w:lang w:bidi="ar"/>
        </w:rPr>
        <w:t>数字认证证书情况确认是否符合本项目电子化采购流程要求。</w:t>
      </w:r>
    </w:p>
    <w:p w14:paraId="3AC6A76B">
      <w:pPr>
        <w:spacing w:line="360" w:lineRule="auto"/>
        <w:ind w:firstLine="480"/>
        <w:rPr>
          <w:sz w:val="24"/>
        </w:rPr>
      </w:pPr>
      <w:r>
        <w:rPr>
          <w:sz w:val="24"/>
          <w:lang w:bidi="ar"/>
        </w:rPr>
        <w:t xml:space="preserve">技术支持服务热线    </w:t>
      </w:r>
      <w:r>
        <w:rPr>
          <w:rFonts w:hint="eastAsia"/>
          <w:sz w:val="24"/>
          <w:lang w:bidi="ar"/>
        </w:rPr>
        <w:t>0519-85588210</w:t>
      </w:r>
    </w:p>
    <w:p w14:paraId="36EBFFC2">
      <w:pPr>
        <w:spacing w:line="360" w:lineRule="auto"/>
        <w:ind w:firstLine="480"/>
        <w:rPr>
          <w:sz w:val="24"/>
          <w:lang w:bidi="ar"/>
        </w:rPr>
      </w:pPr>
      <w:r>
        <w:rPr>
          <w:sz w:val="24"/>
          <w:lang w:bidi="ar"/>
        </w:rPr>
        <w:t>CA认证证书</w:t>
      </w:r>
      <w:r>
        <w:rPr>
          <w:rFonts w:hint="eastAsia"/>
          <w:sz w:val="24"/>
          <w:lang w:bidi="ar"/>
        </w:rPr>
        <w:t xml:space="preserve">办理（可邮寄）联系电话   </w:t>
      </w:r>
      <w:r>
        <w:rPr>
          <w:sz w:val="24"/>
          <w:lang w:bidi="ar"/>
        </w:rPr>
        <w:t>0519  85588120</w:t>
      </w:r>
    </w:p>
    <w:p w14:paraId="47A32A6F">
      <w:pPr>
        <w:widowControl/>
        <w:spacing w:line="360" w:lineRule="auto"/>
        <w:ind w:firstLine="480"/>
        <w:jc w:val="left"/>
        <w:rPr>
          <w:sz w:val="24"/>
          <w:lang w:bidi="ar"/>
        </w:rPr>
      </w:pPr>
      <w:r>
        <w:rPr>
          <w:sz w:val="24"/>
          <w:lang w:bidi="ar"/>
        </w:rPr>
        <w:t>3.1办理CA认证证书</w:t>
      </w:r>
    </w:p>
    <w:p w14:paraId="1365FE0A">
      <w:pPr>
        <w:widowControl/>
        <w:spacing w:line="360" w:lineRule="auto"/>
        <w:ind w:firstLine="480"/>
        <w:jc w:val="left"/>
        <w:rPr>
          <w:sz w:val="24"/>
        </w:rPr>
      </w:pPr>
      <w:r>
        <w:rPr>
          <w:sz w:val="24"/>
          <w:lang w:bidi="ar"/>
        </w:rPr>
        <w:t>供应商登录常州市政府采购</w:t>
      </w:r>
      <w:r>
        <w:rPr>
          <w:rFonts w:hint="eastAsia"/>
          <w:sz w:val="24"/>
          <w:lang w:bidi="ar"/>
        </w:rPr>
        <w:t>网“下载中心”下载并查阅</w:t>
      </w:r>
      <w:r>
        <w:rPr>
          <w:sz w:val="24"/>
          <w:lang w:bidi="ar"/>
        </w:rPr>
        <w:t xml:space="preserve"> “</w:t>
      </w:r>
      <w:r>
        <w:rPr>
          <w:rFonts w:hint="eastAsia" w:ascii="宋体" w:hAnsi="宋体"/>
          <w:sz w:val="24"/>
        </w:rPr>
        <w:t>常州市政府采购业务管理平台</w:t>
      </w:r>
      <w:r>
        <w:rPr>
          <w:sz w:val="24"/>
          <w:lang w:bidi="ar"/>
        </w:rPr>
        <w:t>（供应商）国信CA证书办理指南”，按照程序要求办理。</w:t>
      </w:r>
    </w:p>
    <w:p w14:paraId="46FA02DC">
      <w:pPr>
        <w:spacing w:line="360" w:lineRule="auto"/>
        <w:ind w:firstLine="480"/>
        <w:rPr>
          <w:sz w:val="24"/>
          <w:lang w:bidi="ar"/>
        </w:rPr>
      </w:pPr>
      <w:r>
        <w:rPr>
          <w:sz w:val="24"/>
          <w:lang w:bidi="ar"/>
        </w:rPr>
        <w:t>3.2注册</w:t>
      </w:r>
    </w:p>
    <w:p w14:paraId="5F5A6F0F">
      <w:pPr>
        <w:spacing w:line="360" w:lineRule="auto"/>
        <w:ind w:firstLine="480"/>
        <w:rPr>
          <w:sz w:val="24"/>
        </w:rPr>
      </w:pPr>
      <w:r>
        <w:rPr>
          <w:sz w:val="24"/>
          <w:lang w:bidi="ar"/>
        </w:rPr>
        <w:t>供应商登录常州市政府采购</w:t>
      </w:r>
      <w:r>
        <w:rPr>
          <w:rFonts w:hint="eastAsia"/>
          <w:sz w:val="24"/>
          <w:lang w:bidi="ar"/>
        </w:rPr>
        <w:t>网“下载中心”-“</w:t>
      </w:r>
      <w:r>
        <w:rPr>
          <w:rFonts w:hint="eastAsia" w:ascii="宋体" w:hAnsi="宋体"/>
          <w:sz w:val="24"/>
        </w:rPr>
        <w:t>常州市政府采购业务管理平台</w:t>
      </w:r>
      <w:r>
        <w:rPr>
          <w:sz w:val="24"/>
          <w:lang w:bidi="ar"/>
        </w:rPr>
        <w:t>供应商操作指南</w:t>
      </w:r>
      <w:r>
        <w:rPr>
          <w:rFonts w:hint="eastAsia"/>
          <w:sz w:val="24"/>
          <w:lang w:bidi="ar"/>
        </w:rPr>
        <w:t>”下载相关操作手册、操作视频等，查阅后</w:t>
      </w:r>
      <w:r>
        <w:rPr>
          <w:sz w:val="24"/>
          <w:lang w:bidi="ar"/>
        </w:rPr>
        <w:t>进行自助注册。</w:t>
      </w:r>
    </w:p>
    <w:p w14:paraId="03365264">
      <w:pPr>
        <w:widowControl/>
        <w:spacing w:line="360" w:lineRule="auto"/>
        <w:ind w:firstLine="480"/>
        <w:jc w:val="left"/>
        <w:rPr>
          <w:sz w:val="24"/>
          <w:lang w:bidi="ar"/>
        </w:rPr>
      </w:pPr>
      <w:r>
        <w:rPr>
          <w:sz w:val="24"/>
          <w:lang w:bidi="ar"/>
        </w:rPr>
        <w:t>3.3</w:t>
      </w:r>
      <w:r>
        <w:rPr>
          <w:rFonts w:hint="eastAsia"/>
          <w:sz w:val="24"/>
          <w:lang w:bidi="ar"/>
        </w:rPr>
        <w:t>控件</w:t>
      </w:r>
      <w:r>
        <w:rPr>
          <w:sz w:val="24"/>
          <w:lang w:bidi="ar"/>
        </w:rPr>
        <w:t>、客户端下载</w:t>
      </w:r>
    </w:p>
    <w:p w14:paraId="311C3376">
      <w:pPr>
        <w:widowControl/>
        <w:spacing w:line="360" w:lineRule="auto"/>
        <w:ind w:firstLine="480"/>
        <w:jc w:val="left"/>
        <w:rPr>
          <w:sz w:val="24"/>
        </w:rPr>
      </w:pPr>
      <w:r>
        <w:rPr>
          <w:sz w:val="24"/>
          <w:lang w:bidi="ar"/>
        </w:rPr>
        <w:t>供应商登录常州市政府采购</w:t>
      </w:r>
      <w:r>
        <w:rPr>
          <w:rFonts w:hint="eastAsia"/>
          <w:sz w:val="24"/>
          <w:lang w:bidi="ar"/>
        </w:rPr>
        <w:t>网“下载中心”-“</w:t>
      </w:r>
      <w:r>
        <w:rPr>
          <w:rFonts w:hint="eastAsia" w:ascii="宋体" w:hAnsi="宋体"/>
          <w:sz w:val="24"/>
        </w:rPr>
        <w:t>常州市政府采购业务管理平台</w:t>
      </w:r>
      <w:r>
        <w:rPr>
          <w:sz w:val="24"/>
          <w:lang w:bidi="ar"/>
        </w:rPr>
        <w:t>供应商客户端下载下载</w:t>
      </w:r>
      <w:r>
        <w:rPr>
          <w:rFonts w:hint="eastAsia"/>
          <w:sz w:val="24"/>
          <w:lang w:bidi="ar"/>
        </w:rPr>
        <w:t>”下载</w:t>
      </w:r>
      <w:r>
        <w:rPr>
          <w:sz w:val="24"/>
          <w:lang w:bidi="ar"/>
        </w:rPr>
        <w:t>相关</w:t>
      </w:r>
      <w:r>
        <w:rPr>
          <w:rFonts w:hint="eastAsia"/>
          <w:sz w:val="24"/>
          <w:lang w:bidi="ar"/>
        </w:rPr>
        <w:t>控件和客户端</w:t>
      </w:r>
      <w:r>
        <w:rPr>
          <w:sz w:val="24"/>
          <w:lang w:bidi="ar"/>
        </w:rPr>
        <w:t>。</w:t>
      </w:r>
    </w:p>
    <w:p w14:paraId="60766583">
      <w:pPr>
        <w:spacing w:line="360" w:lineRule="auto"/>
        <w:ind w:firstLine="480"/>
        <w:rPr>
          <w:sz w:val="24"/>
          <w:lang w:bidi="ar"/>
        </w:rPr>
      </w:pPr>
      <w:r>
        <w:rPr>
          <w:sz w:val="24"/>
          <w:lang w:bidi="ar"/>
        </w:rPr>
        <w:t>3.4 获取电子招标文件</w:t>
      </w:r>
    </w:p>
    <w:p w14:paraId="011F5726">
      <w:pPr>
        <w:spacing w:line="360" w:lineRule="auto"/>
        <w:ind w:firstLine="480"/>
        <w:rPr>
          <w:sz w:val="24"/>
          <w:lang w:bidi="ar"/>
        </w:rPr>
      </w:pPr>
      <w:r>
        <w:rPr>
          <w:sz w:val="24"/>
          <w:lang w:bidi="ar"/>
        </w:rPr>
        <w:t>供应商持CA数字认证证书登录常州市政府采购业务管理平台获取电子招标文件。未在规定期限内通过常州市政府采购业务管理平台获取招标文件的</w:t>
      </w:r>
      <w:r>
        <w:rPr>
          <w:b/>
          <w:sz w:val="24"/>
          <w:lang w:bidi="ar"/>
        </w:rPr>
        <w:t>投标无效</w:t>
      </w:r>
      <w:r>
        <w:rPr>
          <w:sz w:val="24"/>
          <w:lang w:bidi="ar"/>
        </w:rPr>
        <w:t>。</w:t>
      </w:r>
    </w:p>
    <w:p w14:paraId="6301FCC6">
      <w:pPr>
        <w:spacing w:line="360" w:lineRule="auto"/>
        <w:ind w:firstLine="480"/>
        <w:rPr>
          <w:sz w:val="24"/>
          <w:lang w:bidi="ar"/>
        </w:rPr>
      </w:pPr>
      <w:r>
        <w:rPr>
          <w:sz w:val="24"/>
          <w:lang w:bidi="ar"/>
        </w:rPr>
        <w:t>3.5编制电子投标文件</w:t>
      </w:r>
    </w:p>
    <w:p w14:paraId="28615148">
      <w:pPr>
        <w:spacing w:line="360" w:lineRule="auto"/>
        <w:ind w:firstLine="480"/>
        <w:rPr>
          <w:sz w:val="24"/>
          <w:lang w:bidi="ar"/>
        </w:rPr>
      </w:pPr>
      <w:r>
        <w:rPr>
          <w:sz w:val="24"/>
          <w:lang w:bidi="ar"/>
        </w:rPr>
        <w:t>供应商应使用电子投标</w:t>
      </w:r>
      <w:r>
        <w:rPr>
          <w:rFonts w:hint="eastAsia"/>
          <w:sz w:val="24"/>
          <w:lang w:bidi="ar"/>
        </w:rPr>
        <w:t>文件制作</w:t>
      </w:r>
      <w:r>
        <w:rPr>
          <w:sz w:val="24"/>
          <w:lang w:bidi="ar"/>
        </w:rPr>
        <w:t>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4747FBE">
      <w:pPr>
        <w:widowControl/>
        <w:spacing w:line="360" w:lineRule="auto"/>
        <w:ind w:firstLine="480"/>
        <w:jc w:val="left"/>
        <w:rPr>
          <w:sz w:val="24"/>
          <w:lang w:val="zh-TW" w:bidi="ar"/>
        </w:rPr>
      </w:pPr>
      <w:r>
        <w:rPr>
          <w:sz w:val="24"/>
          <w:lang w:val="zh-TW" w:eastAsia="zh-TW" w:bidi="ar"/>
        </w:rPr>
        <w:t>3.6</w:t>
      </w:r>
      <w:r>
        <w:rPr>
          <w:sz w:val="24"/>
          <w:lang w:val="zh-TW" w:bidi="ar"/>
        </w:rPr>
        <w:t>提交电子投标文件</w:t>
      </w:r>
    </w:p>
    <w:p w14:paraId="4E44C406">
      <w:pPr>
        <w:widowControl/>
        <w:spacing w:line="360" w:lineRule="auto"/>
        <w:ind w:firstLine="480"/>
        <w:jc w:val="left"/>
        <w:rPr>
          <w:sz w:val="24"/>
          <w:lang w:bidi="ar"/>
        </w:rPr>
      </w:pPr>
      <w:r>
        <w:rPr>
          <w:sz w:val="24"/>
          <w:lang w:bidi="ar"/>
        </w:rPr>
        <w:t>供应商应于投标截止时间前在常州市政府采购业务管理平台提交电子投标文件，上传电子投标文件过程中请保持与互联网的连接畅通。</w:t>
      </w:r>
    </w:p>
    <w:p w14:paraId="69019AED">
      <w:pPr>
        <w:widowControl/>
        <w:spacing w:line="360" w:lineRule="auto"/>
        <w:ind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C6EC45C">
      <w:pPr>
        <w:spacing w:line="360" w:lineRule="auto"/>
        <w:ind w:firstLine="480"/>
        <w:rPr>
          <w:rFonts w:hint="eastAsia"/>
          <w:sz w:val="24"/>
          <w:lang w:val="zh-TW" w:bidi="ar"/>
        </w:rPr>
      </w:pPr>
      <w:r>
        <w:rPr>
          <w:sz w:val="24"/>
          <w:lang w:val="zh-TW" w:bidi="ar"/>
        </w:rPr>
        <w:t>供应商使用</w:t>
      </w:r>
      <w:r>
        <w:rPr>
          <w:sz w:val="24"/>
          <w:lang w:bidi="ar"/>
        </w:rPr>
        <w:t>CA认证证书</w:t>
      </w:r>
      <w:r>
        <w:rPr>
          <w:sz w:val="24"/>
          <w:lang w:val="zh-TW" w:bidi="ar"/>
        </w:rPr>
        <w:t>登录</w:t>
      </w:r>
      <w:r>
        <w:rPr>
          <w:sz w:val="24"/>
          <w:lang w:bidi="ar"/>
        </w:rPr>
        <w:t>常州市政府采购业务管理平台进行电子</w:t>
      </w:r>
      <w:r>
        <w:rPr>
          <w:rFonts w:hint="eastAsia"/>
          <w:sz w:val="24"/>
          <w:lang w:bidi="ar"/>
        </w:rPr>
        <w:t>化不见面</w:t>
      </w:r>
      <w:r>
        <w:rPr>
          <w:sz w:val="24"/>
          <w:lang w:bidi="ar"/>
        </w:rPr>
        <w:t>开标</w:t>
      </w:r>
      <w:r>
        <w:rPr>
          <w:sz w:val="24"/>
          <w:lang w:val="zh-TW" w:bidi="ar"/>
        </w:rPr>
        <w:t>。</w:t>
      </w:r>
    </w:p>
    <w:p w14:paraId="0C6B87D3">
      <w:pPr>
        <w:spacing w:line="360" w:lineRule="auto"/>
        <w:ind w:firstLine="480"/>
        <w:rPr>
          <w:rFonts w:hint="eastAsia"/>
          <w:sz w:val="24"/>
          <w:lang w:val="zh-TW" w:bidi="ar"/>
        </w:rPr>
      </w:pPr>
      <w:r>
        <w:rPr>
          <w:rFonts w:hint="eastAsia"/>
          <w:sz w:val="24"/>
          <w:lang w:val="zh-TW" w:bidi="ar"/>
        </w:rPr>
        <w:t>3.8注意事项</w:t>
      </w:r>
    </w:p>
    <w:p w14:paraId="4D0DEF14">
      <w:pPr>
        <w:spacing w:line="360" w:lineRule="auto"/>
        <w:ind w:firstLine="480"/>
        <w:rPr>
          <w:sz w:val="24"/>
          <w:lang w:eastAsia="zh-TW"/>
        </w:rPr>
      </w:pPr>
      <w:r>
        <w:rPr>
          <w:sz w:val="24"/>
          <w:lang w:val="zh-TW" w:bidi="ar"/>
        </w:rPr>
        <w:t>供应商</w:t>
      </w:r>
      <w:r>
        <w:rPr>
          <w:rFonts w:hint="eastAsia"/>
          <w:sz w:val="24"/>
          <w:lang w:val="zh-TW" w:bidi="ar"/>
        </w:rPr>
        <w:t>在开标前应当</w:t>
      </w:r>
      <w:r>
        <w:rPr>
          <w:rFonts w:ascii="宋体" w:hAnsi="宋体"/>
          <w:sz w:val="24"/>
        </w:rPr>
        <w:t>使用“验证CA”功能验证本地计算机的控件环境是否正常，并且在开标</w:t>
      </w:r>
      <w:r>
        <w:rPr>
          <w:rFonts w:hint="eastAsia" w:ascii="宋体" w:hAnsi="宋体"/>
          <w:sz w:val="24"/>
        </w:rPr>
        <w:t>、评审</w:t>
      </w:r>
      <w:r>
        <w:rPr>
          <w:rFonts w:ascii="宋体" w:hAnsi="宋体"/>
          <w:sz w:val="24"/>
        </w:rPr>
        <w:t>过程中不可随意更换</w:t>
      </w:r>
      <w:r>
        <w:rPr>
          <w:rFonts w:hint="eastAsia" w:ascii="宋体" w:hAnsi="宋体"/>
          <w:sz w:val="24"/>
        </w:rPr>
        <w:t>计算机</w:t>
      </w:r>
      <w:r>
        <w:rPr>
          <w:rFonts w:ascii="宋体" w:hAnsi="宋体"/>
          <w:sz w:val="24"/>
        </w:rPr>
        <w:t>，必须使用验证成功的</w:t>
      </w:r>
      <w:r>
        <w:rPr>
          <w:rFonts w:hint="eastAsia" w:ascii="宋体" w:hAnsi="宋体"/>
          <w:sz w:val="24"/>
        </w:rPr>
        <w:t>计算机</w:t>
      </w:r>
      <w:r>
        <w:rPr>
          <w:rFonts w:ascii="宋体" w:hAnsi="宋体"/>
          <w:sz w:val="24"/>
        </w:rPr>
        <w:t>进行操作，否则造成相应后果由投标</w:t>
      </w:r>
      <w:r>
        <w:rPr>
          <w:rFonts w:hint="eastAsia" w:ascii="宋体" w:hAnsi="宋体"/>
          <w:sz w:val="24"/>
        </w:rPr>
        <w:t>人</w:t>
      </w:r>
      <w:r>
        <w:rPr>
          <w:rFonts w:ascii="宋体" w:hAnsi="宋体"/>
          <w:sz w:val="24"/>
        </w:rPr>
        <w:t>自行承担。</w:t>
      </w:r>
    </w:p>
    <w:p w14:paraId="223376E5">
      <w:pPr>
        <w:spacing w:line="360" w:lineRule="auto"/>
        <w:ind w:firstLine="480"/>
        <w:rPr>
          <w:sz w:val="24"/>
          <w:lang w:val="zh-TW" w:bidi="ar"/>
        </w:rPr>
      </w:pPr>
      <w:r>
        <w:rPr>
          <w:rFonts w:hint="eastAsia"/>
          <w:sz w:val="24"/>
          <w:lang w:val="zh-TW" w:bidi="ar"/>
        </w:rPr>
        <w:t>4.关于常州市中小企业政府采购信用融资：</w:t>
      </w:r>
    </w:p>
    <w:p w14:paraId="35C80D43">
      <w:pPr>
        <w:spacing w:line="360" w:lineRule="auto"/>
        <w:ind w:firstLine="480"/>
        <w:rPr>
          <w:sz w:val="24"/>
          <w:lang w:val="zh-TW"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38448C6">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八、对本项目提出询问，请按以下方式联系。</w:t>
      </w:r>
      <w:bookmarkEnd w:id="30"/>
      <w:bookmarkEnd w:id="31"/>
      <w:bookmarkEnd w:id="32"/>
      <w:bookmarkEnd w:id="33"/>
    </w:p>
    <w:p w14:paraId="1F9CA954">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p>
    <w:p w14:paraId="3216D1B2">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名称：</w:t>
      </w:r>
      <w:r>
        <w:rPr>
          <w:rFonts w:hint="eastAsia" w:ascii="宋体" w:hAnsi="宋体" w:eastAsia="宋体" w:cs="宋体"/>
          <w:color w:val="000000"/>
          <w:spacing w:val="9"/>
          <w:sz w:val="24"/>
          <w:szCs w:val="24"/>
          <w:highlight w:val="none"/>
          <w:lang w:eastAsia="zh-CN"/>
        </w:rPr>
        <w:t>溧阳市残疾人联合会（本级）</w:t>
      </w:r>
    </w:p>
    <w:p w14:paraId="516FCB60">
      <w:pPr>
        <w:keepNext w:val="0"/>
        <w:keepLines w:val="0"/>
        <w:pageBreakBefore w:val="0"/>
        <w:widowControl w:val="0"/>
        <w:spacing w:line="460" w:lineRule="exact"/>
        <w:ind w:left="6" w:right="40" w:firstLine="482"/>
        <w:rPr>
          <w:rFonts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地址：江苏省常州市溧阳市</w:t>
      </w:r>
      <w:r>
        <w:rPr>
          <w:rFonts w:hint="eastAsia" w:ascii="宋体" w:hAnsi="宋体" w:eastAsia="宋体" w:cs="宋体"/>
          <w:color w:val="000000"/>
          <w:spacing w:val="9"/>
          <w:sz w:val="24"/>
          <w:szCs w:val="24"/>
          <w:highlight w:val="none"/>
          <w:lang w:val="en-US" w:eastAsia="zh-CN"/>
        </w:rPr>
        <w:t>南大街137</w:t>
      </w:r>
      <w:r>
        <w:rPr>
          <w:rFonts w:hint="eastAsia" w:ascii="宋体" w:hAnsi="宋体" w:eastAsia="宋体" w:cs="宋体"/>
          <w:color w:val="000000"/>
          <w:spacing w:val="9"/>
          <w:sz w:val="24"/>
          <w:szCs w:val="24"/>
          <w:highlight w:val="none"/>
        </w:rPr>
        <w:t>号</w:t>
      </w:r>
    </w:p>
    <w:p w14:paraId="577D67CA">
      <w:pPr>
        <w:keepNext w:val="0"/>
        <w:keepLines w:val="0"/>
        <w:pageBreakBefore w:val="0"/>
        <w:widowControl w:val="0"/>
        <w:spacing w:line="460" w:lineRule="exact"/>
        <w:ind w:left="6" w:right="40" w:firstLine="482"/>
        <w:rPr>
          <w:rFonts w:ascii="宋体" w:hAnsi="宋体" w:eastAsia="宋体" w:cs="宋体"/>
          <w:color w:val="000000"/>
          <w:spacing w:val="9"/>
          <w:sz w:val="24"/>
          <w:szCs w:val="24"/>
          <w:highlight w:val="green"/>
          <w:lang w:val="en-US" w:eastAsia="zh-CN"/>
        </w:rPr>
      </w:pPr>
      <w:r>
        <w:rPr>
          <w:rFonts w:hint="eastAsia" w:ascii="宋体" w:hAnsi="宋体" w:eastAsia="宋体" w:cs="宋体"/>
          <w:color w:val="000000"/>
          <w:spacing w:val="9"/>
          <w:sz w:val="24"/>
          <w:szCs w:val="24"/>
          <w:highlight w:val="none"/>
        </w:rPr>
        <w:t>联系方式：</w:t>
      </w:r>
      <w:r>
        <w:rPr>
          <w:rFonts w:hint="eastAsia" w:ascii="宋体" w:hAnsi="宋体" w:eastAsia="宋体" w:cs="宋体"/>
          <w:color w:val="000000"/>
          <w:spacing w:val="9"/>
          <w:sz w:val="24"/>
          <w:szCs w:val="24"/>
          <w:highlight w:val="none"/>
          <w:lang w:val="en-US" w:eastAsia="zh-CN"/>
        </w:rPr>
        <w:t>强先生  051987289198</w:t>
      </w:r>
    </w:p>
    <w:p w14:paraId="3B77E7A5">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2．采购</w:t>
      </w:r>
      <w:r>
        <w:rPr>
          <w:rFonts w:hint="eastAsia" w:ascii="宋体" w:hAnsi="宋体" w:eastAsia="宋体" w:cs="宋体"/>
          <w:color w:val="000000"/>
          <w:spacing w:val="9"/>
          <w:sz w:val="24"/>
          <w:szCs w:val="24"/>
          <w:highlight w:val="none"/>
          <w:lang w:eastAsia="zh-CN"/>
        </w:rPr>
        <w:t>代理</w:t>
      </w:r>
      <w:r>
        <w:rPr>
          <w:rFonts w:hint="eastAsia" w:ascii="宋体" w:hAnsi="宋体" w:eastAsia="宋体" w:cs="宋体"/>
          <w:color w:val="000000"/>
          <w:spacing w:val="9"/>
          <w:sz w:val="24"/>
          <w:szCs w:val="24"/>
          <w:highlight w:val="none"/>
        </w:rPr>
        <w:t xml:space="preserve">机构信息 </w:t>
      </w:r>
    </w:p>
    <w:p w14:paraId="5728FC0B">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名 称：</w:t>
      </w:r>
      <w:r>
        <w:rPr>
          <w:rFonts w:hint="eastAsia" w:ascii="宋体" w:hAnsi="宋体" w:eastAsia="宋体" w:cs="宋体"/>
          <w:color w:val="000000"/>
          <w:spacing w:val="9"/>
          <w:sz w:val="24"/>
          <w:szCs w:val="24"/>
          <w:highlight w:val="none"/>
          <w:lang w:eastAsia="zh-CN"/>
        </w:rPr>
        <w:t>江苏鑫轶工程咨询有限公司</w:t>
      </w:r>
      <w:r>
        <w:rPr>
          <w:rFonts w:hint="eastAsia" w:ascii="宋体" w:hAnsi="宋体" w:eastAsia="宋体" w:cs="宋体"/>
          <w:color w:val="000000"/>
          <w:spacing w:val="9"/>
          <w:sz w:val="24"/>
          <w:szCs w:val="24"/>
          <w:highlight w:val="none"/>
        </w:rPr>
        <w:t xml:space="preserve">   </w:t>
      </w:r>
    </w:p>
    <w:p w14:paraId="0733CFDD">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地 址：</w:t>
      </w:r>
      <w:bookmarkStart w:id="34" w:name="OLE_LINK2"/>
      <w:r>
        <w:rPr>
          <w:rFonts w:hint="eastAsia" w:ascii="宋体" w:hAnsi="宋体" w:eastAsia="宋体" w:cs="宋体"/>
          <w:color w:val="000000"/>
          <w:spacing w:val="9"/>
          <w:sz w:val="24"/>
          <w:szCs w:val="24"/>
          <w:highlight w:val="none"/>
          <w:lang w:eastAsia="zh-CN"/>
        </w:rPr>
        <w:t>溧阳市</w:t>
      </w:r>
      <w:bookmarkEnd w:id="34"/>
      <w:r>
        <w:rPr>
          <w:rFonts w:hint="eastAsia" w:ascii="宋体" w:hAnsi="宋体" w:eastAsia="宋体" w:cs="宋体"/>
          <w:color w:val="000000"/>
          <w:spacing w:val="9"/>
          <w:sz w:val="24"/>
          <w:szCs w:val="24"/>
          <w:highlight w:val="none"/>
          <w:lang w:val="en-US" w:eastAsia="zh-CN"/>
        </w:rPr>
        <w:t>昆仑南路281号</w:t>
      </w:r>
      <w:r>
        <w:rPr>
          <w:rFonts w:hint="eastAsia" w:ascii="宋体" w:hAnsi="宋体" w:eastAsia="宋体" w:cs="宋体"/>
          <w:color w:val="000000"/>
          <w:spacing w:val="9"/>
          <w:sz w:val="24"/>
          <w:szCs w:val="24"/>
          <w:highlight w:val="none"/>
        </w:rPr>
        <w:t xml:space="preserve">     </w:t>
      </w:r>
    </w:p>
    <w:p w14:paraId="5FCE817F">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3.</w:t>
      </w:r>
      <w:r>
        <w:rPr>
          <w:rFonts w:hint="eastAsia" w:ascii="宋体" w:hAnsi="宋体" w:eastAsia="宋体" w:cs="宋体"/>
          <w:color w:val="000000"/>
          <w:spacing w:val="9"/>
          <w:sz w:val="24"/>
          <w:szCs w:val="24"/>
          <w:highlight w:val="none"/>
        </w:rPr>
        <w:t xml:space="preserve">项目联系方式： 　 </w:t>
      </w:r>
    </w:p>
    <w:p w14:paraId="5E920C08">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项目经办人及电话：</w:t>
      </w:r>
      <w:r>
        <w:rPr>
          <w:rFonts w:hint="eastAsia" w:ascii="宋体" w:hAnsi="宋体" w:eastAsia="宋体" w:cs="宋体"/>
          <w:color w:val="000000"/>
          <w:spacing w:val="9"/>
          <w:sz w:val="24"/>
          <w:szCs w:val="24"/>
          <w:highlight w:val="none"/>
          <w:lang w:val="en-US" w:eastAsia="zh-CN"/>
        </w:rPr>
        <w:t>蒋</w:t>
      </w:r>
      <w:r>
        <w:rPr>
          <w:rFonts w:hint="eastAsia" w:ascii="宋体" w:hAnsi="宋体" w:eastAsia="宋体" w:cs="宋体"/>
          <w:color w:val="000000"/>
          <w:spacing w:val="9"/>
          <w:sz w:val="24"/>
          <w:szCs w:val="24"/>
          <w:highlight w:val="none"/>
        </w:rPr>
        <w:t>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0519-80990060</w:t>
      </w:r>
    </w:p>
    <w:p w14:paraId="37820B65">
      <w:pPr>
        <w:spacing w:line="360" w:lineRule="auto"/>
        <w:jc w:val="center"/>
        <w:outlineLvl w:val="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353825548"/>
      <w:bookmarkStart w:id="36" w:name="_Toc226965856"/>
      <w:bookmarkStart w:id="37" w:name="_Toc353873938"/>
      <w:bookmarkStart w:id="38" w:name="_Toc150774783"/>
      <w:bookmarkStart w:id="39" w:name="_Toc195842950"/>
      <w:bookmarkStart w:id="40" w:name="_Toc104818926"/>
      <w:bookmarkStart w:id="41" w:name="_Toc512937850"/>
      <w:bookmarkStart w:id="42" w:name="_Toc127151777"/>
      <w:bookmarkStart w:id="43" w:name="_Toc305158854"/>
      <w:bookmarkStart w:id="44" w:name="_Toc305158928"/>
      <w:bookmarkStart w:id="45" w:name="_Toc127161488"/>
      <w:bookmarkStart w:id="46" w:name="_Toc264969275"/>
      <w:bookmarkStart w:id="47" w:name="_Toc265228423"/>
      <w:r>
        <w:rPr>
          <w:rFonts w:hint="eastAsia" w:ascii="宋体" w:hAnsi="宋体" w:eastAsia="宋体" w:cs="宋体"/>
          <w:b/>
          <w:color w:val="000000"/>
          <w:sz w:val="24"/>
          <w:szCs w:val="24"/>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6A8A43A6">
      <w:pPr>
        <w:pStyle w:val="183"/>
        <w:tabs>
          <w:tab w:val="center" w:pos="4592"/>
          <w:tab w:val="left" w:pos="7860"/>
        </w:tabs>
        <w:spacing w:before="0" w:line="360" w:lineRule="auto"/>
        <w:rPr>
          <w:rFonts w:hint="eastAsia" w:ascii="宋体" w:hAnsi="宋体" w:eastAsia="宋体" w:cs="宋体"/>
          <w:b w:val="0"/>
          <w:color w:val="000000"/>
          <w:sz w:val="24"/>
          <w:szCs w:val="24"/>
          <w:highlight w:val="none"/>
        </w:rPr>
      </w:pPr>
      <w:bookmarkStart w:id="48" w:name="_Toc226309763"/>
      <w:bookmarkStart w:id="49" w:name="_Toc150480757"/>
      <w:bookmarkStart w:id="50" w:name="_Toc149720812"/>
      <w:bookmarkStart w:id="51" w:name="_Toc226965792"/>
      <w:bookmarkStart w:id="52" w:name="_Toc151193833"/>
      <w:bookmarkStart w:id="53" w:name="_Toc151193761"/>
      <w:bookmarkStart w:id="54" w:name="_Toc164608633"/>
      <w:bookmarkStart w:id="55" w:name="_Toc226337215"/>
      <w:bookmarkStart w:id="56" w:name="_Toc127161433"/>
      <w:bookmarkStart w:id="57" w:name="_Toc150509270"/>
      <w:bookmarkStart w:id="58" w:name="_Toc151190146"/>
      <w:bookmarkStart w:id="59" w:name="_Toc151193907"/>
      <w:bookmarkStart w:id="60" w:name="_Toc164229214"/>
      <w:bookmarkStart w:id="61" w:name="_Toc164229360"/>
      <w:bookmarkStart w:id="62" w:name="_Toc150774724"/>
      <w:bookmarkStart w:id="63" w:name="_Toc195842884"/>
      <w:bookmarkStart w:id="64" w:name="_Toc164608788"/>
      <w:bookmarkStart w:id="65" w:name="_Toc151193689"/>
      <w:bookmarkStart w:id="66" w:name="_Toc151193617"/>
      <w:bookmarkStart w:id="67" w:name="_Toc150774619"/>
      <w:bookmarkStart w:id="68" w:name="_Toc520356144"/>
      <w:bookmarkStart w:id="69" w:name="_Toc226965709"/>
      <w:bookmarkStart w:id="70" w:name="_Toc127151720"/>
      <w:bookmarkStart w:id="71" w:name="_Toc164351613"/>
      <w:bookmarkStart w:id="72" w:name="_Toc127151519"/>
      <w:bookmarkStart w:id="73" w:name="_Toc142311021"/>
      <w:r>
        <w:rPr>
          <w:rFonts w:hint="eastAsia" w:ascii="宋体" w:hAnsi="宋体" w:eastAsia="宋体" w:cs="宋体"/>
          <w:color w:val="000000"/>
          <w:sz w:val="24"/>
          <w:szCs w:val="24"/>
          <w:highlight w:val="none"/>
        </w:rPr>
        <w:t>供应商须知资料表</w:t>
      </w:r>
    </w:p>
    <w:p w14:paraId="51F1ECE7">
      <w:pPr>
        <w:jc w:val="center"/>
        <w:rPr>
          <w:rFonts w:hint="eastAsia" w:ascii="宋体" w:hAnsi="宋体" w:eastAsia="宋体" w:cs="宋体"/>
          <w:b/>
          <w:color w:val="000000"/>
          <w:sz w:val="24"/>
          <w:szCs w:val="24"/>
          <w:highlight w:val="none"/>
        </w:rPr>
      </w:pPr>
    </w:p>
    <w:p w14:paraId="7B4184D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本表是对供应商须知的具体补充和修改，如有矛盾，均以本资料表为准。</w:t>
      </w:r>
      <w:r>
        <w:rPr>
          <w:color w:val="000000"/>
          <w:sz w:val="24"/>
          <w:highlight w:val="none"/>
        </w:rPr>
        <w:t>标记“</w:t>
      </w:r>
      <w:r>
        <w:rPr>
          <w:b/>
          <w:color w:val="000000"/>
          <w:sz w:val="24"/>
          <w:highlight w:val="none"/>
        </w:rPr>
        <w:t>■</w:t>
      </w:r>
      <w:r>
        <w:rPr>
          <w:color w:val="000000"/>
          <w:sz w:val="24"/>
          <w:highlight w:val="none"/>
        </w:rPr>
        <w:t>”的选项意为适用于本项目，标记“</w:t>
      </w:r>
      <w:r>
        <w:rPr>
          <w:color w:val="000000"/>
          <w:highlight w:val="none"/>
        </w:rPr>
        <w:t>□</w:t>
      </w:r>
      <w:r>
        <w:rPr>
          <w:color w:val="000000"/>
          <w:sz w:val="24"/>
          <w:highlight w:val="none"/>
        </w:rPr>
        <w:t>”的选项意为不适用于本项目</w:t>
      </w:r>
    </w:p>
    <w:tbl>
      <w:tblPr>
        <w:tblStyle w:val="28"/>
        <w:tblW w:w="10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453"/>
      </w:tblGrid>
      <w:tr w14:paraId="16FD0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jc w:val="center"/>
        </w:trPr>
        <w:tc>
          <w:tcPr>
            <w:tcW w:w="988" w:type="dxa"/>
            <w:noWrap w:val="0"/>
            <w:vAlign w:val="center"/>
          </w:tcPr>
          <w:p w14:paraId="2440D0A1">
            <w:pPr>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条款号</w:t>
            </w:r>
          </w:p>
        </w:tc>
        <w:tc>
          <w:tcPr>
            <w:tcW w:w="1701" w:type="dxa"/>
            <w:noWrap w:val="0"/>
            <w:vAlign w:val="center"/>
          </w:tcPr>
          <w:p w14:paraId="132C5F3A">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条目</w:t>
            </w:r>
          </w:p>
        </w:tc>
        <w:tc>
          <w:tcPr>
            <w:tcW w:w="7453" w:type="dxa"/>
            <w:noWrap w:val="0"/>
            <w:vAlign w:val="center"/>
          </w:tcPr>
          <w:p w14:paraId="5D1DF6BD">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w:t>
            </w:r>
          </w:p>
        </w:tc>
      </w:tr>
      <w:tr w14:paraId="7D889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988" w:type="dxa"/>
            <w:noWrap w:val="0"/>
            <w:vAlign w:val="center"/>
          </w:tcPr>
          <w:p w14:paraId="4A068E43">
            <w:pPr>
              <w:pStyle w:val="221"/>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2.2</w:t>
            </w:r>
          </w:p>
        </w:tc>
        <w:tc>
          <w:tcPr>
            <w:tcW w:w="1701" w:type="dxa"/>
            <w:noWrap w:val="0"/>
            <w:vAlign w:val="center"/>
          </w:tcPr>
          <w:p w14:paraId="7EECADB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项目属性</w:t>
            </w:r>
          </w:p>
        </w:tc>
        <w:tc>
          <w:tcPr>
            <w:tcW w:w="7453" w:type="dxa"/>
            <w:noWrap w:val="0"/>
            <w:vAlign w:val="center"/>
          </w:tcPr>
          <w:p w14:paraId="381C981D">
            <w:pPr>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项目属性：</w:t>
            </w:r>
            <w:r>
              <w:rPr>
                <w:rFonts w:hint="eastAsia" w:ascii="宋体" w:hAnsi="宋体" w:eastAsia="宋体" w:cs="宋体"/>
                <w:color w:val="000000"/>
                <w:sz w:val="24"/>
                <w:szCs w:val="24"/>
                <w:highlight w:val="none"/>
                <w:lang w:val="en-US" w:eastAsia="zh-CN"/>
              </w:rPr>
              <w:t>服务</w:t>
            </w:r>
          </w:p>
        </w:tc>
      </w:tr>
      <w:tr w14:paraId="6BC2B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88" w:type="dxa"/>
            <w:noWrap w:val="0"/>
            <w:vAlign w:val="center"/>
          </w:tcPr>
          <w:p w14:paraId="26C2B993">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hAnsi="宋体" w:eastAsia="宋体" w:cs="宋体"/>
                <w:color w:val="000000"/>
                <w:sz w:val="24"/>
                <w:szCs w:val="24"/>
                <w:highlight w:val="none"/>
                <w:lang w:val="en-US" w:eastAsia="zh-CN"/>
              </w:rPr>
              <w:t>.3</w:t>
            </w:r>
          </w:p>
        </w:tc>
        <w:tc>
          <w:tcPr>
            <w:tcW w:w="1701" w:type="dxa"/>
            <w:noWrap w:val="0"/>
            <w:vAlign w:val="center"/>
          </w:tcPr>
          <w:p w14:paraId="7CAB24E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科研仪器设备</w:t>
            </w:r>
          </w:p>
        </w:tc>
        <w:tc>
          <w:tcPr>
            <w:tcW w:w="7453" w:type="dxa"/>
            <w:noWrap w:val="0"/>
            <w:vAlign w:val="center"/>
          </w:tcPr>
          <w:p w14:paraId="168ABBED">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是否属于科研仪器设备采购项目：</w:t>
            </w:r>
            <w:r>
              <w:rPr>
                <w:rFonts w:hint="eastAsia" w:ascii="宋体" w:hAnsi="宋体" w:eastAsia="宋体" w:cs="宋体"/>
                <w:color w:val="000000"/>
                <w:sz w:val="24"/>
                <w:szCs w:val="24"/>
                <w:highlight w:val="none"/>
                <w:lang w:val="en-US" w:eastAsia="zh-CN"/>
              </w:rPr>
              <w:t>否</w:t>
            </w:r>
          </w:p>
        </w:tc>
      </w:tr>
      <w:tr w14:paraId="09D85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988" w:type="dxa"/>
            <w:vMerge w:val="restart"/>
            <w:noWrap w:val="0"/>
            <w:vAlign w:val="center"/>
          </w:tcPr>
          <w:p w14:paraId="42FD38C6">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hAnsi="宋体" w:eastAsia="宋体" w:cs="宋体"/>
                <w:color w:val="000000"/>
                <w:sz w:val="24"/>
                <w:szCs w:val="24"/>
                <w:highlight w:val="none"/>
                <w:lang w:val="en-US" w:eastAsia="zh-CN"/>
              </w:rPr>
              <w:t>.1</w:t>
            </w:r>
          </w:p>
        </w:tc>
        <w:tc>
          <w:tcPr>
            <w:tcW w:w="1701" w:type="dxa"/>
            <w:noWrap w:val="0"/>
            <w:vAlign w:val="center"/>
          </w:tcPr>
          <w:p w14:paraId="5FE730B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现场考察</w:t>
            </w:r>
          </w:p>
        </w:tc>
        <w:tc>
          <w:tcPr>
            <w:tcW w:w="7453" w:type="dxa"/>
            <w:noWrap w:val="0"/>
            <w:vAlign w:val="center"/>
          </w:tcPr>
          <w:p w14:paraId="56E5D26E">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不组织</w:t>
            </w:r>
          </w:p>
        </w:tc>
      </w:tr>
      <w:tr w14:paraId="7A8CA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88" w:type="dxa"/>
            <w:vMerge w:val="continue"/>
            <w:noWrap w:val="0"/>
            <w:vAlign w:val="center"/>
          </w:tcPr>
          <w:p w14:paraId="7095B1AC">
            <w:pPr>
              <w:pStyle w:val="221"/>
              <w:jc w:val="center"/>
              <w:rPr>
                <w:rFonts w:hint="eastAsia" w:ascii="宋体" w:hAnsi="宋体" w:eastAsia="宋体" w:cs="宋体"/>
                <w:color w:val="000000"/>
                <w:sz w:val="24"/>
                <w:szCs w:val="24"/>
                <w:highlight w:val="none"/>
              </w:rPr>
            </w:pPr>
          </w:p>
        </w:tc>
        <w:tc>
          <w:tcPr>
            <w:tcW w:w="1701" w:type="dxa"/>
            <w:noWrap w:val="0"/>
            <w:vAlign w:val="center"/>
          </w:tcPr>
          <w:p w14:paraId="47080D0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w:t>
            </w:r>
          </w:p>
        </w:tc>
        <w:tc>
          <w:tcPr>
            <w:tcW w:w="7453" w:type="dxa"/>
            <w:noWrap w:val="0"/>
            <w:vAlign w:val="center"/>
          </w:tcPr>
          <w:p w14:paraId="641D0EB3">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不召开</w:t>
            </w:r>
          </w:p>
        </w:tc>
      </w:tr>
      <w:tr w14:paraId="74C30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988" w:type="dxa"/>
            <w:noWrap w:val="0"/>
            <w:vAlign w:val="center"/>
          </w:tcPr>
          <w:p w14:paraId="2A123C54">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hAnsi="宋体" w:eastAsia="宋体" w:cs="宋体"/>
                <w:color w:val="000000"/>
                <w:sz w:val="24"/>
                <w:szCs w:val="24"/>
                <w:highlight w:val="none"/>
                <w:lang w:val="en-US" w:eastAsia="zh-CN"/>
              </w:rPr>
              <w:t>.2.5</w:t>
            </w:r>
          </w:p>
        </w:tc>
        <w:tc>
          <w:tcPr>
            <w:tcW w:w="1701" w:type="dxa"/>
            <w:noWrap w:val="0"/>
            <w:vAlign w:val="center"/>
          </w:tcPr>
          <w:p w14:paraId="2B1FF6D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标的所属行业</w:t>
            </w:r>
          </w:p>
        </w:tc>
        <w:tc>
          <w:tcPr>
            <w:tcW w:w="7453" w:type="dxa"/>
            <w:noWrap w:val="0"/>
            <w:vAlign w:val="center"/>
          </w:tcPr>
          <w:p w14:paraId="46C8464A">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本项目属于</w:t>
            </w:r>
            <w:r>
              <w:rPr>
                <w:rFonts w:hint="eastAsia" w:ascii="宋体" w:hAnsi="宋体" w:eastAsia="宋体" w:cs="宋体"/>
                <w:color w:val="000000"/>
                <w:sz w:val="24"/>
                <w:szCs w:val="24"/>
                <w:highlight w:val="none"/>
                <w:u w:val="single"/>
                <w:lang w:eastAsia="zh-CN"/>
              </w:rPr>
              <w:t xml:space="preserve">服务类 </w:t>
            </w:r>
            <w:r>
              <w:rPr>
                <w:rFonts w:hint="eastAsia" w:ascii="宋体" w:hAnsi="宋体" w:eastAsia="宋体" w:cs="宋体"/>
                <w:color w:val="000000"/>
                <w:sz w:val="24"/>
                <w:szCs w:val="24"/>
                <w:highlight w:val="none"/>
                <w:lang w:eastAsia="zh-CN"/>
              </w:rPr>
              <w:t>，采购标的对应的中小企业划分标准所属行业：</w:t>
            </w:r>
            <w:r>
              <w:rPr>
                <w:rFonts w:hint="eastAsia" w:ascii="宋体" w:hAnsi="宋体" w:eastAsia="宋体" w:cs="宋体"/>
                <w:color w:val="000000"/>
                <w:sz w:val="24"/>
                <w:szCs w:val="24"/>
                <w:highlight w:val="none"/>
                <w:u w:val="single"/>
                <w:lang w:eastAsia="zh-CN"/>
              </w:rPr>
              <w:t>其他未列明行业</w:t>
            </w:r>
            <w:r>
              <w:rPr>
                <w:rFonts w:hint="eastAsia" w:ascii="宋体" w:hAnsi="宋体" w:eastAsia="宋体" w:cs="宋体"/>
                <w:color w:val="000000"/>
                <w:sz w:val="24"/>
                <w:szCs w:val="24"/>
                <w:highlight w:val="none"/>
                <w:lang w:eastAsia="zh-CN"/>
              </w:rPr>
              <w:t>。</w:t>
            </w:r>
          </w:p>
        </w:tc>
      </w:tr>
      <w:tr w14:paraId="0F5FE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5BD7EE3C">
            <w:pPr>
              <w:pStyle w:val="221"/>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10.2</w:t>
            </w:r>
          </w:p>
        </w:tc>
        <w:tc>
          <w:tcPr>
            <w:tcW w:w="1701" w:type="dxa"/>
            <w:noWrap w:val="0"/>
            <w:vAlign w:val="center"/>
          </w:tcPr>
          <w:p w14:paraId="510355B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w:t>
            </w:r>
          </w:p>
        </w:tc>
        <w:tc>
          <w:tcPr>
            <w:tcW w:w="7453" w:type="dxa"/>
            <w:noWrap w:val="0"/>
            <w:vAlign w:val="center"/>
          </w:tcPr>
          <w:p w14:paraId="1BDD9B61">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报价的特殊规定：</w:t>
            </w:r>
          </w:p>
          <w:p w14:paraId="751E30F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无</w:t>
            </w:r>
          </w:p>
          <w:p w14:paraId="5FC2BC55">
            <w:pPr>
              <w:keepNext w:val="0"/>
              <w:keepLines w:val="0"/>
              <w:widowControl/>
              <w:suppressLineNumbers w:val="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■有</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固定价格，</w:t>
            </w:r>
            <w:r>
              <w:rPr>
                <w:rFonts w:hint="eastAsia" w:ascii="宋体" w:hAnsi="宋体" w:cs="宋体"/>
                <w:color w:val="000000"/>
                <w:sz w:val="24"/>
                <w:highlight w:val="none"/>
                <w:lang w:val="en-US" w:eastAsia="zh-CN"/>
              </w:rPr>
              <w:t>260万元/年</w:t>
            </w:r>
          </w:p>
        </w:tc>
      </w:tr>
      <w:tr w14:paraId="1D941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988" w:type="dxa"/>
            <w:noWrap w:val="0"/>
            <w:vAlign w:val="center"/>
          </w:tcPr>
          <w:p w14:paraId="65CE29A6">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11.1</w:t>
            </w:r>
          </w:p>
        </w:tc>
        <w:tc>
          <w:tcPr>
            <w:tcW w:w="1701" w:type="dxa"/>
            <w:noWrap w:val="0"/>
            <w:vAlign w:val="center"/>
          </w:tcPr>
          <w:p w14:paraId="6483EFC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保证金</w:t>
            </w:r>
          </w:p>
        </w:tc>
        <w:tc>
          <w:tcPr>
            <w:tcW w:w="7453" w:type="dxa"/>
            <w:noWrap w:val="0"/>
            <w:vAlign w:val="center"/>
          </w:tcPr>
          <w:p w14:paraId="26E6F886">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免收</w:t>
            </w:r>
          </w:p>
        </w:tc>
      </w:tr>
      <w:tr w14:paraId="1DEAB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988" w:type="dxa"/>
            <w:noWrap w:val="0"/>
            <w:vAlign w:val="center"/>
          </w:tcPr>
          <w:p w14:paraId="5B566AAA">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12.4</w:t>
            </w:r>
          </w:p>
        </w:tc>
        <w:tc>
          <w:tcPr>
            <w:tcW w:w="1701" w:type="dxa"/>
            <w:noWrap w:val="0"/>
            <w:vAlign w:val="center"/>
          </w:tcPr>
          <w:p w14:paraId="0DBF4CC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响应有效期</w:t>
            </w:r>
          </w:p>
        </w:tc>
        <w:tc>
          <w:tcPr>
            <w:tcW w:w="7453" w:type="dxa"/>
            <w:noWrap w:val="0"/>
            <w:vAlign w:val="center"/>
          </w:tcPr>
          <w:p w14:paraId="00D54D21">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自提交响应文件的截止之日起</w:t>
            </w:r>
            <w:r>
              <w:rPr>
                <w:rFonts w:hint="eastAsia" w:ascii="宋体" w:hAnsi="宋体" w:eastAsia="宋体" w:cs="宋体"/>
                <w:color w:val="000000"/>
                <w:sz w:val="24"/>
                <w:szCs w:val="24"/>
                <w:highlight w:val="none"/>
                <w:lang w:val="en-US" w:eastAsia="zh-CN"/>
              </w:rPr>
              <w:t>算60</w:t>
            </w:r>
            <w:r>
              <w:rPr>
                <w:rFonts w:hint="eastAsia" w:ascii="宋体" w:hAnsi="宋体" w:eastAsia="宋体" w:cs="宋体"/>
                <w:color w:val="000000"/>
                <w:sz w:val="24"/>
                <w:szCs w:val="24"/>
                <w:highlight w:val="none"/>
              </w:rPr>
              <w:t>日历天。</w:t>
            </w:r>
          </w:p>
        </w:tc>
      </w:tr>
      <w:tr w14:paraId="668B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988" w:type="dxa"/>
            <w:noWrap w:val="0"/>
            <w:vAlign w:val="center"/>
          </w:tcPr>
          <w:p w14:paraId="7F2E590A">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23.5</w:t>
            </w:r>
          </w:p>
        </w:tc>
        <w:tc>
          <w:tcPr>
            <w:tcW w:w="1701" w:type="dxa"/>
            <w:noWrap w:val="0"/>
            <w:vAlign w:val="center"/>
          </w:tcPr>
          <w:p w14:paraId="1733EAD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分包</w:t>
            </w:r>
          </w:p>
        </w:tc>
        <w:tc>
          <w:tcPr>
            <w:tcW w:w="7453" w:type="dxa"/>
            <w:noWrap w:val="0"/>
            <w:vAlign w:val="center"/>
          </w:tcPr>
          <w:p w14:paraId="39F92885">
            <w:pPr>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不分包</w:t>
            </w:r>
          </w:p>
        </w:tc>
      </w:tr>
      <w:tr w14:paraId="5030B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988" w:type="dxa"/>
            <w:noWrap w:val="0"/>
            <w:vAlign w:val="center"/>
          </w:tcPr>
          <w:p w14:paraId="3CF1447B">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24.1.1</w:t>
            </w:r>
          </w:p>
        </w:tc>
        <w:tc>
          <w:tcPr>
            <w:tcW w:w="1701" w:type="dxa"/>
            <w:noWrap w:val="0"/>
            <w:vAlign w:val="center"/>
          </w:tcPr>
          <w:p w14:paraId="642F9F2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询问</w:t>
            </w:r>
          </w:p>
        </w:tc>
        <w:tc>
          <w:tcPr>
            <w:tcW w:w="7453" w:type="dxa"/>
            <w:noWrap w:val="0"/>
            <w:vAlign w:val="center"/>
          </w:tcPr>
          <w:p w14:paraId="4471DF4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w:t>
            </w:r>
          </w:p>
        </w:tc>
      </w:tr>
      <w:tr w14:paraId="56851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988" w:type="dxa"/>
            <w:noWrap w:val="0"/>
            <w:vAlign w:val="center"/>
          </w:tcPr>
          <w:p w14:paraId="140356FF">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24.3</w:t>
            </w:r>
          </w:p>
        </w:tc>
        <w:tc>
          <w:tcPr>
            <w:tcW w:w="1701" w:type="dxa"/>
            <w:noWrap w:val="0"/>
            <w:vAlign w:val="center"/>
          </w:tcPr>
          <w:p w14:paraId="75483B1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w:t>
            </w:r>
          </w:p>
        </w:tc>
        <w:tc>
          <w:tcPr>
            <w:tcW w:w="7453" w:type="dxa"/>
            <w:noWrap w:val="0"/>
            <w:vAlign w:val="center"/>
          </w:tcPr>
          <w:p w14:paraId="4A551193">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接收询问和质疑的联系方式</w:t>
            </w:r>
          </w:p>
          <w:p w14:paraId="358F25C8">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联系部门：</w:t>
            </w:r>
            <w:r>
              <w:rPr>
                <w:rFonts w:hint="eastAsia" w:ascii="宋体" w:hAnsi="宋体" w:eastAsia="宋体" w:cs="宋体"/>
                <w:color w:val="000000"/>
                <w:sz w:val="24"/>
                <w:szCs w:val="24"/>
                <w:highlight w:val="none"/>
                <w:u w:val="none"/>
                <w:lang w:val="en-US" w:eastAsia="zh-CN"/>
              </w:rPr>
              <w:t xml:space="preserve">江苏鑫轶工程咨询有限公司 </w:t>
            </w:r>
          </w:p>
          <w:p w14:paraId="701C19DB">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联系电话：蒋女士  0519-80990060</w:t>
            </w:r>
          </w:p>
          <w:p w14:paraId="37B71081">
            <w:pPr>
              <w:numPr>
                <w:ilvl w:val="0"/>
                <w:numId w:val="0"/>
              </w:numPr>
              <w:jc w:val="lef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通讯地址：溧阳市昆仑南路281号</w:t>
            </w:r>
          </w:p>
        </w:tc>
      </w:tr>
      <w:tr w14:paraId="6994F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jc w:val="center"/>
        </w:trPr>
        <w:tc>
          <w:tcPr>
            <w:tcW w:w="988" w:type="dxa"/>
            <w:noWrap w:val="0"/>
            <w:vAlign w:val="center"/>
          </w:tcPr>
          <w:p w14:paraId="55CD9454">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25</w:t>
            </w:r>
          </w:p>
        </w:tc>
        <w:tc>
          <w:tcPr>
            <w:tcW w:w="1701" w:type="dxa"/>
            <w:noWrap w:val="0"/>
            <w:vAlign w:val="center"/>
          </w:tcPr>
          <w:p w14:paraId="37D35776">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代理费</w:t>
            </w:r>
          </w:p>
        </w:tc>
        <w:tc>
          <w:tcPr>
            <w:tcW w:w="7453" w:type="dxa"/>
            <w:noWrap w:val="0"/>
            <w:vAlign w:val="center"/>
          </w:tcPr>
          <w:p w14:paraId="486FD708">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收费对象：成交供应商</w:t>
            </w:r>
          </w:p>
          <w:p w14:paraId="1B22DB28">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收费标准：</w:t>
            </w:r>
            <w:r>
              <w:rPr>
                <w:rFonts w:hint="eastAsia" w:ascii="宋体" w:hAnsi="宋体" w:eastAsia="宋体" w:cs="宋体"/>
                <w:color w:val="000000"/>
                <w:sz w:val="24"/>
                <w:szCs w:val="24"/>
                <w:highlight w:val="none"/>
                <w:lang w:val="en-US" w:eastAsia="zh-CN"/>
              </w:rPr>
              <w:t>参照苏政采协[2024]20 号文件要求计取；</w:t>
            </w:r>
          </w:p>
          <w:p w14:paraId="1516A8BF">
            <w:pPr>
              <w:keepNext w:val="0"/>
              <w:keepLines w:val="0"/>
              <w:widowControl/>
              <w:suppressLineNumbers w:val="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缴纳时间：</w:t>
            </w:r>
            <w:r>
              <w:rPr>
                <w:rFonts w:hint="eastAsia" w:ascii="宋体" w:hAnsi="宋体" w:eastAsia="宋体" w:cs="宋体"/>
                <w:color w:val="000000"/>
                <w:sz w:val="24"/>
                <w:szCs w:val="24"/>
                <w:highlight w:val="none"/>
                <w:lang w:eastAsia="zh-CN"/>
              </w:rPr>
              <w:t>领取成交通知书的同时。</w:t>
            </w:r>
          </w:p>
        </w:tc>
      </w:tr>
      <w:tr w14:paraId="0AE4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988" w:type="dxa"/>
            <w:noWrap w:val="0"/>
            <w:vAlign w:val="center"/>
          </w:tcPr>
          <w:p w14:paraId="00C37A10">
            <w:pPr>
              <w:pStyle w:val="221"/>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26</w:t>
            </w:r>
          </w:p>
        </w:tc>
        <w:tc>
          <w:tcPr>
            <w:tcW w:w="1701" w:type="dxa"/>
            <w:noWrap w:val="0"/>
            <w:vAlign w:val="center"/>
          </w:tcPr>
          <w:p w14:paraId="65A32F3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纸质响应文件</w:t>
            </w:r>
          </w:p>
        </w:tc>
        <w:tc>
          <w:tcPr>
            <w:tcW w:w="7453" w:type="dxa"/>
            <w:noWrap w:val="0"/>
            <w:vAlign w:val="center"/>
          </w:tcPr>
          <w:p w14:paraId="6995D773">
            <w:pPr>
              <w:keepNext w:val="0"/>
              <w:keepLines w:val="0"/>
              <w:widowControl/>
              <w:suppressLineNumbers w:val="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成交供应商在</w:t>
            </w:r>
            <w:r>
              <w:rPr>
                <w:rFonts w:hint="eastAsia" w:ascii="宋体" w:hAnsi="宋体" w:eastAsia="宋体" w:cs="宋体"/>
                <w:color w:val="000000"/>
                <w:sz w:val="24"/>
                <w:szCs w:val="24"/>
                <w:highlight w:val="none"/>
                <w:lang w:val="en-US" w:eastAsia="zh-CN"/>
              </w:rPr>
              <w:t>合同签订前</w:t>
            </w:r>
            <w:r>
              <w:rPr>
                <w:rFonts w:hint="eastAsia" w:ascii="宋体" w:hAnsi="宋体" w:eastAsia="宋体" w:cs="宋体"/>
                <w:color w:val="000000"/>
                <w:sz w:val="24"/>
                <w:szCs w:val="24"/>
                <w:highlight w:val="none"/>
              </w:rPr>
              <w:t>向代理机构提供正本1套、副本2套纸质响应文件，在每一份纸质响应文件上要明确注明“正本” 或“副本”字样。</w:t>
            </w:r>
            <w:r>
              <w:rPr>
                <w:rFonts w:hint="eastAsia" w:ascii="宋体" w:hAnsi="宋体" w:eastAsia="宋体" w:cs="宋体"/>
                <w:color w:val="000000"/>
                <w:sz w:val="24"/>
                <w:szCs w:val="24"/>
                <w:highlight w:val="none"/>
                <w:lang w:val="en-US" w:eastAsia="zh-CN"/>
              </w:rPr>
              <w:t xml:space="preserve">         </w:t>
            </w:r>
          </w:p>
        </w:tc>
      </w:tr>
    </w:tbl>
    <w:p w14:paraId="2C865E1B">
      <w:pPr>
        <w:tabs>
          <w:tab w:val="left" w:pos="5580"/>
        </w:tabs>
        <w:spacing w:line="360" w:lineRule="auto"/>
        <w:jc w:val="both"/>
        <w:rPr>
          <w:rFonts w:hint="eastAsia" w:ascii="宋体" w:hAnsi="宋体" w:eastAsia="宋体" w:cs="宋体"/>
          <w:color w:val="000000"/>
          <w:sz w:val="24"/>
          <w:szCs w:val="24"/>
          <w:highlight w:val="none"/>
        </w:rPr>
        <w:sectPr>
          <w:footerReference r:id="rId7" w:type="first"/>
          <w:footerReference r:id="rId6" w:type="default"/>
          <w:pgSz w:w="11907" w:h="16840"/>
          <w:pgMar w:top="1418" w:right="1134" w:bottom="1418" w:left="1134" w:header="851" w:footer="851" w:gutter="0"/>
          <w:pgNumType w:fmt="decimal"/>
          <w:cols w:space="1701" w:num="1"/>
          <w:titlePg/>
          <w:docGrid w:linePitch="360" w:charSpace="0"/>
        </w:sectPr>
      </w:pPr>
    </w:p>
    <w:p w14:paraId="727567EF">
      <w:pPr>
        <w:spacing w:before="240" w:after="2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供应商须知</w:t>
      </w:r>
    </w:p>
    <w:p w14:paraId="2E43B16C">
      <w:pPr>
        <w:pStyle w:val="183"/>
        <w:tabs>
          <w:tab w:val="center" w:pos="4592"/>
          <w:tab w:val="left" w:pos="7860"/>
        </w:tabs>
        <w:spacing w:before="0" w:line="360" w:lineRule="auto"/>
        <w:jc w:val="left"/>
        <w:rPr>
          <w:rFonts w:hint="eastAsia" w:ascii="宋体" w:hAnsi="宋体" w:eastAsia="宋体" w:cs="宋体"/>
          <w:color w:val="000000"/>
          <w:sz w:val="24"/>
          <w:szCs w:val="24"/>
          <w:highlight w:val="none"/>
        </w:rPr>
      </w:pPr>
      <w:bookmarkStart w:id="74" w:name="_Toc127151518"/>
      <w:bookmarkStart w:id="75" w:name="_Toc520356143"/>
      <w:r>
        <w:rPr>
          <w:rFonts w:hint="eastAsia" w:ascii="宋体" w:hAnsi="宋体" w:eastAsia="宋体" w:cs="宋体"/>
          <w:color w:val="000000"/>
          <w:sz w:val="24"/>
          <w:szCs w:val="24"/>
          <w:highlight w:val="none"/>
        </w:rPr>
        <w:tab/>
      </w:r>
      <w:bookmarkStart w:id="76" w:name="_Toc264969208"/>
      <w:bookmarkStart w:id="77" w:name="_Toc226965791"/>
      <w:bookmarkStart w:id="78" w:name="_Toc150509269"/>
      <w:bookmarkStart w:id="79" w:name="_Toc226337214"/>
      <w:bookmarkStart w:id="80" w:name="_Toc150774618"/>
      <w:bookmarkStart w:id="81" w:name="_Toc265228356"/>
      <w:bookmarkStart w:id="82" w:name="_Toc151193616"/>
      <w:bookmarkStart w:id="83" w:name="_Toc142311020"/>
      <w:bookmarkStart w:id="84" w:name="_Toc150774723"/>
      <w:bookmarkStart w:id="85" w:name="_Toc305158786"/>
      <w:bookmarkStart w:id="86" w:name="_Toc226309762"/>
      <w:bookmarkStart w:id="87" w:name="_Toc151193760"/>
      <w:bookmarkStart w:id="88" w:name="_Toc195842883"/>
      <w:bookmarkStart w:id="89" w:name="_Toc151190145"/>
      <w:bookmarkStart w:id="90" w:name="_Toc305158860"/>
      <w:bookmarkStart w:id="91" w:name="_Toc150480756"/>
      <w:bookmarkStart w:id="92" w:name="_Toc151193832"/>
      <w:bookmarkStart w:id="93" w:name="_Toc226965708"/>
      <w:bookmarkStart w:id="94" w:name="_Toc151193906"/>
      <w:bookmarkStart w:id="95" w:name="_Toc151193688"/>
      <w:r>
        <w:rPr>
          <w:rFonts w:hint="eastAsia" w:ascii="宋体" w:hAnsi="宋体" w:eastAsia="宋体" w:cs="宋体"/>
          <w:color w:val="000000"/>
          <w:sz w:val="24"/>
          <w:szCs w:val="24"/>
          <w:highlight w:val="none"/>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宋体" w:hAnsi="宋体" w:eastAsia="宋体" w:cs="宋体"/>
          <w:color w:val="000000"/>
          <w:sz w:val="24"/>
          <w:szCs w:val="24"/>
          <w:highlight w:val="none"/>
        </w:rPr>
        <w:tab/>
      </w:r>
    </w:p>
    <w:p w14:paraId="39BE4E63">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bookmarkStart w:id="96" w:name="_Toc305158861"/>
      <w:bookmarkStart w:id="97" w:name="_Toc305158787"/>
      <w:bookmarkStart w:id="98" w:name="_Toc264969209"/>
      <w:bookmarkStart w:id="99" w:name="_Toc265228357"/>
      <w:r>
        <w:rPr>
          <w:rFonts w:hint="eastAsia" w:ascii="宋体" w:hAnsi="宋体" w:eastAsia="宋体" w:cs="宋体"/>
          <w:color w:val="000000"/>
          <w:sz w:val="24"/>
          <w:szCs w:val="24"/>
          <w:highlight w:val="none"/>
        </w:rPr>
        <w:t>采购人、采购代理机构、供应商</w:t>
      </w:r>
      <w:bookmarkEnd w:id="96"/>
      <w:bookmarkEnd w:id="97"/>
      <w:bookmarkEnd w:id="98"/>
      <w:bookmarkEnd w:id="99"/>
      <w:r>
        <w:rPr>
          <w:rFonts w:hint="eastAsia" w:ascii="宋体" w:hAnsi="宋体" w:eastAsia="宋体" w:cs="宋体"/>
          <w:color w:val="000000"/>
          <w:sz w:val="24"/>
          <w:szCs w:val="24"/>
          <w:highlight w:val="none"/>
        </w:rPr>
        <w:t>、联合体</w:t>
      </w:r>
    </w:p>
    <w:p w14:paraId="1F8B514C">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采购人、采购代理机构：指依法进行政府采购的国家机关、事业单位、团体组织，及其委托的采购代理机构。本项目采购人、采购代理机构见第一章《采购邀请》。</w:t>
      </w:r>
    </w:p>
    <w:p w14:paraId="4A663783">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供应商（也称“申请人”）：指向采购人提供货物、工程或者服务的法人、其他组织或者自然人。</w:t>
      </w:r>
    </w:p>
    <w:p w14:paraId="5442C1AF">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联合体：指两个以上的自然人、法人或者其他组织组成一个联合体，以一个供应商的身份共同参加政府采购。</w:t>
      </w:r>
    </w:p>
    <w:p w14:paraId="6B52C1F1">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bookmarkStart w:id="100" w:name="_Toc164608789"/>
      <w:bookmarkStart w:id="101" w:name="_Toc305158788"/>
      <w:bookmarkStart w:id="102" w:name="_Toc151193908"/>
      <w:bookmarkStart w:id="103" w:name="_Toc127151721"/>
      <w:bookmarkStart w:id="104" w:name="_Toc226965793"/>
      <w:bookmarkStart w:id="105" w:name="_Toc150480758"/>
      <w:bookmarkStart w:id="106" w:name="_Toc226965710"/>
      <w:bookmarkStart w:id="107" w:name="_Toc164229215"/>
      <w:bookmarkStart w:id="108" w:name="_Toc149720813"/>
      <w:bookmarkStart w:id="109" w:name="_Toc151193690"/>
      <w:bookmarkStart w:id="110" w:name="_Toc226337216"/>
      <w:bookmarkStart w:id="111" w:name="_Toc127161434"/>
      <w:bookmarkStart w:id="112" w:name="_Toc164608634"/>
      <w:bookmarkStart w:id="113" w:name="_Toc142311022"/>
      <w:bookmarkStart w:id="114" w:name="_Toc305158862"/>
      <w:bookmarkStart w:id="115" w:name="_Toc150774725"/>
      <w:bookmarkStart w:id="116" w:name="_Toc265228358"/>
      <w:bookmarkStart w:id="117" w:name="_Toc264969210"/>
      <w:bookmarkStart w:id="118" w:name="_Toc151193762"/>
      <w:bookmarkStart w:id="119" w:name="_Toc195842885"/>
      <w:bookmarkStart w:id="120" w:name="_Toc164229361"/>
      <w:bookmarkStart w:id="121" w:name="_Toc164351614"/>
      <w:bookmarkStart w:id="122" w:name="_Toc151193834"/>
      <w:bookmarkStart w:id="123" w:name="_Toc226309764"/>
      <w:bookmarkStart w:id="124" w:name="_Toc150509271"/>
      <w:bookmarkStart w:id="125" w:name="_Toc151193618"/>
      <w:bookmarkStart w:id="126" w:name="_Toc127151520"/>
      <w:bookmarkStart w:id="127" w:name="_Toc151190147"/>
      <w:bookmarkStart w:id="128" w:name="_Toc150774620"/>
      <w:r>
        <w:rPr>
          <w:rFonts w:hint="eastAsia" w:ascii="宋体" w:hAnsi="宋体" w:eastAsia="宋体" w:cs="宋体"/>
          <w:color w:val="000000"/>
          <w:sz w:val="24"/>
          <w:szCs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eastAsia="宋体" w:cs="宋体"/>
          <w:color w:val="000000"/>
          <w:sz w:val="24"/>
          <w:szCs w:val="24"/>
          <w:highlight w:val="none"/>
        </w:rPr>
        <w:t>、项目属性、科研仪器设备采购</w:t>
      </w:r>
    </w:p>
    <w:p w14:paraId="69C4A35C">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资金来源为财政性资金和/或本项目采购中无法与财政性资金分割的非财政性资金。</w:t>
      </w:r>
    </w:p>
    <w:p w14:paraId="25718D2A">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项目属性见《供应商须知资料表》。</w:t>
      </w:r>
    </w:p>
    <w:p w14:paraId="28B24C1E">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是否属于科研仪器设备采购见《供应商须知资料表》。</w:t>
      </w:r>
    </w:p>
    <w:p w14:paraId="0D445122">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现场考察、</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w:t>
      </w:r>
    </w:p>
    <w:p w14:paraId="67796529">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若《供应商须知资料表》中规定了组织现场考察、召开</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前答疑会，则供应商应按要求在规定的时间和地点参加。</w:t>
      </w:r>
      <w:bookmarkStart w:id="129" w:name="_Toc151193764"/>
      <w:bookmarkStart w:id="130" w:name="_Toc520356146"/>
      <w:bookmarkStart w:id="131" w:name="_Toc226337218"/>
      <w:bookmarkStart w:id="132" w:name="_Toc151193910"/>
      <w:bookmarkStart w:id="133" w:name="_Toc305158864"/>
      <w:bookmarkStart w:id="134" w:name="_Toc195842887"/>
      <w:bookmarkStart w:id="135" w:name="_Toc142311024"/>
      <w:bookmarkStart w:id="136" w:name="_Toc150480760"/>
      <w:bookmarkStart w:id="137" w:name="_Toc150774727"/>
      <w:bookmarkStart w:id="138" w:name="_Toc226965795"/>
      <w:bookmarkStart w:id="139" w:name="_Toc265228360"/>
      <w:bookmarkStart w:id="140" w:name="_Toc305158790"/>
      <w:bookmarkStart w:id="141" w:name="_Toc151190149"/>
      <w:bookmarkStart w:id="142" w:name="_Toc151193620"/>
      <w:bookmarkStart w:id="143" w:name="_Toc150509273"/>
      <w:bookmarkStart w:id="144" w:name="_Toc226309766"/>
      <w:bookmarkStart w:id="145" w:name="_Toc226965712"/>
      <w:bookmarkStart w:id="146" w:name="_Toc151193692"/>
      <w:bookmarkStart w:id="147" w:name="_Toc151193836"/>
      <w:bookmarkStart w:id="148" w:name="_Toc264969212"/>
      <w:bookmarkStart w:id="149" w:name="_Toc127151522"/>
      <w:bookmarkStart w:id="150" w:name="_Toc150774622"/>
    </w:p>
    <w:p w14:paraId="799A7398">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由于未参加现场考察或</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前答疑会而导致对项目实际情况不了解，影响响应文件编制、报价准确性、综合因素响应不全面等问题的，由供应商自行承担不利评审后果。</w:t>
      </w:r>
    </w:p>
    <w:p w14:paraId="2B58A60C">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政府采购政策（包括但不限于下列具体政策要求）</w:t>
      </w:r>
    </w:p>
    <w:p w14:paraId="5D03B09F">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进口产品</w:t>
      </w:r>
    </w:p>
    <w:p w14:paraId="3432F323">
      <w:pPr>
        <w:numPr>
          <w:ilvl w:val="0"/>
          <w:numId w:val="0"/>
        </w:numPr>
        <w:tabs>
          <w:tab w:val="left" w:pos="1080"/>
          <w:tab w:val="left" w:pos="2014"/>
        </w:tabs>
        <w:spacing w:line="360" w:lineRule="auto"/>
        <w:ind w:left="360" w:firstLine="72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本项目不适用。</w:t>
      </w:r>
    </w:p>
    <w:p w14:paraId="68921F57">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中小企业、监狱企业及残疾人福利性单位</w:t>
      </w:r>
    </w:p>
    <w:p w14:paraId="566E040B">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中小企业定义：</w:t>
      </w:r>
    </w:p>
    <w:p w14:paraId="7A60264F">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0BCCDEBC">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2F87AEE7">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26323D63">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7B233CD9">
      <w:pPr>
        <w:pStyle w:val="27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13704606">
      <w:pPr>
        <w:pStyle w:val="27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34364A6B">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12E7BC0C">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BBF117">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供应商提供的货物、工程或者服务符合下列情形的，享受中小企业扶持政策：</w:t>
      </w:r>
    </w:p>
    <w:p w14:paraId="231C50C2">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（1）在货物采购项目中，货物由中小企业制造，即货物由中小企业生产且使用该中小企业商号或者注册商标；</w:t>
      </w:r>
    </w:p>
    <w:p w14:paraId="7929603B">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（2）在工程采购项目中，工程由中小企业承建，即工程施工单位为中小企业；</w:t>
      </w:r>
    </w:p>
    <w:p w14:paraId="1A02F95B">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（3）在服务采购项目中，服务由中小企业承接，即提供服务的人员为中小企业依照《中华人民共和国劳动合同法》订立劳动合同的从业人员。</w:t>
      </w:r>
    </w:p>
    <w:p w14:paraId="7EF17E32">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在货物采购项目中，供应商提供的货物既有中小企业制造货物，也有大型企业制造货物的，不享受中小企业扶持政策。</w:t>
      </w:r>
    </w:p>
    <w:p w14:paraId="0931EB1A">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以联合体形式参加政府采购活动，联合体各方均为中小企业的，联合体视同中小企业。其中，联合体各方均为小微企业的，联合体视同小微企业。</w:t>
      </w:r>
    </w:p>
    <w:p w14:paraId="0D5C80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38900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残疾人福利单位定义：享受政府采购支持政策的残疾人</w:t>
      </w:r>
      <w:r>
        <w:rPr>
          <w:rFonts w:hint="eastAsia" w:ascii="宋体" w:hAnsi="宋体" w:eastAsia="宋体" w:cs="宋体"/>
          <w:color w:val="000000"/>
          <w:sz w:val="24"/>
          <w:szCs w:val="24"/>
          <w:highlight w:val="none"/>
          <w:lang w:eastAsia="zh-CN"/>
        </w:rPr>
        <w:t>福利</w:t>
      </w:r>
      <w:r>
        <w:rPr>
          <w:rFonts w:hint="eastAsia" w:ascii="宋体" w:hAnsi="宋体" w:eastAsia="宋体" w:cs="宋体"/>
          <w:color w:val="000000"/>
          <w:sz w:val="24"/>
          <w:szCs w:val="24"/>
          <w:highlight w:val="none"/>
        </w:rPr>
        <w:t>单位应当同时满足以下条件：</w:t>
      </w:r>
    </w:p>
    <w:p w14:paraId="0808C382">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46E42147">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4FC7A29F">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安置的残疾人占本单位在职职工人数的比例不低于25%（含25%），并且安置的残疾人人数不少于10 人（含10 人）；</w:t>
      </w:r>
    </w:p>
    <w:p w14:paraId="2EFC61C6">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依法与安置的每位残疾人签订了一年以上（含一年）的劳动合同或服务协议；</w:t>
      </w:r>
    </w:p>
    <w:p w14:paraId="4540D2F8">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为安置的每位残疾人按月足额缴纳了基本养老保险、基本医疗保险、失业保险、工伤保险和生育保险等社会保险费；</w:t>
      </w:r>
    </w:p>
    <w:p w14:paraId="63549663">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通过银行等金融机构向安置的每位残疾人，按月支付了不低于单位所在区县适用的经省级人民政府批准的月最低工资标准的工资；</w:t>
      </w:r>
    </w:p>
    <w:p w14:paraId="1E19DCF7">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提供本单位制造的货物、承担的工程或者服务（以下简称产品），或者提供其他残疾人福利性单位制造的货物（不包括使用非残疾人福利性单位注册商标的货物）；</w:t>
      </w:r>
    </w:p>
    <w:p w14:paraId="42D78A6B">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6C1D84B">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本项目是否专门面向中小企业预留采购份额见第一章《采购邀请》。</w:t>
      </w:r>
    </w:p>
    <w:p w14:paraId="3A0C3118">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采购标的对应的中小企业划分标准所属行业见《供应商须知资料表》。</w:t>
      </w:r>
    </w:p>
    <w:p w14:paraId="4958A1D6">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小微企业价格评审优惠的政策调整：见第三章《评审方法和评审标准》。</w:t>
      </w:r>
    </w:p>
    <w:p w14:paraId="630CD687">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政府采购节能产品、环境标志产品</w:t>
      </w:r>
    </w:p>
    <w:p w14:paraId="599F68B9">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6623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98CAE96">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w:t>
      </w:r>
    </w:p>
    <w:p w14:paraId="4DFE033D">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非政府强制采购的节能产品或环境标志产品，依据品目清单和认证证书实施政府优先采购。优先采购的具体规定见第三章《评审方法和评审标准》（如涉及）。</w:t>
      </w:r>
    </w:p>
    <w:p w14:paraId="765E379B">
      <w:pPr>
        <w:numPr>
          <w:ilvl w:val="2"/>
          <w:numId w:val="8"/>
        </w:numPr>
        <w:tabs>
          <w:tab w:val="left" w:pos="2014"/>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35283E3">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支持乡村产业振兴管理</w:t>
      </w:r>
    </w:p>
    <w:p w14:paraId="09754474">
      <w:pPr>
        <w:numPr>
          <w:ilvl w:val="2"/>
          <w:numId w:val="8"/>
        </w:numPr>
        <w:tabs>
          <w:tab w:val="left" w:pos="2014"/>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3CBDD59D">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正版软件</w:t>
      </w:r>
    </w:p>
    <w:p w14:paraId="2EFD0F3E">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10B0932">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1F15AB6">
      <w:pPr>
        <w:numPr>
          <w:ilvl w:val="1"/>
          <w:numId w:val="8"/>
        </w:numPr>
        <w:tabs>
          <w:tab w:val="left" w:pos="1080"/>
          <w:tab w:val="left" w:pos="2014"/>
        </w:tabs>
        <w:spacing w:line="360" w:lineRule="auto"/>
        <w:ind w:left="1080" w:hanging="720"/>
        <w:rPr>
          <w:rFonts w:hint="eastAsia"/>
          <w:sz w:val="24"/>
        </w:rPr>
      </w:pPr>
      <w:bookmarkStart w:id="151" w:name="_1.8_计量单位"/>
      <w:bookmarkEnd w:id="151"/>
      <w:r>
        <w:rPr>
          <w:rFonts w:hint="eastAsia"/>
          <w:sz w:val="24"/>
        </w:rPr>
        <w:t>政府采购创新产品政策</w:t>
      </w:r>
    </w:p>
    <w:p w14:paraId="661A00EF">
      <w:pPr>
        <w:numPr>
          <w:ilvl w:val="2"/>
          <w:numId w:val="8"/>
        </w:numPr>
        <w:tabs>
          <w:tab w:val="left" w:pos="2014"/>
        </w:tabs>
        <w:spacing w:line="360" w:lineRule="auto"/>
        <w:rPr>
          <w:rFonts w:hint="eastAsia"/>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1C58BC4">
      <w:pPr>
        <w:spacing w:line="480" w:lineRule="exact"/>
        <w:ind w:firstLine="360"/>
        <w:rPr>
          <w:sz w:val="24"/>
        </w:rPr>
      </w:pPr>
      <w:r>
        <w:rPr>
          <w:rFonts w:hint="eastAsia"/>
          <w:sz w:val="24"/>
        </w:rPr>
        <w:t>4.7 绿色采购政策</w:t>
      </w:r>
    </w:p>
    <w:p w14:paraId="20C2A5B2">
      <w:pPr>
        <w:spacing w:line="480" w:lineRule="exact"/>
        <w:ind w:left="900"/>
        <w:rPr>
          <w:rFonts w:ascii="宋体" w:hAnsi="宋体"/>
          <w:b/>
          <w:sz w:val="24"/>
        </w:rPr>
      </w:pPr>
      <w:r>
        <w:rPr>
          <w:rFonts w:hint="eastAsia"/>
          <w:sz w:val="24"/>
        </w:rPr>
        <w:t xml:space="preserve">4.7.1  </w:t>
      </w:r>
      <w:r>
        <w:rPr>
          <w:rFonts w:hint="eastAsia" w:ascii="宋体" w:hAnsi="宋体"/>
          <w:b w:val="0"/>
          <w:bCs/>
          <w:sz w:val="24"/>
        </w:rPr>
        <w:t>绿色数据中心政策</w:t>
      </w:r>
      <w:r>
        <w:rPr>
          <w:rFonts w:hint="eastAsia" w:ascii="宋体" w:hAnsi="宋体"/>
          <w:b/>
          <w:sz w:val="24"/>
        </w:rPr>
        <w:t xml:space="preserve"> </w:t>
      </w:r>
    </w:p>
    <w:p w14:paraId="018CACFD">
      <w:pPr>
        <w:spacing w:line="480" w:lineRule="exact"/>
        <w:ind w:left="900"/>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40D553">
      <w:pPr>
        <w:spacing w:line="480" w:lineRule="exact"/>
        <w:ind w:left="900"/>
        <w:rPr>
          <w:rFonts w:ascii="宋体" w:hAnsi="宋体"/>
          <w:sz w:val="24"/>
        </w:rPr>
      </w:pPr>
      <w:r>
        <w:rPr>
          <w:rFonts w:hint="eastAsia" w:ascii="宋体" w:hAnsi="宋体"/>
          <w:sz w:val="24"/>
        </w:rPr>
        <w:t>4.7.2 推广应用绿色建材</w:t>
      </w:r>
    </w:p>
    <w:p w14:paraId="2DCD9EDB">
      <w:pPr>
        <w:spacing w:line="480" w:lineRule="exact"/>
        <w:ind w:left="90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55CF6F58">
      <w:pPr>
        <w:spacing w:line="480" w:lineRule="exact"/>
        <w:ind w:left="900"/>
        <w:rPr>
          <w:rFonts w:ascii="宋体" w:hAnsi="宋体"/>
          <w:sz w:val="24"/>
        </w:rPr>
      </w:pPr>
      <w:r>
        <w:rPr>
          <w:rFonts w:hint="eastAsia" w:ascii="宋体" w:hAnsi="宋体"/>
          <w:sz w:val="24"/>
        </w:rPr>
        <w:t xml:space="preserve"> 4.7.3 优先使用低挥发性有机化合物产品</w:t>
      </w:r>
    </w:p>
    <w:p w14:paraId="490E92A8">
      <w:pPr>
        <w:tabs>
          <w:tab w:val="left" w:pos="2014"/>
        </w:tabs>
        <w:spacing w:line="360" w:lineRule="auto"/>
        <w:ind w:left="900"/>
        <w:rPr>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CAC9E62">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费用</w:t>
      </w:r>
    </w:p>
    <w:p w14:paraId="78C9D8A3">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供应商应自行承担所有与准备和参加</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有关的费用，无论结果如何，采购人或采购代理机构在任何情况下均无承担这些费用的义务和责任。</w:t>
      </w:r>
    </w:p>
    <w:p w14:paraId="47193C82">
      <w:pPr>
        <w:tabs>
          <w:tab w:val="left" w:pos="1080"/>
        </w:tabs>
        <w:spacing w:line="360" w:lineRule="auto"/>
        <w:ind w:left="1080"/>
        <w:rPr>
          <w:rFonts w:hint="eastAsia" w:ascii="宋体" w:hAnsi="宋体" w:eastAsia="宋体" w:cs="宋体"/>
          <w:color w:val="000000"/>
          <w:sz w:val="24"/>
          <w:szCs w:val="24"/>
          <w:highlight w:val="none"/>
        </w:rPr>
      </w:pP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14:paraId="0684914A">
      <w:pPr>
        <w:pStyle w:val="183"/>
        <w:spacing w:before="0" w:line="360" w:lineRule="auto"/>
        <w:rPr>
          <w:rFonts w:ascii="Times New Roman" w:hAnsi="Times New Roman" w:eastAsia="宋体"/>
          <w:sz w:val="28"/>
        </w:rPr>
      </w:pPr>
      <w:r>
        <w:rPr>
          <w:rFonts w:ascii="Times New Roman" w:hAnsi="Times New Roman" w:eastAsia="宋体"/>
          <w:sz w:val="28"/>
        </w:rPr>
        <w:t>二   招标文件</w:t>
      </w:r>
    </w:p>
    <w:p w14:paraId="7AB17FD7">
      <w:pPr>
        <w:numPr>
          <w:ilvl w:val="0"/>
          <w:numId w:val="8"/>
        </w:numPr>
        <w:tabs>
          <w:tab w:val="left" w:pos="360"/>
        </w:tabs>
        <w:spacing w:line="360" w:lineRule="auto"/>
        <w:ind w:left="357" w:hanging="357"/>
        <w:outlineLvl w:val="1"/>
        <w:rPr>
          <w:sz w:val="24"/>
        </w:rPr>
      </w:pPr>
      <w:bookmarkStart w:id="152" w:name="_Toc265228361"/>
      <w:bookmarkStart w:id="153" w:name="_Toc142311025"/>
      <w:bookmarkStart w:id="154" w:name="_Toc151193693"/>
      <w:bookmarkStart w:id="155" w:name="_Toc151193621"/>
      <w:bookmarkStart w:id="156" w:name="_Toc164608792"/>
      <w:bookmarkStart w:id="157" w:name="_Toc226309767"/>
      <w:bookmarkStart w:id="158" w:name="_Toc151190150"/>
      <w:bookmarkStart w:id="159" w:name="_Toc226337219"/>
      <w:bookmarkStart w:id="160" w:name="_Toc164351617"/>
      <w:bookmarkStart w:id="161" w:name="_Toc195842888"/>
      <w:bookmarkStart w:id="162" w:name="_Toc127161437"/>
      <w:bookmarkStart w:id="163" w:name="_Toc151193837"/>
      <w:bookmarkStart w:id="164" w:name="_Toc164608637"/>
      <w:bookmarkStart w:id="165" w:name="_Toc164229364"/>
      <w:bookmarkStart w:id="166" w:name="_Toc150774728"/>
      <w:bookmarkStart w:id="167" w:name="_Toc226965713"/>
      <w:bookmarkStart w:id="168" w:name="_Toc150509274"/>
      <w:bookmarkStart w:id="169" w:name="_Toc226965796"/>
      <w:bookmarkStart w:id="170" w:name="_Toc127151523"/>
      <w:bookmarkStart w:id="171" w:name="_Toc520356147"/>
      <w:bookmarkStart w:id="172" w:name="_Toc151193911"/>
      <w:bookmarkStart w:id="173" w:name="_Toc305158791"/>
      <w:bookmarkStart w:id="174" w:name="_Toc149720816"/>
      <w:bookmarkStart w:id="175" w:name="_Toc164229218"/>
      <w:bookmarkStart w:id="176" w:name="_Toc150480761"/>
      <w:bookmarkStart w:id="177" w:name="_Toc151193765"/>
      <w:bookmarkStart w:id="178" w:name="_Toc305158865"/>
      <w:bookmarkStart w:id="179" w:name="_Toc127151724"/>
      <w:bookmarkStart w:id="180" w:name="_Toc264969213"/>
      <w:bookmarkStart w:id="181" w:name="_Toc150774623"/>
      <w:r>
        <w:rPr>
          <w:sz w:val="24"/>
        </w:rPr>
        <w:t>招标文件构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sz w:val="24"/>
        </w:rPr>
        <w:t>成</w:t>
      </w:r>
    </w:p>
    <w:p w14:paraId="0B6057BF">
      <w:pPr>
        <w:numPr>
          <w:ilvl w:val="1"/>
          <w:numId w:val="8"/>
        </w:numPr>
        <w:tabs>
          <w:tab w:val="left" w:pos="1080"/>
          <w:tab w:val="left" w:pos="2014"/>
        </w:tabs>
        <w:spacing w:line="360" w:lineRule="auto"/>
        <w:ind w:left="1080" w:hanging="720"/>
        <w:rPr>
          <w:sz w:val="24"/>
        </w:rPr>
      </w:pPr>
      <w:r>
        <w:rPr>
          <w:sz w:val="24"/>
        </w:rPr>
        <w:t>招标文件包括以下部分：</w:t>
      </w:r>
    </w:p>
    <w:p w14:paraId="27B2A340">
      <w:pPr>
        <w:numPr>
          <w:ilvl w:val="0"/>
          <w:numId w:val="10"/>
        </w:numPr>
        <w:tabs>
          <w:tab w:val="left" w:pos="1980"/>
          <w:tab w:val="left" w:pos="2520"/>
        </w:tabs>
        <w:spacing w:line="360" w:lineRule="auto"/>
        <w:ind w:left="1440" w:firstLine="5"/>
        <w:rPr>
          <w:sz w:val="24"/>
        </w:rPr>
      </w:pPr>
      <w:r>
        <w:rPr>
          <w:sz w:val="24"/>
        </w:rPr>
        <w:t>投标邀请</w:t>
      </w:r>
    </w:p>
    <w:p w14:paraId="654D42F0">
      <w:pPr>
        <w:numPr>
          <w:ilvl w:val="0"/>
          <w:numId w:val="10"/>
        </w:numPr>
        <w:tabs>
          <w:tab w:val="left" w:pos="1980"/>
          <w:tab w:val="left" w:pos="2520"/>
        </w:tabs>
        <w:spacing w:line="360" w:lineRule="auto"/>
        <w:ind w:left="1440" w:firstLine="5"/>
        <w:rPr>
          <w:sz w:val="24"/>
        </w:rPr>
      </w:pPr>
      <w:r>
        <w:rPr>
          <w:sz w:val="24"/>
        </w:rPr>
        <w:t>投标人须知</w:t>
      </w:r>
    </w:p>
    <w:p w14:paraId="16098860">
      <w:pPr>
        <w:numPr>
          <w:ilvl w:val="0"/>
          <w:numId w:val="10"/>
        </w:numPr>
        <w:tabs>
          <w:tab w:val="left" w:pos="1980"/>
          <w:tab w:val="left" w:pos="2520"/>
        </w:tabs>
        <w:spacing w:line="360" w:lineRule="auto"/>
        <w:ind w:left="1440" w:firstLine="5"/>
        <w:rPr>
          <w:sz w:val="24"/>
        </w:rPr>
      </w:pPr>
      <w:r>
        <w:rPr>
          <w:sz w:val="24"/>
        </w:rPr>
        <w:t>资格审查</w:t>
      </w:r>
    </w:p>
    <w:p w14:paraId="6BA2C31A">
      <w:pPr>
        <w:numPr>
          <w:ilvl w:val="0"/>
          <w:numId w:val="10"/>
        </w:numPr>
        <w:tabs>
          <w:tab w:val="left" w:pos="1980"/>
          <w:tab w:val="left" w:pos="2520"/>
        </w:tabs>
        <w:spacing w:line="360" w:lineRule="auto"/>
        <w:ind w:left="1440" w:firstLine="5"/>
        <w:rPr>
          <w:sz w:val="24"/>
        </w:rPr>
      </w:pPr>
      <w:r>
        <w:rPr>
          <w:sz w:val="24"/>
        </w:rPr>
        <w:t>评标程序、评标方法和评标标准</w:t>
      </w:r>
    </w:p>
    <w:p w14:paraId="772BBD2F">
      <w:pPr>
        <w:numPr>
          <w:ilvl w:val="0"/>
          <w:numId w:val="10"/>
        </w:numPr>
        <w:tabs>
          <w:tab w:val="left" w:pos="1980"/>
          <w:tab w:val="left" w:pos="2520"/>
        </w:tabs>
        <w:spacing w:line="360" w:lineRule="auto"/>
        <w:ind w:left="1440" w:firstLine="5"/>
        <w:rPr>
          <w:sz w:val="24"/>
        </w:rPr>
      </w:pPr>
      <w:r>
        <w:rPr>
          <w:sz w:val="24"/>
        </w:rPr>
        <w:t>采购需求</w:t>
      </w:r>
    </w:p>
    <w:p w14:paraId="5F4951D1">
      <w:pPr>
        <w:numPr>
          <w:ilvl w:val="0"/>
          <w:numId w:val="10"/>
        </w:numPr>
        <w:tabs>
          <w:tab w:val="left" w:pos="1980"/>
          <w:tab w:val="left" w:pos="2520"/>
        </w:tabs>
        <w:spacing w:line="360" w:lineRule="auto"/>
        <w:ind w:left="1440" w:firstLine="5"/>
        <w:rPr>
          <w:sz w:val="24"/>
        </w:rPr>
      </w:pPr>
      <w:r>
        <w:rPr>
          <w:sz w:val="24"/>
        </w:rPr>
        <w:t>拟签订的合同文本</w:t>
      </w:r>
    </w:p>
    <w:p w14:paraId="3A884031">
      <w:pPr>
        <w:numPr>
          <w:ilvl w:val="0"/>
          <w:numId w:val="10"/>
        </w:numPr>
        <w:tabs>
          <w:tab w:val="left" w:pos="1980"/>
          <w:tab w:val="left" w:pos="2520"/>
        </w:tabs>
        <w:spacing w:line="360" w:lineRule="auto"/>
        <w:ind w:left="1440" w:firstLine="5"/>
        <w:rPr>
          <w:rFonts w:hint="eastAsia"/>
          <w:sz w:val="24"/>
        </w:rPr>
      </w:pPr>
      <w:r>
        <w:rPr>
          <w:sz w:val="24"/>
        </w:rPr>
        <w:t>投标文件格式</w:t>
      </w:r>
    </w:p>
    <w:p w14:paraId="69B713A2">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6EC1C6D">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369B73FC">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4E15D510">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DE75D42">
      <w:pPr>
        <w:tabs>
          <w:tab w:val="left" w:pos="1080"/>
          <w:tab w:val="left" w:pos="1561"/>
        </w:tabs>
        <w:spacing w:line="360" w:lineRule="auto"/>
        <w:ind w:left="1080"/>
        <w:rPr>
          <w:sz w:val="28"/>
        </w:rPr>
      </w:pPr>
      <w:bookmarkStart w:id="182" w:name="_Toc516367020"/>
      <w:bookmarkStart w:id="183" w:name="_Toc226309770"/>
      <w:bookmarkStart w:id="184" w:name="_Toc151193768"/>
      <w:bookmarkStart w:id="185" w:name="_Toc264969216"/>
      <w:bookmarkStart w:id="186" w:name="_Toc150480764"/>
      <w:bookmarkStart w:id="187" w:name="_Toc520356150"/>
      <w:bookmarkStart w:id="188" w:name="_Toc195842891"/>
      <w:bookmarkStart w:id="189" w:name="_Toc305158794"/>
      <w:bookmarkStart w:id="190" w:name="_Toc226337222"/>
      <w:bookmarkStart w:id="191" w:name="_Toc150774626"/>
      <w:bookmarkStart w:id="192" w:name="_Toc226965716"/>
      <w:bookmarkStart w:id="193" w:name="_Toc265228364"/>
      <w:bookmarkStart w:id="194" w:name="_Toc151190153"/>
      <w:bookmarkStart w:id="195" w:name="_Toc142311028"/>
      <w:bookmarkStart w:id="196" w:name="_Toc226965799"/>
      <w:bookmarkStart w:id="197" w:name="_Toc305158868"/>
      <w:bookmarkStart w:id="198" w:name="_Toc151193914"/>
      <w:bookmarkStart w:id="199" w:name="_Toc151193624"/>
      <w:bookmarkStart w:id="200" w:name="_Toc150509277"/>
      <w:bookmarkStart w:id="201" w:name="_Toc150774731"/>
      <w:bookmarkStart w:id="202" w:name="_Toc151193696"/>
      <w:bookmarkStart w:id="203" w:name="_Toc127151526"/>
      <w:bookmarkStart w:id="204" w:name="_Toc151193840"/>
    </w:p>
    <w:p w14:paraId="0E40BDFF">
      <w:pPr>
        <w:pStyle w:val="183"/>
        <w:spacing w:before="0" w:line="360" w:lineRule="auto"/>
        <w:rPr>
          <w:rFonts w:ascii="Times New Roman" w:hAnsi="Times New Roman" w:eastAsia="宋体"/>
          <w:sz w:val="28"/>
        </w:rPr>
      </w:pPr>
      <w:r>
        <w:rPr>
          <w:rFonts w:ascii="Times New Roman" w:hAnsi="Times New Roman" w:eastAsia="宋体"/>
          <w:sz w:val="28"/>
        </w:rPr>
        <w:t>三   投标文件</w:t>
      </w:r>
      <w:bookmarkEnd w:id="182"/>
      <w:r>
        <w:rPr>
          <w:rFonts w:ascii="Times New Roman" w:hAnsi="Times New Roman" w:eastAsia="宋体"/>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7C09ACF4">
      <w:pPr>
        <w:numPr>
          <w:ilvl w:val="0"/>
          <w:numId w:val="8"/>
        </w:numPr>
        <w:tabs>
          <w:tab w:val="left" w:pos="360"/>
        </w:tabs>
        <w:spacing w:line="360" w:lineRule="auto"/>
        <w:ind w:left="357" w:hanging="357"/>
        <w:outlineLvl w:val="1"/>
        <w:rPr>
          <w:sz w:val="24"/>
        </w:rPr>
      </w:pPr>
      <w:bookmarkStart w:id="205" w:name="_Toc151193697"/>
      <w:bookmarkStart w:id="206" w:name="_Toc305158869"/>
      <w:bookmarkStart w:id="207" w:name="_Toc151193769"/>
      <w:bookmarkStart w:id="208" w:name="_Toc226337223"/>
      <w:bookmarkStart w:id="209" w:name="_Toc151193841"/>
      <w:bookmarkStart w:id="210" w:name="_Toc264969217"/>
      <w:bookmarkStart w:id="211" w:name="_Toc226965800"/>
      <w:bookmarkStart w:id="212" w:name="_Toc164229222"/>
      <w:bookmarkStart w:id="213" w:name="_Toc151193915"/>
      <w:bookmarkStart w:id="214" w:name="_Toc127151728"/>
      <w:bookmarkStart w:id="215" w:name="_Toc265228365"/>
      <w:bookmarkStart w:id="216" w:name="_Toc149720820"/>
      <w:bookmarkStart w:id="217" w:name="_Toc164608796"/>
      <w:bookmarkStart w:id="218" w:name="_Toc151190154"/>
      <w:bookmarkStart w:id="219" w:name="_Toc142311029"/>
      <w:bookmarkStart w:id="220" w:name="_Toc127151527"/>
      <w:bookmarkStart w:id="221" w:name="_Toc164229368"/>
      <w:bookmarkStart w:id="222" w:name="_Toc226965717"/>
      <w:bookmarkStart w:id="223" w:name="_Toc150509278"/>
      <w:bookmarkStart w:id="224" w:name="_Toc164351621"/>
      <w:bookmarkStart w:id="225" w:name="_Toc150774732"/>
      <w:bookmarkStart w:id="226" w:name="_Toc195842892"/>
      <w:bookmarkStart w:id="227" w:name="_Toc127161441"/>
      <w:bookmarkStart w:id="228" w:name="_Toc520356151"/>
      <w:bookmarkStart w:id="229" w:name="_Toc164608641"/>
      <w:bookmarkStart w:id="230" w:name="_Toc226309771"/>
      <w:bookmarkStart w:id="231" w:name="_Toc305158795"/>
      <w:bookmarkStart w:id="232" w:name="_Toc516367021"/>
      <w:bookmarkStart w:id="233" w:name="_Toc150774627"/>
      <w:bookmarkStart w:id="234" w:name="_Toc150480765"/>
      <w:bookmarkStart w:id="235" w:name="_Toc151193625"/>
      <w:r>
        <w:rPr>
          <w:sz w:val="24"/>
        </w:rPr>
        <w:t>投标范围、投标文件中计量单位的使用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sz w:val="24"/>
        </w:rPr>
        <w:t>及投标语言</w:t>
      </w:r>
    </w:p>
    <w:p w14:paraId="4875BD6A">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02A5D1E5">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411D7F70">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639B8B1">
      <w:pPr>
        <w:numPr>
          <w:ilvl w:val="0"/>
          <w:numId w:val="8"/>
        </w:numPr>
        <w:tabs>
          <w:tab w:val="left" w:pos="360"/>
        </w:tabs>
        <w:spacing w:line="360" w:lineRule="auto"/>
        <w:ind w:left="357" w:hanging="357"/>
        <w:outlineLvl w:val="1"/>
        <w:rPr>
          <w:sz w:val="24"/>
        </w:rPr>
      </w:pPr>
      <w:bookmarkStart w:id="236" w:name="_Toc516367022"/>
      <w:bookmarkStart w:id="237" w:name="_Ref467306195"/>
      <w:bookmarkStart w:id="238" w:name="_Ref467306676"/>
      <w:bookmarkStart w:id="239" w:name="_Toc164229223"/>
      <w:bookmarkStart w:id="240" w:name="_Toc305158870"/>
      <w:bookmarkStart w:id="241" w:name="_Toc265228366"/>
      <w:bookmarkStart w:id="242" w:name="_Toc226309772"/>
      <w:bookmarkStart w:id="243" w:name="_Toc151193916"/>
      <w:bookmarkStart w:id="244" w:name="_Toc150774733"/>
      <w:bookmarkStart w:id="245" w:name="_Toc164608797"/>
      <w:bookmarkStart w:id="246" w:name="_Toc226965718"/>
      <w:bookmarkStart w:id="247" w:name="_Toc151193698"/>
      <w:bookmarkStart w:id="248" w:name="_Toc164351622"/>
      <w:bookmarkStart w:id="249" w:name="_Toc150509279"/>
      <w:bookmarkStart w:id="250" w:name="_Toc226337224"/>
      <w:bookmarkStart w:id="251" w:name="_Toc164229369"/>
      <w:bookmarkStart w:id="252" w:name="_Toc150774628"/>
      <w:bookmarkStart w:id="253" w:name="_Toc149720821"/>
      <w:bookmarkStart w:id="254" w:name="_Toc520356152"/>
      <w:bookmarkStart w:id="255" w:name="_Toc264969218"/>
      <w:bookmarkStart w:id="256" w:name="_Toc226965801"/>
      <w:bookmarkStart w:id="257" w:name="_Toc195842893"/>
      <w:bookmarkStart w:id="258" w:name="_Toc151193770"/>
      <w:bookmarkStart w:id="259" w:name="_Toc151193626"/>
      <w:bookmarkStart w:id="260" w:name="_Toc127151528"/>
      <w:bookmarkStart w:id="261" w:name="_Toc305158796"/>
      <w:bookmarkStart w:id="262" w:name="_Toc151190155"/>
      <w:bookmarkStart w:id="263" w:name="_Toc142311030"/>
      <w:bookmarkStart w:id="264" w:name="_Toc151193842"/>
      <w:bookmarkStart w:id="265" w:name="_Toc150480766"/>
      <w:bookmarkStart w:id="266" w:name="_Toc127161442"/>
      <w:bookmarkStart w:id="267" w:name="_Toc127151729"/>
      <w:bookmarkStart w:id="268" w:name="_Toc164608642"/>
      <w:r>
        <w:rPr>
          <w:sz w:val="24"/>
        </w:rPr>
        <w:t>投标文件</w:t>
      </w:r>
      <w:bookmarkEnd w:id="236"/>
      <w:bookmarkEnd w:id="237"/>
      <w:bookmarkEnd w:id="238"/>
      <w:r>
        <w:rPr>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81F401A">
      <w:pPr>
        <w:numPr>
          <w:ilvl w:val="1"/>
          <w:numId w:val="8"/>
        </w:numPr>
        <w:tabs>
          <w:tab w:val="left" w:pos="1080"/>
          <w:tab w:val="left" w:pos="2014"/>
        </w:tabs>
        <w:spacing w:line="360" w:lineRule="auto"/>
        <w:ind w:left="1077" w:hanging="720"/>
        <w:rPr>
          <w:sz w:val="24"/>
        </w:rPr>
      </w:pPr>
      <w:bookmarkStart w:id="269" w:name="_Ref467052588"/>
      <w:r>
        <w:rPr>
          <w:sz w:val="24"/>
        </w:rPr>
        <w:t>投标人应当按照招标文件的要求编制投标文件。投标文件应由《资格证明文件》、《商务技术文件》两部分构成。投标文件的部分格式要求，见第七章《投标文件格式》。</w:t>
      </w:r>
    </w:p>
    <w:p w14:paraId="54A64705">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526A68AF">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4A41598C">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684E20">
      <w:pPr>
        <w:numPr>
          <w:ilvl w:val="1"/>
          <w:numId w:val="8"/>
        </w:numPr>
        <w:tabs>
          <w:tab w:val="left" w:pos="1080"/>
          <w:tab w:val="left" w:pos="2014"/>
        </w:tabs>
        <w:spacing w:line="360" w:lineRule="auto"/>
        <w:ind w:left="1077" w:hanging="720"/>
        <w:rPr>
          <w:sz w:val="24"/>
        </w:rPr>
      </w:pPr>
      <w:r>
        <w:rPr>
          <w:sz w:val="24"/>
        </w:rPr>
        <w:t>投标人认为应附的其他材料。</w:t>
      </w:r>
      <w:bookmarkEnd w:id="269"/>
    </w:p>
    <w:p w14:paraId="21A01745">
      <w:pPr>
        <w:numPr>
          <w:ilvl w:val="0"/>
          <w:numId w:val="8"/>
        </w:numPr>
        <w:tabs>
          <w:tab w:val="left" w:pos="360"/>
        </w:tabs>
        <w:spacing w:line="360" w:lineRule="auto"/>
        <w:ind w:left="357" w:hanging="357"/>
        <w:outlineLvl w:val="1"/>
        <w:rPr>
          <w:sz w:val="24"/>
        </w:rPr>
      </w:pPr>
      <w:bookmarkStart w:id="270" w:name="_Toc164229371"/>
      <w:bookmarkStart w:id="271" w:name="_Toc150774735"/>
      <w:bookmarkStart w:id="272" w:name="_Toc149720823"/>
      <w:bookmarkStart w:id="273" w:name="_Toc151193628"/>
      <w:bookmarkStart w:id="274" w:name="_Toc151190157"/>
      <w:bookmarkStart w:id="275" w:name="_Toc127151731"/>
      <w:bookmarkStart w:id="276" w:name="_Toc151193772"/>
      <w:bookmarkStart w:id="277" w:name="_Toc127161444"/>
      <w:bookmarkStart w:id="278" w:name="_Toc195842895"/>
      <w:bookmarkStart w:id="279" w:name="_Toc150774630"/>
      <w:bookmarkStart w:id="280" w:name="_Toc164608644"/>
      <w:bookmarkStart w:id="281" w:name="_Toc142311032"/>
      <w:bookmarkStart w:id="282" w:name="_Toc164608799"/>
      <w:bookmarkStart w:id="283" w:name="_Toc127151530"/>
      <w:bookmarkStart w:id="284" w:name="_Toc164351624"/>
      <w:bookmarkStart w:id="285" w:name="_Toc150480768"/>
      <w:bookmarkStart w:id="286" w:name="_Toc151193844"/>
      <w:bookmarkStart w:id="287" w:name="_Toc151193918"/>
      <w:bookmarkStart w:id="288" w:name="_Toc164229225"/>
      <w:bookmarkStart w:id="289" w:name="_Toc150509281"/>
      <w:bookmarkStart w:id="290" w:name="_Toc520356155"/>
      <w:bookmarkStart w:id="291" w:name="_Toc151193700"/>
      <w:r>
        <w:rPr>
          <w:sz w:val="24"/>
        </w:rPr>
        <w:t>投标报价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54F6778F">
      <w:pPr>
        <w:numPr>
          <w:ilvl w:val="1"/>
          <w:numId w:val="8"/>
        </w:numPr>
        <w:tabs>
          <w:tab w:val="left" w:pos="1080"/>
          <w:tab w:val="left" w:pos="2014"/>
        </w:tabs>
        <w:spacing w:line="360" w:lineRule="auto"/>
        <w:ind w:left="1077" w:hanging="720"/>
        <w:rPr>
          <w:sz w:val="24"/>
        </w:rPr>
      </w:pPr>
      <w:r>
        <w:rPr>
          <w:sz w:val="24"/>
        </w:rPr>
        <w:t>所有投标均以人民币报价。</w:t>
      </w:r>
    </w:p>
    <w:p w14:paraId="41CA7C68">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79C3AB71">
      <w:pPr>
        <w:numPr>
          <w:ilvl w:val="2"/>
          <w:numId w:val="8"/>
        </w:numPr>
        <w:spacing w:line="360" w:lineRule="auto"/>
        <w:rPr>
          <w:sz w:val="24"/>
        </w:rPr>
      </w:pPr>
      <w:r>
        <w:rPr>
          <w:sz w:val="24"/>
        </w:rPr>
        <w:t xml:space="preserve">按照招标文件要求完成本项目的全部相关服务费用。 </w:t>
      </w:r>
    </w:p>
    <w:p w14:paraId="0104F227">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2F3F0204">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6E632E40">
      <w:pPr>
        <w:numPr>
          <w:ilvl w:val="0"/>
          <w:numId w:val="8"/>
        </w:numPr>
        <w:tabs>
          <w:tab w:val="left" w:pos="360"/>
        </w:tabs>
        <w:spacing w:line="360" w:lineRule="auto"/>
        <w:ind w:left="357" w:hanging="357"/>
        <w:outlineLvl w:val="1"/>
        <w:rPr>
          <w:rFonts w:hint="eastAsia"/>
          <w:sz w:val="24"/>
        </w:rPr>
      </w:pPr>
      <w:bookmarkStart w:id="292" w:name="_Toc151190158"/>
      <w:bookmarkStart w:id="293" w:name="_Toc164608645"/>
      <w:bookmarkStart w:id="294" w:name="_Toc305158873"/>
      <w:bookmarkStart w:id="295" w:name="_Toc127151732"/>
      <w:bookmarkStart w:id="296" w:name="_Toc151193629"/>
      <w:bookmarkStart w:id="297" w:name="_Toc151193701"/>
      <w:bookmarkStart w:id="298" w:name="_Toc150509282"/>
      <w:bookmarkStart w:id="299" w:name="_Ref467306513"/>
      <w:bookmarkStart w:id="300" w:name="_Toc265228369"/>
      <w:bookmarkStart w:id="301" w:name="_Toc226337227"/>
      <w:bookmarkStart w:id="302" w:name="_Toc151193845"/>
      <w:bookmarkStart w:id="303" w:name="_Toc305158799"/>
      <w:bookmarkStart w:id="304" w:name="_Toc151193773"/>
      <w:bookmarkStart w:id="305" w:name="_Toc151193919"/>
      <w:bookmarkStart w:id="306" w:name="_Toc127151531"/>
      <w:bookmarkStart w:id="307" w:name="_Toc149720824"/>
      <w:bookmarkStart w:id="308" w:name="_Toc150774736"/>
      <w:bookmarkStart w:id="309" w:name="_Toc226965804"/>
      <w:bookmarkStart w:id="310" w:name="_Toc164351625"/>
      <w:bookmarkStart w:id="311" w:name="_Toc164229226"/>
      <w:bookmarkStart w:id="312" w:name="_Toc226965721"/>
      <w:bookmarkStart w:id="313" w:name="_Toc127161445"/>
      <w:bookmarkStart w:id="314" w:name="_Toc226309775"/>
      <w:bookmarkStart w:id="315" w:name="_Toc142311033"/>
      <w:bookmarkStart w:id="316" w:name="_Toc164229372"/>
      <w:bookmarkStart w:id="317" w:name="_Toc195842896"/>
      <w:bookmarkStart w:id="318" w:name="_Toc164608800"/>
      <w:bookmarkStart w:id="319" w:name="_Toc264969221"/>
      <w:bookmarkStart w:id="320" w:name="_Toc150774631"/>
      <w:bookmarkStart w:id="321" w:name="_Toc150480769"/>
      <w:bookmarkStart w:id="322" w:name="_Toc520356156"/>
      <w:r>
        <w:rPr>
          <w:sz w:val="24"/>
        </w:rPr>
        <w:t>投标保证金</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974D642">
      <w:pPr>
        <w:tabs>
          <w:tab w:val="left" w:pos="360"/>
        </w:tabs>
        <w:spacing w:line="360" w:lineRule="auto"/>
        <w:ind w:left="357"/>
        <w:outlineLvl w:val="1"/>
        <w:rPr>
          <w:sz w:val="24"/>
        </w:rPr>
      </w:pPr>
      <w:r>
        <w:rPr>
          <w:rFonts w:hint="eastAsia"/>
          <w:sz w:val="24"/>
          <w:lang w:val="en-US" w:eastAsia="zh-CN"/>
        </w:rPr>
        <w:t>本项目</w:t>
      </w:r>
      <w:r>
        <w:rPr>
          <w:rFonts w:hint="eastAsia"/>
          <w:sz w:val="24"/>
        </w:rPr>
        <w:t>免收投标保证金。</w:t>
      </w:r>
    </w:p>
    <w:p w14:paraId="195B7947">
      <w:pPr>
        <w:numPr>
          <w:ilvl w:val="0"/>
          <w:numId w:val="8"/>
        </w:numPr>
        <w:tabs>
          <w:tab w:val="left" w:pos="360"/>
        </w:tabs>
        <w:spacing w:line="360" w:lineRule="auto"/>
        <w:ind w:left="357" w:hanging="357"/>
        <w:outlineLvl w:val="1"/>
        <w:rPr>
          <w:sz w:val="24"/>
        </w:rPr>
      </w:pPr>
      <w:bookmarkStart w:id="323" w:name="_Toc164229373"/>
      <w:bookmarkStart w:id="324" w:name="_Toc142311034"/>
      <w:bookmarkStart w:id="325" w:name="_Toc164608646"/>
      <w:bookmarkStart w:id="326" w:name="_Toc151190159"/>
      <w:bookmarkStart w:id="327" w:name="_Toc151193846"/>
      <w:bookmarkStart w:id="328" w:name="_Toc151193630"/>
      <w:bookmarkStart w:id="329" w:name="_Toc164351626"/>
      <w:bookmarkStart w:id="330" w:name="_Toc150509283"/>
      <w:bookmarkStart w:id="331" w:name="_Toc195842897"/>
      <w:bookmarkStart w:id="332" w:name="_Toc127151733"/>
      <w:bookmarkStart w:id="333" w:name="_Toc520356157"/>
      <w:bookmarkStart w:id="334" w:name="_Toc127151532"/>
      <w:bookmarkStart w:id="335" w:name="_Toc150774632"/>
      <w:bookmarkStart w:id="336" w:name="_Toc150480770"/>
      <w:bookmarkStart w:id="337" w:name="_Toc151193774"/>
      <w:bookmarkStart w:id="338" w:name="_Toc226337228"/>
      <w:bookmarkStart w:id="339" w:name="_Toc226965805"/>
      <w:bookmarkStart w:id="340" w:name="_Toc264969222"/>
      <w:bookmarkStart w:id="341" w:name="_Toc226309776"/>
      <w:bookmarkStart w:id="342" w:name="_Toc265228370"/>
      <w:bookmarkStart w:id="343" w:name="_Toc305158874"/>
      <w:bookmarkStart w:id="344" w:name="_Toc149720825"/>
      <w:bookmarkStart w:id="345" w:name="_Toc164608801"/>
      <w:bookmarkStart w:id="346" w:name="_Toc164229227"/>
      <w:bookmarkStart w:id="347" w:name="_Toc151193702"/>
      <w:bookmarkStart w:id="348" w:name="_Toc150774737"/>
      <w:bookmarkStart w:id="349" w:name="_Toc305158800"/>
      <w:bookmarkStart w:id="350" w:name="_Toc226965722"/>
      <w:bookmarkStart w:id="351" w:name="_Toc151193920"/>
      <w:bookmarkStart w:id="352" w:name="_Toc127161446"/>
      <w:r>
        <w:rPr>
          <w:sz w:val="24"/>
        </w:rPr>
        <w:t>投标有效期</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D707972">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1C351474">
      <w:pPr>
        <w:numPr>
          <w:ilvl w:val="0"/>
          <w:numId w:val="8"/>
        </w:numPr>
        <w:tabs>
          <w:tab w:val="left" w:pos="360"/>
        </w:tabs>
        <w:spacing w:line="360" w:lineRule="auto"/>
        <w:ind w:left="357" w:hanging="357"/>
        <w:outlineLvl w:val="1"/>
        <w:rPr>
          <w:sz w:val="24"/>
        </w:rPr>
      </w:pPr>
      <w:bookmarkStart w:id="353" w:name="_Toc164351627"/>
      <w:bookmarkStart w:id="354" w:name="_Toc226965806"/>
      <w:bookmarkStart w:id="355" w:name="_Toc151193921"/>
      <w:bookmarkStart w:id="356" w:name="_Toc164608802"/>
      <w:bookmarkStart w:id="357" w:name="_Toc164229374"/>
      <w:bookmarkStart w:id="358" w:name="_Toc142311035"/>
      <w:bookmarkStart w:id="359" w:name="_Toc127161447"/>
      <w:bookmarkStart w:id="360" w:name="_Toc151193631"/>
      <w:bookmarkStart w:id="361" w:name="_Toc149720826"/>
      <w:bookmarkStart w:id="362" w:name="_Toc264969223"/>
      <w:bookmarkStart w:id="363" w:name="_Toc150480771"/>
      <w:bookmarkStart w:id="364" w:name="_Toc150774738"/>
      <w:bookmarkStart w:id="365" w:name="_Toc164608647"/>
      <w:bookmarkStart w:id="366" w:name="_Toc226965723"/>
      <w:bookmarkStart w:id="367" w:name="_Toc151193703"/>
      <w:bookmarkStart w:id="368" w:name="_Toc151190160"/>
      <w:bookmarkStart w:id="369" w:name="_Toc151193847"/>
      <w:bookmarkStart w:id="370" w:name="_Toc265228371"/>
      <w:bookmarkStart w:id="371" w:name="_Toc150774633"/>
      <w:bookmarkStart w:id="372" w:name="_Toc195842898"/>
      <w:bookmarkStart w:id="373" w:name="_Toc226309777"/>
      <w:bookmarkStart w:id="374" w:name="_Toc150509284"/>
      <w:bookmarkStart w:id="375" w:name="_Toc164229228"/>
      <w:bookmarkStart w:id="376" w:name="_Toc151193775"/>
      <w:bookmarkStart w:id="377" w:name="_Toc305158875"/>
      <w:bookmarkStart w:id="378" w:name="_Toc520356158"/>
      <w:bookmarkStart w:id="379" w:name="_Toc127151734"/>
      <w:bookmarkStart w:id="380" w:name="_Toc305158801"/>
      <w:bookmarkStart w:id="381" w:name="_Toc226337229"/>
      <w:bookmarkStart w:id="382" w:name="_Toc127151533"/>
      <w:r>
        <w:rPr>
          <w:sz w:val="24"/>
        </w:rPr>
        <w:t>投标文件的签署</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sz w:val="24"/>
        </w:rPr>
        <w:t>、加盖公章</w:t>
      </w:r>
    </w:p>
    <w:p w14:paraId="73F34301">
      <w:pPr>
        <w:numPr>
          <w:ilvl w:val="1"/>
          <w:numId w:val="8"/>
        </w:numPr>
        <w:tabs>
          <w:tab w:val="left" w:pos="1080"/>
          <w:tab w:val="left" w:pos="2014"/>
        </w:tabs>
        <w:spacing w:line="360" w:lineRule="auto"/>
        <w:ind w:left="1077" w:hanging="720"/>
        <w:rPr>
          <w:sz w:val="24"/>
        </w:rPr>
      </w:pPr>
      <w:bookmarkStart w:id="383" w:name="_Toc226965724"/>
      <w:bookmarkStart w:id="384" w:name="_Toc150509285"/>
      <w:bookmarkStart w:id="385" w:name="_Toc142311036"/>
      <w:bookmarkStart w:id="386" w:name="_Toc265228372"/>
      <w:bookmarkStart w:id="387" w:name="_Toc150774634"/>
      <w:bookmarkStart w:id="388" w:name="_Toc151193922"/>
      <w:bookmarkStart w:id="389" w:name="_Toc151190161"/>
      <w:bookmarkStart w:id="390" w:name="_Toc305158876"/>
      <w:bookmarkStart w:id="391" w:name="_Toc226337230"/>
      <w:bookmarkStart w:id="392" w:name="_Toc151193848"/>
      <w:bookmarkStart w:id="393" w:name="_Toc264969224"/>
      <w:bookmarkStart w:id="394" w:name="_Toc305158802"/>
      <w:bookmarkStart w:id="395" w:name="_Toc195842899"/>
      <w:bookmarkStart w:id="396" w:name="_Toc151193632"/>
      <w:bookmarkStart w:id="397" w:name="_Toc226965807"/>
      <w:bookmarkStart w:id="398" w:name="_Toc226309778"/>
      <w:bookmarkStart w:id="399" w:name="_Toc150480772"/>
      <w:bookmarkStart w:id="400" w:name="_Toc127151534"/>
      <w:bookmarkStart w:id="401" w:name="_Toc151193704"/>
      <w:bookmarkStart w:id="402" w:name="_Toc150774739"/>
      <w:bookmarkStart w:id="403" w:name="_Toc520356159"/>
      <w:bookmarkStart w:id="404" w:name="_Toc151193776"/>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1E9FE4E2">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453CFA9F">
      <w:pPr>
        <w:tabs>
          <w:tab w:val="left" w:pos="900"/>
          <w:tab w:val="left" w:pos="1080"/>
        </w:tabs>
        <w:spacing w:line="360" w:lineRule="auto"/>
        <w:ind w:left="357"/>
      </w:pPr>
    </w:p>
    <w:p w14:paraId="5B5F8176">
      <w:pPr>
        <w:pStyle w:val="183"/>
        <w:spacing w:before="0" w:line="360" w:lineRule="auto"/>
        <w:rPr>
          <w:rFonts w:ascii="Times New Roman" w:hAnsi="Times New Roman" w:eastAsia="宋体"/>
          <w:sz w:val="28"/>
        </w:rPr>
      </w:pPr>
      <w:r>
        <w:rPr>
          <w:rFonts w:ascii="Times New Roman" w:hAnsi="Times New Roman" w:eastAsia="宋体"/>
          <w:sz w:val="28"/>
        </w:rPr>
        <w:t>四   投标文件的提交</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381283F">
      <w:pPr>
        <w:numPr>
          <w:ilvl w:val="0"/>
          <w:numId w:val="8"/>
        </w:numPr>
        <w:tabs>
          <w:tab w:val="left" w:pos="360"/>
        </w:tabs>
        <w:spacing w:line="360" w:lineRule="auto"/>
        <w:ind w:left="357" w:hanging="357"/>
        <w:outlineLvl w:val="1"/>
        <w:rPr>
          <w:sz w:val="24"/>
        </w:rPr>
      </w:pPr>
      <w:bookmarkStart w:id="405" w:name="_Toc142311037"/>
      <w:bookmarkStart w:id="406" w:name="_Toc127161449"/>
      <w:bookmarkStart w:id="407" w:name="_Toc195842900"/>
      <w:bookmarkStart w:id="408" w:name="_Toc164608649"/>
      <w:bookmarkStart w:id="409" w:name="_Toc151193633"/>
      <w:bookmarkStart w:id="410" w:name="_Toc305158803"/>
      <w:bookmarkStart w:id="411" w:name="_Toc150509286"/>
      <w:bookmarkStart w:id="412" w:name="_Toc150774635"/>
      <w:bookmarkStart w:id="413" w:name="_Toc520356160"/>
      <w:bookmarkStart w:id="414" w:name="_Toc265228373"/>
      <w:bookmarkStart w:id="415" w:name="_Toc151193705"/>
      <w:bookmarkStart w:id="416" w:name="_Toc164608804"/>
      <w:bookmarkStart w:id="417" w:name="_Toc164229376"/>
      <w:bookmarkStart w:id="418" w:name="_Toc127151535"/>
      <w:bookmarkStart w:id="419" w:name="_Toc149720828"/>
      <w:bookmarkStart w:id="420" w:name="_Toc150774740"/>
      <w:bookmarkStart w:id="421" w:name="_Toc150480773"/>
      <w:bookmarkStart w:id="422" w:name="_Toc264969225"/>
      <w:bookmarkStart w:id="423" w:name="_Toc226337231"/>
      <w:bookmarkStart w:id="424" w:name="_Toc151193777"/>
      <w:bookmarkStart w:id="425" w:name="_Toc164229230"/>
      <w:bookmarkStart w:id="426" w:name="_Toc305158877"/>
      <w:bookmarkStart w:id="427" w:name="_Toc226309779"/>
      <w:bookmarkStart w:id="428" w:name="_Toc151193849"/>
      <w:bookmarkStart w:id="429" w:name="_Toc151190162"/>
      <w:bookmarkStart w:id="430" w:name="_Toc226965808"/>
      <w:bookmarkStart w:id="431" w:name="_Toc164351629"/>
      <w:bookmarkStart w:id="432" w:name="_Toc151193923"/>
      <w:bookmarkStart w:id="433" w:name="_Toc226965725"/>
      <w:bookmarkStart w:id="434" w:name="_Toc127151736"/>
      <w:r>
        <w:rPr>
          <w:sz w:val="24"/>
        </w:rPr>
        <w:t>投标文件的</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sz w:val="24"/>
        </w:rPr>
        <w:t>提交</w:t>
      </w:r>
    </w:p>
    <w:p w14:paraId="6D19D131">
      <w:pPr>
        <w:numPr>
          <w:ilvl w:val="1"/>
          <w:numId w:val="8"/>
        </w:numPr>
        <w:tabs>
          <w:tab w:val="left" w:pos="1080"/>
          <w:tab w:val="left" w:pos="2014"/>
        </w:tabs>
        <w:spacing w:line="360" w:lineRule="auto"/>
        <w:ind w:left="1077" w:hanging="720"/>
        <w:rPr>
          <w:sz w:val="24"/>
        </w:rPr>
      </w:pPr>
      <w:r>
        <w:rPr>
          <w:sz w:val="24"/>
        </w:rPr>
        <w:t>本项目使用</w:t>
      </w:r>
      <w:r>
        <w:rPr>
          <w:sz w:val="24"/>
          <w:lang w:bidi="ar"/>
        </w:rPr>
        <w:t>常州市政府采购</w:t>
      </w:r>
      <w:r>
        <w:rPr>
          <w:rFonts w:hint="eastAsia"/>
          <w:sz w:val="24"/>
          <w:lang w:bidi="ar"/>
        </w:rPr>
        <w:t>业务管理</w:t>
      </w:r>
      <w:r>
        <w:rPr>
          <w:sz w:val="24"/>
          <w:lang w:bidi="ar"/>
        </w:rPr>
        <w:t>平台</w:t>
      </w:r>
      <w:r>
        <w:rPr>
          <w:sz w:val="24"/>
        </w:rPr>
        <w:t>。投标人根据招标文件及</w:t>
      </w:r>
      <w:r>
        <w:rPr>
          <w:sz w:val="24"/>
          <w:lang w:bidi="ar"/>
        </w:rPr>
        <w:t>常州市政府采购</w:t>
      </w:r>
      <w:r>
        <w:rPr>
          <w:rFonts w:hint="eastAsia"/>
          <w:sz w:val="24"/>
          <w:lang w:bidi="ar"/>
        </w:rPr>
        <w:t>业务管理</w:t>
      </w:r>
      <w:r>
        <w:rPr>
          <w:sz w:val="24"/>
          <w:lang w:bidi="ar"/>
        </w:rPr>
        <w:t>平台</w:t>
      </w:r>
      <w:r>
        <w:rPr>
          <w:sz w:val="24"/>
        </w:rPr>
        <w:t>供应商操作手册要求编制、生成并提交电子投标文件。</w:t>
      </w:r>
    </w:p>
    <w:p w14:paraId="4441E144">
      <w:pPr>
        <w:numPr>
          <w:ilvl w:val="1"/>
          <w:numId w:val="8"/>
        </w:numPr>
        <w:tabs>
          <w:tab w:val="left" w:pos="1080"/>
          <w:tab w:val="left" w:pos="2014"/>
        </w:tabs>
        <w:spacing w:line="360" w:lineRule="auto"/>
        <w:ind w:left="1077" w:hanging="720"/>
        <w:rPr>
          <w:sz w:val="24"/>
        </w:rPr>
      </w:pPr>
      <w:r>
        <w:rPr>
          <w:sz w:val="24"/>
        </w:rPr>
        <w:t>采购人及采购代理机构拒绝接受通过常州市政府采购业务管理平台以外任何形式提交的投标文件。</w:t>
      </w:r>
    </w:p>
    <w:p w14:paraId="42390C5D">
      <w:pPr>
        <w:numPr>
          <w:ilvl w:val="0"/>
          <w:numId w:val="8"/>
        </w:numPr>
        <w:tabs>
          <w:tab w:val="left" w:pos="360"/>
        </w:tabs>
        <w:spacing w:line="360" w:lineRule="auto"/>
        <w:ind w:left="357" w:hanging="357"/>
        <w:outlineLvl w:val="1"/>
        <w:rPr>
          <w:sz w:val="24"/>
        </w:rPr>
      </w:pPr>
      <w:bookmarkStart w:id="435" w:name="_Toc151190163"/>
      <w:bookmarkStart w:id="436" w:name="_Toc226965809"/>
      <w:bookmarkStart w:id="437" w:name="_Toc264969226"/>
      <w:bookmarkStart w:id="438" w:name="_Toc151193634"/>
      <w:bookmarkStart w:id="439" w:name="_Toc305158804"/>
      <w:bookmarkStart w:id="440" w:name="_Toc150509287"/>
      <w:bookmarkStart w:id="441" w:name="_Toc520356161"/>
      <w:bookmarkStart w:id="442" w:name="_Toc226309780"/>
      <w:bookmarkStart w:id="443" w:name="_Toc151193778"/>
      <w:bookmarkStart w:id="444" w:name="_Toc149720829"/>
      <w:bookmarkStart w:id="445" w:name="_Toc195842901"/>
      <w:bookmarkStart w:id="446" w:name="_Toc164229377"/>
      <w:bookmarkStart w:id="447" w:name="_Toc305158878"/>
      <w:bookmarkStart w:id="448" w:name="_Toc127161450"/>
      <w:bookmarkStart w:id="449" w:name="_Toc127151536"/>
      <w:bookmarkStart w:id="450" w:name="_Toc226337232"/>
      <w:bookmarkStart w:id="451" w:name="_Toc151193706"/>
      <w:bookmarkStart w:id="452" w:name="_Toc150480774"/>
      <w:bookmarkStart w:id="453" w:name="_Toc142311038"/>
      <w:bookmarkStart w:id="454" w:name="_Toc226965726"/>
      <w:bookmarkStart w:id="455" w:name="_Toc265228374"/>
      <w:bookmarkStart w:id="456" w:name="_Toc164351630"/>
      <w:bookmarkStart w:id="457" w:name="_Toc164608805"/>
      <w:bookmarkStart w:id="458" w:name="_Toc150774636"/>
      <w:bookmarkStart w:id="459" w:name="_Toc164229231"/>
      <w:bookmarkStart w:id="460" w:name="_Toc151193924"/>
      <w:bookmarkStart w:id="461" w:name="_Toc127151737"/>
      <w:bookmarkStart w:id="462" w:name="_Toc151193850"/>
      <w:bookmarkStart w:id="463" w:name="_Toc150774741"/>
      <w:bookmarkStart w:id="464" w:name="_Toc164608650"/>
      <w:r>
        <w:rPr>
          <w:sz w:val="24"/>
        </w:rPr>
        <w:t>投标截止</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sz w:val="24"/>
        </w:rPr>
        <w:t>时间</w:t>
      </w:r>
    </w:p>
    <w:p w14:paraId="1C068BD1">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投标人应在招标文件要求提交投标文件截止时间前，将电子投标文件提交至常州市政府采购业务管理平台。</w:t>
      </w:r>
    </w:p>
    <w:p w14:paraId="0C20CEE4">
      <w:pPr>
        <w:numPr>
          <w:ilvl w:val="0"/>
          <w:numId w:val="8"/>
        </w:numPr>
        <w:tabs>
          <w:tab w:val="left" w:pos="360"/>
        </w:tabs>
        <w:spacing w:line="360" w:lineRule="auto"/>
        <w:ind w:left="357" w:hanging="357"/>
        <w:outlineLvl w:val="1"/>
        <w:rPr>
          <w:sz w:val="24"/>
        </w:rPr>
      </w:pPr>
      <w:bookmarkStart w:id="465" w:name="_Toc127151537"/>
      <w:bookmarkStart w:id="466" w:name="_Toc151190164"/>
      <w:bookmarkStart w:id="467" w:name="_Toc150509288"/>
      <w:bookmarkStart w:id="468" w:name="_Toc150774637"/>
      <w:bookmarkStart w:id="469" w:name="_Toc305158879"/>
      <w:bookmarkStart w:id="470" w:name="_Toc226337233"/>
      <w:bookmarkStart w:id="471" w:name="_Toc149720830"/>
      <w:bookmarkStart w:id="472" w:name="_Toc195842902"/>
      <w:bookmarkStart w:id="473" w:name="_Toc226309781"/>
      <w:bookmarkStart w:id="474" w:name="_Toc164608806"/>
      <w:bookmarkStart w:id="475" w:name="_Toc164229378"/>
      <w:bookmarkStart w:id="476" w:name="_Toc164351631"/>
      <w:bookmarkStart w:id="477" w:name="_Toc164608651"/>
      <w:bookmarkStart w:id="478" w:name="_Toc150774742"/>
      <w:bookmarkStart w:id="479" w:name="_Toc264969227"/>
      <w:bookmarkStart w:id="480" w:name="_Toc151193779"/>
      <w:bookmarkStart w:id="481" w:name="_Toc151193635"/>
      <w:bookmarkStart w:id="482" w:name="_Toc151193925"/>
      <w:bookmarkStart w:id="483" w:name="_Toc226965727"/>
      <w:bookmarkStart w:id="484" w:name="_Toc150480775"/>
      <w:bookmarkStart w:id="485" w:name="_Toc127161451"/>
      <w:bookmarkStart w:id="486" w:name="_Toc151193707"/>
      <w:bookmarkStart w:id="487" w:name="_Toc265228375"/>
      <w:bookmarkStart w:id="488" w:name="_Toc164229232"/>
      <w:bookmarkStart w:id="489" w:name="_Toc142311039"/>
      <w:bookmarkStart w:id="490" w:name="_Toc226965810"/>
      <w:bookmarkStart w:id="491" w:name="_Toc127151738"/>
      <w:bookmarkStart w:id="492" w:name="_Toc305158805"/>
      <w:bookmarkStart w:id="493" w:name="_Toc151193851"/>
      <w:bookmarkStart w:id="494" w:name="_Toc520356162"/>
      <w:r>
        <w:rPr>
          <w:sz w:val="24"/>
        </w:rPr>
        <w:t>投标文件的修改与撤回</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735A04D5">
      <w:pPr>
        <w:numPr>
          <w:ilvl w:val="1"/>
          <w:numId w:val="8"/>
        </w:numPr>
        <w:tabs>
          <w:tab w:val="left" w:pos="1080"/>
          <w:tab w:val="left" w:pos="2014"/>
        </w:tabs>
        <w:spacing w:line="360" w:lineRule="auto"/>
        <w:ind w:left="1077" w:hanging="720"/>
        <w:rPr>
          <w:sz w:val="24"/>
        </w:rPr>
      </w:pPr>
      <w:r>
        <w:rPr>
          <w:sz w:val="24"/>
        </w:rPr>
        <w:t>投标截止时间前，投标人可以通过常州市政府采购业务管理平台对所提交的投标文件进行补充、修改或者撤回。</w:t>
      </w:r>
    </w:p>
    <w:p w14:paraId="06EFBAEE">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2836BEFD">
      <w:pPr>
        <w:spacing w:line="360" w:lineRule="auto"/>
        <w:rPr>
          <w:sz w:val="24"/>
        </w:rPr>
      </w:pPr>
    </w:p>
    <w:p w14:paraId="63231156">
      <w:pPr>
        <w:pStyle w:val="183"/>
        <w:spacing w:before="0" w:line="360" w:lineRule="auto"/>
        <w:rPr>
          <w:rFonts w:ascii="Times New Roman" w:hAnsi="Times New Roman" w:eastAsia="宋体"/>
          <w:sz w:val="28"/>
        </w:rPr>
      </w:pPr>
      <w:bookmarkStart w:id="495" w:name="_Toc520356163"/>
      <w:bookmarkStart w:id="496" w:name="_Toc150774638"/>
      <w:bookmarkStart w:id="497" w:name="_Toc265228376"/>
      <w:bookmarkStart w:id="498" w:name="_Toc226965728"/>
      <w:bookmarkStart w:id="499" w:name="_Toc226965811"/>
      <w:bookmarkStart w:id="500" w:name="_Toc151193926"/>
      <w:bookmarkStart w:id="501" w:name="_Toc226337234"/>
      <w:bookmarkStart w:id="502" w:name="_Toc150480776"/>
      <w:bookmarkStart w:id="503" w:name="_Toc226309782"/>
      <w:bookmarkStart w:id="504" w:name="_Toc151193636"/>
      <w:bookmarkStart w:id="505" w:name="_Toc264969228"/>
      <w:bookmarkStart w:id="506" w:name="_Toc151193708"/>
      <w:bookmarkStart w:id="507" w:name="_Toc151193780"/>
      <w:bookmarkStart w:id="508" w:name="_Toc142311040"/>
      <w:bookmarkStart w:id="509" w:name="_Toc150774743"/>
      <w:bookmarkStart w:id="510" w:name="_Toc150509289"/>
      <w:bookmarkStart w:id="511" w:name="_Toc151193852"/>
      <w:bookmarkStart w:id="512" w:name="_Toc151190165"/>
      <w:bookmarkStart w:id="513" w:name="_Toc305158880"/>
      <w:bookmarkStart w:id="514" w:name="_Toc305158806"/>
      <w:bookmarkStart w:id="515" w:name="_Toc195842903"/>
      <w:bookmarkStart w:id="516" w:name="_Toc127151538"/>
      <w:r>
        <w:rPr>
          <w:rFonts w:ascii="Times New Roman" w:hAnsi="Times New Roman" w:eastAsia="宋体"/>
          <w:sz w:val="28"/>
        </w:rPr>
        <w:t>五   开标、资格审查及评标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CCBB9C0">
      <w:pPr>
        <w:numPr>
          <w:ilvl w:val="0"/>
          <w:numId w:val="8"/>
        </w:numPr>
        <w:tabs>
          <w:tab w:val="left" w:pos="360"/>
        </w:tabs>
        <w:spacing w:line="360" w:lineRule="auto"/>
        <w:ind w:left="357" w:hanging="357"/>
        <w:outlineLvl w:val="1"/>
        <w:rPr>
          <w:sz w:val="24"/>
        </w:rPr>
      </w:pPr>
      <w:bookmarkStart w:id="517" w:name="_Toc305158807"/>
      <w:bookmarkStart w:id="518" w:name="_Toc265228377"/>
      <w:bookmarkStart w:id="519" w:name="_Toc151193781"/>
      <w:bookmarkStart w:id="520" w:name="_Toc226337235"/>
      <w:bookmarkStart w:id="521" w:name="_Toc150480777"/>
      <w:bookmarkStart w:id="522" w:name="_Toc195842904"/>
      <w:bookmarkStart w:id="523" w:name="_Toc164608808"/>
      <w:bookmarkStart w:id="524" w:name="_Toc226965812"/>
      <w:bookmarkStart w:id="525" w:name="_Toc164351633"/>
      <w:bookmarkStart w:id="526" w:name="_Toc127151740"/>
      <w:bookmarkStart w:id="527" w:name="_Toc150774639"/>
      <w:bookmarkStart w:id="528" w:name="_Toc164229380"/>
      <w:bookmarkStart w:id="529" w:name="_Toc151193853"/>
      <w:bookmarkStart w:id="530" w:name="_Toc164229234"/>
      <w:bookmarkStart w:id="531" w:name="_Toc149720832"/>
      <w:bookmarkStart w:id="532" w:name="_Toc142311041"/>
      <w:bookmarkStart w:id="533" w:name="_Toc150774744"/>
      <w:bookmarkStart w:id="534" w:name="_Toc151193927"/>
      <w:bookmarkStart w:id="535" w:name="_Toc150509290"/>
      <w:bookmarkStart w:id="536" w:name="_Toc151190166"/>
      <w:bookmarkStart w:id="537" w:name="_Toc151193637"/>
      <w:bookmarkStart w:id="538" w:name="_Toc164608653"/>
      <w:bookmarkStart w:id="539" w:name="_Toc264969229"/>
      <w:bookmarkStart w:id="540" w:name="_Toc127161453"/>
      <w:bookmarkStart w:id="541" w:name="_Toc127151539"/>
      <w:bookmarkStart w:id="542" w:name="_Toc226309783"/>
      <w:bookmarkStart w:id="543" w:name="_Toc520356164"/>
      <w:bookmarkStart w:id="544" w:name="_Toc151193709"/>
      <w:bookmarkStart w:id="545" w:name="_Toc305158881"/>
      <w:bookmarkStart w:id="546" w:name="_Toc226965729"/>
      <w:r>
        <w:rPr>
          <w:sz w:val="24"/>
        </w:rPr>
        <w:t>开标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30BE3132">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363628C6">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使用常州市政府采购业务管理平台</w:t>
      </w:r>
      <w:r>
        <w:rPr>
          <w:rFonts w:hint="eastAsia"/>
          <w:sz w:val="24"/>
        </w:rPr>
        <w:t>在线进行开标</w:t>
      </w:r>
      <w:r>
        <w:rPr>
          <w:sz w:val="24"/>
        </w:rPr>
        <w:t>。投标人应在规定的时间内对投标文件进行解密，因非系统原因导致的解密失败，视为</w:t>
      </w:r>
      <w:r>
        <w:rPr>
          <w:b/>
          <w:sz w:val="24"/>
        </w:rPr>
        <w:t>投标无效</w:t>
      </w:r>
      <w:r>
        <w:rPr>
          <w:sz w:val="24"/>
        </w:rPr>
        <w:t>。</w:t>
      </w:r>
    </w:p>
    <w:p w14:paraId="4F0FA36B">
      <w:pPr>
        <w:numPr>
          <w:ilvl w:val="1"/>
          <w:numId w:val="8"/>
        </w:numPr>
        <w:tabs>
          <w:tab w:val="left" w:pos="1080"/>
          <w:tab w:val="left" w:pos="2014"/>
        </w:tabs>
        <w:spacing w:line="360" w:lineRule="auto"/>
        <w:ind w:left="1077" w:hanging="720"/>
        <w:rPr>
          <w:sz w:val="24"/>
        </w:rPr>
      </w:pPr>
      <w:r>
        <w:rPr>
          <w:sz w:val="24"/>
        </w:rPr>
        <w:t>开标过程将使用常州市政府采购业务管理平台</w:t>
      </w:r>
      <w:r>
        <w:rPr>
          <w:rFonts w:hint="eastAsia"/>
          <w:sz w:val="24"/>
        </w:rPr>
        <w:t>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47" w:name="_Toc520356165"/>
      <w:r>
        <w:rPr>
          <w:rFonts w:hint="eastAsia"/>
          <w:sz w:val="24"/>
        </w:rPr>
        <w:t>。投标人超过规定时间未确认但是未提出疑义的，系统将视同已确认</w:t>
      </w:r>
      <w:r>
        <w:rPr>
          <w:sz w:val="24"/>
        </w:rPr>
        <w:t>。</w:t>
      </w:r>
    </w:p>
    <w:p w14:paraId="695DB3C2">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6042148E">
      <w:pPr>
        <w:numPr>
          <w:ilvl w:val="1"/>
          <w:numId w:val="8"/>
        </w:numPr>
        <w:tabs>
          <w:tab w:val="left" w:pos="1080"/>
          <w:tab w:val="left" w:pos="2014"/>
        </w:tabs>
        <w:spacing w:line="360" w:lineRule="auto"/>
        <w:ind w:left="1077" w:hanging="720"/>
        <w:rPr>
          <w:rFonts w:hint="eastAsia"/>
          <w:sz w:val="24"/>
        </w:rPr>
      </w:pPr>
      <w:r>
        <w:rPr>
          <w:sz w:val="24"/>
        </w:rPr>
        <w:t>投标人不足3家的，不予开标。</w:t>
      </w:r>
    </w:p>
    <w:p w14:paraId="2127A536">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3BF5903D">
      <w:pPr>
        <w:numPr>
          <w:ilvl w:val="1"/>
          <w:numId w:val="8"/>
        </w:numPr>
        <w:tabs>
          <w:tab w:val="left" w:pos="1080"/>
          <w:tab w:val="left" w:pos="2014"/>
        </w:tabs>
        <w:spacing w:line="360" w:lineRule="auto"/>
        <w:ind w:left="1077" w:hanging="720"/>
        <w:rPr>
          <w:rFonts w:hint="eastAsia"/>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2B15A526">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sz w:val="24"/>
          <w:lang w:bidi="ar"/>
        </w:rPr>
        <w:t>常州市政府采购业务管理平台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rPr>
        <w:t xml:space="preserve"> 1)</w:t>
      </w:r>
      <w:r>
        <w:rPr>
          <w:sz w:val="24"/>
        </w:rPr>
        <w:t>平台</w:t>
      </w:r>
      <w:r>
        <w:rPr>
          <w:rFonts w:hint="eastAsia"/>
          <w:sz w:val="24"/>
        </w:rPr>
        <w:t>系统</w:t>
      </w:r>
      <w:r>
        <w:rPr>
          <w:sz w:val="24"/>
        </w:rPr>
        <w:t>发生故障而无法登录访问的；</w:t>
      </w:r>
    </w:p>
    <w:p w14:paraId="1B2D702D">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610219D4">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77A8F0BB">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37BA0443">
      <w:pPr>
        <w:tabs>
          <w:tab w:val="left" w:pos="1080"/>
          <w:tab w:val="left" w:pos="1589"/>
          <w:tab w:val="left" w:pos="2014"/>
        </w:tabs>
        <w:spacing w:line="360" w:lineRule="auto"/>
        <w:ind w:left="357" w:firstLine="840"/>
        <w:rPr>
          <w:rFonts w:hint="eastAsia"/>
          <w:sz w:val="24"/>
        </w:rPr>
      </w:pPr>
      <w:r>
        <w:rPr>
          <w:rFonts w:hint="eastAsia"/>
          <w:sz w:val="24"/>
        </w:rPr>
        <w:t>5)</w:t>
      </w:r>
      <w:r>
        <w:rPr>
          <w:sz w:val="24"/>
        </w:rPr>
        <w:t>其他无法保证</w:t>
      </w:r>
      <w:r>
        <w:rPr>
          <w:rFonts w:hint="eastAsia"/>
          <w:sz w:val="24"/>
        </w:rPr>
        <w:t>本次采购活动</w:t>
      </w:r>
      <w:r>
        <w:rPr>
          <w:sz w:val="24"/>
        </w:rPr>
        <w:t>的公平、公正和安全的情况。</w:t>
      </w:r>
    </w:p>
    <w:p w14:paraId="4BF9F43A">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20CC946F">
      <w:pPr>
        <w:numPr>
          <w:ilvl w:val="0"/>
          <w:numId w:val="8"/>
        </w:numPr>
        <w:tabs>
          <w:tab w:val="left" w:pos="360"/>
        </w:tabs>
        <w:spacing w:line="360" w:lineRule="auto"/>
        <w:ind w:left="357" w:hanging="357"/>
        <w:outlineLvl w:val="1"/>
        <w:rPr>
          <w:sz w:val="24"/>
        </w:rPr>
      </w:pPr>
      <w:r>
        <w:rPr>
          <w:sz w:val="24"/>
        </w:rPr>
        <w:t>资格审查</w:t>
      </w:r>
    </w:p>
    <w:p w14:paraId="72FB8F40">
      <w:pPr>
        <w:numPr>
          <w:ilvl w:val="1"/>
          <w:numId w:val="8"/>
        </w:numPr>
        <w:tabs>
          <w:tab w:val="left" w:pos="1080"/>
          <w:tab w:val="left" w:pos="2014"/>
        </w:tabs>
        <w:spacing w:line="360" w:lineRule="auto"/>
        <w:ind w:left="1077" w:hanging="720"/>
        <w:rPr>
          <w:sz w:val="24"/>
        </w:rPr>
      </w:pPr>
      <w:r>
        <w:rPr>
          <w:sz w:val="24"/>
        </w:rPr>
        <w:t>见第三章《资格审查》。</w:t>
      </w:r>
    </w:p>
    <w:bookmarkEnd w:id="547"/>
    <w:p w14:paraId="4A992580">
      <w:pPr>
        <w:numPr>
          <w:ilvl w:val="0"/>
          <w:numId w:val="8"/>
        </w:numPr>
        <w:tabs>
          <w:tab w:val="left" w:pos="360"/>
        </w:tabs>
        <w:spacing w:line="360" w:lineRule="auto"/>
        <w:ind w:left="357" w:hanging="357"/>
        <w:outlineLvl w:val="1"/>
        <w:rPr>
          <w:sz w:val="24"/>
        </w:rPr>
      </w:pPr>
      <w:bookmarkStart w:id="548" w:name="_Toc127151540"/>
      <w:bookmarkStart w:id="549" w:name="_Toc226337236"/>
      <w:bookmarkStart w:id="550" w:name="_Toc226965730"/>
      <w:bookmarkStart w:id="551" w:name="_Toc305158808"/>
      <w:bookmarkStart w:id="552" w:name="_Toc164229235"/>
      <w:bookmarkStart w:id="553" w:name="_Toc151193710"/>
      <w:bookmarkStart w:id="554" w:name="_Toc305158882"/>
      <w:bookmarkStart w:id="555" w:name="_Toc150774640"/>
      <w:bookmarkStart w:id="556" w:name="_Toc151193782"/>
      <w:bookmarkStart w:id="557" w:name="_Toc265228378"/>
      <w:bookmarkStart w:id="558" w:name="_Toc164229381"/>
      <w:bookmarkStart w:id="559" w:name="_Toc151193928"/>
      <w:bookmarkStart w:id="560" w:name="_Toc150774745"/>
      <w:bookmarkStart w:id="561" w:name="_Toc142311042"/>
      <w:bookmarkStart w:id="562" w:name="_Toc164608654"/>
      <w:bookmarkStart w:id="563" w:name="_Toc127161454"/>
      <w:bookmarkStart w:id="564" w:name="_Toc127151741"/>
      <w:bookmarkStart w:id="565" w:name="_Toc149720833"/>
      <w:bookmarkStart w:id="566" w:name="_Toc151193854"/>
      <w:bookmarkStart w:id="567" w:name="_Toc226965813"/>
      <w:bookmarkStart w:id="568" w:name="_Toc264969230"/>
      <w:bookmarkStart w:id="569" w:name="_Toc164608809"/>
      <w:bookmarkStart w:id="570" w:name="_Toc164351634"/>
      <w:bookmarkStart w:id="571" w:name="_Toc150509291"/>
      <w:bookmarkStart w:id="572" w:name="_Toc151193638"/>
      <w:bookmarkStart w:id="573" w:name="_Toc226309784"/>
      <w:bookmarkStart w:id="574" w:name="_Toc151190167"/>
      <w:bookmarkStart w:id="575" w:name="_Toc150480778"/>
      <w:bookmarkStart w:id="576" w:name="_Toc195842905"/>
      <w:r>
        <w:rPr>
          <w:sz w:val="24"/>
        </w:rPr>
        <w:t>评标委员会</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EC5F54B">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77" w:name="_Toc520356166"/>
    </w:p>
    <w:p w14:paraId="357A5F43">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77"/>
      <w:bookmarkStart w:id="578" w:name="_Toc520356169"/>
    </w:p>
    <w:p w14:paraId="402F428F">
      <w:pPr>
        <w:numPr>
          <w:ilvl w:val="0"/>
          <w:numId w:val="8"/>
        </w:numPr>
        <w:tabs>
          <w:tab w:val="left" w:pos="360"/>
        </w:tabs>
        <w:spacing w:line="360" w:lineRule="auto"/>
        <w:ind w:left="357" w:hanging="357"/>
        <w:outlineLvl w:val="1"/>
        <w:rPr>
          <w:sz w:val="24"/>
        </w:rPr>
      </w:pPr>
      <w:r>
        <w:rPr>
          <w:sz w:val="24"/>
        </w:rPr>
        <w:t>评标程序、评标方法和评标标准</w:t>
      </w:r>
    </w:p>
    <w:p w14:paraId="382AF68C">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6347F8FD">
      <w:pPr>
        <w:tabs>
          <w:tab w:val="left" w:pos="360"/>
          <w:tab w:val="left" w:pos="1080"/>
        </w:tabs>
        <w:spacing w:line="360" w:lineRule="auto"/>
        <w:ind w:left="1080"/>
        <w:rPr>
          <w:sz w:val="24"/>
        </w:rPr>
      </w:pPr>
    </w:p>
    <w:p w14:paraId="73CC8067">
      <w:pPr>
        <w:pStyle w:val="183"/>
        <w:spacing w:before="0" w:line="360" w:lineRule="auto"/>
        <w:rPr>
          <w:rFonts w:ascii="Times New Roman" w:hAnsi="Times New Roman" w:eastAsia="宋体"/>
          <w:sz w:val="28"/>
        </w:rPr>
      </w:pPr>
      <w:bookmarkStart w:id="579" w:name="_Toc305158813"/>
      <w:bookmarkStart w:id="580" w:name="_Toc226337241"/>
      <w:bookmarkStart w:id="581" w:name="_Toc151193787"/>
      <w:bookmarkStart w:id="582" w:name="_Toc151190172"/>
      <w:bookmarkStart w:id="583" w:name="_Toc195842910"/>
      <w:bookmarkStart w:id="584" w:name="_Toc265228383"/>
      <w:bookmarkStart w:id="585" w:name="_Toc226965818"/>
      <w:bookmarkStart w:id="586" w:name="_Toc305158887"/>
      <w:bookmarkStart w:id="587" w:name="_Toc127151545"/>
      <w:bookmarkStart w:id="588" w:name="_Toc150480783"/>
      <w:bookmarkStart w:id="589" w:name="_Toc151193643"/>
      <w:bookmarkStart w:id="590" w:name="_Toc264969235"/>
      <w:bookmarkStart w:id="591" w:name="_Toc226309789"/>
      <w:bookmarkStart w:id="592" w:name="_Toc151193933"/>
      <w:bookmarkStart w:id="593" w:name="_Toc151193715"/>
      <w:bookmarkStart w:id="594" w:name="_Toc150509296"/>
      <w:bookmarkStart w:id="595" w:name="_Toc142311047"/>
      <w:bookmarkStart w:id="596" w:name="_Toc150774750"/>
      <w:bookmarkStart w:id="597" w:name="_Toc150774645"/>
      <w:bookmarkStart w:id="598" w:name="_Toc151193859"/>
      <w:bookmarkStart w:id="599" w:name="_Toc226965735"/>
      <w:r>
        <w:rPr>
          <w:rFonts w:ascii="Times New Roman" w:hAnsi="Times New Roman" w:eastAsia="宋体"/>
          <w:sz w:val="28"/>
        </w:rPr>
        <w:t xml:space="preserve">六   </w:t>
      </w:r>
      <w:bookmarkEnd w:id="578"/>
      <w:r>
        <w:rPr>
          <w:rFonts w:ascii="Times New Roman" w:hAnsi="Times New Roman" w:eastAsia="宋体"/>
          <w:sz w:val="28"/>
        </w:rPr>
        <w:t>确定中标</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Start w:id="600" w:name="_Toc149720840"/>
      <w:bookmarkStart w:id="601" w:name="_Toc164229242"/>
      <w:bookmarkStart w:id="602" w:name="_Toc150480785"/>
      <w:bookmarkStart w:id="603" w:name="_Toc164608661"/>
      <w:bookmarkStart w:id="604" w:name="_Toc226309791"/>
      <w:bookmarkStart w:id="605" w:name="_Toc151190174"/>
      <w:bookmarkStart w:id="606" w:name="_Toc226965820"/>
      <w:bookmarkStart w:id="607" w:name="_Toc226337243"/>
      <w:bookmarkStart w:id="608" w:name="_Toc127161461"/>
      <w:bookmarkStart w:id="609" w:name="_Toc195842912"/>
      <w:bookmarkStart w:id="610" w:name="_Toc151193645"/>
      <w:bookmarkStart w:id="611" w:name="_Toc127151748"/>
      <w:bookmarkStart w:id="612" w:name="_Toc151193717"/>
      <w:bookmarkStart w:id="613" w:name="_Toc305158889"/>
      <w:bookmarkStart w:id="614" w:name="_Toc151193789"/>
      <w:bookmarkStart w:id="615" w:name="_Toc142311049"/>
      <w:bookmarkStart w:id="616" w:name="_Toc265228385"/>
      <w:bookmarkStart w:id="617" w:name="_Toc305158815"/>
      <w:bookmarkStart w:id="618" w:name="_Toc151193861"/>
      <w:bookmarkStart w:id="619" w:name="_Toc150774647"/>
      <w:bookmarkStart w:id="620" w:name="_Toc150774752"/>
      <w:bookmarkStart w:id="621" w:name="_Toc127151547"/>
      <w:bookmarkStart w:id="622" w:name="_Toc164608816"/>
      <w:bookmarkStart w:id="623" w:name="_Toc226965737"/>
      <w:bookmarkStart w:id="624" w:name="_Toc164229388"/>
      <w:bookmarkStart w:id="625" w:name="_Toc264969237"/>
      <w:bookmarkStart w:id="626" w:name="_Toc164351641"/>
      <w:bookmarkStart w:id="627" w:name="_Toc151193935"/>
      <w:bookmarkStart w:id="628" w:name="_Toc150509298"/>
    </w:p>
    <w:p w14:paraId="188A7FC1">
      <w:pPr>
        <w:numPr>
          <w:ilvl w:val="0"/>
          <w:numId w:val="8"/>
        </w:numPr>
        <w:tabs>
          <w:tab w:val="left" w:pos="360"/>
        </w:tabs>
        <w:spacing w:line="360" w:lineRule="auto"/>
        <w:ind w:left="357" w:hanging="357"/>
        <w:outlineLvl w:val="1"/>
        <w:rPr>
          <w:sz w:val="24"/>
        </w:rPr>
      </w:pPr>
      <w:r>
        <w:rPr>
          <w:sz w:val="24"/>
        </w:rPr>
        <w:t>确定中标人</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2C456883">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07B98F17">
      <w:pPr>
        <w:numPr>
          <w:ilvl w:val="0"/>
          <w:numId w:val="8"/>
        </w:numPr>
        <w:tabs>
          <w:tab w:val="left" w:pos="360"/>
        </w:tabs>
        <w:spacing w:line="360" w:lineRule="auto"/>
        <w:ind w:left="357" w:hanging="357"/>
        <w:outlineLvl w:val="1"/>
        <w:rPr>
          <w:sz w:val="24"/>
        </w:rPr>
      </w:pPr>
      <w:bookmarkStart w:id="629" w:name="_Toc305158891"/>
      <w:bookmarkStart w:id="630" w:name="_Toc305158817"/>
      <w:bookmarkStart w:id="631" w:name="_Toc142311051"/>
      <w:bookmarkStart w:id="632" w:name="_Toc149720842"/>
      <w:bookmarkStart w:id="633" w:name="_Toc150774649"/>
      <w:bookmarkStart w:id="634" w:name="_Toc164608663"/>
      <w:bookmarkStart w:id="635" w:name="_Toc150774754"/>
      <w:bookmarkStart w:id="636" w:name="_Toc151193719"/>
      <w:bookmarkStart w:id="637" w:name="_Toc164351643"/>
      <w:bookmarkStart w:id="638" w:name="_Toc164608818"/>
      <w:bookmarkStart w:id="639" w:name="_Toc151193937"/>
      <w:bookmarkStart w:id="640" w:name="_Toc127151750"/>
      <w:bookmarkStart w:id="641" w:name="_Toc195842914"/>
      <w:bookmarkStart w:id="642" w:name="_Toc226309793"/>
      <w:bookmarkStart w:id="643" w:name="_Toc151193647"/>
      <w:bookmarkStart w:id="644" w:name="_Toc151193863"/>
      <w:bookmarkStart w:id="645" w:name="_Toc226965822"/>
      <w:bookmarkStart w:id="646" w:name="_Toc164229244"/>
      <w:bookmarkStart w:id="647" w:name="_Toc150509300"/>
      <w:bookmarkStart w:id="648" w:name="_Toc150480787"/>
      <w:bookmarkStart w:id="649" w:name="_Toc264969239"/>
      <w:bookmarkStart w:id="650" w:name="_Toc226965739"/>
      <w:bookmarkStart w:id="651" w:name="_Toc151190176"/>
      <w:bookmarkStart w:id="652" w:name="_Toc127151549"/>
      <w:bookmarkStart w:id="653" w:name="_Toc151193791"/>
      <w:bookmarkStart w:id="654" w:name="_Toc127161463"/>
      <w:bookmarkStart w:id="655" w:name="_Toc265228387"/>
      <w:bookmarkStart w:id="656" w:name="_Toc164229390"/>
      <w:bookmarkStart w:id="657" w:name="_Toc226337245"/>
      <w:bookmarkStart w:id="658" w:name="_Ref467306425"/>
      <w:bookmarkStart w:id="659" w:name="_Toc520356176"/>
      <w:bookmarkStart w:id="660" w:name="_Ref467307090"/>
      <w:r>
        <w:rPr>
          <w:sz w:val="24"/>
        </w:rPr>
        <w:t>中标公告与中标通知书</w:t>
      </w:r>
      <w:bookmarkEnd w:id="629"/>
      <w:bookmarkEnd w:id="630"/>
    </w:p>
    <w:p w14:paraId="60753436">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2C4FD758">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9CBD76B">
      <w:pPr>
        <w:numPr>
          <w:ilvl w:val="0"/>
          <w:numId w:val="8"/>
        </w:numPr>
        <w:tabs>
          <w:tab w:val="left" w:pos="360"/>
        </w:tabs>
        <w:spacing w:line="360" w:lineRule="auto"/>
        <w:ind w:left="357" w:hanging="357"/>
        <w:outlineLvl w:val="1"/>
        <w:rPr>
          <w:sz w:val="24"/>
        </w:rPr>
      </w:pPr>
      <w:r>
        <w:rPr>
          <w:sz w:val="24"/>
        </w:rPr>
        <w:t>废标</w:t>
      </w:r>
    </w:p>
    <w:p w14:paraId="205523AC">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265EA338">
      <w:pPr>
        <w:numPr>
          <w:ilvl w:val="2"/>
          <w:numId w:val="8"/>
        </w:numPr>
        <w:spacing w:line="360" w:lineRule="auto"/>
        <w:rPr>
          <w:sz w:val="24"/>
        </w:rPr>
      </w:pPr>
      <w:r>
        <w:rPr>
          <w:sz w:val="24"/>
        </w:rPr>
        <w:t>符合专业条件的供应商或者对招标文件作实质响应的供应商不足三家的；</w:t>
      </w:r>
    </w:p>
    <w:p w14:paraId="21900626">
      <w:pPr>
        <w:numPr>
          <w:ilvl w:val="2"/>
          <w:numId w:val="8"/>
        </w:numPr>
        <w:spacing w:line="360" w:lineRule="auto"/>
        <w:rPr>
          <w:sz w:val="24"/>
        </w:rPr>
      </w:pPr>
      <w:r>
        <w:rPr>
          <w:sz w:val="24"/>
        </w:rPr>
        <w:t>出现影响采购公正的违法、违规行为的；</w:t>
      </w:r>
    </w:p>
    <w:p w14:paraId="6529A539">
      <w:pPr>
        <w:numPr>
          <w:ilvl w:val="2"/>
          <w:numId w:val="8"/>
        </w:numPr>
        <w:spacing w:line="360" w:lineRule="auto"/>
        <w:rPr>
          <w:sz w:val="24"/>
        </w:rPr>
      </w:pPr>
      <w:r>
        <w:rPr>
          <w:sz w:val="24"/>
        </w:rPr>
        <w:t>投标人的报价均超过了采购预算，采购人不能支付的；</w:t>
      </w:r>
    </w:p>
    <w:p w14:paraId="5675FD2A">
      <w:pPr>
        <w:numPr>
          <w:ilvl w:val="2"/>
          <w:numId w:val="8"/>
        </w:numPr>
        <w:spacing w:line="360" w:lineRule="auto"/>
        <w:rPr>
          <w:rFonts w:hint="eastAsia"/>
          <w:sz w:val="24"/>
        </w:rPr>
      </w:pPr>
      <w:r>
        <w:rPr>
          <w:sz w:val="24"/>
        </w:rPr>
        <w:t>因重大变故，采购任务取消的。</w:t>
      </w:r>
    </w:p>
    <w:p w14:paraId="79FDA8C8">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2C1D2C0F">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175D5381">
      <w:pPr>
        <w:numPr>
          <w:ilvl w:val="0"/>
          <w:numId w:val="8"/>
        </w:numPr>
        <w:tabs>
          <w:tab w:val="left" w:pos="360"/>
        </w:tabs>
        <w:spacing w:line="360" w:lineRule="auto"/>
        <w:ind w:left="357" w:hanging="357"/>
        <w:outlineLvl w:val="1"/>
        <w:rPr>
          <w:sz w:val="24"/>
        </w:rPr>
      </w:pPr>
      <w:bookmarkStart w:id="661" w:name="_Toc151193792"/>
      <w:bookmarkStart w:id="662" w:name="_Toc164608819"/>
      <w:bookmarkStart w:id="663" w:name="_Toc164229391"/>
      <w:bookmarkStart w:id="664" w:name="_Toc149720843"/>
      <w:bookmarkStart w:id="665" w:name="_Ref467307062"/>
      <w:bookmarkStart w:id="666" w:name="_Toc142311052"/>
      <w:bookmarkStart w:id="667" w:name="_Ref467306377"/>
      <w:bookmarkStart w:id="668" w:name="_Toc150774650"/>
      <w:bookmarkStart w:id="669" w:name="_Toc164229245"/>
      <w:bookmarkStart w:id="670" w:name="_Toc226337246"/>
      <w:bookmarkStart w:id="671" w:name="_Toc226965823"/>
      <w:bookmarkStart w:id="672" w:name="_Toc151193938"/>
      <w:bookmarkStart w:id="673" w:name="_Toc151193864"/>
      <w:bookmarkStart w:id="674" w:name="_Toc305158892"/>
      <w:bookmarkStart w:id="675" w:name="_Toc520356175"/>
      <w:bookmarkStart w:id="676" w:name="_Ref467307204"/>
      <w:bookmarkStart w:id="677" w:name="_Toc226309794"/>
      <w:bookmarkStart w:id="678" w:name="_Toc195842915"/>
      <w:bookmarkStart w:id="679" w:name="_Toc150509301"/>
      <w:bookmarkStart w:id="680" w:name="_Toc151190177"/>
      <w:bookmarkStart w:id="681" w:name="_Toc164608664"/>
      <w:bookmarkStart w:id="682" w:name="_Toc265228388"/>
      <w:bookmarkStart w:id="683" w:name="_Toc164351644"/>
      <w:bookmarkStart w:id="684" w:name="_Toc150774755"/>
      <w:bookmarkStart w:id="685" w:name="_Toc127151550"/>
      <w:bookmarkStart w:id="686" w:name="_Ref467306978"/>
      <w:bookmarkStart w:id="687" w:name="_Toc127161464"/>
      <w:bookmarkStart w:id="688" w:name="_Toc151193648"/>
      <w:bookmarkStart w:id="689" w:name="_Toc150480788"/>
      <w:bookmarkStart w:id="690" w:name="_Toc264969240"/>
      <w:bookmarkStart w:id="691" w:name="_Toc226965740"/>
      <w:bookmarkStart w:id="692" w:name="_Toc127151751"/>
      <w:bookmarkStart w:id="693" w:name="_Toc151193720"/>
      <w:bookmarkStart w:id="694" w:name="_Toc305158818"/>
      <w:r>
        <w:rPr>
          <w:sz w:val="24"/>
        </w:rPr>
        <w:t>签订合同</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3AA4832D">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47B147F7">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B2CDA11">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45793661">
      <w:pPr>
        <w:numPr>
          <w:ilvl w:val="1"/>
          <w:numId w:val="8"/>
        </w:numPr>
        <w:tabs>
          <w:tab w:val="left" w:pos="1080"/>
          <w:tab w:val="left" w:pos="2014"/>
        </w:tabs>
        <w:spacing w:line="360" w:lineRule="auto"/>
        <w:ind w:left="1077" w:hanging="720"/>
        <w:rPr>
          <w:sz w:val="24"/>
        </w:rPr>
      </w:pPr>
      <w:r>
        <w:rPr>
          <w:sz w:val="24"/>
        </w:rPr>
        <w:t>政府采购合同不能转包。</w:t>
      </w:r>
    </w:p>
    <w:p w14:paraId="2F9D8976">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8"/>
    <w:bookmarkEnd w:id="659"/>
    <w:bookmarkEnd w:id="660"/>
    <w:p w14:paraId="7E72EE13">
      <w:pPr>
        <w:numPr>
          <w:ilvl w:val="0"/>
          <w:numId w:val="8"/>
        </w:numPr>
        <w:tabs>
          <w:tab w:val="left" w:pos="360"/>
        </w:tabs>
        <w:spacing w:line="360" w:lineRule="auto"/>
        <w:ind w:left="357" w:hanging="357"/>
        <w:outlineLvl w:val="1"/>
        <w:rPr>
          <w:sz w:val="24"/>
        </w:rPr>
      </w:pPr>
      <w:r>
        <w:rPr>
          <w:sz w:val="24"/>
        </w:rPr>
        <w:t>询问与质疑</w:t>
      </w:r>
    </w:p>
    <w:p w14:paraId="6EABDBA4">
      <w:pPr>
        <w:numPr>
          <w:ilvl w:val="1"/>
          <w:numId w:val="8"/>
        </w:numPr>
        <w:tabs>
          <w:tab w:val="left" w:pos="1080"/>
          <w:tab w:val="left" w:pos="2014"/>
        </w:tabs>
        <w:spacing w:line="360" w:lineRule="auto"/>
        <w:ind w:left="1077" w:hanging="720"/>
        <w:rPr>
          <w:sz w:val="24"/>
        </w:rPr>
      </w:pPr>
      <w:r>
        <w:rPr>
          <w:sz w:val="24"/>
        </w:rPr>
        <w:t>询问</w:t>
      </w:r>
    </w:p>
    <w:p w14:paraId="73733FF0">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546C7F05">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07E01235">
      <w:pPr>
        <w:numPr>
          <w:ilvl w:val="1"/>
          <w:numId w:val="8"/>
        </w:numPr>
        <w:tabs>
          <w:tab w:val="left" w:pos="1080"/>
          <w:tab w:val="left" w:pos="2014"/>
        </w:tabs>
        <w:spacing w:line="360" w:lineRule="auto"/>
        <w:ind w:left="1077" w:hanging="720"/>
        <w:rPr>
          <w:sz w:val="24"/>
        </w:rPr>
      </w:pPr>
      <w:r>
        <w:rPr>
          <w:sz w:val="24"/>
        </w:rPr>
        <w:t>质疑</w:t>
      </w:r>
    </w:p>
    <w:p w14:paraId="5C0D7DDC">
      <w:pPr>
        <w:numPr>
          <w:ilvl w:val="2"/>
          <w:numId w:val="8"/>
        </w:numPr>
        <w:spacing w:line="360" w:lineRule="auto"/>
        <w:rPr>
          <w:rFonts w:hint="eastAsia"/>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F11527E">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456E590A">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59"/>
        </w:rPr>
        <w:t>http://gk</w:t>
      </w:r>
      <w:bookmarkStart w:id="695" w:name="_Hlt100654014"/>
      <w:r>
        <w:rPr>
          <w:rStyle w:val="259"/>
        </w:rPr>
        <w:t>s</w:t>
      </w:r>
      <w:bookmarkEnd w:id="695"/>
      <w:r>
        <w:rPr>
          <w:rStyle w:val="259"/>
        </w:rPr>
        <w:t>.m</w:t>
      </w:r>
      <w:bookmarkStart w:id="696" w:name="_Hlt100653994"/>
      <w:bookmarkStart w:id="697" w:name="_Hlt100653993"/>
      <w:r>
        <w:rPr>
          <w:rStyle w:val="259"/>
        </w:rPr>
        <w:t>o</w:t>
      </w:r>
      <w:bookmarkEnd w:id="696"/>
      <w:bookmarkEnd w:id="697"/>
      <w:r>
        <w:rPr>
          <w:rStyle w:val="259"/>
        </w:rPr>
        <w:t>f.gov.cn/ztztz/zhengfucaigouguanli/201802/t20180201_2804589.htm</w:t>
      </w:r>
      <w:r>
        <w:fldChar w:fldCharType="end"/>
      </w:r>
      <w:r>
        <w:rPr>
          <w:rFonts w:hint="eastAsia"/>
        </w:rPr>
        <w:t>）</w:t>
      </w:r>
    </w:p>
    <w:p w14:paraId="1F69B339">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77FC7879">
      <w:pPr>
        <w:numPr>
          <w:ilvl w:val="2"/>
          <w:numId w:val="8"/>
        </w:numPr>
        <w:spacing w:line="360" w:lineRule="auto"/>
        <w:rPr>
          <w:rFonts w:hint="eastAsia"/>
          <w:sz w:val="24"/>
        </w:rPr>
      </w:pPr>
      <w:r>
        <w:rPr>
          <w:sz w:val="24"/>
        </w:rPr>
        <w:t>投标人应在法定质疑期内一次性提出针对同一采购程序环节的质疑，法定质疑期内针对同一采购程序环节再次提出的质疑，采购人、采购代理机构有权不予答复。</w:t>
      </w:r>
    </w:p>
    <w:p w14:paraId="38AB8475">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5C726397">
      <w:pPr>
        <w:numPr>
          <w:ilvl w:val="0"/>
          <w:numId w:val="8"/>
        </w:numPr>
        <w:tabs>
          <w:tab w:val="left" w:pos="360"/>
        </w:tabs>
        <w:spacing w:line="360" w:lineRule="auto"/>
        <w:ind w:left="357" w:hanging="357"/>
        <w:outlineLvl w:val="1"/>
        <w:rPr>
          <w:sz w:val="24"/>
        </w:rPr>
      </w:pPr>
      <w:r>
        <w:rPr>
          <w:sz w:val="24"/>
        </w:rPr>
        <w:t>代理费</w:t>
      </w:r>
    </w:p>
    <w:p w14:paraId="22886188">
      <w:pPr>
        <w:numPr>
          <w:ilvl w:val="1"/>
          <w:numId w:val="8"/>
        </w:numPr>
        <w:tabs>
          <w:tab w:val="left" w:pos="1080"/>
          <w:tab w:val="left" w:pos="2014"/>
        </w:tabs>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32847B8">
      <w:pPr>
        <w:tabs>
          <w:tab w:val="left" w:pos="900"/>
          <w:tab w:val="left" w:pos="1080"/>
          <w:tab w:val="left" w:pos="1589"/>
        </w:tabs>
        <w:spacing w:line="360" w:lineRule="auto"/>
        <w:rPr>
          <w:sz w:val="24"/>
        </w:rPr>
      </w:pPr>
      <w:r>
        <w:rPr>
          <w:rFonts w:hint="eastAsia"/>
          <w:sz w:val="24"/>
        </w:rPr>
        <w:t xml:space="preserve">   27.2  集中采购机构不收取代理费。</w:t>
      </w:r>
    </w:p>
    <w:p w14:paraId="2EF21DAC">
      <w:pPr>
        <w:numPr>
          <w:ilvl w:val="1"/>
          <w:numId w:val="8"/>
        </w:numPr>
        <w:tabs>
          <w:tab w:val="left" w:pos="1080"/>
          <w:tab w:val="left" w:pos="2014"/>
        </w:tabs>
        <w:spacing w:line="360" w:lineRule="auto"/>
        <w:ind w:left="1077" w:hanging="720"/>
        <w:rPr>
          <w:rFonts w:hint="eastAsia" w:ascii="宋体" w:hAnsi="宋体" w:eastAsia="宋体" w:cs="宋体"/>
          <w:color w:val="000000"/>
          <w:sz w:val="24"/>
          <w:szCs w:val="24"/>
          <w:highlight w:val="none"/>
        </w:rPr>
        <w:sectPr>
          <w:footerReference r:id="rId8" w:type="even"/>
          <w:pgSz w:w="11907" w:h="16840"/>
          <w:pgMar w:top="1134" w:right="1134" w:bottom="1134" w:left="1134" w:header="851" w:footer="851" w:gutter="0"/>
          <w:pgNumType w:fmt="decimal" w:start="1"/>
          <w:cols w:space="1701" w:num="1"/>
          <w:docGrid w:linePitch="360" w:charSpace="0"/>
        </w:sectPr>
      </w:pPr>
      <w:bookmarkStart w:id="698" w:name="_Toc264969244"/>
      <w:bookmarkStart w:id="699" w:name="_Toc226965827"/>
      <w:bookmarkStart w:id="700" w:name="_Toc353873934"/>
      <w:bookmarkStart w:id="701" w:name="_Toc226337250"/>
      <w:bookmarkStart w:id="702" w:name="_Toc150480792"/>
      <w:bookmarkStart w:id="703" w:name="_Toc353873664"/>
      <w:bookmarkStart w:id="704" w:name="_Toc127151554"/>
      <w:bookmarkStart w:id="705" w:name="_Toc305158822"/>
      <w:bookmarkStart w:id="706" w:name="_Toc305158896"/>
      <w:bookmarkStart w:id="707" w:name="_Toc150774759"/>
      <w:bookmarkStart w:id="708" w:name="_Toc142311056"/>
      <w:bookmarkStart w:id="709" w:name="_Toc265228392"/>
      <w:bookmarkStart w:id="710" w:name="_Toc353825544"/>
    </w:p>
    <w:p w14:paraId="5AF98FE7">
      <w:pPr>
        <w:spacing w:line="360" w:lineRule="auto"/>
        <w:jc w:val="center"/>
        <w:outlineLvl w:val="0"/>
        <w:rPr>
          <w:rFonts w:hint="eastAsia" w:ascii="宋体" w:hAnsi="宋体" w:eastAsia="宋体" w:cs="宋体"/>
          <w:b/>
          <w:color w:val="000000"/>
          <w:sz w:val="24"/>
          <w:szCs w:val="24"/>
          <w:highlight w:val="none"/>
        </w:rPr>
      </w:pPr>
      <w:bookmarkStart w:id="711" w:name="_Toc104818927"/>
      <w:r>
        <w:rPr>
          <w:rFonts w:hint="eastAsia" w:ascii="宋体" w:hAnsi="宋体" w:eastAsia="宋体" w:cs="宋体"/>
          <w:b/>
          <w:color w:val="000000"/>
          <w:sz w:val="24"/>
          <w:szCs w:val="24"/>
          <w:highlight w:val="none"/>
        </w:rPr>
        <w:t xml:space="preserve">第三章   </w:t>
      </w:r>
      <w:bookmarkEnd w:id="698"/>
      <w:bookmarkEnd w:id="699"/>
      <w:bookmarkEnd w:id="700"/>
      <w:bookmarkEnd w:id="701"/>
      <w:bookmarkEnd w:id="702"/>
      <w:bookmarkEnd w:id="703"/>
      <w:bookmarkEnd w:id="704"/>
      <w:bookmarkEnd w:id="705"/>
      <w:bookmarkEnd w:id="706"/>
      <w:bookmarkEnd w:id="707"/>
      <w:bookmarkEnd w:id="708"/>
      <w:bookmarkEnd w:id="709"/>
      <w:bookmarkEnd w:id="710"/>
      <w:r>
        <w:rPr>
          <w:rFonts w:hint="eastAsia" w:ascii="宋体" w:hAnsi="宋体" w:eastAsia="宋体" w:cs="宋体"/>
          <w:b/>
          <w:color w:val="000000"/>
          <w:sz w:val="24"/>
          <w:szCs w:val="24"/>
          <w:highlight w:val="none"/>
        </w:rPr>
        <w:t>评审程序、评审方法和评审标准</w:t>
      </w:r>
      <w:bookmarkEnd w:id="711"/>
      <w:bookmarkStart w:id="712" w:name="_Toc487900382"/>
    </w:p>
    <w:p w14:paraId="1688F570">
      <w:pPr>
        <w:pStyle w:val="183"/>
        <w:spacing w:before="0" w:line="360" w:lineRule="auto"/>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一、评审程序</w:t>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12"/>
    <w:p w14:paraId="002C7BA6">
      <w:pPr>
        <w:numPr>
          <w:ilvl w:val="0"/>
          <w:numId w:val="11"/>
        </w:numPr>
        <w:tabs>
          <w:tab w:val="left" w:pos="426"/>
          <w:tab w:val="left" w:pos="851"/>
        </w:tabs>
        <w:spacing w:line="360" w:lineRule="auto"/>
        <w:ind w:left="426" w:hanging="426"/>
        <w:outlineLvl w:val="1"/>
        <w:rPr>
          <w:sz w:val="24"/>
        </w:rPr>
      </w:pPr>
      <w:bookmarkStart w:id="713" w:name="_Toc353873941"/>
      <w:bookmarkStart w:id="714" w:name="_Toc353825551"/>
      <w:bookmarkStart w:id="715" w:name="_Toc142311057"/>
      <w:bookmarkStart w:id="716" w:name="_Toc353873665"/>
      <w:bookmarkStart w:id="717" w:name="_Toc226965828"/>
      <w:bookmarkStart w:id="718" w:name="_Toc226337251"/>
      <w:bookmarkStart w:id="719" w:name="_Toc150480793"/>
      <w:bookmarkStart w:id="720" w:name="_Toc353873935"/>
      <w:bookmarkStart w:id="721" w:name="_Toc195842920"/>
      <w:bookmarkStart w:id="722" w:name="_Toc305158823"/>
      <w:bookmarkStart w:id="723" w:name="_Toc353825545"/>
      <w:bookmarkStart w:id="724" w:name="_Toc150774760"/>
      <w:bookmarkStart w:id="725" w:name="_Toc264969245"/>
      <w:bookmarkStart w:id="726" w:name="_Toc127151555"/>
      <w:bookmarkStart w:id="727" w:name="_Toc265228393"/>
      <w:bookmarkStart w:id="728" w:name="_Toc305158897"/>
      <w:r>
        <w:rPr>
          <w:sz w:val="24"/>
        </w:rPr>
        <w:t>开标结束后，采购人将根据《资格审查要求》中的规定，对投标人进行资格审查，并形成资格审查结果。</w:t>
      </w:r>
    </w:p>
    <w:p w14:paraId="011BBBB6">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288B8402">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DD77197">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3D0D5F80">
      <w:pPr>
        <w:tabs>
          <w:tab w:val="left" w:pos="900"/>
          <w:tab w:val="left" w:pos="1080"/>
        </w:tabs>
        <w:spacing w:line="360" w:lineRule="auto"/>
        <w:ind w:left="1077" w:firstLine="265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资格性检查要求</w:t>
      </w:r>
    </w:p>
    <w:tbl>
      <w:tblPr>
        <w:tblStyle w:val="28"/>
        <w:tblW w:w="5059" w:type="pct"/>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
        <w:gridCol w:w="1675"/>
        <w:gridCol w:w="4712"/>
        <w:gridCol w:w="2197"/>
      </w:tblGrid>
      <w:tr w14:paraId="2D57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trPr>
        <w:tc>
          <w:tcPr>
            <w:tcW w:w="433" w:type="dxa"/>
            <w:noWrap w:val="0"/>
            <w:vAlign w:val="center"/>
          </w:tcPr>
          <w:p w14:paraId="5ACD78FD">
            <w:pPr>
              <w:tabs>
                <w:tab w:val="left" w:pos="1080"/>
              </w:tabs>
              <w:jc w:val="center"/>
              <w:rPr>
                <w:rFonts w:hint="eastAsia" w:ascii="宋体" w:hAnsi="宋体" w:eastAsia="宋体" w:cs="宋体"/>
                <w:b/>
                <w:color w:val="000000"/>
                <w:sz w:val="24"/>
                <w:szCs w:val="24"/>
                <w:highlight w:val="none"/>
              </w:rPr>
            </w:pPr>
            <w:bookmarkStart w:id="729" w:name="_Hlt487972895"/>
            <w:bookmarkEnd w:id="729"/>
            <w:r>
              <w:rPr>
                <w:rFonts w:hint="eastAsia" w:ascii="宋体" w:hAnsi="宋体" w:eastAsia="宋体" w:cs="宋体"/>
                <w:b/>
                <w:color w:val="000000"/>
                <w:sz w:val="24"/>
                <w:szCs w:val="24"/>
                <w:highlight w:val="none"/>
              </w:rPr>
              <w:t>序号</w:t>
            </w:r>
          </w:p>
        </w:tc>
        <w:tc>
          <w:tcPr>
            <w:tcW w:w="891" w:type="dxa"/>
            <w:noWrap w:val="0"/>
            <w:vAlign w:val="center"/>
          </w:tcPr>
          <w:p w14:paraId="26FA9823">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审查因素</w:t>
            </w:r>
          </w:p>
        </w:tc>
        <w:tc>
          <w:tcPr>
            <w:tcW w:w="2506" w:type="dxa"/>
            <w:noWrap w:val="0"/>
            <w:vAlign w:val="center"/>
          </w:tcPr>
          <w:p w14:paraId="076EFE57">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审查内容</w:t>
            </w:r>
          </w:p>
        </w:tc>
        <w:tc>
          <w:tcPr>
            <w:tcW w:w="1168" w:type="dxa"/>
            <w:noWrap w:val="0"/>
            <w:vAlign w:val="center"/>
          </w:tcPr>
          <w:p w14:paraId="391B447E">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格式要求</w:t>
            </w:r>
          </w:p>
        </w:tc>
      </w:tr>
      <w:tr w14:paraId="4F9D5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22" w:hRule="atLeast"/>
        </w:trPr>
        <w:tc>
          <w:tcPr>
            <w:tcW w:w="433" w:type="dxa"/>
            <w:noWrap w:val="0"/>
            <w:vAlign w:val="center"/>
          </w:tcPr>
          <w:p w14:paraId="7A214651">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891" w:type="dxa"/>
            <w:noWrap w:val="0"/>
            <w:vAlign w:val="center"/>
          </w:tcPr>
          <w:p w14:paraId="42E1416F">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满足《中华人民共和国政府采购法》第二十二条规定及法律法规的其他规定</w:t>
            </w:r>
          </w:p>
        </w:tc>
        <w:tc>
          <w:tcPr>
            <w:tcW w:w="2506" w:type="dxa"/>
            <w:noWrap w:val="0"/>
            <w:vAlign w:val="center"/>
          </w:tcPr>
          <w:p w14:paraId="04752A33">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具体规定见第一章《采购邀请》</w:t>
            </w:r>
          </w:p>
        </w:tc>
        <w:tc>
          <w:tcPr>
            <w:tcW w:w="1168" w:type="dxa"/>
            <w:noWrap w:val="0"/>
            <w:vAlign w:val="center"/>
          </w:tcPr>
          <w:p w14:paraId="3FE9379E">
            <w:pPr>
              <w:tabs>
                <w:tab w:val="left" w:pos="1080"/>
              </w:tabs>
              <w:rPr>
                <w:rFonts w:hint="eastAsia" w:ascii="宋体" w:hAnsi="宋体" w:eastAsia="宋体" w:cs="宋体"/>
                <w:color w:val="000000"/>
                <w:sz w:val="24"/>
                <w:szCs w:val="24"/>
                <w:highlight w:val="none"/>
              </w:rPr>
            </w:pPr>
          </w:p>
        </w:tc>
      </w:tr>
      <w:tr w14:paraId="1BCDF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433" w:type="dxa"/>
            <w:noWrap w:val="0"/>
            <w:vAlign w:val="center"/>
          </w:tcPr>
          <w:p w14:paraId="20DD0735">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891" w:type="dxa"/>
            <w:noWrap w:val="0"/>
            <w:vAlign w:val="center"/>
          </w:tcPr>
          <w:p w14:paraId="5C61983A">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供应商资格声明函</w:t>
            </w:r>
          </w:p>
        </w:tc>
        <w:tc>
          <w:tcPr>
            <w:tcW w:w="2506" w:type="dxa"/>
            <w:noWrap w:val="0"/>
            <w:vAlign w:val="center"/>
          </w:tcPr>
          <w:p w14:paraId="0A4BFE4C">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提供了符合采购文件要求的《供应商资格声明函》。</w:t>
            </w:r>
          </w:p>
        </w:tc>
        <w:tc>
          <w:tcPr>
            <w:tcW w:w="1168" w:type="dxa"/>
            <w:noWrap w:val="0"/>
            <w:vAlign w:val="center"/>
          </w:tcPr>
          <w:p w14:paraId="345E5F5E">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格式见《响应文件格式》</w:t>
            </w:r>
          </w:p>
        </w:tc>
      </w:tr>
      <w:tr w14:paraId="28B92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3" w:hRule="atLeast"/>
        </w:trPr>
        <w:tc>
          <w:tcPr>
            <w:tcW w:w="433" w:type="dxa"/>
            <w:noWrap w:val="0"/>
            <w:vAlign w:val="center"/>
          </w:tcPr>
          <w:p w14:paraId="19883BA2">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891" w:type="dxa"/>
            <w:noWrap w:val="0"/>
            <w:vAlign w:val="center"/>
          </w:tcPr>
          <w:p w14:paraId="00F05C5F">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供应商信用记录</w:t>
            </w:r>
          </w:p>
        </w:tc>
        <w:tc>
          <w:tcPr>
            <w:tcW w:w="2506" w:type="dxa"/>
            <w:noWrap w:val="0"/>
            <w:vAlign w:val="center"/>
          </w:tcPr>
          <w:p w14:paraId="46C0AD19">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查询渠道：信用中国网站和</w:t>
            </w:r>
            <w:r>
              <w:rPr>
                <w:rFonts w:hint="eastAsia" w:ascii="宋体" w:hAnsi="宋体" w:eastAsia="宋体" w:cs="宋体"/>
                <w:color w:val="000000"/>
                <w:sz w:val="24"/>
                <w:szCs w:val="24"/>
                <w:highlight w:val="none"/>
                <w:lang w:eastAsia="zh-CN"/>
              </w:rPr>
              <w:t>中国政府采购网</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www.creditchina.gov.cn、www.ccgp.gov.cn）；</w:t>
            </w:r>
          </w:p>
          <w:p w14:paraId="760F28E1">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截止时点：提交响应文件截止时间以后、资格审查阶段采购人或采购代理机构的实际查询时间；</w:t>
            </w:r>
          </w:p>
          <w:p w14:paraId="72449C45">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信用信息查询记录和证据留存具体方式：查询结果网页打印页作为查询记录和证据，与其他采购文件一并保存；</w:t>
            </w:r>
          </w:p>
          <w:p w14:paraId="6C62E3F9">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。联合体形式响应的，联合体成员存在不良信用记录，视同联合体存在不良信用记录。</w:t>
            </w:r>
          </w:p>
        </w:tc>
        <w:tc>
          <w:tcPr>
            <w:tcW w:w="1168" w:type="dxa"/>
            <w:noWrap w:val="0"/>
            <w:vAlign w:val="center"/>
          </w:tcPr>
          <w:p w14:paraId="61968F7B">
            <w:pPr>
              <w:tabs>
                <w:tab w:val="left" w:pos="1080"/>
              </w:tabs>
              <w:rPr>
                <w:rFonts w:hint="eastAsia" w:ascii="宋体" w:hAnsi="宋体" w:eastAsia="宋体" w:cs="宋体"/>
                <w:color w:val="000000"/>
                <w:sz w:val="24"/>
                <w:szCs w:val="24"/>
                <w:highlight w:val="none"/>
              </w:rPr>
            </w:pPr>
            <w:r>
              <w:rPr>
                <w:sz w:val="24"/>
              </w:rPr>
              <w:t>无须供应商提供，由采购人查询。</w:t>
            </w:r>
          </w:p>
        </w:tc>
      </w:tr>
      <w:tr w14:paraId="33937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8" w:hRule="atLeast"/>
        </w:trPr>
        <w:tc>
          <w:tcPr>
            <w:tcW w:w="433" w:type="dxa"/>
            <w:noWrap w:val="0"/>
            <w:vAlign w:val="top"/>
          </w:tcPr>
          <w:p w14:paraId="3C2888AD">
            <w:pPr>
              <w:spacing w:line="321" w:lineRule="auto"/>
              <w:rPr>
                <w:rFonts w:ascii="Arial"/>
                <w:color w:val="000000"/>
                <w:sz w:val="21"/>
                <w:highlight w:val="none"/>
              </w:rPr>
            </w:pPr>
          </w:p>
          <w:p w14:paraId="6CE78FDB">
            <w:pPr>
              <w:spacing w:before="67" w:line="195" w:lineRule="auto"/>
              <w:ind w:left="301"/>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2</w:t>
            </w:r>
          </w:p>
        </w:tc>
        <w:tc>
          <w:tcPr>
            <w:tcW w:w="891" w:type="dxa"/>
            <w:noWrap w:val="0"/>
            <w:vAlign w:val="top"/>
          </w:tcPr>
          <w:p w14:paraId="24179208">
            <w:pPr>
              <w:spacing w:before="38" w:line="241" w:lineRule="auto"/>
              <w:ind w:left="113" w:right="107"/>
              <w:rPr>
                <w:rFonts w:hint="eastAsia" w:ascii="宋体" w:hAnsi="宋体" w:eastAsia="宋体" w:cs="宋体"/>
                <w:color w:val="000000"/>
                <w:sz w:val="24"/>
                <w:szCs w:val="24"/>
                <w:highlight w:val="none"/>
              </w:rPr>
            </w:pPr>
            <w:r>
              <w:rPr>
                <w:rFonts w:ascii="宋体" w:hAnsi="宋体" w:eastAsia="宋体" w:cs="宋体"/>
                <w:color w:val="000000"/>
                <w:spacing w:val="14"/>
                <w:sz w:val="24"/>
                <w:szCs w:val="24"/>
                <w:highlight w:val="none"/>
              </w:rPr>
              <w:t>落</w:t>
            </w:r>
            <w:r>
              <w:rPr>
                <w:rFonts w:ascii="宋体" w:hAnsi="宋体" w:eastAsia="宋体" w:cs="宋体"/>
                <w:color w:val="000000"/>
                <w:spacing w:val="13"/>
                <w:sz w:val="24"/>
                <w:szCs w:val="24"/>
                <w:highlight w:val="none"/>
              </w:rPr>
              <w:t>实政府采购政</w:t>
            </w:r>
            <w:r>
              <w:rPr>
                <w:rFonts w:ascii="宋体" w:hAnsi="宋体" w:eastAsia="宋体" w:cs="宋体"/>
                <w:color w:val="000000"/>
                <w:sz w:val="24"/>
                <w:szCs w:val="24"/>
                <w:highlight w:val="none"/>
              </w:rPr>
              <w:t xml:space="preserve"> </w:t>
            </w:r>
            <w:r>
              <w:rPr>
                <w:rFonts w:ascii="宋体" w:hAnsi="宋体" w:eastAsia="宋体" w:cs="宋体"/>
                <w:color w:val="000000"/>
                <w:spacing w:val="15"/>
                <w:sz w:val="24"/>
                <w:szCs w:val="24"/>
                <w:highlight w:val="none"/>
              </w:rPr>
              <w:t>策</w:t>
            </w:r>
            <w:r>
              <w:rPr>
                <w:rFonts w:ascii="宋体" w:hAnsi="宋体" w:eastAsia="宋体" w:cs="宋体"/>
                <w:color w:val="000000"/>
                <w:spacing w:val="13"/>
                <w:sz w:val="24"/>
                <w:szCs w:val="24"/>
                <w:highlight w:val="none"/>
              </w:rPr>
              <w:t>需满足的资格</w:t>
            </w:r>
            <w:r>
              <w:rPr>
                <w:rFonts w:ascii="宋体" w:hAnsi="宋体" w:eastAsia="宋体" w:cs="宋体"/>
                <w:color w:val="000000"/>
                <w:sz w:val="24"/>
                <w:szCs w:val="24"/>
                <w:highlight w:val="none"/>
              </w:rPr>
              <w:t xml:space="preserve"> </w:t>
            </w:r>
            <w:r>
              <w:rPr>
                <w:rFonts w:ascii="宋体" w:hAnsi="宋体" w:eastAsia="宋体" w:cs="宋体"/>
                <w:color w:val="000000"/>
                <w:spacing w:val="5"/>
                <w:sz w:val="24"/>
                <w:szCs w:val="24"/>
                <w:highlight w:val="none"/>
              </w:rPr>
              <w:t>要</w:t>
            </w:r>
            <w:r>
              <w:rPr>
                <w:rFonts w:ascii="宋体" w:hAnsi="宋体" w:eastAsia="宋体" w:cs="宋体"/>
                <w:color w:val="000000"/>
                <w:spacing w:val="4"/>
                <w:sz w:val="24"/>
                <w:szCs w:val="24"/>
                <w:highlight w:val="none"/>
              </w:rPr>
              <w:t>求</w:t>
            </w:r>
          </w:p>
        </w:tc>
        <w:tc>
          <w:tcPr>
            <w:tcW w:w="2506" w:type="dxa"/>
            <w:noWrap w:val="0"/>
            <w:vAlign w:val="center"/>
          </w:tcPr>
          <w:p w14:paraId="61752C50">
            <w:pPr>
              <w:spacing w:before="75" w:line="225" w:lineRule="auto"/>
              <w:ind w:firstLine="524"/>
              <w:jc w:val="both"/>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top"/>
          </w:tcPr>
          <w:p w14:paraId="362EEC99">
            <w:pPr>
              <w:spacing w:line="321" w:lineRule="auto"/>
              <w:rPr>
                <w:rFonts w:ascii="Arial"/>
                <w:color w:val="000000"/>
                <w:sz w:val="21"/>
                <w:highlight w:val="none"/>
              </w:rPr>
            </w:pPr>
          </w:p>
          <w:p w14:paraId="33967CE4">
            <w:pPr>
              <w:spacing w:before="67" w:line="195" w:lineRule="auto"/>
              <w:ind w:left="301"/>
              <w:rPr>
                <w:rFonts w:hint="eastAsia" w:ascii="宋体" w:hAnsi="宋体" w:eastAsia="宋体" w:cs="宋体"/>
                <w:color w:val="000000"/>
                <w:sz w:val="24"/>
                <w:szCs w:val="24"/>
                <w:highlight w:val="none"/>
              </w:rPr>
            </w:pPr>
          </w:p>
        </w:tc>
      </w:tr>
      <w:tr w14:paraId="2295B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0" w:hRule="atLeast"/>
        </w:trPr>
        <w:tc>
          <w:tcPr>
            <w:tcW w:w="433" w:type="dxa"/>
            <w:noWrap w:val="0"/>
            <w:vAlign w:val="top"/>
          </w:tcPr>
          <w:p w14:paraId="31A7FB40">
            <w:pPr>
              <w:spacing w:before="237" w:line="194" w:lineRule="auto"/>
              <w:ind w:left="306"/>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3</w:t>
            </w:r>
          </w:p>
        </w:tc>
        <w:tc>
          <w:tcPr>
            <w:tcW w:w="891" w:type="dxa"/>
            <w:noWrap w:val="0"/>
            <w:vAlign w:val="center"/>
          </w:tcPr>
          <w:p w14:paraId="668DEEF6">
            <w:pPr>
              <w:spacing w:before="38" w:line="237" w:lineRule="auto"/>
              <w:ind w:left="111" w:right="107" w:firstLine="1"/>
              <w:jc w:val="both"/>
              <w:rPr>
                <w:rFonts w:hint="eastAsia" w:ascii="宋体" w:hAnsi="宋体" w:eastAsia="宋体" w:cs="宋体"/>
                <w:color w:val="000000"/>
                <w:sz w:val="24"/>
                <w:szCs w:val="24"/>
                <w:highlight w:val="none"/>
              </w:rPr>
            </w:pPr>
            <w:r>
              <w:rPr>
                <w:rFonts w:ascii="宋体" w:hAnsi="宋体" w:eastAsia="宋体" w:cs="宋体"/>
                <w:color w:val="000000"/>
                <w:spacing w:val="15"/>
                <w:sz w:val="24"/>
                <w:szCs w:val="24"/>
                <w:highlight w:val="none"/>
              </w:rPr>
              <w:t>本</w:t>
            </w:r>
            <w:r>
              <w:rPr>
                <w:rFonts w:ascii="宋体" w:hAnsi="宋体" w:eastAsia="宋体" w:cs="宋体"/>
                <w:color w:val="000000"/>
                <w:spacing w:val="13"/>
                <w:sz w:val="24"/>
                <w:szCs w:val="24"/>
                <w:highlight w:val="none"/>
              </w:rPr>
              <w:t>项目的特定条</w:t>
            </w:r>
            <w:r>
              <w:rPr>
                <w:rFonts w:ascii="宋体" w:hAnsi="宋体" w:eastAsia="宋体" w:cs="宋体"/>
                <w:color w:val="000000"/>
                <w:sz w:val="24"/>
                <w:szCs w:val="24"/>
                <w:highlight w:val="none"/>
              </w:rPr>
              <w:t xml:space="preserve"> </w:t>
            </w:r>
            <w:r>
              <w:rPr>
                <w:rFonts w:ascii="宋体" w:hAnsi="宋体" w:eastAsia="宋体" w:cs="宋体"/>
                <w:color w:val="000000"/>
                <w:spacing w:val="1"/>
                <w:sz w:val="24"/>
                <w:szCs w:val="24"/>
                <w:highlight w:val="none"/>
              </w:rPr>
              <w:t>件</w:t>
            </w:r>
          </w:p>
        </w:tc>
        <w:tc>
          <w:tcPr>
            <w:tcW w:w="2506" w:type="dxa"/>
            <w:noWrap w:val="0"/>
            <w:vAlign w:val="center"/>
          </w:tcPr>
          <w:p w14:paraId="311F7E40">
            <w:pPr>
              <w:spacing w:before="39" w:line="225" w:lineRule="auto"/>
              <w:ind w:left="119"/>
              <w:jc w:val="both"/>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center"/>
          </w:tcPr>
          <w:p w14:paraId="1AB7511A">
            <w:pPr>
              <w:tabs>
                <w:tab w:val="left" w:pos="1080"/>
              </w:tabs>
              <w:rPr>
                <w:rFonts w:ascii="宋体" w:hAnsi="宋体" w:eastAsia="宋体" w:cs="宋体"/>
                <w:color w:val="000000"/>
                <w:sz w:val="24"/>
                <w:szCs w:val="24"/>
                <w:highlight w:val="none"/>
                <w:lang w:val="en-US" w:eastAsia="zh-CN"/>
              </w:rPr>
            </w:pPr>
          </w:p>
        </w:tc>
      </w:tr>
      <w:tr w14:paraId="24FD3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0" w:hRule="atLeast"/>
        </w:trPr>
        <w:tc>
          <w:tcPr>
            <w:tcW w:w="433" w:type="dxa"/>
            <w:noWrap w:val="0"/>
            <w:vAlign w:val="center"/>
          </w:tcPr>
          <w:p w14:paraId="46D8A2F1">
            <w:pPr>
              <w:spacing w:before="237" w:line="194" w:lineRule="auto"/>
              <w:jc w:val="center"/>
              <w:rPr>
                <w:rFonts w:ascii="Times New Roman" w:hAnsi="Times New Roman" w:eastAsia="宋体" w:cs="Times New Roman"/>
                <w:color w:val="000000"/>
                <w:sz w:val="23"/>
                <w:szCs w:val="23"/>
                <w:highlight w:val="none"/>
                <w:lang w:val="en-US" w:eastAsia="zh-CN"/>
              </w:rPr>
            </w:pPr>
            <w:r>
              <w:rPr>
                <w:rFonts w:hint="eastAsia" w:ascii="Times New Roman" w:hAnsi="Times New Roman" w:eastAsia="宋体" w:cs="Times New Roman"/>
                <w:color w:val="000000"/>
                <w:sz w:val="23"/>
                <w:szCs w:val="23"/>
                <w:highlight w:val="none"/>
                <w:lang w:val="en-US" w:eastAsia="zh-CN"/>
              </w:rPr>
              <w:t>3-1</w:t>
            </w:r>
          </w:p>
        </w:tc>
        <w:tc>
          <w:tcPr>
            <w:tcW w:w="891" w:type="dxa"/>
            <w:noWrap w:val="0"/>
            <w:vAlign w:val="center"/>
          </w:tcPr>
          <w:p w14:paraId="35BF3901">
            <w:pPr>
              <w:spacing w:before="38" w:line="237" w:lineRule="auto"/>
              <w:ind w:left="111" w:right="107" w:firstLine="1"/>
              <w:jc w:val="both"/>
              <w:rPr>
                <w:rFonts w:ascii="宋体" w:hAnsi="宋体" w:eastAsia="宋体" w:cs="宋体"/>
                <w:color w:val="000000"/>
                <w:spacing w:val="15"/>
                <w:sz w:val="24"/>
                <w:szCs w:val="24"/>
                <w:highlight w:val="none"/>
              </w:rPr>
            </w:pPr>
            <w:r>
              <w:rPr>
                <w:sz w:val="24"/>
              </w:rPr>
              <w:t>其他特定资格要求</w:t>
            </w:r>
          </w:p>
        </w:tc>
        <w:tc>
          <w:tcPr>
            <w:tcW w:w="2506" w:type="dxa"/>
            <w:noWrap w:val="0"/>
            <w:vAlign w:val="center"/>
          </w:tcPr>
          <w:p w14:paraId="734F1A39">
            <w:pPr>
              <w:rPr>
                <w:rFonts w:ascii="宋体" w:hAnsi="宋体" w:eastAsia="宋体" w:cs="宋体"/>
                <w:color w:val="000000"/>
                <w:spacing w:val="11"/>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center"/>
          </w:tcPr>
          <w:p w14:paraId="24A8A99F">
            <w:pPr>
              <w:tabs>
                <w:tab w:val="left" w:pos="1080"/>
              </w:tabs>
              <w:rPr>
                <w:rFonts w:hint="eastAsia" w:ascii="宋体" w:hAnsi="宋体" w:eastAsia="宋体" w:cs="宋体"/>
                <w:color w:val="000000"/>
                <w:sz w:val="24"/>
                <w:szCs w:val="24"/>
                <w:highlight w:val="none"/>
                <w:lang w:val="en-US" w:eastAsia="zh-CN"/>
              </w:rPr>
            </w:pPr>
            <w:r>
              <w:rPr>
                <w:sz w:val="24"/>
              </w:rPr>
              <w:t>提供证明文件的电子件或电子证照，供应商若为分支机构，提供总公司授权委托书。</w:t>
            </w:r>
          </w:p>
        </w:tc>
      </w:tr>
    </w:tbl>
    <w:p w14:paraId="594DA2F6">
      <w:pPr>
        <w:widowControl/>
        <w:jc w:val="left"/>
        <w:rPr>
          <w:rFonts w:hint="eastAsia" w:ascii="宋体" w:hAnsi="宋体" w:eastAsia="宋体" w:cs="宋体"/>
          <w:color w:val="000000"/>
          <w:sz w:val="24"/>
          <w:szCs w:val="24"/>
          <w:highlight w:val="none"/>
        </w:rPr>
      </w:pPr>
    </w:p>
    <w:p w14:paraId="546C6EDE">
      <w:pPr>
        <w:widowControl/>
        <w:jc w:val="left"/>
        <w:rPr>
          <w:rFonts w:hint="eastAsia" w:ascii="宋体" w:hAnsi="宋体" w:eastAsia="宋体" w:cs="宋体"/>
          <w:color w:val="000000"/>
          <w:sz w:val="24"/>
          <w:szCs w:val="24"/>
          <w:highlight w:val="none"/>
        </w:rPr>
      </w:pPr>
    </w:p>
    <w:p w14:paraId="6FD6533F">
      <w:pPr>
        <w:widowControl/>
        <w:jc w:val="left"/>
        <w:rPr>
          <w:rFonts w:hint="eastAsia" w:ascii="宋体" w:hAnsi="宋体" w:eastAsia="宋体" w:cs="宋体"/>
          <w:color w:val="000000"/>
          <w:sz w:val="24"/>
          <w:szCs w:val="24"/>
          <w:highlight w:val="none"/>
        </w:rPr>
      </w:pPr>
    </w:p>
    <w:p w14:paraId="4E542026">
      <w:pPr>
        <w:widowControl/>
        <w:jc w:val="left"/>
        <w:rPr>
          <w:rFonts w:hint="eastAsia" w:ascii="宋体" w:hAnsi="宋体" w:eastAsia="宋体" w:cs="宋体"/>
          <w:color w:val="000000"/>
          <w:sz w:val="24"/>
          <w:szCs w:val="24"/>
          <w:highlight w:val="none"/>
        </w:rPr>
      </w:pPr>
    </w:p>
    <w:p w14:paraId="0E33A90B">
      <w:pPr>
        <w:widowControl/>
        <w:jc w:val="left"/>
        <w:rPr>
          <w:rFonts w:hint="eastAsia" w:ascii="宋体" w:hAnsi="宋体" w:eastAsia="宋体" w:cs="宋体"/>
          <w:color w:val="000000"/>
          <w:sz w:val="24"/>
          <w:szCs w:val="24"/>
          <w:highlight w:val="none"/>
        </w:rPr>
      </w:pPr>
    </w:p>
    <w:p w14:paraId="1B9E071E">
      <w:pPr>
        <w:widowControl/>
        <w:jc w:val="left"/>
        <w:rPr>
          <w:rFonts w:hint="eastAsia" w:ascii="宋体" w:hAnsi="宋体" w:eastAsia="宋体" w:cs="宋体"/>
          <w:color w:val="000000"/>
          <w:sz w:val="24"/>
          <w:szCs w:val="24"/>
          <w:highlight w:val="none"/>
        </w:rPr>
      </w:pPr>
    </w:p>
    <w:p w14:paraId="3BD0F134">
      <w:pPr>
        <w:widowControl/>
        <w:jc w:val="left"/>
        <w:rPr>
          <w:rFonts w:hint="eastAsia" w:ascii="宋体" w:hAnsi="宋体" w:eastAsia="宋体" w:cs="宋体"/>
          <w:color w:val="000000"/>
          <w:sz w:val="24"/>
          <w:szCs w:val="24"/>
          <w:highlight w:val="none"/>
        </w:rPr>
      </w:pPr>
    </w:p>
    <w:p w14:paraId="0EB04360">
      <w:pPr>
        <w:widowControl/>
        <w:jc w:val="left"/>
        <w:rPr>
          <w:rFonts w:hint="eastAsia" w:ascii="宋体" w:hAnsi="宋体" w:eastAsia="宋体" w:cs="宋体"/>
          <w:color w:val="000000"/>
          <w:sz w:val="24"/>
          <w:szCs w:val="24"/>
          <w:highlight w:val="none"/>
        </w:rPr>
      </w:pPr>
    </w:p>
    <w:p w14:paraId="484C3209">
      <w:pPr>
        <w:widowControl/>
        <w:jc w:val="left"/>
        <w:rPr>
          <w:rFonts w:hint="eastAsia" w:ascii="宋体" w:hAnsi="宋体" w:eastAsia="宋体" w:cs="宋体"/>
          <w:color w:val="000000"/>
          <w:sz w:val="24"/>
          <w:szCs w:val="24"/>
          <w:highlight w:val="none"/>
        </w:rPr>
      </w:pPr>
    </w:p>
    <w:p w14:paraId="016EEACC">
      <w:pPr>
        <w:widowControl/>
        <w:jc w:val="left"/>
        <w:rPr>
          <w:rFonts w:hint="eastAsia" w:ascii="宋体" w:hAnsi="宋体" w:eastAsia="宋体" w:cs="宋体"/>
          <w:color w:val="000000"/>
          <w:sz w:val="24"/>
          <w:szCs w:val="24"/>
          <w:highlight w:val="none"/>
        </w:rPr>
      </w:pPr>
    </w:p>
    <w:p w14:paraId="4CF25130">
      <w:pPr>
        <w:widowControl/>
        <w:jc w:val="left"/>
        <w:rPr>
          <w:rFonts w:hint="eastAsia" w:ascii="宋体" w:hAnsi="宋体" w:eastAsia="宋体" w:cs="宋体"/>
          <w:color w:val="000000"/>
          <w:sz w:val="24"/>
          <w:szCs w:val="24"/>
          <w:highlight w:val="none"/>
        </w:rPr>
      </w:pPr>
    </w:p>
    <w:p w14:paraId="2D07C987">
      <w:pPr>
        <w:widowControl/>
        <w:jc w:val="left"/>
        <w:rPr>
          <w:rFonts w:hint="eastAsia" w:ascii="宋体" w:hAnsi="宋体" w:eastAsia="宋体" w:cs="宋体"/>
          <w:color w:val="000000"/>
          <w:sz w:val="24"/>
          <w:szCs w:val="24"/>
          <w:highlight w:val="none"/>
        </w:rPr>
      </w:pPr>
    </w:p>
    <w:p w14:paraId="5CA6C7DF">
      <w:pPr>
        <w:widowControl/>
        <w:jc w:val="left"/>
        <w:rPr>
          <w:rFonts w:hint="eastAsia" w:ascii="宋体" w:hAnsi="宋体" w:eastAsia="宋体" w:cs="宋体"/>
          <w:color w:val="000000"/>
          <w:sz w:val="24"/>
          <w:szCs w:val="24"/>
          <w:highlight w:val="none"/>
        </w:rPr>
      </w:pPr>
    </w:p>
    <w:p w14:paraId="15D8EF1A">
      <w:pPr>
        <w:widowControl/>
        <w:jc w:val="left"/>
        <w:rPr>
          <w:rFonts w:hint="eastAsia" w:ascii="宋体" w:hAnsi="宋体" w:eastAsia="宋体" w:cs="宋体"/>
          <w:color w:val="000000"/>
          <w:sz w:val="24"/>
          <w:szCs w:val="24"/>
          <w:highlight w:val="none"/>
        </w:rPr>
      </w:pPr>
    </w:p>
    <w:p w14:paraId="2E41FDD7">
      <w:pPr>
        <w:widowControl/>
        <w:jc w:val="left"/>
        <w:rPr>
          <w:rFonts w:hint="eastAsia" w:ascii="宋体" w:hAnsi="宋体" w:eastAsia="宋体" w:cs="宋体"/>
          <w:color w:val="000000"/>
          <w:sz w:val="24"/>
          <w:szCs w:val="24"/>
          <w:highlight w:val="none"/>
        </w:rPr>
      </w:pPr>
    </w:p>
    <w:p w14:paraId="093BCC6A">
      <w:pPr>
        <w:widowControl/>
        <w:jc w:val="left"/>
        <w:rPr>
          <w:rFonts w:hint="eastAsia" w:ascii="宋体" w:hAnsi="宋体" w:eastAsia="宋体" w:cs="宋体"/>
          <w:color w:val="000000"/>
          <w:sz w:val="24"/>
          <w:szCs w:val="24"/>
          <w:highlight w:val="none"/>
        </w:rPr>
      </w:pPr>
    </w:p>
    <w:p w14:paraId="2ACE6593">
      <w:pPr>
        <w:widowControl/>
        <w:jc w:val="left"/>
        <w:rPr>
          <w:rFonts w:hint="eastAsia" w:ascii="宋体" w:hAnsi="宋体" w:eastAsia="宋体" w:cs="宋体"/>
          <w:color w:val="000000"/>
          <w:sz w:val="24"/>
          <w:szCs w:val="24"/>
          <w:highlight w:val="none"/>
        </w:rPr>
      </w:pPr>
    </w:p>
    <w:p w14:paraId="0FCC8BC5">
      <w:pPr>
        <w:widowControl/>
        <w:jc w:val="left"/>
        <w:rPr>
          <w:rFonts w:hint="eastAsia" w:ascii="宋体" w:hAnsi="宋体" w:eastAsia="宋体" w:cs="宋体"/>
          <w:color w:val="000000"/>
          <w:sz w:val="24"/>
          <w:szCs w:val="24"/>
          <w:highlight w:val="none"/>
        </w:rPr>
      </w:pPr>
    </w:p>
    <w:p w14:paraId="44B1154E">
      <w:pPr>
        <w:widowControl/>
        <w:jc w:val="left"/>
        <w:rPr>
          <w:rFonts w:hint="eastAsia" w:ascii="宋体" w:hAnsi="宋体" w:eastAsia="宋体" w:cs="宋体"/>
          <w:color w:val="000000"/>
          <w:sz w:val="24"/>
          <w:szCs w:val="24"/>
          <w:highlight w:val="none"/>
        </w:rPr>
      </w:pPr>
    </w:p>
    <w:p w14:paraId="2D4E36BD">
      <w:pPr>
        <w:widowControl/>
        <w:jc w:val="left"/>
        <w:rPr>
          <w:rFonts w:hint="eastAsia" w:ascii="宋体" w:hAnsi="宋体" w:eastAsia="宋体" w:cs="宋体"/>
          <w:color w:val="000000"/>
          <w:sz w:val="24"/>
          <w:szCs w:val="24"/>
          <w:highlight w:val="none"/>
        </w:rPr>
      </w:pPr>
    </w:p>
    <w:p w14:paraId="1777676C">
      <w:pPr>
        <w:widowControl/>
        <w:jc w:val="left"/>
        <w:rPr>
          <w:rFonts w:hint="eastAsia" w:ascii="宋体" w:hAnsi="宋体" w:eastAsia="宋体" w:cs="宋体"/>
          <w:color w:val="000000"/>
          <w:sz w:val="24"/>
          <w:szCs w:val="24"/>
          <w:highlight w:val="none"/>
        </w:rPr>
      </w:pPr>
    </w:p>
    <w:p w14:paraId="577B33D3">
      <w:pPr>
        <w:widowControl/>
        <w:jc w:val="left"/>
        <w:rPr>
          <w:rFonts w:hint="eastAsia" w:ascii="宋体" w:hAnsi="宋体" w:eastAsia="宋体" w:cs="宋体"/>
          <w:color w:val="000000"/>
          <w:sz w:val="24"/>
          <w:szCs w:val="24"/>
          <w:highlight w:val="none"/>
        </w:rPr>
      </w:pPr>
    </w:p>
    <w:p w14:paraId="7C7A7B11">
      <w:pPr>
        <w:widowControl/>
        <w:jc w:val="left"/>
        <w:rPr>
          <w:rFonts w:hint="eastAsia" w:ascii="宋体" w:hAnsi="宋体" w:eastAsia="宋体" w:cs="宋体"/>
          <w:color w:val="000000"/>
          <w:sz w:val="24"/>
          <w:szCs w:val="24"/>
          <w:highlight w:val="none"/>
        </w:rPr>
      </w:pPr>
    </w:p>
    <w:p w14:paraId="005F17BD">
      <w:pPr>
        <w:widowControl/>
        <w:jc w:val="left"/>
        <w:rPr>
          <w:rFonts w:hint="eastAsia" w:ascii="宋体" w:hAnsi="宋体" w:eastAsia="宋体" w:cs="宋体"/>
          <w:color w:val="000000"/>
          <w:sz w:val="24"/>
          <w:szCs w:val="24"/>
          <w:highlight w:val="none"/>
        </w:rPr>
      </w:pPr>
    </w:p>
    <w:p w14:paraId="0A6349B8">
      <w:pPr>
        <w:widowControl/>
        <w:jc w:val="left"/>
        <w:rPr>
          <w:rFonts w:hint="eastAsia" w:ascii="宋体" w:hAnsi="宋体" w:eastAsia="宋体" w:cs="宋体"/>
          <w:color w:val="000000"/>
          <w:sz w:val="24"/>
          <w:szCs w:val="24"/>
          <w:highlight w:val="none"/>
        </w:rPr>
      </w:pPr>
    </w:p>
    <w:p w14:paraId="6D1143F0">
      <w:pPr>
        <w:widowControl/>
        <w:jc w:val="left"/>
        <w:rPr>
          <w:rFonts w:hint="eastAsia" w:ascii="宋体" w:hAnsi="宋体" w:eastAsia="宋体" w:cs="宋体"/>
          <w:color w:val="000000"/>
          <w:sz w:val="24"/>
          <w:szCs w:val="24"/>
          <w:highlight w:val="none"/>
        </w:rPr>
      </w:pPr>
    </w:p>
    <w:p w14:paraId="4E9F9BC3">
      <w:pPr>
        <w:widowControl/>
        <w:jc w:val="left"/>
        <w:rPr>
          <w:rFonts w:hint="eastAsia" w:ascii="宋体" w:hAnsi="宋体" w:eastAsia="宋体" w:cs="宋体"/>
          <w:color w:val="000000"/>
          <w:sz w:val="24"/>
          <w:szCs w:val="24"/>
          <w:highlight w:val="none"/>
        </w:rPr>
      </w:pPr>
    </w:p>
    <w:p w14:paraId="0A2204A2">
      <w:pPr>
        <w:widowControl/>
        <w:jc w:val="left"/>
        <w:rPr>
          <w:rFonts w:hint="eastAsia" w:ascii="宋体" w:hAnsi="宋体" w:eastAsia="宋体" w:cs="宋体"/>
          <w:color w:val="000000"/>
          <w:sz w:val="24"/>
          <w:szCs w:val="24"/>
          <w:highlight w:val="none"/>
        </w:rPr>
      </w:pPr>
    </w:p>
    <w:p w14:paraId="07563895">
      <w:pPr>
        <w:widowControl/>
        <w:jc w:val="left"/>
        <w:rPr>
          <w:rFonts w:hint="eastAsia" w:ascii="宋体" w:hAnsi="宋体" w:eastAsia="宋体" w:cs="宋体"/>
          <w:color w:val="000000"/>
          <w:sz w:val="24"/>
          <w:szCs w:val="24"/>
          <w:highlight w:val="none"/>
        </w:rPr>
      </w:pPr>
    </w:p>
    <w:p w14:paraId="6C2958E0">
      <w:pPr>
        <w:widowControl/>
        <w:jc w:val="left"/>
        <w:rPr>
          <w:rFonts w:hint="eastAsia" w:ascii="宋体" w:hAnsi="宋体" w:eastAsia="宋体" w:cs="宋体"/>
          <w:color w:val="000000"/>
          <w:sz w:val="24"/>
          <w:szCs w:val="24"/>
          <w:highlight w:val="none"/>
        </w:rPr>
      </w:pPr>
    </w:p>
    <w:p w14:paraId="3725D9E1">
      <w:pPr>
        <w:widowControl/>
        <w:jc w:val="left"/>
        <w:rPr>
          <w:rFonts w:hint="eastAsia" w:ascii="宋体" w:hAnsi="宋体" w:eastAsia="宋体" w:cs="宋体"/>
          <w:color w:val="000000"/>
          <w:sz w:val="24"/>
          <w:szCs w:val="24"/>
          <w:highlight w:val="none"/>
        </w:rPr>
      </w:pPr>
    </w:p>
    <w:p w14:paraId="5496E4FF">
      <w:pPr>
        <w:spacing w:line="360" w:lineRule="auto"/>
        <w:jc w:val="center"/>
        <w:outlineLvl w:val="0"/>
        <w:rPr>
          <w:rFonts w:hint="eastAsia" w:ascii="宋体" w:hAnsi="宋体" w:eastAsia="宋体" w:cs="宋体"/>
          <w:b/>
          <w:color w:val="000000"/>
          <w:sz w:val="24"/>
          <w:szCs w:val="24"/>
          <w:highlight w:val="none"/>
        </w:rPr>
      </w:pPr>
      <w:bookmarkStart w:id="730" w:name="_Toc99301423"/>
      <w:r>
        <w:rPr>
          <w:rFonts w:hint="eastAsia" w:ascii="宋体" w:hAnsi="宋体" w:eastAsia="宋体" w:cs="宋体"/>
          <w:b/>
          <w:color w:val="000000"/>
          <w:sz w:val="24"/>
          <w:szCs w:val="24"/>
          <w:highlight w:val="none"/>
        </w:rPr>
        <w:t xml:space="preserve">第四章   </w:t>
      </w:r>
      <w:bookmarkStart w:id="731" w:name="_Hlt164229061"/>
      <w:bookmarkEnd w:id="731"/>
      <w:r>
        <w:rPr>
          <w:rFonts w:hint="eastAsia" w:ascii="宋体" w:hAnsi="宋体" w:eastAsia="宋体" w:cs="宋体"/>
          <w:b/>
          <w:color w:val="000000"/>
          <w:sz w:val="24"/>
          <w:szCs w:val="24"/>
          <w:highlight w:val="none"/>
        </w:rPr>
        <w:t>评标程序、评标方法和评标标准</w:t>
      </w:r>
      <w:bookmarkEnd w:id="730"/>
    </w:p>
    <w:p w14:paraId="0507A12B">
      <w:pPr>
        <w:tabs>
          <w:tab w:val="left" w:pos="360"/>
          <w:tab w:val="left" w:pos="900"/>
        </w:tabs>
        <w:spacing w:line="360" w:lineRule="auto"/>
        <w:jc w:val="center"/>
        <w:outlineLvl w:val="1"/>
        <w:rPr>
          <w:rFonts w:hint="eastAsia" w:ascii="宋体" w:hAnsi="宋体" w:eastAsia="宋体" w:cs="宋体"/>
          <w:b/>
          <w:color w:val="000000"/>
          <w:highlight w:val="none"/>
        </w:rPr>
      </w:pPr>
      <w:r>
        <w:rPr>
          <w:rFonts w:hint="eastAsia" w:ascii="宋体" w:hAnsi="宋体" w:eastAsia="宋体" w:cs="宋体"/>
          <w:b/>
          <w:color w:val="000000"/>
          <w:sz w:val="24"/>
          <w:highlight w:val="none"/>
        </w:rPr>
        <w:t>一、评标程序</w:t>
      </w:r>
    </w:p>
    <w:p w14:paraId="327B20B3">
      <w:pPr>
        <w:numPr>
          <w:ilvl w:val="0"/>
          <w:numId w:val="12"/>
        </w:numPr>
        <w:tabs>
          <w:tab w:val="left" w:pos="360"/>
        </w:tabs>
        <w:spacing w:line="360" w:lineRule="auto"/>
        <w:outlineLvl w:val="1"/>
        <w:rPr>
          <w:rFonts w:hint="eastAsia" w:ascii="宋体" w:hAnsi="宋体" w:eastAsia="宋体" w:cs="宋体"/>
          <w:color w:val="000000"/>
          <w:sz w:val="24"/>
          <w:highlight w:val="none"/>
        </w:rPr>
      </w:pPr>
      <w:bookmarkStart w:id="732" w:name="_Toc150509292"/>
      <w:bookmarkStart w:id="733" w:name="_Toc195842906"/>
      <w:bookmarkStart w:id="734" w:name="_Toc226337237"/>
      <w:bookmarkStart w:id="735" w:name="_Toc151193855"/>
      <w:bookmarkStart w:id="736" w:name="_Toc149720834"/>
      <w:bookmarkStart w:id="737" w:name="_Toc127151742"/>
      <w:bookmarkStart w:id="738" w:name="_Toc151193711"/>
      <w:bookmarkStart w:id="739" w:name="_Toc164351635"/>
      <w:bookmarkStart w:id="740" w:name="_Toc265228379"/>
      <w:bookmarkStart w:id="741" w:name="_Toc142311043"/>
      <w:bookmarkStart w:id="742" w:name="_Toc150480779"/>
      <w:bookmarkStart w:id="743" w:name="_Toc151193783"/>
      <w:bookmarkStart w:id="744" w:name="_Toc127161455"/>
      <w:bookmarkStart w:id="745" w:name="_Toc127151541"/>
      <w:bookmarkStart w:id="746" w:name="_Toc164608810"/>
      <w:bookmarkStart w:id="747" w:name="_Toc164229236"/>
      <w:bookmarkStart w:id="748" w:name="_Toc151190168"/>
      <w:bookmarkStart w:id="749" w:name="_Toc150774746"/>
      <w:bookmarkStart w:id="750" w:name="_Toc151193929"/>
      <w:bookmarkStart w:id="751" w:name="_Toc164608655"/>
      <w:bookmarkStart w:id="752" w:name="_Toc264969231"/>
      <w:bookmarkStart w:id="753" w:name="_Toc305158809"/>
      <w:bookmarkStart w:id="754" w:name="_Toc226965814"/>
      <w:bookmarkStart w:id="755" w:name="_Toc226965731"/>
      <w:bookmarkStart w:id="756" w:name="_Toc150774641"/>
      <w:bookmarkStart w:id="757" w:name="_Toc305158883"/>
      <w:bookmarkStart w:id="758" w:name="_Toc226309785"/>
      <w:bookmarkStart w:id="759" w:name="_Toc164229382"/>
      <w:bookmarkStart w:id="760" w:name="_Toc151193639"/>
      <w:r>
        <w:rPr>
          <w:rFonts w:hint="eastAsia" w:ascii="宋体" w:hAnsi="宋体" w:eastAsia="宋体" w:cs="宋体"/>
          <w:color w:val="000000"/>
          <w:sz w:val="24"/>
          <w:highlight w:val="none"/>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456D0CF0">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评标委员会对资格审查合格的投标人的投标文件进行符合性审查，以确定其是否满足招标文件的实质性要求。</w:t>
      </w:r>
      <w:bookmarkStart w:id="761" w:name="_Toc520356167"/>
    </w:p>
    <w:p w14:paraId="780D6DEF">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61"/>
      <w:r>
        <w:rPr>
          <w:rFonts w:hint="eastAsia" w:ascii="宋体" w:hAnsi="宋体" w:eastAsia="宋体" w:cs="宋体"/>
          <w:color w:val="000000"/>
          <w:sz w:val="24"/>
          <w:highlight w:val="none"/>
        </w:rPr>
        <w:t>要求的，</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4491E2BE">
      <w:pPr>
        <w:widowControl/>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符合性审查要求</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14:paraId="33E1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40" w:type="dxa"/>
            <w:noWrap w:val="0"/>
            <w:vAlign w:val="center"/>
          </w:tcPr>
          <w:p w14:paraId="372B672C">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1794" w:type="dxa"/>
            <w:noWrap w:val="0"/>
            <w:vAlign w:val="center"/>
          </w:tcPr>
          <w:p w14:paraId="23AB9B91">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审查因素</w:t>
            </w:r>
          </w:p>
        </w:tc>
        <w:tc>
          <w:tcPr>
            <w:tcW w:w="6654" w:type="dxa"/>
            <w:noWrap w:val="0"/>
            <w:vAlign w:val="center"/>
          </w:tcPr>
          <w:p w14:paraId="17D4C1AF">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审查内容</w:t>
            </w:r>
          </w:p>
        </w:tc>
      </w:tr>
      <w:tr w14:paraId="7625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2AE1FE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794" w:type="dxa"/>
            <w:noWrap w:val="0"/>
            <w:vAlign w:val="center"/>
          </w:tcPr>
          <w:p w14:paraId="78974F1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投标函、法定代表人资格证明书和政府采购供应商信用承诺书</w:t>
            </w:r>
          </w:p>
        </w:tc>
        <w:tc>
          <w:tcPr>
            <w:tcW w:w="6654" w:type="dxa"/>
            <w:noWrap w:val="0"/>
            <w:vAlign w:val="center"/>
          </w:tcPr>
          <w:p w14:paraId="1681596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按招标文件要求提供投标函、法定代表人资格证明书和政府采购供应商信用承诺书；</w:t>
            </w:r>
          </w:p>
        </w:tc>
      </w:tr>
      <w:tr w14:paraId="1E391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6A649F69">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1794" w:type="dxa"/>
            <w:noWrap w:val="0"/>
            <w:vAlign w:val="center"/>
          </w:tcPr>
          <w:p w14:paraId="388CD68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投标完整性</w:t>
            </w:r>
          </w:p>
        </w:tc>
        <w:tc>
          <w:tcPr>
            <w:tcW w:w="6654" w:type="dxa"/>
            <w:noWrap w:val="0"/>
            <w:vAlign w:val="center"/>
          </w:tcPr>
          <w:p w14:paraId="7750C96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未将一个采购包中的内容拆开投标；</w:t>
            </w:r>
          </w:p>
        </w:tc>
      </w:tr>
      <w:tr w14:paraId="056E5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AE9A3D8">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1794" w:type="dxa"/>
            <w:noWrap w:val="0"/>
            <w:vAlign w:val="center"/>
          </w:tcPr>
          <w:p w14:paraId="5EF15C21">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w:t>
            </w:r>
          </w:p>
        </w:tc>
        <w:tc>
          <w:tcPr>
            <w:tcW w:w="6654" w:type="dxa"/>
            <w:noWrap w:val="0"/>
            <w:vAlign w:val="center"/>
          </w:tcPr>
          <w:p w14:paraId="7238BF6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投标报价未超过招标文件中规定的项目/采购包预算金额或者项目/采购包最高限价；</w:t>
            </w:r>
          </w:p>
        </w:tc>
      </w:tr>
      <w:tr w14:paraId="06303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23319F5C">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1794" w:type="dxa"/>
            <w:noWrap w:val="0"/>
            <w:vAlign w:val="center"/>
          </w:tcPr>
          <w:p w14:paraId="1B8F170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报价唯一性</w:t>
            </w:r>
          </w:p>
        </w:tc>
        <w:tc>
          <w:tcPr>
            <w:tcW w:w="6654" w:type="dxa"/>
            <w:noWrap w:val="0"/>
            <w:vAlign w:val="center"/>
          </w:tcPr>
          <w:p w14:paraId="5CCFF31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投标文件未出现可选择性或可调整的报价（招标文件另有规定的除外）；</w:t>
            </w:r>
          </w:p>
        </w:tc>
      </w:tr>
      <w:tr w14:paraId="48BAE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735D5697">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p>
        </w:tc>
        <w:tc>
          <w:tcPr>
            <w:tcW w:w="1794" w:type="dxa"/>
            <w:noWrap w:val="0"/>
            <w:vAlign w:val="center"/>
          </w:tcPr>
          <w:p w14:paraId="68EBB32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投标有效期</w:t>
            </w:r>
          </w:p>
        </w:tc>
        <w:tc>
          <w:tcPr>
            <w:tcW w:w="6654" w:type="dxa"/>
            <w:noWrap w:val="0"/>
            <w:vAlign w:val="center"/>
          </w:tcPr>
          <w:p w14:paraId="2E8C067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投标文件中承诺的投标有效期满足招标文件中载明的投标有效期的；</w:t>
            </w:r>
          </w:p>
        </w:tc>
      </w:tr>
      <w:tr w14:paraId="7AFAE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EA64BB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p>
        </w:tc>
        <w:tc>
          <w:tcPr>
            <w:tcW w:w="1794" w:type="dxa"/>
            <w:noWrap w:val="0"/>
            <w:vAlign w:val="center"/>
          </w:tcPr>
          <w:p w14:paraId="4F1AAA3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签署、加盖公章</w:t>
            </w:r>
          </w:p>
        </w:tc>
        <w:tc>
          <w:tcPr>
            <w:tcW w:w="6654" w:type="dxa"/>
            <w:noWrap w:val="0"/>
            <w:vAlign w:val="center"/>
          </w:tcPr>
          <w:p w14:paraId="13ECFA3B">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按照招标文件要求签署、加盖公章的；</w:t>
            </w:r>
          </w:p>
        </w:tc>
      </w:tr>
      <w:tr w14:paraId="7B2C7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BA52EA6">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7</w:t>
            </w:r>
          </w:p>
        </w:tc>
        <w:tc>
          <w:tcPr>
            <w:tcW w:w="1794" w:type="dxa"/>
            <w:noWrap w:val="0"/>
            <w:vAlign w:val="center"/>
          </w:tcPr>
          <w:p w14:paraId="74C46C6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实质性格式</w:t>
            </w:r>
          </w:p>
        </w:tc>
        <w:tc>
          <w:tcPr>
            <w:tcW w:w="6654" w:type="dxa"/>
            <w:noWrap w:val="0"/>
            <w:vAlign w:val="center"/>
          </w:tcPr>
          <w:p w14:paraId="650BE60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标记为“实质性格式”的文件均按招标文件要求提供；</w:t>
            </w:r>
          </w:p>
        </w:tc>
      </w:tr>
      <w:tr w14:paraId="44247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D98D61F">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8</w:t>
            </w:r>
          </w:p>
        </w:tc>
        <w:tc>
          <w:tcPr>
            <w:tcW w:w="1794" w:type="dxa"/>
            <w:noWrap w:val="0"/>
            <w:vAlign w:val="center"/>
          </w:tcPr>
          <w:p w14:paraId="6977E7B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★号条款响应</w:t>
            </w:r>
          </w:p>
        </w:tc>
        <w:tc>
          <w:tcPr>
            <w:tcW w:w="6654" w:type="dxa"/>
            <w:noWrap w:val="0"/>
            <w:vAlign w:val="center"/>
          </w:tcPr>
          <w:p w14:paraId="52C16669">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投标文件满足招标文件第五章《采购需求》中★号条款要求的；</w:t>
            </w:r>
          </w:p>
        </w:tc>
      </w:tr>
      <w:tr w14:paraId="60D62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894243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9</w:t>
            </w:r>
          </w:p>
        </w:tc>
        <w:tc>
          <w:tcPr>
            <w:tcW w:w="1794" w:type="dxa"/>
            <w:noWrap w:val="0"/>
            <w:vAlign w:val="center"/>
          </w:tcPr>
          <w:p w14:paraId="3C4B795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分包承担主体资质（如有）</w:t>
            </w:r>
          </w:p>
        </w:tc>
        <w:tc>
          <w:tcPr>
            <w:tcW w:w="6654" w:type="dxa"/>
            <w:noWrap w:val="0"/>
            <w:vAlign w:val="center"/>
          </w:tcPr>
          <w:p w14:paraId="7685DE1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分包承担主体具备《投标人须知资料表》载明的资质条件且提供了资质证书电子件（如有）；</w:t>
            </w:r>
          </w:p>
        </w:tc>
      </w:tr>
      <w:tr w14:paraId="2023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B449DE0">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10</w:t>
            </w:r>
          </w:p>
        </w:tc>
        <w:tc>
          <w:tcPr>
            <w:tcW w:w="1794" w:type="dxa"/>
            <w:noWrap w:val="0"/>
            <w:vAlign w:val="center"/>
          </w:tcPr>
          <w:p w14:paraId="7361C6A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分包意向协议</w:t>
            </w:r>
          </w:p>
          <w:p w14:paraId="2100E6A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（如有）</w:t>
            </w:r>
          </w:p>
        </w:tc>
        <w:tc>
          <w:tcPr>
            <w:tcW w:w="6654" w:type="dxa"/>
            <w:noWrap w:val="0"/>
            <w:vAlign w:val="center"/>
          </w:tcPr>
          <w:p w14:paraId="51DCC5CD">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按招标文件规定签订并提供分包意向协议原件的电子件的；（如有）</w:t>
            </w:r>
          </w:p>
        </w:tc>
      </w:tr>
      <w:tr w14:paraId="02839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215D59A">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1794" w:type="dxa"/>
            <w:noWrap w:val="0"/>
            <w:vAlign w:val="center"/>
          </w:tcPr>
          <w:p w14:paraId="60298982">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报价的修正（如有）</w:t>
            </w:r>
          </w:p>
        </w:tc>
        <w:tc>
          <w:tcPr>
            <w:tcW w:w="6654" w:type="dxa"/>
            <w:noWrap w:val="0"/>
            <w:vAlign w:val="center"/>
          </w:tcPr>
          <w:p w14:paraId="3B63F7B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不涉及报价修正，或投标文件报价出现前后不一致时，投标人对修正后的报价予以确认；（如有）</w:t>
            </w:r>
          </w:p>
        </w:tc>
      </w:tr>
      <w:tr w14:paraId="437B8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8" w:hRule="atLeast"/>
          <w:jc w:val="center"/>
        </w:trPr>
        <w:tc>
          <w:tcPr>
            <w:tcW w:w="840" w:type="dxa"/>
            <w:noWrap w:val="0"/>
            <w:vAlign w:val="center"/>
          </w:tcPr>
          <w:p w14:paraId="564F1CDA">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12</w:t>
            </w:r>
          </w:p>
        </w:tc>
        <w:tc>
          <w:tcPr>
            <w:tcW w:w="1794" w:type="dxa"/>
            <w:noWrap w:val="0"/>
            <w:vAlign w:val="center"/>
          </w:tcPr>
          <w:p w14:paraId="2FE6282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报价合理性</w:t>
            </w:r>
          </w:p>
        </w:tc>
        <w:tc>
          <w:tcPr>
            <w:tcW w:w="6654" w:type="dxa"/>
            <w:noWrap w:val="0"/>
            <w:vAlign w:val="center"/>
          </w:tcPr>
          <w:p w14:paraId="2265DCB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报价合理，或投标人的报价明显低于其他通过符合性审查投标人的报价，有可能影响产品质量或者不能诚信履约的，能够应评标委员会要求在规定时间内证明其报价合理性的；</w:t>
            </w:r>
          </w:p>
        </w:tc>
      </w:tr>
      <w:tr w14:paraId="2C6D4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604C8A05">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13</w:t>
            </w:r>
          </w:p>
        </w:tc>
        <w:tc>
          <w:tcPr>
            <w:tcW w:w="1794" w:type="dxa"/>
            <w:noWrap w:val="0"/>
            <w:vAlign w:val="center"/>
          </w:tcPr>
          <w:p w14:paraId="641D836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进口产品</w:t>
            </w:r>
          </w:p>
          <w:p w14:paraId="0C86539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（如有）</w:t>
            </w:r>
          </w:p>
        </w:tc>
        <w:tc>
          <w:tcPr>
            <w:tcW w:w="6654" w:type="dxa"/>
            <w:noWrap w:val="0"/>
            <w:vAlign w:val="center"/>
          </w:tcPr>
          <w:p w14:paraId="4581067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招标文件不接受进口产品投标的内容时，投标人所投产品非进口产品的；</w:t>
            </w:r>
          </w:p>
        </w:tc>
      </w:tr>
      <w:tr w14:paraId="4CA1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7C91F8D">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14</w:t>
            </w:r>
          </w:p>
        </w:tc>
        <w:tc>
          <w:tcPr>
            <w:tcW w:w="1794" w:type="dxa"/>
            <w:noWrap w:val="0"/>
            <w:vAlign w:val="center"/>
          </w:tcPr>
          <w:p w14:paraId="72C11C3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国家有关部门对投标人的投标产品有强制性规定或要求的</w:t>
            </w:r>
          </w:p>
        </w:tc>
        <w:tc>
          <w:tcPr>
            <w:tcW w:w="6654" w:type="dxa"/>
            <w:noWrap w:val="0"/>
            <w:vAlign w:val="center"/>
          </w:tcPr>
          <w:p w14:paraId="03566FA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国家有关部门对投标人的投标产品有强制性规定或要求的（如相应技术、安全、节能和环保等），如有下列情形的，投标人的投标产品应符合相应规定或要求，并提供证明文件电子件：</w:t>
            </w:r>
          </w:p>
          <w:p w14:paraId="1122930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1）采购的产品若属于《节能产品政府采购品目清单》范围中政府强制采购产品，则投标人所报产品必须获得国家确定的认证机构出具的、处于有效期之内的节能产品认证证书；</w:t>
            </w:r>
          </w:p>
          <w:p w14:paraId="172FC9A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2）投标产品如有属于开展国家信息安全产品认证产品范围的，须提供由中国网络安全审查技术与认证中心（原中国信息安全认证中心）按国家标准认证颁发的有效认证证书等）；</w:t>
            </w:r>
          </w:p>
          <w:p w14:paraId="0E78BE6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68FDA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91E2EA5">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15</w:t>
            </w:r>
          </w:p>
        </w:tc>
        <w:tc>
          <w:tcPr>
            <w:tcW w:w="1794" w:type="dxa"/>
            <w:noWrap w:val="0"/>
            <w:vAlign w:val="center"/>
          </w:tcPr>
          <w:p w14:paraId="0489C1D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公平竞争</w:t>
            </w:r>
          </w:p>
        </w:tc>
        <w:tc>
          <w:tcPr>
            <w:tcW w:w="6654" w:type="dxa"/>
            <w:noWrap w:val="0"/>
            <w:vAlign w:val="center"/>
          </w:tcPr>
          <w:p w14:paraId="10FF836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投标人遵循公平竞争的原则，不存在恶意串通，妨碍其他投标人的竞争行为，不存在损害采购人或者其他投标人的合法权益情形的；</w:t>
            </w:r>
          </w:p>
        </w:tc>
      </w:tr>
      <w:tr w14:paraId="01926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D03BF54">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16</w:t>
            </w:r>
          </w:p>
        </w:tc>
        <w:tc>
          <w:tcPr>
            <w:tcW w:w="1794" w:type="dxa"/>
            <w:noWrap w:val="0"/>
            <w:vAlign w:val="center"/>
          </w:tcPr>
          <w:p w14:paraId="2846B31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串通投标</w:t>
            </w:r>
          </w:p>
        </w:tc>
        <w:tc>
          <w:tcPr>
            <w:tcW w:w="6654" w:type="dxa"/>
            <w:noWrap w:val="0"/>
            <w:vAlign w:val="center"/>
          </w:tcPr>
          <w:p w14:paraId="186D28F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性差异；（五）不同投标人的投标文件相互混装；（六）不同投标人的投标保证金从同一单位或者个人的账户转出；（由评委审查，无需供应商提供材料）</w:t>
            </w:r>
          </w:p>
        </w:tc>
      </w:tr>
      <w:tr w14:paraId="7EFE9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56F242C">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17</w:t>
            </w:r>
          </w:p>
        </w:tc>
        <w:tc>
          <w:tcPr>
            <w:tcW w:w="1794" w:type="dxa"/>
            <w:noWrap w:val="0"/>
            <w:vAlign w:val="center"/>
          </w:tcPr>
          <w:p w14:paraId="5E70EBD9">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附加条件</w:t>
            </w:r>
          </w:p>
        </w:tc>
        <w:tc>
          <w:tcPr>
            <w:tcW w:w="6654" w:type="dxa"/>
            <w:noWrap w:val="0"/>
            <w:vAlign w:val="center"/>
          </w:tcPr>
          <w:p w14:paraId="3796927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投标文件未含有采购人不能接受的附加条件的；</w:t>
            </w:r>
          </w:p>
        </w:tc>
      </w:tr>
      <w:tr w14:paraId="5115D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EBD1D09">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18</w:t>
            </w:r>
          </w:p>
        </w:tc>
        <w:tc>
          <w:tcPr>
            <w:tcW w:w="1794" w:type="dxa"/>
            <w:noWrap w:val="0"/>
            <w:vAlign w:val="center"/>
          </w:tcPr>
          <w:p w14:paraId="5D133F6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其他无效情形</w:t>
            </w:r>
          </w:p>
        </w:tc>
        <w:tc>
          <w:tcPr>
            <w:tcW w:w="6654" w:type="dxa"/>
            <w:noWrap w:val="0"/>
            <w:vAlign w:val="center"/>
          </w:tcPr>
          <w:p w14:paraId="175C42FA">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投标人、投标文件不存在不符合法律、法规和招标文件规定的其他无效情形。</w:t>
            </w:r>
          </w:p>
        </w:tc>
      </w:tr>
    </w:tbl>
    <w:p w14:paraId="0B545E83">
      <w:pPr>
        <w:widowControl/>
        <w:spacing w:line="360" w:lineRule="auto"/>
        <w:jc w:val="both"/>
        <w:rPr>
          <w:rFonts w:hint="eastAsia" w:ascii="宋体" w:hAnsi="宋体" w:eastAsia="宋体" w:cs="宋体"/>
          <w:b/>
          <w:color w:val="000000"/>
          <w:sz w:val="24"/>
          <w:szCs w:val="24"/>
          <w:highlight w:val="none"/>
        </w:rPr>
      </w:pPr>
    </w:p>
    <w:bookmarkEnd w:id="713"/>
    <w:bookmarkEnd w:id="714"/>
    <w:p w14:paraId="743F2C68">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投标文件有关事项的澄清或者说明</w:t>
      </w:r>
    </w:p>
    <w:p w14:paraId="0E25C4A0">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0A6DDBCB">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无效投标处理</w:t>
      </w:r>
      <w:r>
        <w:rPr>
          <w:rFonts w:hint="eastAsia" w:ascii="宋体" w:hAnsi="宋体" w:eastAsia="宋体" w:cs="宋体"/>
          <w:color w:val="000000"/>
          <w:sz w:val="24"/>
          <w:highlight w:val="none"/>
        </w:rPr>
        <w:t>。</w:t>
      </w:r>
    </w:p>
    <w:p w14:paraId="7F0089A4">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01A23035">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投标文件报价出现前后不一致的，按照下列规定修正：</w:t>
      </w:r>
    </w:p>
    <w:p w14:paraId="1FB663D0">
      <w:pPr>
        <w:numPr>
          <w:ilvl w:val="2"/>
          <w:numId w:val="12"/>
        </w:num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招标文件对于报价修正是否另有规定：</w:t>
      </w:r>
    </w:p>
    <w:p w14:paraId="078CEFCA">
      <w:p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无，按下述2.4.2-2.4.7项规定修正。</w:t>
      </w:r>
    </w:p>
    <w:p w14:paraId="78FA6C6B">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单独递交的开标一览表（报价表）与投标文件中开标一览表（报价表）内容不一致的，以单独递交的开标一览表（报价表）为准；</w:t>
      </w:r>
    </w:p>
    <w:p w14:paraId="1A3CF957">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投标文件中开标一览表（报价表）内容与投标文件中相应内容不一致的，以开标一览表（报价表）为准；</w:t>
      </w:r>
    </w:p>
    <w:p w14:paraId="4911CB95">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大写金额和小写金额不一致的，以大写金额为准；</w:t>
      </w:r>
    </w:p>
    <w:p w14:paraId="07236B6E">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单价金额小数点或者百分比有明显错位的，以开标一览表的总价为准，并修改单价；</w:t>
      </w:r>
    </w:p>
    <w:p w14:paraId="57D68D25">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总价金额与按单价汇总金额不一致的，以单价金额计算结果为准。</w:t>
      </w:r>
    </w:p>
    <w:p w14:paraId="099B5D37">
      <w:pPr>
        <w:numPr>
          <w:ilvl w:val="2"/>
          <w:numId w:val="12"/>
        </w:num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0100D11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落实政府采购政策的价格调整：只有符合第二章《投标人须知》5.2条规定情形的，可以享受中小企业扶持政策，用扣除后的价格参加评审；</w:t>
      </w:r>
      <w:r>
        <w:rPr>
          <w:rFonts w:hint="eastAsia" w:ascii="宋体" w:hAnsi="宋体" w:eastAsia="宋体" w:cs="宋体"/>
          <w:b/>
          <w:color w:val="000000"/>
          <w:sz w:val="24"/>
          <w:highlight w:val="none"/>
        </w:rPr>
        <w:t>如是专门面向中小企业采购的项目，不再执行价格评审优惠的扶持政策</w:t>
      </w:r>
      <w:r>
        <w:rPr>
          <w:rFonts w:hint="eastAsia" w:ascii="宋体" w:hAnsi="宋体" w:eastAsia="宋体" w:cs="宋体"/>
          <w:color w:val="000000"/>
          <w:sz w:val="24"/>
          <w:highlight w:val="none"/>
        </w:rPr>
        <w:t>，</w:t>
      </w:r>
      <w:r>
        <w:rPr>
          <w:rFonts w:hint="eastAsia" w:ascii="宋体" w:hAnsi="宋体" w:eastAsia="宋体" w:cs="宋体"/>
          <w:b/>
          <w:color w:val="000000"/>
          <w:sz w:val="24"/>
          <w:highlight w:val="none"/>
        </w:rPr>
        <w:t>评标时价格不予扣除。</w:t>
      </w:r>
    </w:p>
    <w:p w14:paraId="21A1D9BA">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对于未预留份额专门面向中小企业采购的采购项目，以及预留份额项目中的非预留部分采购包，对</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报价给予</w:t>
      </w:r>
      <w:r>
        <w:rPr>
          <w:rFonts w:hint="eastAsia" w:ascii="宋体" w:hAnsi="宋体" w:eastAsia="宋体" w:cs="宋体"/>
          <w:color w:val="000000"/>
          <w:sz w:val="24"/>
          <w:highlight w:val="none"/>
          <w:u w:val="single"/>
        </w:rPr>
        <w:t>20</w:t>
      </w:r>
      <w:r>
        <w:rPr>
          <w:rFonts w:hint="eastAsia" w:ascii="宋体" w:hAnsi="宋体" w:eastAsia="宋体" w:cs="宋体"/>
          <w:color w:val="000000"/>
          <w:sz w:val="24"/>
          <w:highlight w:val="none"/>
        </w:rPr>
        <w:t>%的扣除，用扣除后的价格参加评审。</w:t>
      </w:r>
    </w:p>
    <w:p w14:paraId="0BBCE542">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组成联合体或者允许大中型企业向一家或者多家</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分包的采购项目，对于联合协议或者分包意向协议约定</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的合同份额占到合同总金额 30%以上的联合体或者大中型企业的报价给予</w:t>
      </w:r>
      <w:r>
        <w:rPr>
          <w:rFonts w:hint="eastAsia" w:ascii="宋体" w:hAnsi="宋体" w:eastAsia="宋体" w:cs="宋体"/>
          <w:color w:val="000000"/>
          <w:sz w:val="24"/>
          <w:highlight w:val="none"/>
          <w:u w:val="single"/>
        </w:rPr>
        <w:t>6</w:t>
      </w:r>
      <w:r>
        <w:rPr>
          <w:rFonts w:hint="eastAsia" w:ascii="宋体" w:hAnsi="宋体" w:eastAsia="宋体" w:cs="宋体"/>
          <w:color w:val="000000"/>
          <w:sz w:val="24"/>
          <w:highlight w:val="none"/>
        </w:rPr>
        <w:t>%的扣除，用扣除后的价格参加评审。</w:t>
      </w:r>
    </w:p>
    <w:p w14:paraId="34759CD8">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组成联合体或者接受分包的小微企业与联合体内其他企业、分包企业之间存在直接控股、管理关系的，不享受价格扣除优惠政策。</w:t>
      </w:r>
    </w:p>
    <w:p w14:paraId="212EBF55">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价格扣除比例对小型企业和微型企业同等对待，不作区分。</w:t>
      </w:r>
    </w:p>
    <w:p w14:paraId="22DA2F9D">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中小企业参加政府采购活动，应当按照招标文件给定的格式出具《中小企业声明函》，否则不得享受相关中小企业扶持政策。</w:t>
      </w:r>
    </w:p>
    <w:p w14:paraId="34E15201">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监狱企业提供了由省级以上监狱管理局（常州市含教育矫治局）、戒毒管理局（含新疆生产建设兵团）出具的属于监狱企业的证明文件的，视同小微企业。</w:t>
      </w:r>
    </w:p>
    <w:p w14:paraId="193369EA">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残疾人福利性单位按招标文件要求提供了《残疾人福利性单位声明函》（见附件）的，视同小微企业。</w:t>
      </w:r>
    </w:p>
    <w:p w14:paraId="5E3BB96F">
      <w:pPr>
        <w:numPr>
          <w:ilvl w:val="2"/>
          <w:numId w:val="12"/>
        </w:numPr>
        <w:tabs>
          <w:tab w:val="left" w:pos="1080"/>
          <w:tab w:val="left" w:pos="1589"/>
          <w:tab w:val="left" w:pos="20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若投标人同时属于小型或微型企业、监狱企业、残疾人福利性单位中的两种及以上，将不重复享受小微企业价格扣减的优惠政策。</w:t>
      </w:r>
    </w:p>
    <w:p w14:paraId="447C2EB1">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投标文件的比较和评价</w:t>
      </w:r>
    </w:p>
    <w:p w14:paraId="035C2802">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3E717C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评标方法和评标标准</w:t>
      </w:r>
    </w:p>
    <w:p w14:paraId="5FC42226">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本项目采用的评标方法为：</w:t>
      </w:r>
    </w:p>
    <w:p w14:paraId="07459A05">
      <w:pPr>
        <w:tabs>
          <w:tab w:val="left" w:pos="900"/>
          <w:tab w:val="left" w:pos="1589"/>
          <w:tab w:val="left" w:pos="1701"/>
        </w:tabs>
        <w:spacing w:line="360" w:lineRule="auto"/>
        <w:ind w:left="1985"/>
        <w:rPr>
          <w:rFonts w:hint="eastAsia" w:ascii="宋体" w:hAnsi="宋体" w:eastAsia="宋体" w:cs="宋体"/>
          <w:color w:val="000000"/>
          <w:sz w:val="24"/>
          <w:highlight w:val="none"/>
        </w:rPr>
      </w:pPr>
      <w:r>
        <w:rPr>
          <w:rFonts w:hint="eastAsia" w:ascii="宋体" w:hAnsi="宋体" w:eastAsia="宋体" w:cs="宋体"/>
          <w:color w:val="000000"/>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01E3302">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000000"/>
          <w:sz w:val="24"/>
          <w:highlight w:val="none"/>
          <w:u w:val="single"/>
        </w:rPr>
        <w:t>见评标标准相关评分项</w:t>
      </w:r>
      <w:r>
        <w:rPr>
          <w:rFonts w:hint="eastAsia" w:ascii="宋体" w:hAnsi="宋体" w:eastAsia="宋体" w:cs="宋体"/>
          <w:color w:val="000000"/>
          <w:sz w:val="24"/>
          <w:highlight w:val="none"/>
        </w:rPr>
        <w:t>。</w:t>
      </w:r>
    </w:p>
    <w:p w14:paraId="5855F654">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关于无线局域网认证产品政府采购清单中的产品，优先采购的具体规定（如涉及）</w:t>
      </w:r>
      <w:r>
        <w:rPr>
          <w:rFonts w:hint="eastAsia" w:ascii="宋体" w:hAnsi="宋体" w:eastAsia="宋体" w:cs="宋体"/>
          <w:color w:val="000000"/>
          <w:sz w:val="24"/>
          <w:highlight w:val="none"/>
          <w:u w:val="single"/>
        </w:rPr>
        <w:t>见评标标准相关评分项</w:t>
      </w:r>
      <w:r>
        <w:rPr>
          <w:rFonts w:hint="eastAsia" w:ascii="宋体" w:hAnsi="宋体" w:eastAsia="宋体" w:cs="宋体"/>
          <w:color w:val="000000"/>
          <w:sz w:val="24"/>
          <w:highlight w:val="none"/>
        </w:rPr>
        <w:t>。</w:t>
      </w:r>
    </w:p>
    <w:p w14:paraId="0594A73A">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确定</w:t>
      </w:r>
      <w:bookmarkStart w:id="762" w:name="_Toc164229241"/>
      <w:bookmarkStart w:id="763" w:name="_Toc151193716"/>
      <w:bookmarkStart w:id="764" w:name="_Toc150774646"/>
      <w:bookmarkStart w:id="765" w:name="_Toc164608815"/>
      <w:bookmarkStart w:id="766" w:name="_Toc195842911"/>
      <w:bookmarkStart w:id="767" w:name="_Toc127151546"/>
      <w:bookmarkStart w:id="768" w:name="_Toc151193644"/>
      <w:bookmarkStart w:id="769" w:name="_Toc149720839"/>
      <w:bookmarkStart w:id="770" w:name="_Toc305158888"/>
      <w:bookmarkStart w:id="771" w:name="_Toc142311048"/>
      <w:bookmarkStart w:id="772" w:name="_Toc520356170"/>
      <w:bookmarkStart w:id="773" w:name="_Toc305158814"/>
      <w:bookmarkStart w:id="774" w:name="_Ref467307010"/>
      <w:bookmarkStart w:id="775" w:name="_Toc151190173"/>
      <w:bookmarkStart w:id="776" w:name="_Toc151193860"/>
      <w:bookmarkStart w:id="777" w:name="_Toc151193934"/>
      <w:bookmarkStart w:id="778" w:name="_Toc127151747"/>
      <w:bookmarkStart w:id="779" w:name="_Toc127161460"/>
      <w:bookmarkStart w:id="780" w:name="_Toc150509297"/>
      <w:bookmarkStart w:id="781" w:name="_Toc226337242"/>
      <w:bookmarkStart w:id="782" w:name="_Toc226965736"/>
      <w:bookmarkStart w:id="783" w:name="_Toc226965819"/>
      <w:bookmarkStart w:id="784" w:name="_Toc226309790"/>
      <w:bookmarkStart w:id="785" w:name="_Toc265228384"/>
      <w:bookmarkStart w:id="786" w:name="_Toc150480784"/>
      <w:bookmarkStart w:id="787" w:name="_Toc164229387"/>
      <w:bookmarkStart w:id="788" w:name="_Toc164351640"/>
      <w:bookmarkStart w:id="789" w:name="_Toc151193788"/>
      <w:bookmarkStart w:id="790" w:name="_Toc264969236"/>
      <w:bookmarkStart w:id="791" w:name="_Toc164608660"/>
      <w:bookmarkStart w:id="792" w:name="_Toc150774751"/>
      <w:r>
        <w:rPr>
          <w:rFonts w:hint="eastAsia" w:ascii="宋体" w:hAnsi="宋体" w:eastAsia="宋体" w:cs="宋体"/>
          <w:color w:val="000000"/>
          <w:sz w:val="24"/>
          <w:highlight w:val="none"/>
        </w:rPr>
        <w:t>中标候选人名单</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114720DA">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F8996D7">
      <w:pPr>
        <w:pStyle w:val="221"/>
        <w:tabs>
          <w:tab w:val="left" w:pos="900"/>
          <w:tab w:val="left" w:pos="2127"/>
        </w:tabs>
        <w:spacing w:line="360" w:lineRule="auto"/>
        <w:ind w:left="993" w:firstLine="1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其他方式，具体要求：</w:t>
      </w:r>
      <w:r>
        <w:rPr>
          <w:rFonts w:hint="eastAsia" w:ascii="宋体" w:hAnsi="宋体" w:eastAsia="宋体" w:cs="宋体"/>
          <w:color w:val="000000"/>
          <w:sz w:val="24"/>
          <w:szCs w:val="24"/>
          <w:highlight w:val="none"/>
          <w:u w:val="single"/>
        </w:rPr>
        <w:t>投标总价最低的</w:t>
      </w:r>
    </w:p>
    <w:p w14:paraId="1100795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E83619C">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D91B968">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评标委员会要对评分汇总情况进行复核，特别是对排名第一的、报价最低的、投标或响应文件被认定为无效的情形进行重点复核。</w:t>
      </w:r>
    </w:p>
    <w:p w14:paraId="5AAB67C4">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评标委员会将根据各投标人的评标排序，依次推荐本项目（各采购包）的中标候选人，起草并签署评标报告。本项目（各采购包）评标委员会共（各）推荐不少于3名中标候选人。</w:t>
      </w:r>
    </w:p>
    <w:p w14:paraId="12947A86">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报告违法行为</w:t>
      </w:r>
    </w:p>
    <w:p w14:paraId="4115668C">
      <w:pPr>
        <w:pStyle w:val="183"/>
        <w:numPr>
          <w:ilvl w:val="0"/>
          <w:numId w:val="13"/>
        </w:numPr>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w:t>
      </w:r>
    </w:p>
    <w:tbl>
      <w:tblPr>
        <w:tblStyle w:val="28"/>
        <w:tblpPr w:leftFromText="180" w:rightFromText="180" w:vertAnchor="text" w:horzAnchor="page" w:tblpX="1313" w:tblpY="522"/>
        <w:tblW w:w="95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330"/>
        <w:gridCol w:w="752"/>
        <w:gridCol w:w="4297"/>
        <w:gridCol w:w="2498"/>
      </w:tblGrid>
      <w:tr w14:paraId="2108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720" w:type="dxa"/>
            <w:noWrap w:val="0"/>
            <w:vAlign w:val="center"/>
          </w:tcPr>
          <w:p w14:paraId="21A6020A">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1330" w:type="dxa"/>
            <w:noWrap w:val="0"/>
            <w:vAlign w:val="center"/>
          </w:tcPr>
          <w:p w14:paraId="14E5C63E">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评分因素</w:t>
            </w:r>
          </w:p>
        </w:tc>
        <w:tc>
          <w:tcPr>
            <w:tcW w:w="752" w:type="dxa"/>
            <w:noWrap w:val="0"/>
            <w:vAlign w:val="center"/>
          </w:tcPr>
          <w:p w14:paraId="40DB39F9">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分值</w:t>
            </w:r>
          </w:p>
        </w:tc>
        <w:tc>
          <w:tcPr>
            <w:tcW w:w="4297" w:type="dxa"/>
            <w:noWrap w:val="0"/>
            <w:vAlign w:val="center"/>
          </w:tcPr>
          <w:p w14:paraId="029C6CEE">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评分标准</w:t>
            </w:r>
          </w:p>
        </w:tc>
        <w:tc>
          <w:tcPr>
            <w:tcW w:w="2498" w:type="dxa"/>
            <w:noWrap w:val="0"/>
            <w:vAlign w:val="center"/>
          </w:tcPr>
          <w:p w14:paraId="25142450">
            <w:pPr>
              <w:pStyle w:val="429"/>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说明</w:t>
            </w:r>
          </w:p>
        </w:tc>
      </w:tr>
      <w:tr w14:paraId="4A91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trPr>
        <w:tc>
          <w:tcPr>
            <w:tcW w:w="720" w:type="dxa"/>
            <w:noWrap w:val="0"/>
            <w:vAlign w:val="center"/>
          </w:tcPr>
          <w:p w14:paraId="21F6F373">
            <w:pPr>
              <w:ind w:firstLine="28"/>
              <w:jc w:val="center"/>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1</w:t>
            </w:r>
          </w:p>
        </w:tc>
        <w:tc>
          <w:tcPr>
            <w:tcW w:w="1330" w:type="dxa"/>
            <w:noWrap w:val="0"/>
            <w:vAlign w:val="center"/>
          </w:tcPr>
          <w:p w14:paraId="0B932FA3">
            <w:pPr>
              <w:ind w:firstLine="28"/>
              <w:jc w:val="center"/>
              <w:rPr>
                <w:rFonts w:hint="eastAsia" w:ascii="宋体" w:hAnsi="宋体" w:eastAsia="宋体" w:cs="宋体"/>
                <w:color w:val="000000"/>
                <w:sz w:val="24"/>
                <w:szCs w:val="24"/>
                <w:highlight w:val="none"/>
              </w:rPr>
            </w:pPr>
            <w:r>
              <w:rPr>
                <w:rFonts w:hint="eastAsia" w:ascii="宋体" w:hAnsi="宋体" w:eastAsia="宋体" w:cs="Times New Roman"/>
                <w:color w:val="000000"/>
                <w:sz w:val="21"/>
                <w:szCs w:val="21"/>
                <w:highlight w:val="none"/>
                <w:lang w:eastAsia="zh-CN"/>
              </w:rPr>
              <w:t>价格分</w:t>
            </w:r>
          </w:p>
        </w:tc>
        <w:tc>
          <w:tcPr>
            <w:tcW w:w="752" w:type="dxa"/>
            <w:noWrap w:val="0"/>
            <w:vAlign w:val="center"/>
          </w:tcPr>
          <w:p w14:paraId="1CAB1278">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4297" w:type="dxa"/>
            <w:noWrap w:val="0"/>
            <w:vAlign w:val="center"/>
          </w:tcPr>
          <w:p w14:paraId="772AEEDD">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固定价格，发生偏离即为无效标</w:t>
            </w:r>
          </w:p>
        </w:tc>
        <w:tc>
          <w:tcPr>
            <w:tcW w:w="2498" w:type="dxa"/>
            <w:noWrap w:val="0"/>
            <w:vAlign w:val="center"/>
          </w:tcPr>
          <w:p w14:paraId="7B545328">
            <w:pPr>
              <w:ind w:left="-38"/>
              <w:rPr>
                <w:rFonts w:hint="eastAsia" w:ascii="宋体" w:hAnsi="宋体" w:eastAsia="宋体" w:cs="宋体"/>
                <w:color w:val="000000"/>
                <w:sz w:val="21"/>
                <w:szCs w:val="21"/>
                <w:highlight w:val="green"/>
              </w:rPr>
            </w:pPr>
          </w:p>
        </w:tc>
      </w:tr>
      <w:tr w14:paraId="6E28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2050" w:type="dxa"/>
            <w:gridSpan w:val="2"/>
            <w:noWrap w:val="0"/>
            <w:vAlign w:val="center"/>
          </w:tcPr>
          <w:p w14:paraId="47C2D6A2">
            <w:pPr>
              <w:numPr>
                <w:ilvl w:val="0"/>
                <w:numId w:val="14"/>
              </w:num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客观分</w:t>
            </w:r>
          </w:p>
        </w:tc>
        <w:tc>
          <w:tcPr>
            <w:tcW w:w="752" w:type="dxa"/>
            <w:noWrap w:val="0"/>
            <w:vAlign w:val="center"/>
          </w:tcPr>
          <w:p w14:paraId="4D02A788">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40</w:t>
            </w:r>
          </w:p>
        </w:tc>
        <w:tc>
          <w:tcPr>
            <w:tcW w:w="6795" w:type="dxa"/>
            <w:gridSpan w:val="2"/>
            <w:noWrap w:val="0"/>
            <w:vAlign w:val="center"/>
          </w:tcPr>
          <w:p w14:paraId="5C3F6ECE">
            <w:pPr>
              <w:ind w:left="-38"/>
              <w:rPr>
                <w:rFonts w:hint="eastAsia" w:ascii="宋体" w:hAnsi="宋体" w:eastAsia="宋体" w:cs="宋体"/>
                <w:color w:val="000000"/>
                <w:sz w:val="21"/>
                <w:szCs w:val="21"/>
                <w:highlight w:val="none"/>
              </w:rPr>
            </w:pPr>
          </w:p>
        </w:tc>
      </w:tr>
      <w:tr w14:paraId="3303C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1A2BBEAA">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w:t>
            </w:r>
          </w:p>
        </w:tc>
        <w:tc>
          <w:tcPr>
            <w:tcW w:w="1330" w:type="dxa"/>
            <w:noWrap w:val="0"/>
            <w:vAlign w:val="center"/>
          </w:tcPr>
          <w:p w14:paraId="4592CA36">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风险综合评级</w:t>
            </w:r>
          </w:p>
        </w:tc>
        <w:tc>
          <w:tcPr>
            <w:tcW w:w="752" w:type="dxa"/>
            <w:noWrap w:val="0"/>
            <w:vAlign w:val="center"/>
          </w:tcPr>
          <w:p w14:paraId="7AE52B01">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12</w:t>
            </w:r>
          </w:p>
        </w:tc>
        <w:tc>
          <w:tcPr>
            <w:tcW w:w="4297" w:type="dxa"/>
            <w:noWrap w:val="0"/>
            <w:vAlign w:val="center"/>
          </w:tcPr>
          <w:p w14:paraId="575EBA37">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按照国家金融监督管理总局要求，投标人所属总公司最近公布的四个季度（2024年四季度至2025年三季度）“风险综合评级”。</w:t>
            </w:r>
          </w:p>
          <w:p w14:paraId="02B89540">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AAA 3分，AA 2分，A 1分，BBB 0.5分，BB及以下不得分。四个季度的评分结果相加，合计分值最高不超过12分。</w:t>
            </w:r>
          </w:p>
        </w:tc>
        <w:tc>
          <w:tcPr>
            <w:tcW w:w="2498" w:type="dxa"/>
            <w:vMerge w:val="restart"/>
            <w:noWrap w:val="0"/>
            <w:vAlign w:val="center"/>
          </w:tcPr>
          <w:p w14:paraId="006D2232">
            <w:pPr>
              <w:widowControl/>
              <w:jc w:val="left"/>
              <w:rPr>
                <w:rFonts w:hint="eastAsia" w:ascii="宋体" w:hAnsi="宋体" w:eastAsia="宋体" w:cs="宋体"/>
                <w:color w:val="000000"/>
                <w:sz w:val="21"/>
                <w:szCs w:val="21"/>
                <w:highlight w:val="none"/>
                <w:lang w:val="en-US" w:eastAsia="zh-CN" w:bidi="ar-SA"/>
              </w:rPr>
            </w:pPr>
            <w:r>
              <w:rPr>
                <w:rFonts w:hint="eastAsia" w:ascii="宋体" w:hAnsi="宋体" w:cs="宋体"/>
                <w:szCs w:val="21"/>
                <w:lang w:val="en-US" w:eastAsia="zh-CN"/>
              </w:rPr>
              <w:t>注：</w:t>
            </w:r>
            <w:r>
              <w:rPr>
                <w:rFonts w:hint="eastAsia" w:ascii="宋体" w:hAnsi="宋体" w:cs="宋体"/>
                <w:szCs w:val="21"/>
              </w:rPr>
              <w:t>提供在中国保险行业协会公布的偿付能力报告中相关部分</w:t>
            </w:r>
          </w:p>
        </w:tc>
      </w:tr>
      <w:tr w14:paraId="4DD53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vMerge w:val="restart"/>
            <w:noWrap w:val="0"/>
            <w:vAlign w:val="center"/>
          </w:tcPr>
          <w:p w14:paraId="103AEE99">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w:t>
            </w:r>
          </w:p>
        </w:tc>
        <w:tc>
          <w:tcPr>
            <w:tcW w:w="1330" w:type="dxa"/>
            <w:vMerge w:val="restart"/>
            <w:noWrap w:val="0"/>
            <w:vAlign w:val="center"/>
          </w:tcPr>
          <w:p w14:paraId="3998C1FF">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偿付能力情况</w:t>
            </w:r>
          </w:p>
        </w:tc>
        <w:tc>
          <w:tcPr>
            <w:tcW w:w="752" w:type="dxa"/>
            <w:noWrap w:val="0"/>
            <w:vAlign w:val="center"/>
          </w:tcPr>
          <w:p w14:paraId="37EE9511">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4297" w:type="dxa"/>
            <w:noWrap w:val="0"/>
            <w:vAlign w:val="center"/>
          </w:tcPr>
          <w:p w14:paraId="7A233DA6">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按照国家金融监督管理总局要求，投标人所属总公司公布的2025年度末（即2025年四季度）的“综合偿付能力充足率”评分。</w:t>
            </w:r>
          </w:p>
          <w:p w14:paraId="5D9D9FE1">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充足率≥174%得6分；169%≤充足率＜174%得3分；充足率＜169%不得分。</w:t>
            </w:r>
          </w:p>
        </w:tc>
        <w:tc>
          <w:tcPr>
            <w:tcW w:w="2498" w:type="dxa"/>
            <w:vMerge w:val="continue"/>
            <w:noWrap w:val="0"/>
            <w:vAlign w:val="center"/>
          </w:tcPr>
          <w:p w14:paraId="78F36AA6">
            <w:pPr>
              <w:widowControl/>
              <w:jc w:val="left"/>
              <w:rPr>
                <w:rFonts w:hint="eastAsia" w:ascii="宋体" w:hAnsi="宋体" w:eastAsia="宋体" w:cs="宋体"/>
                <w:szCs w:val="21"/>
                <w:lang w:val="en-US" w:eastAsia="zh-CN" w:bidi="ar"/>
              </w:rPr>
            </w:pPr>
          </w:p>
        </w:tc>
      </w:tr>
      <w:tr w14:paraId="3CB9C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vMerge w:val="continue"/>
            <w:noWrap w:val="0"/>
            <w:vAlign w:val="center"/>
          </w:tcPr>
          <w:p w14:paraId="17B7090B">
            <w:pPr>
              <w:widowControl/>
              <w:jc w:val="center"/>
              <w:rPr>
                <w:rFonts w:hint="eastAsia" w:ascii="宋体" w:hAnsi="宋体" w:eastAsia="宋体" w:cs="宋体"/>
                <w:color w:val="000000"/>
                <w:sz w:val="24"/>
                <w:szCs w:val="24"/>
                <w:highlight w:val="none"/>
                <w:lang w:val="en-US" w:eastAsia="zh-CN"/>
              </w:rPr>
            </w:pPr>
          </w:p>
        </w:tc>
        <w:tc>
          <w:tcPr>
            <w:tcW w:w="1330" w:type="dxa"/>
            <w:vMerge w:val="continue"/>
            <w:noWrap w:val="0"/>
            <w:vAlign w:val="center"/>
          </w:tcPr>
          <w:p w14:paraId="5ADDA9A2">
            <w:pPr>
              <w:jc w:val="center"/>
              <w:rPr>
                <w:rFonts w:ascii="宋体" w:hAnsi="宋体" w:eastAsia="宋体" w:cs="宋体"/>
                <w:color w:val="000000"/>
                <w:sz w:val="21"/>
                <w:szCs w:val="21"/>
                <w:highlight w:val="none"/>
                <w:lang w:val="en-US" w:eastAsia="zh-CN"/>
              </w:rPr>
            </w:pPr>
          </w:p>
        </w:tc>
        <w:tc>
          <w:tcPr>
            <w:tcW w:w="752" w:type="dxa"/>
            <w:noWrap w:val="0"/>
            <w:vAlign w:val="center"/>
          </w:tcPr>
          <w:p w14:paraId="3906EE63">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4297" w:type="dxa"/>
            <w:noWrap w:val="0"/>
            <w:vAlign w:val="center"/>
          </w:tcPr>
          <w:p w14:paraId="2ACB2FAC">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按照国家金融监督管理总局要求，投标人所属总公司公布的2025年度末（即2025年四季度）的“核心偿付能力充足率”评分。</w:t>
            </w:r>
          </w:p>
          <w:p w14:paraId="15D8AA88">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充足率≥120%得6分；115%≤充足率＜120%得3分；充足率＜115%不得分。</w:t>
            </w:r>
          </w:p>
        </w:tc>
        <w:tc>
          <w:tcPr>
            <w:tcW w:w="2498" w:type="dxa"/>
            <w:vMerge w:val="continue"/>
            <w:noWrap w:val="0"/>
            <w:vAlign w:val="center"/>
          </w:tcPr>
          <w:p w14:paraId="471A2134">
            <w:pPr>
              <w:widowControl/>
              <w:jc w:val="left"/>
              <w:rPr>
                <w:rFonts w:hint="eastAsia" w:ascii="宋体" w:hAnsi="宋体" w:eastAsia="宋体" w:cs="宋体"/>
                <w:szCs w:val="21"/>
                <w:lang w:val="en-US" w:eastAsia="zh-CN" w:bidi="ar"/>
              </w:rPr>
            </w:pPr>
          </w:p>
        </w:tc>
      </w:tr>
      <w:tr w14:paraId="1D1BD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58322FB8">
            <w:pPr>
              <w:widowControl/>
              <w:jc w:val="center"/>
              <w:rPr>
                <w:rFonts w:eastAsia="宋体"/>
                <w:lang w:val="en-US" w:eastAsia="zh-CN"/>
              </w:rPr>
            </w:pPr>
            <w:r>
              <w:rPr>
                <w:rFonts w:hint="eastAsia" w:ascii="宋体" w:hAnsi="宋体" w:eastAsia="宋体" w:cs="宋体"/>
                <w:color w:val="000000"/>
                <w:sz w:val="24"/>
                <w:szCs w:val="24"/>
                <w:highlight w:val="none"/>
                <w:lang w:val="en-US" w:eastAsia="zh-CN"/>
              </w:rPr>
              <w:t>2.3</w:t>
            </w:r>
          </w:p>
        </w:tc>
        <w:tc>
          <w:tcPr>
            <w:tcW w:w="1330" w:type="dxa"/>
            <w:noWrap w:val="0"/>
            <w:vAlign w:val="center"/>
          </w:tcPr>
          <w:p w14:paraId="0D2D7650">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承保经验</w:t>
            </w:r>
          </w:p>
        </w:tc>
        <w:tc>
          <w:tcPr>
            <w:tcW w:w="752" w:type="dxa"/>
            <w:noWrap w:val="0"/>
            <w:vAlign w:val="center"/>
          </w:tcPr>
          <w:p w14:paraId="3A47CC5F">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12</w:t>
            </w:r>
          </w:p>
        </w:tc>
        <w:tc>
          <w:tcPr>
            <w:tcW w:w="4297" w:type="dxa"/>
            <w:noWrap w:val="0"/>
            <w:vAlign w:val="center"/>
          </w:tcPr>
          <w:p w14:paraId="455C5CEC">
            <w:pPr>
              <w:rPr>
                <w:rFonts w:ascii="宋体" w:hAnsi="宋体" w:eastAsia="宋体" w:cs="宋体"/>
                <w:color w:val="000000"/>
                <w:sz w:val="21"/>
                <w:szCs w:val="21"/>
                <w:highlight w:val="none"/>
                <w:lang w:val="en-US" w:eastAsia="zh-CN" w:bidi="ar-SA"/>
              </w:rPr>
            </w:pPr>
            <w:r>
              <w:rPr>
                <w:rFonts w:hint="eastAsia" w:ascii="宋体" w:hAnsi="宋体"/>
              </w:rPr>
              <w:t>投标人自2025年1月1日开始至今，承保残疾人员补充商业保险的经验（单张保单参保人数大于5千人，参保人群针对残疾人，且承保时不限最大年龄及健康情况），每有1件得4分（若为共保，主承得分，次承不得分；同一投保人计为1件）</w:t>
            </w:r>
          </w:p>
        </w:tc>
        <w:tc>
          <w:tcPr>
            <w:tcW w:w="2498" w:type="dxa"/>
            <w:noWrap w:val="0"/>
            <w:vAlign w:val="center"/>
          </w:tcPr>
          <w:p w14:paraId="6C379A83">
            <w:pPr>
              <w:widowControl/>
              <w:jc w:val="left"/>
              <w:rPr>
                <w:rFonts w:hint="eastAsia" w:ascii="宋体" w:hAnsi="宋体" w:eastAsia="宋体" w:cs="宋体"/>
                <w:color w:val="000000"/>
                <w:sz w:val="21"/>
                <w:szCs w:val="21"/>
                <w:highlight w:val="none"/>
                <w:lang w:val="en-US" w:eastAsia="zh-CN" w:bidi="ar-SA"/>
              </w:rPr>
            </w:pPr>
            <w:r>
              <w:rPr>
                <w:rFonts w:hint="eastAsia" w:ascii="宋体" w:hAnsi="宋体" w:cs="宋体"/>
                <w:szCs w:val="21"/>
                <w:lang w:val="en-US" w:eastAsia="zh-CN"/>
              </w:rPr>
              <w:t>注：</w:t>
            </w:r>
            <w:r>
              <w:rPr>
                <w:rFonts w:hint="eastAsia" w:ascii="宋体" w:hAnsi="宋体" w:cs="宋体"/>
                <w:szCs w:val="21"/>
              </w:rPr>
              <w:t>提供投保单或保险合同</w:t>
            </w:r>
            <w:r>
              <w:rPr>
                <w:rFonts w:hint="eastAsia" w:ascii="宋体" w:hAnsi="宋体" w:cs="宋体"/>
                <w:szCs w:val="21"/>
                <w:lang w:val="en-US" w:eastAsia="zh-CN"/>
              </w:rPr>
              <w:t>复印件</w:t>
            </w:r>
          </w:p>
        </w:tc>
      </w:tr>
      <w:tr w14:paraId="27FBA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6EB6517E">
            <w:pPr>
              <w:widowControl/>
              <w:jc w:val="center"/>
              <w:rPr>
                <w:rFonts w:eastAsia="宋体"/>
                <w:lang w:val="en-US" w:eastAsia="zh-CN"/>
              </w:rPr>
            </w:pPr>
            <w:r>
              <w:rPr>
                <w:rFonts w:hint="eastAsia" w:ascii="宋体" w:hAnsi="宋体" w:eastAsia="宋体" w:cs="宋体"/>
                <w:color w:val="000000"/>
                <w:sz w:val="24"/>
                <w:szCs w:val="24"/>
                <w:highlight w:val="none"/>
                <w:lang w:val="en-US" w:eastAsia="zh-CN"/>
              </w:rPr>
              <w:t>2.4</w:t>
            </w:r>
          </w:p>
        </w:tc>
        <w:tc>
          <w:tcPr>
            <w:tcW w:w="1330" w:type="dxa"/>
            <w:noWrap w:val="0"/>
            <w:vAlign w:val="center"/>
          </w:tcPr>
          <w:p w14:paraId="70E3BFFB">
            <w:pPr>
              <w:jc w:val="center"/>
              <w:rPr>
                <w:rFonts w:hint="eastAsia" w:eastAsia="宋体"/>
                <w:lang w:val="en-US" w:eastAsia="zh-CN"/>
              </w:rPr>
            </w:pPr>
            <w:r>
              <w:rPr>
                <w:rFonts w:hint="eastAsia"/>
                <w:lang w:val="en-US" w:eastAsia="zh-CN"/>
              </w:rPr>
              <w:t>相关承诺</w:t>
            </w:r>
          </w:p>
        </w:tc>
        <w:tc>
          <w:tcPr>
            <w:tcW w:w="752" w:type="dxa"/>
            <w:noWrap w:val="0"/>
            <w:vAlign w:val="center"/>
          </w:tcPr>
          <w:p w14:paraId="08132BF4">
            <w:pPr>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4297" w:type="dxa"/>
            <w:noWrap w:val="0"/>
            <w:vAlign w:val="center"/>
          </w:tcPr>
          <w:p w14:paraId="60F6156C">
            <w:pPr>
              <w:widowControl/>
              <w:numPr>
                <w:ilvl w:val="0"/>
                <w:numId w:val="0"/>
              </w:numPr>
              <w:ind w:left="0" w:firstLine="0"/>
              <w:jc w:val="left"/>
              <w:rPr>
                <w:rFonts w:ascii="宋体" w:hAnsi="宋体" w:eastAsia="宋体" w:cs="宋体"/>
                <w:color w:val="000000"/>
                <w:sz w:val="21"/>
                <w:szCs w:val="21"/>
                <w:highlight w:val="none"/>
                <w:lang w:val="en-US" w:eastAsia="zh-CN" w:bidi="ar-SA"/>
              </w:rPr>
            </w:pPr>
            <w:r>
              <w:rPr>
                <w:rFonts w:hint="eastAsia" w:ascii="宋体" w:hAnsi="宋体"/>
              </w:rPr>
              <w:t>针对采购需求的内容，承诺能完全满足所有保险责任要求。在承保时，对被保险人的年龄上限、既往健康情况不作限制</w:t>
            </w:r>
            <w:r>
              <w:rPr>
                <w:rFonts w:hint="eastAsia" w:ascii="宋体" w:hAnsi="宋体"/>
                <w:lang w:val="en-US" w:eastAsia="zh-CN"/>
              </w:rPr>
              <w:t>的</w:t>
            </w:r>
            <w:r>
              <w:rPr>
                <w:rFonts w:hint="eastAsia" w:ascii="宋体" w:hAnsi="宋体"/>
              </w:rPr>
              <w:t>得4分</w:t>
            </w:r>
            <w:r>
              <w:rPr>
                <w:rFonts w:hint="eastAsia" w:ascii="宋体" w:hAnsi="宋体"/>
                <w:lang w:eastAsia="zh-CN"/>
              </w:rPr>
              <w:t>，</w:t>
            </w:r>
            <w:r>
              <w:rPr>
                <w:rFonts w:hint="eastAsia" w:ascii="宋体" w:hAnsi="宋体"/>
                <w:lang w:val="en-US" w:eastAsia="zh-CN"/>
              </w:rPr>
              <w:t>否则不得分。</w:t>
            </w:r>
          </w:p>
        </w:tc>
        <w:tc>
          <w:tcPr>
            <w:tcW w:w="2498" w:type="dxa"/>
            <w:noWrap w:val="0"/>
            <w:vAlign w:val="center"/>
          </w:tcPr>
          <w:p w14:paraId="0933ED95">
            <w:pPr>
              <w:rPr>
                <w:rFonts w:ascii="宋体" w:hAnsi="宋体" w:eastAsia="宋体" w:cs="宋体"/>
                <w:color w:val="000000"/>
                <w:sz w:val="21"/>
                <w:szCs w:val="21"/>
                <w:highlight w:val="none"/>
                <w:lang w:val="en-US" w:eastAsia="zh-CN" w:bidi="ar-SA"/>
              </w:rPr>
            </w:pPr>
          </w:p>
        </w:tc>
      </w:tr>
      <w:tr w14:paraId="10B4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2050" w:type="dxa"/>
            <w:gridSpan w:val="2"/>
            <w:noWrap w:val="0"/>
            <w:vAlign w:val="center"/>
          </w:tcPr>
          <w:p w14:paraId="338F1395">
            <w:pPr>
              <w:numPr>
                <w:ilvl w:val="0"/>
                <w:numId w:val="14"/>
              </w:numPr>
              <w:ind w:left="0" w:firstLine="28"/>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主观分</w:t>
            </w:r>
          </w:p>
        </w:tc>
        <w:tc>
          <w:tcPr>
            <w:tcW w:w="752" w:type="dxa"/>
            <w:noWrap w:val="0"/>
            <w:vAlign w:val="center"/>
          </w:tcPr>
          <w:p w14:paraId="47BF7106">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50</w:t>
            </w:r>
          </w:p>
        </w:tc>
        <w:tc>
          <w:tcPr>
            <w:tcW w:w="4297" w:type="dxa"/>
            <w:noWrap w:val="0"/>
            <w:vAlign w:val="center"/>
          </w:tcPr>
          <w:p w14:paraId="40615852">
            <w:pPr>
              <w:rPr>
                <w:rFonts w:hint="eastAsia" w:ascii="宋体" w:hAnsi="宋体" w:eastAsia="宋体" w:cs="宋体"/>
                <w:color w:val="000000"/>
                <w:sz w:val="21"/>
                <w:szCs w:val="21"/>
                <w:highlight w:val="none"/>
              </w:rPr>
            </w:pPr>
          </w:p>
        </w:tc>
        <w:tc>
          <w:tcPr>
            <w:tcW w:w="2498" w:type="dxa"/>
            <w:noWrap w:val="0"/>
            <w:vAlign w:val="center"/>
          </w:tcPr>
          <w:p w14:paraId="4B10DD47">
            <w:pPr>
              <w:ind w:left="-38"/>
              <w:rPr>
                <w:rFonts w:hint="eastAsia" w:ascii="宋体" w:hAnsi="宋体" w:eastAsia="宋体" w:cs="宋体"/>
                <w:color w:val="000000"/>
                <w:sz w:val="21"/>
                <w:szCs w:val="21"/>
                <w:highlight w:val="none"/>
              </w:rPr>
            </w:pPr>
          </w:p>
        </w:tc>
      </w:tr>
      <w:tr w14:paraId="179E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4" w:hRule="atLeast"/>
        </w:trPr>
        <w:tc>
          <w:tcPr>
            <w:tcW w:w="720" w:type="dxa"/>
            <w:noWrap w:val="0"/>
            <w:vAlign w:val="center"/>
          </w:tcPr>
          <w:p w14:paraId="7282AF22">
            <w:pPr>
              <w:widowControl/>
              <w:jc w:val="center"/>
              <w:rPr>
                <w:rFonts w:hint="eastAsia" w:ascii="宋体" w:hAnsi="宋体" w:eastAsia="宋体" w:cs="Times New Roman"/>
              </w:rPr>
            </w:pPr>
            <w:r>
              <w:rPr>
                <w:rFonts w:hint="eastAsia" w:ascii="宋体" w:hAnsi="宋体" w:eastAsia="宋体" w:cs="宋体"/>
                <w:color w:val="000000"/>
                <w:sz w:val="24"/>
                <w:szCs w:val="24"/>
                <w:highlight w:val="none"/>
                <w:lang w:val="en-US" w:eastAsia="zh-CN"/>
              </w:rPr>
              <w:t>3.1</w:t>
            </w:r>
          </w:p>
        </w:tc>
        <w:tc>
          <w:tcPr>
            <w:tcW w:w="1330" w:type="dxa"/>
            <w:noWrap w:val="0"/>
            <w:vAlign w:val="center"/>
          </w:tcPr>
          <w:p w14:paraId="311144FB">
            <w:pPr>
              <w:jc w:val="center"/>
              <w:rPr>
                <w:rFonts w:ascii="宋体" w:hAnsi="宋体" w:eastAsia="宋体" w:cs="Times New Roman"/>
                <w:lang w:val="en-US" w:eastAsia="zh-CN"/>
              </w:rPr>
            </w:pPr>
            <w:r>
              <w:rPr>
                <w:rFonts w:hint="eastAsia" w:ascii="宋体" w:hAnsi="宋体" w:eastAsia="宋体" w:cs="Times New Roman"/>
                <w:lang w:val="en-US" w:eastAsia="zh-CN"/>
              </w:rPr>
              <w:t>承保服务方案</w:t>
            </w:r>
          </w:p>
        </w:tc>
        <w:tc>
          <w:tcPr>
            <w:tcW w:w="752" w:type="dxa"/>
            <w:noWrap w:val="0"/>
            <w:vAlign w:val="center"/>
          </w:tcPr>
          <w:p w14:paraId="0032C2BC">
            <w:pPr>
              <w:widowControl/>
              <w:jc w:val="center"/>
              <w:rPr>
                <w:rFonts w:ascii="宋体" w:hAnsi="宋体" w:eastAsia="宋体" w:cs="Times New Roman"/>
                <w:lang w:val="en-US" w:eastAsia="zh-CN"/>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3346275F">
            <w:pPr>
              <w:rPr>
                <w:rFonts w:hint="eastAsia" w:ascii="宋体" w:hAnsi="宋体" w:eastAsia="宋体" w:cs="Times New Roman"/>
                <w:lang w:val="en-US" w:eastAsia="zh-CN"/>
              </w:rPr>
            </w:pPr>
            <w:r>
              <w:rPr>
                <w:rFonts w:hint="eastAsia" w:ascii="宋体" w:hAnsi="宋体" w:eastAsia="宋体" w:cs="Times New Roman"/>
                <w:lang w:val="en-US" w:eastAsia="zh-CN"/>
              </w:rPr>
              <w:t>根据自身对项目的理解制定承保服务方案并进行阐述，内容包括但不限于：</w:t>
            </w:r>
            <w:r>
              <w:rPr>
                <w:rFonts w:hint="eastAsia" w:ascii="宋体" w:hAnsi="宋体" w:eastAsia="宋体" w:cs="Times New Roman"/>
              </w:rPr>
              <w:t>①</w:t>
            </w:r>
            <w:r>
              <w:rPr>
                <w:rFonts w:hint="eastAsia" w:ascii="宋体" w:hAnsi="宋体" w:eastAsia="宋体" w:cs="Times New Roman"/>
                <w:lang w:val="en-US" w:eastAsia="zh-CN"/>
              </w:rPr>
              <w:t>参保名单信息的核准</w:t>
            </w:r>
            <w:r>
              <w:rPr>
                <w:rFonts w:hint="eastAsia" w:ascii="宋体" w:hAnsi="宋体" w:eastAsia="宋体" w:cs="Times New Roman"/>
              </w:rPr>
              <w:t>；②</w:t>
            </w:r>
            <w:r>
              <w:rPr>
                <w:rFonts w:hint="eastAsia" w:ascii="宋体" w:hAnsi="宋体" w:eastAsia="宋体" w:cs="Times New Roman"/>
                <w:lang w:val="en-US" w:eastAsia="zh-CN"/>
              </w:rPr>
              <w:t>投保服务便捷、高效</w:t>
            </w:r>
            <w:r>
              <w:rPr>
                <w:rFonts w:hint="eastAsia" w:ascii="宋体" w:hAnsi="宋体" w:eastAsia="宋体" w:cs="Times New Roman"/>
              </w:rPr>
              <w:t>；③</w:t>
            </w:r>
            <w:r>
              <w:rPr>
                <w:rFonts w:hint="eastAsia" w:ascii="宋体" w:hAnsi="宋体" w:eastAsia="宋体" w:cs="Times New Roman"/>
                <w:lang w:val="en-US" w:eastAsia="zh-CN"/>
              </w:rPr>
              <w:t>提升参保知晓率</w:t>
            </w:r>
            <w:r>
              <w:rPr>
                <w:rFonts w:hint="eastAsia" w:ascii="宋体" w:hAnsi="宋体" w:eastAsia="宋体" w:cs="Times New Roman"/>
              </w:rPr>
              <w:t>等。</w:t>
            </w:r>
          </w:p>
          <w:p w14:paraId="634DB5A2">
            <w:pPr>
              <w:rPr>
                <w:rFonts w:hint="eastAsia" w:ascii="宋体" w:hAnsi="宋体" w:eastAsia="宋体" w:cs="Times New Roman"/>
              </w:rPr>
            </w:pPr>
            <w:r>
              <w:rPr>
                <w:rFonts w:hint="eastAsia" w:ascii="宋体" w:hAnsi="宋体" w:eastAsia="宋体" w:cs="Times New Roman"/>
              </w:rPr>
              <w:t>方案全面科学合理</w:t>
            </w:r>
            <w:r>
              <w:rPr>
                <w:rFonts w:hint="eastAsia" w:ascii="宋体" w:hAnsi="宋体" w:eastAsia="宋体" w:cs="Times New Roman"/>
                <w:lang w:eastAsia="zh-CN"/>
              </w:rPr>
              <w:t>，</w:t>
            </w:r>
            <w:r>
              <w:rPr>
                <w:rFonts w:hint="eastAsia" w:ascii="宋体" w:hAnsi="宋体" w:eastAsia="宋体" w:cs="Times New Roman"/>
              </w:rPr>
              <w:t>可行性高得</w:t>
            </w:r>
            <w:r>
              <w:rPr>
                <w:rFonts w:hint="eastAsia" w:ascii="宋体" w:hAnsi="宋体" w:eastAsia="宋体" w:cs="Times New Roman"/>
                <w:lang w:val="en-US" w:eastAsia="zh-CN"/>
              </w:rPr>
              <w:t>10</w:t>
            </w:r>
            <w:r>
              <w:rPr>
                <w:rFonts w:hint="eastAsia" w:ascii="宋体" w:hAnsi="宋体" w:eastAsia="宋体" w:cs="Times New Roman"/>
              </w:rPr>
              <w:t>分，</w:t>
            </w:r>
          </w:p>
          <w:p w14:paraId="6614EE81">
            <w:pPr>
              <w:rPr>
                <w:rFonts w:hint="eastAsia" w:ascii="宋体" w:hAnsi="宋体" w:eastAsia="宋体" w:cs="Times New Roman"/>
              </w:rPr>
            </w:pPr>
            <w:r>
              <w:rPr>
                <w:rFonts w:hint="eastAsia" w:ascii="宋体" w:hAnsi="宋体" w:eastAsia="宋体" w:cs="Times New Roman"/>
              </w:rPr>
              <w:t>方案</w:t>
            </w:r>
            <w:r>
              <w:rPr>
                <w:rFonts w:hint="eastAsia" w:ascii="宋体" w:hAnsi="宋体" w:eastAsia="宋体" w:cs="Times New Roman"/>
                <w:lang w:val="en-US" w:eastAsia="zh-CN"/>
              </w:rPr>
              <w:t>较</w:t>
            </w:r>
            <w:r>
              <w:rPr>
                <w:rFonts w:hint="eastAsia" w:ascii="宋体" w:hAnsi="宋体" w:eastAsia="宋体" w:cs="Times New Roman"/>
              </w:rPr>
              <w:t>全面科学合理</w:t>
            </w:r>
            <w:r>
              <w:rPr>
                <w:rFonts w:hint="eastAsia" w:ascii="宋体" w:hAnsi="宋体" w:eastAsia="宋体" w:cs="Times New Roman"/>
                <w:lang w:eastAsia="zh-CN"/>
              </w:rPr>
              <w:t>，</w:t>
            </w:r>
            <w:r>
              <w:rPr>
                <w:rFonts w:hint="eastAsia" w:ascii="宋体" w:hAnsi="宋体" w:eastAsia="宋体" w:cs="Times New Roman"/>
              </w:rPr>
              <w:t>可行性较高得</w:t>
            </w:r>
            <w:r>
              <w:rPr>
                <w:rFonts w:hint="eastAsia" w:ascii="宋体" w:hAnsi="宋体" w:eastAsia="宋体" w:cs="Times New Roman"/>
                <w:lang w:val="en-US" w:eastAsia="zh-CN"/>
              </w:rPr>
              <w:t>7</w:t>
            </w:r>
            <w:r>
              <w:rPr>
                <w:rFonts w:hint="eastAsia" w:ascii="宋体" w:hAnsi="宋体" w:eastAsia="宋体" w:cs="Times New Roman"/>
              </w:rPr>
              <w:t>分，</w:t>
            </w:r>
          </w:p>
          <w:p w14:paraId="586FA7A2">
            <w:pPr>
              <w:rPr>
                <w:rFonts w:hint="eastAsia" w:ascii="宋体" w:hAnsi="宋体" w:eastAsia="宋体" w:cs="Times New Roman"/>
              </w:rPr>
            </w:pPr>
            <w:r>
              <w:rPr>
                <w:rFonts w:hint="eastAsia" w:ascii="宋体" w:hAnsi="宋体" w:eastAsia="宋体" w:cs="Times New Roman"/>
              </w:rPr>
              <w:t>方案</w:t>
            </w:r>
            <w:r>
              <w:rPr>
                <w:rFonts w:hint="eastAsia" w:ascii="宋体" w:hAnsi="宋体" w:eastAsia="宋体" w:cs="Times New Roman"/>
                <w:lang w:val="en-US" w:eastAsia="zh-CN"/>
              </w:rPr>
              <w:t>基本</w:t>
            </w:r>
            <w:r>
              <w:rPr>
                <w:rFonts w:hint="eastAsia" w:ascii="宋体" w:hAnsi="宋体" w:eastAsia="宋体" w:cs="Times New Roman"/>
              </w:rPr>
              <w:t>全面科学合理</w:t>
            </w:r>
            <w:r>
              <w:rPr>
                <w:rFonts w:hint="eastAsia" w:ascii="宋体" w:hAnsi="宋体" w:eastAsia="宋体" w:cs="Times New Roman"/>
                <w:lang w:eastAsia="zh-CN"/>
              </w:rPr>
              <w:t>，</w:t>
            </w:r>
            <w:r>
              <w:rPr>
                <w:rFonts w:hint="eastAsia" w:ascii="宋体" w:hAnsi="宋体" w:eastAsia="宋体" w:cs="Times New Roman"/>
                <w:lang w:val="en-US" w:eastAsia="zh-CN"/>
              </w:rPr>
              <w:t>具有一定</w:t>
            </w:r>
            <w:r>
              <w:rPr>
                <w:rFonts w:hint="eastAsia" w:ascii="宋体" w:hAnsi="宋体" w:eastAsia="宋体" w:cs="Times New Roman"/>
              </w:rPr>
              <w:t>可行性</w:t>
            </w:r>
            <w:r>
              <w:rPr>
                <w:rFonts w:hint="eastAsia" w:ascii="宋体" w:hAnsi="宋体" w:eastAsia="宋体" w:cs="Times New Roman"/>
                <w:lang w:val="en-US" w:eastAsia="zh-CN"/>
              </w:rPr>
              <w:t>的</w:t>
            </w:r>
            <w:r>
              <w:rPr>
                <w:rFonts w:hint="eastAsia" w:ascii="宋体" w:hAnsi="宋体" w:eastAsia="宋体" w:cs="Times New Roman"/>
              </w:rPr>
              <w:t>得</w:t>
            </w:r>
            <w:r>
              <w:rPr>
                <w:rFonts w:hint="eastAsia" w:ascii="宋体" w:hAnsi="宋体" w:eastAsia="宋体" w:cs="Times New Roman"/>
                <w:lang w:val="en-US" w:eastAsia="zh-CN"/>
              </w:rPr>
              <w:t>4</w:t>
            </w:r>
            <w:r>
              <w:rPr>
                <w:rFonts w:hint="eastAsia" w:ascii="宋体" w:hAnsi="宋体" w:eastAsia="宋体" w:cs="Times New Roman"/>
              </w:rPr>
              <w:t>分，</w:t>
            </w:r>
          </w:p>
          <w:p w14:paraId="5EEDEE3F">
            <w:pPr>
              <w:rPr>
                <w:rFonts w:hint="eastAsia" w:ascii="宋体" w:hAnsi="宋体" w:eastAsia="宋体" w:cs="Times New Roman"/>
              </w:rPr>
            </w:pPr>
            <w:r>
              <w:rPr>
                <w:rFonts w:hint="eastAsia" w:ascii="宋体" w:hAnsi="宋体" w:eastAsia="宋体" w:cs="Times New Roman"/>
              </w:rPr>
              <w:t>方案全面科学合理可行性</w:t>
            </w:r>
            <w:r>
              <w:rPr>
                <w:rFonts w:hint="eastAsia" w:ascii="宋体" w:hAnsi="宋体" w:eastAsia="宋体" w:cs="Times New Roman"/>
                <w:lang w:val="en-US" w:eastAsia="zh-CN"/>
              </w:rPr>
              <w:t>欠缺的</w:t>
            </w:r>
            <w:r>
              <w:rPr>
                <w:rFonts w:hint="eastAsia" w:ascii="宋体" w:hAnsi="宋体" w:eastAsia="宋体" w:cs="Times New Roman"/>
              </w:rPr>
              <w:t>得</w:t>
            </w:r>
            <w:r>
              <w:rPr>
                <w:rFonts w:hint="eastAsia" w:ascii="宋体" w:hAnsi="宋体" w:eastAsia="宋体" w:cs="Times New Roman"/>
                <w:lang w:val="en-US" w:eastAsia="zh-CN"/>
              </w:rPr>
              <w:t>1</w:t>
            </w:r>
            <w:r>
              <w:rPr>
                <w:rFonts w:hint="eastAsia" w:ascii="宋体" w:hAnsi="宋体" w:eastAsia="宋体" w:cs="Times New Roman"/>
              </w:rPr>
              <w:t>分，</w:t>
            </w:r>
          </w:p>
          <w:p w14:paraId="5815533C">
            <w:pPr>
              <w:rPr>
                <w:rFonts w:hint="eastAsia" w:ascii="宋体" w:hAnsi="宋体" w:eastAsia="宋体" w:cs="Times New Roman"/>
                <w:lang w:val="en-US" w:eastAsia="zh-CN"/>
              </w:rPr>
            </w:pPr>
            <w:r>
              <w:rPr>
                <w:rFonts w:hint="eastAsia" w:ascii="宋体" w:hAnsi="宋体" w:eastAsia="宋体" w:cs="Times New Roman"/>
              </w:rPr>
              <w:t>未提供方案不得分。</w:t>
            </w:r>
          </w:p>
        </w:tc>
        <w:tc>
          <w:tcPr>
            <w:tcW w:w="2498" w:type="dxa"/>
            <w:noWrap w:val="0"/>
            <w:vAlign w:val="center"/>
          </w:tcPr>
          <w:p w14:paraId="18E01CFA">
            <w:pPr>
              <w:ind w:left="-38"/>
              <w:rPr>
                <w:rFonts w:ascii="宋体" w:hAnsi="宋体" w:eastAsia="宋体" w:cs="宋体"/>
                <w:color w:val="000000"/>
                <w:sz w:val="21"/>
                <w:szCs w:val="21"/>
                <w:highlight w:val="none"/>
                <w:lang w:val="en-US" w:eastAsia="zh-CN"/>
              </w:rPr>
            </w:pPr>
          </w:p>
        </w:tc>
      </w:tr>
      <w:tr w14:paraId="75D8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7" w:hRule="atLeast"/>
        </w:trPr>
        <w:tc>
          <w:tcPr>
            <w:tcW w:w="720" w:type="dxa"/>
            <w:noWrap w:val="0"/>
            <w:vAlign w:val="center"/>
          </w:tcPr>
          <w:p w14:paraId="5070208A">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w:t>
            </w:r>
          </w:p>
        </w:tc>
        <w:tc>
          <w:tcPr>
            <w:tcW w:w="1330" w:type="dxa"/>
            <w:noWrap w:val="0"/>
            <w:vAlign w:val="center"/>
          </w:tcPr>
          <w:p w14:paraId="14F390DC">
            <w:pPr>
              <w:jc w:val="center"/>
              <w:rPr>
                <w:rFonts w:hint="eastAsia" w:ascii="宋体" w:hAnsi="宋体" w:eastAsia="宋体" w:cs="Times New Roman"/>
                <w:lang w:val="en-US" w:eastAsia="zh-CN"/>
              </w:rPr>
            </w:pPr>
            <w:r>
              <w:rPr>
                <w:rFonts w:hint="eastAsia" w:ascii="宋体" w:hAnsi="宋体" w:eastAsia="宋体" w:cs="Times New Roman"/>
                <w:lang w:val="en-US" w:eastAsia="zh-CN"/>
              </w:rPr>
              <w:t>理赔服务方案</w:t>
            </w:r>
          </w:p>
        </w:tc>
        <w:tc>
          <w:tcPr>
            <w:tcW w:w="752" w:type="dxa"/>
            <w:noWrap w:val="0"/>
            <w:vAlign w:val="center"/>
          </w:tcPr>
          <w:p w14:paraId="7E7A96BE">
            <w:pPr>
              <w:widowControl/>
              <w:jc w:val="center"/>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423386D2">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根据项目的要求制定理赔服务方案并进行阐述，内容包括但不限于：</w:t>
            </w:r>
            <w:r>
              <w:rPr>
                <w:rFonts w:hint="eastAsia" w:ascii="宋体" w:hAnsi="宋体" w:cs="宋体"/>
                <w:szCs w:val="21"/>
              </w:rPr>
              <w:t>①</w:t>
            </w:r>
            <w:r>
              <w:rPr>
                <w:rFonts w:hint="eastAsia" w:ascii="宋体" w:hAnsi="宋体" w:cs="宋体"/>
                <w:szCs w:val="21"/>
                <w:lang w:val="en-US" w:eastAsia="zh-CN"/>
              </w:rPr>
              <w:t>主动发现并提醒报案的创新性</w:t>
            </w:r>
            <w:r>
              <w:rPr>
                <w:rFonts w:hint="eastAsia" w:ascii="宋体" w:hAnsi="宋体" w:cs="宋体"/>
                <w:szCs w:val="21"/>
                <w:lang w:eastAsia="zh-CN"/>
              </w:rPr>
              <w:t>、</w:t>
            </w:r>
            <w:r>
              <w:rPr>
                <w:rFonts w:hint="eastAsia" w:ascii="宋体" w:hAnsi="宋体" w:cs="宋体"/>
                <w:szCs w:val="21"/>
              </w:rPr>
              <w:t>②</w:t>
            </w:r>
            <w:r>
              <w:rPr>
                <w:rFonts w:hint="eastAsia" w:ascii="宋体" w:hAnsi="宋体" w:cs="宋体"/>
                <w:szCs w:val="21"/>
                <w:lang w:val="en-US" w:eastAsia="zh-CN"/>
              </w:rPr>
              <w:t>理赔资料受理的创新性</w:t>
            </w:r>
            <w:r>
              <w:rPr>
                <w:rFonts w:hint="eastAsia" w:ascii="宋体" w:hAnsi="宋体" w:cs="宋体"/>
                <w:szCs w:val="21"/>
                <w:lang w:eastAsia="zh-CN"/>
              </w:rPr>
              <w:t>、</w:t>
            </w:r>
            <w:r>
              <w:rPr>
                <w:rFonts w:hint="eastAsia" w:ascii="宋体" w:hAnsi="宋体" w:cs="宋体"/>
                <w:szCs w:val="21"/>
              </w:rPr>
              <w:t>③</w:t>
            </w:r>
            <w:r>
              <w:rPr>
                <w:rFonts w:hint="eastAsia" w:ascii="宋体" w:hAnsi="宋体" w:cs="宋体"/>
                <w:szCs w:val="21"/>
                <w:lang w:val="en-US" w:eastAsia="zh-CN"/>
              </w:rPr>
              <w:t>与医保同时理赔结算的创新性</w:t>
            </w:r>
            <w:r>
              <w:rPr>
                <w:rFonts w:hint="eastAsia" w:ascii="宋体" w:hAnsi="宋体" w:cs="宋体"/>
                <w:szCs w:val="21"/>
                <w:lang w:eastAsia="zh-CN"/>
              </w:rPr>
              <w:t>、</w:t>
            </w:r>
            <w:r>
              <w:rPr>
                <w:rFonts w:hint="eastAsia" w:ascii="宋体" w:hAnsi="宋体" w:cs="宋体"/>
                <w:szCs w:val="21"/>
              </w:rPr>
              <w:t>④协议理赔的经验</w:t>
            </w:r>
            <w:r>
              <w:rPr>
                <w:rFonts w:hint="eastAsia" w:ascii="宋体" w:hAnsi="宋体" w:cs="宋体"/>
                <w:szCs w:val="21"/>
                <w:lang w:val="en-US" w:eastAsia="zh-CN"/>
              </w:rPr>
              <w:t>等。</w:t>
            </w:r>
          </w:p>
          <w:p w14:paraId="4332DAC6">
            <w:pPr>
              <w:spacing w:line="400" w:lineRule="exact"/>
              <w:jc w:val="left"/>
              <w:rPr>
                <w:rFonts w:ascii="宋体" w:hAnsi="宋体" w:cs="宋体"/>
                <w:szCs w:val="21"/>
              </w:rPr>
            </w:pPr>
            <w:r>
              <w:rPr>
                <w:rFonts w:hint="eastAsia" w:ascii="宋体" w:hAnsi="宋体" w:cs="宋体"/>
                <w:szCs w:val="21"/>
              </w:rPr>
              <w:t>方案全面完善、理赔措施可操作性强得</w:t>
            </w:r>
            <w:r>
              <w:rPr>
                <w:rFonts w:hint="eastAsia" w:ascii="宋体" w:hAnsi="宋体" w:cs="宋体"/>
                <w:szCs w:val="21"/>
                <w:lang w:val="en-US" w:eastAsia="zh-CN"/>
              </w:rPr>
              <w:t>10</w:t>
            </w:r>
            <w:r>
              <w:rPr>
                <w:rFonts w:hint="eastAsia" w:ascii="宋体" w:hAnsi="宋体" w:cs="宋体"/>
                <w:szCs w:val="21"/>
              </w:rPr>
              <w:t>分；</w:t>
            </w:r>
          </w:p>
          <w:p w14:paraId="7881A7B3">
            <w:pPr>
              <w:spacing w:line="400" w:lineRule="exact"/>
              <w:jc w:val="left"/>
              <w:rPr>
                <w:rFonts w:hint="eastAsia" w:ascii="宋体" w:hAnsi="宋体" w:cs="宋体"/>
                <w:szCs w:val="21"/>
              </w:rPr>
            </w:pPr>
            <w:r>
              <w:rPr>
                <w:rFonts w:hint="eastAsia" w:ascii="宋体" w:hAnsi="宋体" w:cs="宋体"/>
                <w:szCs w:val="21"/>
              </w:rPr>
              <w:t>方案较全面完善、理赔措施可操作性较强得</w:t>
            </w:r>
            <w:r>
              <w:rPr>
                <w:rFonts w:hint="eastAsia" w:ascii="宋体" w:hAnsi="宋体" w:cs="宋体"/>
                <w:szCs w:val="21"/>
                <w:lang w:val="en-US" w:eastAsia="zh-CN"/>
              </w:rPr>
              <w:t>7</w:t>
            </w:r>
            <w:r>
              <w:rPr>
                <w:rFonts w:hint="eastAsia" w:ascii="宋体" w:hAnsi="宋体" w:cs="宋体"/>
                <w:szCs w:val="21"/>
              </w:rPr>
              <w:t>分；</w:t>
            </w:r>
          </w:p>
          <w:p w14:paraId="1E4B90F5">
            <w:pPr>
              <w:spacing w:line="400" w:lineRule="exact"/>
              <w:jc w:val="left"/>
              <w:rPr>
                <w:rFonts w:ascii="宋体" w:hAnsi="宋体" w:cs="宋体"/>
                <w:szCs w:val="21"/>
              </w:rPr>
            </w:pPr>
            <w:r>
              <w:rPr>
                <w:rFonts w:hint="eastAsia" w:ascii="宋体" w:hAnsi="宋体" w:cs="宋体"/>
                <w:szCs w:val="21"/>
              </w:rPr>
              <w:t>方案</w:t>
            </w:r>
            <w:r>
              <w:rPr>
                <w:rFonts w:hint="eastAsia" w:ascii="宋体" w:hAnsi="宋体" w:cs="宋体"/>
                <w:szCs w:val="21"/>
                <w:lang w:val="en-US" w:eastAsia="zh-CN"/>
              </w:rPr>
              <w:t>基本全面完善</w:t>
            </w:r>
            <w:r>
              <w:rPr>
                <w:rFonts w:hint="eastAsia" w:ascii="宋体" w:hAnsi="宋体" w:cs="宋体"/>
                <w:szCs w:val="21"/>
              </w:rPr>
              <w:t>、理赔措施</w:t>
            </w:r>
            <w:r>
              <w:rPr>
                <w:rFonts w:hint="eastAsia" w:ascii="宋体" w:hAnsi="宋体" w:cs="宋体"/>
                <w:szCs w:val="21"/>
                <w:lang w:val="en-US" w:eastAsia="zh-CN"/>
              </w:rPr>
              <w:t>有一定</w:t>
            </w:r>
            <w:r>
              <w:rPr>
                <w:rFonts w:hint="eastAsia" w:ascii="宋体" w:hAnsi="宋体" w:cs="宋体"/>
                <w:szCs w:val="21"/>
              </w:rPr>
              <w:t>操作性得</w:t>
            </w:r>
            <w:r>
              <w:rPr>
                <w:rFonts w:hint="eastAsia" w:ascii="宋体" w:hAnsi="宋体" w:cs="宋体"/>
                <w:szCs w:val="21"/>
                <w:lang w:val="en-US" w:eastAsia="zh-CN"/>
              </w:rPr>
              <w:t>4</w:t>
            </w:r>
            <w:r>
              <w:rPr>
                <w:rFonts w:hint="eastAsia" w:ascii="宋体" w:hAnsi="宋体" w:cs="宋体"/>
                <w:szCs w:val="21"/>
              </w:rPr>
              <w:t>分；</w:t>
            </w:r>
          </w:p>
          <w:p w14:paraId="3CDEDCF6">
            <w:pPr>
              <w:spacing w:line="400" w:lineRule="exact"/>
              <w:jc w:val="left"/>
              <w:rPr>
                <w:rFonts w:ascii="宋体" w:hAnsi="宋体" w:cs="宋体"/>
                <w:szCs w:val="21"/>
              </w:rPr>
            </w:pPr>
            <w:r>
              <w:rPr>
                <w:rFonts w:hint="eastAsia" w:ascii="宋体" w:hAnsi="宋体" w:cs="宋体"/>
                <w:szCs w:val="21"/>
              </w:rPr>
              <w:t>方案全面性、理赔措施可操作性</w:t>
            </w:r>
            <w:r>
              <w:rPr>
                <w:rFonts w:hint="eastAsia" w:ascii="宋体" w:hAnsi="宋体" w:cs="宋体"/>
                <w:szCs w:val="21"/>
                <w:lang w:val="en-US" w:eastAsia="zh-CN"/>
              </w:rPr>
              <w:t>欠缺的</w:t>
            </w:r>
            <w:r>
              <w:rPr>
                <w:rFonts w:hint="eastAsia" w:ascii="宋体" w:hAnsi="宋体" w:cs="宋体"/>
                <w:szCs w:val="21"/>
              </w:rPr>
              <w:t>得1分，</w:t>
            </w:r>
          </w:p>
          <w:p w14:paraId="1DC19562">
            <w:pP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cs="宋体"/>
                <w:szCs w:val="21"/>
              </w:rPr>
              <w:t>未提供不得分。</w:t>
            </w:r>
          </w:p>
        </w:tc>
        <w:tc>
          <w:tcPr>
            <w:tcW w:w="2498" w:type="dxa"/>
            <w:noWrap w:val="0"/>
            <w:vAlign w:val="center"/>
          </w:tcPr>
          <w:p w14:paraId="574E09C8">
            <w:pPr>
              <w:ind w:left="-38"/>
              <w:rPr>
                <w:rFonts w:hint="eastAsia" w:ascii="宋体" w:hAnsi="宋体" w:eastAsia="宋体" w:cs="宋体"/>
                <w:color w:val="000000"/>
                <w:sz w:val="21"/>
                <w:szCs w:val="21"/>
                <w:highlight w:val="none"/>
              </w:rPr>
            </w:pPr>
          </w:p>
        </w:tc>
      </w:tr>
      <w:tr w14:paraId="712EE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5" w:hRule="atLeast"/>
        </w:trPr>
        <w:tc>
          <w:tcPr>
            <w:tcW w:w="720" w:type="dxa"/>
            <w:noWrap w:val="0"/>
            <w:vAlign w:val="center"/>
          </w:tcPr>
          <w:p w14:paraId="3F696C07">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w:t>
            </w:r>
          </w:p>
        </w:tc>
        <w:tc>
          <w:tcPr>
            <w:tcW w:w="1330" w:type="dxa"/>
            <w:noWrap w:val="0"/>
            <w:vAlign w:val="center"/>
          </w:tcPr>
          <w:p w14:paraId="095A3DD3">
            <w:pPr>
              <w:jc w:val="center"/>
              <w:rPr>
                <w:rFonts w:ascii="宋体" w:hAnsi="宋体" w:eastAsia="宋体" w:cs="Times New Roman"/>
                <w:lang w:val="en-US" w:eastAsia="zh-CN"/>
              </w:rPr>
            </w:pPr>
            <w:r>
              <w:rPr>
                <w:rFonts w:hint="eastAsia" w:ascii="宋体" w:hAnsi="宋体" w:eastAsia="宋体" w:cs="Times New Roman"/>
                <w:lang w:val="en-US" w:eastAsia="zh-CN"/>
              </w:rPr>
              <w:t>风险防控措施方案</w:t>
            </w:r>
          </w:p>
        </w:tc>
        <w:tc>
          <w:tcPr>
            <w:tcW w:w="752" w:type="dxa"/>
            <w:noWrap w:val="0"/>
            <w:vAlign w:val="center"/>
          </w:tcPr>
          <w:p w14:paraId="740BC5B3">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642C5C9A">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根据自身对项目的理解制定风险防控方案并进行阐述，内容包括但不限于：①人员防控（虚假出险、冒名顶替）、②医院防控（挂床住院、过度医疗）等。</w:t>
            </w:r>
          </w:p>
          <w:p w14:paraId="1F1CE620">
            <w:pPr>
              <w:spacing w:line="400" w:lineRule="exact"/>
              <w:jc w:val="left"/>
              <w:rPr>
                <w:rFonts w:hint="eastAsia" w:ascii="宋体" w:hAnsi="宋体" w:eastAsia="宋体" w:cs="宋体"/>
                <w:szCs w:val="21"/>
              </w:rPr>
            </w:pPr>
            <w:r>
              <w:rPr>
                <w:rFonts w:hint="eastAsia" w:ascii="宋体" w:hAnsi="宋体" w:eastAsia="宋体" w:cs="宋体"/>
                <w:szCs w:val="21"/>
              </w:rPr>
              <w:t>方案全面科学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可行性高得</w:t>
            </w:r>
            <w:r>
              <w:rPr>
                <w:rFonts w:hint="eastAsia" w:ascii="宋体" w:hAnsi="宋体" w:eastAsia="宋体" w:cs="宋体"/>
                <w:szCs w:val="21"/>
                <w:lang w:val="en-US" w:eastAsia="zh-CN"/>
              </w:rPr>
              <w:t>10</w:t>
            </w:r>
            <w:r>
              <w:rPr>
                <w:rFonts w:hint="eastAsia" w:ascii="宋体" w:hAnsi="宋体" w:eastAsia="宋体" w:cs="宋体"/>
                <w:szCs w:val="21"/>
              </w:rPr>
              <w:t>分，</w:t>
            </w:r>
          </w:p>
          <w:p w14:paraId="05216A44">
            <w:pPr>
              <w:spacing w:line="400" w:lineRule="exact"/>
              <w:jc w:val="left"/>
              <w:rPr>
                <w:rFonts w:hint="eastAsia" w:ascii="宋体" w:hAnsi="宋体" w:eastAsia="宋体" w:cs="宋体"/>
                <w:szCs w:val="21"/>
              </w:rPr>
            </w:pPr>
            <w:r>
              <w:rPr>
                <w:rFonts w:hint="eastAsia" w:ascii="宋体" w:hAnsi="宋体" w:eastAsia="宋体" w:cs="宋体"/>
                <w:szCs w:val="21"/>
              </w:rPr>
              <w:t>方案</w:t>
            </w:r>
            <w:r>
              <w:rPr>
                <w:rFonts w:hint="eastAsia" w:ascii="宋体" w:hAnsi="宋体" w:eastAsia="宋体" w:cs="宋体"/>
                <w:szCs w:val="21"/>
                <w:lang w:val="en-US" w:eastAsia="zh-CN"/>
              </w:rPr>
              <w:t>较</w:t>
            </w:r>
            <w:r>
              <w:rPr>
                <w:rFonts w:hint="eastAsia" w:ascii="宋体" w:hAnsi="宋体" w:eastAsia="宋体" w:cs="宋体"/>
                <w:szCs w:val="21"/>
              </w:rPr>
              <w:t>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可行性较高得</w:t>
            </w:r>
            <w:r>
              <w:rPr>
                <w:rFonts w:hint="eastAsia" w:ascii="宋体" w:hAnsi="宋体" w:eastAsia="宋体" w:cs="宋体"/>
                <w:szCs w:val="21"/>
                <w:lang w:val="en-US" w:eastAsia="zh-CN"/>
              </w:rPr>
              <w:t>7</w:t>
            </w:r>
            <w:r>
              <w:rPr>
                <w:rFonts w:hint="eastAsia" w:ascii="宋体" w:hAnsi="宋体" w:eastAsia="宋体" w:cs="宋体"/>
                <w:szCs w:val="21"/>
              </w:rPr>
              <w:t>分，方案</w:t>
            </w:r>
            <w:r>
              <w:rPr>
                <w:rFonts w:hint="eastAsia" w:ascii="宋体" w:hAnsi="宋体" w:eastAsia="宋体" w:cs="宋体"/>
                <w:szCs w:val="21"/>
                <w:lang w:val="en-US" w:eastAsia="zh-CN"/>
              </w:rPr>
              <w:t>基本</w:t>
            </w:r>
            <w:r>
              <w:rPr>
                <w:rFonts w:hint="eastAsia" w:ascii="宋体" w:hAnsi="宋体" w:eastAsia="宋体" w:cs="宋体"/>
                <w:szCs w:val="21"/>
              </w:rPr>
              <w:t>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可行性较高得</w:t>
            </w:r>
            <w:r>
              <w:rPr>
                <w:rFonts w:hint="eastAsia" w:ascii="宋体" w:hAnsi="宋体" w:eastAsia="宋体" w:cs="宋体"/>
                <w:szCs w:val="21"/>
                <w:lang w:val="en-US" w:eastAsia="zh-CN"/>
              </w:rPr>
              <w:t>4</w:t>
            </w:r>
            <w:r>
              <w:rPr>
                <w:rFonts w:hint="eastAsia" w:ascii="宋体" w:hAnsi="宋体" w:eastAsia="宋体" w:cs="宋体"/>
                <w:szCs w:val="21"/>
              </w:rPr>
              <w:t>分，</w:t>
            </w:r>
          </w:p>
          <w:p w14:paraId="28559854">
            <w:pPr>
              <w:spacing w:line="400" w:lineRule="exact"/>
              <w:jc w:val="left"/>
              <w:rPr>
                <w:rFonts w:hint="eastAsia" w:ascii="宋体" w:hAnsi="宋体" w:eastAsia="宋体" w:cs="宋体"/>
                <w:szCs w:val="21"/>
              </w:rPr>
            </w:pPr>
            <w:r>
              <w:rPr>
                <w:rFonts w:hint="eastAsia" w:ascii="宋体" w:hAnsi="宋体" w:eastAsia="宋体" w:cs="宋体"/>
                <w:szCs w:val="21"/>
              </w:rPr>
              <w:t>方案全面</w:t>
            </w:r>
            <w:r>
              <w:rPr>
                <w:rFonts w:hint="eastAsia" w:ascii="宋体" w:hAnsi="宋体" w:eastAsia="宋体" w:cs="宋体"/>
                <w:szCs w:val="21"/>
                <w:lang w:val="en-US" w:eastAsia="zh-CN"/>
              </w:rPr>
              <w:t>性和</w:t>
            </w:r>
            <w:r>
              <w:rPr>
                <w:rFonts w:hint="eastAsia" w:ascii="宋体" w:hAnsi="宋体" w:eastAsia="宋体" w:cs="宋体"/>
                <w:szCs w:val="21"/>
              </w:rPr>
              <w:t>科学</w:t>
            </w:r>
            <w:r>
              <w:rPr>
                <w:rFonts w:hint="eastAsia" w:ascii="宋体" w:hAnsi="宋体" w:eastAsia="宋体" w:cs="宋体"/>
                <w:szCs w:val="21"/>
                <w:lang w:val="en-US" w:eastAsia="zh-CN"/>
              </w:rPr>
              <w:t>性欠缺的，措施</w:t>
            </w:r>
            <w:r>
              <w:rPr>
                <w:rFonts w:hint="eastAsia" w:ascii="宋体" w:hAnsi="宋体" w:eastAsia="宋体" w:cs="宋体"/>
                <w:szCs w:val="21"/>
              </w:rPr>
              <w:t>可行性一般得1分，</w:t>
            </w:r>
          </w:p>
          <w:p w14:paraId="0E441DA9">
            <w:pPr>
              <w:spacing w:line="400" w:lineRule="exact"/>
              <w:jc w:val="left"/>
              <w:rPr>
                <w:rFonts w:hint="eastAsia"/>
                <w:lang w:eastAsia="zh-CN"/>
              </w:rPr>
            </w:pPr>
            <w:r>
              <w:rPr>
                <w:rFonts w:hint="eastAsia" w:ascii="宋体" w:hAnsi="宋体" w:eastAsia="宋体" w:cs="宋体"/>
                <w:szCs w:val="21"/>
              </w:rPr>
              <w:t>未提供方案不得分。</w:t>
            </w:r>
          </w:p>
        </w:tc>
        <w:tc>
          <w:tcPr>
            <w:tcW w:w="2498" w:type="dxa"/>
            <w:noWrap w:val="0"/>
            <w:vAlign w:val="center"/>
          </w:tcPr>
          <w:p w14:paraId="25E5AB1C">
            <w:pPr>
              <w:ind w:left="-38"/>
              <w:rPr>
                <w:rFonts w:hint="eastAsia" w:ascii="宋体" w:hAnsi="宋体" w:eastAsia="宋体" w:cs="宋体"/>
                <w:color w:val="000000"/>
                <w:sz w:val="21"/>
                <w:szCs w:val="21"/>
                <w:highlight w:val="none"/>
              </w:rPr>
            </w:pPr>
          </w:p>
        </w:tc>
      </w:tr>
      <w:tr w14:paraId="5617F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3" w:hRule="atLeast"/>
        </w:trPr>
        <w:tc>
          <w:tcPr>
            <w:tcW w:w="720" w:type="dxa"/>
            <w:noWrap w:val="0"/>
            <w:vAlign w:val="center"/>
          </w:tcPr>
          <w:p w14:paraId="3DD4C50B">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w:t>
            </w:r>
          </w:p>
        </w:tc>
        <w:tc>
          <w:tcPr>
            <w:tcW w:w="1330" w:type="dxa"/>
            <w:noWrap w:val="0"/>
            <w:vAlign w:val="center"/>
          </w:tcPr>
          <w:p w14:paraId="6E61C584">
            <w:pPr>
              <w:jc w:val="center"/>
              <w:rPr>
                <w:rFonts w:hint="eastAsia" w:ascii="宋体" w:hAnsi="宋体" w:eastAsia="宋体" w:cs="Times New Roman"/>
                <w:lang w:val="en-US" w:eastAsia="zh-CN"/>
              </w:rPr>
            </w:pPr>
            <w:r>
              <w:rPr>
                <w:rFonts w:hint="eastAsia" w:ascii="宋体" w:hAnsi="宋体" w:eastAsia="宋体" w:cs="Times New Roman"/>
                <w:lang w:val="en-US" w:eastAsia="zh-CN"/>
              </w:rPr>
              <w:t>服务团队配置及管理方案</w:t>
            </w:r>
          </w:p>
        </w:tc>
        <w:tc>
          <w:tcPr>
            <w:tcW w:w="752" w:type="dxa"/>
            <w:noWrap w:val="0"/>
            <w:vAlign w:val="center"/>
          </w:tcPr>
          <w:p w14:paraId="2D762140">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79A3B1AB">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根据自身对项目的理解制定团队配置及管理方案并进行阐述，内容包括但不限于：①</w:t>
            </w:r>
            <w:r>
              <w:rPr>
                <w:rFonts w:hint="eastAsia" w:ascii="宋体" w:hAnsi="宋体" w:eastAsia="宋体" w:cs="宋体"/>
                <w:color w:val="000000"/>
                <w:sz w:val="21"/>
                <w:szCs w:val="21"/>
                <w:highlight w:val="none"/>
                <w:lang w:val="en-US" w:eastAsia="zh-CN"/>
              </w:rPr>
              <w:t>服务团队构成、</w:t>
            </w:r>
            <w:r>
              <w:rPr>
                <w:rFonts w:hint="eastAsia" w:ascii="宋体" w:hAnsi="宋体" w:eastAsia="宋体" w:cs="宋体"/>
                <w:szCs w:val="21"/>
                <w:lang w:val="en-US" w:eastAsia="zh-CN"/>
              </w:rPr>
              <w:t>②</w:t>
            </w:r>
            <w:r>
              <w:rPr>
                <w:rFonts w:hint="eastAsia" w:ascii="宋体" w:hAnsi="宋体" w:eastAsia="宋体" w:cs="宋体"/>
                <w:color w:val="000000"/>
                <w:sz w:val="21"/>
                <w:szCs w:val="21"/>
                <w:highlight w:val="none"/>
                <w:lang w:val="en-US" w:eastAsia="zh-CN"/>
              </w:rPr>
              <w:t>人员的合理安排、</w:t>
            </w:r>
            <w:r>
              <w:rPr>
                <w:rFonts w:hint="eastAsia" w:ascii="宋体" w:hAnsi="宋体" w:cs="宋体"/>
                <w:szCs w:val="21"/>
              </w:rPr>
              <w:t>③</w:t>
            </w:r>
            <w:r>
              <w:rPr>
                <w:rFonts w:hint="eastAsia" w:ascii="宋体" w:hAnsi="宋体" w:eastAsia="宋体" w:cs="宋体"/>
                <w:color w:val="000000"/>
                <w:sz w:val="21"/>
                <w:szCs w:val="21"/>
                <w:highlight w:val="none"/>
                <w:lang w:val="en-US" w:eastAsia="zh-CN"/>
              </w:rPr>
              <w:t>硬件设施配备</w:t>
            </w:r>
            <w:r>
              <w:rPr>
                <w:rFonts w:hint="eastAsia" w:ascii="宋体" w:hAnsi="宋体" w:cs="宋体"/>
                <w:szCs w:val="21"/>
                <w:lang w:val="en-US" w:eastAsia="zh-CN"/>
              </w:rPr>
              <w:t>等</w:t>
            </w:r>
            <w:r>
              <w:rPr>
                <w:rFonts w:hint="eastAsia" w:ascii="宋体" w:hAnsi="宋体" w:eastAsia="宋体" w:cs="宋体"/>
                <w:szCs w:val="21"/>
                <w:lang w:val="en-US" w:eastAsia="zh-CN"/>
              </w:rPr>
              <w:t>。</w:t>
            </w:r>
          </w:p>
          <w:p w14:paraId="5ADE487B">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团队组织架构完整、分工合理、职责明确的得10分；</w:t>
            </w:r>
          </w:p>
          <w:p w14:paraId="4A427333">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团队组织架构较为完整、分工较为合理、职责较为明确的得7分；</w:t>
            </w:r>
          </w:p>
          <w:p w14:paraId="64BEA7C6">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团队组织架构基本完整、分工基本合理、职责基本明确的得4分；</w:t>
            </w:r>
          </w:p>
          <w:p w14:paraId="49B0A629">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团队组织架构不完整、分工模糊、职责不明确的得1分；</w:t>
            </w:r>
          </w:p>
          <w:p w14:paraId="7915D664">
            <w:pPr>
              <w:widowControl/>
              <w:numPr>
                <w:ilvl w:val="0"/>
                <w:numId w:val="0"/>
              </w:numPr>
              <w:ind w:left="0" w:firstLine="0"/>
              <w:jc w:val="both"/>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不提供方案的不得分。</w:t>
            </w:r>
          </w:p>
        </w:tc>
        <w:tc>
          <w:tcPr>
            <w:tcW w:w="2498" w:type="dxa"/>
            <w:noWrap w:val="0"/>
            <w:vAlign w:val="center"/>
          </w:tcPr>
          <w:p w14:paraId="7DC6FF92">
            <w:pPr>
              <w:ind w:left="-38"/>
              <w:rPr>
                <w:rFonts w:hint="eastAsia" w:ascii="宋体" w:hAnsi="宋体" w:eastAsia="宋体" w:cs="宋体"/>
                <w:color w:val="000000"/>
                <w:sz w:val="21"/>
                <w:szCs w:val="21"/>
                <w:highlight w:val="none"/>
              </w:rPr>
            </w:pPr>
          </w:p>
        </w:tc>
      </w:tr>
      <w:tr w14:paraId="7DA91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4" w:hRule="atLeast"/>
        </w:trPr>
        <w:tc>
          <w:tcPr>
            <w:tcW w:w="720" w:type="dxa"/>
            <w:noWrap w:val="0"/>
            <w:vAlign w:val="center"/>
          </w:tcPr>
          <w:p w14:paraId="6A059917">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3.5</w:t>
            </w:r>
          </w:p>
        </w:tc>
        <w:tc>
          <w:tcPr>
            <w:tcW w:w="1330" w:type="dxa"/>
            <w:noWrap w:val="0"/>
            <w:vAlign w:val="center"/>
          </w:tcPr>
          <w:p w14:paraId="26ED4E8F">
            <w:pPr>
              <w:jc w:val="center"/>
              <w:rPr>
                <w:rFonts w:ascii="宋体" w:hAnsi="宋体" w:eastAsia="宋体" w:cs="Times New Roman"/>
                <w:lang w:val="en-US" w:eastAsia="zh-CN"/>
              </w:rPr>
            </w:pPr>
            <w:r>
              <w:rPr>
                <w:rFonts w:hint="eastAsia" w:ascii="宋体" w:hAnsi="宋体" w:eastAsia="宋体" w:cs="Times New Roman"/>
                <w:lang w:val="en-US" w:eastAsia="zh-CN"/>
              </w:rPr>
              <w:t>责任扩展</w:t>
            </w:r>
          </w:p>
        </w:tc>
        <w:tc>
          <w:tcPr>
            <w:tcW w:w="752" w:type="dxa"/>
            <w:noWrap w:val="0"/>
            <w:vAlign w:val="center"/>
          </w:tcPr>
          <w:p w14:paraId="5FEA5FBA">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10</w:t>
            </w:r>
          </w:p>
        </w:tc>
        <w:tc>
          <w:tcPr>
            <w:tcW w:w="4297" w:type="dxa"/>
            <w:noWrap w:val="0"/>
            <w:vAlign w:val="center"/>
          </w:tcPr>
          <w:p w14:paraId="3AC0E487">
            <w:pPr>
              <w:spacing w:line="400" w:lineRule="exact"/>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szCs w:val="21"/>
                <w:lang w:val="en-US" w:eastAsia="zh-CN"/>
              </w:rPr>
              <w:t>根据供应商对项目采购需求内容“责任扩展可选择约定承诺”，全部选择承诺的，得10分，每减少一条，扣2分，扣完为止。</w:t>
            </w:r>
          </w:p>
        </w:tc>
        <w:tc>
          <w:tcPr>
            <w:tcW w:w="2498" w:type="dxa"/>
            <w:noWrap w:val="0"/>
            <w:vAlign w:val="center"/>
          </w:tcPr>
          <w:p w14:paraId="68D5795C">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提供承诺书</w:t>
            </w:r>
          </w:p>
        </w:tc>
      </w:tr>
    </w:tbl>
    <w:p w14:paraId="45724413">
      <w:pPr>
        <w:numPr>
          <w:ilvl w:val="0"/>
          <w:numId w:val="0"/>
        </w:numPr>
        <w:rPr>
          <w:rFonts w:hint="eastAsia"/>
        </w:rPr>
      </w:pPr>
    </w:p>
    <w:p w14:paraId="4268ED05">
      <w:pPr>
        <w:keepNext/>
        <w:keepLines/>
        <w:numPr>
          <w:ilvl w:val="2"/>
          <w:numId w:val="0"/>
        </w:numPr>
        <w:tabs>
          <w:tab w:val="left" w:pos="0"/>
        </w:tabs>
        <w:spacing w:before="50" w:line="400" w:lineRule="exact"/>
        <w:outlineLvl w:val="2"/>
        <w:rPr>
          <w:rFonts w:ascii="宋体" w:hAnsi="宋体" w:cs="宋体"/>
          <w:color w:val="000000"/>
          <w:sz w:val="21"/>
          <w:szCs w:val="21"/>
          <w:highlight w:val="none"/>
        </w:rPr>
      </w:pPr>
      <w:r>
        <w:rPr>
          <w:rFonts w:hint="eastAsia" w:ascii="宋体" w:hAnsi="宋体" w:cs="宋体"/>
          <w:color w:val="000000"/>
          <w:sz w:val="21"/>
          <w:szCs w:val="21"/>
          <w:highlight w:val="none"/>
        </w:rPr>
        <w:t>说明：</w:t>
      </w:r>
    </w:p>
    <w:p w14:paraId="569E03A2">
      <w:pPr>
        <w:spacing w:line="400" w:lineRule="exact"/>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1.评分细则中要求提供的证明文件及资料等在</w:t>
      </w:r>
      <w:r>
        <w:rPr>
          <w:rFonts w:hint="eastAsia" w:ascii="宋体" w:hAnsi="宋体" w:cs="宋体"/>
          <w:color w:val="000000"/>
          <w:sz w:val="21"/>
          <w:szCs w:val="21"/>
          <w:highlight w:val="none"/>
          <w:lang w:val="en-US" w:eastAsia="zh-CN"/>
        </w:rPr>
        <w:t>响应</w:t>
      </w:r>
      <w:r>
        <w:rPr>
          <w:rFonts w:hint="eastAsia" w:ascii="宋体" w:hAnsi="宋体" w:cs="宋体"/>
          <w:color w:val="000000"/>
          <w:sz w:val="21"/>
          <w:szCs w:val="21"/>
          <w:highlight w:val="none"/>
        </w:rPr>
        <w:t>文件中提供</w:t>
      </w:r>
      <w:r>
        <w:rPr>
          <w:rFonts w:hint="eastAsia" w:ascii="宋体" w:hAnsi="宋体" w:cs="宋体"/>
          <w:color w:val="000000"/>
          <w:sz w:val="21"/>
          <w:szCs w:val="21"/>
          <w:highlight w:val="none"/>
          <w:lang w:eastAsia="zh-CN"/>
        </w:rPr>
        <w:t>电子件或扫描件（加盖公章）。</w:t>
      </w:r>
    </w:p>
    <w:p w14:paraId="0A14D5AF">
      <w:pPr>
        <w:spacing w:line="40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2.评审时，未能按以上要求提供相应证明的，不作为评审依据，不得分。</w:t>
      </w:r>
    </w:p>
    <w:p w14:paraId="30A5E0BE">
      <w:pPr>
        <w:widowControl/>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793" w:name="_Toc104818928"/>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采购需求</w:t>
      </w:r>
      <w:bookmarkEnd w:id="793"/>
    </w:p>
    <w:p w14:paraId="40ED7037">
      <w:pPr>
        <w:pStyle w:val="278"/>
        <w:numPr>
          <w:ilvl w:val="0"/>
          <w:numId w:val="0"/>
        </w:numPr>
        <w:spacing w:line="360" w:lineRule="auto"/>
        <w:ind w:left="500" w:hanging="500"/>
        <w:contextualSpacing/>
        <w:rPr>
          <w:rFonts w:ascii="Times New Roman" w:hAnsi="Times New Roman"/>
          <w:b/>
          <w:sz w:val="24"/>
          <w:szCs w:val="24"/>
        </w:rPr>
      </w:pPr>
      <w:bookmarkStart w:id="794" w:name="_Toc104818929"/>
      <w:r>
        <w:rPr>
          <w:rFonts w:ascii="Times New Roman" w:hAnsi="Times New Roman"/>
          <w:b/>
          <w:sz w:val="24"/>
          <w:szCs w:val="24"/>
          <w:lang w:val="en-US" w:eastAsia="zh-CN" w:bidi="ar-SA"/>
        </w:rPr>
        <w:t>一、</w:t>
      </w:r>
      <w:r>
        <w:rPr>
          <w:rFonts w:ascii="Times New Roman" w:hAnsi="Times New Roman"/>
          <w:b/>
          <w:sz w:val="24"/>
          <w:szCs w:val="24"/>
        </w:rPr>
        <w:t>采购标的</w:t>
      </w:r>
    </w:p>
    <w:p w14:paraId="376EC742">
      <w:pPr>
        <w:numPr>
          <w:ilvl w:val="0"/>
          <w:numId w:val="0"/>
        </w:numPr>
        <w:spacing w:line="360" w:lineRule="auto"/>
        <w:ind w:firstLine="480"/>
        <w:contextualSpacing/>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采购项目名称：溧阳市残疾人商业补充保险</w:t>
      </w:r>
    </w:p>
    <w:p w14:paraId="2A03909B">
      <w:pPr>
        <w:numPr>
          <w:ilvl w:val="0"/>
          <w:numId w:val="0"/>
        </w:numPr>
        <w:spacing w:line="360" w:lineRule="auto"/>
        <w:contextualSpacing/>
        <w:rPr>
          <w:rFonts w:hint="eastAsia" w:ascii="Times New Roman" w:hAnsi="Times New Roman" w:eastAsia="宋体" w:cs="Times New Roman"/>
          <w:b/>
          <w:bCs/>
          <w:sz w:val="24"/>
          <w:highlight w:val="none"/>
          <w:lang w:val="en-US" w:eastAsia="zh-CN"/>
        </w:rPr>
      </w:pPr>
      <w:r>
        <w:rPr>
          <w:rFonts w:ascii="Times New Roman" w:hAnsi="Times New Roman" w:eastAsia="宋体" w:cs="Times New Roman"/>
          <w:b/>
          <w:bCs/>
          <w:sz w:val="24"/>
          <w:highlight w:val="none"/>
          <w:lang w:val="en-US" w:eastAsia="zh-CN"/>
        </w:rPr>
        <w:t>二、</w:t>
      </w:r>
      <w:r>
        <w:rPr>
          <w:rFonts w:hint="eastAsia" w:ascii="Times New Roman" w:hAnsi="Times New Roman" w:eastAsia="宋体" w:cs="Times New Roman"/>
          <w:b/>
          <w:bCs/>
          <w:sz w:val="24"/>
          <w:highlight w:val="none"/>
          <w:lang w:val="en-US" w:eastAsia="zh-CN"/>
        </w:rPr>
        <w:t>商务要求</w:t>
      </w:r>
    </w:p>
    <w:p w14:paraId="1976D8AD">
      <w:pPr>
        <w:numPr>
          <w:ilvl w:val="0"/>
          <w:numId w:val="0"/>
        </w:numPr>
        <w:spacing w:line="360" w:lineRule="auto"/>
        <w:ind w:firstLine="480"/>
        <w:contextualSpacing/>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r>
        <w:rPr>
          <w:rFonts w:hint="eastAsia" w:ascii="宋体" w:hAnsi="宋体" w:eastAsia="宋体" w:cs="宋体"/>
          <w:sz w:val="24"/>
          <w:highlight w:val="none"/>
        </w:rPr>
        <w:t>合同履行期限：</w:t>
      </w:r>
      <w:r>
        <w:rPr>
          <w:rFonts w:hint="eastAsia" w:ascii="宋体" w:hAnsi="宋体" w:eastAsia="宋体" w:cs="宋体"/>
          <w:sz w:val="24"/>
          <w:highlight w:val="none"/>
          <w:lang w:val="en-US" w:eastAsia="zh-CN"/>
        </w:rPr>
        <w:t>2年。</w:t>
      </w:r>
    </w:p>
    <w:p w14:paraId="2530873A">
      <w:pPr>
        <w:numPr>
          <w:ilvl w:val="0"/>
          <w:numId w:val="0"/>
        </w:numPr>
        <w:spacing w:line="360" w:lineRule="auto"/>
        <w:ind w:firstLine="480"/>
        <w:contextualSpacing/>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2.付款方式：合同签订后，在当年办理投保手续时，一次性付清当年保险费（</w:t>
      </w:r>
      <w:r>
        <w:rPr>
          <w:rFonts w:hint="eastAsia" w:ascii="宋体" w:hAnsi="宋体" w:cs="宋体"/>
          <w:sz w:val="24"/>
        </w:rPr>
        <w:t>按实际发生参保人数计算</w:t>
      </w:r>
      <w:r>
        <w:rPr>
          <w:rFonts w:hint="eastAsia" w:ascii="Times New Roman" w:hAnsi="Times New Roman" w:eastAsia="宋体" w:cs="Times New Roman"/>
          <w:sz w:val="24"/>
          <w:highlight w:val="none"/>
          <w:lang w:val="en-US" w:eastAsia="zh-CN"/>
        </w:rPr>
        <w:t>）。</w:t>
      </w:r>
    </w:p>
    <w:p w14:paraId="6CDB0A8D">
      <w:pPr>
        <w:widowControl/>
        <w:jc w:val="both"/>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三、技术要求</w:t>
      </w:r>
    </w:p>
    <w:p w14:paraId="33952D2F">
      <w:pPr>
        <w:widowControl/>
        <w:ind w:firstLine="480"/>
        <w:jc w:val="both"/>
        <w:rPr>
          <w:rFonts w:hint="eastAsia" w:ascii="宋体" w:hAnsi="宋体" w:eastAsia="宋体" w:cs="宋体"/>
          <w:b/>
          <w:color w:val="000000"/>
          <w:sz w:val="24"/>
          <w:szCs w:val="24"/>
          <w:highlight w:val="none"/>
          <w:lang w:val="en-US" w:eastAsia="zh-CN"/>
        </w:rPr>
      </w:pPr>
      <w:r>
        <w:rPr>
          <w:rFonts w:hint="eastAsia" w:ascii="宋体" w:hAnsi="宋体" w:eastAsia="宋体"/>
          <w:sz w:val="24"/>
          <w:szCs w:val="24"/>
        </w:rPr>
        <w:t>人均保费130元/人/年，合计人数约2万人/年</w:t>
      </w:r>
      <w:r>
        <w:rPr>
          <w:rFonts w:hint="eastAsia" w:ascii="宋体" w:hAnsi="宋体" w:eastAsia="宋体"/>
          <w:sz w:val="24"/>
          <w:szCs w:val="24"/>
          <w:lang w:eastAsia="zh-CN"/>
        </w:rPr>
        <w:t>。</w:t>
      </w:r>
    </w:p>
    <w:p w14:paraId="2DA8FD36">
      <w:pPr>
        <w:widowControl/>
        <w:ind w:firstLine="482"/>
        <w:jc w:val="both"/>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1.其他要求</w:t>
      </w:r>
    </w:p>
    <w:tbl>
      <w:tblPr>
        <w:tblStyle w:val="28"/>
        <w:tblW w:w="9018" w:type="dxa"/>
        <w:tblInd w:w="-113" w:type="dxa"/>
        <w:tblLayout w:type="autofit"/>
        <w:tblCellMar>
          <w:top w:w="0" w:type="dxa"/>
          <w:left w:w="108" w:type="dxa"/>
          <w:bottom w:w="0" w:type="dxa"/>
          <w:right w:w="108" w:type="dxa"/>
        </w:tblCellMar>
      </w:tblPr>
      <w:tblGrid>
        <w:gridCol w:w="1954"/>
        <w:gridCol w:w="1503"/>
        <w:gridCol w:w="5561"/>
      </w:tblGrid>
      <w:tr w14:paraId="62892E48">
        <w:trPr>
          <w:trHeight w:val="446" w:hRule="atLeast"/>
        </w:trPr>
        <w:tc>
          <w:tcPr>
            <w:tcW w:w="1954" w:type="dxa"/>
            <w:tcBorders>
              <w:top w:val="single" w:color="000000" w:sz="4" w:space="0"/>
              <w:left w:val="single" w:color="000000" w:sz="4" w:space="0"/>
              <w:bottom w:val="single" w:color="000000" w:sz="4" w:space="0"/>
              <w:right w:val="single" w:color="000000" w:sz="4" w:space="0"/>
            </w:tcBorders>
            <w:noWrap/>
            <w:vAlign w:val="center"/>
          </w:tcPr>
          <w:p w14:paraId="39662BBF">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保险责任</w:t>
            </w:r>
          </w:p>
        </w:tc>
        <w:tc>
          <w:tcPr>
            <w:tcW w:w="1503" w:type="dxa"/>
            <w:tcBorders>
              <w:top w:val="single" w:color="000000" w:sz="4" w:space="0"/>
              <w:left w:val="nil"/>
              <w:bottom w:val="single" w:color="000000" w:sz="4" w:space="0"/>
              <w:right w:val="single" w:color="000000" w:sz="4" w:space="0"/>
            </w:tcBorders>
            <w:noWrap/>
            <w:vAlign w:val="center"/>
          </w:tcPr>
          <w:p w14:paraId="2C8F164D">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保障</w:t>
            </w:r>
          </w:p>
        </w:tc>
        <w:tc>
          <w:tcPr>
            <w:tcW w:w="5561" w:type="dxa"/>
            <w:tcBorders>
              <w:top w:val="single" w:color="000000" w:sz="4" w:space="0"/>
              <w:left w:val="nil"/>
              <w:bottom w:val="single" w:color="000000" w:sz="4" w:space="0"/>
              <w:right w:val="single" w:color="000000" w:sz="4" w:space="0"/>
            </w:tcBorders>
            <w:noWrap w:val="0"/>
            <w:vAlign w:val="center"/>
          </w:tcPr>
          <w:p w14:paraId="55CE6021">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理赔规则</w:t>
            </w:r>
          </w:p>
        </w:tc>
      </w:tr>
      <w:tr w14:paraId="42D3BBC1">
        <w:tblPrEx>
          <w:tblCellMar>
            <w:top w:w="0" w:type="dxa"/>
            <w:left w:w="108" w:type="dxa"/>
            <w:bottom w:w="0" w:type="dxa"/>
            <w:right w:w="108" w:type="dxa"/>
          </w:tblCellMar>
        </w:tblPrEx>
        <w:trPr>
          <w:trHeight w:val="469" w:hRule="atLeast"/>
        </w:trPr>
        <w:tc>
          <w:tcPr>
            <w:tcW w:w="1954" w:type="dxa"/>
            <w:tcBorders>
              <w:top w:val="nil"/>
              <w:left w:val="single" w:color="000000" w:sz="4" w:space="0"/>
              <w:bottom w:val="single" w:color="000000" w:sz="4" w:space="0"/>
              <w:right w:val="single" w:color="000000" w:sz="4" w:space="0"/>
            </w:tcBorders>
            <w:noWrap/>
            <w:vAlign w:val="center"/>
          </w:tcPr>
          <w:p w14:paraId="4BEA37E8">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重大疾病</w:t>
            </w:r>
          </w:p>
        </w:tc>
        <w:tc>
          <w:tcPr>
            <w:tcW w:w="1503" w:type="dxa"/>
            <w:tcBorders>
              <w:top w:val="nil"/>
              <w:left w:val="nil"/>
              <w:bottom w:val="single" w:color="000000" w:sz="4" w:space="0"/>
              <w:right w:val="single" w:color="000000" w:sz="4" w:space="0"/>
            </w:tcBorders>
            <w:noWrap/>
            <w:vAlign w:val="center"/>
          </w:tcPr>
          <w:p w14:paraId="38025001">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4万</w:t>
            </w:r>
          </w:p>
        </w:tc>
        <w:tc>
          <w:tcPr>
            <w:tcW w:w="5561" w:type="dxa"/>
            <w:tcBorders>
              <w:top w:val="nil"/>
              <w:left w:val="nil"/>
              <w:bottom w:val="single" w:color="000000" w:sz="4" w:space="0"/>
              <w:right w:val="single" w:color="000000" w:sz="4" w:space="0"/>
            </w:tcBorders>
            <w:noWrap w:val="0"/>
            <w:vAlign w:val="center"/>
          </w:tcPr>
          <w:p w14:paraId="23B3326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50种重大疾病</w:t>
            </w:r>
          </w:p>
        </w:tc>
      </w:tr>
      <w:tr w14:paraId="75C05C67">
        <w:tblPrEx>
          <w:tblCellMar>
            <w:top w:w="0" w:type="dxa"/>
            <w:left w:w="108" w:type="dxa"/>
            <w:bottom w:w="0" w:type="dxa"/>
            <w:right w:w="108" w:type="dxa"/>
          </w:tblCellMar>
        </w:tblPrEx>
        <w:trPr>
          <w:trHeight w:val="1372" w:hRule="atLeast"/>
        </w:trPr>
        <w:tc>
          <w:tcPr>
            <w:tcW w:w="1954" w:type="dxa"/>
            <w:tcBorders>
              <w:top w:val="nil"/>
              <w:left w:val="single" w:color="000000" w:sz="4" w:space="0"/>
              <w:bottom w:val="single" w:color="000000" w:sz="4" w:space="0"/>
              <w:right w:val="single" w:color="000000" w:sz="4" w:space="0"/>
            </w:tcBorders>
            <w:noWrap/>
            <w:vAlign w:val="center"/>
          </w:tcPr>
          <w:p w14:paraId="2A533226">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疾病住院</w:t>
            </w:r>
          </w:p>
          <w:p w14:paraId="589646BD">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大额医疗费用</w:t>
            </w:r>
          </w:p>
        </w:tc>
        <w:tc>
          <w:tcPr>
            <w:tcW w:w="1503" w:type="dxa"/>
            <w:tcBorders>
              <w:top w:val="nil"/>
              <w:left w:val="nil"/>
              <w:bottom w:val="single" w:color="000000" w:sz="4" w:space="0"/>
              <w:right w:val="single" w:color="000000" w:sz="4" w:space="0"/>
            </w:tcBorders>
            <w:noWrap/>
            <w:vAlign w:val="center"/>
          </w:tcPr>
          <w:p w14:paraId="332E1205">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5万</w:t>
            </w:r>
          </w:p>
        </w:tc>
        <w:tc>
          <w:tcPr>
            <w:tcW w:w="5561" w:type="dxa"/>
            <w:tcBorders>
              <w:top w:val="nil"/>
              <w:left w:val="nil"/>
              <w:bottom w:val="single" w:color="000000" w:sz="4" w:space="0"/>
              <w:right w:val="single" w:color="000000" w:sz="4" w:space="0"/>
            </w:tcBorders>
            <w:noWrap w:val="0"/>
            <w:vAlign w:val="center"/>
          </w:tcPr>
          <w:p w14:paraId="42A13935">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有医保：免赔额8千元/次，赔付比例按分级累进：8千元-1.8万元部30%；1.8万元以上-2.8万元部分60%；2.8万元以上部分80%。</w:t>
            </w:r>
          </w:p>
          <w:p w14:paraId="3E5E7B5F">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无医保：免赔额1万元/次，赔付比例15%</w:t>
            </w:r>
          </w:p>
        </w:tc>
      </w:tr>
      <w:tr w14:paraId="3B2CEE6A">
        <w:tblPrEx>
          <w:tblCellMar>
            <w:top w:w="0" w:type="dxa"/>
            <w:left w:w="108" w:type="dxa"/>
            <w:bottom w:w="0" w:type="dxa"/>
            <w:right w:w="108" w:type="dxa"/>
          </w:tblCellMar>
        </w:tblPrEx>
        <w:trPr>
          <w:trHeight w:val="1062" w:hRule="atLeast"/>
        </w:trPr>
        <w:tc>
          <w:tcPr>
            <w:tcW w:w="1954" w:type="dxa"/>
            <w:tcBorders>
              <w:top w:val="nil"/>
              <w:left w:val="single" w:color="000000" w:sz="4" w:space="0"/>
              <w:bottom w:val="single" w:color="000000" w:sz="4" w:space="0"/>
              <w:right w:val="single" w:color="000000" w:sz="4" w:space="0"/>
            </w:tcBorders>
            <w:noWrap/>
            <w:vAlign w:val="center"/>
          </w:tcPr>
          <w:p w14:paraId="76DC6D03">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意外住院津贴</w:t>
            </w:r>
          </w:p>
        </w:tc>
        <w:tc>
          <w:tcPr>
            <w:tcW w:w="1503" w:type="dxa"/>
            <w:tcBorders>
              <w:top w:val="nil"/>
              <w:left w:val="nil"/>
              <w:bottom w:val="single" w:color="000000" w:sz="4" w:space="0"/>
              <w:right w:val="single" w:color="000000" w:sz="4" w:space="0"/>
            </w:tcBorders>
            <w:noWrap/>
            <w:vAlign w:val="center"/>
          </w:tcPr>
          <w:p w14:paraId="2F695897">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200元/天</w:t>
            </w:r>
          </w:p>
          <w:p w14:paraId="2E101F04">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300元/天</w:t>
            </w:r>
          </w:p>
        </w:tc>
        <w:tc>
          <w:tcPr>
            <w:tcW w:w="5561" w:type="dxa"/>
            <w:tcBorders>
              <w:top w:val="nil"/>
              <w:left w:val="nil"/>
              <w:bottom w:val="single" w:color="000000" w:sz="4" w:space="0"/>
              <w:right w:val="single" w:color="000000" w:sz="4" w:space="0"/>
            </w:tcBorders>
            <w:noWrap w:val="0"/>
            <w:vAlign w:val="center"/>
          </w:tcPr>
          <w:p w14:paraId="7F03608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意外住院，按住院天数，定额给付200元/天（59岁及以下）；300元/天（60岁及以上）</w:t>
            </w:r>
          </w:p>
          <w:p w14:paraId="0AE25A44">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单次90天为限，全年180天为限。</w:t>
            </w:r>
          </w:p>
        </w:tc>
      </w:tr>
      <w:tr w14:paraId="56DBD68E">
        <w:tblPrEx>
          <w:tblCellMar>
            <w:top w:w="0" w:type="dxa"/>
            <w:left w:w="108" w:type="dxa"/>
            <w:bottom w:w="0" w:type="dxa"/>
            <w:right w:w="108" w:type="dxa"/>
          </w:tblCellMar>
        </w:tblPrEx>
        <w:trPr>
          <w:trHeight w:val="791" w:hRule="atLeast"/>
        </w:trPr>
        <w:tc>
          <w:tcPr>
            <w:tcW w:w="1954" w:type="dxa"/>
            <w:tcBorders>
              <w:top w:val="nil"/>
              <w:left w:val="single" w:color="000000" w:sz="4" w:space="0"/>
              <w:bottom w:val="single" w:color="000000" w:sz="4" w:space="0"/>
              <w:right w:val="single" w:color="000000" w:sz="4" w:space="0"/>
            </w:tcBorders>
            <w:noWrap/>
            <w:vAlign w:val="center"/>
          </w:tcPr>
          <w:p w14:paraId="11E30E9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意外医疗费用</w:t>
            </w:r>
          </w:p>
        </w:tc>
        <w:tc>
          <w:tcPr>
            <w:tcW w:w="1503" w:type="dxa"/>
            <w:tcBorders>
              <w:top w:val="nil"/>
              <w:left w:val="nil"/>
              <w:bottom w:val="single" w:color="000000" w:sz="4" w:space="0"/>
              <w:right w:val="single" w:color="000000" w:sz="4" w:space="0"/>
            </w:tcBorders>
            <w:noWrap/>
            <w:vAlign w:val="center"/>
          </w:tcPr>
          <w:p w14:paraId="10E2818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10万</w:t>
            </w:r>
          </w:p>
        </w:tc>
        <w:tc>
          <w:tcPr>
            <w:tcW w:w="5561" w:type="dxa"/>
            <w:tcBorders>
              <w:top w:val="nil"/>
              <w:left w:val="nil"/>
              <w:bottom w:val="single" w:color="000000" w:sz="4" w:space="0"/>
              <w:right w:val="single" w:color="000000" w:sz="4" w:space="0"/>
            </w:tcBorders>
            <w:noWrap w:val="0"/>
            <w:vAlign w:val="center"/>
          </w:tcPr>
          <w:p w14:paraId="30DCA62D">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有医保，免赔额0元/次，给付比例100%</w:t>
            </w:r>
          </w:p>
          <w:p w14:paraId="280B0D5E">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无医保，免赔额50元/次，给付比例70%</w:t>
            </w:r>
          </w:p>
        </w:tc>
      </w:tr>
      <w:tr w14:paraId="5FF1415E">
        <w:tblPrEx>
          <w:tblCellMar>
            <w:top w:w="0" w:type="dxa"/>
            <w:left w:w="108" w:type="dxa"/>
            <w:bottom w:w="0" w:type="dxa"/>
            <w:right w:w="108" w:type="dxa"/>
          </w:tblCellMar>
        </w:tblPrEx>
        <w:trPr>
          <w:trHeight w:val="1874" w:hRule="atLeast"/>
        </w:trPr>
        <w:tc>
          <w:tcPr>
            <w:tcW w:w="1954" w:type="dxa"/>
            <w:tcBorders>
              <w:top w:val="nil"/>
              <w:left w:val="single" w:color="000000" w:sz="4" w:space="0"/>
              <w:bottom w:val="single" w:color="000000" w:sz="4" w:space="0"/>
              <w:right w:val="single" w:color="000000" w:sz="4" w:space="0"/>
            </w:tcBorders>
            <w:noWrap/>
            <w:vAlign w:val="center"/>
          </w:tcPr>
          <w:p w14:paraId="5967DBAB">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意外身故</w:t>
            </w:r>
          </w:p>
          <w:p w14:paraId="3C315529">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及伤残</w:t>
            </w:r>
          </w:p>
        </w:tc>
        <w:tc>
          <w:tcPr>
            <w:tcW w:w="1503" w:type="dxa"/>
            <w:tcBorders>
              <w:top w:val="nil"/>
              <w:left w:val="nil"/>
              <w:bottom w:val="single" w:color="000000" w:sz="4" w:space="0"/>
              <w:right w:val="single" w:color="000000" w:sz="4" w:space="0"/>
            </w:tcBorders>
            <w:noWrap/>
            <w:vAlign w:val="center"/>
          </w:tcPr>
          <w:p w14:paraId="410A70B5">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5万</w:t>
            </w:r>
          </w:p>
        </w:tc>
        <w:tc>
          <w:tcPr>
            <w:tcW w:w="5561" w:type="dxa"/>
            <w:tcBorders>
              <w:top w:val="nil"/>
              <w:left w:val="nil"/>
              <w:bottom w:val="single" w:color="000000" w:sz="4" w:space="0"/>
              <w:right w:val="single" w:color="000000" w:sz="4" w:space="0"/>
            </w:tcBorders>
            <w:noWrap w:val="0"/>
            <w:vAlign w:val="center"/>
          </w:tcPr>
          <w:p w14:paraId="6583A71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59岁及以下，承担所有意外伤害类型。</w:t>
            </w:r>
          </w:p>
          <w:p w14:paraId="314E2984">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60岁及以上，承担以下意外伤害类型：意外伤害类型仅限：交通事故（含行人/车辆/轮船/火车/飞机）、锐器伤（刀割、刺伤）、烧烫伤、火灾、爆炸、触电、中毒；（其他意外伤害类型，不承担保险责任）</w:t>
            </w:r>
          </w:p>
        </w:tc>
      </w:tr>
    </w:tbl>
    <w:p w14:paraId="12B697C5">
      <w:pPr>
        <w:ind w:firstLine="426"/>
        <w:rPr>
          <w:rFonts w:hint="eastAsia" w:ascii="宋体" w:hAnsi="宋体" w:eastAsia="宋体"/>
          <w:b/>
          <w:bCs/>
          <w:sz w:val="24"/>
          <w:szCs w:val="24"/>
        </w:rPr>
      </w:pPr>
      <w:r>
        <w:rPr>
          <w:rFonts w:hint="eastAsia" w:ascii="宋体" w:hAnsi="宋体" w:eastAsia="宋体"/>
          <w:b/>
          <w:bCs/>
          <w:sz w:val="24"/>
          <w:szCs w:val="24"/>
        </w:rPr>
        <w:t>在以上保障方案中，针对以下特定人群，差异化调整保障额度。</w:t>
      </w:r>
    </w:p>
    <w:p w14:paraId="7A5C776E">
      <w:pPr>
        <w:ind w:firstLine="424"/>
        <w:rPr>
          <w:rFonts w:hint="eastAsia" w:ascii="宋体" w:hAnsi="宋体" w:eastAsia="宋体"/>
          <w:sz w:val="24"/>
          <w:szCs w:val="24"/>
        </w:rPr>
      </w:pPr>
      <w:r>
        <w:rPr>
          <w:rFonts w:hint="eastAsia" w:ascii="宋体" w:hAnsi="宋体" w:eastAsia="宋体"/>
          <w:sz w:val="24"/>
          <w:szCs w:val="24"/>
        </w:rPr>
        <w:t>1、对于存在“智力”和“精神”的残疾人员：提升“意外医疗费用”保障额度至13万；降低“意外身故”保障至2万元。</w:t>
      </w:r>
    </w:p>
    <w:p w14:paraId="6B424FC9">
      <w:pPr>
        <w:ind w:firstLine="424"/>
        <w:rPr>
          <w:rFonts w:hint="eastAsia" w:ascii="宋体" w:hAnsi="宋体" w:eastAsia="宋体"/>
          <w:sz w:val="24"/>
          <w:szCs w:val="24"/>
        </w:rPr>
      </w:pPr>
      <w:r>
        <w:rPr>
          <w:rFonts w:hint="eastAsia" w:ascii="宋体" w:hAnsi="宋体" w:eastAsia="宋体"/>
          <w:sz w:val="24"/>
          <w:szCs w:val="24"/>
        </w:rPr>
        <w:t>2、对于残疾等级为“一级（极重度）和二级（重度）”的人员：提升“疾病住院大额医疗费用”保额额度至6万元。</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往年重度残疾人数约9200人，仅供参考，具体以实际为准</w:t>
      </w:r>
      <w:r>
        <w:rPr>
          <w:rFonts w:hint="eastAsia" w:ascii="宋体" w:hAnsi="宋体" w:cs="宋体"/>
          <w:color w:val="000000"/>
          <w:sz w:val="24"/>
          <w:szCs w:val="24"/>
          <w:lang w:eastAsia="zh-CN"/>
        </w:rPr>
        <w:t>）</w:t>
      </w:r>
    </w:p>
    <w:p w14:paraId="29B047B4">
      <w:pPr>
        <w:ind w:firstLine="424"/>
        <w:rPr>
          <w:rFonts w:hint="eastAsia" w:ascii="宋体" w:hAnsi="宋体" w:eastAsia="宋体" w:cs="宋体"/>
          <w:color w:val="000000"/>
          <w:sz w:val="24"/>
          <w:szCs w:val="24"/>
          <w:lang w:eastAsia="zh-CN"/>
        </w:rPr>
      </w:pPr>
      <w:r>
        <w:rPr>
          <w:rFonts w:hint="eastAsia" w:ascii="宋体" w:hAnsi="宋体" w:eastAsia="宋体"/>
          <w:sz w:val="24"/>
          <w:szCs w:val="24"/>
        </w:rPr>
        <w:t>3、对于低保和低保边缘的困难残疾人：“重大疾病”保险额度提升至5万元，“意外住院津贴”定额给付提升至250元/天</w:t>
      </w:r>
      <w:r>
        <w:rPr>
          <w:rFonts w:hint="eastAsia" w:ascii="宋体" w:hAnsi="宋体" w:eastAsia="宋体" w:cs="宋体"/>
          <w:color w:val="000000"/>
          <w:sz w:val="24"/>
          <w:szCs w:val="24"/>
        </w:rPr>
        <w:t>（59岁及以下）</w:t>
      </w:r>
      <w:r>
        <w:rPr>
          <w:rFonts w:hint="eastAsia" w:ascii="宋体" w:hAnsi="宋体" w:eastAsia="宋体"/>
          <w:sz w:val="24"/>
          <w:szCs w:val="24"/>
        </w:rPr>
        <w:t>；350元/天</w:t>
      </w:r>
      <w:r>
        <w:rPr>
          <w:rFonts w:hint="eastAsia" w:ascii="宋体" w:hAnsi="宋体" w:eastAsia="宋体" w:cs="宋体"/>
          <w:color w:val="000000"/>
          <w:sz w:val="24"/>
          <w:szCs w:val="24"/>
        </w:rPr>
        <w:t>（60岁及以上）</w:t>
      </w:r>
      <w:r>
        <w:rPr>
          <w:rFonts w:hint="eastAsia" w:ascii="宋体" w:hAnsi="宋体" w:eastAsia="宋体" w:cs="宋体"/>
          <w:color w:val="000000"/>
          <w:sz w:val="24"/>
          <w:szCs w:val="24"/>
          <w:lang w:eastAsia="zh-CN"/>
        </w:rPr>
        <w:t>。</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往年困难人数约1400-1500人，仅供参考，具体以实际为准</w:t>
      </w:r>
      <w:r>
        <w:rPr>
          <w:rFonts w:hint="eastAsia" w:ascii="宋体" w:hAnsi="宋体" w:cs="宋体"/>
          <w:color w:val="000000"/>
          <w:sz w:val="24"/>
          <w:szCs w:val="24"/>
          <w:lang w:eastAsia="zh-CN"/>
        </w:rPr>
        <w:t>）</w:t>
      </w:r>
    </w:p>
    <w:p w14:paraId="1E48A442">
      <w:pPr>
        <w:ind w:firstLine="42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sz w:val="24"/>
          <w:highlight w:val="none"/>
          <w:lang w:val="en-US" w:eastAsia="zh-CN"/>
        </w:rPr>
        <w:t>参保人群：具有溧阳市常住户籍并持有第二代《中华人民共和国残疾人证》的残疾人。</w:t>
      </w:r>
    </w:p>
    <w:p w14:paraId="50559EDC">
      <w:pPr>
        <w:keepNext w:val="0"/>
        <w:keepLines w:val="0"/>
        <w:pageBreakBefore w:val="0"/>
        <w:widowControl/>
        <w:spacing w:line="360" w:lineRule="auto"/>
        <w:ind w:firstLine="482"/>
        <w:jc w:val="both"/>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2.基本要求</w:t>
      </w:r>
    </w:p>
    <w:p w14:paraId="7819D044">
      <w:pPr>
        <w:keepNext w:val="0"/>
        <w:keepLines w:val="0"/>
        <w:pageBreakBefore w:val="0"/>
        <w:spacing w:line="360" w:lineRule="auto"/>
        <w:ind w:firstLine="241"/>
        <w:rPr>
          <w:rFonts w:hint="eastAsia" w:ascii="新宋体" w:hAnsi="新宋体" w:eastAsia="新宋体" w:cs="新宋体"/>
          <w:b/>
          <w:bCs/>
          <w:color w:val="000000"/>
          <w:sz w:val="24"/>
          <w:szCs w:val="24"/>
          <w:highlight w:val="none"/>
          <w:u w:val="none"/>
        </w:rPr>
      </w:pPr>
      <w:r>
        <w:rPr>
          <w:rFonts w:hint="eastAsia" w:ascii="新宋体" w:hAnsi="新宋体" w:eastAsia="新宋体" w:cs="新宋体"/>
          <w:b/>
          <w:bCs/>
          <w:color w:val="000000"/>
          <w:sz w:val="24"/>
          <w:szCs w:val="24"/>
          <w:highlight w:val="none"/>
          <w:u w:val="none"/>
        </w:rPr>
        <w:t>（一）大病补充保险</w:t>
      </w:r>
    </w:p>
    <w:p w14:paraId="76C3462D">
      <w:pPr>
        <w:rPr>
          <w:rFonts w:hint="eastAsia" w:ascii="宋体" w:hAnsi="宋体" w:eastAsia="宋体"/>
          <w:b/>
          <w:bCs/>
          <w:sz w:val="24"/>
          <w:szCs w:val="24"/>
        </w:rPr>
      </w:pPr>
      <w:r>
        <w:rPr>
          <w:rFonts w:hint="eastAsia" w:ascii="宋体" w:hAnsi="宋体" w:eastAsia="宋体"/>
          <w:b/>
          <w:bCs/>
          <w:sz w:val="24"/>
          <w:szCs w:val="24"/>
        </w:rPr>
        <w:t>1、重大疾病</w:t>
      </w:r>
    </w:p>
    <w:p w14:paraId="2B34F393">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在本合同保险期间内，被保险人初次发生并经专科医生明确诊断患约定的重大疾病（50种重大疾病定义见附件）(无论一种或多种)，保险公司按约定金额给付重大疾病保险金，该被保险人的本项保险责任终止。</w:t>
      </w:r>
    </w:p>
    <w:p w14:paraId="598E8533">
      <w:pPr>
        <w:keepNext w:val="0"/>
        <w:keepLines w:val="0"/>
        <w:pageBreakBefore w:val="0"/>
        <w:widowControl w:val="0"/>
        <w:spacing w:line="360" w:lineRule="auto"/>
        <w:ind w:firstLine="424"/>
        <w:rPr>
          <w:rFonts w:hint="eastAsia" w:ascii="宋体" w:hAnsi="宋体" w:eastAsia="宋体"/>
          <w:color w:val="00B0F0"/>
          <w:sz w:val="24"/>
          <w:szCs w:val="24"/>
        </w:rPr>
      </w:pPr>
      <w:r>
        <w:rPr>
          <w:rFonts w:hint="eastAsia" w:ascii="宋体" w:hAnsi="宋体" w:eastAsia="宋体"/>
          <w:color w:val="00B0F0"/>
          <w:sz w:val="24"/>
          <w:szCs w:val="24"/>
        </w:rPr>
        <w:t>责任扩展可选择约定承诺：对于既往已患重疾的被保险人，承担合同期间内新发重疾和转移性重疾的保险责任。</w:t>
      </w:r>
    </w:p>
    <w:p w14:paraId="169DF46D">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2、疾病住院大额医疗费用</w:t>
      </w:r>
    </w:p>
    <w:p w14:paraId="3363E37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因疾病（不含意外伤害）在二级以上(含二级)医院住院诊疗，对被保险人实际支出的、符合当地基本医疗保险支付范围的住院医疗费用，保险公司按以下约定的给付比例给付保险金。</w:t>
      </w:r>
    </w:p>
    <w:p w14:paraId="5D46842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已从当地基本医疗保险、公费医疗、城乡居民大病保险、其他费用补偿型医疗保险和其他途径获得补偿或给付，对剩余未获补偿或给付的部分，每次医疗事件，保险公司在扣除免赔额8000元后，按分级累进比例给予赔付：8千元至1.8万元部分，给付比例为30%；1.8万元以上至2.8万元部分，给付比例为60%；2.8万元以上部分，给付比例为80%。</w:t>
      </w:r>
    </w:p>
    <w:p w14:paraId="0949F19D">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若被保险人未能从当地基本医疗保险、公费医疗、城乡居民大病保险、其他费用补偿型医疗保险和其他途径获得补偿或给付，每次医疗事件，保险公司在扣除免赔额1万元后，按15%的比例给予赔付。</w:t>
      </w:r>
    </w:p>
    <w:p w14:paraId="41887FAC">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保险公司对每一被保险人给付的保险金以约定金额为限，一次或累计给付的保险金达到约定金额时，对该被保险人的本项保险责任终止。保险期间届满被保险人治疗仍未结束的，保险公司继续承担给付保险金责任，但以保险期间届满的次日起连续九十日为限。</w:t>
      </w:r>
    </w:p>
    <w:p w14:paraId="0BA0C3D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6F70F7B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1、保险人因遗传性疾病、先天性畸形、变形或染色体异常，精神和行为障碍及投保前未治愈疾病导致的住院，保险公司仍承担赔付责任。</w:t>
      </w:r>
    </w:p>
    <w:p w14:paraId="4BF39BB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2、溧阳市医保中心认可的医疗机构均作为本保险认可的医疗机构。</w:t>
      </w:r>
    </w:p>
    <w:p w14:paraId="30C38235">
      <w:pPr>
        <w:keepNext w:val="0"/>
        <w:keepLines w:val="0"/>
        <w:pageBreakBefore w:val="0"/>
        <w:spacing w:line="360" w:lineRule="auto"/>
        <w:ind w:firstLine="241"/>
        <w:rPr>
          <w:rFonts w:hint="eastAsia" w:ascii="新宋体" w:hAnsi="新宋体" w:eastAsia="新宋体" w:cs="新宋体"/>
          <w:b/>
          <w:bCs/>
          <w:sz w:val="24"/>
          <w:szCs w:val="24"/>
        </w:rPr>
      </w:pPr>
      <w:r>
        <w:rPr>
          <w:rFonts w:hint="eastAsia" w:ascii="新宋体" w:hAnsi="新宋体" w:eastAsia="新宋体" w:cs="新宋体"/>
          <w:b/>
          <w:bCs/>
          <w:sz w:val="24"/>
          <w:szCs w:val="24"/>
        </w:rPr>
        <w:t>（二）意外伤害保险</w:t>
      </w:r>
    </w:p>
    <w:p w14:paraId="6DD7C0B0">
      <w:pPr>
        <w:keepNext w:val="0"/>
        <w:keepLines w:val="0"/>
        <w:pageBreakBefore w:val="0"/>
        <w:widowControl w:val="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1、意外身故与伤残</w:t>
      </w:r>
    </w:p>
    <w:p w14:paraId="444BBA7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身故：在本合同保险期间内，被保险人遭受意外伤害，并自该意外伤害发生之日起一百八十日内因该意外伤害导致身故的，保险公司按约定金额扣除已给付的意外伤残保险金后的余额，给付意外身故保险金，该被保险人本项保险责任终止。</w:t>
      </w:r>
    </w:p>
    <w:p w14:paraId="250CA36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伤残：在本合同保险期间内，被保险人遭受意外伤害，并自该意外伤害发生之日起一百八十日内因该意外伤害导致身体伤残的，保险公司根据《人身保险伤残评定及代码》(GB/T44893-2024)确定的伤残程度及其对应的保险金给付比例，按约定金额乘以该处伤残的伤残等级所对应的保险金给付比例，给付意外伤残保险金。伤残等级与保险金给付比例为：一级100%、二级90%、三级80%、四级70%、</w:t>
      </w:r>
      <w:r>
        <w:rPr>
          <w:rFonts w:hint="eastAsia" w:ascii="Segoe UI Emoji" w:hAnsi="Segoe UI Emoji" w:eastAsia="宋体" w:cs="Segoe UI Emoji"/>
          <w:sz w:val="24"/>
          <w:szCs w:val="24"/>
        </w:rPr>
        <w:t>五</w:t>
      </w:r>
      <w:r>
        <w:rPr>
          <w:rFonts w:hint="eastAsia" w:ascii="宋体" w:hAnsi="宋体" w:eastAsia="宋体"/>
          <w:sz w:val="24"/>
          <w:szCs w:val="24"/>
        </w:rPr>
        <w:t>级60%、六级50%、七级40%、八级30%、九级20%、十级10%。保险公司对每一被保险人给付的累计保险金之和以5万元为限，一次或累计给付的上述各项保险金之和达到5万元时，本合同对该被保险人的伤残保险责任终止。</w:t>
      </w:r>
    </w:p>
    <w:p w14:paraId="7C91A441">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特别约定：投保年龄在59周岁及以下人员，承担所有意外伤害类型的本项保险责任。投保年龄在60周岁及以上人员，仅只承担以下意外伤害类型的本项保险责任，其他类型的意外伤害，不承担本项保险责任：</w:t>
      </w:r>
    </w:p>
    <w:p w14:paraId="43EB6AB6">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（1）驾驶机动车/非机动车或者未使用交通工具发生的交通意外伤害事故，搭乘机动车、水上或轨道交通工具和飞机发生的意外伤害事故（需提供由公安机关(交警)出具的事故证明）</w:t>
      </w:r>
    </w:p>
    <w:p w14:paraId="6EB30FBC">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（2）锐器伤（刀割、刺伤）、烧烫伤的意外伤害事故（需提供医疗机构的检查报告及病历证明）</w:t>
      </w:r>
    </w:p>
    <w:p w14:paraId="732F82A4">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（3）火灾、爆炸、触电、中毒（需由公安机关或消防救援局出具的相关证明依据）</w:t>
      </w:r>
    </w:p>
    <w:p w14:paraId="5D4CC147">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2、意外医疗费用</w:t>
      </w:r>
    </w:p>
    <w:p w14:paraId="527828EE">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在本合同保险期间内，被保险人遭受意外伤害，并因该意外伤害在二级以上(含二级)医院诊疗，对被保险人实际支出的符合当地基本医疗保险支付范围的医疗费用，保险公司按以下约定的给付比例给付保险金。</w:t>
      </w:r>
    </w:p>
    <w:p w14:paraId="52270480">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若被保险人已从当地基本医疗保险、公费医疗、城乡居民大病保险、其他费用补偿型医疗保险和其他途径获得补偿或给付，对剩余未获补偿或给付的部分，每次医疗事件，保险公司按100%给予赔付。</w:t>
      </w:r>
    </w:p>
    <w:p w14:paraId="3D5B2286">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若被保险人未能从当地基本医疗保险、公费医疗、城乡居民大病保险、其他费用补偿型医疗保险和其他途径获得补偿或给付，每次医疗事件，保险公司在扣除免赔额50元后，按70%给予赔付。</w:t>
      </w:r>
    </w:p>
    <w:p w14:paraId="0CBA3CBD">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保险期间届满被保险人治疗仍未结束的，保险公司承担给付保险金责任的期限，自保险期间届满次日起，门(急)诊治疗最长为连续十五日；住院治疗至被保险人出院之日止，但最长为连续九十日。保险公司对每一被保险人给付的保险金以约定金额为限，数次或累计给付的保险金达到约定金额时，本合同对该被保险人的保险责任终止。</w:t>
      </w:r>
    </w:p>
    <w:p w14:paraId="1A273F88">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448122FF">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1、溧阳市医保中心认可的医疗机构均作为本保险认可的医疗机构。</w:t>
      </w:r>
    </w:p>
    <w:p w14:paraId="2EF0297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2、因热射病（或疑似中暑）导致的就医，承担本项保险责任。</w:t>
      </w:r>
    </w:p>
    <w:p w14:paraId="0C1FBEA3">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3、因蜱虫或毒虫咬伤（或疑似虫类咬伤）导致的就医，承担本项保险责任。</w:t>
      </w:r>
    </w:p>
    <w:p w14:paraId="1335B01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4、被动物咬伤（包含猫、狗、马蜂、蛇等）使用的抗狂犬病疫苗、血清、破伤风针等药品，视为目录范围内费用给予理赔。</w:t>
      </w:r>
    </w:p>
    <w:p w14:paraId="0A6FB91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5、因肢体残缺或肢体功能异常以及精神和行为障碍导致的意外伤害事故，承担本项保险责任</w:t>
      </w:r>
    </w:p>
    <w:p w14:paraId="6ADA8D87">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3、意外住院津贴</w:t>
      </w:r>
    </w:p>
    <w:p w14:paraId="5A0D0AC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遭受意外伤害，并因该意外伤害在二级以上(含二级)医院住院治疗，保险公司按约定金额乘以实际住院日数给付保险金，但对该被保险人每次住院的给付日数以九十日为限。该被保险人多次住院的，累计给付日数以一百八十日为限。若该被保险人本次住院治疗与前次住院原因相同，并且前次出院与本次入院间隔不超过三十日，则本次住院与前次住院视为同一次住院。</w:t>
      </w:r>
    </w:p>
    <w:p w14:paraId="7C3C8590">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3A7B9E5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1、溧阳市医保中心认可的医疗机构均作为本保险认可的医疗机构。</w:t>
      </w:r>
    </w:p>
    <w:p w14:paraId="6BA78051">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2、因热射病（或疑似中暑）导致医疗，承担本项保险责任。</w:t>
      </w:r>
    </w:p>
    <w:p w14:paraId="72368D4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3、因蜱虫或毒虫咬伤（或疑似虫类咬伤）导致医疗，承担本项保险责任。</w:t>
      </w:r>
    </w:p>
    <w:p w14:paraId="78D2012E">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4、因肢体残缺或肢体功能异常以及精神和行为障碍导致的意外伤害事故，承担本项保险责任</w:t>
      </w:r>
    </w:p>
    <w:p w14:paraId="4006E761">
      <w:pPr>
        <w:keepNext w:val="0"/>
        <w:keepLines w:val="0"/>
        <w:pageBreakBefore w:val="0"/>
        <w:widowControl w:val="0"/>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（三）责任免除</w:t>
      </w:r>
    </w:p>
    <w:p w14:paraId="26B1510C">
      <w:pPr>
        <w:keepNext w:val="0"/>
        <w:keepLines w:val="0"/>
        <w:pageBreakBefore w:val="0"/>
        <w:widowControl w:val="0"/>
        <w:spacing w:line="360" w:lineRule="auto"/>
        <w:ind w:firstLine="566"/>
        <w:rPr>
          <w:rFonts w:hint="eastAsia" w:ascii="宋体" w:hAnsi="宋体" w:eastAsia="宋体"/>
          <w:sz w:val="24"/>
          <w:szCs w:val="24"/>
        </w:rPr>
      </w:pPr>
      <w:r>
        <w:rPr>
          <w:rFonts w:hint="eastAsia" w:ascii="宋体" w:hAnsi="宋体" w:eastAsia="宋体"/>
          <w:sz w:val="24"/>
          <w:szCs w:val="24"/>
        </w:rPr>
        <w:t>1、被保险人发生下列情形之一，保险公司可不承担“重大疾病、疾病住院大额医疗费用、意外身故与伤残、意外医疗费用和意外住院津贴”的保险责任：被保险人故意自伤、故意犯罪或抗拒依法采取的刑事强制措施；被保险人斗殴、醉酒，服用、吸食或注射毒品；被保险人酒后驾驶、无合法有效驾驶证驾驶，或驾驶无合法有效行驶证的机动车；被保险人感染艾滋病病毒或患艾滋病；战争、军事冲突、暴乱或武装叛乱；核爆炸、核辐射或核污染；被保险人的洗牙、牙齿美白、正畸、烤瓷牙、种植牙或镶牙等牙齿保健和修复；被保险人的视力矫正手术或变性手术；被保险人的整容或矫形手术；被保险人猝死；被保险人未遵医嘱，私自使用或服用药物，但按使用说明的规定使用非处方药不在此限；被保险人参加潜水、跳伞、攀岩、驾乘滑翔机或滑翔伞、探险、摔跤、武术比赛、特技表演、赛马、赛车等高风险运动；被保险人的产前产后检查、妊娠(含宫外孕)、流产(含人工流产)、分娩(含剖腹产)，避孕、绝育手术、治疗不孕不育症以及上述原因引起的并发症；</w:t>
      </w:r>
    </w:p>
    <w:p w14:paraId="01BB4F71">
      <w:pPr>
        <w:keepNext w:val="0"/>
        <w:keepLines w:val="0"/>
        <w:pageBreakBefore w:val="0"/>
        <w:widowControl w:val="0"/>
        <w:spacing w:line="360" w:lineRule="auto"/>
        <w:ind w:firstLine="566"/>
        <w:rPr>
          <w:rFonts w:hint="eastAsia" w:ascii="宋体" w:hAnsi="宋体" w:eastAsia="宋体"/>
          <w:sz w:val="24"/>
          <w:szCs w:val="24"/>
        </w:rPr>
      </w:pPr>
      <w:r>
        <w:rPr>
          <w:rFonts w:hint="eastAsia" w:ascii="宋体" w:hAnsi="宋体" w:eastAsia="宋体"/>
          <w:sz w:val="24"/>
          <w:szCs w:val="24"/>
        </w:rPr>
        <w:t>2、被保险人因遗传性疾病，先天性畸形、变形或染色体异常发生重大疾病，保险公司可不承担“重大疾病”的保险责任。</w:t>
      </w:r>
    </w:p>
    <w:p w14:paraId="313FCDBA">
      <w:pPr>
        <w:keepNext w:val="0"/>
        <w:keepLines w:val="0"/>
        <w:pageBreakBefore w:val="0"/>
        <w:widowControl w:val="0"/>
        <w:spacing w:line="360" w:lineRule="auto"/>
        <w:ind w:firstLine="566"/>
        <w:rPr>
          <w:rFonts w:hint="eastAsia"/>
          <w:sz w:val="24"/>
          <w:szCs w:val="24"/>
        </w:rPr>
      </w:pPr>
      <w:r>
        <w:rPr>
          <w:rFonts w:hint="eastAsia" w:ascii="宋体" w:hAnsi="宋体" w:eastAsia="宋体"/>
          <w:sz w:val="24"/>
          <w:szCs w:val="24"/>
        </w:rPr>
        <w:t>3、被保险人因精神和行为障碍导致的身故或伤残，保险公司可不承担“意外身故与伤残”的保险责任。</w:t>
      </w:r>
    </w:p>
    <w:p w14:paraId="21F20742">
      <w:pPr>
        <w:keepNext w:val="0"/>
        <w:keepLines w:val="0"/>
        <w:pageBreakBefore w:val="0"/>
        <w:widowControl w:val="0"/>
        <w:spacing w:line="360" w:lineRule="auto"/>
        <w:rPr>
          <w:rFonts w:hint="eastAsia" w:ascii="宋体" w:hAnsi="宋体" w:eastAsia="宋体"/>
          <w:sz w:val="24"/>
          <w:szCs w:val="24"/>
        </w:rPr>
      </w:pPr>
      <w:r>
        <w:rPr>
          <w:rFonts w:hint="eastAsia" w:ascii="微软雅黑" w:hAnsi="微软雅黑" w:eastAsia="微软雅黑"/>
          <w:b/>
          <w:bCs/>
          <w:sz w:val="24"/>
          <w:szCs w:val="24"/>
        </w:rPr>
        <w:t>50种重大疾病定义</w:t>
      </w:r>
    </w:p>
    <w:p w14:paraId="0CA967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一、恶性肿瘤——重度：</w:t>
      </w:r>
    </w:p>
    <w:p w14:paraId="70BB79B3">
      <w:pPr>
        <w:keepNext w:val="0"/>
        <w:keepLines w:val="0"/>
        <w:pageBreakBefore w:val="0"/>
        <w:widowControl w:val="0"/>
        <w:spacing w:line="360" w:lineRule="auto"/>
        <w:ind w:firstLine="480"/>
        <w:rPr>
          <w:rFonts w:hint="eastAsia" w:ascii="宋体" w:hAnsi="宋体" w:cs="Arial"/>
          <w:sz w:val="24"/>
          <w:szCs w:val="24"/>
        </w:rPr>
      </w:pPr>
      <w:r>
        <w:rPr>
          <w:rFonts w:hint="eastAsia" w:ascii="宋体" w:hAnsi="宋体" w:cs="Arial"/>
          <w:sz w:val="24"/>
          <w:szCs w:val="24"/>
        </w:rPr>
        <w:t>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p>
    <w:p w14:paraId="0BADAEA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下列疾病不属于“恶性肿瘤——重度”，不在保障范围内：</w:t>
      </w:r>
    </w:p>
    <w:p w14:paraId="70FAA86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olor w:val="000000"/>
          <w:sz w:val="24"/>
          <w:szCs w:val="24"/>
        </w:rPr>
        <w:t>1．</w:t>
      </w:r>
      <w:r>
        <w:rPr>
          <w:rFonts w:hint="eastAsia" w:ascii="宋体" w:hAnsi="宋体" w:cs="Arial"/>
          <w:color w:val="000000"/>
          <w:sz w:val="24"/>
          <w:szCs w:val="24"/>
        </w:rPr>
        <w:t>ICD-O-3肿瘤形态学编码属于0（良性肿瘤）、1（动态未定性肿瘤）、2（原位癌和非侵袭性癌）范畴的疾病，如：</w:t>
      </w:r>
    </w:p>
    <w:p w14:paraId="67C656E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（1）原位癌，癌前病变，非浸润性癌，非侵袭性癌，肿瘤细胞未侵犯基底层，上皮内瘤变，细胞不典型性增生等；</w:t>
      </w:r>
    </w:p>
    <w:p w14:paraId="0258BA5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（2）交界性肿瘤，交界恶性肿瘤，肿瘤低度恶性潜能，潜在低度恶性肿瘤等；</w:t>
      </w:r>
    </w:p>
    <w:p w14:paraId="776E802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TNM分期为</w:t>
      </w:r>
      <w:r>
        <w:rPr>
          <w:rFonts w:hint="eastAsia" w:ascii="宋体" w:hAnsi="宋体" w:cs="宋体"/>
          <w:color w:val="000000"/>
          <w:sz w:val="24"/>
          <w:szCs w:val="24"/>
        </w:rPr>
        <w:t>Ⅰ</w:t>
      </w:r>
      <w:r>
        <w:rPr>
          <w:rFonts w:hint="eastAsia" w:ascii="宋体" w:hAnsi="宋体" w:cs="Arial"/>
          <w:color w:val="000000"/>
          <w:sz w:val="24"/>
          <w:szCs w:val="24"/>
        </w:rPr>
        <w:t>期或更轻分期的甲状腺癌；</w:t>
      </w:r>
    </w:p>
    <w:p w14:paraId="29AD019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TNM分期为</w:t>
      </w:r>
      <w:r>
        <w:rPr>
          <w:rFonts w:hint="eastAsia" w:ascii="宋体" w:hAnsi="宋体" w:cs="Arial"/>
          <w:sz w:val="24"/>
          <w:szCs w:val="24"/>
        </w:rPr>
        <w:t>T</w:t>
      </w:r>
      <w:r>
        <w:rPr>
          <w:rFonts w:hint="eastAsia" w:ascii="宋体" w:hAnsi="宋体" w:cs="Arial"/>
          <w:sz w:val="24"/>
          <w:szCs w:val="24"/>
          <w:vertAlign w:val="subscript"/>
        </w:rPr>
        <w:t>1</w:t>
      </w:r>
      <w:r>
        <w:rPr>
          <w:rFonts w:hint="eastAsia" w:ascii="宋体" w:hAnsi="宋体" w:cs="Arial"/>
          <w:sz w:val="24"/>
          <w:szCs w:val="24"/>
        </w:rPr>
        <w:t>N</w:t>
      </w:r>
      <w:r>
        <w:rPr>
          <w:rFonts w:hint="eastAsia" w:ascii="宋体" w:hAnsi="宋体" w:cs="Arial"/>
          <w:sz w:val="24"/>
          <w:szCs w:val="24"/>
          <w:vertAlign w:val="subscript"/>
        </w:rPr>
        <w:t>0</w:t>
      </w:r>
      <w:r>
        <w:rPr>
          <w:rFonts w:hint="eastAsia" w:ascii="宋体" w:hAnsi="宋体" w:cs="Arial"/>
          <w:sz w:val="24"/>
          <w:szCs w:val="24"/>
        </w:rPr>
        <w:t>M</w:t>
      </w:r>
      <w:r>
        <w:rPr>
          <w:rFonts w:hint="eastAsia" w:ascii="宋体" w:hAnsi="宋体" w:cs="Arial"/>
          <w:sz w:val="24"/>
          <w:szCs w:val="24"/>
          <w:vertAlign w:val="subscript"/>
        </w:rPr>
        <w:t>0</w:t>
      </w:r>
      <w:r>
        <w:rPr>
          <w:rFonts w:hint="eastAsia" w:ascii="宋体" w:hAnsi="宋体" w:cs="Arial"/>
          <w:color w:val="000000"/>
          <w:sz w:val="24"/>
          <w:szCs w:val="24"/>
        </w:rPr>
        <w:t>期或更轻分期的前列腺癌；</w:t>
      </w:r>
    </w:p>
    <w:p w14:paraId="4A7A1F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黑色素瘤以外的未发生淋巴结和远处转移的皮肤恶性肿瘤；</w:t>
      </w:r>
    </w:p>
    <w:p w14:paraId="6DD51AD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5</w:t>
      </w:r>
      <w:r>
        <w:rPr>
          <w:rFonts w:hint="eastAsia" w:ascii="宋体" w:hAnsi="宋体"/>
          <w:color w:val="000000"/>
          <w:sz w:val="24"/>
          <w:szCs w:val="24"/>
        </w:rPr>
        <w:t>．</w:t>
      </w:r>
      <w:r>
        <w:rPr>
          <w:rFonts w:hint="eastAsia" w:ascii="宋体" w:hAnsi="宋体" w:cs="Arial"/>
          <w:color w:val="000000"/>
          <w:sz w:val="24"/>
          <w:szCs w:val="24"/>
        </w:rPr>
        <w:t>相当于Binet分期方案A期程度的慢性淋巴细胞白血病；</w:t>
      </w:r>
    </w:p>
    <w:p w14:paraId="6474475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6</w:t>
      </w:r>
      <w:r>
        <w:rPr>
          <w:rFonts w:hint="eastAsia" w:ascii="宋体" w:hAnsi="宋体"/>
          <w:color w:val="000000"/>
          <w:sz w:val="24"/>
          <w:szCs w:val="24"/>
        </w:rPr>
        <w:t>．</w:t>
      </w:r>
      <w:r>
        <w:rPr>
          <w:rFonts w:hint="eastAsia" w:ascii="宋体" w:hAnsi="宋体" w:cs="Arial"/>
          <w:color w:val="000000"/>
          <w:sz w:val="24"/>
          <w:szCs w:val="24"/>
        </w:rPr>
        <w:t>相当于Ann Arbor分期方案</w:t>
      </w:r>
      <w:r>
        <w:rPr>
          <w:rFonts w:hint="eastAsia" w:ascii="宋体" w:hAnsi="宋体" w:cs="宋体"/>
          <w:color w:val="000000"/>
          <w:sz w:val="24"/>
          <w:szCs w:val="24"/>
        </w:rPr>
        <w:t>Ⅰ</w:t>
      </w:r>
      <w:r>
        <w:rPr>
          <w:rFonts w:hint="eastAsia" w:ascii="宋体" w:hAnsi="宋体" w:cs="Arial"/>
          <w:color w:val="000000"/>
          <w:sz w:val="24"/>
          <w:szCs w:val="24"/>
        </w:rPr>
        <w:t>期程度的何杰金氏病；</w:t>
      </w:r>
    </w:p>
    <w:p w14:paraId="7F18000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7</w:t>
      </w:r>
      <w:r>
        <w:rPr>
          <w:rFonts w:hint="eastAsia" w:ascii="宋体" w:hAnsi="宋体"/>
          <w:color w:val="000000"/>
          <w:sz w:val="24"/>
          <w:szCs w:val="24"/>
        </w:rPr>
        <w:t>．</w:t>
      </w:r>
      <w:r>
        <w:rPr>
          <w:rFonts w:hint="eastAsia" w:ascii="宋体" w:hAnsi="宋体" w:cs="Arial"/>
          <w:color w:val="000000"/>
          <w:sz w:val="24"/>
          <w:szCs w:val="24"/>
        </w:rPr>
        <w:t>未发生淋巴结和远处转移且WHO分级为G1级别（核分裂像&lt;10/50 HPF和ki-67≤2%）或更轻分级的神经内分泌肿瘤。</w:t>
      </w:r>
    </w:p>
    <w:p w14:paraId="41855E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二、较重急性心肌梗死：</w:t>
      </w:r>
    </w:p>
    <w:p w14:paraId="325CEE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p>
    <w:p w14:paraId="7F1C69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较重急性心肌梗死指依照上述标准被明确诊断为急性心肌梗死，并且必须同时满足下列至少一项条件：</w:t>
      </w:r>
    </w:p>
    <w:p w14:paraId="007C90E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olor w:val="000000"/>
          <w:sz w:val="24"/>
          <w:szCs w:val="24"/>
        </w:rPr>
        <w:t>1．</w:t>
      </w:r>
      <w:r>
        <w:rPr>
          <w:rFonts w:hint="eastAsia" w:ascii="宋体" w:hAnsi="宋体" w:cs="Arial"/>
          <w:color w:val="000000"/>
          <w:sz w:val="24"/>
          <w:szCs w:val="24"/>
        </w:rPr>
        <w:t>心肌损伤标志物肌钙蛋白（cTn）升高，至少一次检测结果达到该检验正常参考值上限的15倍（含）以上；</w:t>
      </w:r>
    </w:p>
    <w:p w14:paraId="1A29BD7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肌酸激酶同工酶（CK-MB）升高，至少一次检测结果达到该检验正常参考值上限的2倍（含）以上；</w:t>
      </w:r>
    </w:p>
    <w:p w14:paraId="773C38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出现左心室收缩功能下降，在确诊6周以后，检测左室射血分数（LVEF）低于50%（不含）；</w:t>
      </w:r>
    </w:p>
    <w:p w14:paraId="204898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影像学检查证实存在新发的乳头肌功能失调或断裂引起的中度（含）以上的二尖瓣反流；</w:t>
      </w:r>
    </w:p>
    <w:p w14:paraId="487574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5</w:t>
      </w:r>
      <w:r>
        <w:rPr>
          <w:rFonts w:hint="eastAsia" w:ascii="宋体" w:hAnsi="宋体"/>
          <w:color w:val="000000"/>
          <w:sz w:val="24"/>
          <w:szCs w:val="24"/>
        </w:rPr>
        <w:t>．</w:t>
      </w:r>
      <w:r>
        <w:rPr>
          <w:rFonts w:hint="eastAsia" w:ascii="宋体" w:hAnsi="宋体" w:cs="Arial"/>
          <w:color w:val="000000"/>
          <w:sz w:val="24"/>
          <w:szCs w:val="24"/>
        </w:rPr>
        <w:t>影像学检查证实存在新出现的室壁瘤；</w:t>
      </w:r>
    </w:p>
    <w:p w14:paraId="27FC28E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6</w:t>
      </w:r>
      <w:r>
        <w:rPr>
          <w:rFonts w:hint="eastAsia" w:ascii="宋体" w:hAnsi="宋体"/>
          <w:color w:val="000000"/>
          <w:sz w:val="24"/>
          <w:szCs w:val="24"/>
        </w:rPr>
        <w:t>．</w:t>
      </w:r>
      <w:r>
        <w:rPr>
          <w:rFonts w:hint="eastAsia" w:ascii="宋体" w:hAnsi="宋体" w:cs="Arial"/>
          <w:color w:val="000000"/>
          <w:sz w:val="24"/>
          <w:szCs w:val="24"/>
        </w:rPr>
        <w:t>出现室性心动过速、心室颤动或心源性休克。</w:t>
      </w:r>
    </w:p>
    <w:p w14:paraId="608FAAC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其他非冠状动脉阻塞性疾病所引起的肌钙蛋白（cTn）升高不在保障范围内。</w:t>
      </w:r>
    </w:p>
    <w:p w14:paraId="45EB4DA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三、严重脑中风后遗症：</w:t>
      </w:r>
    </w:p>
    <w:p w14:paraId="671C8B5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p>
    <w:p w14:paraId="5CD83D1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457D021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77092F7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6802591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四、重大器官移植术或造血干细胞移植术：</w:t>
      </w:r>
    </w:p>
    <w:p w14:paraId="762C711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重大器官移植术，指因相应器官功能衰竭，已经实施了肾脏、肝脏、心脏、肺脏或小肠的异体移植手术。</w:t>
      </w:r>
    </w:p>
    <w:p w14:paraId="009BD64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造血干细胞移植术，指因造血功能损害或造血系统恶性肿瘤，已经实施了造血干细胞（包括骨髓造血干细胞、外周血造血干细胞和脐血造血干细胞）的移植手术。</w:t>
      </w:r>
    </w:p>
    <w:p w14:paraId="78AD275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五、冠状动脉搭桥术（或称冠状动脉旁路移植术）：</w:t>
      </w:r>
    </w:p>
    <w:p w14:paraId="4C6DE1C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指为治疗严重的冠心病，已经实施了切开心包进行的冠状动脉血管旁路移植的手术。</w:t>
      </w:r>
    </w:p>
    <w:p w14:paraId="28D32F4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所有未切开心包的冠状动脉介入治疗不在保障范围内。</w:t>
      </w:r>
    </w:p>
    <w:p w14:paraId="00F0003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六、严重慢性肾衰竭：</w:t>
      </w:r>
    </w:p>
    <w:p w14:paraId="0C43FC0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双肾功能慢性不可逆性衰竭，依据肾脏病预后质量倡议（K/DOQI）制定的指南，分期达到慢性肾脏病5期，且经诊断后已经进行了至少90天的规律性透析治疗。规律性透析是指每周进行血液透析或每天进行腹膜透析。</w:t>
      </w:r>
    </w:p>
    <w:p w14:paraId="4B45CC9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七、多个肢体缺失：</w:t>
      </w:r>
    </w:p>
    <w:p w14:paraId="3D480B3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指因疾病或意外伤害导致两个或两个以上肢体自腕关节或踝关节近端（靠近躯干端）以上完全性断离。</w:t>
      </w:r>
    </w:p>
    <w:p w14:paraId="681A249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八、急性重症肝炎或亚急性重症肝炎：</w:t>
      </w:r>
    </w:p>
    <w:p w14:paraId="658634F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指因肝炎病毒感染引起肝脏组织弥漫性坏死，导致急性肝功能衰竭，且经血清学或病毒学检查证实，并须满足下列全部条件：</w:t>
      </w:r>
    </w:p>
    <w:p w14:paraId="48EC868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重度黄疸或黄疸迅速加重；</w:t>
      </w:r>
    </w:p>
    <w:p w14:paraId="097DBFA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肝性脑病；</w:t>
      </w:r>
    </w:p>
    <w:p w14:paraId="4313C1F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B超或其他影像学检查显示肝脏体积急速萎缩；</w:t>
      </w:r>
    </w:p>
    <w:p w14:paraId="0DDC6D2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肝功能指标进行性恶化。</w:t>
      </w:r>
    </w:p>
    <w:p w14:paraId="448E41E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九、严重非恶性颅内肿瘤：</w:t>
      </w:r>
    </w:p>
    <w:p w14:paraId="302F684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p>
    <w:p w14:paraId="05F930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已经实施了开颅进行的颅内肿瘤完全或部分切除手术；</w:t>
      </w:r>
    </w:p>
    <w:p w14:paraId="307B496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已经实施了针对颅内肿瘤的放射治疗，如γ刀、质子重离子治疗等。</w:t>
      </w:r>
    </w:p>
    <w:p w14:paraId="7AE76DD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下列疾病不在保障范围内：</w:t>
      </w:r>
    </w:p>
    <w:p w14:paraId="7E57571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脑垂体瘤；</w:t>
      </w:r>
    </w:p>
    <w:p w14:paraId="0F525AF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脑囊肿；</w:t>
      </w:r>
    </w:p>
    <w:p w14:paraId="1AD8E8F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颅内血管性疾病（如脑动脉瘤、脑动静脉畸形、海绵状血管瘤、毛细血管扩张症等）。</w:t>
      </w:r>
    </w:p>
    <w:p w14:paraId="5ABF7CF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十、严重慢性肝衰竭：</w:t>
      </w:r>
    </w:p>
    <w:p w14:paraId="36F6EF1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指因慢性肝脏疾病导致的肝衰竭，且须满足下列全部条件：</w:t>
      </w:r>
    </w:p>
    <w:p w14:paraId="129C18D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持续性黄疸；</w:t>
      </w:r>
    </w:p>
    <w:p w14:paraId="3BBDEF6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腹水；</w:t>
      </w:r>
    </w:p>
    <w:p w14:paraId="3621922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肝性脑病；</w:t>
      </w:r>
    </w:p>
    <w:p w14:paraId="39E0FEB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充血性脾肿大伴脾功能亢进或食管胃底静脉曲张。</w:t>
      </w:r>
    </w:p>
    <w:p w14:paraId="2D54676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因酗酒或药物滥用导致的肝衰竭不在保障范围内。</w:t>
      </w:r>
    </w:p>
    <w:p w14:paraId="6C0FCC6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十一、严重脑炎后遗症或严重脑膜炎后遗症：</w:t>
      </w:r>
    </w:p>
    <w:p w14:paraId="4DF1398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指因患脑炎或脑膜炎导致的神经系统永久性的功能障碍。神经系统永久性的功能障碍，指经相关专科医生确诊疾病180天后，仍遗留下列至少一种障碍：</w:t>
      </w:r>
    </w:p>
    <w:p w14:paraId="135D98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62D096E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46453F7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由具有评估资格的专科医生根据临床痴呆评定量表（CDR，Clinical Dementia Rating）评估结果为3分；</w:t>
      </w:r>
    </w:p>
    <w:p w14:paraId="0AAAA0A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3F1A4FD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十二、深度昏迷：</w:t>
      </w:r>
    </w:p>
    <w:p w14:paraId="7DCEE88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指因疾病或意外伤害导致意识丧失，对外界刺激和体内需求均无反应，昏迷程度按照格拉斯哥昏迷分级（GCS，Glasgow Coma Scale）结果为5分或5分以下，且已经持续使用呼吸机及其他生命维持系统96小时以上。</w:t>
      </w:r>
    </w:p>
    <w:p w14:paraId="3B1421C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因酗酒或药物滥用导致的深度昏迷不在保障范围内。</w:t>
      </w:r>
    </w:p>
    <w:p w14:paraId="6A3E87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十三、特定年龄双耳失聪：</w:t>
      </w:r>
    </w:p>
    <w:p w14:paraId="784A748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w:t>
      </w:r>
      <w:r>
        <w:rPr>
          <w:rFonts w:hint="eastAsia" w:ascii="宋体" w:hAnsi="宋体"/>
          <w:color w:val="000000"/>
          <w:sz w:val="24"/>
          <w:szCs w:val="24"/>
        </w:rPr>
        <w:t>被保险人年满3周岁后</w:t>
      </w:r>
      <w:r>
        <w:rPr>
          <w:rFonts w:hint="eastAsia" w:ascii="宋体" w:hAnsi="宋体" w:cs="Arial"/>
          <w:color w:val="000000"/>
          <w:sz w:val="24"/>
          <w:szCs w:val="24"/>
        </w:rPr>
        <w:t>因疾病或意外伤害导致双耳听力永久不可逆性丧失，在500赫兹、1000赫兹和2000赫兹语音频率下，平均听阈大于等于91分贝，且经纯音听力测试、声导抗检测或听觉诱发电位检测等证实。</w:t>
      </w:r>
    </w:p>
    <w:p w14:paraId="6991285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十四、特定年龄双目失明：</w:t>
      </w:r>
    </w:p>
    <w:p w14:paraId="7980BC6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w:t>
      </w:r>
      <w:r>
        <w:rPr>
          <w:rFonts w:hint="eastAsia" w:ascii="宋体" w:hAnsi="宋体"/>
          <w:color w:val="000000"/>
          <w:sz w:val="24"/>
          <w:szCs w:val="24"/>
        </w:rPr>
        <w:t>被保险人年满3周岁后</w:t>
      </w:r>
      <w:r>
        <w:rPr>
          <w:rFonts w:hint="eastAsia" w:ascii="宋体" w:hAnsi="宋体" w:cs="Arial"/>
          <w:color w:val="000000"/>
          <w:sz w:val="24"/>
          <w:szCs w:val="24"/>
        </w:rPr>
        <w:t>因疾病或意外伤害导致双眼视力永久不可逆性丧失，双眼中较好眼须满足下列至少一项条件：</w:t>
      </w:r>
    </w:p>
    <w:p w14:paraId="0813108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眼球缺失或摘除；</w:t>
      </w:r>
    </w:p>
    <w:p w14:paraId="5A2927D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矫正视力低于0.02（采用国际标准视力表，如果使用其他视力表应进行换算）；</w:t>
      </w:r>
    </w:p>
    <w:p w14:paraId="3F477B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视野半径小于5度。</w:t>
      </w:r>
    </w:p>
    <w:p w14:paraId="0B9D91F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十五、瘫痪：</w:t>
      </w:r>
    </w:p>
    <w:p w14:paraId="479BA16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p>
    <w:p w14:paraId="5E238AE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十六、心脏瓣膜手术：</w:t>
      </w:r>
    </w:p>
    <w:p w14:paraId="5FED94C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指为治疗心脏瓣膜疾病，已经实施了切开心脏进行的心脏瓣膜置换或修复的手术。</w:t>
      </w:r>
    </w:p>
    <w:p w14:paraId="24A15D8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所有未切开心脏的心脏瓣膜介入手术不在保障范围内。</w:t>
      </w:r>
    </w:p>
    <w:p w14:paraId="287056E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十七、严重阿尔茨海默病：</w:t>
      </w:r>
    </w:p>
    <w:p w14:paraId="4DFDA02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p>
    <w:p w14:paraId="034F764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由具有评估资格的专科医生根据临床痴呆评定量表（CDR，Clinical Dementia Rating）评估结果为3分；</w:t>
      </w:r>
    </w:p>
    <w:p w14:paraId="4AE2C97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6CB30EB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阿尔茨海默病之外的其他类型痴呆不在保障范围内。</w:t>
      </w:r>
    </w:p>
    <w:p w14:paraId="3927EF1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十八、严重脑损伤：</w:t>
      </w:r>
    </w:p>
    <w:p w14:paraId="11238A9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p>
    <w:p w14:paraId="68DF982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1C87916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4610B4D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3861AAD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十九、严重原发性帕金森病：</w:t>
      </w:r>
    </w:p>
    <w:p w14:paraId="3AE9DB6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是一种中枢神经系统的退行性疾病，临床表现为运动迟缓、静止性震颤或肌强直等，经相关专科医生确诊，且须满足自主生活能力完全丧失，无法独立完成六项基本日常生活活动中的三项或三项以上。</w:t>
      </w:r>
    </w:p>
    <w:p w14:paraId="5CF951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继发性帕金森综合征、帕金森叠加综合征不在保障范围内。</w:t>
      </w:r>
    </w:p>
    <w:p w14:paraId="3030931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二十、严重Ⅲ度烧伤：</w:t>
      </w:r>
    </w:p>
    <w:p w14:paraId="7B7102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指烧伤程度为</w:t>
      </w:r>
      <w:r>
        <w:rPr>
          <w:rFonts w:hint="eastAsia" w:ascii="宋体" w:hAnsi="宋体" w:cs="宋体"/>
          <w:color w:val="000000"/>
          <w:sz w:val="24"/>
          <w:szCs w:val="24"/>
        </w:rPr>
        <w:t>Ⅲ</w:t>
      </w:r>
      <w:r>
        <w:rPr>
          <w:rFonts w:hint="eastAsia" w:ascii="宋体" w:hAnsi="宋体" w:cs="Arial"/>
          <w:color w:val="000000"/>
          <w:sz w:val="24"/>
          <w:szCs w:val="24"/>
        </w:rPr>
        <w:t>度，且</w:t>
      </w:r>
      <w:r>
        <w:rPr>
          <w:rFonts w:hint="eastAsia" w:ascii="宋体" w:hAnsi="宋体" w:cs="宋体"/>
          <w:color w:val="000000"/>
          <w:sz w:val="24"/>
          <w:szCs w:val="24"/>
        </w:rPr>
        <w:t>Ⅲ</w:t>
      </w:r>
      <w:r>
        <w:rPr>
          <w:rFonts w:hint="eastAsia" w:ascii="宋体" w:hAnsi="宋体" w:cs="Arial"/>
          <w:color w:val="000000"/>
          <w:sz w:val="24"/>
          <w:szCs w:val="24"/>
        </w:rPr>
        <w:t>度烧伤的面积达到全身体表面积的20％或20％以上。体表面积根据《中国新九分法》计算。</w:t>
      </w:r>
    </w:p>
    <w:p w14:paraId="3A1678B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二十一、严重特发性肺动脉高压：</w:t>
      </w:r>
    </w:p>
    <w:p w14:paraId="5580B8E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p>
    <w:p w14:paraId="01D325E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二十二、严重运动神经元病：</w:t>
      </w:r>
    </w:p>
    <w:p w14:paraId="4A39B3F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是一组中枢神经系统运动神经元的进行性变性疾病，包括进行性脊肌萎缩症、进行性延髓麻痹症、原发性侧索硬化症、肌萎缩性侧索硬化症，经相关专科医生确诊，且须满足下列至少一项条件：</w:t>
      </w:r>
    </w:p>
    <w:p w14:paraId="23E5040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严重咀嚼吞咽功能障碍；</w:t>
      </w:r>
    </w:p>
    <w:p w14:paraId="6AF7AA2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呼吸肌麻痹导致严重呼吸困难，且已经持续使用呼吸机7天（含）以上；</w:t>
      </w:r>
    </w:p>
    <w:p w14:paraId="1A4419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48CBB2C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二十三、语言能力丧失：</w:t>
      </w:r>
    </w:p>
    <w:p w14:paraId="5DE6D2B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指因疾病或意外伤害导致语言能力完全丧失，经过积极治疗至少12个月（声带完全切除不受此时间限制），仍无法通过现有医疗手段恢复。</w:t>
      </w:r>
    </w:p>
    <w:p w14:paraId="311C9A6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精神心理因素所致的语言能力丧失不在保障范围内。</w:t>
      </w:r>
    </w:p>
    <w:p w14:paraId="1A57480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二十四、重型再生障碍性贫血：</w:t>
      </w:r>
    </w:p>
    <w:p w14:paraId="31AB2E1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指因骨髓造血功能慢性持续性衰竭导致的贫血、中性粒细胞减少及血小板减少，且须满足下列全部条件：</w:t>
      </w:r>
    </w:p>
    <w:p w14:paraId="1BF8F47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骨髓穿刺检查或骨髓活检结果支持诊断：骨髓细胞增生程度&lt;正常的25%；如≥正常的25%但&lt;50%，则残存的造血细胞应&lt;30%；</w:t>
      </w:r>
    </w:p>
    <w:p w14:paraId="679CC75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外周血象须具备以下三项条件中的两项：</w:t>
      </w:r>
    </w:p>
    <w:p w14:paraId="30771F5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（1）</w:t>
      </w:r>
      <w:r>
        <w:rPr>
          <w:rFonts w:hint="eastAsia" w:ascii="宋体" w:hAnsi="宋体" w:cs="Arial"/>
          <w:color w:val="000000"/>
          <w:sz w:val="24"/>
          <w:szCs w:val="24"/>
        </w:rPr>
        <w:t>中性粒细胞绝对值&lt;0.5×10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7F9C680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（2）</w:t>
      </w:r>
      <w:r>
        <w:rPr>
          <w:rFonts w:hint="eastAsia" w:ascii="宋体" w:hAnsi="宋体" w:cs="Arial"/>
          <w:color w:val="000000"/>
          <w:sz w:val="24"/>
          <w:szCs w:val="24"/>
        </w:rPr>
        <w:t>网织红细胞计数&lt;20×10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4F0EDC8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（3）</w:t>
      </w:r>
      <w:r>
        <w:rPr>
          <w:rFonts w:hint="eastAsia" w:ascii="宋体" w:hAnsi="宋体" w:cs="Arial"/>
          <w:color w:val="000000"/>
          <w:sz w:val="24"/>
          <w:szCs w:val="24"/>
        </w:rPr>
        <w:t>血小板绝对值&lt;20×10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7F801E0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二十五、主动脉手术：</w:t>
      </w:r>
    </w:p>
    <w:p w14:paraId="3F13018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p>
    <w:p w14:paraId="58723E7A">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所有未实施开胸或开腹的动脉内介入治疗不在保障范围内。</w:t>
      </w:r>
    </w:p>
    <w:p w14:paraId="3AD67BE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二十六、严重慢性呼吸衰竭：</w:t>
      </w:r>
    </w:p>
    <w:p w14:paraId="7442D5B1">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指因慢性呼吸系统疾病导致永久不可逆性的呼吸衰竭，经过积极治疗180天后满足以下所有条件：</w:t>
      </w:r>
    </w:p>
    <w:p w14:paraId="04F1948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静息时出现呼吸困难；</w:t>
      </w:r>
    </w:p>
    <w:p w14:paraId="24E277F9">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肺功能第一秒用力呼气容积（FEV</w:t>
      </w:r>
      <w:r>
        <w:rPr>
          <w:rFonts w:hint="eastAsia" w:ascii="宋体" w:hAnsi="宋体" w:cs="Arial"/>
          <w:color w:val="000000"/>
          <w:sz w:val="24"/>
          <w:szCs w:val="24"/>
          <w:vertAlign w:val="subscript"/>
        </w:rPr>
        <w:t>1</w:t>
      </w:r>
      <w:r>
        <w:rPr>
          <w:rFonts w:hint="eastAsia" w:ascii="宋体" w:hAnsi="宋体" w:cs="Arial"/>
          <w:color w:val="000000"/>
          <w:sz w:val="24"/>
          <w:szCs w:val="24"/>
        </w:rPr>
        <w:t>）占预计值的百分比＜30%；</w:t>
      </w:r>
    </w:p>
    <w:p w14:paraId="125A63B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在静息状态、呼吸空气条件下，动脉血氧分压（PaO</w:t>
      </w:r>
      <w:r>
        <w:rPr>
          <w:rFonts w:hint="eastAsia" w:ascii="宋体" w:hAnsi="宋体" w:cs="Arial"/>
          <w:color w:val="000000"/>
          <w:sz w:val="24"/>
          <w:szCs w:val="24"/>
          <w:vertAlign w:val="subscript"/>
        </w:rPr>
        <w:t>2</w:t>
      </w:r>
      <w:r>
        <w:rPr>
          <w:rFonts w:hint="eastAsia" w:ascii="宋体" w:hAnsi="宋体" w:cs="Arial"/>
          <w:color w:val="000000"/>
          <w:sz w:val="24"/>
          <w:szCs w:val="24"/>
        </w:rPr>
        <w:t>）＜50mmHg。</w:t>
      </w:r>
    </w:p>
    <w:p w14:paraId="2C466F6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二十七、严重克罗恩病：</w:t>
      </w:r>
    </w:p>
    <w:p w14:paraId="3FB100CC">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指一种慢性肉芽肿性肠炎，具有特征性的克罗恩病（Crohn病）病理组织学变化，须根据组织病理学特点诊断，且已经造成瘘管形成并伴有肠梗阻或肠穿孔。</w:t>
      </w:r>
    </w:p>
    <w:p w14:paraId="1A2C8B8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二十八、严重溃疡性结肠炎：</w:t>
      </w:r>
    </w:p>
    <w:p w14:paraId="5D810BE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指伴有致命性电解质紊乱的急性暴发性溃疡性结肠炎，病变已经累及全结肠，表现为严重的血便和系统性症状体征，须根据组织病理学特点诊断，且已经实施了结肠切除或回肠造瘘术。</w:t>
      </w:r>
    </w:p>
    <w:p w14:paraId="5593935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二十九、严重原发性心肌病：</w:t>
      </w:r>
    </w:p>
    <w:p w14:paraId="567ECF66">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color w:val="000000"/>
          <w:sz w:val="24"/>
          <w:szCs w:val="24"/>
        </w:rPr>
        <w:t>Ⅳ</w:t>
      </w:r>
      <w:r>
        <w:rPr>
          <w:rFonts w:hint="eastAsia" w:ascii="宋体" w:hAnsi="宋体" w:cs="Arial"/>
          <w:color w:val="000000"/>
          <w:sz w:val="24"/>
          <w:szCs w:val="24"/>
        </w:rPr>
        <w:t>级），且有相关住院医疗记录显示</w:t>
      </w:r>
      <w:r>
        <w:rPr>
          <w:rFonts w:hint="eastAsia" w:ascii="宋体" w:hAnsi="宋体" w:cs="宋体"/>
          <w:color w:val="000000"/>
          <w:sz w:val="24"/>
          <w:szCs w:val="24"/>
        </w:rPr>
        <w:t>Ⅳ</w:t>
      </w:r>
      <w:r>
        <w:rPr>
          <w:rFonts w:hint="eastAsia" w:ascii="宋体" w:hAnsi="宋体" w:cs="Arial"/>
          <w:color w:val="000000"/>
          <w:sz w:val="24"/>
          <w:szCs w:val="24"/>
        </w:rPr>
        <w:t>级心功能衰竭状态已持续至少180日。本病须经专科医生明确诊断。</w:t>
      </w:r>
    </w:p>
    <w:p w14:paraId="0859298C">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继发于全身性疾病或其他器官系统疾病造成的心肌病变不在保障范围内。</w:t>
      </w:r>
    </w:p>
    <w:p w14:paraId="46E47C6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三十、严重多发性硬化症：</w:t>
      </w:r>
    </w:p>
    <w:p w14:paraId="59F2919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p>
    <w:p w14:paraId="1E9D6A0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1．明确出现因视神经、脑干或脊髓损伤等导致的上述临床症状；</w:t>
      </w:r>
    </w:p>
    <w:p w14:paraId="11F5DE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2．散在的、多样性的神经损伤；</w:t>
      </w:r>
    </w:p>
    <w:p w14:paraId="0BBC98C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3．上述临床症状反复发作、恶化及神经损伤的病史纪录。</w:t>
      </w:r>
    </w:p>
    <w:p w14:paraId="2ADE097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三十一、严重脊髓灰质炎：</w:t>
      </w:r>
    </w:p>
    <w:p w14:paraId="513AA2D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脊髓灰质炎指由于脊髓灰质炎病毒感染所致的瘫痪性疾病，临床表现为运动功能损害或呼吸无力。脊髓灰质炎必须明确诊断。本合同所称“严重脊髓灰质炎”仅指脊髓灰质炎造成的神经系统功能损害导致被保险人一肢或一肢以上肢体随意运动功能永久完全丧失的情形。肢体随意运动功能永久完全丧失，指疾病确诊180天后，每肢三大关节中的两大关节仍然完全僵硬，或肢体肌力在2级（含）以下。</w:t>
      </w:r>
    </w:p>
    <w:p w14:paraId="6AAA12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若无因此感染而导致麻痹性瘫痪的事实结果，以及其他病因所致的麻痹，例如格林巴利综合征则不属于本合同所指的脊髓灰质炎。</w:t>
      </w:r>
    </w:p>
    <w:p w14:paraId="267C353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三十二、严重类风湿性关节炎：</w:t>
      </w:r>
    </w:p>
    <w:p w14:paraId="0B6EA2C1">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性关节功能障碍，且须满足下列全部条件：</w:t>
      </w:r>
    </w:p>
    <w:p w14:paraId="20495872">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1．晨僵；</w:t>
      </w:r>
    </w:p>
    <w:p w14:paraId="642977B4">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2．对称性关节炎；</w:t>
      </w:r>
    </w:p>
    <w:p w14:paraId="13BD2566">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3．类风湿性皮下结节；</w:t>
      </w:r>
    </w:p>
    <w:p w14:paraId="3F168AA9">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4．类风湿因子滴度升高；</w:t>
      </w:r>
    </w:p>
    <w:p w14:paraId="4EDFBBB0">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5．X线显示严重的关节（软骨和骨）破坏和关节畸形。</w:t>
      </w:r>
    </w:p>
    <w:p w14:paraId="2D70E1A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三十三、严重系统性红斑狼疮性肾病：</w:t>
      </w:r>
    </w:p>
    <w:p w14:paraId="120566F0">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w:t>
      </w:r>
      <w:r>
        <w:rPr>
          <w:rFonts w:hint="eastAsia" w:ascii="宋体" w:hAnsi="宋体" w:cs="宋体"/>
          <w:color w:val="000000"/>
          <w:sz w:val="24"/>
          <w:szCs w:val="24"/>
        </w:rPr>
        <w:t>Ⅲ</w:t>
      </w:r>
      <w:r>
        <w:rPr>
          <w:rFonts w:hint="eastAsia" w:ascii="宋体" w:hAnsi="宋体" w:cs="Arial"/>
          <w:color w:val="000000"/>
          <w:sz w:val="24"/>
          <w:szCs w:val="24"/>
        </w:rPr>
        <w:t>型至</w:t>
      </w:r>
      <w:r>
        <w:rPr>
          <w:rFonts w:hint="eastAsia" w:ascii="宋体" w:hAnsi="宋体" w:cs="宋体"/>
          <w:color w:val="000000"/>
          <w:sz w:val="24"/>
          <w:szCs w:val="24"/>
        </w:rPr>
        <w:t>Ⅴ</w:t>
      </w:r>
      <w:r>
        <w:rPr>
          <w:rFonts w:hint="eastAsia" w:ascii="宋体" w:hAnsi="宋体" w:cs="Arial"/>
          <w:color w:val="000000"/>
          <w:sz w:val="24"/>
          <w:szCs w:val="24"/>
        </w:rPr>
        <w:t>型狼疮性肾炎。</w:t>
      </w:r>
    </w:p>
    <w:p w14:paraId="010B5F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世界卫生组织（WHO）狼疮性肾炎分型：</w:t>
      </w:r>
    </w:p>
    <w:p w14:paraId="7EAB50E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Ⅰ</w:t>
      </w:r>
      <w:r>
        <w:rPr>
          <w:rFonts w:hint="eastAsia" w:ascii="宋体" w:hAnsi="宋体" w:cs="Arial"/>
          <w:color w:val="000000"/>
          <w:sz w:val="24"/>
          <w:szCs w:val="24"/>
        </w:rPr>
        <w:t>型（微小病变型）：镜下阴性，尿液正常；</w:t>
      </w:r>
    </w:p>
    <w:p w14:paraId="1D187D9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Ⅱ</w:t>
      </w:r>
      <w:r>
        <w:rPr>
          <w:rFonts w:hint="eastAsia" w:ascii="宋体" w:hAnsi="宋体" w:cs="Arial"/>
          <w:color w:val="000000"/>
          <w:sz w:val="24"/>
          <w:szCs w:val="24"/>
        </w:rPr>
        <w:t>型（系膜病变型）：中度蛋白尿，偶有尿沉渣改变；</w:t>
      </w:r>
    </w:p>
    <w:p w14:paraId="0AEEB9A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Ⅲ</w:t>
      </w:r>
      <w:r>
        <w:rPr>
          <w:rFonts w:hint="eastAsia" w:ascii="宋体" w:hAnsi="宋体" w:cs="Arial"/>
          <w:color w:val="000000"/>
          <w:sz w:val="24"/>
          <w:szCs w:val="24"/>
        </w:rPr>
        <w:t>型（局灶及节段增生型）：蛋白尿，尿沉渣改变；</w:t>
      </w:r>
    </w:p>
    <w:p w14:paraId="164FB86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Ⅳ</w:t>
      </w:r>
      <w:r>
        <w:rPr>
          <w:rFonts w:hint="eastAsia" w:ascii="宋体" w:hAnsi="宋体" w:cs="Arial"/>
          <w:color w:val="000000"/>
          <w:sz w:val="24"/>
          <w:szCs w:val="24"/>
        </w:rPr>
        <w:t>型（弥漫增生型）：急性肾炎伴有尿沉渣改变或肾病综合征；</w:t>
      </w:r>
    </w:p>
    <w:p w14:paraId="61AE998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Ⅴ</w:t>
      </w:r>
      <w:r>
        <w:rPr>
          <w:rFonts w:hint="eastAsia" w:ascii="宋体" w:hAnsi="宋体" w:cs="Arial"/>
          <w:color w:val="000000"/>
          <w:sz w:val="24"/>
          <w:szCs w:val="24"/>
        </w:rPr>
        <w:t>型（膜型）：肾病综合征或重度蛋白尿。</w:t>
      </w:r>
    </w:p>
    <w:p w14:paraId="6608B9F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其他类型的红斑性狼疮，如盘状狼疮，仅累及血液及关节等其他系统的系统性红斑狼疮不在保障范围内。</w:t>
      </w:r>
    </w:p>
    <w:p w14:paraId="4099E36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三十四、植物人状态：</w:t>
      </w:r>
    </w:p>
    <w:p w14:paraId="79C965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脑皮质广泛性坏死而导致对自身及周边的认知能力完全丧失，但脑干功能依然存在。必须由神经专科医生明确诊断，并有头颅断层扫描（CT），核磁共振检查（MRI）或正电子发射断层扫描（PET）等影像学检查证实。上述情况必须有至少一个月的病历记录加以证实。</w:t>
      </w:r>
    </w:p>
    <w:p w14:paraId="177D1BA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由于酗酒或滥用药物所致的植物人状态不在保障范围内。</w:t>
      </w:r>
    </w:p>
    <w:p w14:paraId="25C7049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三十五、严重胰岛素依赖型糖尿病：</w:t>
      </w:r>
    </w:p>
    <w:p w14:paraId="30E9E81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指由于胰岛素分泌绝对不足引起的慢性血糖升高，经血胰岛素测定、血c肽测定或尿c肽测定结果证实，且已经持续性的依赖外源性胰岛素维持180天以上；须至少满足下列一个条件：</w:t>
      </w:r>
    </w:p>
    <w:p w14:paraId="19A38C8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1．已出现增殖性视网膜病变；</w:t>
      </w:r>
    </w:p>
    <w:p w14:paraId="0B01E3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2．糖尿病肾病，且尿蛋白&gt;0.5g/24h；</w:t>
      </w:r>
    </w:p>
    <w:p w14:paraId="28FE480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3．因坏疽需切除至少一个脚趾。</w:t>
      </w:r>
    </w:p>
    <w:p w14:paraId="4A774F3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三十六、严重冠心病：</w:t>
      </w:r>
    </w:p>
    <w:p w14:paraId="568CB5C0">
      <w:pPr>
        <w:keepNext w:val="0"/>
        <w:keepLines w:val="0"/>
        <w:pageBreakBefore w:val="0"/>
        <w:widowControl w:val="0"/>
        <w:spacing w:line="360" w:lineRule="auto"/>
        <w:ind w:firstLine="480"/>
        <w:jc w:val="left"/>
        <w:rPr>
          <w:rFonts w:hint="eastAsia" w:ascii="宋体" w:hAnsi="宋体" w:cs="Arial"/>
          <w:color w:val="000000"/>
          <w:sz w:val="24"/>
          <w:szCs w:val="24"/>
        </w:rPr>
      </w:pPr>
      <w:r>
        <w:rPr>
          <w:rFonts w:hint="eastAsia" w:ascii="宋体" w:hAnsi="宋体" w:cs="Arial"/>
          <w:color w:val="000000"/>
          <w:sz w:val="24"/>
          <w:szCs w:val="24"/>
        </w:rPr>
        <w:t>指经根据冠状动脉造影检查结果明确诊断为三支主要血管严重狭窄性病变（至少一支血管管腔直径减少75％以上和其他两支血管管腔直径减少60％以上）。冠状动脉的主要血管指左冠状动脉主干、前降支、回旋支及右冠状动脉，不包括前降支、左旋支及右冠状动脉的分支血管。</w:t>
      </w:r>
    </w:p>
    <w:p w14:paraId="3116D5A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三十七、急性坏死性胰腺炎开腹手术：</w:t>
      </w:r>
    </w:p>
    <w:p w14:paraId="3AD19F38">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指为治疗急性坏死性胰腺炎，实际实施了开腹进行的坏死组织清除术、病灶切除术或胰腺部分切除术。</w:t>
      </w:r>
    </w:p>
    <w:p w14:paraId="2C0EB44F">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为治疗因酒精中毒引起的急性坏死性胰腺炎的开腹手术不在保障范围内。</w:t>
      </w:r>
    </w:p>
    <w:p w14:paraId="0E36AA3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三十八、经输血导致的人类免疫缺陷病毒感染：</w:t>
      </w:r>
    </w:p>
    <w:p w14:paraId="71B63C2B">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被保险人感染人类免疫缺陷病毒（HIV），且须满足下列全部条件：</w:t>
      </w:r>
    </w:p>
    <w:p w14:paraId="0C157090">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被保险人因治疗必需而接受输血，并且因输血而感染人类免疫缺陷病毒（HIV）；</w:t>
      </w:r>
    </w:p>
    <w:p w14:paraId="32E4867D">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提供输血治疗的输血中心或医院出具该项输血感染属医疗责任事故的报告，或者法院终审裁定为医疗责任；</w:t>
      </w:r>
    </w:p>
    <w:p w14:paraId="1BBC180A">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提供输血治疗的输血中心或医院必须拥有合法经营执照；</w:t>
      </w:r>
    </w:p>
    <w:p w14:paraId="3D26E4F7">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受感染的被保险人不是血友病患者。</w:t>
      </w:r>
    </w:p>
    <w:p w14:paraId="3BEDCC8B">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血友病：为一组遗传性凝血功能障碍的出血性疾病，其共同的特征是活性凝血活酶生成障碍，凝血时间延长，终身具有轻微创伤后出血倾向，重症患者没有明显外伤也可发生“自发性”出血。</w:t>
      </w:r>
    </w:p>
    <w:p w14:paraId="7B837527">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任何因其他传播方式（包括：性传播或静脉注射毒品）导致人类免疫缺陷病毒（HIV）感染不在保障范围内。保险公司具有获得和使用被保险人的所有血液样本的权利以及能够对这些样本进行独立检验的权利。</w:t>
      </w:r>
    </w:p>
    <w:p w14:paraId="76734A3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三十九、非阿尔茨海默病所致严重痴呆：</w:t>
      </w:r>
    </w:p>
    <w:p w14:paraId="5AFF3220">
      <w:pPr>
        <w:keepNext w:val="0"/>
        <w:keepLines w:val="0"/>
        <w:pageBreakBefore w:val="0"/>
        <w:widowControl w:val="0"/>
        <w:spacing w:line="360" w:lineRule="auto"/>
        <w:ind w:firstLine="480"/>
        <w:jc w:val="left"/>
        <w:rPr>
          <w:rFonts w:hint="eastAsia" w:ascii="宋体" w:hAnsi="宋体" w:cs="Arial"/>
          <w:color w:val="000000"/>
          <w:sz w:val="24"/>
          <w:szCs w:val="24"/>
        </w:rPr>
      </w:pPr>
      <w:r>
        <w:rPr>
          <w:rFonts w:hint="eastAsia" w:ascii="宋体" w:hAnsi="宋体" w:cs="Arial"/>
          <w:color w:val="000000"/>
          <w:sz w:val="24"/>
          <w:szCs w:val="24"/>
        </w:rPr>
        <w:t>指因阿尔茨海默病以外的脑的器质性疾病造成脑功能衰竭导致永久不可逆性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p>
    <w:p w14:paraId="4FA242C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神经官能症，精神疾病及酒精中毒所致脑损害不在保障范围内。</w:t>
      </w:r>
    </w:p>
    <w:p w14:paraId="7078C6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四十、严重弥漫性系统性硬皮病：</w:t>
      </w:r>
    </w:p>
    <w:p w14:paraId="4978680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一种系统性胶原血管病引起进行性的皮肤、血管和内脏器官的弥漫性纤维化。本病症须经专科医生明确诊断，并须满足下列全部条件：</w:t>
      </w:r>
    </w:p>
    <w:p w14:paraId="1BAB8DB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1．由活检和血清学证据支持；</w:t>
      </w:r>
    </w:p>
    <w:p w14:paraId="6B9B091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2．疾病已经影响到肺脏、心脏或肾脏等内脏器官并且达到下列标准之一：</w:t>
      </w:r>
    </w:p>
    <w:p w14:paraId="38A3A5B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（1）肺脏：已造成肺脏纤维化，并同时出现肺动脉高压和肺心病；</w:t>
      </w:r>
    </w:p>
    <w:p w14:paraId="06C77B4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（2）心脏：心脏功能衰竭程度达到美国纽约心脏病学会（New York Heart Association，NYHA）心功能状态分级IV级；</w:t>
      </w:r>
    </w:p>
    <w:p w14:paraId="593DE98E">
      <w:pPr>
        <w:keepNext w:val="0"/>
        <w:keepLines w:val="0"/>
        <w:pageBreakBefore w:val="0"/>
        <w:widowControl w:val="0"/>
        <w:spacing w:line="360" w:lineRule="auto"/>
        <w:ind w:firstLine="480"/>
        <w:rPr>
          <w:rFonts w:hint="eastAsia" w:ascii="宋体" w:hAnsi="宋体" w:cs="Arial"/>
          <w:color w:val="000000"/>
          <w:sz w:val="24"/>
          <w:szCs w:val="24"/>
          <w:u w:val="single"/>
        </w:rPr>
      </w:pPr>
      <w:r>
        <w:rPr>
          <w:rFonts w:hint="eastAsia" w:ascii="宋体" w:hAnsi="宋体" w:cs="Arial"/>
          <w:color w:val="000000"/>
          <w:sz w:val="24"/>
          <w:szCs w:val="24"/>
        </w:rPr>
        <w:t>（3）肾脏：已造成肾脏损害，并出现肾功能衰竭。</w:t>
      </w:r>
    </w:p>
    <w:p w14:paraId="636EFD7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局限性硬皮病（带状硬皮病或斑状损害）、嗜酸细胞筋膜炎和CREST综合征不在保障范围内。</w:t>
      </w:r>
    </w:p>
    <w:p w14:paraId="53840E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四十一、重症急性坏死性筋膜炎：</w:t>
      </w:r>
    </w:p>
    <w:p w14:paraId="29168F5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是一种由细菌侵入皮下组织和筋膜引起的急性坏死性软组织感染，可伴有毒血症、败血症、中毒性休克、弥漫性血管内凝血及多器官衰竭。须满足下列全部条件：</w:t>
      </w:r>
    </w:p>
    <w:p w14:paraId="5112734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1．细菌培养和临床表现符合坏死性筋膜炎诊断标准；</w:t>
      </w:r>
    </w:p>
    <w:p w14:paraId="3DAC7CA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2．病情迅速恶化，有脓毒血症表现；</w:t>
      </w:r>
    </w:p>
    <w:p w14:paraId="5A346BC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3．受感染肢体被截肢（自腕关节或踝关节靠近躯干端）。</w:t>
      </w:r>
    </w:p>
    <w:p w14:paraId="41EC7CF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四十二、埃博拉出血热：</w:t>
      </w:r>
    </w:p>
    <w:p w14:paraId="559274D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指埃博拉病毒感染导致的出血性发热。埃博拉病必须经国家机关认可的有合法资质的传染病专家确诊，并须满足下列全部条件：</w:t>
      </w:r>
    </w:p>
    <w:p w14:paraId="370EBD1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1．埃博拉病毒的存在必须经过实验室检查证实；</w:t>
      </w:r>
    </w:p>
    <w:p w14:paraId="6F1D10B7">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2．存在皮肤粘膜出血，呕血，咯血，便血或血尿等临床表现；</w:t>
      </w:r>
    </w:p>
    <w:p w14:paraId="55FC5B3A">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3．感染埃博拉病毒并出现出血性发热持续三十（30）天以上，且持续出现并发症。</w:t>
      </w:r>
    </w:p>
    <w:p w14:paraId="0388D73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单纯实验室诊断但没有临床出血表现的不在保障范围内。</w:t>
      </w:r>
    </w:p>
    <w:p w14:paraId="7FED0BF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四十三、严重感染性心内膜炎：</w:t>
      </w:r>
    </w:p>
    <w:p w14:paraId="00FB4BA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指因细菌、真菌和其他微生物制剂感染而产生心脏瓣膜的炎症或心室壁内膜的炎症，引起心脏瓣膜关闭不全。须满足下列全部条件：</w:t>
      </w:r>
    </w:p>
    <w:p w14:paraId="7BE4293E">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1．急性或亚急性感染性心内膜炎临床表现；</w:t>
      </w:r>
    </w:p>
    <w:p w14:paraId="0D3EDA5D">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2．血培养病原体阳性；</w:t>
      </w:r>
    </w:p>
    <w:p w14:paraId="43E72DF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3．心脏功能衰竭程度达到美国纽约心脏病学会（New York Heart Association，NYHA）心功能状态分级IV级并持续180天，或接受了心脏瓣膜置换手术。</w:t>
      </w:r>
    </w:p>
    <w:p w14:paraId="3F03F5D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四十四、胰腺移植：</w:t>
      </w:r>
    </w:p>
    <w:p w14:paraId="7ED890D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指因胰腺功能衰竭，已经实施了在全身麻醉下进行的胰腺的异体器官移植手术（供体必须是人体器官）。</w:t>
      </w:r>
    </w:p>
    <w:p w14:paraId="0BCB383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单纯胰岛移植、部分胰腺组织或细胞的移植不在保障范围内。</w:t>
      </w:r>
    </w:p>
    <w:p w14:paraId="3B1D127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四十五、严重自身免疫性肝炎：</w:t>
      </w:r>
    </w:p>
    <w:p w14:paraId="0FDECAF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p>
    <w:p w14:paraId="5105D9F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1．高γ球蛋白血症；</w:t>
      </w:r>
    </w:p>
    <w:p w14:paraId="223079F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2．血液中存在高水平的自身免疫抗体，如ANA（抗核抗体），SMA（抗平滑肌抗体），抗LKM1抗体或抗-SLA/LP抗体；</w:t>
      </w:r>
    </w:p>
    <w:p w14:paraId="55C14E0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3．肝脏活检证实免疫性肝炎；</w:t>
      </w:r>
    </w:p>
    <w:p w14:paraId="2D7949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4．临床已经同时出现腹水、食道静脉曲张及脾脏肿大等肝硬化表现。</w:t>
      </w:r>
    </w:p>
    <w:p w14:paraId="548C2C3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四十六、原发性硬化性胆管炎：</w:t>
      </w:r>
    </w:p>
    <w:p w14:paraId="072CCCC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一种胆汁淤积综合征，其特征是肝内、肝外胆道因纤维化性炎症逐渐狭窄，并最终导致完全阻塞而发展为肝硬化。须经逆行胰胆管造影（ERCP）或经皮胆管造影（PTC）等影像学检查证实，且须满足下列全部条件：</w:t>
      </w:r>
    </w:p>
    <w:p w14:paraId="493CDE9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1．总胆红素和直接胆红素同时升高，血清ALP&gt;200U/L；</w:t>
      </w:r>
    </w:p>
    <w:p w14:paraId="2BA4D88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2．持续性黄疸病史；</w:t>
      </w:r>
    </w:p>
    <w:p w14:paraId="5F4511E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3．出现胆汁性肝硬化或门脉高压。</w:t>
      </w:r>
    </w:p>
    <w:p w14:paraId="54FB61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因肿瘤或胆管损伤等导致的继发性硬化性胆管炎不在保障范围内。</w:t>
      </w:r>
    </w:p>
    <w:p w14:paraId="6179766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四十七、头臂动脉型多发性大动脉炎旁路移植手术：</w:t>
      </w:r>
    </w:p>
    <w:p w14:paraId="07EDA32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多发性大动脉炎（高安氏动脉炎）是一种发生在主动脉和其主要分支的慢性炎症性动脉疾病，表现为受累动脉狭窄或闭塞。头臂动脉型多发性大动脉炎是指多发性大动脉炎头臂动脉型（I型），又称为无脉症。被保险人被明确诊断为头臂动脉型多发性大动脉炎并且实际接受了经胸部切开进行的无名动脉（头臂干）、颈总动脉、锁骨下动脉旁路移植手术。</w:t>
      </w:r>
    </w:p>
    <w:p w14:paraId="60367B6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非开胸的血管旁路移植手术、因其他病因而进行的旁路移植手术，对其他动脉进行的旁路移植手术，经皮经导管进行的血管内手术不在保障范围内。</w:t>
      </w:r>
    </w:p>
    <w:p w14:paraId="0109C78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四十八、溶血性链球菌性坏疽：</w:t>
      </w:r>
    </w:p>
    <w:p w14:paraId="246633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指包围肢体或者躯干的浅筋膜或者深筋膜受到溶血性链球菌的感染，病情在短时间内急剧恶化，且已经立刻进行了手术。最后的诊断须由微生物或者病理学专家进行相关检查后证实。</w:t>
      </w:r>
    </w:p>
    <w:p w14:paraId="459F8B2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四十九、克-雅氏病（CJD、人类疯牛病）：</w:t>
      </w:r>
    </w:p>
    <w:p w14:paraId="26DFE3D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一种由动物传染而来的中枢神经系统变性疾病，大脑呈海绵状改变伴神经元缺失和胶质化。临床表现为进行性痴呆、不随意运动及抽搐、行动困难等。须由权威医疗机构根据致病蛋白的发现而明确诊断。</w:t>
      </w:r>
    </w:p>
    <w:p w14:paraId="66D5982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五十、丝虫病所致象皮肿：</w:t>
      </w:r>
    </w:p>
    <w:p w14:paraId="27CBFDD2">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指因丝虫感染导致淋巴管阻塞而造成身体组织出现严重淋巴水肿，达到国际淋巴学会淋巴水肿分期第</w:t>
      </w:r>
      <w:r>
        <w:rPr>
          <w:rFonts w:hint="eastAsia" w:ascii="宋体" w:hAnsi="宋体" w:cs="宋体"/>
          <w:color w:val="000000"/>
          <w:sz w:val="24"/>
          <w:szCs w:val="24"/>
        </w:rPr>
        <w:t>Ⅲ</w:t>
      </w:r>
      <w:r>
        <w:rPr>
          <w:rFonts w:hint="eastAsia" w:ascii="宋体" w:hAnsi="宋体" w:cs="Arial"/>
          <w:color w:val="000000"/>
          <w:sz w:val="24"/>
          <w:szCs w:val="24"/>
        </w:rPr>
        <w:t>期，其临床表现为肢体非凹陷性水肿伴畸形增大，硬皮症及疣状增生。须满足自主生活能力完全丧失，无法独立完成六项基本日常生活活动中的三项或三项以上。须经保险公司认可医院的专科医生根据临床表现和微丝蚴的化验结果确诊。</w:t>
      </w:r>
    </w:p>
    <w:p w14:paraId="3266F003">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由性接触传染的疾病、创伤、手术后疤痕、充血性心力衰竭或先天性淋巴系统异常引起的淋巴水肿，以及急性淋巴管炎或其他原因引起的淋巴水肿不在保障范围内。</w:t>
      </w:r>
    </w:p>
    <w:p w14:paraId="7ABC1810">
      <w:pPr>
        <w:widowControl/>
        <w:jc w:val="both"/>
        <w:rPr>
          <w:rFonts w:hint="eastAsia" w:ascii="宋体" w:hAnsi="宋体" w:eastAsia="宋体" w:cs="宋体"/>
          <w:b/>
          <w:color w:val="000000"/>
          <w:sz w:val="24"/>
          <w:szCs w:val="24"/>
          <w:highlight w:val="none"/>
        </w:rPr>
      </w:pPr>
    </w:p>
    <w:p w14:paraId="24F356DD">
      <w:pPr>
        <w:widowControl/>
        <w:jc w:val="center"/>
        <w:rPr>
          <w:rFonts w:hint="eastAsia" w:ascii="宋体" w:hAnsi="宋体" w:eastAsia="宋体" w:cs="宋体"/>
          <w:b/>
          <w:color w:val="000000"/>
          <w:sz w:val="24"/>
          <w:szCs w:val="24"/>
          <w:highlight w:val="none"/>
        </w:rPr>
      </w:pPr>
    </w:p>
    <w:p w14:paraId="06185D82">
      <w:pPr>
        <w:widowControl/>
        <w:jc w:val="center"/>
        <w:rPr>
          <w:rFonts w:hint="eastAsia" w:ascii="宋体" w:hAnsi="宋体" w:eastAsia="宋体" w:cs="宋体"/>
          <w:b/>
          <w:color w:val="000000"/>
          <w:sz w:val="24"/>
          <w:szCs w:val="24"/>
          <w:highlight w:val="none"/>
        </w:rPr>
      </w:pPr>
    </w:p>
    <w:p w14:paraId="542C5E27">
      <w:pPr>
        <w:widowControl/>
        <w:jc w:val="center"/>
        <w:rPr>
          <w:rFonts w:hint="eastAsia" w:ascii="宋体" w:hAnsi="宋体" w:eastAsia="宋体" w:cs="宋体"/>
          <w:b/>
          <w:color w:val="000000"/>
          <w:sz w:val="24"/>
          <w:szCs w:val="24"/>
          <w:highlight w:val="none"/>
        </w:rPr>
      </w:pPr>
    </w:p>
    <w:p w14:paraId="0B0FE572">
      <w:pPr>
        <w:widowControl/>
        <w:jc w:val="center"/>
        <w:rPr>
          <w:rFonts w:hint="eastAsia" w:ascii="宋体" w:hAnsi="宋体" w:eastAsia="宋体" w:cs="宋体"/>
          <w:b/>
          <w:color w:val="000000"/>
          <w:sz w:val="24"/>
          <w:szCs w:val="24"/>
          <w:highlight w:val="none"/>
        </w:rPr>
      </w:pPr>
    </w:p>
    <w:p w14:paraId="7038B2F5">
      <w:pPr>
        <w:widowControl/>
        <w:jc w:val="center"/>
        <w:rPr>
          <w:rFonts w:hint="eastAsia" w:ascii="宋体" w:hAnsi="宋体" w:eastAsia="宋体" w:cs="宋体"/>
          <w:b/>
          <w:color w:val="000000"/>
          <w:sz w:val="24"/>
          <w:szCs w:val="24"/>
          <w:highlight w:val="none"/>
        </w:rPr>
      </w:pPr>
    </w:p>
    <w:p w14:paraId="6DD39935">
      <w:pPr>
        <w:widowControl/>
        <w:jc w:val="center"/>
        <w:rPr>
          <w:rFonts w:hint="eastAsia" w:ascii="宋体" w:hAnsi="宋体" w:eastAsia="宋体" w:cs="宋体"/>
          <w:b/>
          <w:color w:val="000000"/>
          <w:sz w:val="24"/>
          <w:szCs w:val="24"/>
          <w:highlight w:val="none"/>
        </w:rPr>
      </w:pPr>
    </w:p>
    <w:p w14:paraId="5264BEC9">
      <w:pPr>
        <w:widowControl/>
        <w:jc w:val="center"/>
        <w:rPr>
          <w:rFonts w:hint="eastAsia" w:ascii="宋体" w:hAnsi="宋体" w:eastAsia="宋体" w:cs="宋体"/>
          <w:b/>
          <w:color w:val="000000"/>
          <w:sz w:val="24"/>
          <w:szCs w:val="24"/>
          <w:highlight w:val="none"/>
        </w:rPr>
      </w:pPr>
    </w:p>
    <w:p w14:paraId="3C6DE2A1">
      <w:pPr>
        <w:widowControl/>
        <w:jc w:val="center"/>
        <w:rPr>
          <w:rFonts w:hint="eastAsia" w:ascii="宋体" w:hAnsi="宋体" w:eastAsia="宋体" w:cs="宋体"/>
          <w:b/>
          <w:color w:val="000000"/>
          <w:sz w:val="24"/>
          <w:szCs w:val="24"/>
          <w:highlight w:val="none"/>
        </w:rPr>
      </w:pPr>
    </w:p>
    <w:p w14:paraId="40B71681">
      <w:pPr>
        <w:widowControl/>
        <w:jc w:val="center"/>
        <w:rPr>
          <w:rFonts w:hint="eastAsia" w:ascii="宋体" w:hAnsi="宋体" w:eastAsia="宋体" w:cs="宋体"/>
          <w:b/>
          <w:color w:val="000000"/>
          <w:sz w:val="24"/>
          <w:szCs w:val="24"/>
          <w:highlight w:val="none"/>
        </w:rPr>
      </w:pPr>
    </w:p>
    <w:p w14:paraId="1387B15A">
      <w:pPr>
        <w:widowControl/>
        <w:jc w:val="center"/>
        <w:rPr>
          <w:rFonts w:hint="eastAsia" w:ascii="宋体" w:hAnsi="宋体" w:eastAsia="宋体" w:cs="宋体"/>
          <w:b/>
          <w:color w:val="000000"/>
          <w:sz w:val="24"/>
          <w:szCs w:val="24"/>
          <w:highlight w:val="none"/>
        </w:rPr>
      </w:pPr>
    </w:p>
    <w:p w14:paraId="11F0F3BA">
      <w:pPr>
        <w:widowControl/>
        <w:jc w:val="center"/>
        <w:rPr>
          <w:rFonts w:hint="eastAsia" w:ascii="宋体" w:hAnsi="宋体" w:eastAsia="宋体" w:cs="宋体"/>
          <w:b/>
          <w:color w:val="000000"/>
          <w:sz w:val="24"/>
          <w:szCs w:val="24"/>
          <w:highlight w:val="none"/>
        </w:rPr>
      </w:pPr>
    </w:p>
    <w:p w14:paraId="07A8C9E9">
      <w:pPr>
        <w:widowControl/>
        <w:jc w:val="center"/>
        <w:rPr>
          <w:rFonts w:hint="eastAsia" w:ascii="宋体" w:hAnsi="宋体" w:eastAsia="宋体" w:cs="宋体"/>
          <w:b/>
          <w:color w:val="000000"/>
          <w:sz w:val="24"/>
          <w:szCs w:val="24"/>
          <w:highlight w:val="none"/>
        </w:rPr>
      </w:pPr>
    </w:p>
    <w:p w14:paraId="491C34A7">
      <w:pPr>
        <w:widowControl/>
        <w:jc w:val="center"/>
        <w:rPr>
          <w:rFonts w:hint="eastAsia" w:ascii="宋体" w:hAnsi="宋体" w:eastAsia="宋体" w:cs="宋体"/>
          <w:b/>
          <w:color w:val="000000"/>
          <w:sz w:val="24"/>
          <w:szCs w:val="24"/>
          <w:highlight w:val="none"/>
        </w:rPr>
      </w:pPr>
    </w:p>
    <w:p w14:paraId="0A9E4AFB">
      <w:pPr>
        <w:widowControl/>
        <w:jc w:val="center"/>
        <w:rPr>
          <w:rFonts w:hint="eastAsia" w:ascii="宋体" w:hAnsi="宋体" w:eastAsia="宋体" w:cs="宋体"/>
          <w:b/>
          <w:color w:val="000000"/>
          <w:sz w:val="24"/>
          <w:szCs w:val="24"/>
          <w:highlight w:val="none"/>
        </w:rPr>
      </w:pPr>
    </w:p>
    <w:p w14:paraId="0D75EE31">
      <w:pPr>
        <w:widowControl/>
        <w:jc w:val="center"/>
        <w:rPr>
          <w:rFonts w:hint="eastAsia" w:ascii="宋体" w:hAnsi="宋体" w:eastAsia="宋体" w:cs="宋体"/>
          <w:b/>
          <w:color w:val="000000"/>
          <w:sz w:val="24"/>
          <w:szCs w:val="24"/>
          <w:highlight w:val="none"/>
        </w:rPr>
      </w:pPr>
    </w:p>
    <w:p w14:paraId="47133D1E">
      <w:pPr>
        <w:widowControl/>
        <w:jc w:val="center"/>
        <w:rPr>
          <w:rFonts w:hint="eastAsia" w:ascii="宋体" w:hAnsi="宋体" w:eastAsia="宋体" w:cs="宋体"/>
          <w:b/>
          <w:color w:val="000000"/>
          <w:sz w:val="24"/>
          <w:szCs w:val="24"/>
          <w:highlight w:val="none"/>
        </w:rPr>
      </w:pPr>
    </w:p>
    <w:p w14:paraId="3D5E8BE8">
      <w:pPr>
        <w:widowControl/>
        <w:jc w:val="center"/>
        <w:rPr>
          <w:rFonts w:hint="eastAsia" w:ascii="宋体" w:hAnsi="宋体" w:eastAsia="宋体" w:cs="宋体"/>
          <w:b/>
          <w:color w:val="000000"/>
          <w:sz w:val="24"/>
          <w:szCs w:val="24"/>
          <w:highlight w:val="none"/>
        </w:rPr>
      </w:pPr>
    </w:p>
    <w:p w14:paraId="56DD118F">
      <w:pPr>
        <w:widowControl/>
        <w:jc w:val="center"/>
        <w:rPr>
          <w:rFonts w:hint="eastAsia" w:ascii="宋体" w:hAnsi="宋体" w:eastAsia="宋体" w:cs="宋体"/>
          <w:b/>
          <w:color w:val="000000"/>
          <w:sz w:val="24"/>
          <w:szCs w:val="24"/>
          <w:highlight w:val="none"/>
        </w:rPr>
      </w:pPr>
    </w:p>
    <w:p w14:paraId="0045EA44">
      <w:pPr>
        <w:widowControl/>
        <w:jc w:val="center"/>
        <w:rPr>
          <w:rFonts w:hint="eastAsia" w:ascii="宋体" w:hAnsi="宋体" w:eastAsia="宋体" w:cs="宋体"/>
          <w:b/>
          <w:color w:val="000000"/>
          <w:sz w:val="24"/>
          <w:szCs w:val="24"/>
          <w:highlight w:val="none"/>
        </w:rPr>
      </w:pPr>
    </w:p>
    <w:p w14:paraId="7DB9735C">
      <w:pPr>
        <w:widowControl/>
        <w:jc w:val="center"/>
        <w:rPr>
          <w:rFonts w:hint="eastAsia" w:ascii="宋体" w:hAnsi="宋体" w:eastAsia="宋体" w:cs="宋体"/>
          <w:b/>
          <w:color w:val="000000"/>
          <w:sz w:val="24"/>
          <w:szCs w:val="24"/>
          <w:highlight w:val="none"/>
        </w:rPr>
      </w:pPr>
    </w:p>
    <w:p w14:paraId="52A62156">
      <w:pPr>
        <w:widowControl/>
        <w:jc w:val="center"/>
        <w:rPr>
          <w:rFonts w:hint="eastAsia" w:ascii="宋体" w:hAnsi="宋体" w:eastAsia="宋体" w:cs="宋体"/>
          <w:b/>
          <w:color w:val="000000"/>
          <w:sz w:val="24"/>
          <w:szCs w:val="24"/>
          <w:highlight w:val="none"/>
        </w:rPr>
      </w:pPr>
    </w:p>
    <w:p w14:paraId="74ABD77B">
      <w:pPr>
        <w:widowControl/>
        <w:jc w:val="center"/>
        <w:rPr>
          <w:rFonts w:hint="eastAsia" w:ascii="宋体" w:hAnsi="宋体" w:eastAsia="宋体" w:cs="宋体"/>
          <w:b/>
          <w:color w:val="000000"/>
          <w:sz w:val="24"/>
          <w:szCs w:val="24"/>
          <w:highlight w:val="none"/>
        </w:rPr>
      </w:pPr>
    </w:p>
    <w:p w14:paraId="03B7E77F">
      <w:pPr>
        <w:widowControl/>
        <w:jc w:val="center"/>
        <w:rPr>
          <w:rFonts w:hint="eastAsia" w:ascii="宋体" w:hAnsi="宋体" w:eastAsia="宋体" w:cs="宋体"/>
          <w:b/>
          <w:color w:val="000000"/>
          <w:sz w:val="24"/>
          <w:szCs w:val="24"/>
          <w:highlight w:val="none"/>
        </w:rPr>
      </w:pPr>
    </w:p>
    <w:p w14:paraId="6C513540">
      <w:pPr>
        <w:widowControl/>
        <w:jc w:val="center"/>
        <w:rPr>
          <w:rFonts w:hint="eastAsia" w:ascii="宋体" w:hAnsi="宋体" w:eastAsia="宋体" w:cs="宋体"/>
          <w:b/>
          <w:color w:val="000000"/>
          <w:sz w:val="24"/>
          <w:szCs w:val="24"/>
          <w:highlight w:val="none"/>
        </w:rPr>
      </w:pPr>
    </w:p>
    <w:p w14:paraId="49B4DB42">
      <w:pPr>
        <w:widowControl/>
        <w:jc w:val="center"/>
        <w:rPr>
          <w:rFonts w:hint="eastAsia" w:ascii="宋体" w:hAnsi="宋体" w:eastAsia="宋体" w:cs="宋体"/>
          <w:b/>
          <w:color w:val="000000"/>
          <w:sz w:val="24"/>
          <w:szCs w:val="24"/>
          <w:highlight w:val="none"/>
        </w:rPr>
      </w:pPr>
    </w:p>
    <w:p w14:paraId="6E2C161A">
      <w:pPr>
        <w:widowControl/>
        <w:jc w:val="center"/>
        <w:rPr>
          <w:rFonts w:hint="eastAsia" w:ascii="宋体" w:hAnsi="宋体" w:eastAsia="宋体" w:cs="宋体"/>
          <w:b/>
          <w:color w:val="000000"/>
          <w:sz w:val="24"/>
          <w:szCs w:val="24"/>
          <w:highlight w:val="none"/>
        </w:rPr>
      </w:pPr>
    </w:p>
    <w:p w14:paraId="60F75771">
      <w:pPr>
        <w:widowControl/>
        <w:jc w:val="center"/>
        <w:rPr>
          <w:rFonts w:hint="eastAsia" w:ascii="宋体" w:hAnsi="宋体" w:eastAsia="宋体" w:cs="宋体"/>
          <w:b/>
          <w:color w:val="000000"/>
          <w:sz w:val="24"/>
          <w:szCs w:val="24"/>
          <w:highlight w:val="none"/>
        </w:rPr>
      </w:pPr>
    </w:p>
    <w:p w14:paraId="37A1CF24">
      <w:pPr>
        <w:widowControl/>
        <w:jc w:val="both"/>
        <w:rPr>
          <w:rFonts w:hint="eastAsia" w:ascii="宋体" w:hAnsi="宋体" w:eastAsia="宋体" w:cs="宋体"/>
          <w:b/>
          <w:color w:val="000000"/>
          <w:sz w:val="24"/>
          <w:szCs w:val="24"/>
          <w:highlight w:val="none"/>
        </w:rPr>
      </w:pPr>
    </w:p>
    <w:p w14:paraId="66B19402">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合同草案条款</w:t>
      </w:r>
      <w:bookmarkEnd w:id="794"/>
    </w:p>
    <w:p w14:paraId="237A6AC1">
      <w:pPr>
        <w:rPr>
          <w:rFonts w:hint="eastAsia" w:ascii="宋体" w:hAnsi="宋体" w:cs="宋体"/>
          <w:color w:val="000000"/>
          <w:sz w:val="44"/>
          <w:szCs w:val="44"/>
          <w:highlight w:val="none"/>
        </w:rPr>
      </w:pPr>
      <w:bookmarkStart w:id="795" w:name="_Toc104818930"/>
    </w:p>
    <w:p w14:paraId="51108066">
      <w:pPr>
        <w:pStyle w:val="221"/>
        <w:spacing w:line="360" w:lineRule="auto"/>
        <w:rPr>
          <w:rFonts w:cs="宋体"/>
          <w:sz w:val="24"/>
          <w:szCs w:val="24"/>
          <w:u w:val="single"/>
        </w:rPr>
      </w:pPr>
      <w:r>
        <w:rPr>
          <w:rFonts w:hint="eastAsia" w:cs="宋体"/>
          <w:b/>
          <w:sz w:val="24"/>
          <w:szCs w:val="24"/>
          <w:lang w:val="en-US" w:eastAsia="zh-CN"/>
        </w:rPr>
        <w:t>甲方</w:t>
      </w:r>
      <w:r>
        <w:rPr>
          <w:rFonts w:cs="宋体"/>
          <w:b/>
          <w:sz w:val="24"/>
          <w:szCs w:val="24"/>
          <w:lang w:val="zh-CN"/>
        </w:rPr>
        <w:t>（</w:t>
      </w:r>
      <w:r>
        <w:rPr>
          <w:rFonts w:hint="eastAsia" w:cs="宋体"/>
          <w:b/>
          <w:sz w:val="24"/>
          <w:szCs w:val="24"/>
          <w:lang w:val="en-US" w:eastAsia="zh-CN"/>
        </w:rPr>
        <w:t>采购人</w:t>
      </w:r>
      <w:r>
        <w:rPr>
          <w:rFonts w:cs="宋体"/>
          <w:b/>
          <w:sz w:val="24"/>
          <w:szCs w:val="24"/>
        </w:rPr>
        <w:t>）:</w:t>
      </w:r>
      <w:r>
        <w:rPr>
          <w:rFonts w:cs="宋体"/>
          <w:b/>
          <w:sz w:val="24"/>
          <w:szCs w:val="24"/>
          <w:u w:val="single"/>
        </w:rPr>
        <w:t xml:space="preserve">                         </w:t>
      </w:r>
    </w:p>
    <w:p w14:paraId="46FB0662">
      <w:pPr>
        <w:pStyle w:val="221"/>
        <w:spacing w:line="360" w:lineRule="auto"/>
        <w:rPr>
          <w:rFonts w:hAnsi="宋体" w:cs="宋体"/>
          <w:b/>
        </w:rPr>
      </w:pPr>
      <w:r>
        <w:rPr>
          <w:rFonts w:hint="eastAsia" w:cs="宋体"/>
          <w:b/>
          <w:sz w:val="24"/>
          <w:szCs w:val="24"/>
          <w:lang w:val="en-US" w:eastAsia="zh-CN"/>
        </w:rPr>
        <w:t>乙方</w:t>
      </w:r>
      <w:r>
        <w:rPr>
          <w:rFonts w:cs="宋体"/>
          <w:b/>
          <w:sz w:val="24"/>
          <w:szCs w:val="24"/>
        </w:rPr>
        <w:t>（</w:t>
      </w:r>
      <w:r>
        <w:rPr>
          <w:rFonts w:hint="eastAsia" w:cs="宋体"/>
          <w:b/>
          <w:sz w:val="24"/>
          <w:szCs w:val="24"/>
          <w:lang w:val="en-US" w:eastAsia="zh-CN"/>
        </w:rPr>
        <w:t>供应商</w:t>
      </w:r>
      <w:r>
        <w:rPr>
          <w:rFonts w:cs="宋体"/>
          <w:b/>
          <w:sz w:val="24"/>
          <w:szCs w:val="24"/>
        </w:rPr>
        <w:t>）:</w:t>
      </w:r>
      <w:r>
        <w:rPr>
          <w:rFonts w:cs="宋体"/>
          <w:b/>
          <w:sz w:val="24"/>
          <w:szCs w:val="24"/>
          <w:u w:val="single"/>
        </w:rPr>
        <w:t xml:space="preserve">                         </w:t>
      </w:r>
    </w:p>
    <w:p w14:paraId="1151C500">
      <w:pPr>
        <w:pStyle w:val="221"/>
        <w:spacing w:line="360" w:lineRule="auto"/>
        <w:ind w:firstLine="480"/>
        <w:rPr>
          <w:rFonts w:cs="宋体"/>
          <w:sz w:val="24"/>
          <w:szCs w:val="24"/>
        </w:rPr>
      </w:pPr>
      <w:r>
        <w:rPr>
          <w:rFonts w:cs="宋体"/>
          <w:sz w:val="24"/>
          <w:szCs w:val="24"/>
        </w:rPr>
        <w:t>甲乙双方依据《中华人民共和国民法典》以及有关法律、法规的规定，经协商一致，订立本合同，以便共同遵守。</w:t>
      </w:r>
    </w:p>
    <w:p w14:paraId="7D01E36A">
      <w:pPr>
        <w:pStyle w:val="221"/>
        <w:spacing w:line="360" w:lineRule="auto"/>
        <w:ind w:firstLine="482"/>
        <w:rPr>
          <w:rFonts w:cs="宋体"/>
          <w:b/>
          <w:sz w:val="24"/>
          <w:szCs w:val="24"/>
        </w:rPr>
      </w:pPr>
      <w:r>
        <w:rPr>
          <w:rFonts w:cs="宋体"/>
          <w:b/>
          <w:sz w:val="24"/>
          <w:szCs w:val="24"/>
        </w:rPr>
        <w:t>第一条 合同标的</w:t>
      </w:r>
    </w:p>
    <w:p w14:paraId="02F91A96">
      <w:pPr>
        <w:widowControl/>
        <w:spacing w:line="360" w:lineRule="auto"/>
        <w:ind w:firstLine="480"/>
        <w:jc w:val="left"/>
        <w:rPr>
          <w:rFonts w:ascii="宋体" w:hAnsi="宋体" w:cs="宋体"/>
          <w:sz w:val="24"/>
          <w:lang w:val="zh-CN"/>
        </w:rPr>
      </w:pPr>
      <w:r>
        <w:rPr>
          <w:rFonts w:hint="eastAsia" w:ascii="宋体" w:hAnsi="宋体" w:cs="宋体"/>
          <w:sz w:val="24"/>
          <w:lang w:val="zh-CN"/>
        </w:rPr>
        <w:t>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w:t>
      </w:r>
      <w:r>
        <w:rPr>
          <w:rFonts w:hint="eastAsia" w:ascii="宋体" w:hAnsi="宋体" w:cs="宋体"/>
          <w:sz w:val="24"/>
        </w:rPr>
        <w:t>系指根据合同规定乙方须承担与服务有关的所有辅助服务</w:t>
      </w:r>
      <w:r>
        <w:rPr>
          <w:rFonts w:hint="eastAsia" w:ascii="宋体" w:hAnsi="宋体" w:cs="宋体"/>
          <w:sz w:val="24"/>
          <w:lang w:val="zh-CN"/>
        </w:rPr>
        <w:t>。</w:t>
      </w:r>
    </w:p>
    <w:p w14:paraId="4CFC5704">
      <w:pPr>
        <w:pStyle w:val="221"/>
        <w:spacing w:line="360" w:lineRule="auto"/>
        <w:ind w:firstLine="482"/>
        <w:rPr>
          <w:rFonts w:cs="宋体"/>
          <w:b/>
          <w:sz w:val="24"/>
          <w:szCs w:val="24"/>
        </w:rPr>
      </w:pPr>
      <w:r>
        <w:rPr>
          <w:rFonts w:cs="宋体"/>
          <w:b/>
          <w:sz w:val="24"/>
          <w:szCs w:val="24"/>
        </w:rPr>
        <w:t>第二条 合同价格</w:t>
      </w:r>
    </w:p>
    <w:p w14:paraId="076864AA">
      <w:pPr>
        <w:pStyle w:val="221"/>
        <w:spacing w:line="360" w:lineRule="auto"/>
        <w:ind w:firstLine="482"/>
        <w:jc w:val="left"/>
        <w:rPr>
          <w:rFonts w:cs="宋体"/>
          <w:b/>
          <w:sz w:val="24"/>
          <w:szCs w:val="24"/>
        </w:rPr>
      </w:pPr>
      <w:r>
        <w:rPr>
          <w:rFonts w:cs="宋体"/>
          <w:b/>
          <w:sz w:val="24"/>
          <w:szCs w:val="24"/>
        </w:rPr>
        <w:t>签约合同总价（人民币，下同）：</w:t>
      </w:r>
    </w:p>
    <w:p w14:paraId="1E92B699">
      <w:pPr>
        <w:pStyle w:val="221"/>
        <w:spacing w:line="360" w:lineRule="auto"/>
        <w:ind w:firstLine="482"/>
        <w:jc w:val="left"/>
        <w:rPr>
          <w:rFonts w:cs="宋体"/>
          <w:b/>
          <w:sz w:val="24"/>
          <w:szCs w:val="24"/>
        </w:rPr>
      </w:pPr>
      <w:r>
        <w:rPr>
          <w:rFonts w:cs="宋体"/>
          <w:b/>
          <w:sz w:val="24"/>
          <w:szCs w:val="24"/>
        </w:rPr>
        <w:t>签约人均保费价格:</w:t>
      </w:r>
      <w:r>
        <w:rPr>
          <w:rFonts w:cs="宋体"/>
          <w:b/>
          <w:sz w:val="24"/>
          <w:szCs w:val="24"/>
          <w:u w:val="single"/>
        </w:rPr>
        <w:t xml:space="preserve">                </w:t>
      </w:r>
      <w:r>
        <w:rPr>
          <w:rFonts w:cs="宋体"/>
          <w:b/>
          <w:sz w:val="24"/>
          <w:szCs w:val="24"/>
        </w:rPr>
        <w:t>元，人民币(小写</w:t>
      </w:r>
      <w:r>
        <w:rPr>
          <w:rFonts w:cs="宋体"/>
          <w:b/>
          <w:sz w:val="24"/>
          <w:szCs w:val="24"/>
          <w:u w:val="single"/>
        </w:rPr>
        <w:t xml:space="preserve">         ）；</w:t>
      </w:r>
    </w:p>
    <w:p w14:paraId="676336CB">
      <w:pPr>
        <w:pStyle w:val="221"/>
        <w:spacing w:line="360" w:lineRule="auto"/>
        <w:ind w:firstLine="480"/>
        <w:rPr>
          <w:rFonts w:cs="宋体"/>
          <w:sz w:val="24"/>
          <w:szCs w:val="24"/>
        </w:rPr>
      </w:pPr>
      <w:r>
        <w:rPr>
          <w:rFonts w:cs="宋体"/>
          <w:sz w:val="24"/>
          <w:szCs w:val="24"/>
        </w:rPr>
        <w:t>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2674F31B">
      <w:pPr>
        <w:pStyle w:val="221"/>
        <w:spacing w:line="360" w:lineRule="auto"/>
        <w:ind w:firstLine="482"/>
        <w:rPr>
          <w:rFonts w:cs="宋体"/>
          <w:b/>
          <w:sz w:val="24"/>
          <w:szCs w:val="24"/>
        </w:rPr>
      </w:pPr>
      <w:r>
        <w:rPr>
          <w:rFonts w:cs="宋体"/>
          <w:b/>
          <w:sz w:val="24"/>
          <w:szCs w:val="24"/>
        </w:rPr>
        <w:t>第三条 合同履行期限</w:t>
      </w:r>
    </w:p>
    <w:p w14:paraId="29FFF392">
      <w:pPr>
        <w:spacing w:line="360" w:lineRule="auto"/>
        <w:ind w:firstLine="480"/>
        <w:rPr>
          <w:rFonts w:ascii="宋体" w:hAnsi="宋体" w:cs="宋体"/>
          <w:sz w:val="24"/>
        </w:rPr>
      </w:pPr>
      <w:r>
        <w:rPr>
          <w:rFonts w:hint="eastAsia" w:ascii="宋体" w:hAnsi="宋体" w:cs="宋体"/>
          <w:sz w:val="24"/>
        </w:rPr>
        <w:t>本项目服务期限为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    6年  月  日至    年  月  日），合同金额按实际发生参保人数结算。</w:t>
      </w:r>
    </w:p>
    <w:p w14:paraId="47947F22">
      <w:pPr>
        <w:pStyle w:val="221"/>
        <w:spacing w:line="360" w:lineRule="auto"/>
        <w:ind w:firstLine="482"/>
        <w:rPr>
          <w:rFonts w:cs="宋体"/>
          <w:b/>
          <w:sz w:val="24"/>
          <w:szCs w:val="24"/>
        </w:rPr>
      </w:pPr>
      <w:r>
        <w:rPr>
          <w:rFonts w:cs="宋体"/>
          <w:b/>
          <w:sz w:val="24"/>
          <w:szCs w:val="24"/>
        </w:rPr>
        <w:t>第四条 组成本合同的有关文件</w:t>
      </w:r>
    </w:p>
    <w:p w14:paraId="65563CD2">
      <w:pPr>
        <w:pStyle w:val="221"/>
        <w:spacing w:line="360" w:lineRule="auto"/>
        <w:ind w:firstLine="480"/>
        <w:rPr>
          <w:rFonts w:cs="宋体"/>
          <w:sz w:val="24"/>
          <w:szCs w:val="24"/>
        </w:rPr>
      </w:pPr>
      <w:r>
        <w:rPr>
          <w:rFonts w:cs="宋体"/>
          <w:sz w:val="24"/>
          <w:szCs w:val="24"/>
        </w:rPr>
        <w:t>下列与本次采购活动有关的文件及有关附件是本合同不可分割的组成部分，与本合同具有同等法律效力，这些文件包括但不限于：</w:t>
      </w:r>
    </w:p>
    <w:p w14:paraId="6318A50A">
      <w:pPr>
        <w:pStyle w:val="221"/>
        <w:spacing w:line="360" w:lineRule="auto"/>
        <w:ind w:firstLine="480"/>
        <w:rPr>
          <w:rFonts w:cs="宋体"/>
          <w:sz w:val="24"/>
          <w:szCs w:val="24"/>
        </w:rPr>
      </w:pPr>
      <w:r>
        <w:rPr>
          <w:rFonts w:cs="宋体"/>
          <w:sz w:val="24"/>
          <w:szCs w:val="24"/>
        </w:rPr>
        <w:t xml:space="preserve">（1）招标文件（编号：  </w:t>
      </w:r>
      <w:r>
        <w:rPr>
          <w:rFonts w:hint="eastAsia" w:cs="宋体"/>
          <w:sz w:val="24"/>
          <w:szCs w:val="24"/>
          <w:lang w:val="en-US" w:eastAsia="zh-CN"/>
        </w:rPr>
        <w:t xml:space="preserve">  </w:t>
      </w:r>
      <w:r>
        <w:rPr>
          <w:rFonts w:cs="宋体"/>
          <w:sz w:val="24"/>
          <w:szCs w:val="24"/>
        </w:rPr>
        <w:t xml:space="preserve"> ）             （2）乙方提供的投标文件； </w:t>
      </w:r>
    </w:p>
    <w:p w14:paraId="5D3965F1">
      <w:pPr>
        <w:pStyle w:val="221"/>
        <w:spacing w:line="360" w:lineRule="auto"/>
        <w:ind w:firstLine="480"/>
        <w:rPr>
          <w:rFonts w:cs="宋体"/>
          <w:sz w:val="24"/>
          <w:szCs w:val="24"/>
        </w:rPr>
      </w:pPr>
      <w:r>
        <w:rPr>
          <w:rFonts w:cs="宋体"/>
          <w:sz w:val="24"/>
          <w:szCs w:val="24"/>
        </w:rPr>
        <w:t>（3）中标通知书；                        （4）甲乙双方商定的其他文件等。</w:t>
      </w:r>
    </w:p>
    <w:p w14:paraId="0FCE04DD">
      <w:pPr>
        <w:spacing w:line="360" w:lineRule="auto"/>
        <w:ind w:firstLine="482"/>
        <w:rPr>
          <w:rFonts w:ascii="宋体" w:hAnsi="宋体" w:cs="宋体"/>
          <w:b/>
          <w:sz w:val="24"/>
        </w:rPr>
      </w:pPr>
      <w:r>
        <w:rPr>
          <w:rFonts w:hint="eastAsia" w:ascii="宋体" w:hAnsi="宋体" w:cs="宋体"/>
          <w:b/>
          <w:sz w:val="24"/>
        </w:rPr>
        <w:t>第五条 合同款结算及支付</w:t>
      </w:r>
    </w:p>
    <w:p w14:paraId="04F2FBB6">
      <w:pPr>
        <w:spacing w:line="360" w:lineRule="auto"/>
        <w:ind w:firstLine="480"/>
        <w:rPr>
          <w:rFonts w:ascii="宋体" w:hAnsi="宋体" w:cs="宋体"/>
          <w:sz w:val="24"/>
        </w:rPr>
      </w:pPr>
      <w:r>
        <w:rPr>
          <w:rFonts w:hint="eastAsia" w:ascii="宋体" w:hAnsi="宋体" w:cs="宋体"/>
          <w:sz w:val="24"/>
        </w:rPr>
        <w:t>1.本合同项下所有款项均以人民币支付。</w:t>
      </w:r>
    </w:p>
    <w:p w14:paraId="3D66F553">
      <w:pPr>
        <w:spacing w:line="360" w:lineRule="auto"/>
        <w:ind w:firstLine="480"/>
        <w:rPr>
          <w:rFonts w:ascii="宋体" w:hAnsi="宋体" w:cs="宋体"/>
          <w:sz w:val="24"/>
        </w:rPr>
      </w:pPr>
      <w:r>
        <w:rPr>
          <w:rFonts w:hint="eastAsia" w:ascii="宋体" w:hAnsi="宋体" w:cs="宋体"/>
          <w:sz w:val="24"/>
        </w:rPr>
        <w:t>2.本合同项下的采购资金由甲方自行支付，乙方向甲方开具发票。</w:t>
      </w:r>
    </w:p>
    <w:p w14:paraId="2C4ECF71">
      <w:pPr>
        <w:spacing w:line="360" w:lineRule="auto"/>
        <w:ind w:firstLine="480"/>
        <w:rPr>
          <w:rFonts w:hint="eastAsia" w:ascii="宋体" w:hAnsi="宋体" w:cs="宋体"/>
          <w:sz w:val="24"/>
        </w:rPr>
      </w:pPr>
      <w:r>
        <w:rPr>
          <w:rFonts w:hint="eastAsia" w:ascii="宋体" w:hAnsi="宋体" w:cs="宋体"/>
          <w:sz w:val="24"/>
        </w:rPr>
        <w:t>3.结算原则：固定单价。</w:t>
      </w:r>
    </w:p>
    <w:p w14:paraId="09A169C7">
      <w:pPr>
        <w:spacing w:line="360" w:lineRule="auto"/>
        <w:ind w:firstLine="480"/>
        <w:rPr>
          <w:rFonts w:hint="default" w:ascii="宋体" w:hAnsi="宋体" w:cs="宋体"/>
          <w:sz w:val="24"/>
          <w:lang w:val="en-US"/>
        </w:rPr>
      </w:pPr>
      <w:r>
        <w:rPr>
          <w:rFonts w:hint="eastAsia" w:ascii="宋体" w:hAnsi="宋体" w:cs="宋体"/>
          <w:sz w:val="24"/>
        </w:rPr>
        <w:t>4.付款方式：</w:t>
      </w:r>
      <w:r>
        <w:rPr>
          <w:rFonts w:hint="eastAsia" w:ascii="Times New Roman" w:hAnsi="Times New Roman" w:eastAsia="宋体" w:cs="Times New Roman"/>
          <w:sz w:val="24"/>
          <w:highlight w:val="none"/>
          <w:lang w:val="en-US" w:eastAsia="zh-CN"/>
        </w:rPr>
        <w:t>合同签订后，在当年办理投保手续时，一次性付清当年保险费（</w:t>
      </w:r>
      <w:r>
        <w:rPr>
          <w:rFonts w:hint="eastAsia" w:ascii="宋体" w:hAnsi="宋体" w:cs="宋体"/>
          <w:sz w:val="24"/>
        </w:rPr>
        <w:t>按实际发生参保人数计算</w:t>
      </w:r>
      <w:r>
        <w:rPr>
          <w:rFonts w:hint="eastAsia" w:ascii="Times New Roman" w:hAnsi="Times New Roman" w:eastAsia="宋体" w:cs="Times New Roman"/>
          <w:sz w:val="24"/>
          <w:highlight w:val="none"/>
          <w:lang w:val="en-US" w:eastAsia="zh-CN"/>
        </w:rPr>
        <w:t>）。年度赔付率不得低于80%，低于80%的部分将在下一年度的保费中予以扣除。</w:t>
      </w:r>
    </w:p>
    <w:p w14:paraId="74C2C57F">
      <w:pPr>
        <w:spacing w:line="360" w:lineRule="auto"/>
        <w:ind w:firstLine="482"/>
        <w:rPr>
          <w:rFonts w:ascii="宋体" w:hAnsi="宋体" w:cs="宋体"/>
          <w:b/>
          <w:sz w:val="24"/>
        </w:rPr>
      </w:pPr>
      <w:r>
        <w:rPr>
          <w:rFonts w:hint="eastAsia" w:ascii="宋体" w:hAnsi="宋体" w:cs="宋体"/>
          <w:b/>
          <w:sz w:val="24"/>
        </w:rPr>
        <w:t>第六条 违约责任</w:t>
      </w:r>
    </w:p>
    <w:p w14:paraId="2D7916E8">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1.如乙方不能按约定进行服务的，甲方有权解除合同，同时有权要求乙方按照合同总价5%的标准支付违约金，解除合同的通知自发出之日生效。</w:t>
      </w:r>
    </w:p>
    <w:p w14:paraId="4B84F648">
      <w:pPr>
        <w:spacing w:line="360" w:lineRule="auto"/>
        <w:ind w:firstLine="480"/>
        <w:rPr>
          <w:rFonts w:hint="eastAsia" w:ascii="宋体" w:hAnsi="宋体" w:cs="宋体"/>
          <w:sz w:val="24"/>
        </w:rPr>
      </w:pPr>
      <w:r>
        <w:rPr>
          <w:rFonts w:hint="eastAsia" w:ascii="宋体" w:hAnsi="宋体" w:cs="宋体"/>
          <w:sz w:val="24"/>
        </w:rPr>
        <w:t>2.甲方未按合同规定的期限向乙方支付的，每逾期1天甲方向乙方偿付欠款总额的5‰滞纳金，但累计滞纳金总额不超过欠款总额的5% 。</w:t>
      </w:r>
    </w:p>
    <w:p w14:paraId="1C6A17C7">
      <w:pPr>
        <w:spacing w:line="360" w:lineRule="auto"/>
        <w:ind w:firstLine="480"/>
        <w:rPr>
          <w:rFonts w:hint="eastAsia" w:ascii="宋体" w:hAnsi="宋体" w:cs="宋体"/>
          <w:sz w:val="24"/>
        </w:rPr>
      </w:pPr>
      <w:r>
        <w:rPr>
          <w:rFonts w:hint="eastAsia" w:ascii="宋体" w:hAnsi="宋体" w:cs="宋体"/>
          <w:sz w:val="24"/>
        </w:rPr>
        <w:t>3.乙方未按本合同的规定和“服务承诺”提供伴随服务的，甲方有权提前解除本合同，同时乙方应按合同总价款的5 %向甲方承担违约责任。</w:t>
      </w:r>
    </w:p>
    <w:p w14:paraId="22D2FA95">
      <w:pPr>
        <w:spacing w:line="360" w:lineRule="auto"/>
        <w:ind w:firstLine="480"/>
        <w:rPr>
          <w:rFonts w:hint="eastAsia" w:ascii="宋体" w:hAnsi="宋体" w:cs="宋体"/>
          <w:sz w:val="24"/>
        </w:rPr>
      </w:pPr>
      <w:r>
        <w:rPr>
          <w:rFonts w:hint="eastAsia" w:ascii="宋体" w:hAnsi="宋体" w:cs="宋体"/>
          <w:sz w:val="24"/>
        </w:rPr>
        <w:t>4.乙方在承担上述一项或多项违约责任后，仍应继续履行合同规定的义务（甲方解除合同的除外）。甲方未能及时追究乙方的任何一项违约责任并不表明甲方放弃追究乙方该项或其他违约责任。</w:t>
      </w:r>
    </w:p>
    <w:p w14:paraId="4007D076">
      <w:pPr>
        <w:spacing w:line="360" w:lineRule="auto"/>
        <w:ind w:firstLine="480"/>
        <w:rPr>
          <w:rFonts w:hint="eastAsia" w:ascii="宋体" w:hAnsi="宋体" w:cs="宋体"/>
          <w:sz w:val="24"/>
        </w:rPr>
      </w:pPr>
      <w:r>
        <w:rPr>
          <w:rFonts w:hint="eastAsia" w:ascii="宋体" w:hAnsi="宋体" w:cs="宋体"/>
          <w:sz w:val="24"/>
        </w:rPr>
        <w:t>5.乙方属虚假承诺，或是由于乙方的过错造成合同无法继续履行的，应向甲方支付不少于合同总价30%违约金，若该违约金不足以弥补甲方损失，则应当赔偿甲方所有损失。</w:t>
      </w:r>
    </w:p>
    <w:p w14:paraId="613F3539">
      <w:pPr>
        <w:spacing w:line="360" w:lineRule="auto"/>
        <w:ind w:firstLine="480"/>
        <w:rPr>
          <w:rFonts w:hint="eastAsia" w:ascii="宋体" w:hAnsi="宋体" w:cs="宋体"/>
          <w:sz w:val="24"/>
        </w:rPr>
      </w:pPr>
      <w:r>
        <w:rPr>
          <w:rFonts w:hint="eastAsia" w:ascii="宋体" w:hAnsi="宋体" w:cs="宋体"/>
          <w:sz w:val="24"/>
        </w:rPr>
        <w:t>6.其他未尽事宜，以《民法典》等有关法律法规规定为准，无相关规定的，双方协商解决。</w:t>
      </w:r>
    </w:p>
    <w:p w14:paraId="61E45203">
      <w:pPr>
        <w:spacing w:line="360" w:lineRule="auto"/>
        <w:ind w:firstLine="482"/>
        <w:rPr>
          <w:rFonts w:ascii="宋体" w:hAnsi="宋体" w:cs="宋体"/>
          <w:b/>
          <w:sz w:val="24"/>
        </w:rPr>
      </w:pPr>
      <w:r>
        <w:rPr>
          <w:rFonts w:hint="eastAsia" w:ascii="宋体" w:hAnsi="宋体" w:cs="宋体"/>
          <w:b/>
          <w:sz w:val="24"/>
        </w:rPr>
        <w:t>第七条 合同的变更和终止</w:t>
      </w:r>
    </w:p>
    <w:p w14:paraId="49FB6F16">
      <w:pPr>
        <w:spacing w:line="360" w:lineRule="auto"/>
        <w:ind w:firstLine="480"/>
        <w:rPr>
          <w:rFonts w:ascii="宋体" w:hAnsi="宋体" w:cs="宋体"/>
          <w:sz w:val="24"/>
        </w:rPr>
      </w:pPr>
      <w:r>
        <w:rPr>
          <w:rFonts w:hint="eastAsia" w:ascii="宋体" w:hAnsi="宋体" w:cs="宋体"/>
          <w:sz w:val="24"/>
        </w:rPr>
        <w:t>1.本合同一经签订，甲乙双方不得擅自变更、中止或终止合同。</w:t>
      </w:r>
    </w:p>
    <w:p w14:paraId="74D6C23A">
      <w:pPr>
        <w:spacing w:line="360" w:lineRule="auto"/>
        <w:ind w:firstLine="480"/>
        <w:rPr>
          <w:rFonts w:ascii="宋体" w:hAnsi="宋体" w:cs="宋体"/>
          <w:sz w:val="24"/>
        </w:rPr>
      </w:pPr>
      <w:r>
        <w:rPr>
          <w:rFonts w:hint="eastAsia" w:ascii="宋体" w:hAnsi="宋体" w:cs="宋体"/>
          <w:sz w:val="24"/>
        </w:rPr>
        <w:t>2.除发生法律规定的不能预见、不能避免并不能克服的客观情况外，甲乙双方不得放弃或拒绝履行合同。</w:t>
      </w:r>
    </w:p>
    <w:p w14:paraId="595C5639">
      <w:pPr>
        <w:spacing w:line="360" w:lineRule="auto"/>
        <w:ind w:firstLine="482"/>
        <w:rPr>
          <w:rFonts w:ascii="宋体" w:hAnsi="宋体" w:cs="宋体"/>
          <w:b/>
          <w:sz w:val="24"/>
        </w:rPr>
      </w:pPr>
      <w:r>
        <w:rPr>
          <w:rFonts w:hint="eastAsia" w:ascii="宋体" w:hAnsi="宋体" w:cs="宋体"/>
          <w:b/>
          <w:sz w:val="24"/>
        </w:rPr>
        <w:t>第八条 合同的转让</w:t>
      </w:r>
    </w:p>
    <w:p w14:paraId="6D0BA47E">
      <w:pPr>
        <w:spacing w:line="360" w:lineRule="auto"/>
        <w:ind w:firstLine="480"/>
        <w:rPr>
          <w:rFonts w:ascii="宋体" w:hAnsi="宋体" w:cs="宋体"/>
          <w:sz w:val="24"/>
        </w:rPr>
      </w:pPr>
      <w:r>
        <w:rPr>
          <w:rFonts w:hint="eastAsia" w:ascii="宋体" w:hAnsi="宋体" w:cs="宋体"/>
          <w:sz w:val="24"/>
        </w:rPr>
        <w:t>乙方不得擅自部分或全部转让其应履行的合同义务。</w:t>
      </w:r>
    </w:p>
    <w:p w14:paraId="2ED550A2">
      <w:pPr>
        <w:spacing w:line="360" w:lineRule="auto"/>
        <w:ind w:firstLine="482"/>
        <w:rPr>
          <w:rFonts w:ascii="宋体" w:hAnsi="宋体" w:cs="宋体"/>
          <w:b/>
          <w:sz w:val="24"/>
        </w:rPr>
      </w:pPr>
      <w:r>
        <w:rPr>
          <w:rFonts w:hint="eastAsia" w:ascii="宋体" w:hAnsi="宋体" w:cs="宋体"/>
          <w:b/>
          <w:sz w:val="24"/>
        </w:rPr>
        <w:t>第九条 不可抗力</w:t>
      </w:r>
    </w:p>
    <w:p w14:paraId="75485DF3">
      <w:pPr>
        <w:spacing w:line="360" w:lineRule="auto"/>
        <w:ind w:firstLine="480"/>
        <w:rPr>
          <w:rFonts w:ascii="宋体" w:hAnsi="宋体" w:cs="宋体"/>
          <w:sz w:val="24"/>
        </w:rPr>
      </w:pPr>
      <w:r>
        <w:rPr>
          <w:rFonts w:hint="eastAsia" w:ascii="宋体" w:hAnsi="宋体" w:cs="宋体"/>
          <w:sz w:val="24"/>
        </w:rPr>
        <w:t>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p>
    <w:p w14:paraId="5EB6BD74">
      <w:pPr>
        <w:spacing w:line="360" w:lineRule="auto"/>
        <w:ind w:firstLine="482"/>
        <w:rPr>
          <w:rFonts w:ascii="宋体" w:hAnsi="宋体" w:cs="宋体"/>
          <w:b/>
          <w:sz w:val="24"/>
        </w:rPr>
      </w:pPr>
      <w:r>
        <w:rPr>
          <w:rFonts w:hint="eastAsia" w:ascii="宋体" w:hAnsi="宋体" w:cs="宋体"/>
          <w:b/>
          <w:sz w:val="24"/>
        </w:rPr>
        <w:t>第十条 争议的解决</w:t>
      </w:r>
    </w:p>
    <w:p w14:paraId="79E052D2">
      <w:pPr>
        <w:spacing w:line="360" w:lineRule="auto"/>
        <w:ind w:firstLine="480"/>
        <w:rPr>
          <w:rFonts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14:paraId="0462FA3B">
      <w:pPr>
        <w:spacing w:line="360" w:lineRule="auto"/>
        <w:ind w:firstLine="480"/>
        <w:rPr>
          <w:rFonts w:ascii="宋体" w:hAnsi="宋体" w:cs="宋体"/>
          <w:sz w:val="24"/>
        </w:rPr>
      </w:pPr>
      <w:r>
        <w:rPr>
          <w:rFonts w:hint="eastAsia" w:ascii="宋体" w:hAnsi="宋体" w:cs="宋体"/>
          <w:sz w:val="24"/>
        </w:rPr>
        <w:t>（1）向甲方所在地人民法院提起诉讼；</w:t>
      </w:r>
    </w:p>
    <w:p w14:paraId="3BB6BEAA">
      <w:pPr>
        <w:spacing w:line="360" w:lineRule="auto"/>
        <w:ind w:firstLine="480"/>
        <w:rPr>
          <w:rFonts w:ascii="宋体" w:hAnsi="宋体" w:cs="宋体"/>
          <w:sz w:val="24"/>
        </w:rPr>
      </w:pPr>
      <w:r>
        <w:rPr>
          <w:rFonts w:hint="eastAsia" w:ascii="宋体" w:hAnsi="宋体" w:cs="宋体"/>
          <w:sz w:val="24"/>
        </w:rPr>
        <w:t>（2）向甲方所在地仲裁委员会按其仲裁规则申请仲裁。</w:t>
      </w:r>
    </w:p>
    <w:p w14:paraId="33EC3753">
      <w:pPr>
        <w:spacing w:line="360" w:lineRule="auto"/>
        <w:ind w:firstLine="480"/>
        <w:rPr>
          <w:rFonts w:ascii="宋体" w:hAnsi="宋体" w:cs="宋体"/>
          <w:sz w:val="24"/>
        </w:rPr>
      </w:pPr>
      <w:r>
        <w:rPr>
          <w:rFonts w:hint="eastAsia" w:ascii="宋体" w:hAnsi="宋体" w:cs="宋体"/>
          <w:sz w:val="24"/>
        </w:rPr>
        <w:t>如没有约定，默认采取第2种方式解决争议。</w:t>
      </w:r>
    </w:p>
    <w:p w14:paraId="0BA04074">
      <w:pPr>
        <w:spacing w:line="360" w:lineRule="auto"/>
        <w:ind w:firstLine="480"/>
        <w:rPr>
          <w:rFonts w:ascii="宋体" w:hAnsi="宋体" w:cs="宋体"/>
          <w:sz w:val="24"/>
        </w:rPr>
      </w:pPr>
      <w:r>
        <w:rPr>
          <w:rFonts w:hint="eastAsia" w:ascii="宋体" w:hAnsi="宋体" w:cs="宋体"/>
          <w:sz w:val="24"/>
        </w:rPr>
        <w:t>2.在法院审理和仲裁期间，除有争议部分外，本合同其他部分应继续履行。</w:t>
      </w:r>
    </w:p>
    <w:p w14:paraId="636BF582">
      <w:pPr>
        <w:spacing w:line="360" w:lineRule="auto"/>
        <w:ind w:firstLine="482"/>
        <w:rPr>
          <w:rFonts w:ascii="宋体" w:hAnsi="宋体" w:cs="宋体"/>
          <w:b/>
          <w:sz w:val="24"/>
        </w:rPr>
      </w:pPr>
      <w:r>
        <w:rPr>
          <w:rFonts w:hint="eastAsia" w:ascii="宋体" w:hAnsi="宋体" w:cs="宋体"/>
          <w:b/>
          <w:sz w:val="24"/>
        </w:rPr>
        <w:t xml:space="preserve">第十一条 诚实信用 </w:t>
      </w:r>
    </w:p>
    <w:p w14:paraId="68257864">
      <w:pPr>
        <w:spacing w:line="360" w:lineRule="auto"/>
        <w:ind w:firstLine="480"/>
        <w:rPr>
          <w:rFonts w:ascii="宋体" w:hAnsi="宋体" w:cs="宋体"/>
          <w:sz w:val="24"/>
        </w:rPr>
      </w:pPr>
      <w:r>
        <w:rPr>
          <w:rFonts w:hint="eastAsia" w:ascii="宋体" w:hAnsi="宋体" w:cs="宋体"/>
          <w:sz w:val="24"/>
        </w:rPr>
        <w:t>乙方应诚实信用，严格按照招标文件要求和投标承诺履行合同，不向甲方进行商业贿赂或者提供不正当利益。</w:t>
      </w:r>
    </w:p>
    <w:p w14:paraId="490B56CF">
      <w:pPr>
        <w:spacing w:line="360" w:lineRule="auto"/>
        <w:ind w:firstLine="482"/>
        <w:rPr>
          <w:rFonts w:ascii="宋体" w:hAnsi="宋体" w:cs="宋体"/>
          <w:b/>
          <w:sz w:val="24"/>
        </w:rPr>
      </w:pPr>
      <w:r>
        <w:rPr>
          <w:rFonts w:hint="eastAsia" w:ascii="宋体" w:hAnsi="宋体" w:cs="宋体"/>
          <w:b/>
          <w:sz w:val="24"/>
        </w:rPr>
        <w:t>第十二条 合同生效及其他</w:t>
      </w:r>
    </w:p>
    <w:p w14:paraId="46873579">
      <w:pPr>
        <w:spacing w:line="360" w:lineRule="auto"/>
        <w:ind w:firstLine="480"/>
        <w:rPr>
          <w:rFonts w:hint="eastAsia" w:ascii="宋体" w:hAnsi="宋体" w:cs="宋体"/>
          <w:sz w:val="24"/>
        </w:rPr>
      </w:pPr>
      <w:r>
        <w:rPr>
          <w:rFonts w:hint="eastAsia" w:ascii="宋体" w:hAnsi="宋体" w:cs="宋体"/>
          <w:sz w:val="24"/>
        </w:rPr>
        <w:t>1.本合同自经甲乙双方授权代表签订并加盖公章后，自签订之日起生效。</w:t>
      </w:r>
    </w:p>
    <w:p w14:paraId="5FA536E3">
      <w:pPr>
        <w:spacing w:line="360" w:lineRule="auto"/>
        <w:ind w:firstLine="480"/>
        <w:rPr>
          <w:rFonts w:ascii="宋体" w:hAnsi="宋体" w:cs="宋体"/>
          <w:sz w:val="24"/>
        </w:rPr>
      </w:pPr>
      <w:r>
        <w:rPr>
          <w:rFonts w:hint="eastAsia" w:ascii="宋体" w:hAnsi="宋体" w:cs="宋体"/>
          <w:sz w:val="24"/>
        </w:rPr>
        <w:t>2.本合同一式伍份，甲乙双方各执贰份，代理机构执壹份存档。</w:t>
      </w:r>
    </w:p>
    <w:p w14:paraId="371A62DE">
      <w:pPr>
        <w:spacing w:line="360" w:lineRule="auto"/>
        <w:ind w:firstLine="480"/>
        <w:rPr>
          <w:rFonts w:ascii="宋体" w:hAnsi="宋体" w:cs="宋体"/>
          <w:sz w:val="24"/>
        </w:rPr>
      </w:pPr>
      <w:r>
        <w:rPr>
          <w:rFonts w:hint="eastAsia" w:ascii="宋体" w:hAnsi="宋体" w:cs="宋体"/>
          <w:sz w:val="24"/>
        </w:rPr>
        <w:t>3.本合同应按照中华人民共和国的现行法律进行解释。</w:t>
      </w:r>
    </w:p>
    <w:p w14:paraId="3F8A7E5F">
      <w:pPr>
        <w:spacing w:line="360" w:lineRule="auto"/>
        <w:jc w:val="left"/>
        <w:rPr>
          <w:rFonts w:ascii="宋体" w:hAnsi="宋体" w:cs="宋体"/>
          <w:b/>
          <w:bCs/>
          <w:sz w:val="24"/>
        </w:rPr>
      </w:pPr>
    </w:p>
    <w:p w14:paraId="0C583276">
      <w:pPr>
        <w:spacing w:line="360" w:lineRule="auto"/>
        <w:jc w:val="left"/>
        <w:rPr>
          <w:rFonts w:ascii="宋体" w:hAnsi="宋体" w:cs="宋体"/>
          <w:b/>
          <w:bCs/>
          <w:sz w:val="24"/>
        </w:rPr>
      </w:pPr>
    </w:p>
    <w:p w14:paraId="7F2B5125">
      <w:pPr>
        <w:spacing w:line="360" w:lineRule="auto"/>
        <w:jc w:val="left"/>
        <w:rPr>
          <w:rFonts w:ascii="宋体" w:hAnsi="宋体" w:cs="宋体"/>
          <w:b/>
          <w:bCs/>
          <w:sz w:val="24"/>
        </w:rPr>
      </w:pPr>
    </w:p>
    <w:p w14:paraId="380FC47B">
      <w:pPr>
        <w:spacing w:line="360" w:lineRule="auto"/>
        <w:jc w:val="left"/>
        <w:rPr>
          <w:rFonts w:ascii="宋体" w:hAnsi="宋体" w:cs="宋体"/>
          <w:sz w:val="24"/>
        </w:rPr>
      </w:pPr>
      <w:r>
        <w:rPr>
          <w:rFonts w:hint="eastAsia" w:ascii="宋体" w:hAnsi="宋体" w:cs="宋体"/>
          <w:b/>
          <w:bCs/>
          <w:sz w:val="24"/>
        </w:rPr>
        <w:t>甲    方</w:t>
      </w:r>
      <w:r>
        <w:rPr>
          <w:rFonts w:hint="eastAsia" w:ascii="宋体" w:hAnsi="宋体" w:cs="宋体"/>
          <w:sz w:val="24"/>
        </w:rPr>
        <w:t xml:space="preserve">：                               </w:t>
      </w:r>
      <w:r>
        <w:rPr>
          <w:rFonts w:hint="eastAsia" w:ascii="宋体" w:hAnsi="宋体" w:cs="宋体"/>
          <w:b/>
          <w:bCs/>
          <w:sz w:val="24"/>
        </w:rPr>
        <w:t>乙    方</w:t>
      </w:r>
      <w:r>
        <w:rPr>
          <w:rFonts w:hint="eastAsia" w:ascii="宋体" w:hAnsi="宋体" w:cs="宋体"/>
          <w:sz w:val="24"/>
        </w:rPr>
        <w:t>：</w:t>
      </w:r>
    </w:p>
    <w:p w14:paraId="05C038DB">
      <w:pPr>
        <w:spacing w:line="360" w:lineRule="auto"/>
        <w:rPr>
          <w:rFonts w:ascii="宋体" w:hAnsi="宋体" w:cs="宋体"/>
          <w:sz w:val="24"/>
          <w:u w:val="single"/>
        </w:rPr>
      </w:pPr>
      <w:r>
        <w:rPr>
          <w:rFonts w:hint="eastAsia" w:ascii="宋体" w:hAnsi="宋体" w:cs="宋体"/>
          <w:sz w:val="24"/>
        </w:rPr>
        <w:t>单位名称（章）：                         单位名称（章）：</w:t>
      </w:r>
    </w:p>
    <w:p w14:paraId="41F924E7">
      <w:pPr>
        <w:spacing w:line="360" w:lineRule="auto"/>
        <w:rPr>
          <w:rFonts w:ascii="宋体" w:hAnsi="宋体" w:cs="宋体"/>
          <w:sz w:val="24"/>
          <w:u w:val="single"/>
        </w:rPr>
      </w:pPr>
      <w:r>
        <w:rPr>
          <w:rFonts w:hint="eastAsia" w:ascii="宋体" w:hAnsi="宋体" w:cs="宋体"/>
          <w:sz w:val="24"/>
        </w:rPr>
        <w:t>单位地址：                               单位地址：</w:t>
      </w:r>
    </w:p>
    <w:p w14:paraId="78D77A80">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cs="宋体"/>
          <w:sz w:val="24"/>
          <w:lang w:val="en-US" w:eastAsia="zh-CN"/>
        </w:rPr>
        <w:t xml:space="preserve">                               </w:t>
      </w:r>
      <w:r>
        <w:rPr>
          <w:rFonts w:hint="eastAsia" w:ascii="宋体" w:hAnsi="宋体" w:cs="宋体"/>
          <w:sz w:val="24"/>
        </w:rPr>
        <w:t>法定代表人</w:t>
      </w:r>
    </w:p>
    <w:p w14:paraId="24D0C2A0">
      <w:pPr>
        <w:spacing w:line="360" w:lineRule="auto"/>
        <w:rPr>
          <w:rFonts w:ascii="宋体" w:hAnsi="宋体" w:cs="宋体"/>
          <w:sz w:val="24"/>
        </w:rPr>
      </w:pPr>
      <w:r>
        <w:rPr>
          <w:rFonts w:hint="eastAsia" w:ascii="宋体" w:hAnsi="宋体" w:cs="宋体"/>
          <w:sz w:val="24"/>
          <w:lang w:val="en-US" w:eastAsia="zh-CN"/>
        </w:rPr>
        <w:t>或</w:t>
      </w:r>
      <w:r>
        <w:rPr>
          <w:rFonts w:hint="eastAsia" w:ascii="宋体" w:hAnsi="宋体" w:cs="宋体"/>
          <w:sz w:val="24"/>
        </w:rPr>
        <w:t>委托代理人</w:t>
      </w:r>
      <w:r>
        <w:rPr>
          <w:rFonts w:hint="eastAsia" w:ascii="宋体" w:hAnsi="宋体" w:cs="宋体"/>
          <w:sz w:val="24"/>
          <w:lang w:eastAsia="zh-CN"/>
        </w:rPr>
        <w:t>（</w:t>
      </w:r>
      <w:r>
        <w:rPr>
          <w:rFonts w:hint="eastAsia" w:ascii="宋体" w:hAnsi="宋体" w:cs="宋体"/>
          <w:sz w:val="24"/>
          <w:lang w:val="en-US" w:eastAsia="zh-CN"/>
        </w:rPr>
        <w:t>签字</w:t>
      </w:r>
      <w:r>
        <w:rPr>
          <w:rFonts w:hint="eastAsia" w:ascii="宋体" w:hAnsi="宋体" w:cs="宋体"/>
          <w:sz w:val="24"/>
          <w:lang w:eastAsia="zh-CN"/>
        </w:rPr>
        <w:t>）</w:t>
      </w:r>
      <w:r>
        <w:rPr>
          <w:rFonts w:hint="eastAsia" w:ascii="宋体" w:hAnsi="宋体" w:cs="宋体"/>
          <w:sz w:val="24"/>
        </w:rPr>
        <w:t xml:space="preserve">：                  </w:t>
      </w:r>
      <w:r>
        <w:rPr>
          <w:rFonts w:hint="eastAsia" w:ascii="宋体" w:hAnsi="宋体" w:cs="宋体"/>
          <w:sz w:val="24"/>
          <w:lang w:val="en-US" w:eastAsia="zh-CN"/>
        </w:rPr>
        <w:t xml:space="preserve"> 或</w:t>
      </w:r>
      <w:r>
        <w:rPr>
          <w:rFonts w:hint="eastAsia" w:ascii="宋体" w:hAnsi="宋体" w:cs="宋体"/>
          <w:sz w:val="24"/>
        </w:rPr>
        <w:t>委托代理人</w:t>
      </w:r>
      <w:r>
        <w:rPr>
          <w:rFonts w:hint="eastAsia" w:ascii="宋体" w:hAnsi="宋体" w:cs="宋体"/>
          <w:sz w:val="24"/>
          <w:lang w:eastAsia="zh-CN"/>
        </w:rPr>
        <w:t>（</w:t>
      </w:r>
      <w:r>
        <w:rPr>
          <w:rFonts w:hint="eastAsia" w:ascii="宋体" w:hAnsi="宋体" w:cs="宋体"/>
          <w:sz w:val="24"/>
          <w:lang w:val="en-US" w:eastAsia="zh-CN"/>
        </w:rPr>
        <w:t>签字</w:t>
      </w:r>
      <w:r>
        <w:rPr>
          <w:rFonts w:hint="eastAsia" w:ascii="宋体" w:hAnsi="宋体" w:cs="宋体"/>
          <w:sz w:val="24"/>
          <w:lang w:eastAsia="zh-CN"/>
        </w:rPr>
        <w:t>）</w:t>
      </w:r>
      <w:r>
        <w:rPr>
          <w:rFonts w:hint="eastAsia" w:ascii="宋体" w:hAnsi="宋体" w:cs="宋体"/>
          <w:sz w:val="24"/>
        </w:rPr>
        <w:t xml:space="preserve">： </w:t>
      </w:r>
    </w:p>
    <w:p w14:paraId="6229F25D">
      <w:pPr>
        <w:spacing w:line="360" w:lineRule="auto"/>
        <w:rPr>
          <w:rFonts w:ascii="宋体" w:hAnsi="宋体" w:cs="宋体"/>
          <w:sz w:val="24"/>
        </w:rPr>
      </w:pPr>
      <w:r>
        <w:rPr>
          <w:rFonts w:hint="eastAsia" w:ascii="宋体" w:hAnsi="宋体" w:cs="宋体"/>
          <w:sz w:val="24"/>
        </w:rPr>
        <w:t>电话：                                   电话：            传真：</w:t>
      </w:r>
    </w:p>
    <w:p w14:paraId="77E141D9">
      <w:pPr>
        <w:rPr>
          <w:rFonts w:hint="eastAsia" w:ascii="宋体" w:hAnsi="宋体" w:cs="宋体"/>
          <w:szCs w:val="21"/>
        </w:rPr>
      </w:pPr>
      <w:r>
        <w:rPr>
          <w:rFonts w:hint="eastAsia" w:ascii="宋体" w:hAnsi="宋体" w:cs="宋体"/>
          <w:sz w:val="24"/>
        </w:rPr>
        <w:t>传真：                                   开户银行：        账号</w:t>
      </w:r>
      <w:r>
        <w:rPr>
          <w:rFonts w:hint="eastAsia" w:ascii="宋体" w:hAnsi="宋体" w:cs="宋体"/>
          <w:szCs w:val="21"/>
        </w:rPr>
        <w:t xml:space="preserve">：   </w:t>
      </w:r>
    </w:p>
    <w:p w14:paraId="5DC58A7F">
      <w:pPr>
        <w:rPr>
          <w:rFonts w:hint="eastAsia" w:ascii="宋体" w:hAnsi="宋体" w:cs="宋体"/>
          <w:szCs w:val="21"/>
          <w:lang w:val="en-US" w:eastAsia="zh-CN"/>
        </w:rPr>
      </w:pPr>
      <w:r>
        <w:rPr>
          <w:rFonts w:hint="eastAsia" w:ascii="宋体" w:hAnsi="宋体" w:cs="宋体"/>
          <w:szCs w:val="21"/>
          <w:lang w:val="en-US" w:eastAsia="zh-CN"/>
        </w:rPr>
        <w:t xml:space="preserve"> </w:t>
      </w:r>
    </w:p>
    <w:p w14:paraId="5091F136">
      <w:pPr>
        <w:rPr>
          <w:rFonts w:ascii="宋体" w:hAnsi="宋体" w:eastAsia="宋体" w:cs="宋体"/>
          <w:sz w:val="24"/>
          <w:lang w:val="en-US" w:eastAsia="zh-CN"/>
        </w:rPr>
      </w:pPr>
      <w:r>
        <w:rPr>
          <w:rFonts w:hint="eastAsia" w:ascii="宋体" w:hAnsi="宋体" w:eastAsia="宋体" w:cs="宋体"/>
          <w:sz w:val="24"/>
          <w:lang w:val="en-US" w:eastAsia="zh-CN"/>
        </w:rPr>
        <w:t>日期：  年  月  日                       日期：  年  月  日</w:t>
      </w:r>
    </w:p>
    <w:p w14:paraId="2BA4966D">
      <w:pPr>
        <w:rPr>
          <w:rFonts w:ascii="宋体" w:hAnsi="宋体" w:eastAsia="宋体" w:cs="宋体"/>
          <w:sz w:val="24"/>
          <w:lang w:val="en-US" w:eastAsia="zh-CN"/>
        </w:rPr>
      </w:pPr>
    </w:p>
    <w:p w14:paraId="206AC680">
      <w:pPr>
        <w:rPr>
          <w:rFonts w:hint="eastAsia" w:ascii="宋体" w:hAnsi="宋体" w:cs="宋体"/>
          <w:szCs w:val="21"/>
        </w:rPr>
      </w:pPr>
    </w:p>
    <w:p w14:paraId="24B1B753">
      <w:pPr>
        <w:rPr>
          <w:rFonts w:hint="eastAsia" w:ascii="宋体" w:hAnsi="宋体" w:cs="宋体"/>
          <w:szCs w:val="21"/>
        </w:rPr>
      </w:pPr>
    </w:p>
    <w:p w14:paraId="4E34C687">
      <w:pPr>
        <w:rPr>
          <w:rFonts w:hint="eastAsia" w:ascii="宋体" w:hAnsi="宋体" w:cs="宋体"/>
          <w:szCs w:val="21"/>
        </w:rPr>
      </w:pPr>
    </w:p>
    <w:p w14:paraId="4184E9EA">
      <w:pPr>
        <w:rPr>
          <w:rFonts w:hint="eastAsia" w:ascii="宋体" w:hAnsi="宋体" w:cs="宋体"/>
          <w:szCs w:val="21"/>
        </w:rPr>
      </w:pPr>
    </w:p>
    <w:p w14:paraId="05C394B4">
      <w:pPr>
        <w:rPr>
          <w:rFonts w:hint="eastAsia" w:ascii="宋体" w:hAnsi="宋体" w:cs="宋体"/>
          <w:szCs w:val="21"/>
        </w:rPr>
      </w:pPr>
    </w:p>
    <w:p w14:paraId="024B812F">
      <w:pPr>
        <w:rPr>
          <w:rFonts w:hint="eastAsia" w:ascii="宋体" w:hAnsi="宋体" w:cs="宋体"/>
          <w:szCs w:val="21"/>
        </w:rPr>
      </w:pPr>
    </w:p>
    <w:p w14:paraId="668974DA">
      <w:pPr>
        <w:rPr>
          <w:rFonts w:hint="eastAsia" w:ascii="宋体" w:hAnsi="宋体" w:cs="宋体"/>
          <w:szCs w:val="21"/>
        </w:rPr>
      </w:pPr>
    </w:p>
    <w:p w14:paraId="34F49840">
      <w:pPr>
        <w:rPr>
          <w:rFonts w:hint="eastAsia" w:ascii="宋体" w:hAnsi="宋体" w:cs="宋体"/>
          <w:szCs w:val="21"/>
        </w:rPr>
      </w:pPr>
    </w:p>
    <w:p w14:paraId="468186FA">
      <w:pPr>
        <w:rPr>
          <w:rFonts w:hint="eastAsia" w:ascii="宋体" w:hAnsi="宋体" w:cs="宋体"/>
          <w:szCs w:val="21"/>
        </w:rPr>
      </w:pPr>
    </w:p>
    <w:p w14:paraId="18CE410B">
      <w:pPr>
        <w:rPr>
          <w:rFonts w:hint="eastAsia" w:ascii="宋体" w:hAnsi="宋体" w:cs="宋体"/>
          <w:szCs w:val="21"/>
        </w:rPr>
      </w:pPr>
    </w:p>
    <w:p w14:paraId="7E6E125C">
      <w:pPr>
        <w:rPr>
          <w:rFonts w:hint="eastAsia" w:ascii="宋体" w:hAnsi="宋体" w:cs="宋体"/>
          <w:szCs w:val="21"/>
        </w:rPr>
      </w:pPr>
    </w:p>
    <w:p w14:paraId="4BFDB147">
      <w:pPr>
        <w:rPr>
          <w:rFonts w:hint="eastAsia" w:ascii="宋体" w:hAnsi="宋体" w:cs="宋体"/>
          <w:szCs w:val="21"/>
        </w:rPr>
      </w:pPr>
    </w:p>
    <w:p w14:paraId="3B4D0DC2">
      <w:pPr>
        <w:rPr>
          <w:rFonts w:hint="eastAsia" w:ascii="宋体" w:hAnsi="宋体" w:cs="宋体"/>
          <w:szCs w:val="21"/>
        </w:rPr>
      </w:pPr>
    </w:p>
    <w:p w14:paraId="36CE7A0B">
      <w:pPr>
        <w:rPr>
          <w:rFonts w:hint="eastAsia" w:ascii="宋体" w:hAnsi="宋体" w:cs="宋体"/>
          <w:szCs w:val="21"/>
        </w:rPr>
      </w:pPr>
    </w:p>
    <w:p w14:paraId="0D6C0CD1">
      <w:pPr>
        <w:rPr>
          <w:rFonts w:hint="eastAsia" w:ascii="宋体" w:hAnsi="宋体" w:cs="宋体"/>
          <w:szCs w:val="21"/>
        </w:rPr>
      </w:pPr>
    </w:p>
    <w:p w14:paraId="65FEA4AA">
      <w:pPr>
        <w:spacing w:line="360" w:lineRule="auto"/>
        <w:ind w:firstLine="3132"/>
        <w:jc w:val="left"/>
        <w:outlineLvl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章   响应文件格式</w:t>
      </w:r>
      <w:bookmarkEnd w:id="795"/>
    </w:p>
    <w:p w14:paraId="18704206">
      <w:pPr>
        <w:widowControl/>
        <w:spacing w:line="360" w:lineRule="auto"/>
        <w:jc w:val="left"/>
        <w:rPr>
          <w:rFonts w:hint="eastAsia" w:ascii="宋体" w:hAnsi="宋体" w:eastAsia="宋体" w:cs="宋体"/>
          <w:b/>
          <w:color w:val="000000"/>
          <w:sz w:val="24"/>
          <w:szCs w:val="24"/>
          <w:highlight w:val="none"/>
        </w:rPr>
      </w:pPr>
    </w:p>
    <w:p w14:paraId="441DF7DD">
      <w:pPr>
        <w:tabs>
          <w:tab w:val="left" w:pos="900"/>
          <w:tab w:val="left" w:pos="1980"/>
        </w:tabs>
        <w:spacing w:line="360" w:lineRule="auto"/>
        <w:ind w:left="142"/>
        <w:rPr>
          <w:sz w:val="24"/>
        </w:rPr>
      </w:pPr>
      <w:r>
        <w:rPr>
          <w:b/>
          <w:sz w:val="24"/>
        </w:rPr>
        <w:t>投标人编制文件须知</w:t>
      </w:r>
    </w:p>
    <w:p w14:paraId="5BAE1C18">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87311C7">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1B1C25BC">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58EF9B01">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2B895B0B">
      <w:pPr>
        <w:tabs>
          <w:tab w:val="left" w:pos="900"/>
          <w:tab w:val="left" w:pos="1980"/>
        </w:tabs>
        <w:spacing w:line="360" w:lineRule="auto"/>
        <w:ind w:left="142"/>
        <w:rPr>
          <w:rFonts w:hint="eastAsia" w:ascii="宋体" w:hAnsi="宋体" w:eastAsia="宋体" w:cs="宋体"/>
          <w:color w:val="000000"/>
          <w:sz w:val="24"/>
          <w:szCs w:val="24"/>
          <w:highlight w:val="none"/>
        </w:rPr>
      </w:pPr>
    </w:p>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14:paraId="63B68028">
      <w:pPr>
        <w:widowControl/>
        <w:jc w:val="left"/>
        <w:rPr>
          <w:rFonts w:hint="eastAsia" w:ascii="宋体" w:hAnsi="宋体" w:eastAsia="宋体" w:cs="宋体"/>
          <w:b/>
          <w:color w:val="000000"/>
          <w:spacing w:val="20"/>
          <w:sz w:val="24"/>
          <w:szCs w:val="24"/>
          <w:highlight w:val="none"/>
        </w:rPr>
      </w:pPr>
    </w:p>
    <w:p w14:paraId="7228297A">
      <w:pPr>
        <w:pStyle w:val="185"/>
        <w:rPr>
          <w:rFonts w:hint="eastAsia" w:ascii="宋体" w:hAnsi="宋体" w:eastAsia="宋体" w:cs="宋体"/>
          <w:b w:val="0"/>
          <w:color w:val="000000"/>
          <w:spacing w:val="20"/>
          <w:sz w:val="24"/>
          <w:szCs w:val="24"/>
          <w:highlight w:val="none"/>
        </w:rPr>
      </w:pPr>
    </w:p>
    <w:p w14:paraId="4A302318">
      <w:pPr>
        <w:rPr>
          <w:rFonts w:hint="eastAsia" w:ascii="宋体" w:hAnsi="宋体" w:eastAsia="宋体" w:cs="宋体"/>
          <w:b/>
          <w:color w:val="000000"/>
          <w:spacing w:val="20"/>
          <w:sz w:val="24"/>
          <w:szCs w:val="24"/>
          <w:highlight w:val="none"/>
        </w:rPr>
      </w:pPr>
    </w:p>
    <w:p w14:paraId="3EB62D49">
      <w:pPr>
        <w:pStyle w:val="185"/>
        <w:rPr>
          <w:rFonts w:hint="eastAsia" w:ascii="宋体" w:hAnsi="宋体" w:eastAsia="宋体" w:cs="宋体"/>
          <w:b w:val="0"/>
          <w:color w:val="000000"/>
          <w:spacing w:val="20"/>
          <w:sz w:val="24"/>
          <w:szCs w:val="24"/>
          <w:highlight w:val="none"/>
        </w:rPr>
      </w:pPr>
    </w:p>
    <w:p w14:paraId="52FA7BD1">
      <w:pPr>
        <w:rPr>
          <w:rFonts w:hint="eastAsia" w:ascii="宋体" w:hAnsi="宋体" w:eastAsia="宋体" w:cs="宋体"/>
          <w:b/>
          <w:color w:val="000000"/>
          <w:spacing w:val="20"/>
          <w:sz w:val="24"/>
          <w:szCs w:val="24"/>
          <w:highlight w:val="none"/>
        </w:rPr>
      </w:pPr>
    </w:p>
    <w:p w14:paraId="34850B7B">
      <w:pPr>
        <w:pStyle w:val="185"/>
        <w:rPr>
          <w:rFonts w:hint="eastAsia" w:ascii="宋体" w:hAnsi="宋体" w:eastAsia="宋体" w:cs="宋体"/>
          <w:b w:val="0"/>
          <w:color w:val="000000"/>
          <w:spacing w:val="20"/>
          <w:sz w:val="24"/>
          <w:szCs w:val="24"/>
          <w:highlight w:val="none"/>
        </w:rPr>
      </w:pPr>
    </w:p>
    <w:p w14:paraId="73C49B04">
      <w:pPr>
        <w:rPr>
          <w:rFonts w:hint="eastAsia" w:ascii="宋体" w:hAnsi="宋体" w:eastAsia="宋体" w:cs="宋体"/>
          <w:b/>
          <w:color w:val="000000"/>
          <w:spacing w:val="20"/>
          <w:sz w:val="24"/>
          <w:szCs w:val="24"/>
          <w:highlight w:val="none"/>
        </w:rPr>
      </w:pPr>
    </w:p>
    <w:p w14:paraId="750B67BA">
      <w:pPr>
        <w:pStyle w:val="185"/>
        <w:rPr>
          <w:rFonts w:hint="eastAsia" w:ascii="宋体" w:hAnsi="宋体" w:eastAsia="宋体" w:cs="宋体"/>
          <w:b w:val="0"/>
          <w:color w:val="000000"/>
          <w:spacing w:val="20"/>
          <w:sz w:val="24"/>
          <w:szCs w:val="24"/>
          <w:highlight w:val="none"/>
        </w:rPr>
      </w:pPr>
    </w:p>
    <w:p w14:paraId="0020871B">
      <w:pPr>
        <w:rPr>
          <w:rFonts w:hint="eastAsia" w:ascii="宋体" w:hAnsi="宋体" w:eastAsia="宋体" w:cs="宋体"/>
          <w:b/>
          <w:color w:val="000000"/>
          <w:spacing w:val="20"/>
          <w:sz w:val="24"/>
          <w:szCs w:val="24"/>
          <w:highlight w:val="none"/>
        </w:rPr>
      </w:pPr>
    </w:p>
    <w:p w14:paraId="29C1EED0">
      <w:pPr>
        <w:pStyle w:val="185"/>
        <w:rPr>
          <w:rFonts w:hint="eastAsia" w:ascii="宋体" w:hAnsi="宋体" w:eastAsia="宋体" w:cs="宋体"/>
          <w:b w:val="0"/>
          <w:color w:val="000000"/>
          <w:spacing w:val="20"/>
          <w:sz w:val="24"/>
          <w:szCs w:val="24"/>
          <w:highlight w:val="none"/>
        </w:rPr>
      </w:pPr>
    </w:p>
    <w:p w14:paraId="6E2A3BCB">
      <w:pPr>
        <w:rPr>
          <w:rFonts w:hint="eastAsia" w:ascii="宋体" w:hAnsi="宋体" w:eastAsia="宋体" w:cs="宋体"/>
          <w:b/>
          <w:color w:val="000000"/>
          <w:spacing w:val="20"/>
          <w:sz w:val="24"/>
          <w:szCs w:val="24"/>
          <w:highlight w:val="none"/>
        </w:rPr>
      </w:pPr>
    </w:p>
    <w:p w14:paraId="493E5DC9">
      <w:pPr>
        <w:pStyle w:val="213"/>
        <w:rPr>
          <w:rFonts w:hint="eastAsia"/>
        </w:rPr>
      </w:pPr>
    </w:p>
    <w:p w14:paraId="64BB3B9B">
      <w:pPr>
        <w:rPr>
          <w:rFonts w:hint="eastAsia"/>
        </w:rPr>
      </w:pPr>
    </w:p>
    <w:p w14:paraId="7E8299AB">
      <w:pPr>
        <w:rPr>
          <w:rFonts w:hint="eastAsia"/>
        </w:rPr>
      </w:pPr>
    </w:p>
    <w:p w14:paraId="57684B27">
      <w:pPr>
        <w:rPr>
          <w:rFonts w:hint="eastAsia"/>
        </w:rPr>
      </w:pPr>
    </w:p>
    <w:p w14:paraId="25980AF6">
      <w:pPr>
        <w:rPr>
          <w:b/>
          <w:sz w:val="24"/>
        </w:rPr>
      </w:pPr>
      <w:r>
        <w:rPr>
          <w:b/>
          <w:spacing w:val="20"/>
          <w:sz w:val="24"/>
        </w:rPr>
        <w:t>投标文件</w:t>
      </w:r>
      <w:r>
        <w:rPr>
          <w:b/>
          <w:sz w:val="24"/>
        </w:rPr>
        <w:t>封面（非实质性格式）</w:t>
      </w:r>
    </w:p>
    <w:p w14:paraId="50D9C656">
      <w:pPr>
        <w:jc w:val="center"/>
        <w:rPr>
          <w:szCs w:val="21"/>
        </w:rPr>
      </w:pPr>
    </w:p>
    <w:p w14:paraId="7644AB9E">
      <w:pPr>
        <w:jc w:val="center"/>
        <w:rPr>
          <w:b/>
          <w:spacing w:val="60"/>
          <w:sz w:val="84"/>
          <w:szCs w:val="84"/>
        </w:rPr>
      </w:pPr>
    </w:p>
    <w:p w14:paraId="64E77894">
      <w:pPr>
        <w:jc w:val="center"/>
        <w:rPr>
          <w:b/>
          <w:spacing w:val="60"/>
          <w:sz w:val="84"/>
          <w:szCs w:val="84"/>
        </w:rPr>
      </w:pPr>
    </w:p>
    <w:p w14:paraId="5C95E752">
      <w:pPr>
        <w:jc w:val="both"/>
        <w:rPr>
          <w:b/>
          <w:spacing w:val="60"/>
          <w:sz w:val="84"/>
          <w:szCs w:val="84"/>
        </w:rPr>
      </w:pPr>
    </w:p>
    <w:p w14:paraId="5355A351">
      <w:pPr>
        <w:jc w:val="center"/>
        <w:rPr>
          <w:b/>
          <w:spacing w:val="60"/>
          <w:sz w:val="84"/>
          <w:szCs w:val="84"/>
        </w:rPr>
      </w:pPr>
      <w:r>
        <w:rPr>
          <w:b/>
          <w:spacing w:val="60"/>
          <w:sz w:val="84"/>
          <w:szCs w:val="84"/>
        </w:rPr>
        <w:t>投 标 文 件</w:t>
      </w:r>
    </w:p>
    <w:p w14:paraId="16DA86BA">
      <w:pPr>
        <w:ind w:firstLine="963"/>
        <w:rPr>
          <w:rFonts w:hint="eastAsia"/>
          <w:b/>
          <w:spacing w:val="60"/>
          <w:sz w:val="52"/>
          <w:szCs w:val="52"/>
        </w:rPr>
      </w:pPr>
    </w:p>
    <w:p w14:paraId="1AD4B681">
      <w:pPr>
        <w:rPr>
          <w:rFonts w:hint="eastAsia"/>
          <w:b/>
          <w:spacing w:val="60"/>
          <w:sz w:val="52"/>
          <w:szCs w:val="52"/>
        </w:rPr>
      </w:pPr>
    </w:p>
    <w:p w14:paraId="2D846A9C">
      <w:pPr>
        <w:ind w:firstLine="963"/>
        <w:rPr>
          <w:rFonts w:hint="eastAsia"/>
          <w:b/>
          <w:spacing w:val="60"/>
          <w:sz w:val="52"/>
          <w:szCs w:val="52"/>
        </w:rPr>
      </w:pPr>
    </w:p>
    <w:p w14:paraId="5E8A82BC">
      <w:pPr>
        <w:ind w:firstLine="542"/>
        <w:rPr>
          <w:b/>
          <w:spacing w:val="20"/>
          <w:sz w:val="32"/>
          <w:szCs w:val="32"/>
        </w:rPr>
      </w:pPr>
    </w:p>
    <w:p w14:paraId="25E0123A">
      <w:pPr>
        <w:ind w:firstLine="542"/>
        <w:rPr>
          <w:b/>
          <w:spacing w:val="20"/>
          <w:sz w:val="32"/>
          <w:szCs w:val="32"/>
        </w:rPr>
      </w:pPr>
    </w:p>
    <w:p w14:paraId="0A24B6A9">
      <w:pPr>
        <w:ind w:firstLine="1807"/>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51D19CC">
      <w:pPr>
        <w:ind w:firstLine="1807"/>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A84C951">
      <w:pPr>
        <w:rPr>
          <w:rFonts w:ascii="宋体" w:hAnsi="宋体"/>
          <w:b/>
          <w:sz w:val="36"/>
          <w:u w:val="single"/>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投标人名称 ：</w:t>
      </w:r>
      <w:r>
        <w:rPr>
          <w:rFonts w:hint="eastAsia" w:ascii="宋体" w:hAnsi="宋体"/>
          <w:b/>
          <w:sz w:val="36"/>
          <w:u w:val="single"/>
        </w:rPr>
        <w:t xml:space="preserve">               </w:t>
      </w:r>
    </w:p>
    <w:p w14:paraId="1937F380">
      <w:pPr>
        <w:rPr>
          <w:rFonts w:ascii="宋体" w:hAnsi="宋体"/>
          <w:b/>
          <w:sz w:val="36"/>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日      期 ：</w:t>
      </w:r>
      <w:r>
        <w:rPr>
          <w:rFonts w:hint="eastAsia" w:ascii="宋体" w:hAnsi="宋体"/>
          <w:b/>
          <w:sz w:val="36"/>
          <w:u w:val="single"/>
        </w:rPr>
        <w:t xml:space="preserve">               </w:t>
      </w:r>
    </w:p>
    <w:p w14:paraId="2E826B3E">
      <w:pPr>
        <w:jc w:val="center"/>
        <w:rPr>
          <w:rFonts w:hint="eastAsia" w:ascii="宋体" w:hAnsi="宋体" w:eastAsia="宋体" w:cs="宋体"/>
          <w:b/>
          <w:color w:val="000000"/>
          <w:sz w:val="24"/>
          <w:szCs w:val="24"/>
          <w:highlight w:val="none"/>
        </w:rPr>
      </w:pPr>
    </w:p>
    <w:p w14:paraId="32F62596">
      <w:pPr>
        <w:jc w:val="center"/>
        <w:rPr>
          <w:rFonts w:ascii="宋体" w:hAnsi="宋体"/>
          <w:b/>
          <w:sz w:val="32"/>
          <w:szCs w:val="32"/>
        </w:rPr>
      </w:pPr>
      <w:r>
        <w:rPr>
          <w:rFonts w:hint="eastAsia" w:ascii="宋体" w:hAnsi="宋体" w:eastAsia="宋体" w:cs="宋体"/>
          <w:b/>
          <w:color w:val="000000"/>
          <w:spacing w:val="20"/>
          <w:sz w:val="24"/>
          <w:szCs w:val="24"/>
          <w:highlight w:val="none"/>
        </w:rPr>
        <w:br w:type="page" w:clear="all"/>
      </w:r>
      <w:r>
        <w:rPr>
          <w:rFonts w:hint="eastAsia" w:ascii="宋体" w:hAnsi="宋体"/>
          <w:b/>
          <w:sz w:val="32"/>
          <w:szCs w:val="32"/>
        </w:rPr>
        <w:t>一、资格证明文件</w:t>
      </w:r>
    </w:p>
    <w:p w14:paraId="428B53B8">
      <w:pPr>
        <w:rPr>
          <w:b/>
        </w:rPr>
      </w:pPr>
    </w:p>
    <w:p w14:paraId="067DDDD4">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5631A40E">
      <w:pPr>
        <w:pStyle w:val="185"/>
        <w:rPr>
          <w:rFonts w:ascii="Times New Roman"/>
          <w:b w:val="0"/>
          <w:bCs/>
          <w:color w:val="000000"/>
          <w:u w:val="none"/>
        </w:rPr>
      </w:pPr>
      <w:r>
        <w:rPr>
          <w:rFonts w:ascii="Times New Roman"/>
          <w:b w:val="0"/>
          <w:color w:val="000000"/>
          <w:u w:val="none"/>
        </w:rPr>
        <w:t>1-</w:t>
      </w:r>
      <w:r>
        <w:rPr>
          <w:rFonts w:hint="eastAsia" w:ascii="Times New Roman"/>
          <w:b w:val="0"/>
          <w:color w:val="000000"/>
          <w:u w:val="none"/>
        </w:rPr>
        <w:t>1</w:t>
      </w:r>
      <w:r>
        <w:rPr>
          <w:rFonts w:ascii="Times New Roman"/>
          <w:b w:val="0"/>
          <w:color w:val="000000"/>
          <w:u w:val="none"/>
        </w:rPr>
        <w:t xml:space="preserve"> 投标人资格声明</w:t>
      </w:r>
      <w:r>
        <w:rPr>
          <w:rFonts w:hint="eastAsia" w:ascii="Times New Roman"/>
          <w:b w:val="0"/>
          <w:color w:val="000000"/>
          <w:u w:val="none"/>
        </w:rPr>
        <w:t>函</w:t>
      </w:r>
      <w:r>
        <w:rPr>
          <w:rFonts w:ascii="Times New Roman"/>
          <w:b w:val="0"/>
          <w:color w:val="000000"/>
          <w:u w:val="none"/>
        </w:rPr>
        <w:t>（实质性格式）</w:t>
      </w:r>
    </w:p>
    <w:p w14:paraId="023D235A">
      <w:pPr>
        <w:pStyle w:val="185"/>
        <w:rPr>
          <w:rFonts w:hint="eastAsia" w:ascii="宋体" w:hAnsi="宋体" w:eastAsia="宋体" w:cs="宋体"/>
          <w:b w:val="0"/>
          <w:bCs/>
          <w:color w:val="000000"/>
          <w:sz w:val="24"/>
          <w:szCs w:val="24"/>
          <w:highlight w:val="none"/>
          <w:u w:val="none"/>
        </w:rPr>
      </w:pPr>
    </w:p>
    <w:p w14:paraId="4A880023">
      <w:pPr>
        <w:widowControl/>
        <w:spacing w:before="120" w:line="360" w:lineRule="auto"/>
        <w:jc w:val="center"/>
        <w:rPr>
          <w:rFonts w:hint="eastAsia" w:ascii="宋体" w:hAnsi="宋体" w:eastAsia="宋体" w:cs="宋体"/>
          <w:b/>
          <w:color w:val="000000"/>
          <w:sz w:val="24"/>
          <w:szCs w:val="24"/>
          <w:highlight w:val="none"/>
        </w:rPr>
      </w:pPr>
    </w:p>
    <w:p w14:paraId="248CE40F">
      <w:pPr>
        <w:widowControl/>
        <w:spacing w:before="120" w:line="360" w:lineRule="auto"/>
        <w:jc w:val="center"/>
        <w:rPr>
          <w:rFonts w:ascii="宋体" w:hAnsi="宋体" w:cs="宋体"/>
          <w:szCs w:val="21"/>
        </w:rPr>
      </w:pPr>
      <w:bookmarkStart w:id="796" w:name="_Toc305158825"/>
      <w:bookmarkStart w:id="797" w:name="_Toc264969247"/>
      <w:bookmarkStart w:id="798" w:name="_Toc305158899"/>
      <w:bookmarkStart w:id="799" w:name="_Toc480942350"/>
      <w:bookmarkStart w:id="800" w:name="_Toc195842922"/>
      <w:bookmarkStart w:id="801" w:name="_Ref467988705"/>
      <w:bookmarkStart w:id="802" w:name="_Toc226965830"/>
      <w:bookmarkStart w:id="803" w:name="_Toc265228395"/>
      <w:bookmarkStart w:id="804" w:name="_Toc142311059"/>
      <w:bookmarkStart w:id="805" w:name="_Toc127151557"/>
      <w:bookmarkStart w:id="806" w:name="_Toc150480795"/>
      <w:bookmarkStart w:id="807" w:name="_Toc226309801"/>
      <w:bookmarkStart w:id="808" w:name="_Toc226965747"/>
      <w:bookmarkStart w:id="809" w:name="_Toc150774762"/>
      <w:bookmarkStart w:id="810" w:name="_Toc520356218"/>
      <w:bookmarkStart w:id="811" w:name="_Toc226337253"/>
      <w:r>
        <w:rPr>
          <w:rFonts w:hint="eastAsia" w:ascii="宋体" w:hAnsi="宋体" w:cs="宋体"/>
          <w:b/>
          <w:sz w:val="28"/>
          <w:szCs w:val="28"/>
        </w:rPr>
        <w:t>投标人资格声明函</w:t>
      </w:r>
    </w:p>
    <w:p w14:paraId="270B9490">
      <w:pPr>
        <w:pStyle w:val="184"/>
        <w:spacing w:line="460" w:lineRule="exact"/>
        <w:ind w:firstLine="480"/>
      </w:pPr>
    </w:p>
    <w:p w14:paraId="3887AA09">
      <w:pPr>
        <w:pStyle w:val="184"/>
        <w:spacing w:line="460" w:lineRule="exact"/>
        <w:ind w:firstLine="480"/>
      </w:pPr>
      <w:r>
        <w:rPr>
          <w:rFonts w:hint="eastAsia"/>
        </w:rPr>
        <w:t>致：常州市政府采购中心</w:t>
      </w:r>
    </w:p>
    <w:p w14:paraId="4E9974C8">
      <w:pPr>
        <w:pStyle w:val="184"/>
        <w:spacing w:line="460" w:lineRule="exact"/>
        <w:ind w:firstLine="960"/>
        <w:rPr>
          <w:u w:val="single"/>
        </w:rPr>
      </w:pPr>
      <w:r>
        <w:rPr>
          <w:rFonts w:hint="eastAsia"/>
          <w:u w:val="single"/>
        </w:rPr>
        <w:t>（采购人名称）</w:t>
      </w:r>
    </w:p>
    <w:p w14:paraId="49238083">
      <w:pPr>
        <w:pStyle w:val="184"/>
        <w:spacing w:line="460" w:lineRule="exact"/>
        <w:ind w:firstLine="480"/>
      </w:pPr>
    </w:p>
    <w:p w14:paraId="2D22E699">
      <w:pPr>
        <w:pStyle w:val="184"/>
        <w:spacing w:line="460" w:lineRule="exact"/>
        <w:ind w:firstLine="480"/>
      </w:pPr>
      <w:r>
        <w:rPr>
          <w:rFonts w:hint="eastAsia"/>
        </w:rPr>
        <w:t>按照《中华人民共和国政府采购法》第二十二条和招标文件的规定，我单位郑重声明如下：</w:t>
      </w:r>
    </w:p>
    <w:p w14:paraId="19C3E4B3">
      <w:pPr>
        <w:pStyle w:val="184"/>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392143E8">
      <w:pPr>
        <w:pStyle w:val="184"/>
        <w:spacing w:line="460" w:lineRule="exact"/>
        <w:ind w:firstLine="480"/>
      </w:pPr>
      <w:r>
        <w:rPr>
          <w:rFonts w:hint="eastAsia"/>
        </w:rPr>
        <w:t>二、我单位具有良好的商业信誉（指投标人经营状况良好，无本资格声明第十条情形）和健全的财务会计制度。</w:t>
      </w:r>
    </w:p>
    <w:p w14:paraId="1B06B9A6">
      <w:pPr>
        <w:pStyle w:val="184"/>
        <w:spacing w:line="460" w:lineRule="exact"/>
        <w:ind w:firstLine="480"/>
      </w:pPr>
      <w:r>
        <w:rPr>
          <w:rFonts w:hint="eastAsia"/>
        </w:rPr>
        <w:t>三、我单位依法进行纳税和社会保险申报并实际履行了义务。</w:t>
      </w:r>
    </w:p>
    <w:p w14:paraId="4BDEFC49">
      <w:pPr>
        <w:pStyle w:val="184"/>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5F149561">
      <w:pPr>
        <w:pStyle w:val="184"/>
        <w:spacing w:line="460" w:lineRule="exact"/>
        <w:ind w:firstLine="480"/>
      </w:pPr>
      <w:r>
        <w:rPr>
          <w:rFonts w:hint="eastAsia"/>
        </w:rPr>
        <w:t>主要设备有：</w:t>
      </w:r>
      <w:r>
        <w:rPr>
          <w:u w:val="single"/>
        </w:rPr>
        <w:t xml:space="preserve">            </w:t>
      </w:r>
    </w:p>
    <w:p w14:paraId="4BF13722">
      <w:pPr>
        <w:pStyle w:val="184"/>
        <w:spacing w:line="460" w:lineRule="exact"/>
        <w:ind w:firstLine="480"/>
      </w:pPr>
      <w:r>
        <w:rPr>
          <w:rFonts w:hint="eastAsia"/>
        </w:rPr>
        <w:t>主要专业技术能力有</w:t>
      </w:r>
      <w:r>
        <w:rPr>
          <w:rFonts w:hint="eastAsia"/>
          <w:u w:val="single"/>
        </w:rPr>
        <w:t xml:space="preserve">                 </w:t>
      </w:r>
    </w:p>
    <w:p w14:paraId="5E7716C4">
      <w:pPr>
        <w:pStyle w:val="184"/>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B263951">
      <w:pPr>
        <w:pStyle w:val="184"/>
        <w:spacing w:line="460" w:lineRule="exact"/>
        <w:ind w:firstLine="480"/>
      </w:pPr>
      <w:r>
        <w:rPr>
          <w:rFonts w:hint="eastAsia"/>
        </w:rPr>
        <w:t>六、我单位具备法律、行政法规规定的其他条件。</w:t>
      </w:r>
    </w:p>
    <w:p w14:paraId="059A1D86">
      <w:pPr>
        <w:pStyle w:val="184"/>
        <w:spacing w:line="460" w:lineRule="exact"/>
        <w:ind w:firstLine="480"/>
      </w:pPr>
      <w:r>
        <w:rPr>
          <w:rFonts w:hint="eastAsia"/>
        </w:rPr>
        <w:t>七、与我单位存在“单位负责人为同一人或者存在直接控股、管理关系”的其他单位信息如下（如无此情形的，填写“无”）：</w:t>
      </w:r>
    </w:p>
    <w:p w14:paraId="001BB48D">
      <w:pPr>
        <w:pStyle w:val="184"/>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19C07C86">
      <w:pPr>
        <w:pStyle w:val="184"/>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71B4DAFC">
      <w:pPr>
        <w:pStyle w:val="184"/>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4A23B2D5">
      <w:pPr>
        <w:pStyle w:val="184"/>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7A6A6329">
      <w:pPr>
        <w:pStyle w:val="184"/>
        <w:spacing w:line="460" w:lineRule="exact"/>
        <w:ind w:firstLine="480"/>
      </w:pPr>
      <w:r>
        <w:rPr>
          <w:rFonts w:hint="eastAsia"/>
        </w:rPr>
        <w:t>九、</w:t>
      </w:r>
      <w:r>
        <w:t>我单位无以下不良信用记录情形：</w:t>
      </w:r>
    </w:p>
    <w:p w14:paraId="54C1295B">
      <w:pPr>
        <w:pStyle w:val="184"/>
        <w:spacing w:line="460" w:lineRule="exact"/>
        <w:ind w:firstLine="480"/>
      </w:pPr>
      <w:r>
        <w:t>1</w:t>
      </w:r>
      <w:r>
        <w:rPr>
          <w:rFonts w:hint="eastAsia"/>
        </w:rPr>
        <w:t>、在“信用中国”网站被列入失信被执行人和重大税收违法案件当事人名单；</w:t>
      </w:r>
    </w:p>
    <w:p w14:paraId="2E7F2E80">
      <w:pPr>
        <w:pStyle w:val="184"/>
        <w:spacing w:line="460" w:lineRule="exact"/>
        <w:ind w:firstLine="480"/>
      </w:pPr>
      <w:r>
        <w:t>2</w:t>
      </w:r>
      <w:r>
        <w:rPr>
          <w:rFonts w:hint="eastAsia"/>
        </w:rPr>
        <w:t>、在“中国政府采购网”网站被列入政府采购严重违法失信行为记录名单；</w:t>
      </w:r>
    </w:p>
    <w:p w14:paraId="3E96EE37">
      <w:pPr>
        <w:pStyle w:val="184"/>
        <w:spacing w:line="460" w:lineRule="exact"/>
        <w:ind w:firstLine="480"/>
      </w:pPr>
      <w:r>
        <w:t>3</w:t>
      </w:r>
      <w:r>
        <w:rPr>
          <w:rFonts w:hint="eastAsia"/>
        </w:rPr>
        <w:t>、</w:t>
      </w:r>
      <w:r>
        <w:t>不符合《政府采购法》第二十二条规定的条件。</w:t>
      </w:r>
    </w:p>
    <w:p w14:paraId="53F7D2DE">
      <w:pPr>
        <w:pStyle w:val="184"/>
        <w:spacing w:line="460" w:lineRule="exact"/>
        <w:ind w:firstLine="480"/>
      </w:pPr>
    </w:p>
    <w:p w14:paraId="4127A561">
      <w:pPr>
        <w:pStyle w:val="184"/>
        <w:spacing w:line="460" w:lineRule="exact"/>
        <w:ind w:firstLine="480"/>
      </w:pPr>
      <w:r>
        <w:rPr>
          <w:rFonts w:hint="eastAsia"/>
        </w:rPr>
        <w:t>我单位保证上述声明的事项都是真实的，如有虚假，我单位愿意承担相应的法律责任，并承担因此所造成的一切损失。</w:t>
      </w:r>
    </w:p>
    <w:p w14:paraId="0D469B0B">
      <w:pPr>
        <w:pStyle w:val="184"/>
        <w:spacing w:line="460" w:lineRule="exact"/>
        <w:ind w:firstLine="480"/>
      </w:pPr>
    </w:p>
    <w:p w14:paraId="1AF352B2">
      <w:pPr>
        <w:pStyle w:val="184"/>
        <w:spacing w:line="460" w:lineRule="exact"/>
        <w:ind w:firstLine="480"/>
      </w:pPr>
    </w:p>
    <w:p w14:paraId="412444B6">
      <w:pPr>
        <w:pStyle w:val="184"/>
        <w:spacing w:line="460" w:lineRule="exact"/>
        <w:ind w:firstLine="480"/>
      </w:pPr>
      <w:r>
        <w:rPr>
          <w:rFonts w:hint="eastAsia"/>
        </w:rPr>
        <w:t>                                            投标人：（加盖公章）</w:t>
      </w:r>
    </w:p>
    <w:p w14:paraId="1F9DE679">
      <w:pPr>
        <w:pStyle w:val="184"/>
        <w:spacing w:line="460" w:lineRule="exact"/>
        <w:ind w:firstLine="480"/>
      </w:pPr>
      <w:r>
        <w:rPr>
          <w:rFonts w:hint="eastAsia"/>
        </w:rPr>
        <w:t>                                           法定代表人（或单位负责人）签字或盖章：</w:t>
      </w:r>
    </w:p>
    <w:p w14:paraId="2ADCC06C">
      <w:pPr>
        <w:pStyle w:val="184"/>
        <w:spacing w:line="460" w:lineRule="exact"/>
        <w:ind w:firstLine="4920"/>
        <w:rPr>
          <w:rFonts w:hint="eastAsia"/>
        </w:rPr>
      </w:pPr>
      <w:r>
        <w:rPr>
          <w:rFonts w:hint="eastAsia"/>
        </w:rPr>
        <w:t>日期：    年    月    日</w:t>
      </w:r>
    </w:p>
    <w:p w14:paraId="56875386">
      <w:pPr>
        <w:spacing w:line="360" w:lineRule="auto"/>
        <w:rPr>
          <w:rFonts w:hint="eastAsia"/>
          <w:sz w:val="24"/>
        </w:rPr>
      </w:pPr>
    </w:p>
    <w:p w14:paraId="5FEF6A4F">
      <w:pPr>
        <w:spacing w:line="360" w:lineRule="auto"/>
        <w:rPr>
          <w:rFonts w:hint="eastAsia"/>
          <w:sz w:val="24"/>
        </w:rPr>
      </w:pPr>
    </w:p>
    <w:p w14:paraId="2BF40CF8">
      <w:pPr>
        <w:spacing w:line="360" w:lineRule="auto"/>
        <w:rPr>
          <w:rFonts w:hint="eastAsia"/>
          <w:sz w:val="24"/>
        </w:rPr>
      </w:pPr>
    </w:p>
    <w:p w14:paraId="450DA95C">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50120E41">
      <w:pPr>
        <w:tabs>
          <w:tab w:val="left" w:pos="5580"/>
        </w:tabs>
        <w:spacing w:line="360" w:lineRule="auto"/>
        <w:rPr>
          <w:sz w:val="24"/>
        </w:rPr>
        <w:sectPr>
          <w:footerReference r:id="rId9" w:type="default"/>
          <w:pgSz w:w="11907" w:h="16840"/>
          <w:pgMar w:top="1418" w:right="1134" w:bottom="1418" w:left="1701" w:header="851" w:footer="851" w:gutter="0"/>
          <w:pgNumType w:fmt="decimal"/>
          <w:cols w:space="1701" w:num="1"/>
          <w:docGrid w:linePitch="360" w:charSpace="0"/>
        </w:sectPr>
      </w:pPr>
    </w:p>
    <w:p w14:paraId="7E0B5FD3">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 落实政府采购政策需满足的资格要求（如有）</w:t>
      </w:r>
    </w:p>
    <w:p w14:paraId="10E4643E">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2-1中小企业声明函</w:t>
      </w:r>
    </w:p>
    <w:p w14:paraId="39CE8B39">
      <w:pPr>
        <w:widowControl/>
        <w:jc w:val="left"/>
        <w:rPr>
          <w:rFonts w:hint="eastAsia" w:ascii="宋体" w:hAnsi="宋体" w:eastAsia="宋体" w:cs="宋体"/>
          <w:color w:val="000000"/>
          <w:sz w:val="24"/>
          <w:highlight w:val="none"/>
        </w:rPr>
      </w:pPr>
    </w:p>
    <w:p w14:paraId="087F2797">
      <w:pPr>
        <w:spacing w:before="240" w:after="24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中小企业声明函（工程、服务）格式</w:t>
      </w:r>
    </w:p>
    <w:p w14:paraId="5A108030">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276B15">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1.</w:t>
      </w:r>
      <w:r>
        <w:rPr>
          <w:rFonts w:hint="eastAsia" w:ascii="宋体" w:hAnsi="宋体" w:eastAsia="宋体" w:cs="宋体"/>
          <w:color w:val="000000"/>
          <w:spacing w:val="6"/>
          <w:sz w:val="24"/>
          <w:highlight w:val="none"/>
          <w:u w:val="single"/>
        </w:rPr>
        <w:t>（标的名称）</w:t>
      </w:r>
      <w:r>
        <w:rPr>
          <w:rFonts w:hint="eastAsia" w:ascii="宋体" w:hAnsi="宋体" w:eastAsia="宋体" w:cs="宋体"/>
          <w:color w:val="000000"/>
          <w:spacing w:val="6"/>
          <w:sz w:val="24"/>
          <w:highlight w:val="none"/>
        </w:rPr>
        <w:t>，属于</w:t>
      </w:r>
      <w:r>
        <w:rPr>
          <w:rFonts w:hint="eastAsia" w:ascii="宋体" w:hAnsi="宋体" w:eastAsia="宋体" w:cs="宋体"/>
          <w:color w:val="000000"/>
          <w:spacing w:val="6"/>
          <w:sz w:val="24"/>
          <w:highlight w:val="none"/>
          <w:u w:val="single"/>
        </w:rPr>
        <w:t>（采购文件中明确的所属行业）</w:t>
      </w:r>
      <w:r>
        <w:rPr>
          <w:rFonts w:hint="eastAsia" w:ascii="宋体" w:hAnsi="宋体" w:eastAsia="宋体" w:cs="宋体"/>
          <w:color w:val="000000"/>
          <w:spacing w:val="6"/>
          <w:sz w:val="24"/>
          <w:highlight w:val="none"/>
        </w:rPr>
        <w:t>行业；承建（承接）企业为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，从业人员______人，营业收入为______万元，资产总额为______万元，属于（中型企业、小型企业、微型企业）；</w:t>
      </w:r>
    </w:p>
    <w:p w14:paraId="6EB48E2F">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2.</w:t>
      </w:r>
      <w:r>
        <w:rPr>
          <w:rFonts w:hint="eastAsia" w:ascii="宋体" w:hAnsi="宋体" w:eastAsia="宋体" w:cs="宋体"/>
          <w:color w:val="000000"/>
          <w:spacing w:val="6"/>
          <w:sz w:val="24"/>
          <w:highlight w:val="none"/>
          <w:u w:val="single"/>
        </w:rPr>
        <w:t>（标的名称）</w:t>
      </w:r>
      <w:r>
        <w:rPr>
          <w:rFonts w:hint="eastAsia" w:ascii="宋体" w:hAnsi="宋体" w:eastAsia="宋体" w:cs="宋体"/>
          <w:color w:val="000000"/>
          <w:spacing w:val="6"/>
          <w:sz w:val="24"/>
          <w:highlight w:val="none"/>
        </w:rPr>
        <w:t>，属于</w:t>
      </w:r>
      <w:r>
        <w:rPr>
          <w:rFonts w:hint="eastAsia" w:ascii="宋体" w:hAnsi="宋体" w:eastAsia="宋体" w:cs="宋体"/>
          <w:color w:val="000000"/>
          <w:spacing w:val="6"/>
          <w:sz w:val="24"/>
          <w:highlight w:val="none"/>
          <w:u w:val="single"/>
        </w:rPr>
        <w:t>（采购文件中明确的所属行业）</w:t>
      </w:r>
      <w:r>
        <w:rPr>
          <w:rFonts w:hint="eastAsia" w:ascii="宋体" w:hAnsi="宋体" w:eastAsia="宋体" w:cs="宋体"/>
          <w:color w:val="000000"/>
          <w:spacing w:val="6"/>
          <w:sz w:val="24"/>
          <w:highlight w:val="none"/>
        </w:rPr>
        <w:t>行业；承建（承接）企业为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，从业人员______人，营业收入为______万元，资产总额为______万元，属于</w:t>
      </w:r>
      <w:r>
        <w:rPr>
          <w:rFonts w:hint="eastAsia" w:ascii="宋体" w:hAnsi="宋体" w:eastAsia="宋体" w:cs="宋体"/>
          <w:color w:val="000000"/>
          <w:spacing w:val="6"/>
          <w:sz w:val="24"/>
          <w:highlight w:val="none"/>
          <w:u w:val="single"/>
        </w:rPr>
        <w:t>（中型企业、小型企业、微型企业）</w:t>
      </w:r>
      <w:r>
        <w:rPr>
          <w:rFonts w:hint="eastAsia" w:ascii="宋体" w:hAnsi="宋体" w:eastAsia="宋体" w:cs="宋体"/>
          <w:color w:val="000000"/>
          <w:spacing w:val="6"/>
          <w:sz w:val="24"/>
          <w:highlight w:val="none"/>
        </w:rPr>
        <w:t>；</w:t>
      </w:r>
    </w:p>
    <w:p w14:paraId="04E56DDC">
      <w:pPr>
        <w:spacing w:line="360" w:lineRule="auto"/>
        <w:ind w:firstLine="504"/>
        <w:rPr>
          <w:rFonts w:hint="eastAsia" w:ascii="宋体" w:hAnsi="宋体" w:eastAsia="宋体" w:cs="宋体"/>
          <w:color w:val="000000"/>
          <w:spacing w:val="6"/>
          <w:sz w:val="24"/>
          <w:highlight w:val="none"/>
        </w:rPr>
      </w:pPr>
    </w:p>
    <w:p w14:paraId="080716F4">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w:t>
      </w:r>
    </w:p>
    <w:p w14:paraId="58302A93">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以上企业，不属于大企业的分支机构，不存在控股股东为大企业的情形，也不存在与大企业的负责人为同一人的情形。</w:t>
      </w:r>
    </w:p>
    <w:p w14:paraId="31BA357F">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本企业对上述声明内容的真实性负责。如有虚假，将依法承担相应责任。</w:t>
      </w:r>
    </w:p>
    <w:p w14:paraId="439038D5">
      <w:pPr>
        <w:spacing w:line="360" w:lineRule="auto"/>
        <w:ind w:right="360" w:firstLine="480"/>
        <w:jc w:val="right"/>
        <w:rPr>
          <w:rFonts w:hint="eastAsia" w:ascii="宋体" w:hAnsi="宋体" w:eastAsia="宋体" w:cs="宋体"/>
          <w:color w:val="000000"/>
          <w:sz w:val="24"/>
          <w:highlight w:val="none"/>
        </w:rPr>
      </w:pPr>
    </w:p>
    <w:p w14:paraId="18C33DA8">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企业名称（加盖公章）：________</w:t>
      </w:r>
    </w:p>
    <w:p w14:paraId="46CB1508">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期：________</w:t>
      </w:r>
    </w:p>
    <w:p w14:paraId="41ECB614">
      <w:pPr>
        <w:jc w:val="left"/>
        <w:rPr>
          <w:rFonts w:hint="eastAsia" w:ascii="宋体" w:hAnsi="宋体" w:eastAsia="宋体" w:cs="宋体"/>
          <w:color w:val="000000"/>
          <w:sz w:val="24"/>
          <w:szCs w:val="21"/>
          <w:highlight w:val="none"/>
        </w:rPr>
      </w:pPr>
    </w:p>
    <w:p w14:paraId="0043ADF1">
      <w:pPr>
        <w:jc w:val="left"/>
        <w:rPr>
          <w:rFonts w:hint="eastAsia" w:ascii="宋体" w:hAnsi="宋体" w:eastAsia="宋体" w:cs="宋体"/>
          <w:color w:val="000000"/>
          <w:sz w:val="24"/>
          <w:szCs w:val="21"/>
          <w:highlight w:val="none"/>
        </w:rPr>
      </w:pPr>
    </w:p>
    <w:tbl>
      <w:tblPr>
        <w:tblStyle w:val="28"/>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659C0EC">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740EBA9F">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30096A8C">
      <w:pPr>
        <w:jc w:val="left"/>
        <w:rPr>
          <w:rFonts w:hint="eastAsia" w:ascii="宋体" w:hAnsi="宋体" w:eastAsia="宋体" w:cs="宋体"/>
          <w:color w:val="000000"/>
          <w:szCs w:val="21"/>
          <w:highlight w:val="none"/>
          <w:vertAlign w:val="superscript"/>
        </w:rPr>
      </w:pPr>
    </w:p>
    <w:p w14:paraId="4D21D3DF">
      <w:pPr>
        <w:keepNext w:val="0"/>
        <w:keepLines w:val="0"/>
        <w:widowControl/>
        <w:suppressLineNumbers w:val="0"/>
        <w:spacing w:before="65" w:beforeAutospacing="0" w:after="0" w:afterAutospacing="0"/>
        <w:ind w:left="124" w:right="0"/>
        <w:jc w:val="left"/>
        <w:rPr>
          <w:rFonts w:hint="eastAsia" w:ascii="宋体" w:hAnsi="宋体" w:eastAsia="宋体" w:cs="宋体"/>
          <w:color w:val="000000"/>
          <w:sz w:val="20"/>
          <w:szCs w:val="20"/>
          <w:highlight w:val="none"/>
        </w:rPr>
      </w:pPr>
    </w:p>
    <w:p w14:paraId="6AE8195B">
      <w:pPr>
        <w:rPr>
          <w:rFonts w:ascii="Arial" w:hAnsi="Arial" w:cs="Arial"/>
          <w:color w:val="000000"/>
          <w:sz w:val="21"/>
          <w:szCs w:val="21"/>
          <w:highlight w:val="none"/>
        </w:rPr>
        <w:sectPr>
          <w:footerReference r:id="rId10" w:type="default"/>
          <w:pgSz w:w="11907" w:h="16840"/>
          <w:pgMar w:top="1118" w:right="1133" w:bottom="1014" w:left="1593" w:header="878" w:footer="854" w:gutter="0"/>
          <w:pgNumType w:fmt="decimal" w:start="1"/>
          <w:cols w:space="1701" w:num="1"/>
          <w:docGrid w:linePitch="360" w:charSpace="0"/>
        </w:sectPr>
      </w:pPr>
    </w:p>
    <w:p w14:paraId="6BA8A822">
      <w:pPr>
        <w:spacing w:before="240" w:after="24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残疾人福利性单位声明函格式</w:t>
      </w:r>
      <w:r>
        <w:rPr>
          <w:rFonts w:hint="eastAsia" w:ascii="宋体" w:hAnsi="宋体" w:eastAsia="宋体" w:cs="宋体"/>
          <w:b/>
          <w:color w:val="000000"/>
          <w:sz w:val="36"/>
          <w:szCs w:val="36"/>
          <w:highlight w:val="none"/>
        </w:rPr>
        <w:t xml:space="preserve">       </w:t>
      </w:r>
    </w:p>
    <w:p w14:paraId="4D5D4B5D">
      <w:pPr>
        <w:spacing w:line="588" w:lineRule="exact"/>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000000"/>
          <w:sz w:val="24"/>
          <w:highlight w:val="none"/>
        </w:rPr>
        <w:t>〔2017〕 141</w:t>
      </w:r>
      <w:r>
        <w:rPr>
          <w:rFonts w:hint="eastAsia" w:ascii="宋体" w:hAnsi="宋体" w:eastAsia="宋体" w:cs="宋体"/>
          <w:color w:val="000000"/>
          <w:spacing w:val="6"/>
          <w:sz w:val="24"/>
          <w:highlight w:val="none"/>
        </w:rPr>
        <w:t>号）的规定，本单位</w:t>
      </w:r>
      <w:r>
        <w:rPr>
          <w:rFonts w:hint="eastAsia" w:ascii="宋体" w:hAnsi="宋体" w:eastAsia="宋体" w:cs="宋体"/>
          <w:b/>
          <w:color w:val="000000"/>
          <w:sz w:val="24"/>
          <w:highlight w:val="none"/>
        </w:rPr>
        <w:t>（请进行勾选）</w:t>
      </w:r>
      <w:r>
        <w:rPr>
          <w:rFonts w:hint="eastAsia" w:ascii="宋体" w:hAnsi="宋体" w:eastAsia="宋体" w:cs="宋体"/>
          <w:color w:val="000000"/>
          <w:spacing w:val="6"/>
          <w:sz w:val="24"/>
          <w:highlight w:val="none"/>
        </w:rPr>
        <w:t>：</w:t>
      </w:r>
    </w:p>
    <w:p w14:paraId="7DF51786">
      <w:pPr>
        <w:spacing w:line="588" w:lineRule="exact"/>
        <w:ind w:firstLine="482"/>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w:t>
      </w:r>
      <w:r>
        <w:rPr>
          <w:rFonts w:hint="eastAsia" w:ascii="宋体" w:hAnsi="宋体" w:eastAsia="宋体" w:cs="宋体"/>
          <w:b/>
          <w:color w:val="000000"/>
          <w:spacing w:val="6"/>
          <w:sz w:val="24"/>
          <w:highlight w:val="none"/>
        </w:rPr>
        <w:t>不属于符合条件的残疾人福利性单位。</w:t>
      </w:r>
    </w:p>
    <w:p w14:paraId="121D2746">
      <w:pPr>
        <w:spacing w:line="588" w:lineRule="exact"/>
        <w:ind w:firstLine="482"/>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w:t>
      </w:r>
      <w:r>
        <w:rPr>
          <w:rFonts w:hint="eastAsia" w:ascii="宋体" w:hAnsi="宋体" w:eastAsia="宋体" w:cs="宋体"/>
          <w:b/>
          <w:color w:val="000000"/>
          <w:spacing w:val="6"/>
          <w:sz w:val="24"/>
          <w:highlight w:val="none"/>
        </w:rPr>
        <w:t>属于符合条件的残疾人福利性单位，</w:t>
      </w:r>
      <w:r>
        <w:rPr>
          <w:rFonts w:hint="eastAsia" w:ascii="宋体" w:hAnsi="宋体" w:eastAsia="宋体" w:cs="宋体"/>
          <w:color w:val="00000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A1DF73C">
      <w:pPr>
        <w:spacing w:line="588" w:lineRule="exact"/>
        <w:ind w:firstLine="506"/>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本单位对上述声明的真实性负责。如有虚假，将依法承担相应责任。</w:t>
      </w:r>
    </w:p>
    <w:p w14:paraId="0D7D3403">
      <w:pPr>
        <w:spacing w:line="588" w:lineRule="exact"/>
        <w:ind w:firstLine="504"/>
        <w:rPr>
          <w:rFonts w:hint="eastAsia" w:ascii="宋体" w:hAnsi="宋体" w:eastAsia="宋体" w:cs="宋体"/>
          <w:color w:val="000000"/>
          <w:spacing w:val="6"/>
          <w:sz w:val="24"/>
          <w:highlight w:val="none"/>
        </w:rPr>
      </w:pPr>
    </w:p>
    <w:p w14:paraId="637B4C6C">
      <w:pPr>
        <w:spacing w:line="588" w:lineRule="exact"/>
        <w:ind w:firstLine="504"/>
        <w:rPr>
          <w:rFonts w:hint="eastAsia" w:ascii="宋体" w:hAnsi="宋体" w:eastAsia="宋体" w:cs="宋体"/>
          <w:color w:val="000000"/>
          <w:spacing w:val="6"/>
          <w:sz w:val="24"/>
          <w:highlight w:val="none"/>
        </w:rPr>
      </w:pPr>
    </w:p>
    <w:p w14:paraId="6727E107">
      <w:pPr>
        <w:tabs>
          <w:tab w:val="left" w:pos="4860"/>
        </w:tabs>
        <w:spacing w:line="588" w:lineRule="exact"/>
        <w:ind w:right="1560" w:firstLine="504"/>
        <w:jc w:val="center"/>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p>
    <w:p w14:paraId="26C29D11">
      <w:pPr>
        <w:tabs>
          <w:tab w:val="left" w:pos="4860"/>
        </w:tabs>
        <w:spacing w:line="588" w:lineRule="exact"/>
        <w:ind w:right="1560" w:firstLine="504"/>
        <w:jc w:val="center"/>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p>
    <w:p w14:paraId="74168235">
      <w:pPr>
        <w:spacing w:line="360" w:lineRule="auto"/>
        <w:outlineLvl w:val="2"/>
        <w:rPr>
          <w:rFonts w:hint="eastAsia" w:ascii="宋体" w:hAnsi="宋体" w:eastAsia="宋体" w:cs="宋体"/>
          <w:b/>
          <w:color w:val="000000"/>
          <w:sz w:val="24"/>
          <w:szCs w:val="24"/>
          <w:highlight w:val="none"/>
          <w:lang w:val="en-US" w:eastAsia="zh-CN"/>
        </w:rPr>
      </w:pPr>
    </w:p>
    <w:p w14:paraId="75D22DBD">
      <w:pPr>
        <w:pStyle w:val="185"/>
        <w:rPr>
          <w:rFonts w:hint="eastAsia" w:ascii="宋体" w:hAnsi="宋体" w:eastAsia="宋体" w:cs="宋体"/>
          <w:b/>
          <w:color w:val="000000"/>
          <w:sz w:val="24"/>
          <w:szCs w:val="24"/>
          <w:highlight w:val="none"/>
          <w:lang w:val="en-US" w:eastAsia="zh-CN"/>
        </w:rPr>
      </w:pPr>
    </w:p>
    <w:p w14:paraId="4C407D34">
      <w:pPr>
        <w:rPr>
          <w:rFonts w:hint="eastAsia" w:ascii="宋体" w:hAnsi="宋体" w:eastAsia="宋体" w:cs="宋体"/>
          <w:b/>
          <w:color w:val="000000"/>
          <w:sz w:val="24"/>
          <w:szCs w:val="24"/>
          <w:highlight w:val="none"/>
          <w:lang w:val="en-US" w:eastAsia="zh-CN"/>
        </w:rPr>
      </w:pPr>
    </w:p>
    <w:p w14:paraId="6D8718CE">
      <w:pPr>
        <w:pStyle w:val="185"/>
        <w:rPr>
          <w:rFonts w:hint="eastAsia" w:ascii="宋体" w:hAnsi="宋体" w:eastAsia="宋体" w:cs="宋体"/>
          <w:b/>
          <w:color w:val="000000"/>
          <w:sz w:val="24"/>
          <w:szCs w:val="24"/>
          <w:highlight w:val="none"/>
          <w:lang w:val="en-US" w:eastAsia="zh-CN"/>
        </w:rPr>
      </w:pPr>
    </w:p>
    <w:p w14:paraId="56A78F10">
      <w:pPr>
        <w:rPr>
          <w:rFonts w:hint="eastAsia" w:ascii="宋体" w:hAnsi="宋体" w:eastAsia="宋体" w:cs="宋体"/>
          <w:b/>
          <w:color w:val="000000"/>
          <w:sz w:val="24"/>
          <w:szCs w:val="24"/>
          <w:highlight w:val="none"/>
          <w:lang w:val="en-US" w:eastAsia="zh-CN"/>
        </w:rPr>
      </w:pPr>
    </w:p>
    <w:p w14:paraId="26E4A442">
      <w:pPr>
        <w:pStyle w:val="185"/>
        <w:rPr>
          <w:rFonts w:hint="eastAsia" w:ascii="宋体" w:hAnsi="宋体" w:eastAsia="宋体" w:cs="宋体"/>
          <w:b/>
          <w:color w:val="000000"/>
          <w:sz w:val="24"/>
          <w:szCs w:val="24"/>
          <w:highlight w:val="none"/>
          <w:lang w:val="en-US" w:eastAsia="zh-CN"/>
        </w:rPr>
      </w:pPr>
    </w:p>
    <w:p w14:paraId="1B1B9A39">
      <w:pPr>
        <w:rPr>
          <w:rFonts w:hint="eastAsia" w:ascii="宋体" w:hAnsi="宋体" w:eastAsia="宋体" w:cs="宋体"/>
          <w:b/>
          <w:color w:val="000000"/>
          <w:sz w:val="24"/>
          <w:szCs w:val="24"/>
          <w:highlight w:val="none"/>
          <w:lang w:val="en-US" w:eastAsia="zh-CN"/>
        </w:rPr>
      </w:pPr>
    </w:p>
    <w:p w14:paraId="241C6011">
      <w:pPr>
        <w:pStyle w:val="185"/>
        <w:rPr>
          <w:rFonts w:hint="eastAsia" w:ascii="宋体" w:hAnsi="宋体" w:eastAsia="宋体" w:cs="宋体"/>
          <w:b/>
          <w:color w:val="000000"/>
          <w:sz w:val="24"/>
          <w:szCs w:val="24"/>
          <w:highlight w:val="none"/>
          <w:lang w:val="en-US" w:eastAsia="zh-CN"/>
        </w:rPr>
      </w:pPr>
    </w:p>
    <w:p w14:paraId="57DE8391">
      <w:pPr>
        <w:rPr>
          <w:rFonts w:hint="eastAsia"/>
          <w:color w:val="000000"/>
          <w:highlight w:val="none"/>
          <w:lang w:val="en-US" w:eastAsia="zh-CN"/>
        </w:rPr>
      </w:pPr>
    </w:p>
    <w:p w14:paraId="0612A6CD">
      <w:pPr>
        <w:spacing w:line="360" w:lineRule="auto"/>
        <w:outlineLvl w:val="2"/>
        <w:rPr>
          <w:rFonts w:hint="eastAsia" w:ascii="宋体" w:hAnsi="宋体" w:eastAsia="宋体" w:cs="宋体"/>
          <w:b/>
          <w:color w:val="000000"/>
          <w:sz w:val="24"/>
          <w:szCs w:val="24"/>
          <w:highlight w:val="none"/>
          <w:lang w:val="en-US" w:eastAsia="zh-CN"/>
        </w:rPr>
      </w:pPr>
    </w:p>
    <w:p w14:paraId="07817B82">
      <w:pPr>
        <w:spacing w:line="360" w:lineRule="auto"/>
        <w:outlineLvl w:val="2"/>
        <w:rPr>
          <w:rFonts w:hint="eastAsia" w:ascii="宋体" w:hAnsi="宋体" w:eastAsia="宋体" w:cs="宋体"/>
          <w:b/>
          <w:color w:val="000000"/>
          <w:sz w:val="24"/>
          <w:szCs w:val="24"/>
          <w:highlight w:val="none"/>
          <w:lang w:val="en-US" w:eastAsia="zh-CN"/>
        </w:rPr>
      </w:pPr>
    </w:p>
    <w:p w14:paraId="1950F98B">
      <w:pPr>
        <w:pStyle w:val="213"/>
        <w:rPr>
          <w:rFonts w:hint="eastAsia"/>
          <w:lang w:val="en-US" w:eastAsia="zh-CN"/>
        </w:rPr>
      </w:pPr>
    </w:p>
    <w:p w14:paraId="2C4687C5">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2</w:t>
      </w:r>
      <w:r>
        <w:rPr>
          <w:color w:val="000000"/>
          <w:sz w:val="24"/>
          <w:szCs w:val="20"/>
        </w:rPr>
        <w:t xml:space="preserve"> </w:t>
      </w:r>
      <w:r>
        <w:rPr>
          <w:sz w:val="24"/>
        </w:rPr>
        <w:t>其它落实政府采购政策的资格要求</w:t>
      </w:r>
      <w:r>
        <w:rPr>
          <w:color w:val="000000"/>
          <w:sz w:val="24"/>
          <w:szCs w:val="20"/>
        </w:rPr>
        <w:t>（如有）</w:t>
      </w:r>
    </w:p>
    <w:p w14:paraId="35374A08">
      <w:pPr>
        <w:spacing w:line="360" w:lineRule="auto"/>
        <w:outlineLvl w:val="2"/>
        <w:rPr>
          <w:rFonts w:hint="eastAsia" w:ascii="宋体" w:hAnsi="宋体" w:eastAsia="宋体" w:cs="宋体"/>
          <w:b/>
          <w:color w:val="000000"/>
          <w:sz w:val="24"/>
          <w:szCs w:val="24"/>
          <w:highlight w:val="none"/>
          <w:lang w:val="en-US" w:eastAsia="zh-CN"/>
        </w:rPr>
      </w:pPr>
    </w:p>
    <w:p w14:paraId="59BB60E5">
      <w:pPr>
        <w:spacing w:line="360" w:lineRule="auto"/>
        <w:outlineLvl w:val="2"/>
        <w:rPr>
          <w:rFonts w:hint="eastAsia" w:ascii="宋体" w:hAnsi="宋体" w:eastAsia="宋体" w:cs="宋体"/>
          <w:b/>
          <w:color w:val="000000"/>
          <w:sz w:val="24"/>
          <w:szCs w:val="24"/>
          <w:highlight w:val="none"/>
          <w:lang w:val="en-US" w:eastAsia="zh-CN"/>
        </w:rPr>
      </w:pPr>
    </w:p>
    <w:p w14:paraId="4CC7B21A">
      <w:pPr>
        <w:spacing w:line="360" w:lineRule="auto"/>
        <w:outlineLvl w:val="2"/>
        <w:rPr>
          <w:rFonts w:hint="eastAsia" w:ascii="宋体" w:hAnsi="宋体" w:eastAsia="宋体" w:cs="宋体"/>
          <w:b/>
          <w:color w:val="000000"/>
          <w:sz w:val="24"/>
          <w:szCs w:val="24"/>
          <w:highlight w:val="none"/>
          <w:lang w:val="en-US" w:eastAsia="zh-CN"/>
        </w:rPr>
      </w:pPr>
    </w:p>
    <w:p w14:paraId="0FBC5FF2">
      <w:pPr>
        <w:spacing w:line="360" w:lineRule="auto"/>
        <w:outlineLvl w:val="2"/>
        <w:rPr>
          <w:rFonts w:hint="eastAsia" w:ascii="宋体" w:hAnsi="宋体" w:eastAsia="宋体" w:cs="宋体"/>
          <w:b/>
          <w:color w:val="000000"/>
          <w:sz w:val="24"/>
          <w:szCs w:val="24"/>
          <w:highlight w:val="none"/>
          <w:lang w:val="en-US" w:eastAsia="zh-CN"/>
        </w:rPr>
      </w:pPr>
    </w:p>
    <w:p w14:paraId="677DD83D">
      <w:pPr>
        <w:spacing w:line="360" w:lineRule="auto"/>
        <w:outlineLvl w:val="2"/>
        <w:rPr>
          <w:rFonts w:hint="eastAsia" w:ascii="宋体" w:hAnsi="宋体" w:eastAsia="宋体" w:cs="宋体"/>
          <w:b/>
          <w:color w:val="000000"/>
          <w:sz w:val="24"/>
          <w:szCs w:val="24"/>
          <w:highlight w:val="none"/>
          <w:lang w:val="en-US" w:eastAsia="zh-CN"/>
        </w:rPr>
      </w:pPr>
    </w:p>
    <w:p w14:paraId="1D458A87">
      <w:pPr>
        <w:spacing w:line="360" w:lineRule="auto"/>
        <w:outlineLvl w:val="2"/>
        <w:rPr>
          <w:rFonts w:hint="eastAsia" w:ascii="宋体" w:hAnsi="宋体" w:eastAsia="宋体" w:cs="宋体"/>
          <w:b/>
          <w:color w:val="000000"/>
          <w:sz w:val="24"/>
          <w:szCs w:val="24"/>
          <w:highlight w:val="none"/>
          <w:lang w:val="en-US" w:eastAsia="zh-CN"/>
        </w:rPr>
      </w:pPr>
    </w:p>
    <w:p w14:paraId="71C936F2">
      <w:pPr>
        <w:spacing w:line="360" w:lineRule="auto"/>
        <w:outlineLvl w:val="2"/>
        <w:rPr>
          <w:rFonts w:hint="eastAsia" w:ascii="宋体" w:hAnsi="宋体" w:eastAsia="宋体" w:cs="宋体"/>
          <w:b/>
          <w:color w:val="000000"/>
          <w:sz w:val="24"/>
          <w:szCs w:val="24"/>
          <w:highlight w:val="none"/>
          <w:lang w:val="en-US" w:eastAsia="zh-CN"/>
        </w:rPr>
      </w:pPr>
    </w:p>
    <w:p w14:paraId="06944E2B">
      <w:pPr>
        <w:spacing w:line="360" w:lineRule="auto"/>
        <w:outlineLvl w:val="2"/>
        <w:rPr>
          <w:rFonts w:hint="eastAsia" w:ascii="宋体" w:hAnsi="宋体" w:eastAsia="宋体" w:cs="宋体"/>
          <w:b/>
          <w:color w:val="000000"/>
          <w:sz w:val="24"/>
          <w:szCs w:val="24"/>
          <w:highlight w:val="none"/>
          <w:lang w:val="en-US" w:eastAsia="zh-CN"/>
        </w:rPr>
      </w:pPr>
    </w:p>
    <w:p w14:paraId="376959FF">
      <w:pPr>
        <w:spacing w:line="360" w:lineRule="auto"/>
        <w:outlineLvl w:val="2"/>
        <w:rPr>
          <w:rFonts w:hint="eastAsia" w:ascii="宋体" w:hAnsi="宋体" w:eastAsia="宋体" w:cs="宋体"/>
          <w:b/>
          <w:color w:val="000000"/>
          <w:sz w:val="24"/>
          <w:szCs w:val="24"/>
          <w:highlight w:val="none"/>
          <w:lang w:val="en-US" w:eastAsia="zh-CN"/>
        </w:rPr>
      </w:pPr>
    </w:p>
    <w:p w14:paraId="448F37CB">
      <w:pPr>
        <w:spacing w:line="360" w:lineRule="auto"/>
        <w:outlineLvl w:val="2"/>
        <w:rPr>
          <w:rFonts w:hint="eastAsia" w:ascii="宋体" w:hAnsi="宋体" w:eastAsia="宋体" w:cs="宋体"/>
          <w:b/>
          <w:color w:val="000000"/>
          <w:sz w:val="24"/>
          <w:szCs w:val="24"/>
          <w:highlight w:val="none"/>
          <w:lang w:val="en-US" w:eastAsia="zh-CN"/>
        </w:rPr>
      </w:pPr>
    </w:p>
    <w:p w14:paraId="0CC13C05">
      <w:pPr>
        <w:spacing w:line="360" w:lineRule="auto"/>
        <w:outlineLvl w:val="2"/>
        <w:rPr>
          <w:rFonts w:hint="eastAsia" w:ascii="宋体" w:hAnsi="宋体" w:eastAsia="宋体" w:cs="宋体"/>
          <w:b/>
          <w:color w:val="000000"/>
          <w:sz w:val="24"/>
          <w:szCs w:val="24"/>
          <w:highlight w:val="none"/>
          <w:lang w:val="en-US" w:eastAsia="zh-CN"/>
        </w:rPr>
      </w:pPr>
    </w:p>
    <w:p w14:paraId="0C795B5F">
      <w:pPr>
        <w:spacing w:line="360" w:lineRule="auto"/>
        <w:outlineLvl w:val="2"/>
        <w:rPr>
          <w:rFonts w:hint="eastAsia" w:ascii="宋体" w:hAnsi="宋体" w:eastAsia="宋体" w:cs="宋体"/>
          <w:b/>
          <w:color w:val="000000"/>
          <w:sz w:val="24"/>
          <w:szCs w:val="24"/>
          <w:highlight w:val="none"/>
          <w:lang w:val="en-US" w:eastAsia="zh-CN"/>
        </w:rPr>
      </w:pPr>
    </w:p>
    <w:p w14:paraId="4720B527">
      <w:pPr>
        <w:spacing w:line="360" w:lineRule="auto"/>
        <w:outlineLvl w:val="2"/>
        <w:rPr>
          <w:rFonts w:hint="eastAsia" w:ascii="宋体" w:hAnsi="宋体" w:eastAsia="宋体" w:cs="宋体"/>
          <w:b/>
          <w:color w:val="000000"/>
          <w:sz w:val="24"/>
          <w:szCs w:val="24"/>
          <w:highlight w:val="none"/>
          <w:lang w:val="en-US" w:eastAsia="zh-CN"/>
        </w:rPr>
      </w:pPr>
    </w:p>
    <w:p w14:paraId="09364C33">
      <w:pPr>
        <w:spacing w:line="360" w:lineRule="auto"/>
        <w:outlineLvl w:val="2"/>
        <w:rPr>
          <w:rFonts w:hint="eastAsia" w:ascii="宋体" w:hAnsi="宋体" w:eastAsia="宋体" w:cs="宋体"/>
          <w:b/>
          <w:color w:val="000000"/>
          <w:sz w:val="24"/>
          <w:szCs w:val="24"/>
          <w:highlight w:val="none"/>
          <w:lang w:val="en-US" w:eastAsia="zh-CN"/>
        </w:rPr>
      </w:pPr>
    </w:p>
    <w:p w14:paraId="057B7525">
      <w:pPr>
        <w:spacing w:line="360" w:lineRule="auto"/>
        <w:outlineLvl w:val="2"/>
        <w:rPr>
          <w:rFonts w:hint="eastAsia" w:ascii="宋体" w:hAnsi="宋体" w:eastAsia="宋体" w:cs="宋体"/>
          <w:b/>
          <w:color w:val="000000"/>
          <w:sz w:val="24"/>
          <w:szCs w:val="24"/>
          <w:highlight w:val="none"/>
          <w:lang w:val="en-US" w:eastAsia="zh-CN"/>
        </w:rPr>
      </w:pPr>
    </w:p>
    <w:p w14:paraId="713760A3">
      <w:pPr>
        <w:spacing w:line="360" w:lineRule="auto"/>
        <w:outlineLvl w:val="2"/>
        <w:rPr>
          <w:rFonts w:hint="eastAsia" w:ascii="宋体" w:hAnsi="宋体" w:eastAsia="宋体" w:cs="宋体"/>
          <w:b/>
          <w:color w:val="000000"/>
          <w:sz w:val="24"/>
          <w:szCs w:val="24"/>
          <w:highlight w:val="none"/>
          <w:lang w:val="en-US" w:eastAsia="zh-CN"/>
        </w:rPr>
      </w:pPr>
    </w:p>
    <w:p w14:paraId="60126186">
      <w:pPr>
        <w:spacing w:line="360" w:lineRule="auto"/>
        <w:outlineLvl w:val="2"/>
        <w:rPr>
          <w:rFonts w:hint="eastAsia" w:ascii="宋体" w:hAnsi="宋体" w:eastAsia="宋体" w:cs="宋体"/>
          <w:b/>
          <w:color w:val="000000"/>
          <w:sz w:val="24"/>
          <w:szCs w:val="24"/>
          <w:highlight w:val="none"/>
          <w:lang w:val="en-US" w:eastAsia="zh-CN"/>
        </w:rPr>
      </w:pPr>
    </w:p>
    <w:p w14:paraId="21B4485F">
      <w:pPr>
        <w:spacing w:line="360" w:lineRule="auto"/>
        <w:outlineLvl w:val="2"/>
        <w:rPr>
          <w:rFonts w:hint="eastAsia" w:ascii="宋体" w:hAnsi="宋体" w:eastAsia="宋体" w:cs="宋体"/>
          <w:b/>
          <w:color w:val="000000"/>
          <w:sz w:val="24"/>
          <w:szCs w:val="24"/>
          <w:highlight w:val="none"/>
          <w:lang w:val="en-US" w:eastAsia="zh-CN"/>
        </w:rPr>
      </w:pPr>
    </w:p>
    <w:p w14:paraId="06F3366B">
      <w:pPr>
        <w:spacing w:line="360" w:lineRule="auto"/>
        <w:outlineLvl w:val="2"/>
        <w:rPr>
          <w:rFonts w:hint="eastAsia" w:ascii="宋体" w:hAnsi="宋体" w:eastAsia="宋体" w:cs="宋体"/>
          <w:b/>
          <w:color w:val="000000"/>
          <w:sz w:val="24"/>
          <w:szCs w:val="24"/>
          <w:highlight w:val="none"/>
          <w:lang w:val="en-US" w:eastAsia="zh-CN"/>
        </w:rPr>
      </w:pPr>
    </w:p>
    <w:p w14:paraId="3E19A591">
      <w:pPr>
        <w:spacing w:line="360" w:lineRule="auto"/>
        <w:outlineLvl w:val="2"/>
        <w:rPr>
          <w:rFonts w:hint="eastAsia" w:ascii="宋体" w:hAnsi="宋体" w:eastAsia="宋体" w:cs="宋体"/>
          <w:b/>
          <w:color w:val="000000"/>
          <w:sz w:val="24"/>
          <w:szCs w:val="24"/>
          <w:highlight w:val="none"/>
          <w:lang w:val="en-US" w:eastAsia="zh-CN"/>
        </w:rPr>
      </w:pPr>
    </w:p>
    <w:p w14:paraId="79CE4619">
      <w:pPr>
        <w:spacing w:line="360" w:lineRule="auto"/>
        <w:outlineLvl w:val="2"/>
        <w:rPr>
          <w:rFonts w:hint="eastAsia" w:ascii="宋体" w:hAnsi="宋体" w:eastAsia="宋体" w:cs="宋体"/>
          <w:b/>
          <w:color w:val="000000"/>
          <w:sz w:val="24"/>
          <w:szCs w:val="24"/>
          <w:highlight w:val="none"/>
          <w:lang w:val="en-US" w:eastAsia="zh-CN"/>
        </w:rPr>
      </w:pPr>
    </w:p>
    <w:p w14:paraId="6E69485B">
      <w:pPr>
        <w:spacing w:line="360" w:lineRule="auto"/>
        <w:outlineLvl w:val="2"/>
        <w:rPr>
          <w:rFonts w:hint="eastAsia" w:ascii="宋体" w:hAnsi="宋体" w:eastAsia="宋体" w:cs="宋体"/>
          <w:b/>
          <w:color w:val="000000"/>
          <w:sz w:val="24"/>
          <w:szCs w:val="24"/>
          <w:highlight w:val="none"/>
          <w:lang w:val="en-US" w:eastAsia="zh-CN"/>
        </w:rPr>
      </w:pPr>
    </w:p>
    <w:p w14:paraId="43F69590">
      <w:pPr>
        <w:spacing w:line="360" w:lineRule="auto"/>
        <w:outlineLvl w:val="2"/>
        <w:rPr>
          <w:rFonts w:hint="eastAsia" w:ascii="宋体" w:hAnsi="宋体" w:eastAsia="宋体" w:cs="宋体"/>
          <w:b/>
          <w:color w:val="000000"/>
          <w:sz w:val="24"/>
          <w:szCs w:val="24"/>
          <w:highlight w:val="none"/>
          <w:lang w:val="en-US" w:eastAsia="zh-CN"/>
        </w:rPr>
      </w:pPr>
    </w:p>
    <w:p w14:paraId="08C92A3E">
      <w:pPr>
        <w:spacing w:line="360" w:lineRule="auto"/>
        <w:outlineLvl w:val="2"/>
        <w:rPr>
          <w:rFonts w:hint="eastAsia" w:ascii="宋体" w:hAnsi="宋体" w:eastAsia="宋体" w:cs="宋体"/>
          <w:b/>
          <w:color w:val="000000"/>
          <w:sz w:val="24"/>
          <w:szCs w:val="24"/>
          <w:highlight w:val="none"/>
          <w:lang w:val="en-US" w:eastAsia="zh-CN"/>
        </w:rPr>
      </w:pPr>
    </w:p>
    <w:p w14:paraId="28410BFE">
      <w:pPr>
        <w:spacing w:line="360" w:lineRule="auto"/>
        <w:outlineLvl w:val="2"/>
        <w:rPr>
          <w:rFonts w:hint="eastAsia" w:ascii="宋体" w:hAnsi="宋体" w:eastAsia="宋体" w:cs="宋体"/>
          <w:b/>
          <w:color w:val="000000"/>
          <w:sz w:val="24"/>
          <w:szCs w:val="24"/>
          <w:highlight w:val="none"/>
          <w:lang w:val="en-US" w:eastAsia="zh-CN"/>
        </w:rPr>
      </w:pPr>
    </w:p>
    <w:p w14:paraId="5DBC23A8">
      <w:pPr>
        <w:spacing w:line="360" w:lineRule="auto"/>
        <w:outlineLvl w:val="2"/>
        <w:rPr>
          <w:rFonts w:hint="eastAsia" w:ascii="宋体" w:hAnsi="宋体" w:eastAsia="宋体" w:cs="宋体"/>
          <w:b/>
          <w:color w:val="000000"/>
          <w:sz w:val="24"/>
          <w:szCs w:val="24"/>
          <w:highlight w:val="none"/>
          <w:lang w:val="en-US" w:eastAsia="zh-CN"/>
        </w:rPr>
      </w:pPr>
    </w:p>
    <w:p w14:paraId="24D39766">
      <w:pPr>
        <w:spacing w:line="360" w:lineRule="auto"/>
        <w:outlineLvl w:val="2"/>
        <w:rPr>
          <w:rFonts w:hint="eastAsia" w:ascii="宋体" w:hAnsi="宋体" w:eastAsia="宋体" w:cs="宋体"/>
          <w:b/>
          <w:color w:val="000000"/>
          <w:sz w:val="24"/>
          <w:szCs w:val="24"/>
          <w:highlight w:val="none"/>
          <w:lang w:val="en-US" w:eastAsia="zh-CN"/>
        </w:rPr>
      </w:pPr>
    </w:p>
    <w:p w14:paraId="7F25FE94">
      <w:pPr>
        <w:spacing w:line="360" w:lineRule="auto"/>
        <w:outlineLvl w:val="2"/>
        <w:rPr>
          <w:rFonts w:hint="eastAsia" w:ascii="宋体" w:hAnsi="宋体" w:eastAsia="宋体" w:cs="宋体"/>
          <w:b/>
          <w:color w:val="000000"/>
          <w:sz w:val="24"/>
          <w:szCs w:val="24"/>
          <w:highlight w:val="none"/>
          <w:lang w:val="en-US" w:eastAsia="zh-CN"/>
        </w:rPr>
      </w:pPr>
    </w:p>
    <w:p w14:paraId="7BDF732B">
      <w:pPr>
        <w:spacing w:line="360" w:lineRule="auto"/>
        <w:outlineLvl w:val="2"/>
        <w:rPr>
          <w:rFonts w:hint="eastAsia" w:ascii="宋体" w:hAnsi="宋体" w:eastAsia="宋体" w:cs="宋体"/>
          <w:b/>
          <w:color w:val="000000"/>
          <w:sz w:val="24"/>
          <w:szCs w:val="24"/>
          <w:highlight w:val="none"/>
          <w:lang w:val="en-US" w:eastAsia="zh-CN"/>
        </w:rPr>
      </w:pPr>
    </w:p>
    <w:p w14:paraId="7E2DA60F">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本项目的特定资格要求</w:t>
      </w:r>
      <w:r>
        <w:rPr>
          <w:rFonts w:hint="eastAsia" w:ascii="宋体" w:hAnsi="宋体" w:eastAsia="宋体" w:cs="宋体"/>
          <w:color w:val="000000"/>
          <w:sz w:val="24"/>
          <w:szCs w:val="20"/>
          <w:highlight w:val="none"/>
        </w:rPr>
        <w:t>（如有）</w:t>
      </w:r>
    </w:p>
    <w:p w14:paraId="03FC2543">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3-2其他特定资格要求</w:t>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14:paraId="7E4EDAB9">
      <w:pPr>
        <w:widowControl/>
        <w:jc w:val="center"/>
        <w:rPr>
          <w:rFonts w:hint="eastAsia" w:ascii="宋体" w:hAnsi="宋体" w:eastAsia="宋体" w:cs="宋体"/>
          <w:b/>
          <w:color w:val="000000"/>
          <w:sz w:val="32"/>
          <w:szCs w:val="32"/>
          <w:highlight w:val="none"/>
        </w:rPr>
      </w:pPr>
      <w:bookmarkStart w:id="812" w:name="_Toc150774763"/>
      <w:bookmarkStart w:id="813" w:name="_Toc265228397"/>
      <w:bookmarkStart w:id="814" w:name="_Toc127151558"/>
      <w:bookmarkStart w:id="815" w:name="_Toc226337255"/>
      <w:bookmarkStart w:id="816" w:name="_Toc195842924"/>
      <w:bookmarkStart w:id="817" w:name="_Toc226309803"/>
      <w:bookmarkStart w:id="818" w:name="_Toc226965832"/>
      <w:bookmarkStart w:id="819" w:name="_Toc226965749"/>
      <w:bookmarkStart w:id="820" w:name="_Toc142311060"/>
      <w:bookmarkStart w:id="821" w:name="_Toc305158827"/>
      <w:bookmarkStart w:id="822" w:name="_Toc264969249"/>
      <w:bookmarkStart w:id="823" w:name="_Toc305158901"/>
      <w:bookmarkStart w:id="824" w:name="_Toc150480796"/>
    </w:p>
    <w:p w14:paraId="080DEC76">
      <w:pPr>
        <w:widowControl/>
        <w:jc w:val="center"/>
        <w:rPr>
          <w:rFonts w:hint="eastAsia" w:ascii="宋体" w:hAnsi="宋体" w:eastAsia="宋体" w:cs="宋体"/>
          <w:b/>
          <w:color w:val="000000"/>
          <w:sz w:val="32"/>
          <w:szCs w:val="32"/>
          <w:highlight w:val="none"/>
        </w:rPr>
      </w:pPr>
    </w:p>
    <w:p w14:paraId="066BE955">
      <w:pPr>
        <w:widowControl/>
        <w:jc w:val="center"/>
        <w:rPr>
          <w:rFonts w:hint="eastAsia" w:ascii="宋体" w:hAnsi="宋体" w:eastAsia="宋体" w:cs="宋体"/>
          <w:b/>
          <w:color w:val="000000"/>
          <w:sz w:val="32"/>
          <w:szCs w:val="32"/>
          <w:highlight w:val="none"/>
        </w:rPr>
      </w:pPr>
    </w:p>
    <w:p w14:paraId="2BD718EE">
      <w:pPr>
        <w:widowControl/>
        <w:jc w:val="center"/>
        <w:rPr>
          <w:rFonts w:hint="eastAsia" w:ascii="宋体" w:hAnsi="宋体" w:eastAsia="宋体" w:cs="宋体"/>
          <w:b/>
          <w:color w:val="000000"/>
          <w:sz w:val="32"/>
          <w:szCs w:val="32"/>
          <w:highlight w:val="none"/>
        </w:rPr>
      </w:pPr>
    </w:p>
    <w:p w14:paraId="374A4C64">
      <w:pPr>
        <w:widowControl/>
        <w:jc w:val="center"/>
        <w:rPr>
          <w:rFonts w:hint="eastAsia" w:ascii="宋体" w:hAnsi="宋体" w:eastAsia="宋体" w:cs="宋体"/>
          <w:b/>
          <w:color w:val="000000"/>
          <w:sz w:val="32"/>
          <w:szCs w:val="32"/>
          <w:highlight w:val="none"/>
        </w:rPr>
      </w:pPr>
    </w:p>
    <w:p w14:paraId="595C1452">
      <w:pPr>
        <w:widowControl/>
        <w:jc w:val="center"/>
        <w:rPr>
          <w:rFonts w:hint="eastAsia" w:ascii="宋体" w:hAnsi="宋体" w:eastAsia="宋体" w:cs="宋体"/>
          <w:b/>
          <w:color w:val="000000"/>
          <w:sz w:val="32"/>
          <w:szCs w:val="32"/>
          <w:highlight w:val="none"/>
        </w:rPr>
      </w:pPr>
    </w:p>
    <w:p w14:paraId="4964993C">
      <w:pPr>
        <w:widowControl/>
        <w:jc w:val="center"/>
        <w:rPr>
          <w:rFonts w:hint="eastAsia" w:ascii="宋体" w:hAnsi="宋体" w:eastAsia="宋体" w:cs="宋体"/>
          <w:b/>
          <w:color w:val="000000"/>
          <w:sz w:val="32"/>
          <w:szCs w:val="32"/>
          <w:highlight w:val="none"/>
        </w:rPr>
      </w:pPr>
    </w:p>
    <w:p w14:paraId="1FEDA90F">
      <w:pPr>
        <w:widowControl/>
        <w:jc w:val="center"/>
        <w:rPr>
          <w:rFonts w:hint="eastAsia" w:ascii="宋体" w:hAnsi="宋体" w:eastAsia="宋体" w:cs="宋体"/>
          <w:b/>
          <w:color w:val="000000"/>
          <w:sz w:val="32"/>
          <w:szCs w:val="32"/>
          <w:highlight w:val="none"/>
        </w:rPr>
      </w:pPr>
    </w:p>
    <w:p w14:paraId="3776925D">
      <w:pPr>
        <w:widowControl/>
        <w:jc w:val="center"/>
        <w:rPr>
          <w:rFonts w:hint="eastAsia" w:ascii="宋体" w:hAnsi="宋体" w:eastAsia="宋体" w:cs="宋体"/>
          <w:b/>
          <w:color w:val="000000"/>
          <w:sz w:val="32"/>
          <w:szCs w:val="32"/>
          <w:highlight w:val="none"/>
        </w:rPr>
      </w:pPr>
    </w:p>
    <w:p w14:paraId="00487FB9">
      <w:pPr>
        <w:widowControl/>
        <w:jc w:val="center"/>
        <w:rPr>
          <w:rFonts w:hint="eastAsia" w:ascii="宋体" w:hAnsi="宋体" w:eastAsia="宋体" w:cs="宋体"/>
          <w:b/>
          <w:color w:val="000000"/>
          <w:sz w:val="32"/>
          <w:szCs w:val="32"/>
          <w:highlight w:val="none"/>
        </w:rPr>
      </w:pPr>
    </w:p>
    <w:p w14:paraId="7D45C1E4">
      <w:pPr>
        <w:widowControl/>
        <w:jc w:val="center"/>
        <w:rPr>
          <w:rFonts w:hint="eastAsia" w:ascii="宋体" w:hAnsi="宋体" w:eastAsia="宋体" w:cs="宋体"/>
          <w:b/>
          <w:color w:val="000000"/>
          <w:sz w:val="32"/>
          <w:szCs w:val="32"/>
          <w:highlight w:val="none"/>
        </w:rPr>
      </w:pPr>
    </w:p>
    <w:p w14:paraId="62BE266E">
      <w:pPr>
        <w:widowControl/>
        <w:jc w:val="center"/>
        <w:rPr>
          <w:rFonts w:hint="eastAsia" w:ascii="宋体" w:hAnsi="宋体" w:eastAsia="宋体" w:cs="宋体"/>
          <w:b/>
          <w:color w:val="000000"/>
          <w:sz w:val="32"/>
          <w:szCs w:val="32"/>
          <w:highlight w:val="none"/>
        </w:rPr>
      </w:pPr>
    </w:p>
    <w:p w14:paraId="049BA031">
      <w:pPr>
        <w:widowControl/>
        <w:jc w:val="center"/>
        <w:rPr>
          <w:rFonts w:hint="eastAsia" w:ascii="宋体" w:hAnsi="宋体" w:eastAsia="宋体" w:cs="宋体"/>
          <w:b/>
          <w:color w:val="000000"/>
          <w:sz w:val="32"/>
          <w:szCs w:val="32"/>
          <w:highlight w:val="none"/>
        </w:rPr>
      </w:pPr>
    </w:p>
    <w:p w14:paraId="3AE6AB5F">
      <w:pPr>
        <w:widowControl/>
        <w:jc w:val="center"/>
        <w:rPr>
          <w:rFonts w:hint="eastAsia" w:ascii="宋体" w:hAnsi="宋体" w:eastAsia="宋体" w:cs="宋体"/>
          <w:b/>
          <w:color w:val="000000"/>
          <w:sz w:val="32"/>
          <w:szCs w:val="32"/>
          <w:highlight w:val="none"/>
        </w:rPr>
      </w:pPr>
    </w:p>
    <w:p w14:paraId="1DAA6583">
      <w:pPr>
        <w:widowControl/>
        <w:jc w:val="center"/>
        <w:rPr>
          <w:rFonts w:hint="eastAsia" w:ascii="宋体" w:hAnsi="宋体" w:eastAsia="宋体" w:cs="宋体"/>
          <w:b/>
          <w:color w:val="000000"/>
          <w:sz w:val="32"/>
          <w:szCs w:val="32"/>
          <w:highlight w:val="none"/>
        </w:rPr>
      </w:pPr>
    </w:p>
    <w:p w14:paraId="3CDE5798">
      <w:pPr>
        <w:widowControl/>
        <w:jc w:val="center"/>
        <w:rPr>
          <w:rFonts w:hint="eastAsia" w:ascii="宋体" w:hAnsi="宋体" w:eastAsia="宋体" w:cs="宋体"/>
          <w:b/>
          <w:color w:val="000000"/>
          <w:sz w:val="32"/>
          <w:szCs w:val="32"/>
          <w:highlight w:val="none"/>
        </w:rPr>
      </w:pPr>
    </w:p>
    <w:p w14:paraId="1646AEA5">
      <w:pPr>
        <w:widowControl/>
        <w:jc w:val="center"/>
        <w:rPr>
          <w:rFonts w:hint="eastAsia" w:ascii="宋体" w:hAnsi="宋体" w:eastAsia="宋体" w:cs="宋体"/>
          <w:b/>
          <w:color w:val="000000"/>
          <w:sz w:val="32"/>
          <w:szCs w:val="32"/>
          <w:highlight w:val="none"/>
        </w:rPr>
      </w:pPr>
    </w:p>
    <w:p w14:paraId="2E801E7F">
      <w:pPr>
        <w:widowControl/>
        <w:jc w:val="center"/>
        <w:rPr>
          <w:rFonts w:hint="eastAsia" w:ascii="宋体" w:hAnsi="宋体" w:eastAsia="宋体" w:cs="宋体"/>
          <w:b/>
          <w:color w:val="000000"/>
          <w:sz w:val="32"/>
          <w:szCs w:val="32"/>
          <w:highlight w:val="none"/>
        </w:rPr>
      </w:pPr>
    </w:p>
    <w:p w14:paraId="21EC28DE">
      <w:pPr>
        <w:widowControl/>
        <w:jc w:val="center"/>
        <w:rPr>
          <w:rFonts w:hint="eastAsia" w:ascii="宋体" w:hAnsi="宋体" w:eastAsia="宋体" w:cs="宋体"/>
          <w:b/>
          <w:color w:val="000000"/>
          <w:sz w:val="32"/>
          <w:szCs w:val="32"/>
          <w:highlight w:val="none"/>
        </w:rPr>
      </w:pPr>
    </w:p>
    <w:p w14:paraId="53E8B37C">
      <w:pPr>
        <w:widowControl/>
        <w:jc w:val="center"/>
        <w:rPr>
          <w:rFonts w:hint="eastAsia" w:ascii="宋体" w:hAnsi="宋体" w:eastAsia="宋体" w:cs="宋体"/>
          <w:b/>
          <w:color w:val="000000"/>
          <w:sz w:val="32"/>
          <w:szCs w:val="32"/>
          <w:highlight w:val="none"/>
        </w:rPr>
      </w:pPr>
    </w:p>
    <w:p w14:paraId="534BD0BA">
      <w:pPr>
        <w:widowControl/>
        <w:jc w:val="center"/>
        <w:rPr>
          <w:rFonts w:hint="eastAsia" w:ascii="宋体" w:hAnsi="宋体" w:eastAsia="宋体" w:cs="宋体"/>
          <w:b/>
          <w:color w:val="000000"/>
          <w:sz w:val="32"/>
          <w:szCs w:val="32"/>
          <w:highlight w:val="none"/>
        </w:rPr>
      </w:pPr>
    </w:p>
    <w:p w14:paraId="5B2587C0">
      <w:pPr>
        <w:widowControl/>
        <w:jc w:val="center"/>
        <w:rPr>
          <w:rFonts w:hint="eastAsia" w:ascii="宋体" w:hAnsi="宋体" w:eastAsia="宋体" w:cs="宋体"/>
          <w:b/>
          <w:color w:val="000000"/>
          <w:sz w:val="32"/>
          <w:szCs w:val="32"/>
          <w:highlight w:val="none"/>
        </w:rPr>
      </w:pPr>
    </w:p>
    <w:p w14:paraId="717B5051">
      <w:pPr>
        <w:widowControl/>
        <w:jc w:val="center"/>
        <w:rPr>
          <w:rFonts w:hint="eastAsia" w:ascii="宋体" w:hAnsi="宋体" w:eastAsia="宋体" w:cs="宋体"/>
          <w:b/>
          <w:color w:val="000000"/>
          <w:sz w:val="32"/>
          <w:szCs w:val="32"/>
          <w:highlight w:val="none"/>
        </w:rPr>
      </w:pPr>
    </w:p>
    <w:p w14:paraId="2342E833">
      <w:pPr>
        <w:widowControl/>
        <w:jc w:val="center"/>
        <w:rPr>
          <w:rFonts w:hint="eastAsia" w:ascii="宋体" w:hAnsi="宋体" w:eastAsia="宋体" w:cs="宋体"/>
          <w:b/>
          <w:color w:val="000000"/>
          <w:sz w:val="32"/>
          <w:szCs w:val="32"/>
          <w:highlight w:val="none"/>
        </w:rPr>
      </w:pPr>
    </w:p>
    <w:p w14:paraId="6CBC0A27">
      <w:pPr>
        <w:widowControl/>
        <w:jc w:val="center"/>
        <w:rPr>
          <w:rFonts w:hint="eastAsia" w:ascii="宋体" w:hAnsi="宋体" w:eastAsia="宋体" w:cs="宋体"/>
          <w:b/>
          <w:color w:val="000000"/>
          <w:sz w:val="32"/>
          <w:szCs w:val="32"/>
          <w:highlight w:val="none"/>
        </w:rPr>
      </w:pPr>
    </w:p>
    <w:p w14:paraId="40485260">
      <w:pPr>
        <w:widowControl/>
        <w:jc w:val="center"/>
        <w:rPr>
          <w:rFonts w:hint="eastAsia" w:ascii="宋体" w:hAnsi="宋体" w:eastAsia="宋体" w:cs="宋体"/>
          <w:b/>
          <w:color w:val="000000"/>
          <w:sz w:val="32"/>
          <w:szCs w:val="32"/>
          <w:highlight w:val="none"/>
        </w:rPr>
      </w:pPr>
    </w:p>
    <w:p w14:paraId="4C10C2AC">
      <w:pPr>
        <w:widowControl/>
        <w:jc w:val="center"/>
        <w:rPr>
          <w:rFonts w:hint="eastAsia" w:ascii="宋体" w:hAnsi="宋体" w:eastAsia="宋体" w:cs="宋体"/>
          <w:b/>
          <w:color w:val="000000"/>
          <w:sz w:val="32"/>
          <w:szCs w:val="32"/>
          <w:highlight w:val="none"/>
        </w:rPr>
      </w:pPr>
    </w:p>
    <w:p w14:paraId="6A3D4E1F">
      <w:pPr>
        <w:widowControl/>
        <w:jc w:val="center"/>
        <w:rPr>
          <w:rFonts w:hint="eastAsia" w:ascii="宋体" w:hAnsi="宋体" w:eastAsia="宋体" w:cs="宋体"/>
          <w:b/>
          <w:color w:val="000000"/>
          <w:sz w:val="32"/>
          <w:szCs w:val="32"/>
          <w:highlight w:val="none"/>
        </w:rPr>
      </w:pPr>
    </w:p>
    <w:p w14:paraId="03541AB8">
      <w:pPr>
        <w:widowControl/>
        <w:jc w:val="center"/>
        <w:rPr>
          <w:rFonts w:hint="eastAsia" w:ascii="宋体" w:hAnsi="宋体" w:eastAsia="宋体" w:cs="宋体"/>
          <w:b/>
          <w:color w:val="000000"/>
          <w:sz w:val="32"/>
          <w:szCs w:val="32"/>
          <w:highlight w:val="none"/>
        </w:rPr>
      </w:pPr>
    </w:p>
    <w:p w14:paraId="064E01D7">
      <w:pPr>
        <w:widowControl/>
        <w:jc w:val="center"/>
        <w:rPr>
          <w:rFonts w:hint="eastAsia" w:ascii="宋体" w:hAnsi="宋体" w:eastAsia="宋体" w:cs="宋体"/>
          <w:b/>
          <w:color w:val="000000"/>
          <w:sz w:val="32"/>
          <w:szCs w:val="32"/>
          <w:highlight w:val="none"/>
        </w:rPr>
      </w:pPr>
    </w:p>
    <w:p w14:paraId="5FB82A25">
      <w:pPr>
        <w:widowControl/>
        <w:jc w:val="center"/>
        <w:rPr>
          <w:rFonts w:hint="eastAsia" w:ascii="宋体" w:hAnsi="宋体" w:eastAsia="宋体" w:cs="宋体"/>
          <w:b/>
          <w:color w:val="000000"/>
          <w:sz w:val="32"/>
          <w:szCs w:val="32"/>
          <w:highlight w:val="none"/>
        </w:rPr>
      </w:pPr>
    </w:p>
    <w:p w14:paraId="70CE7991">
      <w:pPr>
        <w:widowControl/>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二、商务技术文件格式</w:t>
      </w:r>
      <w:bookmarkStart w:id="825" w:name="_Toc142311058"/>
      <w:bookmarkStart w:id="826" w:name="_Toc480942349"/>
      <w:bookmarkStart w:id="827" w:name="_Toc226965746"/>
      <w:bookmarkStart w:id="828" w:name="_Toc226309800"/>
      <w:bookmarkStart w:id="829" w:name="_Toc150480794"/>
      <w:bookmarkStart w:id="830" w:name="_Toc127151556"/>
      <w:bookmarkStart w:id="831" w:name="_Toc520356217"/>
      <w:bookmarkStart w:id="832" w:name="_Toc226965829"/>
      <w:bookmarkStart w:id="833" w:name="_Toc195842921"/>
      <w:bookmarkStart w:id="834" w:name="_Toc150774761"/>
      <w:bookmarkStart w:id="835" w:name="_Ref467988698"/>
      <w:bookmarkStart w:id="836" w:name="_Toc226337252"/>
    </w:p>
    <w:p w14:paraId="53692521">
      <w:pPr>
        <w:widowControl/>
        <w:jc w:val="center"/>
        <w:rPr>
          <w:rFonts w:hint="eastAsia" w:ascii="宋体" w:hAnsi="宋体" w:eastAsia="宋体" w:cs="宋体"/>
          <w:b/>
          <w:color w:val="000000"/>
          <w:sz w:val="32"/>
          <w:szCs w:val="32"/>
          <w:highlight w:val="none"/>
        </w:rPr>
      </w:pPr>
    </w:p>
    <w:p w14:paraId="4934FCF8">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投标</w:t>
      </w:r>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eastAsia="宋体" w:cs="宋体"/>
          <w:color w:val="000000"/>
          <w:sz w:val="24"/>
          <w:highlight w:val="none"/>
        </w:rPr>
        <w:t>函</w:t>
      </w:r>
    </w:p>
    <w:p w14:paraId="1F7CA6A0">
      <w:pPr>
        <w:tabs>
          <w:tab w:val="left" w:pos="5580"/>
        </w:tabs>
        <w:spacing w:line="360" w:lineRule="auto"/>
        <w:rPr>
          <w:rFonts w:hint="eastAsia" w:ascii="宋体" w:hAnsi="宋体" w:eastAsia="宋体" w:cs="宋体"/>
          <w:color w:val="000000"/>
          <w:sz w:val="24"/>
          <w:highlight w:val="none"/>
        </w:rPr>
      </w:pPr>
    </w:p>
    <w:p w14:paraId="455434FC">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投标函</w:t>
      </w:r>
    </w:p>
    <w:p w14:paraId="495C0123">
      <w:pP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（采购人或采购代理机构）</w:t>
      </w:r>
    </w:p>
    <w:p w14:paraId="6CCC77CC">
      <w:pPr>
        <w:tabs>
          <w:tab w:val="left" w:pos="5580"/>
        </w:tabs>
        <w:spacing w:line="360" w:lineRule="auto"/>
        <w:rPr>
          <w:rFonts w:hint="eastAsia" w:ascii="宋体" w:hAnsi="宋体" w:eastAsia="宋体" w:cs="宋体"/>
          <w:color w:val="000000"/>
          <w:sz w:val="24"/>
          <w:szCs w:val="20"/>
          <w:highlight w:val="none"/>
        </w:rPr>
      </w:pPr>
    </w:p>
    <w:p w14:paraId="19635F19">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我方参加你方就___________（项目名称，项目编号/包号）组织的招标活动，并对此项目进行投标。</w:t>
      </w:r>
    </w:p>
    <w:p w14:paraId="0E7645D2">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 我方</w:t>
      </w:r>
      <w:r>
        <w:rPr>
          <w:rFonts w:hint="eastAsia" w:ascii="宋体" w:hAnsi="宋体" w:eastAsia="宋体" w:cs="宋体"/>
          <w:color w:val="000000"/>
          <w:sz w:val="24"/>
          <w:highlight w:val="none"/>
        </w:rPr>
        <w:t>已详细审查全部招标文件</w:t>
      </w:r>
      <w:r>
        <w:rPr>
          <w:rFonts w:hint="eastAsia" w:ascii="宋体" w:hAnsi="宋体" w:eastAsia="宋体" w:cs="宋体"/>
          <w:color w:val="000000"/>
          <w:sz w:val="24"/>
          <w:szCs w:val="20"/>
          <w:highlight w:val="none"/>
        </w:rPr>
        <w:t>，自愿参与投标并承诺如下：</w:t>
      </w:r>
    </w:p>
    <w:p w14:paraId="6D8D402B">
      <w:pPr>
        <w:tabs>
          <w:tab w:val="left" w:pos="720"/>
          <w:tab w:val="left" w:pos="900"/>
        </w:tabs>
        <w:spacing w:line="360" w:lineRule="auto"/>
        <w:ind w:left="360" w:firstLine="7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（1）本投标有效期为自提交投标文件的截止之日起</w:t>
      </w:r>
      <w:r>
        <w:rPr>
          <w:rFonts w:hint="eastAsia" w:ascii="宋体" w:hAnsi="宋体" w:eastAsia="宋体" w:cs="宋体"/>
          <w:color w:val="000000"/>
          <w:sz w:val="24"/>
          <w:highlight w:val="none"/>
        </w:rPr>
        <w:t>60</w:t>
      </w:r>
      <w:r>
        <w:rPr>
          <w:rFonts w:hint="eastAsia" w:ascii="宋体" w:hAnsi="宋体" w:eastAsia="宋体" w:cs="宋体"/>
          <w:color w:val="000000"/>
          <w:sz w:val="24"/>
          <w:szCs w:val="20"/>
          <w:highlight w:val="none"/>
        </w:rPr>
        <w:t>个日历日。</w:t>
      </w:r>
    </w:p>
    <w:p w14:paraId="7413CEB8">
      <w:pPr>
        <w:tabs>
          <w:tab w:val="left" w:pos="720"/>
          <w:tab w:val="left" w:pos="900"/>
        </w:tabs>
        <w:spacing w:line="360" w:lineRule="auto"/>
        <w:ind w:left="360" w:firstLine="7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（2）除合同条款及采购需求偏离表列出的偏离外，我方响应招标文件的全部要求。</w:t>
      </w:r>
    </w:p>
    <w:p w14:paraId="2C76E37B">
      <w:pPr>
        <w:tabs>
          <w:tab w:val="left" w:pos="5580"/>
        </w:tabs>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（3）我方已提供的全部文件资料是真实、准确的，并对此承担一切法律后果。</w:t>
      </w:r>
    </w:p>
    <w:p w14:paraId="6915E1F6">
      <w:pPr>
        <w:tabs>
          <w:tab w:val="left" w:pos="5580"/>
        </w:tabs>
        <w:spacing w:line="360" w:lineRule="auto"/>
        <w:ind w:firstLine="420"/>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（4）如我方中标，我方将在法律规定的期限内与你方签订合同，按照招标文件要求提交履约保证金，并在合同约定的期限内完成合同规定的全部义务。</w:t>
      </w:r>
    </w:p>
    <w:p w14:paraId="52C2417F">
      <w:pPr>
        <w:spacing w:line="360" w:lineRule="auto"/>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其他补充条款（如有）：</w:t>
      </w:r>
      <w:r>
        <w:rPr>
          <w:rFonts w:hint="eastAsia" w:ascii="宋体" w:hAnsi="宋体" w:eastAsia="宋体" w:cs="宋体"/>
          <w:color w:val="000000"/>
          <w:sz w:val="24"/>
          <w:szCs w:val="20"/>
          <w:highlight w:val="none"/>
        </w:rPr>
        <w:t>___________</w:t>
      </w:r>
      <w:r>
        <w:rPr>
          <w:rFonts w:hint="eastAsia" w:ascii="宋体" w:hAnsi="宋体" w:eastAsia="宋体" w:cs="宋体"/>
          <w:color w:val="000000"/>
          <w:sz w:val="24"/>
          <w:highlight w:val="none"/>
        </w:rPr>
        <w:t>。</w:t>
      </w:r>
    </w:p>
    <w:p w14:paraId="4FF49DE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与本投标有关的一切正式往来信函请寄：</w:t>
      </w:r>
    </w:p>
    <w:p w14:paraId="1F3A87BF">
      <w:pPr>
        <w:tabs>
          <w:tab w:val="left" w:pos="5580"/>
        </w:tabs>
        <w:spacing w:line="360" w:lineRule="auto"/>
        <w:ind w:left="420"/>
        <w:rPr>
          <w:rFonts w:hint="eastAsia" w:ascii="宋体" w:hAnsi="宋体" w:eastAsia="宋体" w:cs="宋体"/>
          <w:color w:val="000000"/>
          <w:sz w:val="24"/>
          <w:szCs w:val="20"/>
          <w:highlight w:val="none"/>
        </w:rPr>
      </w:pPr>
    </w:p>
    <w:p w14:paraId="20600BA7">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地址_________________________     传真____________________________</w:t>
      </w:r>
    </w:p>
    <w:p w14:paraId="7032ED0D">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电话_________________________     电子函件________________________</w:t>
      </w:r>
    </w:p>
    <w:p w14:paraId="3F923E24">
      <w:pPr>
        <w:tabs>
          <w:tab w:val="left" w:pos="5580"/>
        </w:tabs>
        <w:spacing w:line="360" w:lineRule="auto"/>
        <w:ind w:left="420"/>
        <w:rPr>
          <w:rFonts w:hint="eastAsia" w:ascii="宋体" w:hAnsi="宋体" w:eastAsia="宋体" w:cs="宋体"/>
          <w:color w:val="000000"/>
          <w:sz w:val="24"/>
          <w:szCs w:val="20"/>
          <w:highlight w:val="none"/>
        </w:rPr>
      </w:pPr>
    </w:p>
    <w:p w14:paraId="1297D600">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投标人名称（加盖公章） ___________</w:t>
      </w:r>
    </w:p>
    <w:p w14:paraId="17C2294E">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p>
    <w:p w14:paraId="4C0CC087">
      <w:pPr>
        <w:tabs>
          <w:tab w:val="left" w:pos="5580"/>
        </w:tabs>
        <w:spacing w:line="360" w:lineRule="auto"/>
        <w:ind w:left="420"/>
        <w:rPr>
          <w:rFonts w:hint="eastAsia" w:ascii="宋体" w:hAnsi="宋体" w:eastAsia="宋体" w:cs="宋体"/>
          <w:color w:val="000000"/>
          <w:sz w:val="24"/>
          <w:szCs w:val="20"/>
          <w:highlight w:val="none"/>
          <w:u w:val="single"/>
        </w:rPr>
      </w:pPr>
    </w:p>
    <w:p w14:paraId="3A567DAC">
      <w:pPr>
        <w:widowControl/>
        <w:jc w:val="left"/>
        <w:rPr>
          <w:rFonts w:hint="eastAsia" w:ascii="宋体" w:hAnsi="宋体" w:eastAsia="宋体" w:cs="宋体"/>
          <w:color w:val="000000"/>
          <w:sz w:val="24"/>
          <w:highlight w:val="none"/>
        </w:rPr>
      </w:pPr>
      <w:bookmarkStart w:id="837" w:name="_Hlt520356243"/>
      <w:bookmarkEnd w:id="837"/>
      <w:bookmarkStart w:id="838" w:name="_Hlt520355938"/>
      <w:bookmarkEnd w:id="838"/>
    </w:p>
    <w:p w14:paraId="4AA3F8AC">
      <w:pPr>
        <w:widowControl/>
        <w:jc w:val="left"/>
        <w:rPr>
          <w:rFonts w:hint="eastAsia" w:ascii="宋体" w:hAnsi="宋体" w:eastAsia="宋体" w:cs="宋体"/>
          <w:color w:val="000000"/>
          <w:sz w:val="24"/>
          <w:highlight w:val="none"/>
        </w:rPr>
      </w:pPr>
    </w:p>
    <w:p w14:paraId="00EF885D">
      <w:pPr>
        <w:widowControl/>
        <w:jc w:val="left"/>
        <w:rPr>
          <w:rFonts w:hint="eastAsia" w:ascii="宋体" w:hAnsi="宋体" w:eastAsia="宋体" w:cs="宋体"/>
          <w:color w:val="000000"/>
          <w:sz w:val="24"/>
          <w:highlight w:val="none"/>
        </w:rPr>
      </w:pPr>
    </w:p>
    <w:p w14:paraId="58B252F2">
      <w:pPr>
        <w:widowControl/>
        <w:jc w:val="left"/>
        <w:rPr>
          <w:rFonts w:hint="eastAsia" w:ascii="宋体" w:hAnsi="宋体" w:eastAsia="宋体" w:cs="宋体"/>
          <w:color w:val="000000"/>
          <w:sz w:val="24"/>
          <w:highlight w:val="none"/>
        </w:rPr>
      </w:pPr>
    </w:p>
    <w:p w14:paraId="06B710D2">
      <w:pPr>
        <w:widowControl/>
        <w:jc w:val="left"/>
        <w:rPr>
          <w:rFonts w:hint="eastAsia" w:ascii="宋体" w:hAnsi="宋体" w:eastAsia="宋体" w:cs="宋体"/>
          <w:color w:val="000000"/>
          <w:sz w:val="24"/>
          <w:highlight w:val="none"/>
        </w:rPr>
      </w:pPr>
    </w:p>
    <w:p w14:paraId="31F1F467">
      <w:pPr>
        <w:widowControl/>
        <w:jc w:val="left"/>
        <w:rPr>
          <w:rFonts w:hint="eastAsia" w:ascii="宋体" w:hAnsi="宋体" w:eastAsia="宋体" w:cs="宋体"/>
          <w:color w:val="000000"/>
          <w:sz w:val="24"/>
          <w:highlight w:val="none"/>
        </w:rPr>
      </w:pPr>
    </w:p>
    <w:p w14:paraId="770619D5">
      <w:pPr>
        <w:widowControl/>
        <w:jc w:val="left"/>
        <w:rPr>
          <w:rFonts w:hint="eastAsia" w:ascii="宋体" w:hAnsi="宋体" w:eastAsia="宋体" w:cs="宋体"/>
          <w:color w:val="000000"/>
          <w:sz w:val="24"/>
          <w:highlight w:val="none"/>
        </w:rPr>
      </w:pPr>
    </w:p>
    <w:p w14:paraId="338A593D">
      <w:pPr>
        <w:widowControl/>
        <w:jc w:val="left"/>
        <w:rPr>
          <w:rFonts w:hint="eastAsia" w:ascii="宋体" w:hAnsi="宋体" w:eastAsia="宋体" w:cs="宋体"/>
          <w:color w:val="000000"/>
          <w:sz w:val="24"/>
          <w:highlight w:val="none"/>
        </w:rPr>
      </w:pPr>
    </w:p>
    <w:p w14:paraId="3BDD3F9B">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  法定代表人资格证明书</w:t>
      </w:r>
      <w:r>
        <w:rPr>
          <w:rFonts w:hint="eastAsia" w:ascii="宋体" w:hAnsi="宋体" w:eastAsia="宋体" w:cs="宋体"/>
          <w:color w:val="000000"/>
          <w:sz w:val="24"/>
          <w:szCs w:val="20"/>
          <w:highlight w:val="none"/>
        </w:rPr>
        <w:t>（实质性格式）</w:t>
      </w:r>
    </w:p>
    <w:p w14:paraId="7B2FA8B3">
      <w:pPr>
        <w:spacing w:line="360" w:lineRule="auto"/>
        <w:jc w:val="center"/>
        <w:rPr>
          <w:rFonts w:hint="eastAsia" w:ascii="宋体" w:hAnsi="宋体" w:eastAsia="宋体" w:cs="宋体"/>
          <w:b/>
          <w:color w:val="000000"/>
          <w:sz w:val="32"/>
          <w:szCs w:val="32"/>
          <w:highlight w:val="none"/>
        </w:rPr>
      </w:pPr>
    </w:p>
    <w:p w14:paraId="09CE620D">
      <w:p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法定代表人资格证明书</w:t>
      </w:r>
    </w:p>
    <w:p w14:paraId="247586B7">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单位名称:</w:t>
      </w:r>
    </w:p>
    <w:p w14:paraId="4A051A59">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地址:</w:t>
      </w:r>
    </w:p>
    <w:p w14:paraId="31ABB142">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姓名:     性别:       年龄:      职务:</w:t>
      </w:r>
    </w:p>
    <w:p w14:paraId="64968A4F">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系</w:t>
      </w:r>
      <w:r>
        <w:rPr>
          <w:rFonts w:hint="eastAsia" w:ascii="宋体" w:hAnsi="宋体" w:eastAsia="宋体" w:cs="宋体"/>
          <w:color w:val="000000"/>
          <w:sz w:val="24"/>
          <w:highlight w:val="none"/>
          <w:u w:val="single"/>
        </w:rPr>
        <w:t>（投标单位名称）</w:t>
      </w:r>
      <w:r>
        <w:rPr>
          <w:rFonts w:hint="eastAsia" w:ascii="宋体" w:hAnsi="宋体" w:eastAsia="宋体" w:cs="宋体"/>
          <w:color w:val="000000"/>
          <w:sz w:val="24"/>
          <w:highlight w:val="none"/>
        </w:rPr>
        <w:t>的法定代表人。为参与</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的政府采购活动，</w:t>
      </w:r>
      <w:r>
        <w:rPr>
          <w:rFonts w:hint="eastAsia" w:ascii="宋体" w:hAnsi="宋体" w:eastAsia="宋体" w:cs="宋体"/>
          <w:color w:val="000000"/>
          <w:sz w:val="24"/>
          <w:szCs w:val="20"/>
          <w:highlight w:val="none"/>
        </w:rPr>
        <w:t>签署、澄清确认、递交、撤回、修改</w:t>
      </w:r>
      <w:r>
        <w:rPr>
          <w:rFonts w:hint="eastAsia" w:ascii="宋体" w:hAnsi="宋体" w:eastAsia="宋体" w:cs="宋体"/>
          <w:color w:val="000000"/>
          <w:sz w:val="24"/>
          <w:highlight w:val="none"/>
        </w:rPr>
        <w:t>上述项目的投标文件、进行合同谈判、签署合同和处理与之有关的一切事务。</w:t>
      </w:r>
    </w:p>
    <w:p w14:paraId="316C734E">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特此证明。</w:t>
      </w:r>
    </w:p>
    <w:p w14:paraId="3908071A">
      <w:pPr>
        <w:spacing w:line="560" w:lineRule="exact"/>
        <w:rPr>
          <w:rFonts w:hint="eastAsia" w:ascii="宋体" w:hAnsi="宋体" w:eastAsia="宋体" w:cs="宋体"/>
          <w:color w:val="000000"/>
          <w:sz w:val="24"/>
          <w:highlight w:val="none"/>
        </w:rPr>
      </w:pPr>
    </w:p>
    <w:p w14:paraId="34334B42">
      <w:pPr>
        <w:pStyle w:val="213"/>
        <w:spacing w:line="583" w:lineRule="auto"/>
        <w:ind w:right="-46"/>
        <w:rPr>
          <w:rFonts w:hint="eastAsia" w:ascii="宋体" w:hAnsi="宋体" w:eastAsia="宋体" w:cs="宋体"/>
          <w:color w:val="000000"/>
          <w:spacing w:val="-3"/>
          <w:highlight w:val="none"/>
        </w:rPr>
      </w:pPr>
      <w:r>
        <w:rPr>
          <w:rFonts w:hint="eastAsia" w:ascii="宋体" w:hAnsi="宋体" w:eastAsia="宋体" w:cs="宋体"/>
          <w:color w:val="000000"/>
          <w:highlight w:val="none"/>
        </w:rPr>
        <w:t>附：</w:t>
      </w:r>
      <w:r>
        <w:rPr>
          <w:rFonts w:hint="eastAsia" w:ascii="宋体" w:hAnsi="宋体" w:eastAsia="宋体" w:cs="宋体"/>
          <w:color w:val="000000"/>
          <w:spacing w:val="-3"/>
          <w:highlight w:val="none"/>
        </w:rPr>
        <w:t>法</w:t>
      </w:r>
      <w:r>
        <w:rPr>
          <w:rFonts w:hint="eastAsia" w:ascii="宋体" w:hAnsi="宋体" w:eastAsia="宋体" w:cs="宋体"/>
          <w:color w:val="000000"/>
          <w:highlight w:val="none"/>
        </w:rPr>
        <w:t>定</w:t>
      </w:r>
      <w:r>
        <w:rPr>
          <w:rFonts w:hint="eastAsia" w:ascii="宋体" w:hAnsi="宋体" w:eastAsia="宋体" w:cs="宋体"/>
          <w:color w:val="000000"/>
          <w:spacing w:val="-3"/>
          <w:highlight w:val="none"/>
        </w:rPr>
        <w:t>代</w:t>
      </w:r>
      <w:r>
        <w:rPr>
          <w:rFonts w:hint="eastAsia" w:ascii="宋体" w:hAnsi="宋体" w:eastAsia="宋体" w:cs="宋体"/>
          <w:color w:val="000000"/>
          <w:highlight w:val="none"/>
        </w:rPr>
        <w:t>表</w:t>
      </w:r>
      <w:r>
        <w:rPr>
          <w:rFonts w:hint="eastAsia" w:ascii="宋体" w:hAnsi="宋体" w:eastAsia="宋体" w:cs="宋体"/>
          <w:color w:val="000000"/>
          <w:spacing w:val="-3"/>
          <w:highlight w:val="none"/>
        </w:rPr>
        <w:t>人</w:t>
      </w:r>
      <w:r>
        <w:rPr>
          <w:rFonts w:hint="eastAsia" w:ascii="宋体" w:hAnsi="宋体" w:eastAsia="宋体" w:cs="宋体"/>
          <w:color w:val="000000"/>
          <w:highlight w:val="none"/>
        </w:rPr>
        <w:t>（</w:t>
      </w:r>
      <w:r>
        <w:rPr>
          <w:rFonts w:hint="eastAsia" w:ascii="宋体" w:hAnsi="宋体" w:eastAsia="宋体" w:cs="宋体"/>
          <w:color w:val="000000"/>
          <w:spacing w:val="-3"/>
          <w:highlight w:val="none"/>
        </w:rPr>
        <w:t>单</w:t>
      </w:r>
      <w:r>
        <w:rPr>
          <w:rFonts w:hint="eastAsia" w:ascii="宋体" w:hAnsi="宋体" w:eastAsia="宋体" w:cs="宋体"/>
          <w:color w:val="000000"/>
          <w:highlight w:val="none"/>
        </w:rPr>
        <w:t>位</w:t>
      </w:r>
      <w:r>
        <w:rPr>
          <w:rFonts w:hint="eastAsia" w:ascii="宋体" w:hAnsi="宋体" w:eastAsia="宋体" w:cs="宋体"/>
          <w:color w:val="000000"/>
          <w:spacing w:val="-3"/>
          <w:highlight w:val="none"/>
        </w:rPr>
        <w:t>负</w:t>
      </w:r>
      <w:r>
        <w:rPr>
          <w:rFonts w:hint="eastAsia" w:ascii="宋体" w:hAnsi="宋体" w:eastAsia="宋体" w:cs="宋体"/>
          <w:color w:val="000000"/>
          <w:highlight w:val="none"/>
        </w:rPr>
        <w:t>责人</w:t>
      </w:r>
      <w:r>
        <w:rPr>
          <w:rFonts w:hint="eastAsia" w:ascii="宋体" w:hAnsi="宋体" w:eastAsia="宋体" w:cs="宋体"/>
          <w:color w:val="000000"/>
          <w:spacing w:val="-3"/>
          <w:highlight w:val="none"/>
        </w:rPr>
        <w:t>）有效期内的身份证正反面电子件。</w:t>
      </w:r>
    </w:p>
    <w:tbl>
      <w:tblPr>
        <w:tblStyle w:val="2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4589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E33CF8A">
            <w:pPr>
              <w:tabs>
                <w:tab w:val="left" w:pos="5580"/>
              </w:tabs>
              <w:spacing w:line="360" w:lineRule="auto"/>
              <w:jc w:val="left"/>
              <w:rPr>
                <w:rFonts w:hint="eastAsia" w:ascii="宋体" w:hAnsi="宋体" w:eastAsia="宋体" w:cs="宋体"/>
                <w:color w:val="000000"/>
                <w:sz w:val="24"/>
                <w:szCs w:val="20"/>
                <w:highlight w:val="none"/>
              </w:rPr>
            </w:pPr>
          </w:p>
          <w:p w14:paraId="3D6F5F04">
            <w:pPr>
              <w:tabs>
                <w:tab w:val="left" w:pos="5580"/>
              </w:tabs>
              <w:spacing w:line="360" w:lineRule="auto"/>
              <w:jc w:val="left"/>
              <w:rPr>
                <w:rFonts w:hint="eastAsia" w:ascii="宋体" w:hAnsi="宋体" w:eastAsia="宋体" w:cs="宋体"/>
                <w:color w:val="000000"/>
                <w:sz w:val="24"/>
                <w:szCs w:val="20"/>
                <w:highlight w:val="none"/>
              </w:rPr>
            </w:pPr>
          </w:p>
          <w:p w14:paraId="29980B0A">
            <w:pPr>
              <w:tabs>
                <w:tab w:val="left" w:pos="5580"/>
              </w:tabs>
              <w:spacing w:line="360" w:lineRule="auto"/>
              <w:jc w:val="left"/>
              <w:rPr>
                <w:rFonts w:hint="eastAsia" w:ascii="宋体" w:hAnsi="宋体" w:eastAsia="宋体" w:cs="宋体"/>
                <w:color w:val="000000"/>
                <w:sz w:val="24"/>
                <w:szCs w:val="20"/>
                <w:highlight w:val="none"/>
              </w:rPr>
            </w:pPr>
          </w:p>
        </w:tc>
        <w:tc>
          <w:tcPr>
            <w:tcW w:w="4536" w:type="dxa"/>
            <w:noWrap w:val="0"/>
            <w:vAlign w:val="top"/>
          </w:tcPr>
          <w:p w14:paraId="275168F9">
            <w:pPr>
              <w:tabs>
                <w:tab w:val="left" w:pos="5580"/>
              </w:tabs>
              <w:spacing w:line="360" w:lineRule="auto"/>
              <w:jc w:val="left"/>
              <w:rPr>
                <w:rFonts w:hint="eastAsia" w:ascii="宋体" w:hAnsi="宋体" w:eastAsia="宋体" w:cs="宋体"/>
                <w:color w:val="000000"/>
                <w:sz w:val="24"/>
                <w:szCs w:val="20"/>
                <w:highlight w:val="none"/>
              </w:rPr>
            </w:pPr>
          </w:p>
          <w:p w14:paraId="153AF075">
            <w:pPr>
              <w:tabs>
                <w:tab w:val="left" w:pos="5580"/>
              </w:tabs>
              <w:spacing w:line="360" w:lineRule="auto"/>
              <w:jc w:val="left"/>
              <w:rPr>
                <w:rFonts w:hint="eastAsia" w:ascii="宋体" w:hAnsi="宋体" w:eastAsia="宋体" w:cs="宋体"/>
                <w:color w:val="000000"/>
                <w:sz w:val="24"/>
                <w:szCs w:val="20"/>
                <w:highlight w:val="none"/>
              </w:rPr>
            </w:pPr>
          </w:p>
          <w:p w14:paraId="0C6F2DB8">
            <w:pPr>
              <w:tabs>
                <w:tab w:val="left" w:pos="5580"/>
              </w:tabs>
              <w:spacing w:line="360" w:lineRule="auto"/>
              <w:jc w:val="left"/>
              <w:rPr>
                <w:rFonts w:hint="eastAsia" w:ascii="宋体" w:hAnsi="宋体" w:eastAsia="宋体" w:cs="宋体"/>
                <w:color w:val="000000"/>
                <w:sz w:val="24"/>
                <w:szCs w:val="20"/>
                <w:highlight w:val="none"/>
              </w:rPr>
            </w:pPr>
          </w:p>
        </w:tc>
      </w:tr>
    </w:tbl>
    <w:p w14:paraId="3945586A">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投标人：（加盖公章）</w:t>
      </w:r>
    </w:p>
    <w:p w14:paraId="5B3A3AA8">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法定代表人</w:t>
      </w:r>
      <w:r>
        <w:rPr>
          <w:rFonts w:hint="eastAsia" w:ascii="宋体" w:hAnsi="宋体" w:eastAsia="宋体" w:cs="宋体"/>
          <w:color w:val="000000"/>
          <w:sz w:val="24"/>
          <w:szCs w:val="20"/>
          <w:highlight w:val="none"/>
        </w:rPr>
        <w:t>签字、签章或印鉴</w:t>
      </w:r>
      <w:r>
        <w:rPr>
          <w:rFonts w:hint="eastAsia" w:ascii="宋体" w:hAnsi="宋体" w:eastAsia="宋体" w:cs="宋体"/>
          <w:color w:val="000000"/>
          <w:sz w:val="24"/>
          <w:highlight w:val="none"/>
        </w:rPr>
        <w:t>：</w:t>
      </w:r>
    </w:p>
    <w:p w14:paraId="50A91A37">
      <w:pPr>
        <w:spacing w:line="560" w:lineRule="exact"/>
        <w:ind w:firstLine="43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    年    月    日</w:t>
      </w:r>
    </w:p>
    <w:p w14:paraId="52D448B0">
      <w:pPr>
        <w:widowControl/>
        <w:jc w:val="left"/>
        <w:rPr>
          <w:rFonts w:hint="eastAsia" w:ascii="宋体" w:hAnsi="宋体" w:eastAsia="宋体" w:cs="宋体"/>
          <w:color w:val="000000"/>
          <w:sz w:val="24"/>
          <w:highlight w:val="none"/>
        </w:rPr>
      </w:pPr>
    </w:p>
    <w:p w14:paraId="1AA279C6">
      <w:pPr>
        <w:widowControl/>
        <w:jc w:val="left"/>
        <w:rPr>
          <w:rFonts w:hint="eastAsia" w:ascii="宋体" w:hAnsi="宋体" w:eastAsia="宋体" w:cs="宋体"/>
          <w:color w:val="000000"/>
          <w:sz w:val="24"/>
          <w:highlight w:val="none"/>
        </w:rPr>
      </w:pPr>
    </w:p>
    <w:p w14:paraId="5FEA99D9">
      <w:pPr>
        <w:widowControl/>
        <w:jc w:val="left"/>
        <w:rPr>
          <w:rFonts w:hint="eastAsia" w:ascii="宋体" w:hAnsi="宋体" w:eastAsia="宋体" w:cs="宋体"/>
          <w:color w:val="000000"/>
          <w:sz w:val="24"/>
          <w:highlight w:val="none"/>
        </w:rPr>
      </w:pPr>
    </w:p>
    <w:p w14:paraId="6D3AF665">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说明：</w:t>
      </w:r>
    </w:p>
    <w:p w14:paraId="3997652C">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1.若供应商为事业单位或其他组织或分支机构（仅当招标文件注明允许分支机构投标的），则法定代表人（单位负责人）处的签署人可为单位负责人。</w:t>
      </w:r>
    </w:p>
    <w:p w14:paraId="7F354EB2">
      <w:pPr>
        <w:tabs>
          <w:tab w:val="left" w:pos="5580"/>
        </w:tabs>
        <w:spacing w:line="360" w:lineRule="auto"/>
        <w:jc w:val="left"/>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3.供应商为自然人的情形，可不提供本《授权委托书》。</w:t>
      </w:r>
    </w:p>
    <w:p w14:paraId="43C154B7">
      <w:pPr>
        <w:widowControl/>
        <w:jc w:val="left"/>
        <w:rPr>
          <w:rFonts w:hint="eastAsia" w:ascii="宋体" w:hAnsi="宋体" w:eastAsia="宋体" w:cs="宋体"/>
          <w:color w:val="000000"/>
          <w:sz w:val="24"/>
          <w:highlight w:val="none"/>
        </w:rPr>
      </w:pPr>
    </w:p>
    <w:p w14:paraId="7159253C">
      <w:pPr>
        <w:widowControl/>
        <w:jc w:val="left"/>
        <w:rPr>
          <w:rFonts w:hint="eastAsia" w:ascii="宋体" w:hAnsi="宋体" w:eastAsia="宋体" w:cs="宋体"/>
          <w:color w:val="000000"/>
          <w:sz w:val="24"/>
          <w:highlight w:val="none"/>
        </w:rPr>
      </w:pPr>
    </w:p>
    <w:p w14:paraId="678887C8">
      <w:pPr>
        <w:widowControl/>
        <w:jc w:val="left"/>
        <w:rPr>
          <w:rFonts w:hint="eastAsia" w:ascii="宋体" w:hAnsi="宋体" w:eastAsia="宋体" w:cs="宋体"/>
          <w:color w:val="000000"/>
          <w:sz w:val="24"/>
          <w:highlight w:val="none"/>
        </w:rPr>
      </w:pPr>
    </w:p>
    <w:p w14:paraId="30C6C2D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  政府采购供应商信用承诺书</w:t>
      </w:r>
      <w:r>
        <w:rPr>
          <w:rFonts w:hint="eastAsia" w:ascii="宋体" w:hAnsi="宋体" w:eastAsia="宋体" w:cs="宋体"/>
          <w:color w:val="000000"/>
          <w:sz w:val="24"/>
          <w:szCs w:val="20"/>
          <w:highlight w:val="none"/>
        </w:rPr>
        <w:t>（实质性格式）</w:t>
      </w:r>
    </w:p>
    <w:p w14:paraId="65CB2BC4">
      <w:pPr>
        <w:spacing w:line="560" w:lineRule="exact"/>
        <w:ind w:firstLine="321"/>
        <w:jc w:val="center"/>
        <w:rPr>
          <w:rFonts w:hint="eastAsia" w:ascii="宋体" w:hAnsi="宋体" w:eastAsia="宋体" w:cs="宋体"/>
          <w:b/>
          <w:color w:val="000000"/>
          <w:sz w:val="32"/>
          <w:szCs w:val="32"/>
          <w:highlight w:val="none"/>
        </w:rPr>
      </w:pPr>
    </w:p>
    <w:p w14:paraId="32C40FEB">
      <w:pPr>
        <w:spacing w:line="560" w:lineRule="exact"/>
        <w:ind w:firstLine="32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政府采购供应商信用承诺书</w:t>
      </w:r>
    </w:p>
    <w:p w14:paraId="55734816">
      <w:pPr>
        <w:ind w:firstLine="640"/>
        <w:rPr>
          <w:rFonts w:hint="eastAsia" w:ascii="宋体" w:hAnsi="宋体" w:eastAsia="宋体" w:cs="宋体"/>
          <w:color w:val="000000"/>
          <w:highlight w:val="none"/>
        </w:rPr>
      </w:pPr>
    </w:p>
    <w:p w14:paraId="45E78500">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为维护公开、公平、公正的政府采购市场秩序，树立诚实守信的供应商形象，本单位在参与政府采购活动中,自愿作出以下承诺：</w:t>
      </w:r>
    </w:p>
    <w:p w14:paraId="0F6FB247">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一、严格遵守国家法律、法规和规章，全面履行应尽的责任和义务，全面做到履约守信，具备《政府采购法》第二十二条第一款规定的条件。</w:t>
      </w:r>
    </w:p>
    <w:p w14:paraId="002D877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07ECCCB">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C86E24E">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四、严格依法开展生产经营活动，主动接受行业监管，自愿接受依法开展的日常检查；违法失信经营后将自愿接受约束和惩戒，并依法承担相应责任。</w:t>
      </w:r>
    </w:p>
    <w:p w14:paraId="66D9BE6B">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p>
    <w:p w14:paraId="7B05CFA2">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3486691">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p>
    <w:p w14:paraId="6C818608">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八、承诺本单位提出政府采购质疑和投诉坚持依法依规、诚实信用原则。</w:t>
      </w:r>
    </w:p>
    <w:p w14:paraId="35EDD09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p>
    <w:p w14:paraId="58CEA96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十、承诺本单位若违背承诺约定，经查实，愿意接受行业主管部门和信用管理部门相应的规定处罚，承担违约责任，并依法承担相应的法律责任。</w:t>
      </w:r>
    </w:p>
    <w:p w14:paraId="7D3786F2">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十一、承诺本单位同意将以上承诺事项上网公示，违背承诺约定行为将作为失信信息，记录到常州市公共信用信息系统，并予以公开。</w:t>
      </w:r>
    </w:p>
    <w:p w14:paraId="2157FBB7">
      <w:pPr>
        <w:pStyle w:val="432"/>
        <w:spacing w:line="276" w:lineRule="auto"/>
        <w:ind w:right="1050" w:firstLine="2880"/>
        <w:jc w:val="both"/>
        <w:rPr>
          <w:rFonts w:hint="eastAsia" w:ascii="宋体" w:hAnsi="宋体" w:eastAsia="宋体" w:cs="宋体"/>
          <w:color w:val="000000"/>
          <w:sz w:val="24"/>
          <w:szCs w:val="22"/>
          <w:highlight w:val="none"/>
        </w:rPr>
      </w:pPr>
    </w:p>
    <w:p w14:paraId="713596C4">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14:paraId="26935228">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14:paraId="0A4D9576">
      <w:pPr>
        <w:widowControl/>
        <w:jc w:val="left"/>
        <w:rPr>
          <w:rFonts w:hint="eastAsia" w:ascii="宋体" w:hAnsi="宋体" w:eastAsia="宋体" w:cs="宋体"/>
          <w:color w:val="000000"/>
          <w:sz w:val="24"/>
          <w:szCs w:val="20"/>
          <w:highlight w:val="none"/>
        </w:rPr>
      </w:pPr>
      <w:bookmarkStart w:id="839" w:name="_Hlt520343392"/>
      <w:bookmarkEnd w:id="839"/>
      <w:bookmarkStart w:id="840" w:name="_Hlt520355504"/>
      <w:bookmarkEnd w:id="840"/>
      <w:bookmarkStart w:id="841" w:name="_Hlt520271212"/>
      <w:bookmarkEnd w:id="841"/>
      <w:bookmarkStart w:id="842" w:name="_Hlt520343000"/>
      <w:bookmarkEnd w:id="842"/>
      <w:bookmarkStart w:id="843" w:name="_Hlt520273711"/>
      <w:bookmarkEnd w:id="843"/>
      <w:bookmarkStart w:id="844" w:name="_Hlt520350918"/>
      <w:bookmarkEnd w:id="844"/>
      <w:bookmarkStart w:id="845" w:name="_Hlt520274407"/>
      <w:bookmarkEnd w:id="845"/>
      <w:bookmarkStart w:id="846" w:name="_Hlt520274065"/>
      <w:bookmarkEnd w:id="846"/>
      <w:bookmarkStart w:id="847" w:name="_Hlt520274121"/>
      <w:bookmarkEnd w:id="847"/>
      <w:bookmarkStart w:id="848" w:name="_Hlt520274393"/>
      <w:bookmarkEnd w:id="848"/>
    </w:p>
    <w:p w14:paraId="3A4E5111">
      <w:pPr>
        <w:widowControl/>
        <w:jc w:val="left"/>
        <w:rPr>
          <w:rFonts w:hint="eastAsia" w:ascii="宋体" w:hAnsi="宋体" w:eastAsia="宋体" w:cs="宋体"/>
          <w:color w:val="000000"/>
          <w:sz w:val="24"/>
          <w:szCs w:val="20"/>
          <w:highlight w:val="none"/>
        </w:rPr>
      </w:pPr>
    </w:p>
    <w:p w14:paraId="2E01D378">
      <w:pPr>
        <w:widowControl/>
        <w:jc w:val="left"/>
        <w:rPr>
          <w:rFonts w:hint="eastAsia" w:ascii="宋体" w:hAnsi="宋体" w:eastAsia="宋体" w:cs="宋体"/>
          <w:color w:val="000000"/>
          <w:sz w:val="24"/>
          <w:szCs w:val="20"/>
          <w:highlight w:val="none"/>
        </w:rPr>
      </w:pPr>
    </w:p>
    <w:p w14:paraId="52D277AE">
      <w:pPr>
        <w:widowControl/>
        <w:jc w:val="left"/>
        <w:rPr>
          <w:rFonts w:hint="eastAsia" w:ascii="宋体" w:hAnsi="宋体" w:eastAsia="宋体" w:cs="宋体"/>
          <w:color w:val="000000"/>
          <w:sz w:val="24"/>
          <w:szCs w:val="20"/>
          <w:highlight w:val="none"/>
        </w:rPr>
      </w:pPr>
    </w:p>
    <w:p w14:paraId="09AA85DB">
      <w:pPr>
        <w:widowControl/>
        <w:jc w:val="left"/>
        <w:rPr>
          <w:rFonts w:hint="eastAsia" w:ascii="宋体" w:hAnsi="宋体" w:eastAsia="宋体" w:cs="宋体"/>
          <w:color w:val="000000"/>
          <w:sz w:val="24"/>
          <w:szCs w:val="20"/>
          <w:highlight w:val="none"/>
        </w:rPr>
      </w:pPr>
    </w:p>
    <w:p w14:paraId="0ACCCC36">
      <w:pPr>
        <w:widowControl/>
        <w:jc w:val="left"/>
        <w:rPr>
          <w:rFonts w:hint="eastAsia" w:ascii="宋体" w:hAnsi="宋体" w:eastAsia="宋体" w:cs="宋体"/>
          <w:color w:val="000000"/>
          <w:sz w:val="24"/>
          <w:szCs w:val="20"/>
          <w:highlight w:val="none"/>
        </w:rPr>
      </w:pPr>
    </w:p>
    <w:p w14:paraId="54FB1592">
      <w:pPr>
        <w:widowControl/>
        <w:jc w:val="left"/>
        <w:rPr>
          <w:rFonts w:hint="eastAsia" w:ascii="宋体" w:hAnsi="宋体" w:eastAsia="宋体" w:cs="宋体"/>
          <w:color w:val="000000"/>
          <w:sz w:val="24"/>
          <w:szCs w:val="20"/>
          <w:highlight w:val="none"/>
        </w:rPr>
      </w:pPr>
    </w:p>
    <w:p w14:paraId="47415424">
      <w:pPr>
        <w:widowControl/>
        <w:jc w:val="left"/>
        <w:rPr>
          <w:rFonts w:hint="eastAsia" w:ascii="宋体" w:hAnsi="宋体" w:eastAsia="宋体" w:cs="宋体"/>
          <w:color w:val="000000"/>
          <w:sz w:val="24"/>
          <w:szCs w:val="20"/>
          <w:highlight w:val="none"/>
        </w:rPr>
      </w:pPr>
    </w:p>
    <w:p w14:paraId="118787CA">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4  开标一览表（实质性格式）</w:t>
      </w:r>
    </w:p>
    <w:p w14:paraId="72715144">
      <w:pPr>
        <w:spacing w:line="360" w:lineRule="exact"/>
        <w:jc w:val="center"/>
        <w:rPr>
          <w:rFonts w:hint="eastAsia" w:ascii="宋体" w:hAnsi="宋体" w:eastAsia="宋体" w:cs="宋体"/>
          <w:b/>
          <w:color w:val="000000"/>
          <w:sz w:val="36"/>
          <w:szCs w:val="36"/>
          <w:highlight w:val="none"/>
        </w:rPr>
      </w:pPr>
      <w:bookmarkStart w:id="849" w:name="_Toc264969248"/>
      <w:bookmarkStart w:id="850" w:name="_Toc305158900"/>
      <w:bookmarkStart w:id="851" w:name="_Toc226309802"/>
      <w:bookmarkStart w:id="852" w:name="_Toc195842923"/>
      <w:bookmarkStart w:id="853" w:name="_Toc164608827"/>
      <w:bookmarkStart w:id="854" w:name="_Toc305158826"/>
      <w:bookmarkStart w:id="855" w:name="_Toc164608672"/>
      <w:bookmarkStart w:id="856" w:name="_Toc226965748"/>
      <w:bookmarkStart w:id="857" w:name="_Toc226965831"/>
      <w:bookmarkStart w:id="858" w:name="_Toc265228396"/>
      <w:bookmarkStart w:id="859" w:name="_Toc226337254"/>
      <w:r>
        <w:rPr>
          <w:rFonts w:hint="eastAsia" w:ascii="宋体" w:hAnsi="宋体" w:eastAsia="宋体" w:cs="宋体"/>
          <w:b/>
          <w:color w:val="000000"/>
          <w:sz w:val="36"/>
          <w:szCs w:val="36"/>
          <w:highlight w:val="none"/>
        </w:rPr>
        <w:t>开标一览表</w:t>
      </w:r>
      <w:bookmarkEnd w:id="849"/>
      <w:bookmarkEnd w:id="850"/>
      <w:bookmarkEnd w:id="851"/>
      <w:bookmarkEnd w:id="852"/>
      <w:bookmarkEnd w:id="853"/>
      <w:bookmarkEnd w:id="854"/>
      <w:bookmarkEnd w:id="855"/>
      <w:bookmarkEnd w:id="856"/>
      <w:bookmarkEnd w:id="857"/>
      <w:bookmarkEnd w:id="858"/>
      <w:bookmarkEnd w:id="859"/>
    </w:p>
    <w:p w14:paraId="2F1D700C">
      <w:pPr>
        <w:tabs>
          <w:tab w:val="left" w:pos="1800"/>
          <w:tab w:val="left" w:pos="5580"/>
        </w:tabs>
        <w:spacing w:line="360" w:lineRule="auto"/>
        <w:jc w:val="left"/>
        <w:rPr>
          <w:rFonts w:hint="eastAsia" w:ascii="宋体" w:hAnsi="宋体" w:eastAsia="宋体" w:cs="宋体"/>
          <w:i/>
          <w:color w:val="000000"/>
          <w:sz w:val="24"/>
          <w:highlight w:val="none"/>
        </w:rPr>
      </w:pPr>
    </w:p>
    <w:p w14:paraId="3CB1DD57">
      <w:pPr>
        <w:tabs>
          <w:tab w:val="left" w:pos="1800"/>
          <w:tab w:val="left" w:pos="5580"/>
        </w:tabs>
        <w:spacing w:line="360" w:lineRule="auto"/>
        <w:ind w:firstLine="240"/>
        <w:jc w:val="left"/>
        <w:rPr>
          <w:rFonts w:hint="eastAsia" w:ascii="宋体" w:hAnsi="宋体" w:eastAsia="宋体" w:cs="宋体"/>
          <w:color w:val="000000"/>
          <w:sz w:val="24"/>
          <w:highlight w:val="none"/>
        </w:rPr>
      </w:pPr>
    </w:p>
    <w:p w14:paraId="146DCF77">
      <w:pPr>
        <w:tabs>
          <w:tab w:val="left" w:pos="1800"/>
          <w:tab w:val="left" w:pos="5580"/>
        </w:tabs>
        <w:spacing w:line="360" w:lineRule="auto"/>
        <w:ind w:firstLine="24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项目编号/包号：_____________________     项目名称：____________</w:t>
      </w:r>
    </w:p>
    <w:tbl>
      <w:tblPr>
        <w:tblStyle w:val="28"/>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5"/>
        <w:gridCol w:w="2851"/>
        <w:gridCol w:w="5111"/>
      </w:tblGrid>
      <w:tr w14:paraId="38C9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4" w:hRule="atLeast"/>
          <w:jc w:val="center"/>
        </w:trPr>
        <w:tc>
          <w:tcPr>
            <w:tcW w:w="654" w:type="dxa"/>
            <w:noWrap w:val="0"/>
            <w:vAlign w:val="center"/>
          </w:tcPr>
          <w:p w14:paraId="46A22C82">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2848" w:type="dxa"/>
            <w:noWrap w:val="0"/>
            <w:vAlign w:val="center"/>
          </w:tcPr>
          <w:p w14:paraId="1CC276F3">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投标人名称</w:t>
            </w:r>
          </w:p>
        </w:tc>
        <w:tc>
          <w:tcPr>
            <w:tcW w:w="5106" w:type="dxa"/>
            <w:noWrap w:val="0"/>
            <w:vAlign w:val="center"/>
          </w:tcPr>
          <w:p w14:paraId="5DF6F457">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投标报价</w:t>
            </w:r>
          </w:p>
        </w:tc>
      </w:tr>
      <w:tr w14:paraId="35D5A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8" w:hRule="atLeast"/>
          <w:jc w:val="center"/>
        </w:trPr>
        <w:tc>
          <w:tcPr>
            <w:tcW w:w="654" w:type="dxa"/>
            <w:noWrap w:val="0"/>
            <w:vAlign w:val="center"/>
          </w:tcPr>
          <w:p w14:paraId="6C8BA654">
            <w:pPr>
              <w:tabs>
                <w:tab w:val="left" w:pos="5580"/>
              </w:tabs>
              <w:jc w:val="center"/>
              <w:rPr>
                <w:rFonts w:hint="eastAsia" w:ascii="宋体" w:hAnsi="宋体" w:eastAsia="宋体" w:cs="宋体"/>
                <w:color w:val="000000"/>
                <w:sz w:val="24"/>
                <w:highlight w:val="none"/>
              </w:rPr>
            </w:pPr>
          </w:p>
        </w:tc>
        <w:tc>
          <w:tcPr>
            <w:tcW w:w="2848" w:type="dxa"/>
            <w:noWrap w:val="0"/>
            <w:vAlign w:val="center"/>
          </w:tcPr>
          <w:p w14:paraId="69610D18">
            <w:pPr>
              <w:tabs>
                <w:tab w:val="left" w:pos="5580"/>
              </w:tabs>
              <w:jc w:val="center"/>
              <w:rPr>
                <w:rFonts w:hint="eastAsia" w:ascii="宋体" w:hAnsi="宋体" w:eastAsia="宋体" w:cs="宋体"/>
                <w:color w:val="000000"/>
                <w:sz w:val="24"/>
                <w:highlight w:val="none"/>
              </w:rPr>
            </w:pPr>
          </w:p>
        </w:tc>
        <w:tc>
          <w:tcPr>
            <w:tcW w:w="5106" w:type="dxa"/>
            <w:noWrap w:val="0"/>
            <w:vAlign w:val="center"/>
          </w:tcPr>
          <w:p w14:paraId="193BB3C4">
            <w:pPr>
              <w:tabs>
                <w:tab w:val="left" w:pos="5580"/>
              </w:tabs>
              <w:ind w:firstLine="240"/>
              <w:jc w:val="both"/>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总价（2年）：</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元</w:t>
            </w:r>
          </w:p>
        </w:tc>
      </w:tr>
    </w:tbl>
    <w:p w14:paraId="0A3791B6">
      <w:pPr>
        <w:jc w:val="left"/>
        <w:rPr>
          <w:rFonts w:hint="eastAsia" w:ascii="宋体" w:hAnsi="宋体" w:eastAsia="宋体" w:cs="宋体"/>
          <w:color w:val="000000"/>
          <w:sz w:val="24"/>
          <w:highlight w:val="none"/>
        </w:rPr>
      </w:pPr>
    </w:p>
    <w:p w14:paraId="591493D8">
      <w:pPr>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注：1</w:t>
      </w:r>
      <w:r>
        <w:rPr>
          <w:rFonts w:hint="eastAsia" w:ascii="宋体" w:hAnsi="宋体" w:eastAsia="宋体" w:cs="宋体"/>
          <w:color w:val="000000"/>
          <w:sz w:val="24"/>
          <w:szCs w:val="20"/>
          <w:highlight w:val="none"/>
        </w:rPr>
        <w:t>.此表中，每包的投标报价应和《投标分项报价表》中的总价相一致。</w:t>
      </w:r>
    </w:p>
    <w:p w14:paraId="2C174401">
      <w:pPr>
        <w:tabs>
          <w:tab w:val="left" w:pos="5580"/>
        </w:tabs>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2.本表必须按包分别填写。</w:t>
      </w:r>
    </w:p>
    <w:p w14:paraId="51BCB4A9">
      <w:pPr>
        <w:spacing w:before="25" w:after="25" w:line="360" w:lineRule="auto"/>
        <w:rPr>
          <w:rFonts w:hint="eastAsia" w:ascii="宋体" w:hAnsi="宋体" w:eastAsia="宋体" w:cs="宋体"/>
          <w:color w:val="000000"/>
          <w:sz w:val="24"/>
          <w:highlight w:val="none"/>
          <w:lang w:val="zh-CN"/>
        </w:rPr>
      </w:pPr>
    </w:p>
    <w:p w14:paraId="0BFEAC13">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14:paraId="27175339">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14:paraId="218704B3">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14:paraId="450496A8">
      <w:pPr>
        <w:widowControl/>
        <w:jc w:val="left"/>
        <w:rPr>
          <w:color w:val="000000"/>
          <w:sz w:val="24"/>
          <w:szCs w:val="20"/>
        </w:rPr>
      </w:pPr>
      <w:r>
        <w:rPr>
          <w:rFonts w:hint="eastAsia" w:ascii="宋体" w:hAnsi="宋体" w:eastAsia="宋体" w:cs="宋体"/>
          <w:color w:val="000000"/>
          <w:sz w:val="24"/>
          <w:szCs w:val="20"/>
          <w:highlight w:val="none"/>
        </w:rPr>
        <w:br w:type="page" w:clear="all"/>
      </w:r>
      <w:r>
        <w:rPr>
          <w:rFonts w:hint="eastAsia"/>
          <w:color w:val="000000"/>
          <w:sz w:val="24"/>
          <w:szCs w:val="20"/>
          <w:lang w:val="en-US" w:eastAsia="zh-CN"/>
        </w:rPr>
        <w:t>5</w:t>
      </w:r>
      <w:r>
        <w:rPr>
          <w:color w:val="000000"/>
          <w:sz w:val="24"/>
          <w:szCs w:val="20"/>
        </w:rPr>
        <w:t xml:space="preserve">  投标分项报价表（实质性格式）</w:t>
      </w:r>
    </w:p>
    <w:p w14:paraId="2C6800E5">
      <w:pPr>
        <w:spacing w:line="360" w:lineRule="exact"/>
        <w:jc w:val="center"/>
        <w:rPr>
          <w:color w:val="000000"/>
          <w:sz w:val="36"/>
          <w:szCs w:val="36"/>
        </w:rPr>
      </w:pPr>
    </w:p>
    <w:p w14:paraId="7AD4292C">
      <w:pPr>
        <w:spacing w:line="360" w:lineRule="exact"/>
        <w:jc w:val="center"/>
        <w:rPr>
          <w:b/>
          <w:color w:val="000000"/>
          <w:sz w:val="36"/>
          <w:szCs w:val="36"/>
        </w:rPr>
      </w:pPr>
      <w:r>
        <w:rPr>
          <w:rFonts w:hint="eastAsia"/>
          <w:b/>
          <w:color w:val="000000"/>
          <w:sz w:val="36"/>
          <w:szCs w:val="36"/>
        </w:rPr>
        <w:t>投标分项报价表</w:t>
      </w:r>
    </w:p>
    <w:p w14:paraId="1F04FB07">
      <w:pPr>
        <w:spacing w:line="260" w:lineRule="exact"/>
        <w:jc w:val="center"/>
        <w:rPr>
          <w:color w:val="000000"/>
          <w:sz w:val="36"/>
          <w:szCs w:val="36"/>
        </w:rPr>
      </w:pPr>
    </w:p>
    <w:p w14:paraId="78546128">
      <w:pPr>
        <w:spacing w:line="260" w:lineRule="exact"/>
        <w:jc w:val="center"/>
        <w:rPr>
          <w:color w:val="000000"/>
          <w:sz w:val="36"/>
          <w:szCs w:val="36"/>
        </w:rPr>
      </w:pPr>
    </w:p>
    <w:p w14:paraId="629985FB">
      <w:pPr>
        <w:tabs>
          <w:tab w:val="left" w:pos="1800"/>
          <w:tab w:val="left" w:pos="5580"/>
        </w:tabs>
        <w:rPr>
          <w:color w:val="000000"/>
          <w:sz w:val="24"/>
        </w:rPr>
      </w:pPr>
      <w:r>
        <w:rPr>
          <w:color w:val="000000"/>
          <w:sz w:val="24"/>
        </w:rPr>
        <w:t>项目编号/包号：___________ 项目名称：__________报价单位：人民币元</w:t>
      </w:r>
    </w:p>
    <w:tbl>
      <w:tblPr>
        <w:tblStyle w:val="28"/>
        <w:tblW w:w="7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3"/>
        <w:gridCol w:w="1432"/>
        <w:gridCol w:w="2550"/>
        <w:gridCol w:w="998"/>
        <w:gridCol w:w="2004"/>
      </w:tblGrid>
      <w:tr w14:paraId="1AD3F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3" w:hRule="atLeast"/>
          <w:jc w:val="center"/>
        </w:trPr>
        <w:tc>
          <w:tcPr>
            <w:tcW w:w="673" w:type="dxa"/>
            <w:noWrap w:val="0"/>
            <w:vAlign w:val="center"/>
          </w:tcPr>
          <w:p w14:paraId="2A0B429F">
            <w:pPr>
              <w:widowControl/>
              <w:spacing w:line="360" w:lineRule="auto"/>
              <w:jc w:val="center"/>
              <w:rPr>
                <w:rFonts w:ascii="宋体" w:hAnsi="宋体" w:cs="Arial"/>
                <w:sz w:val="24"/>
              </w:rPr>
            </w:pPr>
            <w:r>
              <w:rPr>
                <w:rFonts w:hint="eastAsia" w:ascii="宋体" w:hAnsi="宋体" w:cs="Arial"/>
                <w:sz w:val="24"/>
              </w:rPr>
              <w:t>序号</w:t>
            </w:r>
          </w:p>
        </w:tc>
        <w:tc>
          <w:tcPr>
            <w:tcW w:w="1432" w:type="dxa"/>
            <w:noWrap w:val="0"/>
            <w:vAlign w:val="center"/>
          </w:tcPr>
          <w:p w14:paraId="30A1C22F">
            <w:pPr>
              <w:widowControl/>
              <w:spacing w:line="360" w:lineRule="auto"/>
              <w:jc w:val="center"/>
              <w:rPr>
                <w:rFonts w:ascii="宋体" w:hAnsi="宋体" w:cs="Arial"/>
                <w:sz w:val="24"/>
              </w:rPr>
            </w:pPr>
            <w:r>
              <w:rPr>
                <w:rFonts w:hint="eastAsia" w:ascii="宋体" w:hAnsi="宋体" w:cs="Arial"/>
                <w:sz w:val="24"/>
              </w:rPr>
              <w:t>分项名称</w:t>
            </w:r>
          </w:p>
        </w:tc>
        <w:tc>
          <w:tcPr>
            <w:tcW w:w="2550" w:type="dxa"/>
            <w:noWrap w:val="0"/>
            <w:vAlign w:val="center"/>
          </w:tcPr>
          <w:p w14:paraId="47CDB751">
            <w:pPr>
              <w:widowControl/>
              <w:spacing w:line="360" w:lineRule="auto"/>
              <w:jc w:val="center"/>
              <w:rPr>
                <w:rFonts w:ascii="宋体" w:hAnsi="宋体" w:cs="Arial"/>
                <w:sz w:val="24"/>
              </w:rPr>
            </w:pPr>
            <w:r>
              <w:rPr>
                <w:rFonts w:hint="eastAsia" w:ascii="宋体" w:hAnsi="宋体" w:cs="Arial"/>
                <w:sz w:val="24"/>
              </w:rPr>
              <w:t>服务内容</w:t>
            </w:r>
          </w:p>
        </w:tc>
        <w:tc>
          <w:tcPr>
            <w:tcW w:w="998" w:type="dxa"/>
            <w:noWrap w:val="0"/>
            <w:vAlign w:val="center"/>
          </w:tcPr>
          <w:p w14:paraId="316740F1">
            <w:pPr>
              <w:widowControl/>
              <w:spacing w:line="360" w:lineRule="auto"/>
              <w:jc w:val="center"/>
              <w:rPr>
                <w:rFonts w:hint="eastAsia" w:ascii="宋体" w:hAnsi="宋体" w:eastAsia="宋体" w:cs="Arial"/>
                <w:sz w:val="24"/>
                <w:lang w:eastAsia="zh-CN"/>
              </w:rPr>
            </w:pPr>
            <w:r>
              <w:rPr>
                <w:rFonts w:hint="eastAsia" w:ascii="宋体" w:hAnsi="宋体" w:cs="Arial"/>
                <w:sz w:val="24"/>
                <w:lang w:val="en-US" w:eastAsia="zh-CN"/>
              </w:rPr>
              <w:t>保障</w:t>
            </w:r>
          </w:p>
        </w:tc>
        <w:tc>
          <w:tcPr>
            <w:tcW w:w="2004" w:type="dxa"/>
            <w:noWrap w:val="0"/>
            <w:vAlign w:val="center"/>
          </w:tcPr>
          <w:p w14:paraId="4BAAF396">
            <w:pPr>
              <w:widowControl/>
              <w:spacing w:line="360" w:lineRule="auto"/>
              <w:jc w:val="center"/>
              <w:rPr>
                <w:rFonts w:hint="eastAsia" w:ascii="宋体" w:hAnsi="宋体" w:eastAsia="宋体" w:cs="Arial"/>
                <w:sz w:val="24"/>
                <w:lang w:eastAsia="zh-CN"/>
              </w:rPr>
            </w:pPr>
            <w:r>
              <w:rPr>
                <w:rFonts w:hint="eastAsia" w:ascii="宋体" w:hAnsi="宋体" w:cs="Arial"/>
                <w:sz w:val="24"/>
                <w:lang w:val="en-US" w:eastAsia="zh-CN"/>
              </w:rPr>
              <w:t>人均保费</w:t>
            </w:r>
            <w:r>
              <w:rPr>
                <w:rFonts w:hint="eastAsia" w:ascii="宋体" w:hAnsi="宋体" w:cs="Arial"/>
                <w:sz w:val="24"/>
                <w:lang w:eastAsia="zh-CN"/>
              </w:rPr>
              <w:t>（</w:t>
            </w:r>
            <w:r>
              <w:rPr>
                <w:rFonts w:hint="eastAsia" w:ascii="宋体" w:hAnsi="宋体" w:cs="Arial"/>
                <w:sz w:val="24"/>
                <w:lang w:val="en-US" w:eastAsia="zh-CN"/>
              </w:rPr>
              <w:t>元</w:t>
            </w:r>
            <w:r>
              <w:rPr>
                <w:rFonts w:hint="eastAsia" w:ascii="宋体" w:hAnsi="宋体" w:cs="Arial"/>
                <w:sz w:val="24"/>
                <w:lang w:eastAsia="zh-CN"/>
              </w:rPr>
              <w:t>）</w:t>
            </w:r>
          </w:p>
        </w:tc>
      </w:tr>
      <w:tr w14:paraId="2D44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7DD2E511">
            <w:pPr>
              <w:widowControl/>
              <w:spacing w:line="360" w:lineRule="auto"/>
              <w:jc w:val="center"/>
              <w:rPr>
                <w:rFonts w:ascii="宋体" w:hAnsi="宋体" w:cs="Arial"/>
                <w:sz w:val="24"/>
              </w:rPr>
            </w:pPr>
            <w:r>
              <w:rPr>
                <w:rFonts w:hint="eastAsia" w:ascii="宋体" w:hAnsi="宋体" w:cs="Arial"/>
                <w:sz w:val="24"/>
              </w:rPr>
              <w:t>1</w:t>
            </w:r>
          </w:p>
        </w:tc>
        <w:tc>
          <w:tcPr>
            <w:tcW w:w="1432" w:type="dxa"/>
            <w:noWrap w:val="0"/>
            <w:vAlign w:val="center"/>
          </w:tcPr>
          <w:p w14:paraId="4182E0F0">
            <w:pPr>
              <w:widowControl/>
              <w:spacing w:line="360" w:lineRule="auto"/>
              <w:jc w:val="center"/>
              <w:rPr>
                <w:rFonts w:ascii="宋体" w:hAnsi="宋体" w:cs="Arial"/>
                <w:b/>
                <w:bCs/>
                <w:sz w:val="24"/>
              </w:rPr>
            </w:pPr>
          </w:p>
        </w:tc>
        <w:tc>
          <w:tcPr>
            <w:tcW w:w="2550" w:type="dxa"/>
            <w:noWrap w:val="0"/>
            <w:vAlign w:val="center"/>
          </w:tcPr>
          <w:p w14:paraId="6B0B52BA">
            <w:pPr>
              <w:widowControl/>
              <w:spacing w:line="360" w:lineRule="auto"/>
              <w:jc w:val="center"/>
              <w:rPr>
                <w:rFonts w:ascii="宋体" w:hAnsi="宋体" w:cs="Arial"/>
                <w:sz w:val="24"/>
              </w:rPr>
            </w:pPr>
          </w:p>
        </w:tc>
        <w:tc>
          <w:tcPr>
            <w:tcW w:w="998" w:type="dxa"/>
            <w:noWrap w:val="0"/>
            <w:vAlign w:val="center"/>
          </w:tcPr>
          <w:p w14:paraId="161E0F4B">
            <w:pPr>
              <w:widowControl/>
              <w:spacing w:line="360" w:lineRule="auto"/>
              <w:jc w:val="center"/>
              <w:rPr>
                <w:rFonts w:ascii="宋体" w:hAnsi="宋体" w:cs="Arial"/>
                <w:sz w:val="24"/>
              </w:rPr>
            </w:pPr>
          </w:p>
        </w:tc>
        <w:tc>
          <w:tcPr>
            <w:tcW w:w="2004" w:type="dxa"/>
            <w:noWrap w:val="0"/>
            <w:vAlign w:val="center"/>
          </w:tcPr>
          <w:p w14:paraId="108D4C84">
            <w:pPr>
              <w:widowControl/>
              <w:spacing w:line="360" w:lineRule="auto"/>
              <w:jc w:val="center"/>
              <w:rPr>
                <w:rFonts w:ascii="宋体" w:hAnsi="宋体" w:cs="Arial"/>
                <w:sz w:val="24"/>
              </w:rPr>
            </w:pPr>
          </w:p>
        </w:tc>
      </w:tr>
      <w:tr w14:paraId="01B09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28D8B04C">
            <w:pPr>
              <w:widowControl/>
              <w:spacing w:line="360" w:lineRule="auto"/>
              <w:jc w:val="center"/>
              <w:rPr>
                <w:rFonts w:ascii="宋体" w:hAnsi="宋体" w:cs="Arial"/>
                <w:sz w:val="24"/>
              </w:rPr>
            </w:pPr>
            <w:r>
              <w:rPr>
                <w:rFonts w:hint="eastAsia" w:ascii="宋体" w:hAnsi="宋体" w:cs="Arial"/>
                <w:sz w:val="24"/>
              </w:rPr>
              <w:t>2</w:t>
            </w:r>
          </w:p>
        </w:tc>
        <w:tc>
          <w:tcPr>
            <w:tcW w:w="1432" w:type="dxa"/>
            <w:noWrap w:val="0"/>
            <w:vAlign w:val="center"/>
          </w:tcPr>
          <w:p w14:paraId="386A63F8">
            <w:pPr>
              <w:widowControl/>
              <w:spacing w:line="360" w:lineRule="auto"/>
              <w:jc w:val="center"/>
              <w:rPr>
                <w:rFonts w:ascii="宋体" w:hAnsi="宋体" w:cs="Arial"/>
                <w:b/>
                <w:bCs/>
                <w:sz w:val="24"/>
              </w:rPr>
            </w:pPr>
          </w:p>
        </w:tc>
        <w:tc>
          <w:tcPr>
            <w:tcW w:w="2550" w:type="dxa"/>
            <w:noWrap w:val="0"/>
            <w:vAlign w:val="center"/>
          </w:tcPr>
          <w:p w14:paraId="46C660E8">
            <w:pPr>
              <w:widowControl/>
              <w:spacing w:line="360" w:lineRule="auto"/>
              <w:jc w:val="center"/>
              <w:rPr>
                <w:rFonts w:ascii="宋体" w:hAnsi="宋体" w:cs="Arial"/>
                <w:sz w:val="24"/>
              </w:rPr>
            </w:pPr>
          </w:p>
        </w:tc>
        <w:tc>
          <w:tcPr>
            <w:tcW w:w="998" w:type="dxa"/>
            <w:noWrap w:val="0"/>
            <w:vAlign w:val="center"/>
          </w:tcPr>
          <w:p w14:paraId="3CB8C79E">
            <w:pPr>
              <w:widowControl/>
              <w:spacing w:line="360" w:lineRule="auto"/>
              <w:jc w:val="center"/>
              <w:rPr>
                <w:rFonts w:ascii="宋体" w:hAnsi="宋体" w:cs="Arial"/>
                <w:sz w:val="24"/>
              </w:rPr>
            </w:pPr>
          </w:p>
        </w:tc>
        <w:tc>
          <w:tcPr>
            <w:tcW w:w="2004" w:type="dxa"/>
            <w:noWrap w:val="0"/>
            <w:vAlign w:val="center"/>
          </w:tcPr>
          <w:p w14:paraId="4458897B">
            <w:pPr>
              <w:widowControl/>
              <w:spacing w:line="360" w:lineRule="auto"/>
              <w:jc w:val="center"/>
              <w:rPr>
                <w:rFonts w:ascii="宋体" w:hAnsi="宋体" w:cs="Arial"/>
                <w:sz w:val="24"/>
              </w:rPr>
            </w:pPr>
          </w:p>
        </w:tc>
      </w:tr>
      <w:tr w14:paraId="28D5E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62CD49B2">
            <w:pPr>
              <w:widowControl/>
              <w:spacing w:line="360" w:lineRule="auto"/>
              <w:jc w:val="center"/>
              <w:rPr>
                <w:rFonts w:ascii="宋体" w:hAnsi="宋体" w:cs="Arial"/>
                <w:sz w:val="24"/>
              </w:rPr>
            </w:pPr>
            <w:r>
              <w:rPr>
                <w:rFonts w:hint="eastAsia" w:ascii="宋体" w:hAnsi="宋体" w:cs="Arial"/>
                <w:sz w:val="24"/>
              </w:rPr>
              <w:t>3</w:t>
            </w:r>
          </w:p>
        </w:tc>
        <w:tc>
          <w:tcPr>
            <w:tcW w:w="1432" w:type="dxa"/>
            <w:noWrap w:val="0"/>
            <w:vAlign w:val="center"/>
          </w:tcPr>
          <w:p w14:paraId="36909C59">
            <w:pPr>
              <w:widowControl/>
              <w:spacing w:line="360" w:lineRule="auto"/>
              <w:jc w:val="center"/>
              <w:rPr>
                <w:rFonts w:ascii="宋体" w:hAnsi="宋体" w:cs="Arial"/>
                <w:b/>
                <w:bCs/>
                <w:sz w:val="24"/>
              </w:rPr>
            </w:pPr>
          </w:p>
        </w:tc>
        <w:tc>
          <w:tcPr>
            <w:tcW w:w="2550" w:type="dxa"/>
            <w:noWrap w:val="0"/>
            <w:vAlign w:val="center"/>
          </w:tcPr>
          <w:p w14:paraId="05D3D5AD">
            <w:pPr>
              <w:widowControl/>
              <w:spacing w:line="360" w:lineRule="auto"/>
              <w:jc w:val="center"/>
              <w:rPr>
                <w:rFonts w:ascii="宋体" w:hAnsi="宋体" w:cs="Arial"/>
                <w:sz w:val="24"/>
              </w:rPr>
            </w:pPr>
          </w:p>
        </w:tc>
        <w:tc>
          <w:tcPr>
            <w:tcW w:w="998" w:type="dxa"/>
            <w:noWrap w:val="0"/>
            <w:vAlign w:val="center"/>
          </w:tcPr>
          <w:p w14:paraId="250FD86D">
            <w:pPr>
              <w:widowControl/>
              <w:spacing w:line="360" w:lineRule="auto"/>
              <w:jc w:val="center"/>
              <w:rPr>
                <w:rFonts w:ascii="宋体" w:hAnsi="宋体" w:cs="Arial"/>
                <w:sz w:val="24"/>
              </w:rPr>
            </w:pPr>
          </w:p>
        </w:tc>
        <w:tc>
          <w:tcPr>
            <w:tcW w:w="2004" w:type="dxa"/>
            <w:noWrap w:val="0"/>
            <w:vAlign w:val="center"/>
          </w:tcPr>
          <w:p w14:paraId="21D3BB83">
            <w:pPr>
              <w:widowControl/>
              <w:spacing w:line="360" w:lineRule="auto"/>
              <w:jc w:val="center"/>
              <w:rPr>
                <w:rFonts w:ascii="宋体" w:hAnsi="宋体" w:cs="Arial"/>
                <w:sz w:val="24"/>
              </w:rPr>
            </w:pPr>
          </w:p>
        </w:tc>
      </w:tr>
      <w:tr w14:paraId="7D05D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46B52A48">
            <w:pPr>
              <w:widowControl/>
              <w:spacing w:line="360" w:lineRule="auto"/>
              <w:jc w:val="center"/>
              <w:rPr>
                <w:rFonts w:ascii="宋体" w:hAnsi="宋体" w:cs="Arial"/>
                <w:sz w:val="24"/>
              </w:rPr>
            </w:pPr>
            <w:r>
              <w:rPr>
                <w:rFonts w:hint="eastAsia" w:ascii="宋体" w:hAnsi="宋体" w:cs="Arial"/>
                <w:sz w:val="24"/>
              </w:rPr>
              <w:t>4</w:t>
            </w:r>
          </w:p>
        </w:tc>
        <w:tc>
          <w:tcPr>
            <w:tcW w:w="1432" w:type="dxa"/>
            <w:noWrap w:val="0"/>
            <w:vAlign w:val="center"/>
          </w:tcPr>
          <w:p w14:paraId="6E76858A">
            <w:pPr>
              <w:widowControl/>
              <w:spacing w:line="360" w:lineRule="auto"/>
              <w:jc w:val="center"/>
              <w:rPr>
                <w:rFonts w:ascii="宋体" w:hAnsi="宋体" w:cs="Arial"/>
                <w:b/>
                <w:bCs/>
                <w:sz w:val="24"/>
              </w:rPr>
            </w:pPr>
          </w:p>
        </w:tc>
        <w:tc>
          <w:tcPr>
            <w:tcW w:w="2550" w:type="dxa"/>
            <w:noWrap w:val="0"/>
            <w:vAlign w:val="center"/>
          </w:tcPr>
          <w:p w14:paraId="0297E8C8">
            <w:pPr>
              <w:widowControl/>
              <w:spacing w:line="360" w:lineRule="auto"/>
              <w:jc w:val="center"/>
              <w:rPr>
                <w:rFonts w:ascii="宋体" w:hAnsi="宋体" w:cs="Arial"/>
                <w:sz w:val="24"/>
              </w:rPr>
            </w:pPr>
          </w:p>
        </w:tc>
        <w:tc>
          <w:tcPr>
            <w:tcW w:w="998" w:type="dxa"/>
            <w:noWrap w:val="0"/>
            <w:vAlign w:val="center"/>
          </w:tcPr>
          <w:p w14:paraId="31398B2B">
            <w:pPr>
              <w:widowControl/>
              <w:spacing w:line="360" w:lineRule="auto"/>
              <w:jc w:val="center"/>
              <w:rPr>
                <w:rFonts w:ascii="宋体" w:hAnsi="宋体" w:cs="Arial"/>
                <w:sz w:val="24"/>
              </w:rPr>
            </w:pPr>
          </w:p>
        </w:tc>
        <w:tc>
          <w:tcPr>
            <w:tcW w:w="2004" w:type="dxa"/>
            <w:noWrap w:val="0"/>
            <w:vAlign w:val="center"/>
          </w:tcPr>
          <w:p w14:paraId="017E196B">
            <w:pPr>
              <w:widowControl/>
              <w:spacing w:line="360" w:lineRule="auto"/>
              <w:jc w:val="center"/>
              <w:rPr>
                <w:rFonts w:ascii="宋体" w:hAnsi="宋体" w:cs="Arial"/>
                <w:sz w:val="24"/>
              </w:rPr>
            </w:pPr>
          </w:p>
        </w:tc>
      </w:tr>
      <w:tr w14:paraId="39528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04161EF1">
            <w:pPr>
              <w:widowControl/>
              <w:spacing w:line="360" w:lineRule="auto"/>
              <w:jc w:val="center"/>
              <w:rPr>
                <w:rFonts w:ascii="宋体" w:hAnsi="宋体" w:cs="Arial"/>
                <w:sz w:val="24"/>
              </w:rPr>
            </w:pPr>
            <w:r>
              <w:rPr>
                <w:rFonts w:hint="eastAsia" w:ascii="宋体" w:hAnsi="宋体" w:cs="Arial"/>
                <w:sz w:val="24"/>
              </w:rPr>
              <w:t>5</w:t>
            </w:r>
          </w:p>
        </w:tc>
        <w:tc>
          <w:tcPr>
            <w:tcW w:w="1432" w:type="dxa"/>
            <w:noWrap w:val="0"/>
            <w:vAlign w:val="center"/>
          </w:tcPr>
          <w:p w14:paraId="28C64023">
            <w:pPr>
              <w:widowControl/>
              <w:spacing w:line="360" w:lineRule="auto"/>
              <w:jc w:val="center"/>
              <w:rPr>
                <w:rFonts w:ascii="宋体" w:hAnsi="宋体" w:cs="Arial"/>
                <w:b/>
                <w:bCs/>
                <w:sz w:val="24"/>
              </w:rPr>
            </w:pPr>
          </w:p>
        </w:tc>
        <w:tc>
          <w:tcPr>
            <w:tcW w:w="2550" w:type="dxa"/>
            <w:noWrap w:val="0"/>
            <w:vAlign w:val="center"/>
          </w:tcPr>
          <w:p w14:paraId="7BE5F1B0">
            <w:pPr>
              <w:widowControl/>
              <w:spacing w:line="360" w:lineRule="auto"/>
              <w:jc w:val="center"/>
              <w:rPr>
                <w:rFonts w:ascii="宋体" w:hAnsi="宋体" w:cs="Arial"/>
                <w:sz w:val="24"/>
              </w:rPr>
            </w:pPr>
          </w:p>
        </w:tc>
        <w:tc>
          <w:tcPr>
            <w:tcW w:w="998" w:type="dxa"/>
            <w:noWrap w:val="0"/>
            <w:vAlign w:val="center"/>
          </w:tcPr>
          <w:p w14:paraId="311B1FAA">
            <w:pPr>
              <w:widowControl/>
              <w:spacing w:line="360" w:lineRule="auto"/>
              <w:jc w:val="center"/>
              <w:rPr>
                <w:rFonts w:ascii="宋体" w:hAnsi="宋体" w:cs="Arial"/>
                <w:sz w:val="24"/>
              </w:rPr>
            </w:pPr>
          </w:p>
        </w:tc>
        <w:tc>
          <w:tcPr>
            <w:tcW w:w="2004" w:type="dxa"/>
            <w:noWrap w:val="0"/>
            <w:vAlign w:val="center"/>
          </w:tcPr>
          <w:p w14:paraId="3E86E06C">
            <w:pPr>
              <w:widowControl/>
              <w:spacing w:line="360" w:lineRule="auto"/>
              <w:jc w:val="center"/>
              <w:rPr>
                <w:rFonts w:ascii="宋体" w:hAnsi="宋体" w:cs="Arial"/>
                <w:sz w:val="24"/>
              </w:rPr>
            </w:pPr>
          </w:p>
        </w:tc>
      </w:tr>
      <w:tr w14:paraId="5D4AE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673" w:type="dxa"/>
            <w:noWrap w:val="0"/>
            <w:vAlign w:val="center"/>
          </w:tcPr>
          <w:p w14:paraId="65C05501">
            <w:pPr>
              <w:widowControl/>
              <w:spacing w:line="360" w:lineRule="auto"/>
              <w:jc w:val="center"/>
              <w:rPr>
                <w:rFonts w:ascii="宋体" w:hAnsi="宋体" w:cs="Arial"/>
                <w:sz w:val="24"/>
              </w:rPr>
            </w:pPr>
            <w:r>
              <w:rPr>
                <w:rFonts w:hint="eastAsia" w:ascii="宋体" w:hAnsi="宋体" w:cs="Arial"/>
                <w:sz w:val="24"/>
              </w:rPr>
              <w:t>……</w:t>
            </w:r>
          </w:p>
        </w:tc>
        <w:tc>
          <w:tcPr>
            <w:tcW w:w="1432" w:type="dxa"/>
            <w:noWrap w:val="0"/>
            <w:vAlign w:val="center"/>
          </w:tcPr>
          <w:p w14:paraId="7685F990">
            <w:pPr>
              <w:widowControl/>
              <w:spacing w:line="360" w:lineRule="auto"/>
              <w:jc w:val="center"/>
              <w:rPr>
                <w:rFonts w:ascii="宋体" w:hAnsi="宋体" w:cs="Arial"/>
                <w:b/>
                <w:bCs/>
                <w:sz w:val="24"/>
              </w:rPr>
            </w:pPr>
          </w:p>
        </w:tc>
        <w:tc>
          <w:tcPr>
            <w:tcW w:w="2550" w:type="dxa"/>
            <w:noWrap w:val="0"/>
            <w:vAlign w:val="center"/>
          </w:tcPr>
          <w:p w14:paraId="36BE5E10">
            <w:pPr>
              <w:widowControl/>
              <w:spacing w:line="360" w:lineRule="auto"/>
              <w:jc w:val="center"/>
              <w:rPr>
                <w:rFonts w:ascii="宋体" w:hAnsi="宋体" w:cs="Arial"/>
                <w:sz w:val="24"/>
              </w:rPr>
            </w:pPr>
          </w:p>
        </w:tc>
        <w:tc>
          <w:tcPr>
            <w:tcW w:w="998" w:type="dxa"/>
            <w:noWrap w:val="0"/>
            <w:vAlign w:val="center"/>
          </w:tcPr>
          <w:p w14:paraId="3C706963">
            <w:pPr>
              <w:widowControl/>
              <w:spacing w:line="360" w:lineRule="auto"/>
              <w:jc w:val="center"/>
              <w:rPr>
                <w:rFonts w:ascii="宋体" w:hAnsi="宋体" w:cs="Arial"/>
                <w:sz w:val="24"/>
              </w:rPr>
            </w:pPr>
          </w:p>
        </w:tc>
        <w:tc>
          <w:tcPr>
            <w:tcW w:w="2004" w:type="dxa"/>
            <w:noWrap w:val="0"/>
            <w:vAlign w:val="center"/>
          </w:tcPr>
          <w:p w14:paraId="4A2299BA">
            <w:pPr>
              <w:widowControl/>
              <w:spacing w:line="360" w:lineRule="auto"/>
              <w:jc w:val="center"/>
              <w:rPr>
                <w:rFonts w:ascii="宋体" w:hAnsi="宋体" w:cs="Arial"/>
                <w:sz w:val="24"/>
              </w:rPr>
            </w:pPr>
          </w:p>
        </w:tc>
      </w:tr>
      <w:tr w14:paraId="18C1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5653" w:type="dxa"/>
            <w:gridSpan w:val="4"/>
            <w:noWrap w:val="0"/>
            <w:vAlign w:val="center"/>
          </w:tcPr>
          <w:p w14:paraId="1297DC68">
            <w:pPr>
              <w:widowControl/>
              <w:spacing w:line="360" w:lineRule="auto"/>
              <w:jc w:val="both"/>
              <w:rPr>
                <w:rFonts w:ascii="宋体" w:hAnsi="宋体" w:cs="Arial"/>
                <w:sz w:val="24"/>
              </w:rPr>
            </w:pPr>
            <w:r>
              <w:rPr>
                <w:rFonts w:hint="eastAsia" w:ascii="宋体" w:hAnsi="宋体" w:cs="Arial"/>
                <w:sz w:val="24"/>
                <w:lang w:val="en-US" w:eastAsia="zh-CN"/>
              </w:rPr>
              <w:t>单年人均保费合计（元）</w:t>
            </w:r>
          </w:p>
        </w:tc>
        <w:tc>
          <w:tcPr>
            <w:tcW w:w="2004" w:type="dxa"/>
            <w:noWrap w:val="0"/>
            <w:vAlign w:val="center"/>
          </w:tcPr>
          <w:p w14:paraId="3E325939">
            <w:pPr>
              <w:widowControl/>
              <w:spacing w:line="360" w:lineRule="auto"/>
              <w:jc w:val="both"/>
              <w:rPr>
                <w:rFonts w:ascii="宋体" w:hAnsi="宋体" w:cs="Arial"/>
                <w:sz w:val="24"/>
              </w:rPr>
            </w:pPr>
          </w:p>
        </w:tc>
      </w:tr>
      <w:tr w14:paraId="51FD0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5653" w:type="dxa"/>
            <w:gridSpan w:val="4"/>
            <w:noWrap w:val="0"/>
            <w:vAlign w:val="center"/>
          </w:tcPr>
          <w:p w14:paraId="0A4A8FE4">
            <w:pPr>
              <w:widowControl/>
              <w:spacing w:line="360" w:lineRule="auto"/>
              <w:jc w:val="both"/>
              <w:rPr>
                <w:rFonts w:ascii="宋体" w:hAnsi="宋体" w:cs="Arial"/>
                <w:sz w:val="24"/>
              </w:rPr>
            </w:pPr>
            <w:r>
              <w:rPr>
                <w:rFonts w:hint="eastAsia" w:ascii="宋体" w:hAnsi="宋体" w:cs="Arial"/>
                <w:sz w:val="24"/>
                <w:lang w:val="en-US" w:eastAsia="zh-CN"/>
              </w:rPr>
              <w:t>总计（2年，按暂定人数2万人计数）</w:t>
            </w:r>
          </w:p>
        </w:tc>
        <w:tc>
          <w:tcPr>
            <w:tcW w:w="2004" w:type="dxa"/>
            <w:noWrap w:val="0"/>
            <w:vAlign w:val="center"/>
          </w:tcPr>
          <w:p w14:paraId="7C9A8060">
            <w:pPr>
              <w:widowControl/>
              <w:spacing w:line="360" w:lineRule="auto"/>
              <w:jc w:val="both"/>
              <w:rPr>
                <w:rFonts w:ascii="宋体" w:hAnsi="宋体" w:cs="Arial"/>
                <w:sz w:val="24"/>
              </w:rPr>
            </w:pPr>
          </w:p>
        </w:tc>
      </w:tr>
    </w:tbl>
    <w:p w14:paraId="102C7BB8">
      <w:pPr>
        <w:tabs>
          <w:tab w:val="left" w:pos="1800"/>
          <w:tab w:val="left" w:pos="5580"/>
        </w:tabs>
        <w:jc w:val="left"/>
        <w:rPr>
          <w:rFonts w:hint="eastAsia"/>
          <w:color w:val="000000"/>
          <w:sz w:val="24"/>
        </w:rPr>
      </w:pPr>
    </w:p>
    <w:p w14:paraId="078E078B">
      <w:pPr>
        <w:tabs>
          <w:tab w:val="left" w:pos="1800"/>
          <w:tab w:val="left" w:pos="5580"/>
        </w:tabs>
        <w:jc w:val="left"/>
        <w:rPr>
          <w:rFonts w:hint="eastAsia"/>
          <w:color w:val="000000"/>
          <w:sz w:val="24"/>
        </w:rPr>
      </w:pPr>
    </w:p>
    <w:p w14:paraId="0A4FB1DF">
      <w:pPr>
        <w:tabs>
          <w:tab w:val="left" w:pos="1800"/>
          <w:tab w:val="left" w:pos="5580"/>
        </w:tabs>
        <w:jc w:val="left"/>
        <w:rPr>
          <w:color w:val="000000"/>
          <w:sz w:val="24"/>
        </w:rPr>
      </w:pPr>
      <w:r>
        <w:rPr>
          <w:color w:val="000000"/>
          <w:sz w:val="24"/>
        </w:rPr>
        <w:t>注：1.本表应按包分别填写。</w:t>
      </w:r>
    </w:p>
    <w:p w14:paraId="6C3692D3">
      <w:pPr>
        <w:tabs>
          <w:tab w:val="left" w:pos="1800"/>
          <w:tab w:val="left" w:pos="5580"/>
        </w:tabs>
        <w:ind w:firstLine="480"/>
        <w:jc w:val="lef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2.</w:t>
      </w:r>
      <w:r>
        <w:rPr>
          <w:rFonts w:hint="eastAsia" w:ascii="Times New Roman" w:hAnsi="Times New Roman" w:eastAsia="宋体" w:cs="Times New Roman"/>
          <w:color w:val="000000"/>
          <w:sz w:val="24"/>
          <w:lang w:val="en-US" w:eastAsia="zh-CN"/>
        </w:rPr>
        <w:t>如有分项报价则自行填写，若无此项可不填。</w:t>
      </w:r>
    </w:p>
    <w:p w14:paraId="1612C7C1">
      <w:pPr>
        <w:tabs>
          <w:tab w:val="left" w:pos="1800"/>
          <w:tab w:val="left" w:pos="5580"/>
        </w:tabs>
        <w:ind w:firstLine="480"/>
        <w:jc w:val="left"/>
        <w:rPr>
          <w:rFonts w:hint="eastAsia"/>
          <w:color w:val="000000"/>
          <w:sz w:val="24"/>
        </w:rPr>
      </w:pPr>
      <w:r>
        <w:rPr>
          <w:color w:val="000000"/>
          <w:sz w:val="24"/>
        </w:rPr>
        <w:t>3.</w:t>
      </w:r>
      <w:r>
        <w:rPr>
          <w:rFonts w:hint="eastAsia"/>
          <w:color w:val="000000"/>
          <w:sz w:val="24"/>
        </w:rPr>
        <w:t>本表行数可以按照项目分项情况增加。</w:t>
      </w:r>
    </w:p>
    <w:p w14:paraId="1798F46E">
      <w:pPr>
        <w:tabs>
          <w:tab w:val="left" w:pos="1800"/>
          <w:tab w:val="left" w:pos="5580"/>
        </w:tabs>
        <w:ind w:firstLine="48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10E4802E">
      <w:pPr>
        <w:spacing w:before="25" w:after="25" w:line="360" w:lineRule="auto"/>
        <w:rPr>
          <w:color w:val="000000"/>
          <w:sz w:val="24"/>
          <w:lang w:val="zh-CN"/>
        </w:rPr>
      </w:pPr>
      <w:r>
        <w:rPr>
          <w:color w:val="000000"/>
          <w:sz w:val="24"/>
          <w:lang w:val="zh-CN"/>
        </w:rPr>
        <w:t xml:space="preserve">    </w:t>
      </w:r>
      <w:r>
        <w:rPr>
          <w:rFonts w:hint="eastAsia"/>
          <w:color w:val="000000"/>
          <w:sz w:val="24"/>
          <w:lang w:val="en-US" w:eastAsia="zh-CN"/>
        </w:rPr>
        <w:t>5.上述表中人数是暂定，最终以实际参保人数为准。</w:t>
      </w:r>
      <w:r>
        <w:rPr>
          <w:color w:val="000000"/>
          <w:sz w:val="24"/>
          <w:lang w:val="zh-CN"/>
        </w:rPr>
        <w:t xml:space="preserve">          </w:t>
      </w:r>
    </w:p>
    <w:p w14:paraId="1CF0EA80">
      <w:pPr>
        <w:spacing w:before="25" w:after="25" w:line="360" w:lineRule="auto"/>
        <w:rPr>
          <w:color w:val="000000"/>
          <w:sz w:val="24"/>
        </w:rPr>
      </w:pPr>
    </w:p>
    <w:p w14:paraId="64B7F4C6">
      <w:pPr>
        <w:spacing w:before="25" w:after="25" w:line="360" w:lineRule="auto"/>
        <w:rPr>
          <w:color w:val="000000"/>
          <w:sz w:val="24"/>
        </w:rPr>
      </w:pPr>
    </w:p>
    <w:p w14:paraId="45100330">
      <w:pPr>
        <w:spacing w:before="25" w:after="25" w:line="360" w:lineRule="auto"/>
        <w:ind w:firstLine="480"/>
        <w:rPr>
          <w:color w:val="000000"/>
          <w:sz w:val="24"/>
          <w:lang w:val="zh-CN"/>
        </w:rPr>
      </w:pPr>
      <w:r>
        <w:rPr>
          <w:color w:val="000000"/>
          <w:sz w:val="24"/>
        </w:rPr>
        <w:t>投标人名称（加盖公章）</w:t>
      </w:r>
      <w:r>
        <w:rPr>
          <w:color w:val="000000"/>
          <w:sz w:val="24"/>
          <w:lang w:val="zh-CN"/>
        </w:rPr>
        <w:t>：____________</w:t>
      </w:r>
    </w:p>
    <w:p w14:paraId="35FFFBBF">
      <w:pPr>
        <w:spacing w:before="25" w:after="25" w:line="360" w:lineRule="auto"/>
        <w:ind w:firstLine="480"/>
        <w:rPr>
          <w:color w:val="000000"/>
          <w:sz w:val="24"/>
          <w:lang w:val="zh-CN"/>
        </w:rPr>
      </w:pPr>
      <w:r>
        <w:rPr>
          <w:color w:val="000000"/>
          <w:sz w:val="24"/>
          <w:szCs w:val="20"/>
        </w:rPr>
        <w:t xml:space="preserve">日期：_____年______月______日   </w:t>
      </w:r>
    </w:p>
    <w:p w14:paraId="01170EC6">
      <w:pPr>
        <w:widowControl/>
        <w:jc w:val="left"/>
        <w:rPr>
          <w:rFonts w:hint="eastAsia" w:ascii="宋体" w:hAnsi="宋体" w:eastAsia="宋体" w:cs="宋体"/>
          <w:color w:val="000000"/>
          <w:sz w:val="24"/>
          <w:szCs w:val="20"/>
          <w:highlight w:val="none"/>
        </w:rPr>
      </w:pPr>
    </w:p>
    <w:p w14:paraId="19217923">
      <w:pPr>
        <w:widowControl/>
        <w:jc w:val="left"/>
        <w:rPr>
          <w:rFonts w:hint="eastAsia" w:ascii="宋体" w:hAnsi="宋体" w:eastAsia="宋体" w:cs="宋体"/>
          <w:color w:val="000000"/>
          <w:sz w:val="24"/>
          <w:szCs w:val="24"/>
          <w:highlight w:val="none"/>
        </w:rPr>
      </w:pPr>
    </w:p>
    <w:p w14:paraId="51604FFD">
      <w:pPr>
        <w:widowControl/>
        <w:jc w:val="left"/>
        <w:rPr>
          <w:rFonts w:hint="eastAsia" w:ascii="宋体" w:hAnsi="宋体" w:eastAsia="宋体" w:cs="宋体"/>
          <w:color w:val="000000"/>
          <w:sz w:val="24"/>
          <w:szCs w:val="24"/>
          <w:highlight w:val="none"/>
        </w:rPr>
      </w:pPr>
    </w:p>
    <w:bookmarkEnd w:id="812"/>
    <w:bookmarkEnd w:id="813"/>
    <w:bookmarkEnd w:id="814"/>
    <w:bookmarkEnd w:id="815"/>
    <w:bookmarkEnd w:id="816"/>
    <w:bookmarkEnd w:id="817"/>
    <w:bookmarkEnd w:id="818"/>
    <w:bookmarkEnd w:id="819"/>
    <w:bookmarkEnd w:id="820"/>
    <w:bookmarkEnd w:id="821"/>
    <w:bookmarkEnd w:id="822"/>
    <w:bookmarkEnd w:id="823"/>
    <w:bookmarkEnd w:id="824"/>
    <w:p w14:paraId="5AE12CB8">
      <w:pPr>
        <w:spacing w:before="25" w:after="25" w:line="360" w:lineRule="auto"/>
        <w:rPr>
          <w:rFonts w:hint="eastAsia" w:ascii="宋体" w:hAnsi="宋体" w:eastAsia="宋体" w:cs="宋体"/>
          <w:color w:val="000000"/>
          <w:sz w:val="24"/>
          <w:szCs w:val="24"/>
          <w:highlight w:val="none"/>
          <w:lang w:val="en-US" w:eastAsia="zh-CN"/>
        </w:rPr>
      </w:pPr>
      <w:bookmarkStart w:id="860" w:name="_Toc305158829"/>
      <w:bookmarkStart w:id="861" w:name="_Toc127151561"/>
      <w:bookmarkStart w:id="862" w:name="_Toc127151562"/>
      <w:bookmarkStart w:id="863" w:name="_Toc226337258"/>
      <w:bookmarkStart w:id="864" w:name="_Toc142311061"/>
      <w:bookmarkStart w:id="865" w:name="_Toc226309805"/>
      <w:bookmarkStart w:id="866" w:name="_Toc226965834"/>
      <w:bookmarkStart w:id="867" w:name="_Toc195842926"/>
      <w:bookmarkStart w:id="868" w:name="_Toc305158903"/>
      <w:bookmarkStart w:id="869" w:name="_Toc226965835"/>
      <w:bookmarkStart w:id="870" w:name="_Toc226309806"/>
      <w:bookmarkStart w:id="871" w:name="_Toc195842927"/>
      <w:bookmarkStart w:id="872" w:name="_Toc150480798"/>
      <w:bookmarkStart w:id="873" w:name="_Toc226965752"/>
      <w:bookmarkStart w:id="874" w:name="_Toc150480797"/>
      <w:bookmarkStart w:id="875" w:name="_Toc305158830"/>
      <w:bookmarkStart w:id="876" w:name="_Toc150774765"/>
      <w:bookmarkStart w:id="877" w:name="_Toc265228400"/>
      <w:bookmarkStart w:id="878" w:name="_Toc264969252"/>
      <w:bookmarkStart w:id="879" w:name="_Toc264969251"/>
      <w:bookmarkStart w:id="880" w:name="_Toc142311062"/>
      <w:bookmarkStart w:id="881" w:name="_Toc226965751"/>
      <w:bookmarkStart w:id="882" w:name="_Toc150774764"/>
      <w:bookmarkStart w:id="883" w:name="_Toc226337257"/>
      <w:bookmarkStart w:id="884" w:name="_Toc305158904"/>
      <w:bookmarkStart w:id="885" w:name="_Toc265228399"/>
    </w:p>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14:paraId="26C601D3">
      <w:pPr>
        <w:rPr>
          <w:rFonts w:hint="eastAsia"/>
          <w:lang w:val="en-US" w:eastAsia="zh-CN"/>
        </w:rPr>
      </w:pPr>
    </w:p>
    <w:p w14:paraId="2172BAB4">
      <w:pPr>
        <w:spacing w:line="360" w:lineRule="auto"/>
        <w:outlineLvl w:val="2"/>
        <w:rPr>
          <w:color w:val="000000"/>
          <w:sz w:val="24"/>
          <w:szCs w:val="20"/>
        </w:rPr>
      </w:pPr>
      <w:r>
        <w:rPr>
          <w:rFonts w:hint="eastAsia"/>
          <w:color w:val="000000"/>
          <w:sz w:val="24"/>
          <w:szCs w:val="20"/>
        </w:rPr>
        <w:t>6</w:t>
      </w:r>
      <w:r>
        <w:rPr>
          <w:color w:val="000000"/>
          <w:sz w:val="24"/>
          <w:szCs w:val="20"/>
        </w:rPr>
        <w:t xml:space="preserve">  合同条款偏离表（实质性格式）</w:t>
      </w:r>
    </w:p>
    <w:p w14:paraId="44428C3C">
      <w:pPr>
        <w:spacing w:line="360" w:lineRule="auto"/>
        <w:rPr>
          <w:color w:val="000000"/>
          <w:sz w:val="24"/>
          <w:szCs w:val="20"/>
        </w:rPr>
      </w:pPr>
    </w:p>
    <w:p w14:paraId="2127D53F">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62F9B4B9">
      <w:pPr>
        <w:spacing w:line="360" w:lineRule="auto"/>
        <w:rPr>
          <w:color w:val="000000"/>
          <w:sz w:val="24"/>
          <w:szCs w:val="20"/>
        </w:rPr>
      </w:pPr>
    </w:p>
    <w:p w14:paraId="712854D6">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431F4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9288" w:type="dxa"/>
            <w:gridSpan w:val="6"/>
            <w:noWrap w:val="0"/>
            <w:vAlign w:val="center"/>
          </w:tcPr>
          <w:p w14:paraId="244B0E94">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5A3DFF12">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2E770623">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1881B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16BBB92">
            <w:pPr>
              <w:jc w:val="center"/>
              <w:rPr>
                <w:color w:val="000000"/>
                <w:sz w:val="24"/>
              </w:rPr>
            </w:pPr>
            <w:r>
              <w:rPr>
                <w:color w:val="000000"/>
                <w:sz w:val="24"/>
              </w:rPr>
              <w:t>序号</w:t>
            </w:r>
          </w:p>
        </w:tc>
        <w:tc>
          <w:tcPr>
            <w:tcW w:w="1301" w:type="dxa"/>
            <w:noWrap w:val="0"/>
            <w:vAlign w:val="center"/>
          </w:tcPr>
          <w:p w14:paraId="47AB5C9A">
            <w:pPr>
              <w:jc w:val="center"/>
              <w:rPr>
                <w:color w:val="000000"/>
                <w:sz w:val="24"/>
              </w:rPr>
            </w:pPr>
            <w:r>
              <w:rPr>
                <w:color w:val="000000"/>
                <w:sz w:val="24"/>
                <w:szCs w:val="21"/>
              </w:rPr>
              <w:t>招标文件</w:t>
            </w:r>
            <w:r>
              <w:rPr>
                <w:color w:val="000000"/>
                <w:sz w:val="24"/>
              </w:rPr>
              <w:t>条目号（页码）</w:t>
            </w:r>
          </w:p>
        </w:tc>
        <w:tc>
          <w:tcPr>
            <w:tcW w:w="2007" w:type="dxa"/>
            <w:noWrap w:val="0"/>
            <w:vAlign w:val="center"/>
          </w:tcPr>
          <w:p w14:paraId="5535CF75">
            <w:pPr>
              <w:jc w:val="center"/>
              <w:rPr>
                <w:color w:val="000000"/>
                <w:sz w:val="24"/>
              </w:rPr>
            </w:pPr>
            <w:r>
              <w:rPr>
                <w:color w:val="000000"/>
                <w:sz w:val="24"/>
                <w:szCs w:val="21"/>
              </w:rPr>
              <w:t>招标文件</w:t>
            </w:r>
            <w:r>
              <w:rPr>
                <w:color w:val="000000"/>
                <w:sz w:val="24"/>
              </w:rPr>
              <w:t>要求</w:t>
            </w:r>
          </w:p>
        </w:tc>
        <w:tc>
          <w:tcPr>
            <w:tcW w:w="2008" w:type="dxa"/>
            <w:noWrap w:val="0"/>
            <w:vAlign w:val="center"/>
          </w:tcPr>
          <w:p w14:paraId="731F7B14">
            <w:pPr>
              <w:jc w:val="center"/>
              <w:rPr>
                <w:color w:val="000000"/>
                <w:sz w:val="24"/>
              </w:rPr>
            </w:pPr>
            <w:r>
              <w:rPr>
                <w:color w:val="000000"/>
                <w:sz w:val="24"/>
              </w:rPr>
              <w:t>投标文件内容</w:t>
            </w:r>
          </w:p>
        </w:tc>
        <w:tc>
          <w:tcPr>
            <w:tcW w:w="2458" w:type="dxa"/>
            <w:noWrap w:val="0"/>
            <w:vAlign w:val="center"/>
          </w:tcPr>
          <w:p w14:paraId="2D0EB647">
            <w:pPr>
              <w:jc w:val="center"/>
              <w:rPr>
                <w:color w:val="000000"/>
                <w:sz w:val="24"/>
              </w:rPr>
            </w:pPr>
            <w:r>
              <w:rPr>
                <w:color w:val="000000"/>
                <w:sz w:val="24"/>
              </w:rPr>
              <w:t>偏离情况</w:t>
            </w:r>
          </w:p>
        </w:tc>
        <w:tc>
          <w:tcPr>
            <w:tcW w:w="788" w:type="dxa"/>
            <w:noWrap w:val="0"/>
            <w:vAlign w:val="center"/>
          </w:tcPr>
          <w:p w14:paraId="116ADA15">
            <w:pPr>
              <w:jc w:val="center"/>
              <w:rPr>
                <w:color w:val="000000"/>
                <w:sz w:val="24"/>
              </w:rPr>
            </w:pPr>
            <w:r>
              <w:rPr>
                <w:color w:val="000000"/>
                <w:sz w:val="24"/>
              </w:rPr>
              <w:t>说明</w:t>
            </w:r>
          </w:p>
        </w:tc>
      </w:tr>
      <w:tr w14:paraId="61CAD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75166C">
            <w:pPr>
              <w:jc w:val="center"/>
              <w:rPr>
                <w:color w:val="000000"/>
                <w:sz w:val="24"/>
              </w:rPr>
            </w:pPr>
          </w:p>
        </w:tc>
        <w:tc>
          <w:tcPr>
            <w:tcW w:w="1301" w:type="dxa"/>
            <w:noWrap w:val="0"/>
            <w:vAlign w:val="center"/>
          </w:tcPr>
          <w:p w14:paraId="5AFAF826">
            <w:pPr>
              <w:jc w:val="center"/>
              <w:rPr>
                <w:color w:val="000000"/>
                <w:sz w:val="24"/>
              </w:rPr>
            </w:pPr>
          </w:p>
        </w:tc>
        <w:tc>
          <w:tcPr>
            <w:tcW w:w="2007" w:type="dxa"/>
            <w:noWrap w:val="0"/>
            <w:vAlign w:val="center"/>
          </w:tcPr>
          <w:p w14:paraId="34C50081">
            <w:pPr>
              <w:jc w:val="center"/>
              <w:rPr>
                <w:color w:val="000000"/>
                <w:sz w:val="24"/>
              </w:rPr>
            </w:pPr>
          </w:p>
        </w:tc>
        <w:tc>
          <w:tcPr>
            <w:tcW w:w="2008" w:type="dxa"/>
            <w:noWrap w:val="0"/>
            <w:vAlign w:val="center"/>
          </w:tcPr>
          <w:p w14:paraId="676B8F01">
            <w:pPr>
              <w:jc w:val="center"/>
              <w:rPr>
                <w:color w:val="000000"/>
                <w:sz w:val="24"/>
              </w:rPr>
            </w:pPr>
          </w:p>
        </w:tc>
        <w:tc>
          <w:tcPr>
            <w:tcW w:w="2458" w:type="dxa"/>
            <w:noWrap w:val="0"/>
            <w:vAlign w:val="center"/>
          </w:tcPr>
          <w:p w14:paraId="6B25E1F2">
            <w:pPr>
              <w:jc w:val="center"/>
              <w:rPr>
                <w:color w:val="000000"/>
                <w:sz w:val="24"/>
              </w:rPr>
            </w:pPr>
          </w:p>
        </w:tc>
        <w:tc>
          <w:tcPr>
            <w:tcW w:w="788" w:type="dxa"/>
            <w:noWrap w:val="0"/>
            <w:vAlign w:val="center"/>
          </w:tcPr>
          <w:p w14:paraId="4DFCC7BD">
            <w:pPr>
              <w:jc w:val="center"/>
              <w:rPr>
                <w:color w:val="000000"/>
                <w:sz w:val="24"/>
              </w:rPr>
            </w:pPr>
          </w:p>
        </w:tc>
      </w:tr>
      <w:tr w14:paraId="391DD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40C47BE">
            <w:pPr>
              <w:jc w:val="center"/>
              <w:rPr>
                <w:color w:val="000000"/>
                <w:sz w:val="24"/>
              </w:rPr>
            </w:pPr>
          </w:p>
        </w:tc>
        <w:tc>
          <w:tcPr>
            <w:tcW w:w="1301" w:type="dxa"/>
            <w:noWrap w:val="0"/>
            <w:vAlign w:val="center"/>
          </w:tcPr>
          <w:p w14:paraId="4E66EA02">
            <w:pPr>
              <w:jc w:val="center"/>
              <w:rPr>
                <w:color w:val="000000"/>
                <w:sz w:val="24"/>
              </w:rPr>
            </w:pPr>
          </w:p>
        </w:tc>
        <w:tc>
          <w:tcPr>
            <w:tcW w:w="2007" w:type="dxa"/>
            <w:noWrap w:val="0"/>
            <w:vAlign w:val="center"/>
          </w:tcPr>
          <w:p w14:paraId="41E97041">
            <w:pPr>
              <w:jc w:val="center"/>
              <w:rPr>
                <w:color w:val="000000"/>
                <w:sz w:val="24"/>
              </w:rPr>
            </w:pPr>
          </w:p>
        </w:tc>
        <w:tc>
          <w:tcPr>
            <w:tcW w:w="2008" w:type="dxa"/>
            <w:noWrap w:val="0"/>
            <w:vAlign w:val="center"/>
          </w:tcPr>
          <w:p w14:paraId="7066D335">
            <w:pPr>
              <w:jc w:val="center"/>
              <w:rPr>
                <w:color w:val="000000"/>
                <w:sz w:val="24"/>
              </w:rPr>
            </w:pPr>
          </w:p>
        </w:tc>
        <w:tc>
          <w:tcPr>
            <w:tcW w:w="2458" w:type="dxa"/>
            <w:noWrap w:val="0"/>
            <w:vAlign w:val="center"/>
          </w:tcPr>
          <w:p w14:paraId="625C4F74">
            <w:pPr>
              <w:jc w:val="center"/>
              <w:rPr>
                <w:color w:val="000000"/>
                <w:sz w:val="24"/>
              </w:rPr>
            </w:pPr>
          </w:p>
        </w:tc>
        <w:tc>
          <w:tcPr>
            <w:tcW w:w="788" w:type="dxa"/>
            <w:noWrap w:val="0"/>
            <w:vAlign w:val="center"/>
          </w:tcPr>
          <w:p w14:paraId="56A94ED2">
            <w:pPr>
              <w:jc w:val="center"/>
              <w:rPr>
                <w:color w:val="000000"/>
                <w:sz w:val="24"/>
              </w:rPr>
            </w:pPr>
          </w:p>
        </w:tc>
      </w:tr>
      <w:tr w14:paraId="3BBC1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AF2732B">
            <w:pPr>
              <w:jc w:val="center"/>
              <w:rPr>
                <w:color w:val="000000"/>
                <w:sz w:val="24"/>
              </w:rPr>
            </w:pPr>
          </w:p>
        </w:tc>
        <w:tc>
          <w:tcPr>
            <w:tcW w:w="1301" w:type="dxa"/>
            <w:noWrap w:val="0"/>
            <w:vAlign w:val="center"/>
          </w:tcPr>
          <w:p w14:paraId="29F33E7E">
            <w:pPr>
              <w:jc w:val="center"/>
              <w:rPr>
                <w:color w:val="000000"/>
                <w:sz w:val="24"/>
              </w:rPr>
            </w:pPr>
          </w:p>
        </w:tc>
        <w:tc>
          <w:tcPr>
            <w:tcW w:w="2007" w:type="dxa"/>
            <w:noWrap w:val="0"/>
            <w:vAlign w:val="center"/>
          </w:tcPr>
          <w:p w14:paraId="32FDE807">
            <w:pPr>
              <w:jc w:val="center"/>
              <w:rPr>
                <w:color w:val="000000"/>
                <w:sz w:val="24"/>
              </w:rPr>
            </w:pPr>
          </w:p>
        </w:tc>
        <w:tc>
          <w:tcPr>
            <w:tcW w:w="2008" w:type="dxa"/>
            <w:noWrap w:val="0"/>
            <w:vAlign w:val="center"/>
          </w:tcPr>
          <w:p w14:paraId="1493F271">
            <w:pPr>
              <w:jc w:val="center"/>
              <w:rPr>
                <w:color w:val="000000"/>
                <w:sz w:val="24"/>
              </w:rPr>
            </w:pPr>
          </w:p>
        </w:tc>
        <w:tc>
          <w:tcPr>
            <w:tcW w:w="2458" w:type="dxa"/>
            <w:noWrap w:val="0"/>
            <w:vAlign w:val="center"/>
          </w:tcPr>
          <w:p w14:paraId="5AF7DBE2">
            <w:pPr>
              <w:jc w:val="center"/>
              <w:rPr>
                <w:color w:val="000000"/>
                <w:sz w:val="24"/>
              </w:rPr>
            </w:pPr>
          </w:p>
        </w:tc>
        <w:tc>
          <w:tcPr>
            <w:tcW w:w="788" w:type="dxa"/>
            <w:noWrap w:val="0"/>
            <w:vAlign w:val="center"/>
          </w:tcPr>
          <w:p w14:paraId="79E3875C">
            <w:pPr>
              <w:jc w:val="center"/>
              <w:rPr>
                <w:color w:val="000000"/>
                <w:sz w:val="24"/>
              </w:rPr>
            </w:pPr>
          </w:p>
        </w:tc>
      </w:tr>
      <w:tr w14:paraId="30C3E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DCB3CD6">
            <w:pPr>
              <w:jc w:val="center"/>
              <w:rPr>
                <w:color w:val="000000"/>
                <w:sz w:val="24"/>
              </w:rPr>
            </w:pPr>
            <w:r>
              <w:rPr>
                <w:color w:val="000000"/>
                <w:sz w:val="24"/>
              </w:rPr>
              <w:t>……</w:t>
            </w:r>
          </w:p>
        </w:tc>
        <w:tc>
          <w:tcPr>
            <w:tcW w:w="1301" w:type="dxa"/>
            <w:noWrap w:val="0"/>
            <w:vAlign w:val="center"/>
          </w:tcPr>
          <w:p w14:paraId="0002F029">
            <w:pPr>
              <w:jc w:val="center"/>
              <w:rPr>
                <w:color w:val="000000"/>
                <w:sz w:val="24"/>
              </w:rPr>
            </w:pPr>
          </w:p>
        </w:tc>
        <w:tc>
          <w:tcPr>
            <w:tcW w:w="2007" w:type="dxa"/>
            <w:noWrap w:val="0"/>
            <w:vAlign w:val="center"/>
          </w:tcPr>
          <w:p w14:paraId="768EDBA7">
            <w:pPr>
              <w:jc w:val="center"/>
              <w:rPr>
                <w:color w:val="000000"/>
                <w:sz w:val="24"/>
              </w:rPr>
            </w:pPr>
          </w:p>
        </w:tc>
        <w:tc>
          <w:tcPr>
            <w:tcW w:w="2008" w:type="dxa"/>
            <w:noWrap w:val="0"/>
            <w:vAlign w:val="center"/>
          </w:tcPr>
          <w:p w14:paraId="4982A151">
            <w:pPr>
              <w:jc w:val="center"/>
              <w:rPr>
                <w:color w:val="000000"/>
                <w:sz w:val="24"/>
              </w:rPr>
            </w:pPr>
          </w:p>
        </w:tc>
        <w:tc>
          <w:tcPr>
            <w:tcW w:w="2458" w:type="dxa"/>
            <w:noWrap w:val="0"/>
            <w:vAlign w:val="center"/>
          </w:tcPr>
          <w:p w14:paraId="2EB85CFE">
            <w:pPr>
              <w:jc w:val="center"/>
              <w:rPr>
                <w:color w:val="000000"/>
                <w:sz w:val="24"/>
              </w:rPr>
            </w:pPr>
          </w:p>
        </w:tc>
        <w:tc>
          <w:tcPr>
            <w:tcW w:w="788" w:type="dxa"/>
            <w:noWrap w:val="0"/>
            <w:vAlign w:val="center"/>
          </w:tcPr>
          <w:p w14:paraId="475DFBD6">
            <w:pPr>
              <w:jc w:val="center"/>
              <w:rPr>
                <w:color w:val="000000"/>
                <w:sz w:val="24"/>
              </w:rPr>
            </w:pPr>
          </w:p>
        </w:tc>
      </w:tr>
    </w:tbl>
    <w:p w14:paraId="426F61D9">
      <w:pPr>
        <w:tabs>
          <w:tab w:val="left" w:pos="1800"/>
          <w:tab w:val="left" w:pos="5580"/>
        </w:tabs>
        <w:jc w:val="left"/>
        <w:rPr>
          <w:color w:val="000000"/>
          <w:sz w:val="24"/>
        </w:rPr>
      </w:pPr>
    </w:p>
    <w:p w14:paraId="11C3A099">
      <w:pPr>
        <w:tabs>
          <w:tab w:val="left" w:pos="1800"/>
          <w:tab w:val="left" w:pos="5580"/>
        </w:tabs>
        <w:jc w:val="left"/>
        <w:rPr>
          <w:color w:val="000000"/>
          <w:sz w:val="24"/>
        </w:rPr>
      </w:pPr>
      <w:r>
        <w:rPr>
          <w:color w:val="000000"/>
          <w:sz w:val="24"/>
        </w:rPr>
        <w:t>注：</w:t>
      </w:r>
    </w:p>
    <w:p w14:paraId="726F95F5">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24666287">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AEE58CB">
      <w:pPr>
        <w:spacing w:line="360" w:lineRule="auto"/>
        <w:rPr>
          <w:color w:val="000000"/>
          <w:sz w:val="24"/>
          <w:szCs w:val="20"/>
        </w:rPr>
      </w:pPr>
    </w:p>
    <w:p w14:paraId="35BC5871">
      <w:pPr>
        <w:spacing w:before="25" w:after="25" w:line="360" w:lineRule="auto"/>
        <w:rPr>
          <w:color w:val="000000"/>
          <w:sz w:val="24"/>
          <w:lang w:val="zh-CN"/>
        </w:rPr>
      </w:pPr>
      <w:r>
        <w:rPr>
          <w:color w:val="000000"/>
          <w:sz w:val="24"/>
          <w:lang w:val="zh-CN"/>
        </w:rPr>
        <w:t xml:space="preserve">                      </w:t>
      </w:r>
    </w:p>
    <w:p w14:paraId="6B28D35A">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389EEDE">
      <w:pPr>
        <w:spacing w:before="25" w:after="25" w:line="360" w:lineRule="auto"/>
        <w:rPr>
          <w:color w:val="000000"/>
          <w:sz w:val="24"/>
          <w:lang w:val="zh-CN"/>
        </w:rPr>
      </w:pPr>
      <w:r>
        <w:rPr>
          <w:color w:val="000000"/>
          <w:sz w:val="24"/>
          <w:szCs w:val="20"/>
        </w:rPr>
        <w:t xml:space="preserve">日期：_____年______月______日   </w:t>
      </w:r>
    </w:p>
    <w:p w14:paraId="576E32B1">
      <w:pPr>
        <w:spacing w:before="25" w:after="25" w:line="360" w:lineRule="auto"/>
        <w:rPr>
          <w:rFonts w:hint="eastAsia" w:ascii="宋体" w:hAnsi="宋体" w:eastAsia="宋体" w:cs="宋体"/>
          <w:color w:val="000000"/>
          <w:sz w:val="24"/>
          <w:szCs w:val="24"/>
          <w:highlight w:val="none"/>
          <w:lang w:val="en-US" w:eastAsia="zh-CN"/>
        </w:rPr>
      </w:pPr>
    </w:p>
    <w:p w14:paraId="44CF2BF2">
      <w:pPr>
        <w:spacing w:before="25" w:after="25" w:line="360" w:lineRule="auto"/>
        <w:rPr>
          <w:rFonts w:hint="eastAsia" w:ascii="宋体" w:hAnsi="宋体" w:eastAsia="宋体" w:cs="宋体"/>
          <w:color w:val="000000"/>
          <w:sz w:val="24"/>
          <w:szCs w:val="24"/>
          <w:highlight w:val="none"/>
          <w:lang w:val="en-US" w:eastAsia="zh-CN"/>
        </w:rPr>
      </w:pPr>
    </w:p>
    <w:p w14:paraId="2B28C1A0">
      <w:pPr>
        <w:spacing w:before="25" w:after="25" w:line="360" w:lineRule="auto"/>
        <w:rPr>
          <w:rFonts w:hint="eastAsia" w:ascii="宋体" w:hAnsi="宋体" w:eastAsia="宋体" w:cs="宋体"/>
          <w:color w:val="000000"/>
          <w:sz w:val="24"/>
          <w:szCs w:val="24"/>
          <w:highlight w:val="none"/>
          <w:lang w:val="en-US" w:eastAsia="zh-CN"/>
        </w:rPr>
      </w:pPr>
    </w:p>
    <w:p w14:paraId="3522A0F7">
      <w:pPr>
        <w:spacing w:before="25" w:after="25" w:line="360" w:lineRule="auto"/>
        <w:rPr>
          <w:rFonts w:hint="eastAsia" w:ascii="宋体" w:hAnsi="宋体" w:eastAsia="宋体" w:cs="宋体"/>
          <w:color w:val="000000"/>
          <w:sz w:val="24"/>
          <w:szCs w:val="24"/>
          <w:highlight w:val="none"/>
          <w:lang w:val="en-US" w:eastAsia="zh-CN"/>
        </w:rPr>
      </w:pPr>
    </w:p>
    <w:p w14:paraId="18AC8B5F">
      <w:pPr>
        <w:spacing w:before="25" w:after="25" w:line="360" w:lineRule="auto"/>
        <w:rPr>
          <w:rFonts w:hint="eastAsia" w:ascii="宋体" w:hAnsi="宋体" w:eastAsia="宋体" w:cs="宋体"/>
          <w:color w:val="000000"/>
          <w:sz w:val="24"/>
          <w:szCs w:val="24"/>
          <w:highlight w:val="none"/>
          <w:lang w:val="en-US" w:eastAsia="zh-CN"/>
        </w:rPr>
      </w:pPr>
    </w:p>
    <w:p w14:paraId="62E68DAB">
      <w:pPr>
        <w:spacing w:line="360" w:lineRule="auto"/>
        <w:outlineLvl w:val="2"/>
        <w:rPr>
          <w:color w:val="000000"/>
          <w:sz w:val="24"/>
          <w:szCs w:val="20"/>
        </w:rPr>
      </w:pPr>
      <w:r>
        <w:rPr>
          <w:rFonts w:hint="eastAsia"/>
          <w:color w:val="000000"/>
          <w:sz w:val="24"/>
          <w:szCs w:val="20"/>
        </w:rPr>
        <w:t>7</w:t>
      </w:r>
      <w:r>
        <w:rPr>
          <w:color w:val="000000"/>
          <w:sz w:val="24"/>
          <w:szCs w:val="20"/>
        </w:rPr>
        <w:t xml:space="preserve">  采购需求偏离表（实质性格式）</w:t>
      </w:r>
    </w:p>
    <w:p w14:paraId="58D6976A">
      <w:pPr>
        <w:spacing w:line="360" w:lineRule="auto"/>
        <w:jc w:val="center"/>
        <w:rPr>
          <w:rFonts w:hint="eastAsia"/>
          <w:b/>
          <w:color w:val="000000"/>
          <w:sz w:val="36"/>
          <w:szCs w:val="36"/>
        </w:rPr>
      </w:pPr>
    </w:p>
    <w:p w14:paraId="25414839">
      <w:pPr>
        <w:spacing w:line="360" w:lineRule="auto"/>
        <w:jc w:val="center"/>
        <w:rPr>
          <w:b/>
          <w:color w:val="000000"/>
          <w:sz w:val="36"/>
          <w:szCs w:val="36"/>
        </w:rPr>
      </w:pPr>
      <w:r>
        <w:rPr>
          <w:rFonts w:hint="eastAsia"/>
          <w:b/>
          <w:color w:val="000000"/>
          <w:sz w:val="36"/>
          <w:szCs w:val="36"/>
        </w:rPr>
        <w:t>采购需求偏离表</w:t>
      </w:r>
    </w:p>
    <w:p w14:paraId="068001F8">
      <w:pPr>
        <w:tabs>
          <w:tab w:val="left" w:pos="1800"/>
          <w:tab w:val="left" w:pos="5580"/>
        </w:tabs>
        <w:spacing w:line="360" w:lineRule="auto"/>
        <w:jc w:val="left"/>
        <w:rPr>
          <w:color w:val="000000"/>
          <w:sz w:val="24"/>
          <w:u w:val="single"/>
        </w:rPr>
      </w:pPr>
      <w:r>
        <w:rPr>
          <w:color w:val="000000"/>
          <w:sz w:val="24"/>
        </w:rPr>
        <w:t>项目编号/包号：_____________________     项目名称：____________</w:t>
      </w:r>
    </w:p>
    <w:tbl>
      <w:tblPr>
        <w:tblStyle w:val="2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5ED0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5A6D113">
            <w:pPr>
              <w:jc w:val="center"/>
              <w:rPr>
                <w:color w:val="000000"/>
                <w:sz w:val="24"/>
              </w:rPr>
            </w:pPr>
            <w:r>
              <w:rPr>
                <w:color w:val="000000"/>
                <w:sz w:val="24"/>
              </w:rPr>
              <w:t>序号</w:t>
            </w:r>
          </w:p>
        </w:tc>
        <w:tc>
          <w:tcPr>
            <w:tcW w:w="1482" w:type="dxa"/>
            <w:noWrap w:val="0"/>
            <w:vAlign w:val="center"/>
          </w:tcPr>
          <w:p w14:paraId="3CA37568">
            <w:pPr>
              <w:jc w:val="center"/>
              <w:rPr>
                <w:color w:val="000000"/>
                <w:sz w:val="24"/>
              </w:rPr>
            </w:pPr>
            <w:r>
              <w:rPr>
                <w:color w:val="000000"/>
                <w:sz w:val="24"/>
              </w:rPr>
              <w:t>招标文件条目号(页码)</w:t>
            </w:r>
          </w:p>
        </w:tc>
        <w:tc>
          <w:tcPr>
            <w:tcW w:w="2384" w:type="dxa"/>
            <w:noWrap w:val="0"/>
            <w:vAlign w:val="center"/>
          </w:tcPr>
          <w:p w14:paraId="4EFDD84C">
            <w:pPr>
              <w:jc w:val="center"/>
              <w:rPr>
                <w:color w:val="000000"/>
                <w:sz w:val="24"/>
              </w:rPr>
            </w:pPr>
            <w:r>
              <w:rPr>
                <w:color w:val="000000"/>
                <w:sz w:val="24"/>
              </w:rPr>
              <w:t>招标文件要求</w:t>
            </w:r>
          </w:p>
        </w:tc>
        <w:tc>
          <w:tcPr>
            <w:tcW w:w="2126" w:type="dxa"/>
            <w:noWrap w:val="0"/>
            <w:vAlign w:val="center"/>
          </w:tcPr>
          <w:p w14:paraId="63FDA211">
            <w:pPr>
              <w:jc w:val="center"/>
              <w:rPr>
                <w:color w:val="000000"/>
                <w:sz w:val="24"/>
              </w:rPr>
            </w:pPr>
            <w:r>
              <w:rPr>
                <w:color w:val="000000"/>
                <w:sz w:val="24"/>
              </w:rPr>
              <w:t>投标响应内容</w:t>
            </w:r>
          </w:p>
        </w:tc>
        <w:tc>
          <w:tcPr>
            <w:tcW w:w="1875" w:type="dxa"/>
            <w:noWrap w:val="0"/>
            <w:vAlign w:val="center"/>
          </w:tcPr>
          <w:p w14:paraId="0A7F71FE">
            <w:pPr>
              <w:jc w:val="center"/>
              <w:rPr>
                <w:color w:val="000000"/>
                <w:sz w:val="24"/>
              </w:rPr>
            </w:pPr>
            <w:r>
              <w:rPr>
                <w:color w:val="000000"/>
                <w:sz w:val="24"/>
              </w:rPr>
              <w:t>偏离情况</w:t>
            </w:r>
          </w:p>
        </w:tc>
        <w:tc>
          <w:tcPr>
            <w:tcW w:w="1009" w:type="dxa"/>
            <w:noWrap w:val="0"/>
            <w:vAlign w:val="center"/>
          </w:tcPr>
          <w:p w14:paraId="11786180">
            <w:pPr>
              <w:jc w:val="center"/>
              <w:rPr>
                <w:color w:val="000000"/>
                <w:sz w:val="24"/>
              </w:rPr>
            </w:pPr>
            <w:r>
              <w:rPr>
                <w:color w:val="000000"/>
                <w:sz w:val="24"/>
              </w:rPr>
              <w:t>说明</w:t>
            </w:r>
          </w:p>
        </w:tc>
      </w:tr>
      <w:tr w14:paraId="58534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B8B843E">
            <w:pPr>
              <w:jc w:val="center"/>
              <w:rPr>
                <w:color w:val="000000"/>
                <w:sz w:val="24"/>
              </w:rPr>
            </w:pPr>
          </w:p>
        </w:tc>
        <w:tc>
          <w:tcPr>
            <w:tcW w:w="1482" w:type="dxa"/>
            <w:noWrap w:val="0"/>
            <w:vAlign w:val="center"/>
          </w:tcPr>
          <w:p w14:paraId="1B2DE7A9">
            <w:pPr>
              <w:jc w:val="center"/>
              <w:rPr>
                <w:color w:val="000000"/>
                <w:sz w:val="24"/>
              </w:rPr>
            </w:pPr>
          </w:p>
        </w:tc>
        <w:tc>
          <w:tcPr>
            <w:tcW w:w="2384" w:type="dxa"/>
            <w:noWrap w:val="0"/>
            <w:vAlign w:val="center"/>
          </w:tcPr>
          <w:p w14:paraId="161EBFB3">
            <w:pPr>
              <w:jc w:val="center"/>
              <w:rPr>
                <w:color w:val="000000"/>
                <w:sz w:val="24"/>
              </w:rPr>
            </w:pPr>
          </w:p>
        </w:tc>
        <w:tc>
          <w:tcPr>
            <w:tcW w:w="2126" w:type="dxa"/>
            <w:noWrap w:val="0"/>
            <w:vAlign w:val="center"/>
          </w:tcPr>
          <w:p w14:paraId="134991B7">
            <w:pPr>
              <w:jc w:val="center"/>
              <w:rPr>
                <w:color w:val="000000"/>
                <w:sz w:val="24"/>
              </w:rPr>
            </w:pPr>
          </w:p>
        </w:tc>
        <w:tc>
          <w:tcPr>
            <w:tcW w:w="1875" w:type="dxa"/>
            <w:noWrap w:val="0"/>
            <w:vAlign w:val="center"/>
          </w:tcPr>
          <w:p w14:paraId="6F97D6B5">
            <w:pPr>
              <w:jc w:val="center"/>
              <w:rPr>
                <w:color w:val="000000"/>
                <w:sz w:val="24"/>
              </w:rPr>
            </w:pPr>
          </w:p>
        </w:tc>
        <w:tc>
          <w:tcPr>
            <w:tcW w:w="1009" w:type="dxa"/>
            <w:noWrap w:val="0"/>
            <w:vAlign w:val="center"/>
          </w:tcPr>
          <w:p w14:paraId="5AEAE2ED">
            <w:pPr>
              <w:jc w:val="center"/>
              <w:rPr>
                <w:color w:val="000000"/>
                <w:sz w:val="24"/>
              </w:rPr>
            </w:pPr>
          </w:p>
        </w:tc>
      </w:tr>
      <w:tr w14:paraId="2C348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1A7AC08">
            <w:pPr>
              <w:jc w:val="center"/>
              <w:rPr>
                <w:color w:val="000000"/>
                <w:sz w:val="24"/>
              </w:rPr>
            </w:pPr>
          </w:p>
        </w:tc>
        <w:tc>
          <w:tcPr>
            <w:tcW w:w="1482" w:type="dxa"/>
            <w:noWrap w:val="0"/>
            <w:vAlign w:val="center"/>
          </w:tcPr>
          <w:p w14:paraId="369C197A">
            <w:pPr>
              <w:jc w:val="center"/>
              <w:rPr>
                <w:color w:val="000000"/>
                <w:sz w:val="24"/>
              </w:rPr>
            </w:pPr>
          </w:p>
        </w:tc>
        <w:tc>
          <w:tcPr>
            <w:tcW w:w="2384" w:type="dxa"/>
            <w:noWrap w:val="0"/>
            <w:vAlign w:val="center"/>
          </w:tcPr>
          <w:p w14:paraId="71BE5772">
            <w:pPr>
              <w:jc w:val="center"/>
              <w:rPr>
                <w:color w:val="000000"/>
                <w:sz w:val="24"/>
              </w:rPr>
            </w:pPr>
          </w:p>
        </w:tc>
        <w:tc>
          <w:tcPr>
            <w:tcW w:w="2126" w:type="dxa"/>
            <w:noWrap w:val="0"/>
            <w:vAlign w:val="center"/>
          </w:tcPr>
          <w:p w14:paraId="3453B63A">
            <w:pPr>
              <w:jc w:val="center"/>
              <w:rPr>
                <w:color w:val="000000"/>
                <w:sz w:val="24"/>
              </w:rPr>
            </w:pPr>
          </w:p>
        </w:tc>
        <w:tc>
          <w:tcPr>
            <w:tcW w:w="1875" w:type="dxa"/>
            <w:noWrap w:val="0"/>
            <w:vAlign w:val="center"/>
          </w:tcPr>
          <w:p w14:paraId="04EE89C6">
            <w:pPr>
              <w:jc w:val="center"/>
              <w:rPr>
                <w:color w:val="000000"/>
                <w:sz w:val="24"/>
              </w:rPr>
            </w:pPr>
          </w:p>
        </w:tc>
        <w:tc>
          <w:tcPr>
            <w:tcW w:w="1009" w:type="dxa"/>
            <w:noWrap w:val="0"/>
            <w:vAlign w:val="center"/>
          </w:tcPr>
          <w:p w14:paraId="79740609">
            <w:pPr>
              <w:jc w:val="center"/>
              <w:rPr>
                <w:color w:val="000000"/>
                <w:sz w:val="24"/>
              </w:rPr>
            </w:pPr>
          </w:p>
        </w:tc>
      </w:tr>
      <w:tr w14:paraId="726A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13E2403">
            <w:pPr>
              <w:jc w:val="center"/>
              <w:rPr>
                <w:color w:val="000000"/>
                <w:sz w:val="24"/>
              </w:rPr>
            </w:pPr>
          </w:p>
        </w:tc>
        <w:tc>
          <w:tcPr>
            <w:tcW w:w="1482" w:type="dxa"/>
            <w:noWrap w:val="0"/>
            <w:vAlign w:val="center"/>
          </w:tcPr>
          <w:p w14:paraId="316EC75F">
            <w:pPr>
              <w:jc w:val="center"/>
              <w:rPr>
                <w:color w:val="000000"/>
                <w:sz w:val="24"/>
              </w:rPr>
            </w:pPr>
          </w:p>
        </w:tc>
        <w:tc>
          <w:tcPr>
            <w:tcW w:w="2384" w:type="dxa"/>
            <w:noWrap w:val="0"/>
            <w:vAlign w:val="center"/>
          </w:tcPr>
          <w:p w14:paraId="47DDBCE7">
            <w:pPr>
              <w:jc w:val="center"/>
              <w:rPr>
                <w:color w:val="000000"/>
                <w:sz w:val="24"/>
              </w:rPr>
            </w:pPr>
          </w:p>
        </w:tc>
        <w:tc>
          <w:tcPr>
            <w:tcW w:w="2126" w:type="dxa"/>
            <w:noWrap w:val="0"/>
            <w:vAlign w:val="center"/>
          </w:tcPr>
          <w:p w14:paraId="4FCD7AFC">
            <w:pPr>
              <w:jc w:val="center"/>
              <w:rPr>
                <w:color w:val="000000"/>
                <w:sz w:val="24"/>
              </w:rPr>
            </w:pPr>
          </w:p>
        </w:tc>
        <w:tc>
          <w:tcPr>
            <w:tcW w:w="1875" w:type="dxa"/>
            <w:noWrap w:val="0"/>
            <w:vAlign w:val="center"/>
          </w:tcPr>
          <w:p w14:paraId="164CBFC5">
            <w:pPr>
              <w:jc w:val="center"/>
              <w:rPr>
                <w:color w:val="000000"/>
                <w:sz w:val="24"/>
              </w:rPr>
            </w:pPr>
          </w:p>
        </w:tc>
        <w:tc>
          <w:tcPr>
            <w:tcW w:w="1009" w:type="dxa"/>
            <w:noWrap w:val="0"/>
            <w:vAlign w:val="center"/>
          </w:tcPr>
          <w:p w14:paraId="23F03878">
            <w:pPr>
              <w:jc w:val="center"/>
              <w:rPr>
                <w:color w:val="000000"/>
                <w:sz w:val="24"/>
              </w:rPr>
            </w:pPr>
          </w:p>
        </w:tc>
      </w:tr>
      <w:tr w14:paraId="41201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66B873">
            <w:pPr>
              <w:jc w:val="center"/>
              <w:rPr>
                <w:color w:val="000000"/>
                <w:sz w:val="24"/>
              </w:rPr>
            </w:pPr>
          </w:p>
        </w:tc>
        <w:tc>
          <w:tcPr>
            <w:tcW w:w="1482" w:type="dxa"/>
            <w:noWrap w:val="0"/>
            <w:vAlign w:val="center"/>
          </w:tcPr>
          <w:p w14:paraId="38865C21">
            <w:pPr>
              <w:jc w:val="center"/>
              <w:rPr>
                <w:color w:val="000000"/>
                <w:sz w:val="24"/>
              </w:rPr>
            </w:pPr>
          </w:p>
        </w:tc>
        <w:tc>
          <w:tcPr>
            <w:tcW w:w="2384" w:type="dxa"/>
            <w:noWrap w:val="0"/>
            <w:vAlign w:val="center"/>
          </w:tcPr>
          <w:p w14:paraId="75B35A9A">
            <w:pPr>
              <w:jc w:val="center"/>
              <w:rPr>
                <w:color w:val="000000"/>
                <w:sz w:val="24"/>
              </w:rPr>
            </w:pPr>
          </w:p>
        </w:tc>
        <w:tc>
          <w:tcPr>
            <w:tcW w:w="2126" w:type="dxa"/>
            <w:noWrap w:val="0"/>
            <w:vAlign w:val="center"/>
          </w:tcPr>
          <w:p w14:paraId="29B9388F">
            <w:pPr>
              <w:jc w:val="center"/>
              <w:rPr>
                <w:color w:val="000000"/>
                <w:sz w:val="24"/>
              </w:rPr>
            </w:pPr>
          </w:p>
        </w:tc>
        <w:tc>
          <w:tcPr>
            <w:tcW w:w="1875" w:type="dxa"/>
            <w:noWrap w:val="0"/>
            <w:vAlign w:val="center"/>
          </w:tcPr>
          <w:p w14:paraId="30B3008A">
            <w:pPr>
              <w:jc w:val="center"/>
              <w:rPr>
                <w:color w:val="000000"/>
                <w:sz w:val="24"/>
              </w:rPr>
            </w:pPr>
          </w:p>
        </w:tc>
        <w:tc>
          <w:tcPr>
            <w:tcW w:w="1009" w:type="dxa"/>
            <w:noWrap w:val="0"/>
            <w:vAlign w:val="center"/>
          </w:tcPr>
          <w:p w14:paraId="1B3EA59F">
            <w:pPr>
              <w:jc w:val="center"/>
              <w:rPr>
                <w:color w:val="000000"/>
                <w:sz w:val="24"/>
              </w:rPr>
            </w:pPr>
          </w:p>
        </w:tc>
      </w:tr>
      <w:tr w14:paraId="4EC61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4A5BB02">
            <w:pPr>
              <w:jc w:val="center"/>
              <w:rPr>
                <w:color w:val="000000"/>
                <w:sz w:val="24"/>
              </w:rPr>
            </w:pPr>
          </w:p>
        </w:tc>
        <w:tc>
          <w:tcPr>
            <w:tcW w:w="1482" w:type="dxa"/>
            <w:noWrap w:val="0"/>
            <w:vAlign w:val="center"/>
          </w:tcPr>
          <w:p w14:paraId="23E7E891">
            <w:pPr>
              <w:jc w:val="center"/>
              <w:rPr>
                <w:color w:val="000000"/>
                <w:sz w:val="24"/>
              </w:rPr>
            </w:pPr>
          </w:p>
        </w:tc>
        <w:tc>
          <w:tcPr>
            <w:tcW w:w="2384" w:type="dxa"/>
            <w:noWrap w:val="0"/>
            <w:vAlign w:val="center"/>
          </w:tcPr>
          <w:p w14:paraId="0CE02A75">
            <w:pPr>
              <w:jc w:val="center"/>
              <w:rPr>
                <w:color w:val="000000"/>
                <w:sz w:val="24"/>
              </w:rPr>
            </w:pPr>
          </w:p>
        </w:tc>
        <w:tc>
          <w:tcPr>
            <w:tcW w:w="2126" w:type="dxa"/>
            <w:noWrap w:val="0"/>
            <w:vAlign w:val="center"/>
          </w:tcPr>
          <w:p w14:paraId="4648DB08">
            <w:pPr>
              <w:jc w:val="center"/>
              <w:rPr>
                <w:color w:val="000000"/>
                <w:sz w:val="24"/>
              </w:rPr>
            </w:pPr>
          </w:p>
        </w:tc>
        <w:tc>
          <w:tcPr>
            <w:tcW w:w="1875" w:type="dxa"/>
            <w:noWrap w:val="0"/>
            <w:vAlign w:val="center"/>
          </w:tcPr>
          <w:p w14:paraId="4FDA2D3D">
            <w:pPr>
              <w:jc w:val="center"/>
              <w:rPr>
                <w:color w:val="000000"/>
                <w:sz w:val="24"/>
              </w:rPr>
            </w:pPr>
          </w:p>
        </w:tc>
        <w:tc>
          <w:tcPr>
            <w:tcW w:w="1009" w:type="dxa"/>
            <w:noWrap w:val="0"/>
            <w:vAlign w:val="center"/>
          </w:tcPr>
          <w:p w14:paraId="623AD81E">
            <w:pPr>
              <w:jc w:val="center"/>
              <w:rPr>
                <w:color w:val="000000"/>
                <w:sz w:val="24"/>
              </w:rPr>
            </w:pPr>
          </w:p>
        </w:tc>
      </w:tr>
      <w:tr w14:paraId="63EDE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9F5585">
            <w:pPr>
              <w:jc w:val="center"/>
              <w:rPr>
                <w:color w:val="000000"/>
                <w:sz w:val="24"/>
              </w:rPr>
            </w:pPr>
            <w:r>
              <w:rPr>
                <w:color w:val="000000"/>
                <w:sz w:val="24"/>
              </w:rPr>
              <w:t>……</w:t>
            </w:r>
          </w:p>
        </w:tc>
        <w:tc>
          <w:tcPr>
            <w:tcW w:w="1482" w:type="dxa"/>
            <w:noWrap w:val="0"/>
            <w:vAlign w:val="center"/>
          </w:tcPr>
          <w:p w14:paraId="3AD1914A">
            <w:pPr>
              <w:jc w:val="center"/>
              <w:rPr>
                <w:color w:val="000000"/>
                <w:sz w:val="24"/>
              </w:rPr>
            </w:pPr>
          </w:p>
        </w:tc>
        <w:tc>
          <w:tcPr>
            <w:tcW w:w="2384" w:type="dxa"/>
            <w:noWrap w:val="0"/>
            <w:vAlign w:val="center"/>
          </w:tcPr>
          <w:p w14:paraId="0A31FC28">
            <w:pPr>
              <w:jc w:val="center"/>
              <w:rPr>
                <w:color w:val="000000"/>
                <w:sz w:val="24"/>
              </w:rPr>
            </w:pPr>
          </w:p>
        </w:tc>
        <w:tc>
          <w:tcPr>
            <w:tcW w:w="2126" w:type="dxa"/>
            <w:noWrap w:val="0"/>
            <w:vAlign w:val="center"/>
          </w:tcPr>
          <w:p w14:paraId="6CAEF6B8">
            <w:pPr>
              <w:jc w:val="center"/>
              <w:rPr>
                <w:color w:val="000000"/>
                <w:sz w:val="24"/>
              </w:rPr>
            </w:pPr>
          </w:p>
        </w:tc>
        <w:tc>
          <w:tcPr>
            <w:tcW w:w="1875" w:type="dxa"/>
            <w:noWrap w:val="0"/>
            <w:vAlign w:val="center"/>
          </w:tcPr>
          <w:p w14:paraId="15D08A68">
            <w:pPr>
              <w:jc w:val="center"/>
              <w:rPr>
                <w:color w:val="000000"/>
                <w:sz w:val="24"/>
              </w:rPr>
            </w:pPr>
          </w:p>
        </w:tc>
        <w:tc>
          <w:tcPr>
            <w:tcW w:w="1009" w:type="dxa"/>
            <w:noWrap w:val="0"/>
            <w:vAlign w:val="center"/>
          </w:tcPr>
          <w:p w14:paraId="74487C06">
            <w:pPr>
              <w:jc w:val="center"/>
              <w:rPr>
                <w:color w:val="000000"/>
                <w:sz w:val="24"/>
              </w:rPr>
            </w:pPr>
          </w:p>
        </w:tc>
      </w:tr>
    </w:tbl>
    <w:p w14:paraId="47693E4E">
      <w:pPr>
        <w:tabs>
          <w:tab w:val="left" w:pos="1800"/>
          <w:tab w:val="left" w:pos="5580"/>
        </w:tabs>
        <w:spacing w:line="360" w:lineRule="auto"/>
        <w:ind w:firstLine="360"/>
        <w:jc w:val="left"/>
        <w:rPr>
          <w:color w:val="000000"/>
          <w:sz w:val="24"/>
          <w:u w:val="single"/>
        </w:rPr>
      </w:pPr>
    </w:p>
    <w:p w14:paraId="7248925E">
      <w:pPr>
        <w:tabs>
          <w:tab w:val="left" w:pos="1800"/>
          <w:tab w:val="left" w:pos="5580"/>
        </w:tabs>
        <w:jc w:val="left"/>
        <w:rPr>
          <w:color w:val="000000"/>
          <w:sz w:val="24"/>
        </w:rPr>
      </w:pPr>
      <w:r>
        <w:rPr>
          <w:color w:val="000000"/>
          <w:sz w:val="24"/>
        </w:rPr>
        <w:t>注：</w:t>
      </w:r>
    </w:p>
    <w:p w14:paraId="5BC8737C">
      <w:pPr>
        <w:numPr>
          <w:ilvl w:val="0"/>
          <w:numId w:val="15"/>
        </w:numPr>
        <w:tabs>
          <w:tab w:val="left" w:pos="1800"/>
          <w:tab w:val="left" w:pos="5580"/>
        </w:tabs>
        <w:jc w:val="left"/>
        <w:rPr>
          <w:sz w:val="24"/>
        </w:rPr>
      </w:pPr>
      <w:r>
        <w:rPr>
          <w:sz w:val="24"/>
        </w:rPr>
        <w:t>对招标文件中的所有商务、技术要求，除本表所列明的所有偏离外，均视作供应商已对之理解和</w:t>
      </w:r>
      <w:r>
        <w:rPr>
          <w:rFonts w:hint="eastAsia"/>
          <w:sz w:val="24"/>
        </w:rPr>
        <w:t>响应</w:t>
      </w:r>
      <w:r>
        <w:rPr>
          <w:sz w:val="24"/>
        </w:rPr>
        <w:t>。</w:t>
      </w:r>
    </w:p>
    <w:p w14:paraId="5AA40A4C">
      <w:pPr>
        <w:numPr>
          <w:ilvl w:val="0"/>
          <w:numId w:val="0"/>
        </w:num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14:paraId="40F0FC8E">
      <w:pPr>
        <w:tabs>
          <w:tab w:val="left" w:pos="1800"/>
          <w:tab w:val="left" w:pos="5580"/>
        </w:tabs>
        <w:jc w:val="left"/>
        <w:rPr>
          <w:sz w:val="24"/>
        </w:rPr>
      </w:pPr>
    </w:p>
    <w:p w14:paraId="442B1D1D">
      <w:pPr>
        <w:tabs>
          <w:tab w:val="left" w:pos="1800"/>
          <w:tab w:val="left" w:pos="5580"/>
        </w:tabs>
        <w:jc w:val="left"/>
        <w:rPr>
          <w:color w:val="000000"/>
          <w:sz w:val="24"/>
        </w:rPr>
      </w:pPr>
    </w:p>
    <w:p w14:paraId="6072D1D9">
      <w:pPr>
        <w:rPr>
          <w:color w:val="000000"/>
          <w:sz w:val="24"/>
          <w:szCs w:val="20"/>
        </w:rPr>
      </w:pPr>
    </w:p>
    <w:p w14:paraId="3839818B">
      <w:pPr>
        <w:spacing w:before="25" w:after="25" w:line="360" w:lineRule="auto"/>
        <w:rPr>
          <w:color w:val="000000"/>
          <w:sz w:val="24"/>
          <w:lang w:val="zh-CN"/>
        </w:rPr>
      </w:pPr>
      <w:r>
        <w:rPr>
          <w:color w:val="000000"/>
          <w:sz w:val="24"/>
          <w:lang w:val="zh-CN"/>
        </w:rPr>
        <w:t xml:space="preserve">                  </w:t>
      </w:r>
    </w:p>
    <w:p w14:paraId="4ABDCE07">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400A274">
      <w:pPr>
        <w:spacing w:before="25" w:after="25" w:line="360" w:lineRule="auto"/>
        <w:rPr>
          <w:color w:val="000000"/>
          <w:sz w:val="24"/>
          <w:lang w:val="zh-CN"/>
        </w:rPr>
      </w:pPr>
      <w:r>
        <w:rPr>
          <w:color w:val="000000"/>
          <w:sz w:val="24"/>
          <w:szCs w:val="20"/>
        </w:rPr>
        <w:t xml:space="preserve">日期：_____年______月______日   </w:t>
      </w:r>
    </w:p>
    <w:p w14:paraId="78DF0929">
      <w:pPr>
        <w:spacing w:before="25" w:after="25" w:line="360" w:lineRule="auto"/>
        <w:rPr>
          <w:rFonts w:hint="eastAsia" w:ascii="宋体" w:hAnsi="宋体" w:eastAsia="宋体" w:cs="宋体"/>
          <w:color w:val="000000"/>
          <w:sz w:val="24"/>
          <w:szCs w:val="24"/>
          <w:highlight w:val="none"/>
          <w:lang w:val="en-US" w:eastAsia="zh-CN"/>
        </w:rPr>
      </w:pPr>
    </w:p>
    <w:p w14:paraId="565C3D8F">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rPr>
        <w:t>8  项目实施方案</w:t>
      </w:r>
    </w:p>
    <w:p w14:paraId="7FF477EE">
      <w:pPr>
        <w:spacing w:before="25" w:after="25" w:line="360" w:lineRule="auto"/>
        <w:rPr>
          <w:rFonts w:hint="eastAsia" w:ascii="宋体" w:hAnsi="宋体" w:eastAsia="宋体" w:cs="宋体"/>
          <w:color w:val="000000"/>
          <w:sz w:val="24"/>
          <w:szCs w:val="24"/>
          <w:highlight w:val="none"/>
          <w:lang w:val="en-US" w:eastAsia="zh-CN"/>
        </w:rPr>
      </w:pPr>
    </w:p>
    <w:p w14:paraId="09F84B38">
      <w:pPr>
        <w:spacing w:before="25" w:after="25" w:line="360" w:lineRule="auto"/>
        <w:rPr>
          <w:rFonts w:hint="eastAsia" w:ascii="宋体" w:hAnsi="宋体" w:eastAsia="宋体" w:cs="宋体"/>
          <w:color w:val="000000"/>
          <w:sz w:val="24"/>
          <w:szCs w:val="24"/>
          <w:highlight w:val="none"/>
          <w:lang w:val="en-US" w:eastAsia="zh-CN"/>
        </w:rPr>
      </w:pPr>
    </w:p>
    <w:p w14:paraId="0C88DB58">
      <w:pPr>
        <w:spacing w:before="25" w:after="25" w:line="360" w:lineRule="auto"/>
        <w:rPr>
          <w:rFonts w:hint="eastAsia" w:ascii="宋体" w:hAnsi="宋体" w:eastAsia="宋体" w:cs="宋体"/>
          <w:color w:val="000000"/>
          <w:sz w:val="24"/>
          <w:szCs w:val="24"/>
          <w:highlight w:val="none"/>
          <w:lang w:val="en-US" w:eastAsia="zh-CN"/>
        </w:rPr>
      </w:pPr>
    </w:p>
    <w:p w14:paraId="6046AE07">
      <w:pPr>
        <w:spacing w:before="25" w:after="25" w:line="360" w:lineRule="auto"/>
        <w:rPr>
          <w:rFonts w:hint="eastAsia" w:ascii="宋体" w:hAnsi="宋体" w:eastAsia="宋体" w:cs="宋体"/>
          <w:color w:val="000000"/>
          <w:sz w:val="24"/>
          <w:szCs w:val="24"/>
          <w:highlight w:val="none"/>
          <w:lang w:val="en-US" w:eastAsia="zh-CN"/>
        </w:rPr>
      </w:pPr>
    </w:p>
    <w:p w14:paraId="0CA5A95B">
      <w:pPr>
        <w:spacing w:before="25" w:after="25" w:line="360" w:lineRule="auto"/>
        <w:rPr>
          <w:rFonts w:hint="eastAsia" w:ascii="宋体" w:hAnsi="宋体" w:eastAsia="宋体" w:cs="宋体"/>
          <w:color w:val="000000"/>
          <w:sz w:val="24"/>
          <w:szCs w:val="24"/>
          <w:highlight w:val="none"/>
          <w:lang w:val="en-US" w:eastAsia="zh-CN"/>
        </w:rPr>
      </w:pPr>
    </w:p>
    <w:p w14:paraId="61F6E92B">
      <w:pPr>
        <w:spacing w:before="25" w:after="25" w:line="360" w:lineRule="auto"/>
        <w:rPr>
          <w:rFonts w:hint="eastAsia" w:ascii="宋体" w:hAnsi="宋体" w:eastAsia="宋体" w:cs="宋体"/>
          <w:color w:val="000000"/>
          <w:sz w:val="24"/>
          <w:szCs w:val="24"/>
          <w:highlight w:val="none"/>
          <w:lang w:val="en-US" w:eastAsia="zh-CN"/>
        </w:rPr>
      </w:pPr>
    </w:p>
    <w:p w14:paraId="7E6F05B1">
      <w:pPr>
        <w:spacing w:before="25" w:after="25" w:line="360" w:lineRule="auto"/>
        <w:rPr>
          <w:rFonts w:hint="eastAsia" w:ascii="宋体" w:hAnsi="宋体" w:eastAsia="宋体" w:cs="宋体"/>
          <w:color w:val="000000"/>
          <w:sz w:val="24"/>
          <w:szCs w:val="24"/>
          <w:highlight w:val="none"/>
          <w:lang w:val="en-US" w:eastAsia="zh-CN"/>
        </w:rPr>
      </w:pPr>
    </w:p>
    <w:p w14:paraId="7DE9C6CF">
      <w:pPr>
        <w:spacing w:before="25" w:after="25" w:line="360" w:lineRule="auto"/>
        <w:rPr>
          <w:rFonts w:hint="eastAsia" w:ascii="宋体" w:hAnsi="宋体" w:eastAsia="宋体" w:cs="宋体"/>
          <w:color w:val="000000"/>
          <w:sz w:val="24"/>
          <w:szCs w:val="24"/>
          <w:highlight w:val="none"/>
          <w:lang w:val="en-US" w:eastAsia="zh-CN"/>
        </w:rPr>
      </w:pPr>
    </w:p>
    <w:p w14:paraId="5797D3A2">
      <w:pPr>
        <w:spacing w:before="25" w:after="25" w:line="360" w:lineRule="auto"/>
        <w:rPr>
          <w:rFonts w:hint="eastAsia" w:ascii="宋体" w:hAnsi="宋体" w:eastAsia="宋体" w:cs="宋体"/>
          <w:color w:val="000000"/>
          <w:sz w:val="24"/>
          <w:szCs w:val="24"/>
          <w:highlight w:val="none"/>
          <w:lang w:val="en-US" w:eastAsia="zh-CN"/>
        </w:rPr>
      </w:pPr>
    </w:p>
    <w:p w14:paraId="0BCD7B72">
      <w:pPr>
        <w:spacing w:before="25" w:after="25" w:line="360" w:lineRule="auto"/>
        <w:rPr>
          <w:rFonts w:hint="eastAsia" w:ascii="宋体" w:hAnsi="宋体" w:eastAsia="宋体" w:cs="宋体"/>
          <w:color w:val="000000"/>
          <w:sz w:val="24"/>
          <w:szCs w:val="24"/>
          <w:highlight w:val="none"/>
          <w:lang w:val="en-US" w:eastAsia="zh-CN"/>
        </w:rPr>
      </w:pPr>
    </w:p>
    <w:p w14:paraId="4A3D6D8E">
      <w:pPr>
        <w:spacing w:before="25" w:after="25" w:line="360" w:lineRule="auto"/>
        <w:rPr>
          <w:rFonts w:hint="eastAsia" w:ascii="宋体" w:hAnsi="宋体" w:eastAsia="宋体" w:cs="宋体"/>
          <w:color w:val="000000"/>
          <w:sz w:val="24"/>
          <w:szCs w:val="24"/>
          <w:highlight w:val="none"/>
          <w:lang w:val="en-US" w:eastAsia="zh-CN"/>
        </w:rPr>
      </w:pPr>
    </w:p>
    <w:p w14:paraId="768924B8">
      <w:pPr>
        <w:spacing w:before="25" w:after="25" w:line="360" w:lineRule="auto"/>
        <w:rPr>
          <w:rFonts w:hint="eastAsia" w:ascii="宋体" w:hAnsi="宋体" w:eastAsia="宋体" w:cs="宋体"/>
          <w:color w:val="000000"/>
          <w:sz w:val="24"/>
          <w:szCs w:val="24"/>
          <w:highlight w:val="none"/>
          <w:lang w:val="en-US" w:eastAsia="zh-CN"/>
        </w:rPr>
      </w:pPr>
    </w:p>
    <w:p w14:paraId="1F06EAEE">
      <w:pPr>
        <w:spacing w:before="25" w:after="25" w:line="360" w:lineRule="auto"/>
        <w:rPr>
          <w:rFonts w:hint="eastAsia" w:ascii="宋体" w:hAnsi="宋体" w:eastAsia="宋体" w:cs="宋体"/>
          <w:color w:val="000000"/>
          <w:sz w:val="24"/>
          <w:szCs w:val="24"/>
          <w:highlight w:val="none"/>
          <w:lang w:val="en-US" w:eastAsia="zh-CN"/>
        </w:rPr>
      </w:pPr>
    </w:p>
    <w:p w14:paraId="60C0C092">
      <w:pPr>
        <w:spacing w:before="25" w:after="25" w:line="360" w:lineRule="auto"/>
        <w:rPr>
          <w:rFonts w:hint="eastAsia" w:ascii="宋体" w:hAnsi="宋体" w:eastAsia="宋体" w:cs="宋体"/>
          <w:color w:val="000000"/>
          <w:sz w:val="24"/>
          <w:szCs w:val="24"/>
          <w:highlight w:val="none"/>
          <w:lang w:val="en-US" w:eastAsia="zh-CN"/>
        </w:rPr>
      </w:pPr>
    </w:p>
    <w:p w14:paraId="5850CB0A">
      <w:pPr>
        <w:spacing w:before="25" w:after="25" w:line="360" w:lineRule="auto"/>
        <w:rPr>
          <w:rFonts w:hint="eastAsia" w:ascii="宋体" w:hAnsi="宋体" w:eastAsia="宋体" w:cs="宋体"/>
          <w:color w:val="000000"/>
          <w:sz w:val="24"/>
          <w:szCs w:val="24"/>
          <w:highlight w:val="none"/>
          <w:lang w:val="en-US" w:eastAsia="zh-CN"/>
        </w:rPr>
      </w:pPr>
    </w:p>
    <w:p w14:paraId="12BF205D">
      <w:pPr>
        <w:spacing w:before="25" w:after="25" w:line="360" w:lineRule="auto"/>
        <w:rPr>
          <w:rFonts w:hint="eastAsia" w:ascii="宋体" w:hAnsi="宋体" w:eastAsia="宋体" w:cs="宋体"/>
          <w:color w:val="000000"/>
          <w:sz w:val="24"/>
          <w:szCs w:val="24"/>
          <w:highlight w:val="none"/>
          <w:lang w:val="en-US" w:eastAsia="zh-CN"/>
        </w:rPr>
      </w:pPr>
    </w:p>
    <w:p w14:paraId="47A63E8E">
      <w:pPr>
        <w:rPr>
          <w:rFonts w:hint="eastAsia" w:ascii="宋体" w:hAnsi="宋体" w:eastAsia="宋体" w:cs="宋体"/>
          <w:color w:val="000000"/>
          <w:sz w:val="24"/>
          <w:szCs w:val="24"/>
          <w:highlight w:val="none"/>
          <w:lang w:val="en-US" w:eastAsia="zh-CN"/>
        </w:rPr>
      </w:pPr>
    </w:p>
    <w:p w14:paraId="3F946E12">
      <w:pPr>
        <w:pStyle w:val="213"/>
        <w:rPr>
          <w:rFonts w:hint="eastAsia" w:ascii="宋体" w:hAnsi="宋体" w:eastAsia="宋体" w:cs="宋体"/>
          <w:color w:val="000000"/>
          <w:sz w:val="24"/>
          <w:szCs w:val="24"/>
          <w:highlight w:val="none"/>
          <w:lang w:val="en-US" w:eastAsia="zh-CN"/>
        </w:rPr>
      </w:pPr>
    </w:p>
    <w:p w14:paraId="263A458C">
      <w:pPr>
        <w:rPr>
          <w:rFonts w:hint="eastAsia" w:ascii="宋体" w:hAnsi="宋体" w:eastAsia="宋体" w:cs="宋体"/>
          <w:color w:val="000000"/>
          <w:sz w:val="24"/>
          <w:szCs w:val="24"/>
          <w:highlight w:val="none"/>
          <w:lang w:val="en-US" w:eastAsia="zh-CN"/>
        </w:rPr>
      </w:pPr>
    </w:p>
    <w:p w14:paraId="4132A80D">
      <w:pPr>
        <w:pStyle w:val="213"/>
        <w:rPr>
          <w:rFonts w:hint="eastAsia" w:ascii="宋体" w:hAnsi="宋体" w:eastAsia="宋体" w:cs="宋体"/>
          <w:color w:val="000000"/>
          <w:sz w:val="24"/>
          <w:szCs w:val="24"/>
          <w:highlight w:val="none"/>
          <w:lang w:val="en-US" w:eastAsia="zh-CN"/>
        </w:rPr>
      </w:pPr>
    </w:p>
    <w:p w14:paraId="165B59DF">
      <w:pPr>
        <w:rPr>
          <w:rFonts w:hint="eastAsia" w:ascii="宋体" w:hAnsi="宋体" w:eastAsia="宋体" w:cs="宋体"/>
          <w:color w:val="000000"/>
          <w:sz w:val="24"/>
          <w:szCs w:val="24"/>
          <w:highlight w:val="none"/>
          <w:lang w:val="en-US" w:eastAsia="zh-CN"/>
        </w:rPr>
      </w:pPr>
    </w:p>
    <w:p w14:paraId="2E0D509C">
      <w:pPr>
        <w:pStyle w:val="213"/>
        <w:rPr>
          <w:rFonts w:hint="eastAsia" w:ascii="宋体" w:hAnsi="宋体" w:eastAsia="宋体" w:cs="宋体"/>
          <w:color w:val="000000"/>
          <w:sz w:val="24"/>
          <w:szCs w:val="24"/>
          <w:highlight w:val="none"/>
          <w:lang w:val="en-US" w:eastAsia="zh-CN"/>
        </w:rPr>
      </w:pPr>
    </w:p>
    <w:p w14:paraId="387194EB">
      <w:pPr>
        <w:rPr>
          <w:rFonts w:hint="eastAsia" w:ascii="宋体" w:hAnsi="宋体" w:eastAsia="宋体" w:cs="宋体"/>
          <w:color w:val="000000"/>
          <w:sz w:val="24"/>
          <w:szCs w:val="24"/>
          <w:highlight w:val="none"/>
          <w:lang w:val="en-US" w:eastAsia="zh-CN"/>
        </w:rPr>
      </w:pPr>
    </w:p>
    <w:p w14:paraId="05246E5F">
      <w:pPr>
        <w:pStyle w:val="213"/>
        <w:rPr>
          <w:rFonts w:hint="eastAsia" w:ascii="宋体" w:hAnsi="宋体" w:eastAsia="宋体" w:cs="宋体"/>
          <w:color w:val="000000"/>
          <w:sz w:val="24"/>
          <w:szCs w:val="24"/>
          <w:highlight w:val="none"/>
          <w:lang w:val="en-US" w:eastAsia="zh-CN"/>
        </w:rPr>
      </w:pPr>
    </w:p>
    <w:p w14:paraId="760B6094">
      <w:pPr>
        <w:rPr>
          <w:rFonts w:hint="eastAsia" w:ascii="宋体" w:hAnsi="宋体" w:eastAsia="宋体" w:cs="宋体"/>
          <w:color w:val="000000"/>
          <w:sz w:val="24"/>
          <w:szCs w:val="24"/>
          <w:highlight w:val="none"/>
          <w:lang w:val="en-US" w:eastAsia="zh-CN"/>
        </w:rPr>
      </w:pPr>
    </w:p>
    <w:p w14:paraId="5F135AA7">
      <w:pPr>
        <w:pStyle w:val="213"/>
        <w:rPr>
          <w:rFonts w:hint="eastAsia" w:ascii="宋体" w:hAnsi="宋体" w:eastAsia="宋体" w:cs="宋体"/>
          <w:color w:val="000000"/>
          <w:sz w:val="24"/>
          <w:szCs w:val="24"/>
          <w:highlight w:val="none"/>
          <w:lang w:val="en-US" w:eastAsia="zh-CN"/>
        </w:rPr>
      </w:pPr>
    </w:p>
    <w:p w14:paraId="1AB72FE8">
      <w:pPr>
        <w:rPr>
          <w:rFonts w:hint="eastAsia" w:ascii="宋体" w:hAnsi="宋体" w:eastAsia="宋体" w:cs="宋体"/>
          <w:color w:val="000000"/>
          <w:sz w:val="24"/>
          <w:szCs w:val="24"/>
          <w:highlight w:val="none"/>
          <w:lang w:val="en-US" w:eastAsia="zh-CN"/>
        </w:rPr>
      </w:pPr>
    </w:p>
    <w:p w14:paraId="784B067D">
      <w:pPr>
        <w:pStyle w:val="213"/>
        <w:rPr>
          <w:rFonts w:hint="eastAsia" w:ascii="宋体" w:hAnsi="宋体" w:eastAsia="宋体" w:cs="宋体"/>
          <w:color w:val="000000"/>
          <w:sz w:val="24"/>
          <w:szCs w:val="24"/>
          <w:highlight w:val="none"/>
          <w:lang w:val="en-US" w:eastAsia="zh-CN"/>
        </w:rPr>
      </w:pPr>
    </w:p>
    <w:p w14:paraId="1E3B0FCA">
      <w:pPr>
        <w:rPr>
          <w:rFonts w:hint="eastAsia" w:ascii="宋体" w:hAnsi="宋体" w:eastAsia="宋体" w:cs="宋体"/>
          <w:color w:val="000000"/>
          <w:sz w:val="24"/>
          <w:szCs w:val="24"/>
          <w:highlight w:val="none"/>
          <w:lang w:val="en-US" w:eastAsia="zh-CN"/>
        </w:rPr>
      </w:pPr>
    </w:p>
    <w:p w14:paraId="71D28AFF">
      <w:pPr>
        <w:rPr>
          <w:rFonts w:hint="eastAsia" w:ascii="宋体" w:hAnsi="宋体" w:eastAsia="宋体" w:cs="宋体"/>
          <w:color w:val="000000"/>
          <w:sz w:val="24"/>
          <w:szCs w:val="24"/>
          <w:highlight w:val="none"/>
          <w:lang w:val="en-US" w:eastAsia="zh-CN"/>
        </w:rPr>
      </w:pPr>
    </w:p>
    <w:p w14:paraId="6D234EF6">
      <w:pPr>
        <w:rPr>
          <w:rFonts w:hint="eastAsia" w:ascii="宋体" w:hAnsi="宋体" w:eastAsia="宋体" w:cs="宋体"/>
          <w:color w:val="000000"/>
          <w:sz w:val="24"/>
          <w:szCs w:val="24"/>
          <w:highlight w:val="none"/>
          <w:lang w:val="en-US" w:eastAsia="zh-CN"/>
        </w:rPr>
      </w:pPr>
    </w:p>
    <w:p w14:paraId="30DD6CFE">
      <w:pPr>
        <w:pStyle w:val="213"/>
        <w:rPr>
          <w:rFonts w:hint="eastAsia" w:ascii="宋体" w:hAnsi="宋体" w:eastAsia="宋体" w:cs="宋体"/>
          <w:color w:val="000000"/>
          <w:sz w:val="24"/>
          <w:szCs w:val="24"/>
          <w:highlight w:val="none"/>
          <w:lang w:val="en-US" w:eastAsia="zh-CN"/>
        </w:rPr>
      </w:pPr>
    </w:p>
    <w:p w14:paraId="71284DB8">
      <w:pPr>
        <w:rPr>
          <w:rFonts w:hint="eastAsia" w:ascii="宋体" w:hAnsi="宋体" w:eastAsia="宋体" w:cs="宋体"/>
          <w:color w:val="000000"/>
          <w:sz w:val="24"/>
          <w:szCs w:val="24"/>
          <w:highlight w:val="none"/>
          <w:lang w:val="en-US" w:eastAsia="zh-CN"/>
        </w:rPr>
      </w:pPr>
    </w:p>
    <w:p w14:paraId="2E75E9E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 xml:space="preserve">  参加本项目人员一览表</w:t>
      </w:r>
    </w:p>
    <w:p w14:paraId="553BC1ED">
      <w:pPr>
        <w:spacing w:line="360" w:lineRule="auto"/>
        <w:jc w:val="center"/>
        <w:rPr>
          <w:rFonts w:hint="eastAsia" w:ascii="宋体" w:hAnsi="宋体" w:eastAsia="宋体" w:cs="宋体"/>
          <w:b/>
          <w:color w:val="000000"/>
          <w:sz w:val="24"/>
          <w:szCs w:val="24"/>
          <w:highlight w:val="none"/>
        </w:rPr>
      </w:pPr>
    </w:p>
    <w:p w14:paraId="611842E5">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参加本项目人员一览表</w:t>
      </w:r>
    </w:p>
    <w:p w14:paraId="204BE553">
      <w:pPr>
        <w:spacing w:line="360" w:lineRule="auto"/>
        <w:rPr>
          <w:rFonts w:hint="eastAsia" w:ascii="宋体" w:hAnsi="宋体" w:eastAsia="宋体" w:cs="宋体"/>
          <w:color w:val="000000"/>
          <w:sz w:val="24"/>
          <w:szCs w:val="24"/>
          <w:highlight w:val="none"/>
        </w:rPr>
      </w:pPr>
    </w:p>
    <w:p w14:paraId="0A69432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p>
    <w:tbl>
      <w:tblPr>
        <w:tblStyle w:val="2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053E0B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637DAED9">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945" w:type="dxa"/>
            <w:noWrap w:val="0"/>
            <w:vAlign w:val="center"/>
          </w:tcPr>
          <w:p w14:paraId="70949D25">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945" w:type="dxa"/>
            <w:noWrap w:val="0"/>
            <w:vAlign w:val="center"/>
          </w:tcPr>
          <w:p w14:paraId="391E6E9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性别</w:t>
            </w:r>
          </w:p>
        </w:tc>
        <w:tc>
          <w:tcPr>
            <w:tcW w:w="945" w:type="dxa"/>
            <w:noWrap w:val="0"/>
            <w:vAlign w:val="center"/>
          </w:tcPr>
          <w:p w14:paraId="7E647B6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年龄</w:t>
            </w:r>
          </w:p>
        </w:tc>
        <w:tc>
          <w:tcPr>
            <w:tcW w:w="945" w:type="dxa"/>
            <w:noWrap w:val="0"/>
            <w:vAlign w:val="center"/>
          </w:tcPr>
          <w:p w14:paraId="362C5719">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毕业学校和学历</w:t>
            </w:r>
          </w:p>
        </w:tc>
        <w:tc>
          <w:tcPr>
            <w:tcW w:w="945" w:type="dxa"/>
            <w:noWrap w:val="0"/>
            <w:vAlign w:val="center"/>
          </w:tcPr>
          <w:p w14:paraId="1745840B">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专业</w:t>
            </w:r>
          </w:p>
        </w:tc>
        <w:tc>
          <w:tcPr>
            <w:tcW w:w="945" w:type="dxa"/>
            <w:noWrap w:val="0"/>
            <w:vAlign w:val="center"/>
          </w:tcPr>
          <w:p w14:paraId="6A3CABCD">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职称</w:t>
            </w:r>
          </w:p>
        </w:tc>
        <w:tc>
          <w:tcPr>
            <w:tcW w:w="945" w:type="dxa"/>
            <w:noWrap w:val="0"/>
            <w:vAlign w:val="center"/>
          </w:tcPr>
          <w:p w14:paraId="34028292">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专业培训及证书</w:t>
            </w:r>
          </w:p>
        </w:tc>
        <w:tc>
          <w:tcPr>
            <w:tcW w:w="945" w:type="dxa"/>
            <w:noWrap w:val="0"/>
            <w:vAlign w:val="center"/>
          </w:tcPr>
          <w:p w14:paraId="6C02D48B">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责任</w:t>
            </w:r>
          </w:p>
          <w:p w14:paraId="113E4CB3">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或分工</w:t>
            </w:r>
          </w:p>
        </w:tc>
        <w:tc>
          <w:tcPr>
            <w:tcW w:w="945" w:type="dxa"/>
            <w:noWrap w:val="0"/>
            <w:vAlign w:val="center"/>
          </w:tcPr>
          <w:p w14:paraId="4E04DA42">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项目经历或主要工作</w:t>
            </w:r>
          </w:p>
          <w:p w14:paraId="6849F60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业绩</w:t>
            </w:r>
          </w:p>
        </w:tc>
      </w:tr>
      <w:tr w14:paraId="37D7BF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E78A59C">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976E491">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1B2C9BF">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FA03CD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005E8797">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3A34AFC">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0E2C48E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BCF163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9852C5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A3AA048">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14:paraId="19BFFF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D58C53">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032357B">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98893C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31E156E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D6D86B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F46F00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EC29A6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B53D34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FD3CD9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AEFCF9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14:paraId="35CEC8D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2CC5E2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896A2B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8B6F1B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113717F">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6B87357">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B54ECF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1C28558F">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07385C1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56F1F33">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DFE8117">
            <w:pPr>
              <w:tabs>
                <w:tab w:val="left" w:pos="9765"/>
              </w:tabs>
              <w:spacing w:line="360" w:lineRule="auto"/>
              <w:rPr>
                <w:rFonts w:hint="eastAsia" w:ascii="宋体" w:hAnsi="宋体" w:eastAsia="宋体" w:cs="宋体"/>
                <w:color w:val="000000"/>
                <w:sz w:val="24"/>
                <w:szCs w:val="24"/>
                <w:highlight w:val="none"/>
              </w:rPr>
            </w:pPr>
          </w:p>
        </w:tc>
      </w:tr>
      <w:tr w14:paraId="34976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FEC41A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00A41A4">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445E982">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95EA100">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C804204">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38D4699">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0CEDCB3B">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E50877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FFA4A88">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16B62C99">
            <w:pPr>
              <w:tabs>
                <w:tab w:val="left" w:pos="9765"/>
              </w:tabs>
              <w:spacing w:line="360" w:lineRule="auto"/>
              <w:rPr>
                <w:rFonts w:hint="eastAsia" w:ascii="宋体" w:hAnsi="宋体" w:eastAsia="宋体" w:cs="宋体"/>
                <w:color w:val="000000"/>
                <w:sz w:val="24"/>
                <w:szCs w:val="24"/>
                <w:highlight w:val="none"/>
              </w:rPr>
            </w:pPr>
          </w:p>
        </w:tc>
      </w:tr>
      <w:tr w14:paraId="589F02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9E0C36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AD28C2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5BD5B3C">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659636D">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6E75F36">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B18EFDD">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18F9239">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D01BA58">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5986F8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EF62366">
            <w:pPr>
              <w:tabs>
                <w:tab w:val="left" w:pos="9765"/>
              </w:tabs>
              <w:spacing w:line="360" w:lineRule="auto"/>
              <w:rPr>
                <w:rFonts w:hint="eastAsia" w:ascii="宋体" w:hAnsi="宋体" w:eastAsia="宋体" w:cs="宋体"/>
                <w:color w:val="000000"/>
                <w:sz w:val="24"/>
                <w:szCs w:val="24"/>
                <w:highlight w:val="none"/>
              </w:rPr>
            </w:pPr>
          </w:p>
        </w:tc>
      </w:tr>
      <w:tr w14:paraId="2432BF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CD9D439">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EEB0469">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AE2829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3DB5C54">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A94531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1C009B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07CCF9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BF4C42B">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A36C50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D334E7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bl>
    <w:p w14:paraId="3677AF28">
      <w:pPr>
        <w:tabs>
          <w:tab w:val="left" w:pos="9765"/>
        </w:tabs>
        <w:rPr>
          <w:rFonts w:hint="eastAsia" w:ascii="宋体" w:hAnsi="宋体" w:eastAsia="宋体" w:cs="宋体"/>
          <w:b/>
          <w:color w:val="000000"/>
          <w:sz w:val="24"/>
          <w:szCs w:val="24"/>
          <w:highlight w:val="none"/>
          <w:lang w:val="zh-CN"/>
        </w:rPr>
      </w:pPr>
    </w:p>
    <w:p w14:paraId="001DC25F">
      <w:pPr>
        <w:tabs>
          <w:tab w:val="left" w:pos="9765"/>
        </w:tabs>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注：参加本项目人员须是供应商正式职工。</w:t>
      </w:r>
    </w:p>
    <w:p w14:paraId="709E1F04">
      <w:pPr>
        <w:spacing w:line="360" w:lineRule="auto"/>
        <w:rPr>
          <w:rFonts w:hint="eastAsia" w:ascii="宋体" w:hAnsi="宋体" w:eastAsia="宋体" w:cs="宋体"/>
          <w:color w:val="000000"/>
          <w:sz w:val="24"/>
          <w:szCs w:val="24"/>
          <w:highlight w:val="none"/>
        </w:rPr>
      </w:pPr>
    </w:p>
    <w:p w14:paraId="322A3182">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供应商名称（加盖公章）</w:t>
      </w:r>
      <w:r>
        <w:rPr>
          <w:rFonts w:hint="eastAsia" w:ascii="宋体" w:hAnsi="宋体" w:eastAsia="宋体" w:cs="宋体"/>
          <w:color w:val="000000"/>
          <w:sz w:val="24"/>
          <w:szCs w:val="24"/>
          <w:highlight w:val="none"/>
          <w:lang w:val="zh-CN"/>
        </w:rPr>
        <w:t>：    ____________</w:t>
      </w:r>
    </w:p>
    <w:p w14:paraId="49873802">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p>
    <w:p w14:paraId="76312D0E">
      <w:pPr>
        <w:rPr>
          <w:rFonts w:hint="eastAsia" w:ascii="宋体" w:hAnsi="宋体" w:eastAsia="宋体" w:cs="宋体"/>
          <w:color w:val="000000"/>
          <w:sz w:val="24"/>
          <w:szCs w:val="24"/>
          <w:highlight w:val="none"/>
        </w:rPr>
      </w:pPr>
      <w:bookmarkStart w:id="886" w:name="_Toc288738839"/>
      <w:bookmarkStart w:id="887" w:name="_Toc288738397"/>
    </w:p>
    <w:p w14:paraId="6AB206FF">
      <w:pPr>
        <w:pStyle w:val="185"/>
        <w:rPr>
          <w:rFonts w:hint="eastAsia" w:ascii="宋体" w:hAnsi="宋体" w:eastAsia="宋体" w:cs="宋体"/>
          <w:color w:val="000000"/>
          <w:sz w:val="24"/>
          <w:szCs w:val="24"/>
          <w:highlight w:val="none"/>
        </w:rPr>
      </w:pPr>
    </w:p>
    <w:p w14:paraId="408ECC67">
      <w:pPr>
        <w:rPr>
          <w:rFonts w:hint="eastAsia" w:ascii="宋体" w:hAnsi="宋体" w:eastAsia="宋体" w:cs="宋体"/>
          <w:color w:val="000000"/>
          <w:sz w:val="24"/>
          <w:szCs w:val="24"/>
          <w:highlight w:val="none"/>
        </w:rPr>
      </w:pPr>
    </w:p>
    <w:p w14:paraId="293651F0">
      <w:pPr>
        <w:pStyle w:val="185"/>
        <w:rPr>
          <w:rFonts w:hint="eastAsia" w:ascii="宋体" w:hAnsi="宋体" w:eastAsia="宋体" w:cs="宋体"/>
          <w:color w:val="000000"/>
          <w:sz w:val="24"/>
          <w:szCs w:val="24"/>
          <w:highlight w:val="none"/>
        </w:rPr>
      </w:pPr>
    </w:p>
    <w:p w14:paraId="3331E810">
      <w:pPr>
        <w:rPr>
          <w:rFonts w:hint="eastAsia" w:ascii="宋体" w:hAnsi="宋体" w:eastAsia="宋体" w:cs="宋体"/>
          <w:color w:val="000000"/>
          <w:sz w:val="24"/>
          <w:szCs w:val="24"/>
          <w:highlight w:val="none"/>
        </w:rPr>
      </w:pPr>
    </w:p>
    <w:p w14:paraId="1970BF90">
      <w:pPr>
        <w:pStyle w:val="185"/>
        <w:rPr>
          <w:rFonts w:hint="eastAsia" w:ascii="宋体" w:hAnsi="宋体" w:eastAsia="宋体" w:cs="宋体"/>
          <w:color w:val="000000"/>
          <w:sz w:val="24"/>
          <w:szCs w:val="24"/>
          <w:highlight w:val="none"/>
        </w:rPr>
      </w:pPr>
    </w:p>
    <w:p w14:paraId="20992788">
      <w:pPr>
        <w:rPr>
          <w:rFonts w:hint="eastAsia" w:ascii="宋体" w:hAnsi="宋体" w:eastAsia="宋体" w:cs="宋体"/>
          <w:color w:val="000000"/>
          <w:sz w:val="24"/>
          <w:szCs w:val="24"/>
          <w:highlight w:val="none"/>
        </w:rPr>
      </w:pPr>
    </w:p>
    <w:p w14:paraId="3E4FAF4B">
      <w:pPr>
        <w:pStyle w:val="185"/>
        <w:rPr>
          <w:rFonts w:hint="eastAsia" w:ascii="宋体" w:hAnsi="宋体" w:eastAsia="宋体" w:cs="宋体"/>
          <w:color w:val="000000"/>
          <w:sz w:val="24"/>
          <w:szCs w:val="24"/>
          <w:highlight w:val="none"/>
        </w:rPr>
      </w:pPr>
    </w:p>
    <w:p w14:paraId="22722896">
      <w:pPr>
        <w:rPr>
          <w:rFonts w:hint="eastAsia"/>
          <w:color w:val="000000"/>
          <w:highlight w:val="none"/>
        </w:rPr>
      </w:pPr>
    </w:p>
    <w:p w14:paraId="060F984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 xml:space="preserve">  相关业绩案例一览表</w:t>
      </w:r>
    </w:p>
    <w:p w14:paraId="573F99E1">
      <w:pPr>
        <w:rPr>
          <w:rFonts w:hint="eastAsia" w:ascii="宋体" w:hAnsi="宋体" w:eastAsia="宋体" w:cs="宋体"/>
          <w:color w:val="000000"/>
          <w:sz w:val="24"/>
          <w:szCs w:val="24"/>
          <w:highlight w:val="none"/>
        </w:rPr>
      </w:pPr>
    </w:p>
    <w:p w14:paraId="67E8D4D2">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相关业绩案例一览表</w:t>
      </w:r>
      <w:bookmarkEnd w:id="886"/>
      <w:bookmarkEnd w:id="887"/>
    </w:p>
    <w:p w14:paraId="6067750F">
      <w:pPr>
        <w:spacing w:line="360" w:lineRule="auto"/>
        <w:jc w:val="center"/>
        <w:rPr>
          <w:rFonts w:hint="eastAsia" w:ascii="宋体" w:hAnsi="宋体" w:eastAsia="宋体" w:cs="宋体"/>
          <w:b/>
          <w:color w:val="000000"/>
          <w:sz w:val="24"/>
          <w:szCs w:val="24"/>
          <w:highlight w:val="none"/>
        </w:rPr>
      </w:pPr>
    </w:p>
    <w:p w14:paraId="3A6C1F2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p>
    <w:tbl>
      <w:tblPr>
        <w:tblStyle w:val="2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27303EF">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DB50DE1">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06A8F28">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9C56FD8">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1CDC5A0">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993CC55">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0E149C2">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联系电话</w:t>
            </w:r>
          </w:p>
        </w:tc>
      </w:tr>
      <w:tr w14:paraId="2C3FAD7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A5A2F5D">
            <w:pPr>
              <w:tabs>
                <w:tab w:val="left" w:pos="9765"/>
              </w:tabs>
              <w:spacing w:line="360" w:lineRule="auto"/>
              <w:jc w:val="center"/>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BD9787F">
            <w:pPr>
              <w:tabs>
                <w:tab w:val="left" w:pos="9765"/>
              </w:tabs>
              <w:spacing w:line="360" w:lineRule="auto"/>
              <w:jc w:val="center"/>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F33FA28">
            <w:pPr>
              <w:tabs>
                <w:tab w:val="left" w:pos="9765"/>
              </w:tabs>
              <w:spacing w:line="360" w:lineRule="auto"/>
              <w:jc w:val="center"/>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577CF4A">
            <w:pPr>
              <w:tabs>
                <w:tab w:val="left" w:pos="9765"/>
              </w:tabs>
              <w:spacing w:line="360" w:lineRule="auto"/>
              <w:jc w:val="center"/>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6EE4DAD">
            <w:pPr>
              <w:tabs>
                <w:tab w:val="left" w:pos="9765"/>
              </w:tabs>
              <w:spacing w:line="360" w:lineRule="auto"/>
              <w:ind w:hanging="523"/>
              <w:jc w:val="center"/>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2789500">
            <w:pPr>
              <w:tabs>
                <w:tab w:val="left" w:pos="9765"/>
              </w:tabs>
              <w:spacing w:line="360" w:lineRule="auto"/>
              <w:ind w:hanging="523"/>
              <w:jc w:val="center"/>
              <w:rPr>
                <w:rFonts w:hint="eastAsia" w:ascii="宋体" w:hAnsi="宋体" w:eastAsia="宋体" w:cs="宋体"/>
                <w:color w:val="000000"/>
                <w:sz w:val="24"/>
                <w:szCs w:val="24"/>
                <w:highlight w:val="none"/>
              </w:rPr>
            </w:pPr>
          </w:p>
        </w:tc>
      </w:tr>
      <w:tr w14:paraId="6B00C3D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E3B9368">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9EC9DCF">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5EC71E">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0CABE21">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6FBA41">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7CF873">
            <w:pPr>
              <w:tabs>
                <w:tab w:val="left" w:pos="9765"/>
              </w:tabs>
              <w:spacing w:line="360" w:lineRule="auto"/>
              <w:rPr>
                <w:rFonts w:hint="eastAsia" w:ascii="宋体" w:hAnsi="宋体" w:eastAsia="宋体" w:cs="宋体"/>
                <w:color w:val="000000"/>
                <w:sz w:val="24"/>
                <w:szCs w:val="24"/>
                <w:highlight w:val="none"/>
              </w:rPr>
            </w:pPr>
          </w:p>
        </w:tc>
      </w:tr>
      <w:tr w14:paraId="7A856AC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61BEC2F">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3B122BA">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FC2D410">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1B3E727">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9A24B61">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4BCF7A">
            <w:pPr>
              <w:tabs>
                <w:tab w:val="left" w:pos="9765"/>
              </w:tabs>
              <w:spacing w:line="360" w:lineRule="auto"/>
              <w:rPr>
                <w:rFonts w:hint="eastAsia" w:ascii="宋体" w:hAnsi="宋体" w:eastAsia="宋体" w:cs="宋体"/>
                <w:color w:val="000000"/>
                <w:sz w:val="24"/>
                <w:szCs w:val="24"/>
                <w:highlight w:val="none"/>
              </w:rPr>
            </w:pPr>
          </w:p>
        </w:tc>
      </w:tr>
      <w:tr w14:paraId="61BB2B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989F66">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04DD426">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F0091E5">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2E52A0">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B14E0C2">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F1DD77E">
            <w:pPr>
              <w:tabs>
                <w:tab w:val="left" w:pos="9765"/>
              </w:tabs>
              <w:spacing w:line="360" w:lineRule="auto"/>
              <w:rPr>
                <w:rFonts w:hint="eastAsia" w:ascii="宋体" w:hAnsi="宋体" w:eastAsia="宋体" w:cs="宋体"/>
                <w:color w:val="000000"/>
                <w:sz w:val="24"/>
                <w:szCs w:val="24"/>
                <w:highlight w:val="none"/>
              </w:rPr>
            </w:pPr>
          </w:p>
        </w:tc>
      </w:tr>
      <w:tr w14:paraId="268026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81FB6C9">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1AD02FB">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28AA30">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B6DC49C">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9F34C5">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50AEBC5">
            <w:pPr>
              <w:tabs>
                <w:tab w:val="left" w:pos="9765"/>
              </w:tabs>
              <w:spacing w:line="360" w:lineRule="auto"/>
              <w:rPr>
                <w:rFonts w:hint="eastAsia" w:ascii="宋体" w:hAnsi="宋体" w:eastAsia="宋体" w:cs="宋体"/>
                <w:color w:val="000000"/>
                <w:sz w:val="24"/>
                <w:szCs w:val="24"/>
                <w:highlight w:val="none"/>
              </w:rPr>
            </w:pPr>
          </w:p>
        </w:tc>
      </w:tr>
      <w:tr w14:paraId="6484A6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8617466">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4D596C4">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10DD6D8">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CDBEFF5">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277DE50">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9FA58D">
            <w:pPr>
              <w:tabs>
                <w:tab w:val="left" w:pos="9765"/>
              </w:tabs>
              <w:spacing w:line="360" w:lineRule="auto"/>
              <w:rPr>
                <w:rFonts w:hint="eastAsia" w:ascii="宋体" w:hAnsi="宋体" w:eastAsia="宋体" w:cs="宋体"/>
                <w:color w:val="000000"/>
                <w:sz w:val="24"/>
                <w:szCs w:val="24"/>
                <w:highlight w:val="none"/>
              </w:rPr>
            </w:pPr>
          </w:p>
        </w:tc>
      </w:tr>
      <w:tr w14:paraId="6D3171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D7A01A1">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0C3E6FC">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B6F097">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74F155">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04D51B8">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0037F18">
            <w:pPr>
              <w:tabs>
                <w:tab w:val="left" w:pos="9765"/>
              </w:tabs>
              <w:spacing w:line="360" w:lineRule="auto"/>
              <w:rPr>
                <w:rFonts w:hint="eastAsia" w:ascii="宋体" w:hAnsi="宋体" w:eastAsia="宋体" w:cs="宋体"/>
                <w:color w:val="000000"/>
                <w:sz w:val="24"/>
                <w:szCs w:val="24"/>
                <w:highlight w:val="none"/>
              </w:rPr>
            </w:pPr>
          </w:p>
        </w:tc>
      </w:tr>
      <w:tr w14:paraId="1043EF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38258EE">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61A83E">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E2381">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0C3C610">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96385EF">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E56D98">
            <w:pPr>
              <w:tabs>
                <w:tab w:val="left" w:pos="9765"/>
              </w:tabs>
              <w:spacing w:line="360" w:lineRule="auto"/>
              <w:rPr>
                <w:rFonts w:hint="eastAsia" w:ascii="宋体" w:hAnsi="宋体" w:eastAsia="宋体" w:cs="宋体"/>
                <w:color w:val="000000"/>
                <w:sz w:val="24"/>
                <w:szCs w:val="24"/>
                <w:highlight w:val="none"/>
              </w:rPr>
            </w:pPr>
          </w:p>
        </w:tc>
      </w:tr>
      <w:tr w14:paraId="497A71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7CB2D9B">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5D97AD">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D1B35FA">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C9F6CE">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E20B634">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C3B9621">
            <w:pPr>
              <w:tabs>
                <w:tab w:val="left" w:pos="9765"/>
              </w:tabs>
              <w:spacing w:line="360" w:lineRule="auto"/>
              <w:rPr>
                <w:rFonts w:hint="eastAsia" w:ascii="宋体" w:hAnsi="宋体" w:eastAsia="宋体" w:cs="宋体"/>
                <w:color w:val="000000"/>
                <w:sz w:val="24"/>
                <w:szCs w:val="24"/>
                <w:highlight w:val="none"/>
              </w:rPr>
            </w:pPr>
          </w:p>
        </w:tc>
      </w:tr>
    </w:tbl>
    <w:p w14:paraId="73D18C5C">
      <w:pPr>
        <w:tabs>
          <w:tab w:val="left" w:pos="9765"/>
        </w:tabs>
        <w:rPr>
          <w:rFonts w:hint="eastAsia" w:ascii="宋体" w:hAnsi="宋体" w:eastAsia="宋体" w:cs="宋体"/>
          <w:color w:val="000000"/>
          <w:sz w:val="24"/>
          <w:szCs w:val="24"/>
          <w:highlight w:val="none"/>
          <w:lang w:val="zh-CN"/>
        </w:rPr>
      </w:pPr>
    </w:p>
    <w:p w14:paraId="117A5A10">
      <w:pPr>
        <w:spacing w:line="360" w:lineRule="auto"/>
        <w:rPr>
          <w:rFonts w:hint="eastAsia" w:ascii="宋体" w:hAnsi="宋体" w:eastAsia="宋体" w:cs="宋体"/>
          <w:color w:val="000000"/>
          <w:sz w:val="24"/>
          <w:szCs w:val="24"/>
          <w:highlight w:val="none"/>
        </w:rPr>
      </w:pPr>
    </w:p>
    <w:p w14:paraId="3EB21A40">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供应商名称（加盖公章）</w:t>
      </w:r>
      <w:r>
        <w:rPr>
          <w:rFonts w:hint="eastAsia" w:ascii="宋体" w:hAnsi="宋体" w:eastAsia="宋体" w:cs="宋体"/>
          <w:color w:val="000000"/>
          <w:sz w:val="24"/>
          <w:szCs w:val="24"/>
          <w:highlight w:val="none"/>
          <w:lang w:val="zh-CN"/>
        </w:rPr>
        <w:t>：    ____________</w:t>
      </w:r>
    </w:p>
    <w:p w14:paraId="4B22871B">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p>
    <w:p w14:paraId="3D85E4AA">
      <w:pPr>
        <w:spacing w:line="360" w:lineRule="auto"/>
        <w:outlineLvl w:val="2"/>
        <w:rPr>
          <w:rFonts w:hint="eastAsia" w:ascii="宋体" w:hAnsi="宋体" w:eastAsia="宋体" w:cs="宋体"/>
          <w:color w:val="000000"/>
          <w:sz w:val="24"/>
          <w:szCs w:val="24"/>
          <w:highlight w:val="none"/>
        </w:rPr>
      </w:pPr>
    </w:p>
    <w:p w14:paraId="790C4B19">
      <w:pPr>
        <w:spacing w:line="360" w:lineRule="auto"/>
        <w:outlineLvl w:val="2"/>
        <w:rPr>
          <w:rFonts w:hint="eastAsia" w:ascii="宋体" w:hAnsi="宋体" w:eastAsia="宋体" w:cs="宋体"/>
          <w:color w:val="000000"/>
          <w:sz w:val="24"/>
          <w:szCs w:val="24"/>
          <w:highlight w:val="none"/>
        </w:rPr>
      </w:pPr>
    </w:p>
    <w:p w14:paraId="53A3AA3C">
      <w:pPr>
        <w:spacing w:line="360" w:lineRule="auto"/>
        <w:outlineLvl w:val="2"/>
        <w:rPr>
          <w:rFonts w:hint="eastAsia" w:ascii="宋体" w:hAnsi="宋体" w:eastAsia="宋体" w:cs="宋体"/>
          <w:color w:val="000000"/>
          <w:sz w:val="24"/>
          <w:szCs w:val="24"/>
          <w:highlight w:val="none"/>
        </w:rPr>
      </w:pPr>
    </w:p>
    <w:p w14:paraId="38ABF112">
      <w:pPr>
        <w:spacing w:line="360" w:lineRule="auto"/>
        <w:outlineLvl w:val="2"/>
        <w:rPr>
          <w:rFonts w:hint="eastAsia" w:ascii="宋体" w:hAnsi="宋体" w:eastAsia="宋体" w:cs="宋体"/>
          <w:color w:val="000000"/>
          <w:sz w:val="24"/>
          <w:szCs w:val="24"/>
          <w:highlight w:val="none"/>
        </w:rPr>
      </w:pPr>
    </w:p>
    <w:p w14:paraId="0AF386D5">
      <w:pPr>
        <w:spacing w:line="360" w:lineRule="auto"/>
        <w:outlineLvl w:val="2"/>
        <w:rPr>
          <w:rFonts w:hint="eastAsia" w:ascii="宋体" w:hAnsi="宋体" w:eastAsia="宋体" w:cs="宋体"/>
          <w:color w:val="000000"/>
          <w:sz w:val="24"/>
          <w:szCs w:val="24"/>
          <w:highlight w:val="none"/>
        </w:rPr>
      </w:pPr>
    </w:p>
    <w:p w14:paraId="3C1CFE20">
      <w:pPr>
        <w:spacing w:line="360" w:lineRule="auto"/>
        <w:outlineLvl w:val="2"/>
        <w:rPr>
          <w:rFonts w:hint="eastAsia" w:ascii="宋体" w:hAnsi="宋体" w:eastAsia="宋体" w:cs="宋体"/>
          <w:color w:val="000000"/>
          <w:sz w:val="24"/>
          <w:szCs w:val="24"/>
          <w:highlight w:val="none"/>
        </w:rPr>
      </w:pPr>
    </w:p>
    <w:p w14:paraId="3B2C8A95">
      <w:pPr>
        <w:spacing w:line="360" w:lineRule="auto"/>
        <w:outlineLvl w:val="2"/>
        <w:rPr>
          <w:rFonts w:hint="eastAsia" w:ascii="宋体" w:hAnsi="宋体" w:eastAsia="宋体" w:cs="宋体"/>
          <w:color w:val="000000"/>
          <w:sz w:val="24"/>
          <w:szCs w:val="24"/>
          <w:highlight w:val="none"/>
        </w:rPr>
      </w:pPr>
    </w:p>
    <w:p w14:paraId="5E1DCD59">
      <w:pPr>
        <w:spacing w:line="360" w:lineRule="auto"/>
        <w:outlineLvl w:val="2"/>
        <w:rPr>
          <w:rFonts w:hint="eastAsia" w:ascii="宋体" w:hAnsi="宋体" w:eastAsia="宋体" w:cs="宋体"/>
          <w:color w:val="000000"/>
          <w:sz w:val="24"/>
          <w:szCs w:val="24"/>
          <w:highlight w:val="none"/>
        </w:rPr>
      </w:pPr>
    </w:p>
    <w:p w14:paraId="4A7CFFC3">
      <w:pPr>
        <w:pStyle w:val="183"/>
        <w:rPr>
          <w:rFonts w:hint="eastAsia" w:ascii="宋体" w:hAnsi="宋体" w:eastAsia="宋体" w:cs="宋体"/>
          <w:color w:val="000000"/>
          <w:sz w:val="24"/>
          <w:szCs w:val="24"/>
          <w:highlight w:val="none"/>
        </w:rPr>
      </w:pPr>
    </w:p>
    <w:p w14:paraId="4021AB6F">
      <w:pPr>
        <w:rPr>
          <w:rFonts w:hint="eastAsia" w:ascii="宋体" w:hAnsi="宋体" w:eastAsia="宋体" w:cs="宋体"/>
          <w:color w:val="000000"/>
          <w:sz w:val="24"/>
          <w:szCs w:val="24"/>
          <w:highlight w:val="none"/>
        </w:rPr>
      </w:pPr>
    </w:p>
    <w:p w14:paraId="61D2809B">
      <w:pPr>
        <w:pStyle w:val="183"/>
        <w:rPr>
          <w:rFonts w:hint="eastAsia" w:ascii="宋体" w:hAnsi="宋体" w:eastAsia="宋体" w:cs="宋体"/>
          <w:color w:val="000000"/>
          <w:sz w:val="24"/>
          <w:szCs w:val="24"/>
          <w:highlight w:val="none"/>
        </w:rPr>
      </w:pPr>
    </w:p>
    <w:p w14:paraId="4191F2DD">
      <w:pPr>
        <w:rPr>
          <w:rFonts w:hint="eastAsia" w:ascii="宋体" w:hAnsi="宋体" w:eastAsia="宋体" w:cs="宋体"/>
          <w:color w:val="000000"/>
          <w:sz w:val="24"/>
          <w:szCs w:val="24"/>
          <w:highlight w:val="none"/>
        </w:rPr>
      </w:pPr>
    </w:p>
    <w:p w14:paraId="66156DBA">
      <w:pPr>
        <w:pStyle w:val="183"/>
        <w:jc w:val="both"/>
        <w:rPr>
          <w:rFonts w:hint="eastAsia"/>
        </w:rPr>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b w:val="0"/>
          <w:bCs w:val="0"/>
          <w:color w:val="000000"/>
          <w:sz w:val="24"/>
          <w:szCs w:val="20"/>
          <w:lang w:val="en-US" w:eastAsia="zh-CN"/>
        </w:rPr>
        <w:t>招标</w:t>
      </w:r>
      <w:r>
        <w:rPr>
          <w:rFonts w:hint="eastAsia" w:ascii="宋体" w:hAnsi="宋体" w:eastAsia="宋体" w:cs="宋体"/>
          <w:b w:val="0"/>
          <w:bCs w:val="0"/>
          <w:color w:val="000000"/>
          <w:sz w:val="24"/>
          <w:szCs w:val="20"/>
        </w:rPr>
        <w:t>文件要求提供或</w:t>
      </w:r>
      <w:r>
        <w:rPr>
          <w:rFonts w:hint="eastAsia" w:ascii="宋体" w:hAnsi="宋体" w:eastAsia="宋体" w:cs="宋体"/>
          <w:b w:val="0"/>
          <w:bCs w:val="0"/>
          <w:color w:val="000000"/>
          <w:sz w:val="24"/>
          <w:szCs w:val="20"/>
          <w:lang w:val="en-US" w:eastAsia="zh-CN"/>
        </w:rPr>
        <w:t>投标人</w:t>
      </w:r>
      <w:r>
        <w:rPr>
          <w:rFonts w:hint="eastAsia" w:ascii="宋体" w:hAnsi="宋体" w:eastAsia="宋体" w:cs="宋体"/>
          <w:b w:val="0"/>
          <w:bCs w:val="0"/>
          <w:color w:val="000000"/>
          <w:sz w:val="24"/>
          <w:szCs w:val="20"/>
        </w:rPr>
        <w:t>认为应附的其他材料</w:t>
      </w:r>
      <w:r>
        <w:rPr>
          <w:rFonts w:hint="eastAsia" w:ascii="宋体" w:hAnsi="宋体" w:eastAsia="宋体" w:cs="宋体"/>
          <w:b w:val="0"/>
          <w:bCs w:val="0"/>
          <w:color w:val="000000"/>
          <w:sz w:val="24"/>
          <w:szCs w:val="20"/>
          <w:lang w:eastAsia="zh-CN"/>
        </w:rPr>
        <w:t>（</w:t>
      </w:r>
      <w:r>
        <w:rPr>
          <w:rFonts w:hint="eastAsia" w:ascii="宋体" w:hAnsi="宋体" w:eastAsia="宋体" w:cs="宋体"/>
          <w:b w:val="0"/>
          <w:bCs w:val="0"/>
          <w:color w:val="000000"/>
          <w:sz w:val="24"/>
          <w:szCs w:val="20"/>
          <w:lang w:val="en-US" w:eastAsia="zh-CN"/>
        </w:rPr>
        <w:t>格式自拟</w:t>
      </w:r>
      <w:r>
        <w:rPr>
          <w:rFonts w:hint="eastAsia" w:ascii="宋体" w:hAnsi="宋体" w:eastAsia="宋体" w:cs="宋体"/>
          <w:b w:val="0"/>
          <w:bCs w:val="0"/>
          <w:color w:val="000000"/>
          <w:sz w:val="24"/>
          <w:szCs w:val="20"/>
          <w:lang w:eastAsia="zh-CN"/>
        </w:rPr>
        <w:t>）</w:t>
      </w:r>
    </w:p>
    <w:p w14:paraId="1B42CFA8">
      <w:pPr>
        <w:spacing w:line="360" w:lineRule="auto"/>
        <w:outlineLvl w:val="2"/>
        <w:rPr>
          <w:rFonts w:hint="eastAsia" w:ascii="宋体" w:hAnsi="宋体" w:eastAsia="宋体" w:cs="宋体"/>
          <w:color w:val="000000"/>
          <w:sz w:val="24"/>
          <w:szCs w:val="24"/>
          <w:highlight w:val="none"/>
        </w:rPr>
      </w:pPr>
    </w:p>
    <w:p w14:paraId="00F39CD9">
      <w:pPr>
        <w:spacing w:line="360" w:lineRule="auto"/>
        <w:outlineLvl w:val="2"/>
        <w:rPr>
          <w:rFonts w:hint="eastAsia" w:ascii="宋体" w:hAnsi="宋体" w:eastAsia="宋体" w:cs="宋体"/>
          <w:color w:val="000000"/>
          <w:sz w:val="24"/>
          <w:szCs w:val="24"/>
          <w:highlight w:val="none"/>
        </w:rPr>
      </w:pPr>
    </w:p>
    <w:p w14:paraId="6DAB2D66">
      <w:pPr>
        <w:spacing w:line="360" w:lineRule="auto"/>
        <w:outlineLvl w:val="2"/>
        <w:rPr>
          <w:rFonts w:hint="eastAsia" w:ascii="宋体" w:hAnsi="宋体" w:eastAsia="宋体" w:cs="宋体"/>
          <w:color w:val="000000"/>
          <w:sz w:val="24"/>
          <w:szCs w:val="24"/>
          <w:highlight w:val="none"/>
        </w:rPr>
      </w:pPr>
    </w:p>
    <w:p w14:paraId="0CFB6B6B">
      <w:pPr>
        <w:spacing w:line="360" w:lineRule="auto"/>
        <w:outlineLvl w:val="2"/>
        <w:rPr>
          <w:rFonts w:hint="eastAsia" w:ascii="宋体" w:hAnsi="宋体" w:eastAsia="宋体" w:cs="宋体"/>
          <w:color w:val="000000"/>
          <w:sz w:val="24"/>
          <w:szCs w:val="24"/>
          <w:highlight w:val="none"/>
        </w:rPr>
      </w:pPr>
    </w:p>
    <w:p w14:paraId="32A789DD">
      <w:pPr>
        <w:spacing w:line="360" w:lineRule="auto"/>
        <w:outlineLvl w:val="2"/>
        <w:rPr>
          <w:rFonts w:hint="eastAsia" w:ascii="宋体" w:hAnsi="宋体" w:eastAsia="宋体" w:cs="宋体"/>
          <w:color w:val="000000"/>
          <w:sz w:val="24"/>
          <w:szCs w:val="24"/>
          <w:highlight w:val="none"/>
        </w:rPr>
      </w:pPr>
    </w:p>
    <w:p w14:paraId="79BE456E">
      <w:pPr>
        <w:spacing w:line="360" w:lineRule="auto"/>
        <w:outlineLvl w:val="2"/>
        <w:rPr>
          <w:rFonts w:hint="eastAsia" w:ascii="宋体" w:hAnsi="宋体" w:eastAsia="宋体" w:cs="宋体"/>
          <w:color w:val="000000"/>
          <w:sz w:val="24"/>
          <w:szCs w:val="24"/>
          <w:highlight w:val="none"/>
        </w:rPr>
      </w:pPr>
    </w:p>
    <w:p w14:paraId="75616091">
      <w:pPr>
        <w:spacing w:line="360" w:lineRule="auto"/>
        <w:outlineLvl w:val="2"/>
        <w:rPr>
          <w:rFonts w:hint="eastAsia" w:ascii="宋体" w:hAnsi="宋体" w:eastAsia="宋体" w:cs="宋体"/>
          <w:color w:val="000000"/>
          <w:sz w:val="24"/>
          <w:szCs w:val="24"/>
          <w:highlight w:val="none"/>
        </w:rPr>
      </w:pPr>
    </w:p>
    <w:p w14:paraId="53158451">
      <w:pPr>
        <w:spacing w:line="360" w:lineRule="auto"/>
        <w:outlineLvl w:val="2"/>
        <w:rPr>
          <w:rFonts w:hint="eastAsia" w:ascii="宋体" w:hAnsi="宋体" w:eastAsia="宋体" w:cs="宋体"/>
          <w:color w:val="000000"/>
          <w:sz w:val="24"/>
          <w:szCs w:val="24"/>
          <w:highlight w:val="none"/>
        </w:rPr>
      </w:pPr>
    </w:p>
    <w:p w14:paraId="22C7E39E">
      <w:pPr>
        <w:spacing w:line="360" w:lineRule="auto"/>
        <w:outlineLvl w:val="2"/>
        <w:rPr>
          <w:rFonts w:hint="eastAsia" w:ascii="宋体" w:hAnsi="宋体" w:eastAsia="宋体" w:cs="宋体"/>
          <w:color w:val="000000"/>
          <w:sz w:val="24"/>
          <w:szCs w:val="24"/>
          <w:highlight w:val="none"/>
        </w:rPr>
      </w:pPr>
    </w:p>
    <w:p w14:paraId="4EC8F0C8">
      <w:pPr>
        <w:spacing w:line="360" w:lineRule="auto"/>
        <w:rPr>
          <w:rFonts w:hint="eastAsia" w:ascii="宋体" w:hAnsi="宋体" w:eastAsia="宋体" w:cs="宋体"/>
          <w:b/>
          <w:color w:val="000000"/>
          <w:sz w:val="24"/>
          <w:szCs w:val="24"/>
          <w:highlight w:val="none"/>
        </w:rPr>
      </w:pPr>
    </w:p>
    <w:sectPr>
      <w:footerReference r:id="rId11" w:type="default"/>
      <w:pgSz w:w="11907" w:h="16840"/>
      <w:pgMar w:top="1418" w:right="1134" w:bottom="1418" w:left="1701" w:header="851" w:footer="851"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Segoe UI Emoji">
    <w:panose1 w:val="020B0502040204020203"/>
    <w:charset w:val="00"/>
    <w:family w:val="auto"/>
    <w:pitch w:val="default"/>
    <w:sig w:usb0="00000001" w:usb1="02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272E3">
    <w:pPr>
      <w:pStyle w:val="230"/>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ADC0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A9ADC0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D75D7">
    <w:pPr>
      <w:pStyle w:val="230"/>
      <w:framePr w:wrap="around" w:vAnchor="text" w:hAnchor="margin" w:xAlign="center" w:y="1"/>
      <w:rPr>
        <w:rStyle w:val="256"/>
      </w:rPr>
    </w:pPr>
    <w:r>
      <w:fldChar w:fldCharType="begin"/>
    </w:r>
    <w:r>
      <w:rPr>
        <w:rStyle w:val="256"/>
      </w:rPr>
      <w:instrText xml:space="preserve">PAGE  </w:instrText>
    </w:r>
    <w:r>
      <w:fldChar w:fldCharType="end"/>
    </w:r>
  </w:p>
  <w:p w14:paraId="4D157049">
    <w:pPr>
      <w:pStyle w:val="2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311F7">
    <w:pPr>
      <w:pStyle w:val="2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A6942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p w14:paraId="46CF690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1A6942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p w14:paraId="46CF690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453E">
    <w:pPr>
      <w:pStyle w:val="230"/>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B098D">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48B098D">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FF021">
    <w:pPr>
      <w:pStyle w:val="23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F044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8AF044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9027">
    <w:pPr>
      <w:pStyle w:val="230"/>
      <w:framePr w:wrap="around" w:vAnchor="text" w:hAnchor="margin" w:xAlign="right" w:y="1"/>
      <w:rPr>
        <w:rStyle w:val="256"/>
      </w:rPr>
    </w:pPr>
    <w:r>
      <w:rPr>
        <w:rStyle w:val="256"/>
      </w:rPr>
      <w:fldChar w:fldCharType="begin"/>
    </w:r>
    <w:r>
      <w:rPr>
        <w:rStyle w:val="256"/>
      </w:rPr>
      <w:instrText xml:space="preserve">PAGE  </w:instrText>
    </w:r>
    <w:r>
      <w:rPr>
        <w:rStyle w:val="256"/>
      </w:rPr>
      <w:fldChar w:fldCharType="end"/>
    </w:r>
  </w:p>
  <w:p w14:paraId="5F38B8D6">
    <w:pPr>
      <w:pStyle w:val="2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84252">
    <w:pPr>
      <w:widowControl w:val="0"/>
      <w:tabs>
        <w:tab w:val="right" w:pos="8307"/>
      </w:tabs>
      <w:jc w:val="left"/>
      <w:rPr>
        <w:rFonts w:ascii="宋体" w:hAnsi="Times New Roman" w:eastAsia="宋体" w:cs="Times New Roman"/>
        <w:sz w:val="18"/>
        <w:szCs w:val="20"/>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0B80C">
                          <w:pPr>
                            <w:pStyle w:val="17"/>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AC0B80C">
                    <w:pPr>
                      <w:pStyle w:val="17"/>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101DE">
    <w:pPr>
      <w:spacing w:line="219" w:lineRule="auto"/>
      <w:ind w:left="4053"/>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8618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3B8618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861E0">
    <w:pPr>
      <w:spacing w:line="196" w:lineRule="auto"/>
      <w:ind w:left="4565"/>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F4A9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4CF4A9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3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4B5D9F5"/>
    <w:multiLevelType w:val="multilevel"/>
    <w:tmpl w:val="F4B5D9F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pStyle w:val="28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0"/>
      <w:suff w:val="nothing"/>
      <w:lvlText w:val="%1.%2.%3.%4.%5.%6　"/>
      <w:lvlJc w:val="left"/>
      <w:pPr>
        <w:ind w:left="-25" w:firstLine="0"/>
      </w:pPr>
      <w:rPr>
        <w:rFonts w:ascii="Times New Roman" w:hAnsi="Times New Roman" w:eastAsia="宋体"/>
        <w:b/>
        <w:i w:val="0"/>
        <w:sz w:val="28"/>
      </w:rPr>
    </w:lvl>
    <w:lvl w:ilvl="6" w:tentative="0">
      <w:start w:val="1"/>
      <w:numFmt w:val="lowerLetter"/>
      <w:pStyle w:val="34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6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3"/>
      <w:lvlText w:val="%1"/>
      <w:lvlJc w:val="left"/>
      <w:pPr>
        <w:ind w:left="680" w:hanging="680"/>
      </w:pPr>
      <w:rPr>
        <w:rFonts w:hint="eastAsia" w:ascii="宋体" w:hAnsi="宋体" w:eastAsia="宋体"/>
      </w:rPr>
    </w:lvl>
    <w:lvl w:ilvl="1" w:tentative="0">
      <w:start w:val="1"/>
      <w:numFmt w:val="decimal"/>
      <w:pStyle w:val="394"/>
      <w:lvlText w:val="%1.%2"/>
      <w:lvlJc w:val="left"/>
      <w:pPr>
        <w:ind w:left="851" w:hanging="851"/>
      </w:pPr>
      <w:rPr>
        <w:rFonts w:hint="eastAsia" w:ascii="宋体" w:hAnsi="宋体" w:eastAsia="宋体"/>
        <w:color w:val="000000"/>
      </w:rPr>
    </w:lvl>
    <w:lvl w:ilvl="2" w:tentative="0">
      <w:start w:val="1"/>
      <w:numFmt w:val="decimal"/>
      <w:pStyle w:val="3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4D4DC07F"/>
    <w:multiLevelType w:val="multilevel"/>
    <w:tmpl w:val="4D4DC07F"/>
    <w:lvl w:ilvl="0" w:tentative="0">
      <w:start w:val="2"/>
      <w:numFmt w:val="chineseCounting"/>
      <w:suff w:val="space"/>
      <w:lvlText w:val="%1、"/>
      <w:lvlJc w:val="left"/>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pStyle w:val="2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2F22C5"/>
    <w:rsid w:val="128F6826"/>
    <w:rsid w:val="149772DC"/>
    <w:rsid w:val="1F523DDF"/>
    <w:rsid w:val="2BB57328"/>
    <w:rsid w:val="3E7F5078"/>
    <w:rsid w:val="4A785E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keepLines/>
      <w:spacing w:before="240" w:after="120" w:line="300" w:lineRule="auto"/>
      <w:jc w:val="center"/>
      <w:outlineLvl w:val="0"/>
    </w:pPr>
    <w:rPr>
      <w:rFonts w:ascii="宋体"/>
      <w:b/>
      <w:sz w:val="32"/>
      <w:szCs w:val="20"/>
    </w:rPr>
  </w:style>
  <w:style w:type="paragraph" w:customStyle="1" w:styleId="183">
    <w:name w:val="标题 21"/>
    <w:basedOn w:val="1"/>
    <w:next w:val="184"/>
    <w:link w:val="195"/>
    <w:qFormat/>
    <w:uiPriority w:val="0"/>
    <w:pPr>
      <w:keepNext/>
      <w:keepLines/>
      <w:spacing w:before="120" w:line="300" w:lineRule="auto"/>
      <w:jc w:val="center"/>
      <w:outlineLvl w:val="1"/>
    </w:pPr>
    <w:rPr>
      <w:rFonts w:ascii="Arial" w:hAnsi="Arial" w:eastAsia="黑体"/>
      <w:b/>
      <w:sz w:val="30"/>
      <w:szCs w:val="20"/>
    </w:rPr>
  </w:style>
  <w:style w:type="paragraph" w:customStyle="1" w:styleId="184">
    <w:name w:val="正文缩进11"/>
    <w:basedOn w:val="1"/>
    <w:next w:val="1"/>
    <w:link w:val="196"/>
    <w:qFormat/>
    <w:uiPriority w:val="0"/>
    <w:pPr>
      <w:ind w:firstLine="420"/>
      <w:jc w:val="left"/>
    </w:pPr>
    <w:rPr>
      <w:rFonts w:ascii="宋体"/>
      <w:sz w:val="24"/>
    </w:rPr>
  </w:style>
  <w:style w:type="paragraph" w:customStyle="1" w:styleId="185">
    <w:name w:val="标题 31"/>
    <w:basedOn w:val="1"/>
    <w:next w:val="1"/>
    <w:link w:val="197"/>
    <w:qFormat/>
    <w:uiPriority w:val="0"/>
    <w:pPr>
      <w:keepNext/>
      <w:keepLines/>
      <w:spacing w:before="360" w:after="120"/>
      <w:jc w:val="left"/>
      <w:outlineLvl w:val="2"/>
    </w:pPr>
    <w:rPr>
      <w:rFonts w:ascii="宋体"/>
      <w:b/>
      <w:sz w:val="24"/>
      <w:szCs w:val="20"/>
      <w:u w:val="single"/>
    </w:rPr>
  </w:style>
  <w:style w:type="paragraph" w:customStyle="1" w:styleId="186">
    <w:name w:val="标题 41"/>
    <w:basedOn w:val="1"/>
    <w:next w:val="1"/>
    <w:link w:val="198"/>
    <w:qFormat/>
    <w:uiPriority w:val="0"/>
    <w:pPr>
      <w:keepNext/>
      <w:keepLines/>
      <w:spacing w:before="280" w:after="290" w:line="376" w:lineRule="atLeast"/>
      <w:outlineLvl w:val="3"/>
    </w:pPr>
    <w:rPr>
      <w:rFonts w:ascii="Arial" w:hAnsi="Arial" w:eastAsia="黑体"/>
      <w:b/>
      <w:sz w:val="28"/>
      <w:szCs w:val="20"/>
    </w:rPr>
  </w:style>
  <w:style w:type="paragraph" w:customStyle="1" w:styleId="187">
    <w:name w:val="标题 51"/>
    <w:basedOn w:val="1"/>
    <w:next w:val="1"/>
    <w:link w:val="199"/>
    <w:qFormat/>
    <w:uiPriority w:val="0"/>
    <w:pPr>
      <w:keepNext/>
      <w:keepLines/>
      <w:spacing w:before="280" w:after="290" w:line="376" w:lineRule="atLeast"/>
      <w:outlineLvl w:val="4"/>
    </w:pPr>
    <w:rPr>
      <w:b/>
      <w:sz w:val="28"/>
      <w:szCs w:val="20"/>
    </w:rPr>
  </w:style>
  <w:style w:type="paragraph" w:customStyle="1" w:styleId="188">
    <w:name w:val="标题 61"/>
    <w:basedOn w:val="1"/>
    <w:next w:val="1"/>
    <w:link w:val="200"/>
    <w:qFormat/>
    <w:uiPriority w:val="0"/>
    <w:pPr>
      <w:keepNext/>
      <w:keepLines/>
      <w:spacing w:before="240" w:after="64" w:line="320" w:lineRule="atLeast"/>
      <w:outlineLvl w:val="5"/>
    </w:pPr>
    <w:rPr>
      <w:rFonts w:ascii="Arial" w:hAnsi="Arial" w:eastAsia="黑体"/>
      <w:b/>
      <w:sz w:val="24"/>
      <w:szCs w:val="20"/>
    </w:rPr>
  </w:style>
  <w:style w:type="paragraph" w:customStyle="1" w:styleId="189">
    <w:name w:val="标题 71"/>
    <w:basedOn w:val="1"/>
    <w:next w:val="1"/>
    <w:link w:val="201"/>
    <w:qFormat/>
    <w:uiPriority w:val="0"/>
    <w:pPr>
      <w:keepNext/>
      <w:keepLines/>
      <w:spacing w:before="240" w:after="64" w:line="320" w:lineRule="atLeast"/>
      <w:outlineLvl w:val="6"/>
    </w:pPr>
    <w:rPr>
      <w:b/>
      <w:sz w:val="24"/>
      <w:szCs w:val="20"/>
    </w:rPr>
  </w:style>
  <w:style w:type="paragraph" w:customStyle="1" w:styleId="190">
    <w:name w:val="标题 81"/>
    <w:basedOn w:val="1"/>
    <w:next w:val="1"/>
    <w:link w:val="202"/>
    <w:qFormat/>
    <w:uiPriority w:val="0"/>
    <w:pPr>
      <w:keepNext/>
      <w:keepLines/>
      <w:spacing w:before="240" w:after="64" w:line="320" w:lineRule="atLeast"/>
      <w:outlineLvl w:val="7"/>
    </w:pPr>
    <w:rPr>
      <w:rFonts w:ascii="Arial" w:hAnsi="Arial" w:eastAsia="黑体"/>
      <w:sz w:val="24"/>
      <w:szCs w:val="20"/>
    </w:rPr>
  </w:style>
  <w:style w:type="paragraph" w:customStyle="1" w:styleId="191">
    <w:name w:val="标题 91"/>
    <w:basedOn w:val="1"/>
    <w:next w:val="1"/>
    <w:link w:val="203"/>
    <w:qFormat/>
    <w:uiPriority w:val="0"/>
    <w:pPr>
      <w:keepNext/>
      <w:keepLines/>
      <w:spacing w:before="240" w:after="64" w:line="320" w:lineRule="atLeast"/>
      <w:outlineLvl w:val="8"/>
    </w:pPr>
    <w:rPr>
      <w:rFonts w:ascii="Arial" w:hAnsi="Arial" w:eastAsia="黑体"/>
      <w:szCs w:val="20"/>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basedOn w:val="192"/>
    <w:link w:val="182"/>
    <w:qFormat/>
    <w:uiPriority w:val="0"/>
    <w:rPr>
      <w:rFonts w:ascii="宋体"/>
      <w:b/>
      <w:sz w:val="32"/>
    </w:rPr>
  </w:style>
  <w:style w:type="character" w:customStyle="1" w:styleId="195">
    <w:name w:val="标题 2 Char1"/>
    <w:link w:val="183"/>
    <w:qFormat/>
    <w:uiPriority w:val="0"/>
    <w:rPr>
      <w:rFonts w:ascii="Arial" w:hAnsi="Arial" w:eastAsia="黑体"/>
      <w:b/>
      <w:sz w:val="30"/>
      <w:lang w:val="en-US" w:eastAsia="zh-CN" w:bidi="ar-SA"/>
    </w:rPr>
  </w:style>
  <w:style w:type="character" w:customStyle="1" w:styleId="196">
    <w:name w:val="正文缩进 Char1"/>
    <w:link w:val="184"/>
    <w:qFormat/>
    <w:uiPriority w:val="0"/>
    <w:rPr>
      <w:rFonts w:ascii="宋体" w:eastAsia="宋体"/>
      <w:sz w:val="24"/>
      <w:szCs w:val="24"/>
      <w:lang w:val="en-US" w:eastAsia="zh-CN" w:bidi="ar-SA"/>
    </w:rPr>
  </w:style>
  <w:style w:type="character" w:customStyle="1" w:styleId="197">
    <w:name w:val="标题 3 Char1"/>
    <w:link w:val="185"/>
    <w:qFormat/>
    <w:uiPriority w:val="0"/>
    <w:rPr>
      <w:rFonts w:ascii="宋体" w:eastAsia="宋体"/>
      <w:b/>
      <w:sz w:val="24"/>
      <w:u w:val="single"/>
      <w:lang w:val="en-US" w:eastAsia="zh-CN" w:bidi="ar-SA"/>
    </w:rPr>
  </w:style>
  <w:style w:type="character" w:customStyle="1" w:styleId="198">
    <w:name w:val="标题 4 Char"/>
    <w:basedOn w:val="192"/>
    <w:link w:val="186"/>
    <w:qFormat/>
    <w:uiPriority w:val="0"/>
    <w:rPr>
      <w:rFonts w:ascii="Arial" w:hAnsi="Arial" w:eastAsia="黑体"/>
      <w:b/>
      <w:sz w:val="28"/>
    </w:rPr>
  </w:style>
  <w:style w:type="character" w:customStyle="1" w:styleId="199">
    <w:name w:val="标题 5 Char"/>
    <w:basedOn w:val="192"/>
    <w:link w:val="187"/>
    <w:qFormat/>
    <w:uiPriority w:val="0"/>
    <w:rPr>
      <w:b/>
      <w:sz w:val="28"/>
    </w:rPr>
  </w:style>
  <w:style w:type="character" w:customStyle="1" w:styleId="200">
    <w:name w:val="标题 6 Char"/>
    <w:basedOn w:val="192"/>
    <w:link w:val="188"/>
    <w:qFormat/>
    <w:uiPriority w:val="0"/>
    <w:rPr>
      <w:rFonts w:ascii="Arial" w:hAnsi="Arial" w:eastAsia="黑体"/>
      <w:b/>
      <w:sz w:val="24"/>
    </w:rPr>
  </w:style>
  <w:style w:type="character" w:customStyle="1" w:styleId="201">
    <w:name w:val="标题 7 Char"/>
    <w:basedOn w:val="192"/>
    <w:link w:val="189"/>
    <w:qFormat/>
    <w:uiPriority w:val="0"/>
    <w:rPr>
      <w:b/>
      <w:sz w:val="24"/>
    </w:rPr>
  </w:style>
  <w:style w:type="character" w:customStyle="1" w:styleId="202">
    <w:name w:val="标题 8 Char"/>
    <w:basedOn w:val="192"/>
    <w:link w:val="190"/>
    <w:qFormat/>
    <w:uiPriority w:val="0"/>
    <w:rPr>
      <w:rFonts w:ascii="Arial" w:hAnsi="Arial" w:eastAsia="黑体"/>
      <w:sz w:val="24"/>
    </w:rPr>
  </w:style>
  <w:style w:type="character" w:customStyle="1" w:styleId="203">
    <w:name w:val="标题 9 Char"/>
    <w:basedOn w:val="192"/>
    <w:link w:val="191"/>
    <w:qFormat/>
    <w:uiPriority w:val="0"/>
    <w:rPr>
      <w:rFonts w:ascii="Arial" w:hAnsi="Arial" w:eastAsia="黑体"/>
      <w:sz w:val="21"/>
    </w:rPr>
  </w:style>
  <w:style w:type="paragraph" w:customStyle="1" w:styleId="204">
    <w:name w:val="目录 71"/>
    <w:basedOn w:val="1"/>
    <w:next w:val="1"/>
    <w:qFormat/>
    <w:uiPriority w:val="0"/>
    <w:pPr>
      <w:ind w:left="2520"/>
    </w:pPr>
  </w:style>
  <w:style w:type="paragraph" w:customStyle="1" w:styleId="205">
    <w:name w:val="引文目录1"/>
    <w:basedOn w:val="1"/>
    <w:next w:val="1"/>
    <w:unhideWhenUsed/>
    <w:qFormat/>
    <w:uiPriority w:val="99"/>
    <w:pPr>
      <w:ind w:left="420"/>
    </w:pPr>
  </w:style>
  <w:style w:type="paragraph" w:customStyle="1" w:styleId="206">
    <w:name w:val="题注1"/>
    <w:basedOn w:val="1"/>
    <w:next w:val="1"/>
    <w:qFormat/>
    <w:uiPriority w:val="0"/>
    <w:pPr>
      <w:spacing w:line="480" w:lineRule="auto"/>
    </w:pPr>
    <w:rPr>
      <w:rFonts w:ascii="华文中宋" w:hAnsi="华文中宋" w:eastAsia="华文中宋"/>
      <w:sz w:val="36"/>
      <w:szCs w:val="20"/>
    </w:rPr>
  </w:style>
  <w:style w:type="paragraph" w:customStyle="1" w:styleId="207">
    <w:name w:val="文档结构图1"/>
    <w:basedOn w:val="1"/>
    <w:link w:val="208"/>
    <w:qFormat/>
    <w:uiPriority w:val="0"/>
    <w:pPr>
      <w:shd w:val="clear" w:color="auto" w:fill="000080"/>
    </w:pPr>
  </w:style>
  <w:style w:type="character" w:customStyle="1" w:styleId="208">
    <w:name w:val="文档结构图 Char"/>
    <w:basedOn w:val="192"/>
    <w:link w:val="207"/>
    <w:qFormat/>
    <w:uiPriority w:val="0"/>
    <w:rPr>
      <w:sz w:val="21"/>
      <w:szCs w:val="24"/>
      <w:shd w:val="clear" w:color="auto" w:fill="000080"/>
    </w:rPr>
  </w:style>
  <w:style w:type="paragraph" w:customStyle="1" w:styleId="209">
    <w:name w:val="批注文字1"/>
    <w:basedOn w:val="1"/>
    <w:link w:val="210"/>
    <w:qFormat/>
    <w:uiPriority w:val="99"/>
    <w:pPr>
      <w:jc w:val="left"/>
    </w:pPr>
  </w:style>
  <w:style w:type="character" w:customStyle="1" w:styleId="210">
    <w:name w:val="批注文字 Char1"/>
    <w:link w:val="209"/>
    <w:qFormat/>
    <w:uiPriority w:val="99"/>
    <w:rPr>
      <w:sz w:val="21"/>
      <w:szCs w:val="24"/>
    </w:rPr>
  </w:style>
  <w:style w:type="paragraph" w:customStyle="1" w:styleId="211">
    <w:name w:val="正文文本 31"/>
    <w:basedOn w:val="1"/>
    <w:link w:val="212"/>
    <w:qFormat/>
    <w:uiPriority w:val="0"/>
    <w:pPr>
      <w:spacing w:after="120"/>
    </w:pPr>
    <w:rPr>
      <w:sz w:val="16"/>
      <w:szCs w:val="16"/>
    </w:rPr>
  </w:style>
  <w:style w:type="character" w:customStyle="1" w:styleId="212">
    <w:name w:val="正文文本 3 Char"/>
    <w:basedOn w:val="192"/>
    <w:link w:val="211"/>
    <w:qFormat/>
    <w:uiPriority w:val="0"/>
    <w:rPr>
      <w:sz w:val="16"/>
      <w:szCs w:val="16"/>
    </w:rPr>
  </w:style>
  <w:style w:type="paragraph" w:customStyle="1" w:styleId="213">
    <w:name w:val="正文文本11"/>
    <w:basedOn w:val="1"/>
    <w:next w:val="1"/>
    <w:link w:val="214"/>
    <w:qFormat/>
    <w:uiPriority w:val="0"/>
    <w:pPr>
      <w:tabs>
        <w:tab w:val="left" w:pos="567"/>
      </w:tabs>
      <w:spacing w:before="120" w:line="22" w:lineRule="atLeast"/>
    </w:pPr>
    <w:rPr>
      <w:rFonts w:ascii="宋体" w:hAnsi="宋体"/>
      <w:sz w:val="24"/>
    </w:rPr>
  </w:style>
  <w:style w:type="character" w:customStyle="1" w:styleId="214">
    <w:name w:val="正文文本 Char"/>
    <w:basedOn w:val="192"/>
    <w:link w:val="213"/>
    <w:qFormat/>
    <w:uiPriority w:val="0"/>
    <w:rPr>
      <w:rFonts w:ascii="宋体" w:hAnsi="宋体"/>
      <w:sz w:val="24"/>
      <w:szCs w:val="24"/>
    </w:rPr>
  </w:style>
  <w:style w:type="paragraph" w:customStyle="1" w:styleId="215">
    <w:name w:val="正文文本缩进111"/>
    <w:basedOn w:val="1"/>
    <w:next w:val="1"/>
    <w:link w:val="216"/>
    <w:qFormat/>
    <w:uiPriority w:val="0"/>
    <w:pPr>
      <w:spacing w:line="360" w:lineRule="auto"/>
      <w:ind w:firstLine="570"/>
    </w:pPr>
    <w:rPr>
      <w:sz w:val="24"/>
    </w:rPr>
  </w:style>
  <w:style w:type="character" w:customStyle="1" w:styleId="216">
    <w:name w:val="正文文本缩进 Char2"/>
    <w:link w:val="215"/>
    <w:qFormat/>
    <w:uiPriority w:val="0"/>
    <w:rPr>
      <w:rFonts w:eastAsia="宋体"/>
      <w:sz w:val="24"/>
      <w:szCs w:val="24"/>
      <w:lang w:val="en-US" w:eastAsia="zh-CN" w:bidi="ar-SA"/>
    </w:rPr>
  </w:style>
  <w:style w:type="paragraph" w:customStyle="1" w:styleId="217">
    <w:name w:val="列表 21"/>
    <w:basedOn w:val="1"/>
    <w:qFormat/>
    <w:uiPriority w:val="0"/>
    <w:pPr>
      <w:ind w:left="100" w:hanging="200"/>
    </w:pPr>
  </w:style>
  <w:style w:type="paragraph" w:customStyle="1" w:styleId="218">
    <w:name w:val="文本块1"/>
    <w:basedOn w:val="1"/>
    <w:qFormat/>
    <w:uiPriority w:val="0"/>
    <w:pPr>
      <w:widowControl/>
      <w:ind w:left="480" w:right="-341" w:firstLine="513"/>
    </w:pPr>
    <w:rPr>
      <w:sz w:val="24"/>
      <w:szCs w:val="20"/>
    </w:rPr>
  </w:style>
  <w:style w:type="paragraph" w:customStyle="1" w:styleId="219">
    <w:name w:val="目录 51"/>
    <w:basedOn w:val="1"/>
    <w:next w:val="1"/>
    <w:qFormat/>
    <w:uiPriority w:val="0"/>
    <w:pPr>
      <w:ind w:left="1680"/>
    </w:pPr>
  </w:style>
  <w:style w:type="paragraph" w:customStyle="1" w:styleId="220">
    <w:name w:val="目录 31"/>
    <w:basedOn w:val="1"/>
    <w:next w:val="1"/>
    <w:qFormat/>
    <w:uiPriority w:val="39"/>
    <w:pPr>
      <w:ind w:left="840"/>
    </w:pPr>
  </w:style>
  <w:style w:type="paragraph" w:customStyle="1" w:styleId="221">
    <w:name w:val="纯文本11"/>
    <w:basedOn w:val="1"/>
    <w:next w:val="184"/>
    <w:link w:val="222"/>
    <w:qFormat/>
    <w:uiPriority w:val="0"/>
    <w:rPr>
      <w:rFonts w:hint="eastAsia" w:ascii="宋体" w:hAnsi="Courier New"/>
      <w:szCs w:val="20"/>
    </w:rPr>
  </w:style>
  <w:style w:type="character" w:customStyle="1" w:styleId="222">
    <w:name w:val="纯文本 Char"/>
    <w:basedOn w:val="192"/>
    <w:link w:val="221"/>
    <w:qFormat/>
    <w:uiPriority w:val="0"/>
    <w:rPr>
      <w:rFonts w:hint="eastAsia" w:ascii="宋体" w:hAnsi="Courier New" w:eastAsia="宋体" w:cs="宋体"/>
      <w:sz w:val="21"/>
    </w:rPr>
  </w:style>
  <w:style w:type="paragraph" w:customStyle="1" w:styleId="223">
    <w:name w:val="目录 81"/>
    <w:basedOn w:val="1"/>
    <w:next w:val="1"/>
    <w:qFormat/>
    <w:uiPriority w:val="0"/>
    <w:pPr>
      <w:ind w:left="2940"/>
    </w:pPr>
  </w:style>
  <w:style w:type="paragraph" w:customStyle="1" w:styleId="224">
    <w:name w:val="日期1"/>
    <w:basedOn w:val="1"/>
    <w:next w:val="1"/>
    <w:link w:val="225"/>
    <w:qFormat/>
    <w:uiPriority w:val="0"/>
    <w:pPr>
      <w:ind w:left="100"/>
    </w:pPr>
    <w:rPr>
      <w:rFonts w:ascii="仿宋_GB2312" w:hAnsi="宋体" w:eastAsia="仿宋_GB2312"/>
      <w:color w:val="000000"/>
      <w:sz w:val="24"/>
    </w:rPr>
  </w:style>
  <w:style w:type="character" w:customStyle="1" w:styleId="225">
    <w:name w:val="日期 Char"/>
    <w:basedOn w:val="192"/>
    <w:link w:val="224"/>
    <w:qFormat/>
    <w:uiPriority w:val="0"/>
    <w:rPr>
      <w:rFonts w:ascii="仿宋_GB2312" w:hAnsi="宋体" w:eastAsia="仿宋_GB2312"/>
      <w:color w:val="000000"/>
      <w:sz w:val="24"/>
      <w:szCs w:val="24"/>
    </w:rPr>
  </w:style>
  <w:style w:type="paragraph" w:customStyle="1" w:styleId="226">
    <w:name w:val="正文文本缩进 21"/>
    <w:basedOn w:val="1"/>
    <w:link w:val="227"/>
    <w:qFormat/>
    <w:uiPriority w:val="0"/>
    <w:pPr>
      <w:ind w:firstLine="480"/>
    </w:pPr>
    <w:rPr>
      <w:rFonts w:ascii="仿宋_GB2312" w:eastAsia="仿宋_GB2312"/>
      <w:sz w:val="24"/>
    </w:rPr>
  </w:style>
  <w:style w:type="character" w:customStyle="1" w:styleId="227">
    <w:name w:val="正文文本缩进 2 Char"/>
    <w:basedOn w:val="192"/>
    <w:link w:val="226"/>
    <w:qFormat/>
    <w:uiPriority w:val="0"/>
    <w:rPr>
      <w:rFonts w:ascii="仿宋_GB2312" w:eastAsia="仿宋_GB2312"/>
      <w:sz w:val="24"/>
      <w:szCs w:val="24"/>
    </w:rPr>
  </w:style>
  <w:style w:type="paragraph" w:customStyle="1" w:styleId="228">
    <w:name w:val="批注框文本1"/>
    <w:basedOn w:val="1"/>
    <w:link w:val="229"/>
    <w:qFormat/>
    <w:uiPriority w:val="0"/>
    <w:rPr>
      <w:sz w:val="18"/>
      <w:szCs w:val="18"/>
    </w:rPr>
  </w:style>
  <w:style w:type="character" w:customStyle="1" w:styleId="229">
    <w:name w:val="批注框文本 Char"/>
    <w:basedOn w:val="192"/>
    <w:link w:val="228"/>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rFonts w:ascii="宋体"/>
      <w:sz w:val="18"/>
      <w:szCs w:val="20"/>
    </w:rPr>
  </w:style>
  <w:style w:type="character" w:customStyle="1" w:styleId="231">
    <w:name w:val="页脚 Char1"/>
    <w:link w:val="230"/>
    <w:qFormat/>
    <w:uiPriority w:val="99"/>
    <w:rPr>
      <w:rFonts w:ascii="宋体" w:eastAsia="宋体"/>
      <w:sz w:val="18"/>
      <w:lang w:val="en-US" w:eastAsia="zh-CN" w:bidi="ar-SA"/>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1"/>
    <w:link w:val="232"/>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qFormat/>
    <w:uiPriority w:val="0"/>
    <w:pPr>
      <w:ind w:left="1260"/>
    </w:pPr>
  </w:style>
  <w:style w:type="paragraph" w:customStyle="1" w:styleId="236">
    <w:name w:val="目录 61"/>
    <w:basedOn w:val="1"/>
    <w:next w:val="1"/>
    <w:qFormat/>
    <w:uiPriority w:val="0"/>
    <w:pPr>
      <w:ind w:left="2100"/>
    </w:pPr>
  </w:style>
  <w:style w:type="paragraph" w:customStyle="1" w:styleId="237">
    <w:name w:val="正文文本缩进 31"/>
    <w:basedOn w:val="1"/>
    <w:link w:val="238"/>
    <w:qFormat/>
    <w:uiPriority w:val="0"/>
    <w:pPr>
      <w:spacing w:before="120" w:line="22" w:lineRule="atLeast"/>
      <w:ind w:left="720" w:firstLine="480"/>
      <w:jc w:val="left"/>
    </w:pPr>
    <w:rPr>
      <w:rFonts w:ascii="宋体"/>
      <w:sz w:val="24"/>
      <w:szCs w:val="20"/>
    </w:rPr>
  </w:style>
  <w:style w:type="character" w:customStyle="1" w:styleId="238">
    <w:name w:val="正文文本缩进 3 Char"/>
    <w:basedOn w:val="192"/>
    <w:link w:val="237"/>
    <w:qFormat/>
    <w:uiPriority w:val="0"/>
    <w:rPr>
      <w:rFonts w:ascii="宋体"/>
      <w:sz w:val="24"/>
    </w:rPr>
  </w:style>
  <w:style w:type="paragraph" w:customStyle="1" w:styleId="239">
    <w:name w:val="目录 211"/>
    <w:basedOn w:val="1"/>
    <w:next w:val="1"/>
    <w:qFormat/>
    <w:uiPriority w:val="39"/>
    <w:pPr>
      <w:tabs>
        <w:tab w:val="right" w:leader="dot" w:pos="8937"/>
      </w:tabs>
      <w:spacing w:line="312" w:lineRule="auto"/>
      <w:ind w:left="420"/>
    </w:pPr>
  </w:style>
  <w:style w:type="paragraph" w:customStyle="1" w:styleId="240">
    <w:name w:val="目录 91"/>
    <w:basedOn w:val="1"/>
    <w:next w:val="1"/>
    <w:qFormat/>
    <w:uiPriority w:val="0"/>
    <w:pPr>
      <w:ind w:left="3360"/>
    </w:pPr>
  </w:style>
  <w:style w:type="paragraph" w:customStyle="1" w:styleId="241">
    <w:name w:val="HTML 预设格式1"/>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2">
    <w:name w:val="HTML 预设格式 Char"/>
    <w:basedOn w:val="192"/>
    <w:link w:val="241"/>
    <w:qFormat/>
    <w:uiPriority w:val="0"/>
    <w:rPr>
      <w:rFonts w:ascii="宋体" w:hAnsi="宋体" w:cs="宋体"/>
      <w:sz w:val="24"/>
      <w:szCs w:val="24"/>
    </w:rPr>
  </w:style>
  <w:style w:type="paragraph" w:customStyle="1" w:styleId="24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4">
    <w:name w:val="索引 11"/>
    <w:basedOn w:val="1"/>
    <w:next w:val="1"/>
    <w:qFormat/>
    <w:uiPriority w:val="0"/>
    <w:rPr>
      <w:szCs w:val="20"/>
    </w:rPr>
  </w:style>
  <w:style w:type="paragraph" w:customStyle="1" w:styleId="245">
    <w:name w:val="标题1"/>
    <w:basedOn w:val="1"/>
    <w:next w:val="1"/>
    <w:link w:val="246"/>
    <w:qFormat/>
    <w:uiPriority w:val="0"/>
    <w:pPr>
      <w:jc w:val="center"/>
      <w:outlineLvl w:val="0"/>
    </w:pPr>
    <w:rPr>
      <w:b/>
      <w:sz w:val="32"/>
      <w:szCs w:val="20"/>
    </w:rPr>
  </w:style>
  <w:style w:type="character" w:customStyle="1" w:styleId="246">
    <w:name w:val="标题 Char1"/>
    <w:link w:val="245"/>
    <w:qFormat/>
    <w:uiPriority w:val="0"/>
    <w:rPr>
      <w:b/>
      <w:sz w:val="32"/>
    </w:rPr>
  </w:style>
  <w:style w:type="paragraph" w:customStyle="1" w:styleId="247">
    <w:name w:val="批注主题1"/>
    <w:basedOn w:val="209"/>
    <w:next w:val="209"/>
    <w:link w:val="248"/>
    <w:qFormat/>
    <w:uiPriority w:val="0"/>
    <w:rPr>
      <w:b/>
      <w:bCs/>
    </w:rPr>
  </w:style>
  <w:style w:type="character" w:customStyle="1" w:styleId="248">
    <w:name w:val="批注主题 Char"/>
    <w:basedOn w:val="249"/>
    <w:link w:val="247"/>
    <w:qFormat/>
    <w:uiPriority w:val="0"/>
    <w:rPr>
      <w:rFonts w:ascii="Times New Roman" w:hAnsi="Times New Roman" w:eastAsia="宋体" w:cs="Times New Roman"/>
      <w:b/>
      <w:bCs/>
      <w:sz w:val="21"/>
      <w:szCs w:val="24"/>
      <w:lang w:val="en-US" w:eastAsia="zh-CN" w:bidi="ar-SA"/>
    </w:rPr>
  </w:style>
  <w:style w:type="character" w:customStyle="1" w:styleId="249">
    <w:name w:val="批注文字 字符"/>
    <w:link w:val="1"/>
    <w:qFormat/>
    <w:uiPriority w:val="99"/>
    <w:rPr>
      <w:rFonts w:ascii="Times New Roman" w:hAnsi="Times New Roman" w:eastAsia="宋体" w:cs="Times New Roman"/>
      <w:sz w:val="24"/>
      <w:lang w:val="en-US" w:eastAsia="zh-CN" w:bidi="ar-SA"/>
    </w:rPr>
  </w:style>
  <w:style w:type="paragraph" w:customStyle="1" w:styleId="250">
    <w:name w:val="正文首行缩进1"/>
    <w:basedOn w:val="213"/>
    <w:qFormat/>
    <w:uiPriority w:val="99"/>
    <w:pPr>
      <w:ind w:firstLine="420"/>
    </w:pPr>
  </w:style>
  <w:style w:type="paragraph" w:customStyle="1" w:styleId="251">
    <w:name w:val="正文首行缩进 21"/>
    <w:basedOn w:val="215"/>
    <w:link w:val="252"/>
    <w:qFormat/>
    <w:uiPriority w:val="0"/>
    <w:pPr>
      <w:spacing w:after="120" w:line="480" w:lineRule="exact"/>
      <w:ind w:left="420" w:firstLine="420"/>
    </w:pPr>
    <w:rPr>
      <w:szCs w:val="20"/>
    </w:rPr>
  </w:style>
  <w:style w:type="character" w:customStyle="1" w:styleId="252">
    <w:name w:val="正文首行缩进 2 Char"/>
    <w:basedOn w:val="216"/>
    <w:link w:val="251"/>
    <w:qFormat/>
    <w:uiPriority w:val="0"/>
    <w:rPr>
      <w:rFonts w:eastAsia="宋体"/>
      <w:sz w:val="24"/>
      <w:szCs w:val="24"/>
      <w:lang w:val="en-US" w:eastAsia="zh-CN" w:bidi="ar-SA"/>
    </w:rPr>
  </w:style>
  <w:style w:type="table" w:customStyle="1" w:styleId="253">
    <w:name w:val="网格型1"/>
    <w:basedOn w:val="193"/>
    <w:qFormat/>
    <w:uiPriority w:val="39"/>
  </w:style>
  <w:style w:type="table" w:customStyle="1" w:styleId="254">
    <w:name w:val="中等深浅网格 1 - 强调文字颜色 21"/>
    <w:basedOn w:val="193"/>
    <w:qFormat/>
    <w:uiPriority w:val="0"/>
    <w:rPr>
      <w:sz w:val="21"/>
      <w:szCs w:val="24"/>
    </w:rPr>
  </w:style>
  <w:style w:type="character" w:customStyle="1" w:styleId="255">
    <w:name w:val="要点1"/>
    <w:link w:val="1"/>
    <w:qFormat/>
    <w:uiPriority w:val="0"/>
    <w:rPr>
      <w:b/>
      <w:bCs/>
    </w:rPr>
  </w:style>
  <w:style w:type="character" w:customStyle="1" w:styleId="256">
    <w:name w:val="页码1"/>
    <w:basedOn w:val="192"/>
    <w:link w:val="1"/>
    <w:qFormat/>
    <w:uiPriority w:val="0"/>
  </w:style>
  <w:style w:type="character" w:customStyle="1" w:styleId="257">
    <w:name w:val="已访问的超链接1"/>
    <w:basedOn w:val="192"/>
    <w:link w:val="1"/>
    <w:qFormat/>
    <w:uiPriority w:val="0"/>
    <w:rPr>
      <w:color w:val="333333"/>
      <w:u w:val="none"/>
    </w:rPr>
  </w:style>
  <w:style w:type="character" w:customStyle="1" w:styleId="258">
    <w:name w:val="强调1"/>
    <w:link w:val="1"/>
    <w:qFormat/>
    <w:uiPriority w:val="0"/>
    <w:rPr>
      <w:color w:val="CC0033"/>
    </w:rPr>
  </w:style>
  <w:style w:type="character" w:customStyle="1" w:styleId="259">
    <w:name w:val="超链接1"/>
    <w:basedOn w:val="192"/>
    <w:link w:val="1"/>
    <w:qFormat/>
    <w:uiPriority w:val="99"/>
    <w:rPr>
      <w:color w:val="333333"/>
      <w:u w:val="none"/>
    </w:rPr>
  </w:style>
  <w:style w:type="character" w:customStyle="1" w:styleId="260">
    <w:name w:val="批注引用1"/>
    <w:link w:val="1"/>
    <w:qFormat/>
    <w:uiPriority w:val="99"/>
    <w:rPr>
      <w:sz w:val="21"/>
      <w:szCs w:val="21"/>
    </w:rPr>
  </w:style>
  <w:style w:type="character" w:customStyle="1" w:styleId="261">
    <w:name w:val="HTML 引文1"/>
    <w:link w:val="1"/>
    <w:qFormat/>
    <w:uiPriority w:val="0"/>
    <w:rPr>
      <w:i/>
      <w:iCs/>
    </w:rPr>
  </w:style>
  <w:style w:type="paragraph" w:customStyle="1" w:styleId="262">
    <w:name w:val="正文文本1"/>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character" w:customStyle="1" w:styleId="263">
    <w:name w:val="c21"/>
    <w:link w:val="1"/>
    <w:qFormat/>
    <w:uiPriority w:val="0"/>
    <w:rPr>
      <w:rFonts w:ascii="ˎ̥" w:hAnsi="ˎ̥"/>
      <w:color w:val="000000"/>
      <w:sz w:val="20"/>
      <w:szCs w:val="20"/>
      <w:u w:val="none"/>
    </w:rPr>
  </w:style>
  <w:style w:type="character" w:customStyle="1" w:styleId="264">
    <w:name w:val="title4"/>
    <w:link w:val="1"/>
    <w:qFormat/>
    <w:uiPriority w:val="0"/>
    <w:rPr>
      <w:b/>
      <w:bCs/>
      <w:color w:val="1D87B3"/>
      <w:sz w:val="15"/>
      <w:szCs w:val="15"/>
    </w:rPr>
  </w:style>
  <w:style w:type="character" w:customStyle="1" w:styleId="265">
    <w:name w:val="标题 2 Char Char"/>
    <w:link w:val="1"/>
    <w:qFormat/>
    <w:uiPriority w:val="0"/>
    <w:rPr>
      <w:rFonts w:ascii="Arial" w:hAnsi="Arial" w:eastAsia="黑体"/>
      <w:b/>
      <w:bCs/>
      <w:sz w:val="32"/>
      <w:szCs w:val="32"/>
      <w:lang w:val="en-US" w:eastAsia="zh-CN" w:bidi="ar-SA"/>
    </w:rPr>
  </w:style>
  <w:style w:type="character" w:customStyle="1" w:styleId="266">
    <w:name w:val="black1"/>
    <w:link w:val="1"/>
    <w:qFormat/>
    <w:uiPriority w:val="0"/>
    <w:rPr>
      <w:color w:val="000000"/>
    </w:rPr>
  </w:style>
  <w:style w:type="character" w:customStyle="1" w:styleId="267">
    <w:name w:val="street-address"/>
    <w:basedOn w:val="192"/>
    <w:link w:val="1"/>
    <w:qFormat/>
    <w:uiPriority w:val="0"/>
  </w:style>
  <w:style w:type="character" w:customStyle="1" w:styleId="268">
    <w:name w:val="locality"/>
    <w:basedOn w:val="192"/>
    <w:link w:val="1"/>
    <w:qFormat/>
    <w:uiPriority w:val="0"/>
  </w:style>
  <w:style w:type="character" w:customStyle="1" w:styleId="269">
    <w:name w:val="正文文本缩进 Char1"/>
    <w:link w:val="270"/>
    <w:qFormat/>
    <w:uiPriority w:val="0"/>
    <w:rPr>
      <w:rFonts w:ascii="宋体" w:hAnsi="宋体" w:eastAsia="宋体"/>
      <w:sz w:val="24"/>
      <w:szCs w:val="24"/>
      <w:lang w:bidi="ar-SA"/>
    </w:rPr>
  </w:style>
  <w:style w:type="paragraph" w:customStyle="1" w:styleId="270">
    <w:name w:val="正文文本缩进1"/>
    <w:basedOn w:val="1"/>
    <w:link w:val="269"/>
    <w:qFormat/>
    <w:uiPriority w:val="0"/>
    <w:pPr>
      <w:spacing w:line="480" w:lineRule="exact"/>
      <w:ind w:firstLine="480"/>
    </w:pPr>
    <w:rPr>
      <w:rFonts w:ascii="宋体" w:hAnsi="宋体"/>
      <w:sz w:val="24"/>
    </w:rPr>
  </w:style>
  <w:style w:type="character" w:customStyle="1" w:styleId="271">
    <w:name w:val="Char Char11"/>
    <w:link w:val="1"/>
    <w:qFormat/>
    <w:uiPriority w:val="0"/>
    <w:rPr>
      <w:rFonts w:ascii="宋体" w:eastAsia="宋体"/>
      <w:b/>
      <w:sz w:val="24"/>
      <w:u w:val="single"/>
      <w:lang w:val="en-US" w:eastAsia="zh-CN" w:bidi="ar-SA"/>
    </w:rPr>
  </w:style>
  <w:style w:type="character" w:customStyle="1" w:styleId="272">
    <w:name w:val="txt"/>
    <w:basedOn w:val="192"/>
    <w:link w:val="1"/>
    <w:qFormat/>
    <w:uiPriority w:val="0"/>
  </w:style>
  <w:style w:type="character" w:customStyle="1" w:styleId="273">
    <w:name w:val="正文缩进 Char Char"/>
    <w:link w:val="274"/>
    <w:qFormat/>
    <w:uiPriority w:val="0"/>
    <w:rPr>
      <w:rFonts w:ascii="宋体" w:eastAsia="宋体"/>
      <w:color w:val="000000"/>
      <w:sz w:val="28"/>
      <w:lang w:bidi="ar-SA"/>
    </w:rPr>
  </w:style>
  <w:style w:type="paragraph" w:customStyle="1" w:styleId="274">
    <w:name w:val="正文缩进1"/>
    <w:basedOn w:val="1"/>
    <w:link w:val="273"/>
    <w:qFormat/>
    <w:uiPriority w:val="0"/>
    <w:pPr>
      <w:widowControl/>
      <w:spacing w:line="480" w:lineRule="exact"/>
      <w:ind w:firstLine="567"/>
    </w:pPr>
    <w:rPr>
      <w:rFonts w:ascii="宋体"/>
      <w:color w:val="000000"/>
      <w:sz w:val="28"/>
      <w:szCs w:val="20"/>
    </w:rPr>
  </w:style>
  <w:style w:type="character" w:customStyle="1" w:styleId="275">
    <w:name w:val="普通文字1 Char1"/>
    <w:link w:val="1"/>
    <w:qFormat/>
    <w:uiPriority w:val="0"/>
    <w:rPr>
      <w:rFonts w:ascii="宋体" w:hAnsi="Courier New" w:eastAsia="宋体"/>
      <w:sz w:val="21"/>
      <w:lang w:val="en-US" w:eastAsia="zh-CN" w:bidi="ar-SA"/>
    </w:rPr>
  </w:style>
  <w:style w:type="character" w:customStyle="1" w:styleId="276">
    <w:name w:val="chanpin1"/>
    <w:link w:val="1"/>
    <w:qFormat/>
    <w:uiPriority w:val="0"/>
    <w:rPr>
      <w:rFonts w:ascii="ˎ̥" w:hAnsi="ˎ̥"/>
      <w:color w:val="000000"/>
      <w:sz w:val="20"/>
      <w:szCs w:val="20"/>
      <w:u w:val="none"/>
    </w:rPr>
  </w:style>
  <w:style w:type="character" w:customStyle="1" w:styleId="277">
    <w:name w:val="列出段落 Char1"/>
    <w:link w:val="278"/>
    <w:qFormat/>
    <w:uiPriority w:val="34"/>
    <w:rPr>
      <w:rFonts w:ascii="Calibri" w:hAnsi="Calibri" w:eastAsia="宋体"/>
      <w:sz w:val="21"/>
      <w:szCs w:val="22"/>
      <w:lang w:val="en-US" w:eastAsia="zh-CN" w:bidi="ar-SA"/>
    </w:rPr>
  </w:style>
  <w:style w:type="paragraph" w:customStyle="1" w:styleId="278">
    <w:name w:val="列出段落"/>
    <w:basedOn w:val="1"/>
    <w:link w:val="277"/>
    <w:qFormat/>
    <w:uiPriority w:val="34"/>
    <w:pPr>
      <w:ind w:firstLine="420"/>
    </w:pPr>
    <w:rPr>
      <w:rFonts w:ascii="Calibri" w:hAnsi="Calibri"/>
      <w:szCs w:val="22"/>
    </w:rPr>
  </w:style>
  <w:style w:type="character" w:customStyle="1" w:styleId="279">
    <w:name w:val="标题 3 Char Char"/>
    <w:link w:val="1"/>
    <w:qFormat/>
    <w:uiPriority w:val="0"/>
    <w:rPr>
      <w:rFonts w:eastAsia="宋体"/>
      <w:b/>
      <w:bCs/>
      <w:sz w:val="32"/>
      <w:szCs w:val="32"/>
      <w:lang w:val="en-US" w:eastAsia="zh-CN" w:bidi="ar-SA"/>
    </w:rPr>
  </w:style>
  <w:style w:type="character" w:customStyle="1" w:styleId="280">
    <w:name w:val="段1 Char"/>
    <w:link w:val="1"/>
    <w:qFormat/>
    <w:uiPriority w:val="0"/>
    <w:rPr>
      <w:rFonts w:ascii="宋体" w:eastAsia="宋体"/>
      <w:sz w:val="24"/>
      <w:lang w:val="en-US" w:eastAsia="zh-CN" w:bidi="ar-SA"/>
    </w:rPr>
  </w:style>
  <w:style w:type="character" w:customStyle="1" w:styleId="281">
    <w:name w:val="chanpin拷贝"/>
    <w:basedOn w:val="192"/>
    <w:link w:val="1"/>
    <w:qFormat/>
    <w:uiPriority w:val="0"/>
  </w:style>
  <w:style w:type="character" w:customStyle="1" w:styleId="282">
    <w:name w:val="纯文本 Char1"/>
    <w:link w:val="1"/>
    <w:qFormat/>
    <w:uiPriority w:val="0"/>
    <w:rPr>
      <w:rFonts w:ascii="宋体" w:hAnsi="Courier New" w:eastAsia="宋体"/>
      <w:sz w:val="21"/>
      <w:lang w:val="en-US" w:eastAsia="zh-CN" w:bidi="ar-SA"/>
    </w:rPr>
  </w:style>
  <w:style w:type="character" w:customStyle="1" w:styleId="283">
    <w:name w:val="apple-style-span"/>
    <w:link w:val="1"/>
    <w:qFormat/>
    <w:uiPriority w:val="0"/>
    <w:rPr>
      <w:rFonts w:cs="Times New Roman"/>
    </w:rPr>
  </w:style>
  <w:style w:type="paragraph" w:customStyle="1" w:styleId="284">
    <w:name w:val="二级条标题"/>
    <w:basedOn w:val="28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5">
    <w:name w:val="一级条标题"/>
    <w:basedOn w:val="286"/>
    <w:next w:val="1"/>
    <w:qFormat/>
    <w:uiPriority w:val="0"/>
    <w:pPr>
      <w:numPr>
        <w:ilvl w:val="1"/>
      </w:numPr>
      <w:tabs>
        <w:tab w:val="left" w:pos="360"/>
        <w:tab w:val="left" w:pos="840"/>
      </w:tabs>
      <w:ind w:left="0" w:hanging="840"/>
      <w:outlineLvl w:val="1"/>
    </w:pPr>
  </w:style>
  <w:style w:type="paragraph" w:customStyle="1" w:styleId="28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8">
    <w:name w:val="字元 字元"/>
    <w:basedOn w:val="1"/>
    <w:qFormat/>
    <w:uiPriority w:val="0"/>
    <w:rPr>
      <w:rFonts w:ascii="Tahoma" w:hAnsi="Tahoma"/>
      <w:sz w:val="24"/>
      <w:szCs w:val="20"/>
    </w:rPr>
  </w:style>
  <w:style w:type="paragraph" w:customStyle="1" w:styleId="289">
    <w:name w:val="Char3 Char Char Char"/>
    <w:basedOn w:val="1"/>
    <w:qFormat/>
    <w:uiPriority w:val="0"/>
    <w:rPr>
      <w:rFonts w:ascii="Tahoma" w:hAnsi="Tahoma"/>
      <w:sz w:val="24"/>
      <w:szCs w:val="20"/>
    </w:rPr>
  </w:style>
  <w:style w:type="paragraph" w:customStyle="1" w:styleId="29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1">
    <w:name w:val="项目编号2"/>
    <w:basedOn w:val="292"/>
    <w:qFormat/>
    <w:uiPriority w:val="0"/>
    <w:pPr>
      <w:numPr>
        <w:numId w:val="2"/>
      </w:numPr>
    </w:pPr>
  </w:style>
  <w:style w:type="paragraph" w:customStyle="1" w:styleId="2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3">
    <w:name w:val="图中文字"/>
    <w:basedOn w:val="1"/>
    <w:qFormat/>
    <w:uiPriority w:val="0"/>
    <w:pPr>
      <w:spacing w:line="0" w:lineRule="atLeast"/>
      <w:jc w:val="center"/>
    </w:pPr>
    <w:rPr>
      <w:sz w:val="24"/>
      <w:szCs w:val="20"/>
    </w:rPr>
  </w:style>
  <w:style w:type="paragraph" w:customStyle="1" w:styleId="29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6">
    <w:name w:val="Char2"/>
    <w:basedOn w:val="1"/>
    <w:qFormat/>
    <w:uiPriority w:val="0"/>
    <w:rPr>
      <w:rFonts w:ascii="Tahoma" w:hAnsi="Tahoma"/>
      <w:sz w:val="24"/>
      <w:szCs w:val="20"/>
    </w:rPr>
  </w:style>
  <w:style w:type="paragraph" w:customStyle="1" w:styleId="2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2">
    <w:name w:val="Char Char Char Char Char Char Char"/>
    <w:basedOn w:val="1"/>
    <w:qFormat/>
    <w:uiPriority w:val="0"/>
    <w:pPr>
      <w:spacing w:line="360" w:lineRule="auto"/>
      <w:ind w:firstLine="200"/>
    </w:pPr>
    <w:rPr>
      <w:rFonts w:eastAsia="仿宋_GB2312"/>
      <w:sz w:val="24"/>
    </w:rPr>
  </w:style>
  <w:style w:type="paragraph" w:customStyle="1" w:styleId="30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0">
    <w:name w:val="font8"/>
    <w:basedOn w:val="1"/>
    <w:qFormat/>
    <w:uiPriority w:val="0"/>
    <w:pPr>
      <w:widowControl/>
      <w:spacing w:before="100" w:beforeAutospacing="1" w:after="100" w:afterAutospacing="1"/>
      <w:jc w:val="left"/>
    </w:pPr>
    <w:rPr>
      <w:sz w:val="36"/>
      <w:szCs w:val="36"/>
    </w:rPr>
  </w:style>
  <w:style w:type="paragraph" w:customStyle="1" w:styleId="311">
    <w:name w:val="Char"/>
    <w:basedOn w:val="1"/>
    <w:qFormat/>
    <w:uiPriority w:val="0"/>
    <w:pPr>
      <w:tabs>
        <w:tab w:val="left" w:pos="360"/>
      </w:tabs>
    </w:pPr>
    <w:rPr>
      <w:sz w:val="24"/>
    </w:rPr>
  </w:style>
  <w:style w:type="paragraph" w:customStyle="1" w:styleId="31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5">
    <w:name w:val="Char Char1"/>
    <w:basedOn w:val="207"/>
    <w:qFormat/>
    <w:uiPriority w:val="0"/>
    <w:rPr>
      <w:rFonts w:ascii="Tahoma" w:hAnsi="Tahoma"/>
      <w:sz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样式 宋体 五号 行距: 单倍行距"/>
    <w:basedOn w:val="1"/>
    <w:qFormat/>
    <w:uiPriority w:val="0"/>
    <w:pPr>
      <w:jc w:val="left"/>
    </w:pPr>
    <w:rPr>
      <w:rFonts w:ascii="宋体" w:hAnsi="宋体"/>
      <w:szCs w:val="20"/>
    </w:rPr>
  </w:style>
  <w:style w:type="paragraph" w:customStyle="1" w:styleId="320">
    <w:name w:val="Char1 Char Char Char1"/>
    <w:basedOn w:val="1"/>
    <w:qFormat/>
    <w:uiPriority w:val="0"/>
    <w:rPr>
      <w:rFonts w:ascii="Tahoma" w:hAnsi="Tahoma" w:cs="仿宋_GB2312"/>
      <w:sz w:val="24"/>
      <w:szCs w:val="28"/>
    </w:rPr>
  </w:style>
  <w:style w:type="paragraph" w:customStyle="1" w:styleId="321">
    <w:name w:val="四级条标题"/>
    <w:basedOn w:val="322"/>
    <w:next w:val="1"/>
    <w:qFormat/>
    <w:uiPriority w:val="0"/>
    <w:pPr>
      <w:numPr>
        <w:ilvl w:val="4"/>
      </w:numPr>
      <w:tabs>
        <w:tab w:val="left" w:pos="360"/>
        <w:tab w:val="left" w:pos="840"/>
      </w:tabs>
      <w:ind w:left="0" w:hanging="840"/>
      <w:outlineLvl w:val="4"/>
    </w:pPr>
  </w:style>
  <w:style w:type="paragraph" w:customStyle="1" w:styleId="322">
    <w:name w:val="三级条标题"/>
    <w:basedOn w:val="284"/>
    <w:next w:val="1"/>
    <w:qFormat/>
    <w:uiPriority w:val="0"/>
    <w:pPr>
      <w:numPr>
        <w:ilvl w:val="3"/>
        <w:numId w:val="1"/>
      </w:numPr>
      <w:ind w:left="0" w:hanging="840"/>
      <w:outlineLvl w:val="3"/>
    </w:pPr>
  </w:style>
  <w:style w:type="paragraph" w:customStyle="1" w:styleId="32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4">
    <w:name w:val="样式 标题 2 + 宋体 五号 行距: 单倍行距"/>
    <w:basedOn w:val="183"/>
    <w:qFormat/>
    <w:uiPriority w:val="0"/>
    <w:pPr>
      <w:numPr>
        <w:ilvl w:val="1"/>
        <w:numId w:val="4"/>
      </w:numPr>
      <w:spacing w:before="260" w:after="260" w:line="240" w:lineRule="auto"/>
      <w:jc w:val="left"/>
    </w:pPr>
    <w:rPr>
      <w:rFonts w:ascii="宋体" w:hAnsi="宋体" w:eastAsia="宋体"/>
      <w:bCs/>
      <w:sz w:val="21"/>
    </w:rPr>
  </w:style>
  <w:style w:type="paragraph" w:customStyle="1" w:styleId="325">
    <w:name w:val="List Paragraph1"/>
    <w:basedOn w:val="1"/>
    <w:qFormat/>
    <w:uiPriority w:val="0"/>
    <w:pPr>
      <w:ind w:firstLine="420"/>
    </w:pPr>
    <w:rPr>
      <w:rFonts w:ascii="Calibri" w:hAnsi="Calibri"/>
      <w:szCs w:val="22"/>
    </w:rPr>
  </w:style>
  <w:style w:type="paragraph" w:customStyle="1" w:styleId="326">
    <w:name w:val="项目符号1"/>
    <w:basedOn w:val="327"/>
    <w:qFormat/>
    <w:uiPriority w:val="0"/>
    <w:pPr>
      <w:ind w:left="-25" w:firstLine="0"/>
    </w:pPr>
  </w:style>
  <w:style w:type="paragraph" w:customStyle="1" w:styleId="327">
    <w:name w:val="正文文本样式"/>
    <w:basedOn w:val="1"/>
    <w:qFormat/>
    <w:uiPriority w:val="0"/>
    <w:pPr>
      <w:spacing w:line="360" w:lineRule="auto"/>
      <w:ind w:firstLine="482"/>
    </w:pPr>
    <w:rPr>
      <w:rFonts w:cs="宋体"/>
      <w:sz w:val="24"/>
      <w:szCs w:val="20"/>
    </w:rPr>
  </w:style>
  <w:style w:type="paragraph" w:customStyle="1" w:styleId="32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0">
    <w:name w:val="五级条标题"/>
    <w:basedOn w:val="321"/>
    <w:next w:val="1"/>
    <w:qFormat/>
    <w:uiPriority w:val="0"/>
    <w:pPr>
      <w:numPr>
        <w:ilvl w:val="5"/>
      </w:numPr>
      <w:ind w:left="0" w:hanging="840"/>
      <w:outlineLvl w:val="5"/>
    </w:pPr>
  </w:style>
  <w:style w:type="paragraph" w:customStyle="1" w:styleId="33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2">
    <w:name w:val="文档正文"/>
    <w:basedOn w:val="1"/>
    <w:qFormat/>
    <w:uiPriority w:val="0"/>
    <w:pPr>
      <w:spacing w:before="120" w:after="120" w:line="180" w:lineRule="auto"/>
    </w:pPr>
    <w:rPr>
      <w:rFonts w:ascii="Arial" w:hAnsi="Arial"/>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5">
    <w:name w:val="Char Char Char1 Char"/>
    <w:basedOn w:val="1"/>
    <w:qFormat/>
    <w:uiPriority w:val="0"/>
    <w:rPr>
      <w:rFonts w:ascii="Tahoma" w:hAnsi="Tahoma"/>
      <w:sz w:val="24"/>
      <w:szCs w:val="20"/>
    </w:rPr>
  </w:style>
  <w:style w:type="paragraph" w:customStyle="1" w:styleId="33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7">
    <w:name w:val="1名"/>
    <w:basedOn w:val="1"/>
    <w:qFormat/>
    <w:uiPriority w:val="0"/>
    <w:pPr>
      <w:numPr>
        <w:ilvl w:val="0"/>
        <w:numId w:val="5"/>
      </w:numPr>
      <w:spacing w:before="120"/>
    </w:pPr>
    <w:rPr>
      <w:rFonts w:ascii="宋体"/>
      <w:sz w:val="28"/>
      <w:szCs w:val="20"/>
    </w:rPr>
  </w:style>
  <w:style w:type="paragraph" w:customStyle="1" w:styleId="33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9">
    <w:name w:val="Char Char Char1 Char1"/>
    <w:basedOn w:val="1"/>
    <w:qFormat/>
    <w:uiPriority w:val="0"/>
    <w:rPr>
      <w:rFonts w:ascii="Tahoma" w:hAnsi="Tahoma"/>
      <w:sz w:val="24"/>
      <w:szCs w:val="20"/>
    </w:rPr>
  </w:style>
  <w:style w:type="paragraph" w:customStyle="1" w:styleId="340">
    <w:name w:val="Char Char Char Char Char Char Char Char Char Char"/>
    <w:basedOn w:val="1"/>
    <w:qFormat/>
    <w:uiPriority w:val="0"/>
  </w:style>
  <w:style w:type="paragraph" w:customStyle="1" w:styleId="34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Char1"/>
    <w:basedOn w:val="1"/>
    <w:qFormat/>
    <w:uiPriority w:val="0"/>
    <w:pPr>
      <w:tabs>
        <w:tab w:val="left" w:pos="360"/>
      </w:tabs>
    </w:pPr>
    <w:rPr>
      <w:sz w:val="24"/>
    </w:rPr>
  </w:style>
  <w:style w:type="paragraph" w:customStyle="1" w:styleId="34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6">
    <w:name w:val="默认段落字体 Para Char Char Char Char"/>
    <w:basedOn w:val="1"/>
    <w:qFormat/>
    <w:uiPriority w:val="0"/>
    <w:rPr>
      <w:rFonts w:ascii="Arial" w:hAnsi="Arial" w:cs="Arial"/>
      <w:szCs w:val="21"/>
    </w:rPr>
  </w:style>
  <w:style w:type="paragraph" w:customStyle="1" w:styleId="34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0">
    <w:name w:val="Char Char Char"/>
    <w:basedOn w:val="1"/>
    <w:qFormat/>
    <w:uiPriority w:val="0"/>
    <w:rPr>
      <w:rFonts w:ascii="Tahoma" w:hAnsi="Tahoma"/>
      <w:sz w:val="24"/>
      <w:szCs w:val="20"/>
    </w:rPr>
  </w:style>
  <w:style w:type="paragraph" w:customStyle="1" w:styleId="3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2">
    <w:name w:val="缺省文本"/>
    <w:basedOn w:val="1"/>
    <w:qFormat/>
    <w:uiPriority w:val="0"/>
    <w:pPr>
      <w:jc w:val="left"/>
    </w:pPr>
    <w:rPr>
      <w:sz w:val="24"/>
    </w:rPr>
  </w:style>
  <w:style w:type="paragraph" w:customStyle="1" w:styleId="353">
    <w:name w:val="Char Char Char1"/>
    <w:basedOn w:val="1"/>
    <w:qFormat/>
    <w:uiPriority w:val="0"/>
    <w:rPr>
      <w:rFonts w:ascii="Tahoma" w:hAnsi="Tahoma"/>
      <w:sz w:val="24"/>
      <w:szCs w:val="20"/>
    </w:rPr>
  </w:style>
  <w:style w:type="paragraph" w:customStyle="1" w:styleId="354">
    <w:name w:val="Char Char Char Char Char Char Char1"/>
    <w:basedOn w:val="1"/>
    <w:qFormat/>
    <w:uiPriority w:val="0"/>
    <w:pPr>
      <w:spacing w:line="360" w:lineRule="auto"/>
      <w:ind w:firstLine="200"/>
    </w:pPr>
    <w:rPr>
      <w:rFonts w:eastAsia="仿宋_GB2312"/>
      <w:sz w:val="24"/>
    </w:rPr>
  </w:style>
  <w:style w:type="paragraph" w:customStyle="1" w:styleId="35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6">
    <w:name w:val="样式2"/>
    <w:basedOn w:val="244"/>
    <w:qFormat/>
    <w:uiPriority w:val="0"/>
    <w:pPr>
      <w:spacing w:line="360" w:lineRule="auto"/>
      <w:jc w:val="center"/>
    </w:pPr>
    <w:rPr>
      <w:sz w:val="24"/>
    </w:rPr>
  </w:style>
  <w:style w:type="paragraph" w:customStyle="1" w:styleId="35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9">
    <w:name w:val="正文 + 楷体_GB2312"/>
    <w:basedOn w:val="1"/>
    <w:qFormat/>
    <w:uiPriority w:val="0"/>
    <w:pPr>
      <w:widowControl/>
      <w:jc w:val="left"/>
    </w:pPr>
    <w:rPr>
      <w:rFonts w:ascii="楷体_GB2312" w:eastAsia="楷体_GB2312" w:cs="Arial"/>
      <w:sz w:val="24"/>
    </w:rPr>
  </w:style>
  <w:style w:type="paragraph" w:customStyle="1" w:styleId="36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1">
    <w:name w:val="1 Char Char Char Char"/>
    <w:basedOn w:val="1"/>
    <w:qFormat/>
    <w:uiPriority w:val="0"/>
    <w:rPr>
      <w:rFonts w:ascii="Tahoma" w:hAnsi="Tahoma"/>
      <w:sz w:val="24"/>
      <w:szCs w:val="20"/>
    </w:rPr>
  </w:style>
  <w:style w:type="paragraph" w:customStyle="1" w:styleId="362">
    <w:name w:val="Default"/>
    <w:next w:val="363"/>
    <w:qFormat/>
    <w:uiPriority w:val="0"/>
    <w:pPr>
      <w:widowControl w:val="0"/>
    </w:pPr>
    <w:rPr>
      <w:rFonts w:hint="default" w:ascii="Symbol" w:hAnsi="Symbol" w:eastAsia="宋体" w:cs="Symbol"/>
      <w:color w:val="000000"/>
      <w:sz w:val="24"/>
      <w:szCs w:val="24"/>
      <w:lang w:val="en-US" w:eastAsia="zh-CN" w:bidi="ar-SA"/>
    </w:rPr>
  </w:style>
  <w:style w:type="paragraph" w:customStyle="1" w:styleId="363">
    <w:name w:val="目录 21"/>
    <w:next w:val="1"/>
    <w:qFormat/>
    <w:uiPriority w:val="39"/>
    <w:pPr>
      <w:widowControl w:val="0"/>
      <w:tabs>
        <w:tab w:val="right" w:leader="dot" w:pos="8937"/>
      </w:tabs>
      <w:spacing w:line="312" w:lineRule="auto"/>
      <w:ind w:left="420"/>
      <w:jc w:val="both"/>
    </w:pPr>
    <w:rPr>
      <w:rFonts w:hint="default" w:ascii="Times New Roman" w:hAnsi="Times New Roman" w:eastAsia="宋体" w:cs="Times New Roman"/>
      <w:sz w:val="21"/>
      <w:szCs w:val="24"/>
      <w:lang w:val="en-US" w:eastAsia="zh-CN" w:bidi="ar-SA"/>
    </w:rPr>
  </w:style>
  <w:style w:type="paragraph" w:customStyle="1" w:styleId="364">
    <w:name w:val="列出段落1"/>
    <w:basedOn w:val="1"/>
    <w:qFormat/>
    <w:uiPriority w:val="0"/>
    <w:pPr>
      <w:ind w:firstLine="420"/>
    </w:pPr>
    <w:rPr>
      <w:rFonts w:ascii="Calibri" w:hAnsi="Calibri"/>
      <w:szCs w:val="22"/>
    </w:rPr>
  </w:style>
  <w:style w:type="paragraph" w:customStyle="1" w:styleId="36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6">
    <w:name w:val="字元 字元1"/>
    <w:basedOn w:val="1"/>
    <w:qFormat/>
    <w:uiPriority w:val="0"/>
    <w:rPr>
      <w:rFonts w:ascii="Tahoma" w:hAnsi="Tahoma"/>
      <w:sz w:val="24"/>
      <w:szCs w:val="20"/>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项目编号3"/>
    <w:basedOn w:val="327"/>
    <w:qFormat/>
    <w:uiPriority w:val="0"/>
    <w:pPr>
      <w:numPr>
        <w:ilvl w:val="0"/>
        <w:numId w:val="6"/>
      </w:numPr>
    </w:pPr>
  </w:style>
  <w:style w:type="paragraph" w:customStyle="1" w:styleId="369">
    <w:name w:val="Char21"/>
    <w:basedOn w:val="1"/>
    <w:qFormat/>
    <w:uiPriority w:val="0"/>
    <w:rPr>
      <w:rFonts w:ascii="Tahoma" w:hAnsi="Tahoma"/>
      <w:sz w:val="24"/>
      <w:szCs w:val="20"/>
    </w:rPr>
  </w:style>
  <w:style w:type="paragraph" w:customStyle="1" w:styleId="370">
    <w:name w:val="表格文字"/>
    <w:basedOn w:val="215"/>
    <w:qFormat/>
    <w:uiPriority w:val="0"/>
    <w:pPr>
      <w:spacing w:before="20" w:after="20" w:line="240" w:lineRule="auto"/>
      <w:ind w:firstLine="0"/>
    </w:pPr>
    <w:rPr>
      <w:rFonts w:ascii="Century Gothic" w:hAnsi="Century Gothic"/>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正文文本样式 加粗"/>
    <w:basedOn w:val="327"/>
    <w:qFormat/>
    <w:uiPriority w:val="0"/>
    <w:rPr>
      <w:b/>
    </w:rPr>
  </w:style>
  <w:style w:type="paragraph" w:customStyle="1" w:styleId="373">
    <w:name w:val="Char2 Char Char Char Char Char Char"/>
    <w:basedOn w:val="1"/>
    <w:qFormat/>
    <w:uiPriority w:val="0"/>
    <w:pPr>
      <w:widowControl/>
      <w:spacing w:line="400" w:lineRule="exact"/>
      <w:jc w:val="center"/>
    </w:pPr>
  </w:style>
  <w:style w:type="paragraph" w:customStyle="1" w:styleId="374">
    <w:name w:val="Char Char4"/>
    <w:basedOn w:val="1"/>
    <w:qFormat/>
    <w:uiPriority w:val="0"/>
    <w:pPr>
      <w:widowControl/>
      <w:spacing w:line="400" w:lineRule="exact"/>
      <w:jc w:val="center"/>
    </w:pPr>
  </w:style>
  <w:style w:type="paragraph" w:customStyle="1" w:styleId="375">
    <w:name w:val="Char3 Char Char Char1"/>
    <w:basedOn w:val="1"/>
    <w:qFormat/>
    <w:uiPriority w:val="0"/>
    <w:rPr>
      <w:rFonts w:ascii="Tahoma" w:hAnsi="Tahoma"/>
      <w:sz w:val="24"/>
      <w:szCs w:val="20"/>
    </w:rPr>
  </w:style>
  <w:style w:type="paragraph" w:customStyle="1" w:styleId="37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22222222222222"/>
    <w:basedOn w:val="1"/>
    <w:qFormat/>
    <w:uiPriority w:val="0"/>
    <w:pPr>
      <w:widowControl/>
      <w:spacing w:line="360" w:lineRule="auto"/>
      <w:ind w:firstLine="480"/>
      <w:jc w:val="left"/>
    </w:pPr>
    <w:rPr>
      <w:color w:val="FF0000"/>
      <w:sz w:val="24"/>
      <w:szCs w:val="20"/>
    </w:rPr>
  </w:style>
  <w:style w:type="character" w:customStyle="1" w:styleId="378">
    <w:name w:val="中等深浅网格 1 - 强调文字颜色 2 Char"/>
    <w:link w:val="379"/>
    <w:qFormat/>
    <w:uiPriority w:val="0"/>
    <w:rPr>
      <w:sz w:val="21"/>
      <w:szCs w:val="24"/>
      <w:lang w:val="zh-CN" w:eastAsia="zh-CN" w:bidi="ar-SA"/>
    </w:rPr>
  </w:style>
  <w:style w:type="paragraph" w:customStyle="1" w:styleId="379">
    <w:name w:val="1"/>
    <w:link w:val="378"/>
    <w:qFormat/>
    <w:uiPriority w:val="0"/>
    <w:rPr>
      <w:rFonts w:hint="default" w:ascii="Times New Roman" w:hAnsi="Times New Roman" w:eastAsia="宋体" w:cs="Times New Roman"/>
      <w:sz w:val="21"/>
      <w:szCs w:val="24"/>
      <w:lang w:val="zh-CN" w:eastAsia="zh-CN" w:bidi="ar-SA"/>
    </w:rPr>
  </w:style>
  <w:style w:type="paragraph" w:customStyle="1" w:styleId="380">
    <w:name w:val="图文"/>
    <w:basedOn w:val="1"/>
    <w:qFormat/>
    <w:uiPriority w:val="0"/>
    <w:pPr>
      <w:spacing w:after="50" w:line="360" w:lineRule="auto"/>
    </w:pPr>
    <w:rPr>
      <w:sz w:val="24"/>
    </w:rPr>
  </w:style>
  <w:style w:type="paragraph" w:customStyle="1" w:styleId="381">
    <w:name w:val="xl23"/>
    <w:basedOn w:val="1"/>
    <w:qFormat/>
    <w:uiPriority w:val="0"/>
    <w:pPr>
      <w:widowControl/>
      <w:spacing w:before="100" w:beforeAutospacing="1" w:after="100" w:afterAutospacing="1" w:line="360" w:lineRule="auto"/>
    </w:pPr>
    <w:rPr>
      <w:sz w:val="24"/>
      <w:szCs w:val="20"/>
    </w:rPr>
  </w:style>
  <w:style w:type="paragraph" w:customStyle="1" w:styleId="382">
    <w:name w:val="正文表格"/>
    <w:basedOn w:val="1"/>
    <w:link w:val="383"/>
    <w:qFormat/>
    <w:uiPriority w:val="0"/>
    <w:pPr>
      <w:jc w:val="left"/>
    </w:pPr>
    <w:rPr>
      <w:rFonts w:ascii="宋体" w:hAnsi="宋体"/>
      <w:color w:val="000000"/>
      <w:szCs w:val="21"/>
    </w:rPr>
  </w:style>
  <w:style w:type="character" w:customStyle="1" w:styleId="383">
    <w:name w:val="正文表格 Char"/>
    <w:link w:val="382"/>
    <w:qFormat/>
    <w:uiPriority w:val="0"/>
    <w:rPr>
      <w:rFonts w:ascii="宋体" w:hAnsi="宋体"/>
      <w:color w:val="000000"/>
      <w:sz w:val="21"/>
      <w:szCs w:val="21"/>
    </w:rPr>
  </w:style>
  <w:style w:type="paragraph" w:customStyle="1" w:styleId="384">
    <w:name w:val="正文重点"/>
    <w:basedOn w:val="1"/>
    <w:link w:val="385"/>
    <w:qFormat/>
    <w:uiPriority w:val="0"/>
    <w:pPr>
      <w:spacing w:line="360" w:lineRule="auto"/>
      <w:ind w:firstLine="482"/>
      <w:jc w:val="left"/>
    </w:pPr>
    <w:rPr>
      <w:b/>
      <w:sz w:val="24"/>
      <w:szCs w:val="20"/>
    </w:rPr>
  </w:style>
  <w:style w:type="character" w:customStyle="1" w:styleId="385">
    <w:name w:val="正文重点 Char"/>
    <w:link w:val="384"/>
    <w:qFormat/>
    <w:uiPriority w:val="0"/>
    <w:rPr>
      <w:b/>
      <w:sz w:val="24"/>
    </w:rPr>
  </w:style>
  <w:style w:type="paragraph" w:customStyle="1" w:styleId="386">
    <w:name w:val="标题1-附件"/>
    <w:basedOn w:val="182"/>
    <w:qFormat/>
    <w:uiPriority w:val="0"/>
    <w:pPr>
      <w:jc w:val="left"/>
    </w:pPr>
    <w:rPr>
      <w:sz w:val="24"/>
      <w:szCs w:val="24"/>
    </w:rPr>
  </w:style>
  <w:style w:type="paragraph" w:customStyle="1" w:styleId="387">
    <w:name w:val="正文小标题"/>
    <w:basedOn w:val="1"/>
    <w:next w:val="184"/>
    <w:link w:val="388"/>
    <w:qFormat/>
    <w:uiPriority w:val="0"/>
    <w:pPr>
      <w:spacing w:before="312" w:after="312"/>
      <w:ind w:firstLine="482"/>
      <w:jc w:val="left"/>
    </w:pPr>
    <w:rPr>
      <w:rFonts w:ascii="宋体" w:hAnsi="宋体"/>
      <w:b/>
      <w:i/>
      <w:color w:val="FF0000"/>
      <w:sz w:val="24"/>
      <w:szCs w:val="20"/>
    </w:rPr>
  </w:style>
  <w:style w:type="character" w:customStyle="1" w:styleId="388">
    <w:name w:val="正文小标题 Char"/>
    <w:link w:val="387"/>
    <w:qFormat/>
    <w:uiPriority w:val="0"/>
    <w:rPr>
      <w:rFonts w:ascii="宋体" w:hAnsi="宋体"/>
      <w:b/>
      <w:i/>
      <w:color w:val="FF0000"/>
      <w:sz w:val="24"/>
    </w:rPr>
  </w:style>
  <w:style w:type="paragraph" w:customStyle="1" w:styleId="389">
    <w:name w:val="正文大标题"/>
    <w:basedOn w:val="387"/>
    <w:next w:val="184"/>
    <w:link w:val="390"/>
    <w:qFormat/>
    <w:uiPriority w:val="0"/>
    <w:pPr>
      <w:jc w:val="center"/>
    </w:pPr>
    <w:rPr>
      <w:i w:val="0"/>
      <w:color w:val="000000"/>
      <w:sz w:val="28"/>
      <w:szCs w:val="21"/>
    </w:rPr>
  </w:style>
  <w:style w:type="character" w:customStyle="1" w:styleId="390">
    <w:name w:val="正文大标题 Char"/>
    <w:link w:val="389"/>
    <w:qFormat/>
    <w:uiPriority w:val="0"/>
    <w:rPr>
      <w:rFonts w:ascii="宋体" w:hAnsi="宋体"/>
      <w:b/>
      <w:color w:val="000000"/>
      <w:sz w:val="28"/>
      <w:szCs w:val="21"/>
    </w:rPr>
  </w:style>
  <w:style w:type="paragraph" w:customStyle="1" w:styleId="391">
    <w:name w:val="注释"/>
    <w:basedOn w:val="1"/>
    <w:link w:val="392"/>
    <w:qFormat/>
    <w:uiPriority w:val="0"/>
    <w:pPr>
      <w:ind w:left="420" w:hanging="420"/>
      <w:jc w:val="left"/>
    </w:pPr>
    <w:rPr>
      <w:rFonts w:ascii="宋体" w:hAnsi="宋体"/>
      <w:szCs w:val="21"/>
    </w:rPr>
  </w:style>
  <w:style w:type="character" w:customStyle="1" w:styleId="392">
    <w:name w:val="注释 Char"/>
    <w:link w:val="391"/>
    <w:qFormat/>
    <w:uiPriority w:val="0"/>
    <w:rPr>
      <w:rFonts w:ascii="宋体" w:hAnsi="宋体"/>
      <w:sz w:val="21"/>
      <w:szCs w:val="21"/>
    </w:rPr>
  </w:style>
  <w:style w:type="paragraph" w:customStyle="1" w:styleId="39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4">
    <w:name w:val="正文须知-2级"/>
    <w:basedOn w:val="1"/>
    <w:qFormat/>
    <w:uiPriority w:val="0"/>
    <w:pPr>
      <w:numPr>
        <w:ilvl w:val="1"/>
        <w:numId w:val="7"/>
      </w:numPr>
      <w:spacing w:line="300" w:lineRule="auto"/>
    </w:pPr>
    <w:rPr>
      <w:rFonts w:ascii="宋体" w:hAnsi="Calibri"/>
      <w:sz w:val="24"/>
      <w:szCs w:val="21"/>
    </w:rPr>
  </w:style>
  <w:style w:type="paragraph" w:customStyle="1" w:styleId="39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6">
    <w:name w:val="纯文本 字符"/>
    <w:link w:val="1"/>
    <w:qFormat/>
    <w:uiPriority w:val="99"/>
    <w:rPr>
      <w:rFonts w:ascii="宋体" w:hAnsi="Courier New" w:eastAsia="宋体" w:cs="Times New Roman"/>
      <w:sz w:val="21"/>
      <w:szCs w:val="21"/>
      <w:lang w:val="en-US" w:eastAsia="zh-CN" w:bidi="ar-SA"/>
    </w:rPr>
  </w:style>
  <w:style w:type="paragraph" w:customStyle="1" w:styleId="397">
    <w:name w:val="表格1"/>
    <w:basedOn w:val="1"/>
    <w:qFormat/>
    <w:uiPriority w:val="0"/>
    <w:pPr>
      <w:ind w:firstLine="480"/>
      <w:jc w:val="center"/>
    </w:pPr>
    <w:rPr>
      <w:sz w:val="24"/>
      <w:szCs w:val="20"/>
    </w:rPr>
  </w:style>
  <w:style w:type="character" w:customStyle="1" w:styleId="398">
    <w:name w:val="纯文本 字符1"/>
    <w:link w:val="1"/>
    <w:qFormat/>
    <w:uiPriority w:val="0"/>
    <w:rPr>
      <w:rFonts w:ascii="宋体" w:hAnsi="Courier New"/>
    </w:rPr>
  </w:style>
  <w:style w:type="character" w:customStyle="1" w:styleId="399">
    <w:name w:val="bjh-p"/>
    <w:link w:val="1"/>
    <w:qFormat/>
    <w:uiPriority w:val="0"/>
  </w:style>
  <w:style w:type="paragraph" w:customStyle="1" w:styleId="40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1">
    <w:name w:val="正文格式 Char"/>
    <w:link w:val="402"/>
    <w:qFormat/>
    <w:uiPriority w:val="0"/>
    <w:rPr>
      <w:rFonts w:ascii="宋体" w:hAnsi="宋体"/>
      <w:sz w:val="24"/>
      <w:szCs w:val="24"/>
      <w:lang w:val="en-GB"/>
    </w:rPr>
  </w:style>
  <w:style w:type="paragraph" w:customStyle="1" w:styleId="402">
    <w:name w:val="正文格式"/>
    <w:basedOn w:val="1"/>
    <w:link w:val="401"/>
    <w:qFormat/>
    <w:uiPriority w:val="0"/>
    <w:pPr>
      <w:spacing w:line="360" w:lineRule="auto"/>
      <w:ind w:firstLine="480"/>
    </w:pPr>
    <w:rPr>
      <w:rFonts w:ascii="宋体" w:hAnsi="宋体"/>
      <w:sz w:val="24"/>
      <w:lang w:val="en-GB"/>
    </w:rPr>
  </w:style>
  <w:style w:type="character" w:customStyle="1" w:styleId="403">
    <w:name w:val="标题 3 Char"/>
    <w:link w:val="1"/>
    <w:qFormat/>
    <w:uiPriority w:val="0"/>
    <w:rPr>
      <w:rFonts w:ascii="宋体" w:eastAsia="宋体"/>
      <w:b/>
      <w:sz w:val="24"/>
      <w:u w:val="single"/>
      <w:lang w:val="en-US" w:eastAsia="zh-CN" w:bidi="ar-SA"/>
    </w:rPr>
  </w:style>
  <w:style w:type="character" w:customStyle="1" w:styleId="404">
    <w:name w:val="正文缩进 Char"/>
    <w:link w:val="1"/>
    <w:qFormat/>
    <w:uiPriority w:val="0"/>
    <w:rPr>
      <w:rFonts w:ascii="宋体" w:eastAsia="宋体"/>
      <w:sz w:val="24"/>
      <w:szCs w:val="24"/>
      <w:lang w:val="en-US" w:eastAsia="zh-CN" w:bidi="ar-SA"/>
    </w:rPr>
  </w:style>
  <w:style w:type="character" w:customStyle="1" w:styleId="405">
    <w:name w:val="Char Char111"/>
    <w:link w:val="1"/>
    <w:qFormat/>
    <w:uiPriority w:val="0"/>
    <w:rPr>
      <w:rFonts w:ascii="宋体" w:eastAsia="宋体"/>
      <w:b/>
      <w:sz w:val="24"/>
      <w:u w:val="single"/>
      <w:lang w:val="en-US" w:eastAsia="zh-CN" w:bidi="ar-SA"/>
    </w:rPr>
  </w:style>
  <w:style w:type="character" w:customStyle="1" w:styleId="406">
    <w:name w:val="正文文本缩进 Char"/>
    <w:link w:val="1"/>
    <w:qFormat/>
    <w:uiPriority w:val="0"/>
    <w:rPr>
      <w:rFonts w:eastAsia="宋体"/>
      <w:sz w:val="24"/>
      <w:szCs w:val="24"/>
      <w:lang w:val="en-US" w:eastAsia="zh-CN" w:bidi="ar-SA"/>
    </w:rPr>
  </w:style>
  <w:style w:type="character" w:customStyle="1" w:styleId="407">
    <w:name w:val="列出段落 Char"/>
    <w:link w:val="1"/>
    <w:qFormat/>
    <w:uiPriority w:val="0"/>
    <w:rPr>
      <w:rFonts w:ascii="Calibri" w:hAnsi="Calibri" w:eastAsia="宋体"/>
      <w:sz w:val="21"/>
      <w:szCs w:val="22"/>
      <w:lang w:val="en-US" w:eastAsia="zh-CN" w:bidi="ar-SA"/>
    </w:rPr>
  </w:style>
  <w:style w:type="character" w:customStyle="1" w:styleId="408">
    <w:name w:val="页眉 Char"/>
    <w:link w:val="1"/>
    <w:qFormat/>
    <w:uiPriority w:val="0"/>
    <w:rPr>
      <w:rFonts w:eastAsia="宋体"/>
      <w:sz w:val="18"/>
      <w:szCs w:val="18"/>
      <w:lang w:val="en-US" w:eastAsia="zh-CN" w:bidi="ar-SA"/>
    </w:rPr>
  </w:style>
  <w:style w:type="character" w:customStyle="1" w:styleId="409">
    <w:name w:val="标题 2 Char"/>
    <w:link w:val="1"/>
    <w:qFormat/>
    <w:uiPriority w:val="0"/>
    <w:rPr>
      <w:rFonts w:ascii="Arial" w:hAnsi="Arial" w:eastAsia="黑体"/>
      <w:b/>
      <w:sz w:val="30"/>
      <w:lang w:val="en-US" w:eastAsia="zh-CN" w:bidi="ar-SA"/>
    </w:rPr>
  </w:style>
  <w:style w:type="paragraph" w:customStyle="1" w:styleId="410">
    <w:name w:val="字元 字元2"/>
    <w:basedOn w:val="1"/>
    <w:qFormat/>
    <w:uiPriority w:val="0"/>
    <w:rPr>
      <w:rFonts w:ascii="Tahoma" w:hAnsi="Tahoma"/>
      <w:sz w:val="24"/>
      <w:szCs w:val="20"/>
    </w:rPr>
  </w:style>
  <w:style w:type="paragraph" w:customStyle="1" w:styleId="411">
    <w:name w:val="Char3 Char Char Char2"/>
    <w:basedOn w:val="1"/>
    <w:qFormat/>
    <w:uiPriority w:val="0"/>
    <w:rPr>
      <w:rFonts w:ascii="Tahoma" w:hAnsi="Tahoma"/>
      <w:sz w:val="24"/>
      <w:szCs w:val="20"/>
    </w:rPr>
  </w:style>
  <w:style w:type="paragraph" w:customStyle="1" w:styleId="412">
    <w:name w:val="正文文本缩进2"/>
    <w:basedOn w:val="1"/>
    <w:qFormat/>
    <w:uiPriority w:val="0"/>
    <w:pPr>
      <w:spacing w:line="480" w:lineRule="exact"/>
      <w:ind w:firstLine="480"/>
    </w:pPr>
    <w:rPr>
      <w:rFonts w:ascii="宋体" w:hAnsi="宋体"/>
      <w:sz w:val="24"/>
      <w:lang w:val="zh-CN" w:eastAsia="zh-CN"/>
    </w:rPr>
  </w:style>
  <w:style w:type="paragraph" w:customStyle="1" w:styleId="413">
    <w:name w:val="Char3"/>
    <w:basedOn w:val="1"/>
    <w:qFormat/>
    <w:uiPriority w:val="0"/>
    <w:pPr>
      <w:tabs>
        <w:tab w:val="left" w:pos="360"/>
      </w:tabs>
    </w:pPr>
    <w:rPr>
      <w:sz w:val="24"/>
    </w:rPr>
  </w:style>
  <w:style w:type="paragraph" w:customStyle="1" w:styleId="41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6">
    <w:name w:val="列出段落2"/>
    <w:basedOn w:val="1"/>
    <w:qFormat/>
    <w:uiPriority w:val="0"/>
    <w:pPr>
      <w:ind w:firstLine="420"/>
    </w:pPr>
    <w:rPr>
      <w:rFonts w:ascii="Calibri" w:hAnsi="Calibri"/>
      <w:szCs w:val="22"/>
    </w:rPr>
  </w:style>
  <w:style w:type="paragraph" w:customStyle="1" w:styleId="417">
    <w:name w:val="Char Char Char1 Char2"/>
    <w:basedOn w:val="1"/>
    <w:qFormat/>
    <w:uiPriority w:val="0"/>
    <w:rPr>
      <w:rFonts w:ascii="Tahoma" w:hAnsi="Tahoma"/>
      <w:sz w:val="24"/>
      <w:szCs w:val="20"/>
    </w:rPr>
  </w:style>
  <w:style w:type="paragraph" w:customStyle="1" w:styleId="418">
    <w:name w:val="Char Char Char2"/>
    <w:basedOn w:val="1"/>
    <w:qFormat/>
    <w:uiPriority w:val="0"/>
    <w:rPr>
      <w:rFonts w:ascii="Tahoma" w:hAnsi="Tahoma"/>
      <w:sz w:val="24"/>
      <w:szCs w:val="20"/>
    </w:rPr>
  </w:style>
  <w:style w:type="paragraph" w:customStyle="1" w:styleId="419">
    <w:name w:val="Char Char Char Char Char Char Char2"/>
    <w:basedOn w:val="1"/>
    <w:qFormat/>
    <w:uiPriority w:val="0"/>
    <w:pPr>
      <w:spacing w:line="360" w:lineRule="auto"/>
      <w:ind w:firstLine="200"/>
    </w:pPr>
    <w:rPr>
      <w:rFonts w:eastAsia="仿宋_GB2312"/>
      <w:sz w:val="24"/>
    </w:rPr>
  </w:style>
  <w:style w:type="paragraph" w:customStyle="1" w:styleId="42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1">
    <w:name w:val="Revision"/>
    <w:qFormat/>
    <w:uiPriority w:val="0"/>
    <w:rPr>
      <w:rFonts w:hint="default" w:ascii="Times New Roman" w:hAnsi="Times New Roman" w:eastAsia="宋体" w:cs="Times New Roman"/>
      <w:sz w:val="21"/>
      <w:szCs w:val="24"/>
      <w:lang w:val="en-US" w:eastAsia="zh-CN" w:bidi="ar-SA"/>
    </w:rPr>
  </w:style>
  <w:style w:type="paragraph" w:customStyle="1" w:styleId="422">
    <w:name w:val="Char22"/>
    <w:basedOn w:val="1"/>
    <w:qFormat/>
    <w:uiPriority w:val="0"/>
    <w:rPr>
      <w:rFonts w:ascii="Tahoma" w:hAnsi="Tahoma"/>
      <w:sz w:val="24"/>
      <w:szCs w:val="20"/>
    </w:rPr>
  </w:style>
  <w:style w:type="paragraph" w:customStyle="1" w:styleId="423">
    <w:name w:val="Char Char Char Char Char Char Char Char Char Char2"/>
    <w:basedOn w:val="1"/>
    <w:qFormat/>
    <w:uiPriority w:val="0"/>
    <w:rPr>
      <w:rFonts w:ascii="宋体" w:hAnsi="宋体" w:cs="Courier New"/>
      <w:sz w:val="32"/>
      <w:szCs w:val="32"/>
    </w:rPr>
  </w:style>
  <w:style w:type="paragraph" w:customStyle="1" w:styleId="424">
    <w:name w:val="Char2 Char Char Char Char Char Char1"/>
    <w:basedOn w:val="1"/>
    <w:qFormat/>
    <w:uiPriority w:val="0"/>
    <w:pPr>
      <w:widowControl/>
      <w:spacing w:line="400" w:lineRule="exact"/>
      <w:jc w:val="center"/>
    </w:pPr>
  </w:style>
  <w:style w:type="character" w:customStyle="1" w:styleId="425">
    <w:name w:val="页脚 Char"/>
    <w:link w:val="1"/>
    <w:qFormat/>
    <w:uiPriority w:val="0"/>
    <w:rPr>
      <w:rFonts w:ascii="宋体" w:eastAsia="宋体"/>
      <w:sz w:val="18"/>
      <w:lang w:val="en-US" w:eastAsia="zh-CN" w:bidi="ar-SA"/>
    </w:rPr>
  </w:style>
  <w:style w:type="paragraph" w:customStyle="1" w:styleId="426">
    <w:name w:val="Char Char41"/>
    <w:basedOn w:val="1"/>
    <w:qFormat/>
    <w:uiPriority w:val="0"/>
    <w:pPr>
      <w:widowControl/>
      <w:spacing w:line="400" w:lineRule="exact"/>
      <w:jc w:val="center"/>
    </w:pPr>
  </w:style>
  <w:style w:type="character" w:customStyle="1" w:styleId="427">
    <w:name w:val="批注文字 Char"/>
    <w:link w:val="1"/>
    <w:qFormat/>
    <w:uiPriority w:val="99"/>
    <w:rPr>
      <w:sz w:val="21"/>
      <w:szCs w:val="24"/>
    </w:rPr>
  </w:style>
  <w:style w:type="character" w:customStyle="1" w:styleId="428">
    <w:name w:val="标题 Char"/>
    <w:link w:val="1"/>
    <w:qFormat/>
    <w:uiPriority w:val="0"/>
    <w:rPr>
      <w:b/>
      <w:sz w:val="32"/>
    </w:rPr>
  </w:style>
  <w:style w:type="paragraph" w:customStyle="1" w:styleId="429">
    <w:name w:val="图例"/>
    <w:basedOn w:val="1"/>
    <w:qFormat/>
    <w:uiPriority w:val="0"/>
    <w:pPr>
      <w:spacing w:before="120" w:after="120" w:line="360" w:lineRule="auto"/>
      <w:jc w:val="center"/>
    </w:pPr>
    <w:rPr>
      <w:rFonts w:eastAsia="仿宋_GB2312"/>
      <w:b/>
      <w:sz w:val="24"/>
      <w:szCs w:val="20"/>
    </w:rPr>
  </w:style>
  <w:style w:type="paragraph" w:customStyle="1" w:styleId="430">
    <w:name w:val="Table Paragraph"/>
    <w:basedOn w:val="1"/>
    <w:qFormat/>
    <w:uiPriority w:val="1"/>
    <w:pPr>
      <w:jc w:val="left"/>
    </w:pPr>
    <w:rPr>
      <w:rFonts w:ascii="宋体" w:hAnsi="宋体" w:cs="宋体"/>
      <w:sz w:val="22"/>
      <w:szCs w:val="22"/>
      <w:lang w:eastAsia="en-US"/>
    </w:rPr>
  </w:style>
  <w:style w:type="table" w:customStyle="1" w:styleId="431">
    <w:name w:val="Table Normal"/>
    <w:basedOn w:val="193"/>
    <w:semiHidden/>
    <w:qFormat/>
    <w:uiPriority w:val="2"/>
    <w:pPr>
      <w:widowControl w:val="0"/>
    </w:pPr>
    <w:rPr>
      <w:rFonts w:ascii="Calibri" w:hAnsi="Calibri"/>
      <w:sz w:val="22"/>
      <w:szCs w:val="22"/>
      <w:lang w:val="en-US" w:eastAsia="en-US" w:bidi="ar-SA"/>
    </w:rPr>
  </w:style>
  <w:style w:type="paragraph" w:customStyle="1" w:styleId="432">
    <w:name w:val="成文日期"/>
    <w:basedOn w:val="1"/>
    <w:link w:val="433"/>
    <w:qFormat/>
    <w:uiPriority w:val="0"/>
    <w:pPr>
      <w:spacing w:line="570" w:lineRule="exact"/>
      <w:ind w:right="400" w:firstLine="200"/>
      <w:jc w:val="right"/>
    </w:pPr>
    <w:rPr>
      <w:rFonts w:ascii="仿宋_GB2312" w:eastAsia="仿宋_GB2312"/>
      <w:sz w:val="32"/>
      <w:szCs w:val="20"/>
    </w:rPr>
  </w:style>
  <w:style w:type="character" w:customStyle="1" w:styleId="433">
    <w:name w:val="成文日期 Char"/>
    <w:link w:val="432"/>
    <w:uiPriority w:val="0"/>
    <w:rPr>
      <w:rFonts w:ascii="仿宋_GB2312" w:eastAsia="仿宋_GB2312"/>
      <w:sz w:val="32"/>
    </w:rPr>
  </w:style>
  <w:style w:type="paragraph" w:customStyle="1" w:styleId="434">
    <w:name w:val="正文字缩2字"/>
    <w:basedOn w:val="1"/>
    <w:qFormat/>
    <w:uiPriority w:val="0"/>
    <w:pPr>
      <w:spacing w:before="60" w:after="60" w:line="360" w:lineRule="auto"/>
      <w:ind w:left="200" w:firstLine="200"/>
    </w:pPr>
    <w:rPr>
      <w:rFonts w:ascii="Calibri" w:hAnsi="Calibri"/>
      <w:sz w:val="21"/>
      <w:szCs w:val="24"/>
    </w:rPr>
  </w:style>
  <w:style w:type="character" w:customStyle="1" w:styleId="435">
    <w:name w:val="current"/>
    <w:basedOn w:val="192"/>
    <w:link w:val="1"/>
    <w:uiPriority w:val="0"/>
    <w:rPr>
      <w:b/>
      <w:bCs/>
      <w:color w:val="05A7D8"/>
      <w:sz w:val="18"/>
      <w:szCs w:val="18"/>
    </w:rPr>
  </w:style>
  <w:style w:type="character" w:customStyle="1" w:styleId="436">
    <w:name w:val="l-btn-left"/>
    <w:basedOn w:val="192"/>
    <w:link w:val="1"/>
    <w:uiPriority w:val="0"/>
  </w:style>
  <w:style w:type="character" w:customStyle="1" w:styleId="437">
    <w:name w:val="l-btn-text35"/>
    <w:basedOn w:val="192"/>
    <w:link w:val="1"/>
    <w:uiPriority w:val="0"/>
  </w:style>
  <w:style w:type="paragraph" w:customStyle="1" w:styleId="438">
    <w:name w:val="纯文本1"/>
    <w:next w:val="235"/>
    <w:qFormat/>
    <w:uiPriority w:val="0"/>
    <w:pPr>
      <w:widowControl w:val="0"/>
      <w:jc w:val="both"/>
    </w:pPr>
    <w:rPr>
      <w:rFonts w:hint="default" w:ascii="宋体" w:hAnsi="宋体" w:eastAsia="宋体" w:cs="Times New Roman"/>
      <w:sz w:val="26"/>
      <w:lang w:val="en-US" w:eastAsia="zh-CN" w:bidi="ar-SA"/>
    </w:rPr>
  </w:style>
  <w:style w:type="paragraph" w:customStyle="1" w:styleId="439">
    <w:name w:val="Body text|1"/>
    <w:basedOn w:val="1"/>
    <w:qFormat/>
    <w:uiPriority w:val="0"/>
    <w:pPr>
      <w:spacing w:line="372" w:lineRule="auto"/>
      <w:jc w:val="left"/>
    </w:pPr>
    <w:rPr>
      <w:rFonts w:ascii="宋体" w:hAnsi="宋体" w:cs="宋体"/>
      <w:sz w:val="20"/>
    </w:rPr>
  </w:style>
  <w:style w:type="paragraph" w:customStyle="1" w:styleId="440">
    <w:name w:val="Normal1"/>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41">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2">
    <w:name w:val="正文首行缩进 211"/>
    <w:basedOn w:val="443"/>
    <w:next w:val="1"/>
    <w:qFormat/>
    <w:uiPriority w:val="0"/>
    <w:pPr>
      <w:spacing w:after="120" w:line="480" w:lineRule="exact"/>
      <w:ind w:left="420" w:firstLine="420"/>
    </w:pPr>
    <w:rPr>
      <w:szCs w:val="20"/>
    </w:rPr>
  </w:style>
  <w:style w:type="paragraph" w:customStyle="1" w:styleId="443">
    <w:name w:val="正文文本缩进11"/>
    <w:basedOn w:val="1"/>
    <w:next w:val="1"/>
    <w:qFormat/>
    <w:uiPriority w:val="0"/>
    <w:pPr>
      <w:spacing w:line="360" w:lineRule="auto"/>
      <w:ind w:firstLine="570"/>
    </w:pPr>
    <w:rPr>
      <w:sz w:val="24"/>
    </w:rPr>
  </w:style>
  <w:style w:type="paragraph" w:customStyle="1" w:styleId="44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5">
    <w:name w:val="首行缩进"/>
    <w:basedOn w:val="1"/>
    <w:qFormat/>
    <w:uiPriority w:val="0"/>
    <w:pPr>
      <w:ind w:firstLine="480"/>
    </w:pPr>
    <w:rPr>
      <w:rFonts w:ascii="Times New Roman" w:hAnsi="Times New Roman"/>
      <w:sz w:val="20"/>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67</Pages>
  <Words>4187</Words>
  <Characters>4512</Characters>
  <TotalTime>18</TotalTime>
  <ScaleCrop>false</ScaleCrop>
  <LinksUpToDate>false</LinksUpToDate>
  <CharactersWithSpaces>4629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ACandy</cp:lastModifiedBy>
  <cp:lastPrinted>2026-05-13T08:48:00Z</cp:lastPrinted>
  <dcterms:modified xsi:type="dcterms:W3CDTF">2026-06-09T05:39:12Z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FEE6EBC761574B7E8B89969D9FE158AE_13</vt:lpwstr>
  </property>
  <property fmtid="{D5CDD505-2E9C-101B-9397-08002B2CF9AE}" pid="4" name="KSOTemplateDocerSaveRecord">
    <vt:lpwstr>eyJoZGlkIjoiYjU4ZjMwN2E3ZTFhM2RjMjM3ZmVhNGIxYTY3ZWM2MDQiLCJ1c2VySWQiOiIxMjg1ODY3MjUzIn0=</vt:lpwstr>
  </property>
</Properties>
</file>